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CFCD" w14:textId="7FD4D526" w:rsidR="00EE0985" w:rsidRPr="00BB77F8" w:rsidRDefault="00EE0985" w:rsidP="00EE0985">
      <w:pPr>
        <w:spacing w:before="240" w:line="480" w:lineRule="auto"/>
        <w:jc w:val="both"/>
        <w:rPr>
          <w:rFonts w:ascii="Times New Roman" w:hAnsi="Times New Roman" w:cs="Times New Roman"/>
          <w:sz w:val="24"/>
          <w:szCs w:val="24"/>
        </w:rPr>
      </w:pPr>
      <w:bookmarkStart w:id="0" w:name="_GoBack"/>
      <w:bookmarkEnd w:id="0"/>
      <w:r w:rsidRPr="00BB77F8">
        <w:rPr>
          <w:rFonts w:ascii="Times New Roman" w:hAnsi="Times New Roman" w:cs="Times New Roman"/>
          <w:b/>
          <w:sz w:val="24"/>
          <w:szCs w:val="24"/>
        </w:rPr>
        <w:t>Title.</w:t>
      </w:r>
      <w:r w:rsidRPr="00BB77F8">
        <w:rPr>
          <w:rFonts w:ascii="Times New Roman" w:hAnsi="Times New Roman" w:cs="Times New Roman"/>
          <w:sz w:val="24"/>
          <w:szCs w:val="24"/>
        </w:rPr>
        <w:t xml:space="preserve"> Alcohol use </w:t>
      </w:r>
      <w:r>
        <w:rPr>
          <w:rFonts w:ascii="Times New Roman" w:hAnsi="Times New Roman" w:cs="Times New Roman"/>
          <w:sz w:val="24"/>
          <w:szCs w:val="24"/>
        </w:rPr>
        <w:t xml:space="preserve">in adolescence </w:t>
      </w:r>
      <w:r w:rsidRPr="00BB77F8">
        <w:rPr>
          <w:rFonts w:ascii="Times New Roman" w:hAnsi="Times New Roman" w:cs="Times New Roman"/>
          <w:sz w:val="24"/>
          <w:szCs w:val="24"/>
        </w:rPr>
        <w:t xml:space="preserve">and later </w:t>
      </w:r>
      <w:r>
        <w:rPr>
          <w:rFonts w:ascii="Times New Roman" w:hAnsi="Times New Roman" w:cs="Times New Roman"/>
          <w:sz w:val="24"/>
          <w:szCs w:val="24"/>
        </w:rPr>
        <w:t>working memory</w:t>
      </w:r>
      <w:r w:rsidRPr="00BB77F8">
        <w:rPr>
          <w:rFonts w:ascii="Times New Roman" w:hAnsi="Times New Roman" w:cs="Times New Roman"/>
          <w:sz w:val="24"/>
          <w:szCs w:val="24"/>
        </w:rPr>
        <w:t>: findings from a large population-based birth cohort</w:t>
      </w:r>
    </w:p>
    <w:p w14:paraId="5AC79D26" w14:textId="08B7F206" w:rsidR="00EE0985" w:rsidRPr="00BB77F8" w:rsidRDefault="00EE0985" w:rsidP="00EE0985">
      <w:pPr>
        <w:spacing w:line="480" w:lineRule="auto"/>
        <w:rPr>
          <w:rFonts w:ascii="Times New Roman" w:hAnsi="Times New Roman" w:cs="Times New Roman"/>
          <w:sz w:val="24"/>
          <w:szCs w:val="24"/>
        </w:rPr>
      </w:pPr>
      <w:r w:rsidRPr="00BB77F8">
        <w:rPr>
          <w:rFonts w:ascii="Times New Roman" w:hAnsi="Times New Roman" w:cs="Times New Roman"/>
          <w:b/>
          <w:sz w:val="24"/>
          <w:szCs w:val="24"/>
        </w:rPr>
        <w:t>Author names and affiliations.</w:t>
      </w:r>
      <w:r w:rsidRPr="00BB77F8">
        <w:rPr>
          <w:rFonts w:ascii="Times New Roman" w:hAnsi="Times New Roman" w:cs="Times New Roman"/>
          <w:sz w:val="24"/>
          <w:szCs w:val="24"/>
        </w:rPr>
        <w:t xml:space="preserve"> Liam Mahedy</w:t>
      </w:r>
      <w:r w:rsidRPr="00BB77F8">
        <w:rPr>
          <w:rFonts w:ascii="Times New Roman" w:hAnsi="Times New Roman" w:cs="Times New Roman"/>
          <w:sz w:val="24"/>
          <w:szCs w:val="24"/>
          <w:vertAlign w:val="superscript"/>
        </w:rPr>
        <w:t>a*</w:t>
      </w:r>
      <w:r w:rsidRPr="00BB77F8">
        <w:rPr>
          <w:rFonts w:ascii="Times New Roman" w:hAnsi="Times New Roman" w:cs="Times New Roman"/>
          <w:sz w:val="24"/>
          <w:szCs w:val="24"/>
        </w:rPr>
        <w:t>,</w:t>
      </w:r>
      <w:r>
        <w:rPr>
          <w:rFonts w:ascii="Times New Roman" w:hAnsi="Times New Roman" w:cs="Times New Roman"/>
          <w:sz w:val="24"/>
          <w:szCs w:val="24"/>
        </w:rPr>
        <w:t xml:space="preserve"> PhD,</w:t>
      </w:r>
      <w:r w:rsidRPr="00BB77F8">
        <w:rPr>
          <w:rFonts w:ascii="Times New Roman" w:hAnsi="Times New Roman" w:cs="Times New Roman"/>
          <w:sz w:val="24"/>
          <w:szCs w:val="24"/>
        </w:rPr>
        <w:t xml:space="preserve"> </w:t>
      </w:r>
      <w:r w:rsidR="00124C21">
        <w:rPr>
          <w:rFonts w:ascii="Times New Roman" w:hAnsi="Times New Roman" w:cs="Times New Roman"/>
          <w:sz w:val="24"/>
          <w:szCs w:val="24"/>
        </w:rPr>
        <w:t>Matt Field</w:t>
      </w:r>
      <w:r w:rsidRPr="00BB77F8">
        <w:rPr>
          <w:rFonts w:ascii="Times New Roman" w:hAnsi="Times New Roman" w:cs="Times New Roman"/>
          <w:sz w:val="24"/>
          <w:szCs w:val="24"/>
          <w:vertAlign w:val="superscript"/>
        </w:rPr>
        <w:t>b,c</w:t>
      </w:r>
      <w:r w:rsidRPr="00BB77F8">
        <w:rPr>
          <w:rFonts w:ascii="Times New Roman" w:hAnsi="Times New Roman" w:cs="Times New Roman"/>
          <w:sz w:val="24"/>
          <w:szCs w:val="24"/>
        </w:rPr>
        <w:t>,</w:t>
      </w:r>
      <w:r>
        <w:rPr>
          <w:rFonts w:ascii="Times New Roman" w:hAnsi="Times New Roman" w:cs="Times New Roman"/>
          <w:sz w:val="24"/>
          <w:szCs w:val="24"/>
        </w:rPr>
        <w:t xml:space="preserve"> PhD,</w:t>
      </w:r>
      <w:r w:rsidRPr="00BB77F8">
        <w:rPr>
          <w:rFonts w:ascii="Times New Roman" w:hAnsi="Times New Roman" w:cs="Times New Roman"/>
          <w:sz w:val="24"/>
          <w:szCs w:val="24"/>
        </w:rPr>
        <w:t xml:space="preserve"> </w:t>
      </w:r>
      <w:r w:rsidR="00124C21">
        <w:rPr>
          <w:rFonts w:ascii="Times New Roman" w:hAnsi="Times New Roman" w:cs="Times New Roman"/>
          <w:sz w:val="24"/>
          <w:szCs w:val="24"/>
        </w:rPr>
        <w:t>Suzanne Gage</w:t>
      </w:r>
      <w:r w:rsidR="00124C21" w:rsidRPr="00124C21">
        <w:rPr>
          <w:rFonts w:ascii="Times New Roman" w:hAnsi="Times New Roman" w:cs="Times New Roman"/>
          <w:szCs w:val="24"/>
          <w:vertAlign w:val="superscript"/>
        </w:rPr>
        <w:t>d,</w:t>
      </w:r>
      <w:r w:rsidRPr="00BB77F8">
        <w:rPr>
          <w:rFonts w:ascii="Times New Roman" w:hAnsi="Times New Roman" w:cs="Times New Roman"/>
          <w:sz w:val="24"/>
          <w:szCs w:val="24"/>
          <w:vertAlign w:val="superscript"/>
        </w:rPr>
        <w:t>e,f</w:t>
      </w:r>
      <w:r>
        <w:rPr>
          <w:rFonts w:ascii="Times New Roman" w:hAnsi="Times New Roman" w:cs="Times New Roman"/>
          <w:sz w:val="24"/>
          <w:szCs w:val="24"/>
        </w:rPr>
        <w:t xml:space="preserve">, PhD, </w:t>
      </w:r>
      <w:r w:rsidRPr="00BB77F8">
        <w:rPr>
          <w:rFonts w:ascii="Times New Roman" w:hAnsi="Times New Roman" w:cs="Times New Roman"/>
          <w:sz w:val="24"/>
          <w:szCs w:val="24"/>
        </w:rPr>
        <w:t>Gemma Hammerton</w:t>
      </w:r>
      <w:r w:rsidRPr="00BB77F8">
        <w:rPr>
          <w:rFonts w:ascii="Times New Roman" w:hAnsi="Times New Roman" w:cs="Times New Roman"/>
          <w:sz w:val="24"/>
          <w:szCs w:val="24"/>
          <w:vertAlign w:val="superscript"/>
        </w:rPr>
        <w:t>a</w:t>
      </w:r>
      <w:r w:rsidRPr="00BB77F8">
        <w:rPr>
          <w:rFonts w:ascii="Times New Roman" w:hAnsi="Times New Roman" w:cs="Times New Roman"/>
          <w:sz w:val="24"/>
          <w:szCs w:val="24"/>
        </w:rPr>
        <w:t>,</w:t>
      </w:r>
      <w:r>
        <w:rPr>
          <w:rFonts w:ascii="Times New Roman" w:hAnsi="Times New Roman" w:cs="Times New Roman"/>
          <w:sz w:val="24"/>
          <w:szCs w:val="24"/>
        </w:rPr>
        <w:t xml:space="preserve"> PhD,</w:t>
      </w:r>
      <w:r w:rsidRPr="00BB77F8">
        <w:rPr>
          <w:rFonts w:ascii="Times New Roman" w:hAnsi="Times New Roman" w:cs="Times New Roman"/>
          <w:sz w:val="24"/>
          <w:szCs w:val="24"/>
        </w:rPr>
        <w:t xml:space="preserve"> Jon Heron</w:t>
      </w:r>
      <w:r w:rsidRPr="00BB77F8">
        <w:rPr>
          <w:rFonts w:ascii="Times New Roman" w:hAnsi="Times New Roman" w:cs="Times New Roman"/>
          <w:sz w:val="24"/>
          <w:szCs w:val="24"/>
          <w:vertAlign w:val="superscript"/>
        </w:rPr>
        <w:t>a</w:t>
      </w:r>
      <w:r w:rsidRPr="00BB77F8">
        <w:rPr>
          <w:rFonts w:ascii="Times New Roman" w:hAnsi="Times New Roman" w:cs="Times New Roman"/>
          <w:sz w:val="24"/>
          <w:szCs w:val="24"/>
        </w:rPr>
        <w:t>,</w:t>
      </w:r>
      <w:r>
        <w:rPr>
          <w:rFonts w:ascii="Times New Roman" w:hAnsi="Times New Roman" w:cs="Times New Roman"/>
          <w:sz w:val="24"/>
          <w:szCs w:val="24"/>
        </w:rPr>
        <w:t xml:space="preserve"> PhD,</w:t>
      </w:r>
      <w:r w:rsidRPr="00BB77F8">
        <w:rPr>
          <w:rFonts w:ascii="Times New Roman" w:hAnsi="Times New Roman" w:cs="Times New Roman"/>
          <w:sz w:val="24"/>
          <w:szCs w:val="24"/>
        </w:rPr>
        <w:t xml:space="preserve"> Matt Hickman</w:t>
      </w:r>
      <w:r w:rsidRPr="00BB77F8">
        <w:rPr>
          <w:rFonts w:ascii="Times New Roman" w:hAnsi="Times New Roman" w:cs="Times New Roman"/>
          <w:sz w:val="24"/>
          <w:szCs w:val="24"/>
          <w:vertAlign w:val="superscript"/>
        </w:rPr>
        <w:t>a</w:t>
      </w:r>
      <w:r w:rsidRPr="00BB77F8">
        <w:rPr>
          <w:rFonts w:ascii="Times New Roman" w:hAnsi="Times New Roman" w:cs="Times New Roman"/>
          <w:sz w:val="24"/>
          <w:szCs w:val="24"/>
        </w:rPr>
        <w:t>,</w:t>
      </w:r>
      <w:r>
        <w:rPr>
          <w:rFonts w:ascii="Times New Roman" w:hAnsi="Times New Roman" w:cs="Times New Roman"/>
          <w:sz w:val="24"/>
          <w:szCs w:val="24"/>
        </w:rPr>
        <w:t xml:space="preserve"> PhD,</w:t>
      </w:r>
      <w:r w:rsidRPr="00BB77F8">
        <w:rPr>
          <w:rFonts w:ascii="Times New Roman" w:hAnsi="Times New Roman" w:cs="Times New Roman"/>
          <w:sz w:val="24"/>
          <w:szCs w:val="24"/>
        </w:rPr>
        <w:t xml:space="preserve"> &amp; Marcus </w:t>
      </w:r>
      <w:r w:rsidR="0099445E">
        <w:rPr>
          <w:rFonts w:ascii="Times New Roman" w:hAnsi="Times New Roman" w:cs="Times New Roman"/>
          <w:sz w:val="24"/>
          <w:szCs w:val="24"/>
        </w:rPr>
        <w:t xml:space="preserve">R. </w:t>
      </w:r>
      <w:r w:rsidRPr="00BB77F8">
        <w:rPr>
          <w:rFonts w:ascii="Times New Roman" w:hAnsi="Times New Roman" w:cs="Times New Roman"/>
          <w:sz w:val="24"/>
          <w:szCs w:val="24"/>
        </w:rPr>
        <w:t>Munafò</w:t>
      </w:r>
      <w:r w:rsidRPr="00BB77F8">
        <w:rPr>
          <w:rFonts w:ascii="Times New Roman" w:hAnsi="Times New Roman" w:cs="Times New Roman"/>
          <w:sz w:val="24"/>
          <w:szCs w:val="24"/>
          <w:vertAlign w:val="superscript"/>
        </w:rPr>
        <w:t>,d</w:t>
      </w:r>
      <w:r w:rsidR="002B2FB9">
        <w:rPr>
          <w:rFonts w:ascii="Times New Roman" w:hAnsi="Times New Roman" w:cs="Times New Roman"/>
          <w:sz w:val="24"/>
          <w:szCs w:val="24"/>
          <w:vertAlign w:val="superscript"/>
        </w:rPr>
        <w:t>, e, f</w:t>
      </w:r>
      <w:r>
        <w:rPr>
          <w:rFonts w:ascii="Times New Roman" w:hAnsi="Times New Roman" w:cs="Times New Roman"/>
          <w:sz w:val="24"/>
          <w:szCs w:val="24"/>
        </w:rPr>
        <w:t>,</w:t>
      </w:r>
      <w:r w:rsidRPr="00447325">
        <w:rPr>
          <w:rFonts w:ascii="Times New Roman" w:hAnsi="Times New Roman" w:cs="Times New Roman"/>
          <w:sz w:val="24"/>
          <w:szCs w:val="24"/>
        </w:rPr>
        <w:t xml:space="preserve"> PhD</w:t>
      </w:r>
    </w:p>
    <w:p w14:paraId="11AE38CC" w14:textId="001B6B93" w:rsidR="00124C21" w:rsidRDefault="00EE0985" w:rsidP="00EE0985">
      <w:pPr>
        <w:spacing w:line="480" w:lineRule="auto"/>
        <w:rPr>
          <w:rFonts w:ascii="Times New Roman" w:hAnsi="Times New Roman" w:cs="Times New Roman"/>
          <w:sz w:val="24"/>
          <w:szCs w:val="24"/>
        </w:rPr>
      </w:pPr>
      <w:r w:rsidRPr="00BB77F8">
        <w:rPr>
          <w:rFonts w:ascii="Times New Roman" w:hAnsi="Times New Roman" w:cs="Times New Roman"/>
          <w:sz w:val="24"/>
          <w:szCs w:val="24"/>
          <w:vertAlign w:val="superscript"/>
        </w:rPr>
        <w:t>a</w:t>
      </w:r>
      <w:r w:rsidRPr="00BB77F8">
        <w:rPr>
          <w:rFonts w:ascii="Times New Roman" w:hAnsi="Times New Roman" w:cs="Times New Roman"/>
          <w:sz w:val="24"/>
          <w:szCs w:val="24"/>
        </w:rPr>
        <w:t>School of Social and Community Medicine, Oakfield Grove, University of Bristol, Bristol, BS8 2BN, United Kingdom</w:t>
      </w:r>
    </w:p>
    <w:p w14:paraId="46A458B9" w14:textId="77777777" w:rsidR="00124C21" w:rsidRPr="00BB77F8" w:rsidRDefault="00124C21" w:rsidP="00124C2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Pr="00BB77F8">
        <w:rPr>
          <w:rFonts w:ascii="Times New Roman" w:hAnsi="Times New Roman" w:cs="Times New Roman"/>
          <w:sz w:val="24"/>
          <w:szCs w:val="24"/>
        </w:rPr>
        <w:t>Department of Psychological Sciences, University of Liverpool, Liverpool, United Kingdom</w:t>
      </w:r>
    </w:p>
    <w:p w14:paraId="29EC97C9" w14:textId="77777777" w:rsidR="00124C21" w:rsidRPr="00BB77F8" w:rsidRDefault="00124C21" w:rsidP="00124C2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sidRPr="00BB77F8">
        <w:rPr>
          <w:rFonts w:ascii="Times New Roman" w:hAnsi="Times New Roman" w:cs="Times New Roman"/>
          <w:sz w:val="24"/>
          <w:szCs w:val="24"/>
        </w:rPr>
        <w:t>UK Centre for Tobacco and Alcohol Studies, United Kingdom</w:t>
      </w:r>
    </w:p>
    <w:p w14:paraId="7C9CD34A" w14:textId="40CAF965" w:rsidR="00EE0985" w:rsidRPr="00BB77F8" w:rsidRDefault="00124C21" w:rsidP="00EE0985">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d</w:t>
      </w:r>
      <w:r w:rsidR="00EE0985" w:rsidRPr="00BB77F8">
        <w:rPr>
          <w:rFonts w:ascii="Times New Roman" w:hAnsi="Times New Roman" w:cs="Times New Roman"/>
          <w:sz w:val="24"/>
          <w:szCs w:val="24"/>
        </w:rPr>
        <w:t>School of Experimental Psychology, Priory Road, University of Bristol, Bristol, BS8 1TU, United Kingdom</w:t>
      </w:r>
    </w:p>
    <w:p w14:paraId="2762A97B" w14:textId="0571E6FB" w:rsidR="00EE0985" w:rsidRPr="00BB77F8" w:rsidRDefault="00124C21" w:rsidP="00EE0985">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e</w:t>
      </w:r>
      <w:r w:rsidR="00EE0985" w:rsidRPr="00BB77F8">
        <w:rPr>
          <w:rFonts w:ascii="Times New Roman" w:hAnsi="Times New Roman" w:cs="Times New Roman"/>
          <w:sz w:val="24"/>
          <w:szCs w:val="24"/>
        </w:rPr>
        <w:t>MRC Integrative Epidemiology Unit (IEU) at the University of Bristol, Oakfield Grove, Bristol, BS8 2BN, United Kingdom</w:t>
      </w:r>
    </w:p>
    <w:p w14:paraId="0F0CA73B" w14:textId="6DAFEFC1" w:rsidR="00EE0985" w:rsidRPr="00BB77F8" w:rsidRDefault="00124C21" w:rsidP="00EE0985">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f</w:t>
      </w:r>
      <w:r w:rsidR="00EE0985" w:rsidRPr="00BB77F8">
        <w:rPr>
          <w:rFonts w:ascii="Times New Roman" w:hAnsi="Times New Roman" w:cs="Times New Roman"/>
          <w:sz w:val="24"/>
          <w:szCs w:val="24"/>
        </w:rPr>
        <w:t>UK Centre for Tobacco and Alcohol Studies, University of Bristol, United Kingdom</w:t>
      </w:r>
    </w:p>
    <w:p w14:paraId="4164FE43" w14:textId="77777777" w:rsidR="00EE0985" w:rsidRPr="00BB77F8" w:rsidRDefault="00EE0985" w:rsidP="00EE0985">
      <w:pPr>
        <w:spacing w:line="480" w:lineRule="auto"/>
        <w:rPr>
          <w:rFonts w:ascii="Times New Roman" w:hAnsi="Times New Roman" w:cs="Times New Roman"/>
          <w:sz w:val="24"/>
          <w:szCs w:val="24"/>
        </w:rPr>
      </w:pPr>
    </w:p>
    <w:p w14:paraId="5A7B17F8" w14:textId="77777777" w:rsidR="00EE0985" w:rsidRPr="00B42ABC" w:rsidRDefault="00EE0985" w:rsidP="00EE0985">
      <w:pPr>
        <w:spacing w:line="480" w:lineRule="auto"/>
        <w:rPr>
          <w:rFonts w:ascii="Times New Roman" w:hAnsi="Times New Roman" w:cs="Times New Roman"/>
          <w:b/>
          <w:sz w:val="24"/>
          <w:szCs w:val="24"/>
        </w:rPr>
      </w:pPr>
      <w:r w:rsidRPr="00B42ABC">
        <w:rPr>
          <w:rFonts w:ascii="Times New Roman" w:hAnsi="Times New Roman" w:cs="Times New Roman"/>
          <w:b/>
          <w:sz w:val="24"/>
          <w:szCs w:val="24"/>
        </w:rPr>
        <w:t>*Corresponding author:</w:t>
      </w:r>
    </w:p>
    <w:p w14:paraId="3F5377CF" w14:textId="77777777" w:rsidR="00EE0985" w:rsidRPr="00B42ABC" w:rsidRDefault="00EE0985" w:rsidP="00EE0985">
      <w:pPr>
        <w:tabs>
          <w:tab w:val="left" w:pos="1550"/>
        </w:tabs>
        <w:spacing w:after="0" w:line="480" w:lineRule="auto"/>
        <w:rPr>
          <w:rFonts w:ascii="Times New Roman" w:hAnsi="Times New Roman" w:cs="Times New Roman"/>
          <w:sz w:val="24"/>
          <w:szCs w:val="24"/>
        </w:rPr>
      </w:pPr>
      <w:r w:rsidRPr="00B42ABC">
        <w:rPr>
          <w:rFonts w:ascii="Times New Roman" w:hAnsi="Times New Roman" w:cs="Times New Roman"/>
          <w:sz w:val="24"/>
          <w:szCs w:val="24"/>
        </w:rPr>
        <w:t>Liam Mahedy, PhD,</w:t>
      </w:r>
    </w:p>
    <w:p w14:paraId="00281D90" w14:textId="77777777" w:rsidR="00EE0985" w:rsidRPr="00B42ABC" w:rsidRDefault="00EE0985" w:rsidP="00EE0985">
      <w:pPr>
        <w:tabs>
          <w:tab w:val="left" w:pos="1550"/>
        </w:tabs>
        <w:spacing w:after="0" w:line="480" w:lineRule="auto"/>
        <w:rPr>
          <w:rFonts w:ascii="Times New Roman" w:hAnsi="Times New Roman" w:cs="Times New Roman"/>
          <w:sz w:val="24"/>
          <w:szCs w:val="24"/>
        </w:rPr>
      </w:pPr>
      <w:r w:rsidRPr="00B42ABC">
        <w:rPr>
          <w:rFonts w:ascii="Times New Roman" w:hAnsi="Times New Roman" w:cs="Times New Roman"/>
          <w:sz w:val="24"/>
          <w:szCs w:val="24"/>
        </w:rPr>
        <w:t>Oakfield House, Oakfield Grove,</w:t>
      </w:r>
    </w:p>
    <w:p w14:paraId="1E02DD3B" w14:textId="77777777" w:rsidR="00EE0985" w:rsidRPr="00B42ABC" w:rsidRDefault="00EE0985" w:rsidP="00EE0985">
      <w:pPr>
        <w:tabs>
          <w:tab w:val="left" w:pos="1550"/>
        </w:tabs>
        <w:spacing w:after="0" w:line="480" w:lineRule="auto"/>
        <w:rPr>
          <w:rFonts w:ascii="Times New Roman" w:hAnsi="Times New Roman" w:cs="Times New Roman"/>
          <w:sz w:val="24"/>
          <w:szCs w:val="24"/>
        </w:rPr>
      </w:pPr>
      <w:r w:rsidRPr="00B42ABC">
        <w:rPr>
          <w:rFonts w:ascii="Times New Roman" w:hAnsi="Times New Roman" w:cs="Times New Roman"/>
          <w:sz w:val="24"/>
          <w:szCs w:val="24"/>
        </w:rPr>
        <w:t>Bristol, BS2 8BN,</w:t>
      </w:r>
    </w:p>
    <w:p w14:paraId="6EEDD196" w14:textId="77777777" w:rsidR="00EE0985" w:rsidRPr="00B42ABC" w:rsidRDefault="00EE0985" w:rsidP="00EE0985">
      <w:pPr>
        <w:tabs>
          <w:tab w:val="left" w:pos="1550"/>
        </w:tabs>
        <w:spacing w:after="0" w:line="480" w:lineRule="auto"/>
        <w:rPr>
          <w:rFonts w:ascii="Times New Roman" w:hAnsi="Times New Roman" w:cs="Times New Roman"/>
          <w:sz w:val="24"/>
          <w:szCs w:val="24"/>
        </w:rPr>
      </w:pPr>
      <w:r w:rsidRPr="00B42ABC">
        <w:rPr>
          <w:rFonts w:ascii="Times New Roman" w:hAnsi="Times New Roman" w:cs="Times New Roman"/>
          <w:sz w:val="24"/>
          <w:szCs w:val="24"/>
        </w:rPr>
        <w:t>United Kingdom</w:t>
      </w:r>
    </w:p>
    <w:p w14:paraId="348E55B6" w14:textId="77777777" w:rsidR="00EE0985" w:rsidRPr="00B42ABC" w:rsidRDefault="00484770" w:rsidP="00EE0985">
      <w:pPr>
        <w:tabs>
          <w:tab w:val="left" w:pos="1550"/>
        </w:tabs>
        <w:spacing w:after="0" w:line="480" w:lineRule="auto"/>
        <w:rPr>
          <w:rStyle w:val="Hyperlink"/>
          <w:rFonts w:ascii="Times New Roman" w:hAnsi="Times New Roman" w:cs="Times New Roman"/>
          <w:sz w:val="24"/>
          <w:szCs w:val="24"/>
        </w:rPr>
      </w:pPr>
      <w:hyperlink r:id="rId9" w:history="1">
        <w:r w:rsidR="00EE0985" w:rsidRPr="00B42ABC">
          <w:rPr>
            <w:rStyle w:val="Hyperlink"/>
            <w:rFonts w:ascii="Times New Roman" w:hAnsi="Times New Roman" w:cs="Times New Roman"/>
            <w:sz w:val="24"/>
            <w:szCs w:val="24"/>
          </w:rPr>
          <w:t>liam.mahedy@bristol.ac.uk</w:t>
        </w:r>
      </w:hyperlink>
    </w:p>
    <w:p w14:paraId="537B0873" w14:textId="77777777" w:rsidR="00EE0985" w:rsidRPr="00B42ABC" w:rsidRDefault="00EE0985" w:rsidP="00EE0985">
      <w:pPr>
        <w:tabs>
          <w:tab w:val="left" w:pos="1550"/>
        </w:tabs>
        <w:spacing w:after="0" w:line="480" w:lineRule="auto"/>
        <w:rPr>
          <w:rFonts w:ascii="Times New Roman" w:hAnsi="Times New Roman" w:cs="Times New Roman"/>
          <w:sz w:val="24"/>
          <w:szCs w:val="24"/>
        </w:rPr>
      </w:pPr>
      <w:r w:rsidRPr="00B42ABC">
        <w:rPr>
          <w:rStyle w:val="Hyperlink"/>
          <w:rFonts w:ascii="Times New Roman" w:hAnsi="Times New Roman" w:cs="Times New Roman"/>
          <w:sz w:val="24"/>
          <w:szCs w:val="24"/>
        </w:rPr>
        <w:t>tel: +44 (0) 117 33 10111</w:t>
      </w:r>
    </w:p>
    <w:p w14:paraId="31FFFBBF" w14:textId="77777777" w:rsidR="00EE0985" w:rsidRPr="00230361" w:rsidRDefault="00EE0985" w:rsidP="00EE0985">
      <w:pPr>
        <w:spacing w:after="0" w:line="480" w:lineRule="auto"/>
        <w:rPr>
          <w:rFonts w:ascii="Times New Roman" w:hAnsi="Times New Roman" w:cs="Times New Roman"/>
          <w:b/>
          <w:sz w:val="24"/>
          <w:szCs w:val="24"/>
        </w:rPr>
      </w:pPr>
      <w:r w:rsidRPr="00230361">
        <w:rPr>
          <w:rFonts w:ascii="Times New Roman" w:hAnsi="Times New Roman" w:cs="Times New Roman"/>
          <w:b/>
          <w:sz w:val="24"/>
          <w:szCs w:val="24"/>
        </w:rPr>
        <w:lastRenderedPageBreak/>
        <w:t xml:space="preserve">Role of Funding Source </w:t>
      </w:r>
    </w:p>
    <w:p w14:paraId="44698B4E" w14:textId="3E88EE2E" w:rsidR="00EE0985" w:rsidRPr="00230361" w:rsidRDefault="00EE0985" w:rsidP="00EE0985">
      <w:pPr>
        <w:spacing w:after="0" w:line="480" w:lineRule="auto"/>
        <w:rPr>
          <w:rFonts w:ascii="Times New Roman" w:hAnsi="Times New Roman" w:cs="Times New Roman"/>
          <w:sz w:val="24"/>
          <w:szCs w:val="24"/>
          <w:shd w:val="clear" w:color="auto" w:fill="FFFFFF"/>
        </w:rPr>
      </w:pPr>
      <w:r w:rsidRPr="00230361">
        <w:rPr>
          <w:rFonts w:ascii="Times New Roman" w:hAnsi="Times New Roman" w:cs="Times New Roman"/>
          <w:sz w:val="24"/>
          <w:szCs w:val="24"/>
          <w:shd w:val="clear" w:color="auto" w:fill="FFFFFF"/>
        </w:rPr>
        <w:t>The UK Medical Research Council and Wellcome Trust (Grant Ref: 092731) and the University of Bristol provide core support for ALSPAC.</w:t>
      </w:r>
      <w:r w:rsidRPr="00230361">
        <w:rPr>
          <w:rFonts w:ascii="Times New Roman" w:hAnsi="Times New Roman" w:cs="Times New Roman"/>
          <w:sz w:val="24"/>
          <w:szCs w:val="24"/>
        </w:rPr>
        <w:t xml:space="preserve"> </w:t>
      </w:r>
      <w:r w:rsidRPr="00230361">
        <w:rPr>
          <w:rFonts w:ascii="Times New Roman" w:eastAsia="Times New Roman" w:hAnsi="Times New Roman" w:cs="Times New Roman"/>
          <w:sz w:val="24"/>
          <w:szCs w:val="24"/>
          <w:lang w:eastAsia="en-GB"/>
        </w:rPr>
        <w:t xml:space="preserve">The work was undertaken with the support of </w:t>
      </w:r>
      <w:r w:rsidRPr="00230361">
        <w:rPr>
          <w:rFonts w:ascii="Times New Roman" w:hAnsi="Times New Roman" w:cs="Times New Roman"/>
          <w:sz w:val="24"/>
          <w:szCs w:val="24"/>
          <w:shd w:val="clear" w:color="auto" w:fill="FFFFFF"/>
        </w:rPr>
        <w:t xml:space="preserve">the MRC and Alcohol Research UK (MR/L022206/1). </w:t>
      </w:r>
    </w:p>
    <w:p w14:paraId="37E19E03" w14:textId="77777777" w:rsidR="00EE0985" w:rsidRPr="00326F06" w:rsidRDefault="00EE0985" w:rsidP="00B17954">
      <w:pPr>
        <w:spacing w:before="240" w:line="480" w:lineRule="auto"/>
        <w:rPr>
          <w:rFonts w:ascii="Times New Roman" w:hAnsi="Times New Roman" w:cs="Times New Roman"/>
          <w:b/>
          <w:sz w:val="24"/>
          <w:szCs w:val="24"/>
        </w:rPr>
      </w:pPr>
    </w:p>
    <w:p w14:paraId="0B3A00FA" w14:textId="77777777" w:rsidR="00EE0985" w:rsidRDefault="00EE0985" w:rsidP="005E49E4">
      <w:pPr>
        <w:spacing w:before="240"/>
        <w:rPr>
          <w:rFonts w:ascii="Times New Roman" w:hAnsi="Times New Roman" w:cs="Times New Roman"/>
          <w:b/>
          <w:sz w:val="24"/>
          <w:szCs w:val="24"/>
        </w:rPr>
      </w:pPr>
    </w:p>
    <w:p w14:paraId="7061F75D" w14:textId="77777777" w:rsidR="00EE0985" w:rsidRDefault="00EE0985" w:rsidP="005E49E4">
      <w:pPr>
        <w:spacing w:before="240"/>
        <w:rPr>
          <w:rFonts w:ascii="Times New Roman" w:hAnsi="Times New Roman" w:cs="Times New Roman"/>
          <w:b/>
          <w:sz w:val="24"/>
          <w:szCs w:val="24"/>
        </w:rPr>
      </w:pPr>
    </w:p>
    <w:p w14:paraId="786B291A" w14:textId="77777777" w:rsidR="00EE0985" w:rsidRDefault="00EE0985" w:rsidP="005E49E4">
      <w:pPr>
        <w:spacing w:before="240"/>
        <w:rPr>
          <w:rFonts w:ascii="Times New Roman" w:hAnsi="Times New Roman" w:cs="Times New Roman"/>
          <w:b/>
          <w:sz w:val="24"/>
          <w:szCs w:val="24"/>
        </w:rPr>
      </w:pPr>
    </w:p>
    <w:p w14:paraId="08EFA176" w14:textId="77777777" w:rsidR="00EE0985" w:rsidRDefault="00EE0985" w:rsidP="005E49E4">
      <w:pPr>
        <w:spacing w:before="240"/>
        <w:rPr>
          <w:rFonts w:ascii="Times New Roman" w:hAnsi="Times New Roman" w:cs="Times New Roman"/>
          <w:b/>
          <w:sz w:val="24"/>
          <w:szCs w:val="24"/>
        </w:rPr>
      </w:pPr>
    </w:p>
    <w:p w14:paraId="22433019" w14:textId="77777777" w:rsidR="00EE0985" w:rsidRDefault="00EE0985" w:rsidP="005E49E4">
      <w:pPr>
        <w:spacing w:before="240"/>
        <w:rPr>
          <w:rFonts w:ascii="Times New Roman" w:hAnsi="Times New Roman" w:cs="Times New Roman"/>
          <w:b/>
          <w:sz w:val="24"/>
          <w:szCs w:val="24"/>
        </w:rPr>
      </w:pPr>
    </w:p>
    <w:p w14:paraId="08AB282F" w14:textId="77777777" w:rsidR="00EE0985" w:rsidRDefault="00EE0985" w:rsidP="005E49E4">
      <w:pPr>
        <w:spacing w:before="240"/>
        <w:rPr>
          <w:rFonts w:ascii="Times New Roman" w:hAnsi="Times New Roman" w:cs="Times New Roman"/>
          <w:b/>
          <w:sz w:val="24"/>
          <w:szCs w:val="24"/>
        </w:rPr>
      </w:pPr>
    </w:p>
    <w:p w14:paraId="2683A26B" w14:textId="77777777" w:rsidR="00EE0985" w:rsidRDefault="00EE0985" w:rsidP="005E49E4">
      <w:pPr>
        <w:spacing w:before="240"/>
        <w:rPr>
          <w:rFonts w:ascii="Times New Roman" w:hAnsi="Times New Roman" w:cs="Times New Roman"/>
          <w:b/>
          <w:sz w:val="24"/>
          <w:szCs w:val="24"/>
        </w:rPr>
      </w:pPr>
    </w:p>
    <w:p w14:paraId="5D599D7E" w14:textId="77777777" w:rsidR="00EE0985" w:rsidRDefault="00EE0985" w:rsidP="005E49E4">
      <w:pPr>
        <w:spacing w:before="240"/>
        <w:rPr>
          <w:rFonts w:ascii="Times New Roman" w:hAnsi="Times New Roman" w:cs="Times New Roman"/>
          <w:b/>
          <w:sz w:val="24"/>
          <w:szCs w:val="24"/>
        </w:rPr>
      </w:pPr>
    </w:p>
    <w:p w14:paraId="23BE3B65" w14:textId="77777777" w:rsidR="00EE0985" w:rsidRDefault="00EE0985" w:rsidP="005E49E4">
      <w:pPr>
        <w:spacing w:before="240"/>
        <w:rPr>
          <w:rFonts w:ascii="Times New Roman" w:hAnsi="Times New Roman" w:cs="Times New Roman"/>
          <w:b/>
          <w:sz w:val="24"/>
          <w:szCs w:val="24"/>
        </w:rPr>
      </w:pPr>
    </w:p>
    <w:p w14:paraId="4A880004" w14:textId="77777777" w:rsidR="00EE0985" w:rsidRDefault="00EE0985" w:rsidP="005E49E4">
      <w:pPr>
        <w:spacing w:before="240"/>
        <w:rPr>
          <w:rFonts w:ascii="Times New Roman" w:hAnsi="Times New Roman" w:cs="Times New Roman"/>
          <w:b/>
          <w:sz w:val="24"/>
          <w:szCs w:val="24"/>
        </w:rPr>
      </w:pPr>
    </w:p>
    <w:p w14:paraId="36BC8FC1" w14:textId="77777777" w:rsidR="00EE0985" w:rsidRDefault="00EE0985" w:rsidP="005E49E4">
      <w:pPr>
        <w:spacing w:before="240"/>
        <w:rPr>
          <w:rFonts w:ascii="Times New Roman" w:hAnsi="Times New Roman" w:cs="Times New Roman"/>
          <w:b/>
          <w:sz w:val="24"/>
          <w:szCs w:val="24"/>
        </w:rPr>
      </w:pPr>
    </w:p>
    <w:p w14:paraId="75CED1E0" w14:textId="77777777" w:rsidR="00EE0985" w:rsidRDefault="00EE0985" w:rsidP="005E49E4">
      <w:pPr>
        <w:spacing w:before="240"/>
        <w:rPr>
          <w:rFonts w:ascii="Times New Roman" w:hAnsi="Times New Roman" w:cs="Times New Roman"/>
          <w:b/>
          <w:sz w:val="24"/>
          <w:szCs w:val="24"/>
        </w:rPr>
      </w:pPr>
    </w:p>
    <w:p w14:paraId="735EE074" w14:textId="77777777" w:rsidR="00EE0985" w:rsidRDefault="00EE0985" w:rsidP="005E49E4">
      <w:pPr>
        <w:spacing w:before="240"/>
        <w:rPr>
          <w:rFonts w:ascii="Times New Roman" w:hAnsi="Times New Roman" w:cs="Times New Roman"/>
          <w:b/>
          <w:sz w:val="24"/>
          <w:szCs w:val="24"/>
        </w:rPr>
      </w:pPr>
    </w:p>
    <w:p w14:paraId="561B8186" w14:textId="77777777" w:rsidR="00EE0985" w:rsidRDefault="00EE0985" w:rsidP="005E49E4">
      <w:pPr>
        <w:spacing w:before="240"/>
        <w:rPr>
          <w:rFonts w:ascii="Times New Roman" w:hAnsi="Times New Roman" w:cs="Times New Roman"/>
          <w:b/>
          <w:sz w:val="24"/>
          <w:szCs w:val="24"/>
        </w:rPr>
      </w:pPr>
    </w:p>
    <w:p w14:paraId="28B8CF09" w14:textId="3171B814" w:rsidR="00EE0985" w:rsidRDefault="00E22608" w:rsidP="005E49E4">
      <w:pPr>
        <w:spacing w:before="240"/>
        <w:rPr>
          <w:rFonts w:ascii="Times New Roman" w:hAnsi="Times New Roman" w:cs="Times New Roman"/>
          <w:b/>
          <w:sz w:val="24"/>
          <w:szCs w:val="24"/>
        </w:rPr>
      </w:pPr>
      <w:r>
        <w:rPr>
          <w:rFonts w:ascii="Times New Roman" w:hAnsi="Times New Roman" w:cs="Times New Roman"/>
          <w:b/>
          <w:sz w:val="24"/>
          <w:szCs w:val="24"/>
        </w:rPr>
        <w:t xml:space="preserve"> </w:t>
      </w:r>
    </w:p>
    <w:p w14:paraId="19A332E1" w14:textId="77777777" w:rsidR="00EE0985" w:rsidRDefault="00EE0985" w:rsidP="005E49E4">
      <w:pPr>
        <w:spacing w:before="240"/>
        <w:rPr>
          <w:rFonts w:ascii="Times New Roman" w:hAnsi="Times New Roman" w:cs="Times New Roman"/>
          <w:b/>
          <w:sz w:val="24"/>
          <w:szCs w:val="24"/>
        </w:rPr>
      </w:pPr>
    </w:p>
    <w:p w14:paraId="53CBD817" w14:textId="77777777" w:rsidR="00EE0985" w:rsidRDefault="00EE0985" w:rsidP="005E49E4">
      <w:pPr>
        <w:spacing w:before="240"/>
        <w:rPr>
          <w:rFonts w:ascii="Times New Roman" w:hAnsi="Times New Roman" w:cs="Times New Roman"/>
          <w:b/>
          <w:sz w:val="24"/>
          <w:szCs w:val="24"/>
        </w:rPr>
      </w:pPr>
    </w:p>
    <w:p w14:paraId="5A579E6B" w14:textId="696DD4BE" w:rsidR="00EE0985" w:rsidRDefault="00EE0985" w:rsidP="005E49E4">
      <w:pPr>
        <w:spacing w:before="240"/>
        <w:rPr>
          <w:rFonts w:ascii="Times New Roman" w:hAnsi="Times New Roman" w:cs="Times New Roman"/>
          <w:b/>
          <w:sz w:val="24"/>
          <w:szCs w:val="24"/>
        </w:rPr>
      </w:pPr>
    </w:p>
    <w:p w14:paraId="35875E48" w14:textId="29FEF8BE" w:rsidR="001B347A" w:rsidRDefault="001B347A" w:rsidP="005E49E4">
      <w:pPr>
        <w:spacing w:before="240"/>
        <w:rPr>
          <w:rFonts w:ascii="Times New Roman" w:hAnsi="Times New Roman" w:cs="Times New Roman"/>
          <w:b/>
          <w:sz w:val="24"/>
          <w:szCs w:val="24"/>
        </w:rPr>
      </w:pPr>
    </w:p>
    <w:p w14:paraId="35994D6B" w14:textId="77777777" w:rsidR="001B347A" w:rsidRDefault="001B347A" w:rsidP="005E49E4">
      <w:pPr>
        <w:spacing w:before="240"/>
        <w:rPr>
          <w:rFonts w:ascii="Times New Roman" w:hAnsi="Times New Roman" w:cs="Times New Roman"/>
          <w:b/>
          <w:sz w:val="24"/>
          <w:szCs w:val="24"/>
        </w:rPr>
      </w:pPr>
    </w:p>
    <w:p w14:paraId="3E6EA6BA" w14:textId="77777777" w:rsidR="001F73DF" w:rsidRDefault="001F73DF" w:rsidP="001F73DF">
      <w:pPr>
        <w:spacing w:before="240"/>
        <w:rPr>
          <w:rFonts w:ascii="Times New Roman" w:hAnsi="Times New Roman" w:cs="Times New Roman"/>
          <w:b/>
          <w:sz w:val="24"/>
          <w:szCs w:val="24"/>
        </w:rPr>
      </w:pPr>
      <w:r>
        <w:rPr>
          <w:rFonts w:ascii="Times New Roman" w:hAnsi="Times New Roman" w:cs="Times New Roman"/>
          <w:b/>
          <w:sz w:val="24"/>
          <w:szCs w:val="24"/>
        </w:rPr>
        <w:lastRenderedPageBreak/>
        <w:t>ABSTRACT</w:t>
      </w:r>
    </w:p>
    <w:p w14:paraId="35FF0AA2" w14:textId="3A9A3F2A" w:rsidR="001F73DF" w:rsidRPr="004F64D4" w:rsidRDefault="00A86DBF" w:rsidP="001F73DF">
      <w:pPr>
        <w:spacing w:before="240" w:line="480" w:lineRule="auto"/>
        <w:rPr>
          <w:rFonts w:ascii="Times New Roman" w:hAnsi="Times New Roman" w:cs="Times New Roman"/>
          <w:sz w:val="24"/>
          <w:szCs w:val="24"/>
        </w:rPr>
      </w:pPr>
      <w:r>
        <w:rPr>
          <w:rFonts w:ascii="Times New Roman" w:hAnsi="Times New Roman" w:cs="Times New Roman"/>
          <w:i/>
          <w:sz w:val="24"/>
          <w:szCs w:val="24"/>
        </w:rPr>
        <w:t>Aims</w:t>
      </w:r>
      <w:r w:rsidR="001F73DF" w:rsidRPr="004F64D4">
        <w:rPr>
          <w:rFonts w:ascii="Times New Roman" w:hAnsi="Times New Roman" w:cs="Times New Roman"/>
          <w:sz w:val="24"/>
          <w:szCs w:val="24"/>
        </w:rPr>
        <w:t xml:space="preserve">. </w:t>
      </w:r>
      <w:r w:rsidR="005053AA">
        <w:rPr>
          <w:rFonts w:ascii="Times New Roman" w:hAnsi="Times New Roman" w:cs="Times New Roman"/>
          <w:sz w:val="24"/>
          <w:szCs w:val="24"/>
        </w:rPr>
        <w:t xml:space="preserve">The </w:t>
      </w:r>
      <w:r w:rsidR="0002453D">
        <w:rPr>
          <w:rFonts w:ascii="Times New Roman" w:hAnsi="Times New Roman" w:cs="Times New Roman"/>
          <w:sz w:val="24"/>
          <w:szCs w:val="24"/>
        </w:rPr>
        <w:t>study aimed</w:t>
      </w:r>
      <w:r w:rsidR="005053AA">
        <w:rPr>
          <w:rFonts w:ascii="Times New Roman" w:hAnsi="Times New Roman" w:cs="Times New Roman"/>
          <w:sz w:val="24"/>
          <w:szCs w:val="24"/>
        </w:rPr>
        <w:t xml:space="preserve"> to examine the association between </w:t>
      </w:r>
      <w:r w:rsidR="0002453D">
        <w:rPr>
          <w:rFonts w:ascii="Times New Roman" w:hAnsi="Times New Roman" w:cs="Times New Roman"/>
          <w:sz w:val="24"/>
          <w:szCs w:val="24"/>
        </w:rPr>
        <w:t xml:space="preserve">adolescent </w:t>
      </w:r>
      <w:r w:rsidR="001F73DF" w:rsidRPr="004F64D4">
        <w:rPr>
          <w:rFonts w:ascii="Times New Roman" w:hAnsi="Times New Roman" w:cs="Times New Roman"/>
          <w:sz w:val="24"/>
          <w:szCs w:val="24"/>
        </w:rPr>
        <w:t>alcohol use and working memory</w:t>
      </w:r>
      <w:r w:rsidR="00A51B65">
        <w:rPr>
          <w:rFonts w:ascii="Times New Roman" w:hAnsi="Times New Roman" w:cs="Times New Roman"/>
          <w:sz w:val="24"/>
          <w:szCs w:val="24"/>
        </w:rPr>
        <w:t xml:space="preserve"> (WM)</w:t>
      </w:r>
      <w:r w:rsidR="005053AA">
        <w:rPr>
          <w:rFonts w:ascii="Times New Roman" w:hAnsi="Times New Roman" w:cs="Times New Roman"/>
          <w:sz w:val="24"/>
          <w:szCs w:val="24"/>
        </w:rPr>
        <w:t xml:space="preserve"> using a </w:t>
      </w:r>
      <w:r w:rsidR="001F73DF">
        <w:rPr>
          <w:rFonts w:ascii="Times New Roman" w:hAnsi="Times New Roman" w:cs="Times New Roman"/>
          <w:sz w:val="24"/>
          <w:szCs w:val="24"/>
        </w:rPr>
        <w:t>large population sample</w:t>
      </w:r>
      <w:r w:rsidR="001F73DF" w:rsidRPr="004F64D4">
        <w:rPr>
          <w:rFonts w:ascii="Times New Roman" w:hAnsi="Times New Roman" w:cs="Times New Roman"/>
          <w:sz w:val="24"/>
          <w:szCs w:val="24"/>
        </w:rPr>
        <w:t xml:space="preserve">. </w:t>
      </w:r>
    </w:p>
    <w:p w14:paraId="1447B342" w14:textId="1E70153B" w:rsidR="001F73DF" w:rsidRPr="004F64D4" w:rsidRDefault="001F73DF" w:rsidP="001F73DF">
      <w:pPr>
        <w:spacing w:before="240" w:line="480" w:lineRule="auto"/>
        <w:rPr>
          <w:rFonts w:ascii="Times New Roman" w:hAnsi="Times New Roman" w:cs="Times New Roman"/>
          <w:sz w:val="24"/>
          <w:szCs w:val="24"/>
        </w:rPr>
      </w:pPr>
      <w:r w:rsidRPr="004F64D4">
        <w:rPr>
          <w:rFonts w:ascii="Times New Roman" w:hAnsi="Times New Roman" w:cs="Times New Roman"/>
          <w:i/>
          <w:sz w:val="24"/>
          <w:szCs w:val="24"/>
        </w:rPr>
        <w:t>Method</w:t>
      </w:r>
      <w:r w:rsidR="00A01D8B">
        <w:rPr>
          <w:rFonts w:ascii="Times New Roman" w:hAnsi="Times New Roman" w:cs="Times New Roman"/>
          <w:i/>
          <w:sz w:val="24"/>
          <w:szCs w:val="24"/>
        </w:rPr>
        <w:t>s</w:t>
      </w:r>
      <w:r w:rsidRPr="004F64D4">
        <w:rPr>
          <w:rFonts w:ascii="Times New Roman" w:hAnsi="Times New Roman" w:cs="Times New Roman"/>
          <w:sz w:val="24"/>
          <w:szCs w:val="24"/>
        </w:rPr>
        <w:t xml:space="preserve">. </w:t>
      </w:r>
      <w:r w:rsidR="005053AA">
        <w:rPr>
          <w:rFonts w:ascii="Times New Roman" w:hAnsi="Times New Roman" w:cs="Times New Roman"/>
          <w:sz w:val="24"/>
          <w:szCs w:val="24"/>
        </w:rPr>
        <w:t>D</w:t>
      </w:r>
      <w:r w:rsidRPr="004F64D4">
        <w:rPr>
          <w:rFonts w:ascii="Times New Roman" w:hAnsi="Times New Roman" w:cs="Times New Roman"/>
          <w:sz w:val="24"/>
          <w:szCs w:val="24"/>
        </w:rPr>
        <w:t xml:space="preserve">ata from the Avon Longitudinal Study </w:t>
      </w:r>
      <w:r w:rsidR="001347C4">
        <w:rPr>
          <w:rFonts w:ascii="Times New Roman" w:hAnsi="Times New Roman" w:cs="Times New Roman"/>
          <w:sz w:val="24"/>
          <w:szCs w:val="24"/>
        </w:rPr>
        <w:t>of Parents and Children</w:t>
      </w:r>
      <w:r w:rsidRPr="004F64D4">
        <w:rPr>
          <w:rFonts w:ascii="Times New Roman" w:hAnsi="Times New Roman" w:cs="Times New Roman"/>
          <w:sz w:val="24"/>
          <w:szCs w:val="24"/>
        </w:rPr>
        <w:t xml:space="preserve"> </w:t>
      </w:r>
      <w:r w:rsidR="005053AA">
        <w:rPr>
          <w:rFonts w:ascii="Times New Roman" w:hAnsi="Times New Roman" w:cs="Times New Roman"/>
          <w:sz w:val="24"/>
          <w:szCs w:val="24"/>
        </w:rPr>
        <w:t xml:space="preserve">was used </w:t>
      </w:r>
      <w:r w:rsidRPr="004F64D4">
        <w:rPr>
          <w:rFonts w:ascii="Times New Roman" w:hAnsi="Times New Roman" w:cs="Times New Roman"/>
          <w:sz w:val="24"/>
          <w:szCs w:val="24"/>
        </w:rPr>
        <w:t>to investigate the association between alcohol use</w:t>
      </w:r>
      <w:r>
        <w:rPr>
          <w:rFonts w:ascii="Times New Roman" w:hAnsi="Times New Roman" w:cs="Times New Roman"/>
          <w:sz w:val="24"/>
          <w:szCs w:val="24"/>
        </w:rPr>
        <w:t xml:space="preserve"> </w:t>
      </w:r>
      <w:r w:rsidRPr="004F64D4">
        <w:rPr>
          <w:rFonts w:ascii="Times New Roman" w:hAnsi="Times New Roman" w:cs="Times New Roman"/>
          <w:sz w:val="24"/>
          <w:szCs w:val="24"/>
        </w:rPr>
        <w:t xml:space="preserve">at age 15 </w:t>
      </w:r>
      <w:r>
        <w:rPr>
          <w:rFonts w:ascii="Times New Roman" w:hAnsi="Times New Roman" w:cs="Times New Roman"/>
          <w:sz w:val="24"/>
          <w:szCs w:val="24"/>
        </w:rPr>
        <w:t xml:space="preserve">years </w:t>
      </w:r>
      <w:r w:rsidRPr="004F64D4">
        <w:rPr>
          <w:rFonts w:ascii="Times New Roman" w:hAnsi="Times New Roman" w:cs="Times New Roman"/>
          <w:sz w:val="24"/>
          <w:szCs w:val="24"/>
        </w:rPr>
        <w:t xml:space="preserve">and </w:t>
      </w:r>
      <w:r>
        <w:rPr>
          <w:rFonts w:ascii="Times New Roman" w:hAnsi="Times New Roman" w:cs="Times New Roman"/>
          <w:sz w:val="24"/>
          <w:szCs w:val="24"/>
        </w:rPr>
        <w:t>WM</w:t>
      </w:r>
      <w:r w:rsidRPr="004F64D4">
        <w:rPr>
          <w:rFonts w:ascii="Times New Roman" w:hAnsi="Times New Roman" w:cs="Times New Roman"/>
          <w:sz w:val="24"/>
          <w:szCs w:val="24"/>
        </w:rPr>
        <w:t xml:space="preserve"> </w:t>
      </w:r>
      <w:r>
        <w:rPr>
          <w:rFonts w:ascii="Times New Roman" w:hAnsi="Times New Roman" w:cs="Times New Roman"/>
          <w:sz w:val="24"/>
          <w:szCs w:val="24"/>
        </w:rPr>
        <w:t>three years later, assessed using the N-back task</w:t>
      </w:r>
      <w:r w:rsidR="0060597D">
        <w:rPr>
          <w:rFonts w:ascii="Times New Roman" w:hAnsi="Times New Roman" w:cs="Times New Roman"/>
          <w:sz w:val="24"/>
          <w:szCs w:val="24"/>
        </w:rPr>
        <w:t xml:space="preserve"> (N~3,300)</w:t>
      </w:r>
      <w:r w:rsidR="00553CD3">
        <w:rPr>
          <w:rFonts w:ascii="Times New Roman" w:hAnsi="Times New Roman" w:cs="Times New Roman"/>
          <w:sz w:val="24"/>
          <w:szCs w:val="24"/>
        </w:rPr>
        <w:t xml:space="preserve">. A three-category </w:t>
      </w:r>
      <w:r>
        <w:rPr>
          <w:rFonts w:ascii="Times New Roman" w:hAnsi="Times New Roman" w:cs="Times New Roman"/>
          <w:sz w:val="24"/>
          <w:szCs w:val="24"/>
        </w:rPr>
        <w:t>ordinal variable capture</w:t>
      </w:r>
      <w:r w:rsidR="00F17A8C">
        <w:rPr>
          <w:rFonts w:ascii="Times New Roman" w:hAnsi="Times New Roman" w:cs="Times New Roman"/>
          <w:sz w:val="24"/>
          <w:szCs w:val="24"/>
        </w:rPr>
        <w:t>d</w:t>
      </w:r>
      <w:r>
        <w:rPr>
          <w:rFonts w:ascii="Times New Roman" w:hAnsi="Times New Roman" w:cs="Times New Roman"/>
          <w:sz w:val="24"/>
          <w:szCs w:val="24"/>
        </w:rPr>
        <w:t xml:space="preserve"> mutually exclusive alcohol groupings ranging in order of severity (i.e., low alcohol users, frequent</w:t>
      </w:r>
      <w:r w:rsidR="00553CD3">
        <w:rPr>
          <w:rFonts w:ascii="Times New Roman" w:hAnsi="Times New Roman" w:cs="Times New Roman"/>
          <w:sz w:val="24"/>
          <w:szCs w:val="24"/>
        </w:rPr>
        <w:t xml:space="preserve"> drinkers</w:t>
      </w:r>
      <w:r w:rsidR="00A06D9F">
        <w:rPr>
          <w:rFonts w:ascii="Times New Roman" w:hAnsi="Times New Roman" w:cs="Times New Roman"/>
          <w:sz w:val="24"/>
          <w:szCs w:val="24"/>
        </w:rPr>
        <w:t>, and frequent/</w:t>
      </w:r>
      <w:r>
        <w:rPr>
          <w:rFonts w:ascii="Times New Roman" w:hAnsi="Times New Roman" w:cs="Times New Roman"/>
          <w:sz w:val="24"/>
          <w:szCs w:val="24"/>
        </w:rPr>
        <w:t xml:space="preserve">binge drinkers). </w:t>
      </w:r>
      <w:r w:rsidRPr="004F64D4">
        <w:rPr>
          <w:rFonts w:ascii="Times New Roman" w:hAnsi="Times New Roman" w:cs="Times New Roman"/>
          <w:sz w:val="24"/>
          <w:szCs w:val="24"/>
        </w:rPr>
        <w:t xml:space="preserve">Differential dropout was accounted for using multiple imputation and inverse probability weighting. Adjustment was made for </w:t>
      </w:r>
      <w:r>
        <w:rPr>
          <w:rFonts w:ascii="Times New Roman" w:hAnsi="Times New Roman" w:cs="Times New Roman"/>
          <w:sz w:val="24"/>
          <w:szCs w:val="24"/>
        </w:rPr>
        <w:t xml:space="preserve">potential </w:t>
      </w:r>
      <w:r w:rsidRPr="004F64D4">
        <w:rPr>
          <w:rFonts w:ascii="Times New Roman" w:hAnsi="Times New Roman" w:cs="Times New Roman"/>
          <w:sz w:val="24"/>
          <w:szCs w:val="24"/>
        </w:rPr>
        <w:t>confounders</w:t>
      </w:r>
      <w:r>
        <w:rPr>
          <w:rFonts w:ascii="Times New Roman" w:hAnsi="Times New Roman" w:cs="Times New Roman"/>
          <w:sz w:val="24"/>
          <w:szCs w:val="24"/>
        </w:rPr>
        <w:t>.</w:t>
      </w:r>
      <w:r w:rsidRPr="004F64D4">
        <w:rPr>
          <w:rFonts w:ascii="Times New Roman" w:hAnsi="Times New Roman" w:cs="Times New Roman"/>
          <w:sz w:val="24"/>
          <w:szCs w:val="24"/>
        </w:rPr>
        <w:t xml:space="preserve"> </w:t>
      </w:r>
    </w:p>
    <w:p w14:paraId="1DB4AC9E" w14:textId="0A71BC5F" w:rsidR="001F73DF" w:rsidRPr="004F64D4" w:rsidRDefault="001F73DF" w:rsidP="001F73DF">
      <w:pPr>
        <w:spacing w:before="240" w:line="480" w:lineRule="auto"/>
        <w:rPr>
          <w:rFonts w:ascii="Times New Roman" w:hAnsi="Times New Roman" w:cs="Times New Roman"/>
          <w:sz w:val="24"/>
          <w:szCs w:val="24"/>
        </w:rPr>
      </w:pPr>
      <w:r w:rsidRPr="004F64D4">
        <w:rPr>
          <w:rFonts w:ascii="Times New Roman" w:hAnsi="Times New Roman" w:cs="Times New Roman"/>
          <w:i/>
          <w:sz w:val="24"/>
          <w:szCs w:val="24"/>
        </w:rPr>
        <w:t>Results</w:t>
      </w:r>
      <w:r w:rsidRPr="004F64D4">
        <w:rPr>
          <w:rFonts w:ascii="Times New Roman" w:hAnsi="Times New Roman" w:cs="Times New Roman"/>
          <w:sz w:val="24"/>
          <w:szCs w:val="24"/>
        </w:rPr>
        <w:t>.</w:t>
      </w:r>
      <w:r>
        <w:rPr>
          <w:rFonts w:ascii="Times New Roman" w:hAnsi="Times New Roman" w:cs="Times New Roman"/>
          <w:sz w:val="24"/>
          <w:szCs w:val="24"/>
        </w:rPr>
        <w:t xml:space="preserve"> There</w:t>
      </w:r>
      <w:r w:rsidRPr="004F64D4">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4F64D4">
        <w:rPr>
          <w:rFonts w:ascii="Times New Roman" w:hAnsi="Times New Roman" w:cs="Times New Roman"/>
          <w:sz w:val="24"/>
          <w:szCs w:val="24"/>
        </w:rPr>
        <w:t xml:space="preserve">evidence of an association between </w:t>
      </w:r>
      <w:r w:rsidR="00553CD3">
        <w:rPr>
          <w:rFonts w:ascii="Times New Roman" w:hAnsi="Times New Roman" w:cs="Times New Roman"/>
          <w:sz w:val="24"/>
          <w:szCs w:val="24"/>
        </w:rPr>
        <w:t>frequent/</w:t>
      </w:r>
      <w:r w:rsidR="00FC3EBE">
        <w:rPr>
          <w:rFonts w:ascii="Times New Roman" w:hAnsi="Times New Roman" w:cs="Times New Roman"/>
          <w:sz w:val="24"/>
          <w:szCs w:val="24"/>
        </w:rPr>
        <w:t xml:space="preserve">binge drinking (compared to the low alcohol group) and poorer </w:t>
      </w:r>
      <w:r w:rsidR="00047057">
        <w:rPr>
          <w:rFonts w:ascii="Times New Roman" w:hAnsi="Times New Roman" w:cs="Times New Roman"/>
          <w:sz w:val="24"/>
          <w:szCs w:val="24"/>
        </w:rPr>
        <w:t xml:space="preserve">performance on the </w:t>
      </w:r>
      <w:r w:rsidR="00E712C7">
        <w:rPr>
          <w:rFonts w:ascii="Times New Roman" w:hAnsi="Times New Roman" w:cs="Times New Roman"/>
          <w:sz w:val="24"/>
          <w:szCs w:val="24"/>
        </w:rPr>
        <w:t>3</w:t>
      </w:r>
      <w:r w:rsidR="00047057">
        <w:rPr>
          <w:rFonts w:ascii="Times New Roman" w:hAnsi="Times New Roman" w:cs="Times New Roman"/>
          <w:sz w:val="24"/>
          <w:szCs w:val="24"/>
        </w:rPr>
        <w:t>-back task</w:t>
      </w:r>
      <w:r w:rsidR="00FC3EBE">
        <w:rPr>
          <w:rFonts w:ascii="Times New Roman" w:hAnsi="Times New Roman" w:cs="Times New Roman"/>
          <w:sz w:val="24"/>
          <w:szCs w:val="24"/>
        </w:rPr>
        <w:t xml:space="preserve"> after adjusting for sociodemographic confounding variables</w:t>
      </w:r>
      <w:r w:rsidR="00966654">
        <w:rPr>
          <w:rFonts w:ascii="Times New Roman" w:hAnsi="Times New Roman" w:cs="Times New Roman"/>
          <w:sz w:val="24"/>
          <w:szCs w:val="24"/>
        </w:rPr>
        <w:t>,</w:t>
      </w:r>
      <w:r w:rsidR="00FC3EBE">
        <w:rPr>
          <w:rFonts w:ascii="Times New Roman" w:hAnsi="Times New Roman" w:cs="Times New Roman"/>
          <w:sz w:val="24"/>
          <w:szCs w:val="24"/>
        </w:rPr>
        <w:t xml:space="preserve"> </w:t>
      </w:r>
      <w:r w:rsidR="00A51B65">
        <w:rPr>
          <w:rFonts w:ascii="Times New Roman" w:hAnsi="Times New Roman" w:cs="Times New Roman"/>
          <w:sz w:val="24"/>
          <w:szCs w:val="24"/>
        </w:rPr>
        <w:t>WM</w:t>
      </w:r>
      <w:r w:rsidR="00FC3EBE">
        <w:rPr>
          <w:rFonts w:ascii="Times New Roman" w:hAnsi="Times New Roman" w:cs="Times New Roman"/>
          <w:sz w:val="24"/>
          <w:szCs w:val="24"/>
        </w:rPr>
        <w:t xml:space="preserve"> at age 11 years, a</w:t>
      </w:r>
      <w:r w:rsidR="0091732F">
        <w:rPr>
          <w:rFonts w:ascii="Times New Roman" w:hAnsi="Times New Roman" w:cs="Times New Roman"/>
          <w:sz w:val="24"/>
          <w:szCs w:val="24"/>
        </w:rPr>
        <w:t>nd experience of a head injury/</w:t>
      </w:r>
      <w:r w:rsidR="00FC3EBE">
        <w:rPr>
          <w:rFonts w:ascii="Times New Roman" w:hAnsi="Times New Roman" w:cs="Times New Roman"/>
          <w:sz w:val="24"/>
          <w:szCs w:val="24"/>
        </w:rPr>
        <w:t>unconsciousness before age 11 years</w:t>
      </w:r>
      <w:r w:rsidR="005C79FC">
        <w:rPr>
          <w:rFonts w:ascii="Times New Roman" w:hAnsi="Times New Roman" w:cs="Times New Roman"/>
          <w:sz w:val="24"/>
          <w:szCs w:val="24"/>
        </w:rPr>
        <w:t xml:space="preserve"> </w:t>
      </w:r>
      <w:r w:rsidR="0069470C" w:rsidRPr="004F64D4">
        <w:rPr>
          <w:rFonts w:ascii="Times New Roman" w:hAnsi="Times New Roman" w:cs="Times New Roman"/>
          <w:sz w:val="24"/>
          <w:szCs w:val="24"/>
        </w:rPr>
        <w:t>(</w:t>
      </w:r>
      <w:r w:rsidR="0069470C">
        <w:rPr>
          <w:rFonts w:ascii="Times New Roman" w:hAnsi="Times New Roman" w:cs="Times New Roman"/>
          <w:sz w:val="24"/>
          <w:szCs w:val="24"/>
        </w:rPr>
        <w:t>β=</w:t>
      </w:r>
      <w:r w:rsidR="0069470C" w:rsidRPr="004F64D4">
        <w:rPr>
          <w:rFonts w:ascii="Times New Roman" w:hAnsi="Times New Roman" w:cs="Times New Roman"/>
          <w:sz w:val="24"/>
          <w:szCs w:val="24"/>
        </w:rPr>
        <w:t>-.</w:t>
      </w:r>
      <w:r w:rsidR="0069470C">
        <w:rPr>
          <w:rFonts w:ascii="Times New Roman" w:hAnsi="Times New Roman" w:cs="Times New Roman"/>
          <w:sz w:val="24"/>
          <w:szCs w:val="24"/>
        </w:rPr>
        <w:t>23</w:t>
      </w:r>
      <w:r w:rsidR="0069470C" w:rsidRPr="004F64D4">
        <w:rPr>
          <w:rFonts w:ascii="Times New Roman" w:hAnsi="Times New Roman" w:cs="Times New Roman"/>
          <w:sz w:val="24"/>
          <w:szCs w:val="24"/>
        </w:rPr>
        <w:t>, 95% CI</w:t>
      </w:r>
      <w:r w:rsidR="0069470C">
        <w:rPr>
          <w:rFonts w:ascii="Times New Roman" w:hAnsi="Times New Roman" w:cs="Times New Roman"/>
          <w:sz w:val="24"/>
          <w:szCs w:val="24"/>
        </w:rPr>
        <w:t>=</w:t>
      </w:r>
      <w:r w:rsidR="0069470C" w:rsidRPr="004F64D4">
        <w:rPr>
          <w:rFonts w:ascii="Times New Roman" w:hAnsi="Times New Roman" w:cs="Times New Roman"/>
          <w:sz w:val="24"/>
          <w:szCs w:val="24"/>
        </w:rPr>
        <w:t>-.</w:t>
      </w:r>
      <w:r w:rsidR="0069470C">
        <w:rPr>
          <w:rFonts w:ascii="Times New Roman" w:hAnsi="Times New Roman" w:cs="Times New Roman"/>
          <w:sz w:val="24"/>
          <w:szCs w:val="24"/>
        </w:rPr>
        <w:t>37 to</w:t>
      </w:r>
      <w:r w:rsidR="0069470C" w:rsidRPr="004F64D4">
        <w:rPr>
          <w:rFonts w:ascii="Times New Roman" w:hAnsi="Times New Roman" w:cs="Times New Roman"/>
          <w:sz w:val="24"/>
          <w:szCs w:val="24"/>
        </w:rPr>
        <w:t xml:space="preserve"> </w:t>
      </w:r>
      <w:r w:rsidR="0069470C">
        <w:rPr>
          <w:rFonts w:ascii="Times New Roman" w:hAnsi="Times New Roman" w:cs="Times New Roman"/>
          <w:sz w:val="24"/>
          <w:szCs w:val="24"/>
        </w:rPr>
        <w:t>-.09,</w:t>
      </w:r>
      <w:r w:rsidR="0069470C" w:rsidRPr="004F64D4">
        <w:rPr>
          <w:rFonts w:ascii="Times New Roman" w:hAnsi="Times New Roman" w:cs="Times New Roman"/>
          <w:sz w:val="24"/>
          <w:szCs w:val="24"/>
        </w:rPr>
        <w:t xml:space="preserve"> </w:t>
      </w:r>
      <w:r w:rsidR="0069470C" w:rsidRPr="004F64D4">
        <w:rPr>
          <w:rFonts w:ascii="Times New Roman" w:hAnsi="Times New Roman" w:cs="Times New Roman"/>
          <w:i/>
          <w:sz w:val="24"/>
          <w:szCs w:val="24"/>
        </w:rPr>
        <w:t>p</w:t>
      </w:r>
      <w:r w:rsidR="0069470C">
        <w:rPr>
          <w:rFonts w:ascii="Times New Roman" w:hAnsi="Times New Roman" w:cs="Times New Roman"/>
          <w:sz w:val="24"/>
          <w:szCs w:val="24"/>
        </w:rPr>
        <w:t>=</w:t>
      </w:r>
      <w:r w:rsidR="0069470C" w:rsidRPr="004F64D4">
        <w:rPr>
          <w:rFonts w:ascii="Times New Roman" w:hAnsi="Times New Roman" w:cs="Times New Roman"/>
          <w:sz w:val="24"/>
          <w:szCs w:val="24"/>
        </w:rPr>
        <w:t>.</w:t>
      </w:r>
      <w:r w:rsidR="0069470C">
        <w:rPr>
          <w:rFonts w:ascii="Times New Roman" w:hAnsi="Times New Roman" w:cs="Times New Roman"/>
          <w:sz w:val="24"/>
          <w:szCs w:val="24"/>
        </w:rPr>
        <w:t>001</w:t>
      </w:r>
      <w:r w:rsidR="0069470C" w:rsidRPr="004F64D4">
        <w:rPr>
          <w:rFonts w:ascii="Times New Roman" w:hAnsi="Times New Roman" w:cs="Times New Roman"/>
          <w:sz w:val="24"/>
          <w:szCs w:val="24"/>
        </w:rPr>
        <w:t>)</w:t>
      </w:r>
      <w:r w:rsidR="0069470C">
        <w:rPr>
          <w:rFonts w:ascii="Times New Roman" w:hAnsi="Times New Roman" w:cs="Times New Roman"/>
          <w:sz w:val="24"/>
          <w:szCs w:val="24"/>
        </w:rPr>
        <w:t xml:space="preserve">. However, this association was attenuated </w:t>
      </w:r>
      <w:r w:rsidR="0069470C" w:rsidRPr="004F64D4">
        <w:rPr>
          <w:rFonts w:ascii="Times New Roman" w:hAnsi="Times New Roman" w:cs="Times New Roman"/>
          <w:sz w:val="24"/>
          <w:szCs w:val="24"/>
        </w:rPr>
        <w:t>(</w:t>
      </w:r>
      <w:r w:rsidR="0069470C" w:rsidRPr="003B3BD0">
        <w:rPr>
          <w:rFonts w:ascii="Times New Roman" w:hAnsi="Times New Roman" w:cs="Times New Roman"/>
          <w:sz w:val="24"/>
          <w:szCs w:val="24"/>
        </w:rPr>
        <w:t>β</w:t>
      </w:r>
      <w:r w:rsidR="0069470C">
        <w:rPr>
          <w:rFonts w:ascii="Times New Roman" w:hAnsi="Times New Roman" w:cs="Times New Roman"/>
          <w:sz w:val="24"/>
          <w:szCs w:val="24"/>
        </w:rPr>
        <w:t>=</w:t>
      </w:r>
      <w:r w:rsidR="0069470C" w:rsidRPr="004F64D4">
        <w:rPr>
          <w:rFonts w:ascii="Times New Roman" w:hAnsi="Times New Roman" w:cs="Times New Roman"/>
          <w:sz w:val="24"/>
          <w:szCs w:val="24"/>
        </w:rPr>
        <w:t>-.</w:t>
      </w:r>
      <w:r w:rsidR="0069470C">
        <w:rPr>
          <w:rFonts w:ascii="Times New Roman" w:hAnsi="Times New Roman" w:cs="Times New Roman"/>
          <w:sz w:val="24"/>
          <w:szCs w:val="24"/>
        </w:rPr>
        <w:t>12</w:t>
      </w:r>
      <w:r w:rsidR="0069470C" w:rsidRPr="004F64D4">
        <w:rPr>
          <w:rFonts w:ascii="Times New Roman" w:hAnsi="Times New Roman" w:cs="Times New Roman"/>
          <w:sz w:val="24"/>
          <w:szCs w:val="24"/>
        </w:rPr>
        <w:t>, 95% CI</w:t>
      </w:r>
      <w:r w:rsidR="0069470C">
        <w:rPr>
          <w:rFonts w:ascii="Times New Roman" w:hAnsi="Times New Roman" w:cs="Times New Roman"/>
          <w:sz w:val="24"/>
          <w:szCs w:val="24"/>
        </w:rPr>
        <w:t>=</w:t>
      </w:r>
      <w:r w:rsidR="0069470C" w:rsidRPr="004F64D4">
        <w:rPr>
          <w:rFonts w:ascii="Times New Roman" w:hAnsi="Times New Roman" w:cs="Times New Roman"/>
          <w:sz w:val="24"/>
          <w:szCs w:val="24"/>
        </w:rPr>
        <w:t>-.</w:t>
      </w:r>
      <w:r w:rsidR="0069470C">
        <w:rPr>
          <w:rFonts w:ascii="Times New Roman" w:hAnsi="Times New Roman" w:cs="Times New Roman"/>
          <w:sz w:val="24"/>
          <w:szCs w:val="24"/>
        </w:rPr>
        <w:t>27 to</w:t>
      </w:r>
      <w:r w:rsidR="0069470C" w:rsidRPr="004F64D4">
        <w:rPr>
          <w:rFonts w:ascii="Times New Roman" w:hAnsi="Times New Roman" w:cs="Times New Roman"/>
          <w:sz w:val="24"/>
          <w:szCs w:val="24"/>
        </w:rPr>
        <w:t xml:space="preserve"> </w:t>
      </w:r>
      <w:r w:rsidR="0069470C">
        <w:rPr>
          <w:rFonts w:ascii="Times New Roman" w:hAnsi="Times New Roman" w:cs="Times New Roman"/>
          <w:sz w:val="24"/>
          <w:szCs w:val="24"/>
        </w:rPr>
        <w:t xml:space="preserve">.03, </w:t>
      </w:r>
      <w:r w:rsidR="0069470C" w:rsidRPr="004F64D4">
        <w:rPr>
          <w:rFonts w:ascii="Times New Roman" w:hAnsi="Times New Roman" w:cs="Times New Roman"/>
          <w:i/>
          <w:sz w:val="24"/>
          <w:szCs w:val="24"/>
        </w:rPr>
        <w:t>p</w:t>
      </w:r>
      <w:r w:rsidR="0069470C">
        <w:rPr>
          <w:rFonts w:ascii="Times New Roman" w:hAnsi="Times New Roman" w:cs="Times New Roman"/>
          <w:sz w:val="24"/>
          <w:szCs w:val="24"/>
        </w:rPr>
        <w:t>=</w:t>
      </w:r>
      <w:r w:rsidR="0069470C" w:rsidRPr="004F64D4">
        <w:rPr>
          <w:rFonts w:ascii="Times New Roman" w:hAnsi="Times New Roman" w:cs="Times New Roman"/>
          <w:sz w:val="24"/>
          <w:szCs w:val="24"/>
        </w:rPr>
        <w:t>.</w:t>
      </w:r>
      <w:r w:rsidR="0069470C">
        <w:rPr>
          <w:rFonts w:ascii="Times New Roman" w:hAnsi="Times New Roman" w:cs="Times New Roman"/>
          <w:sz w:val="24"/>
          <w:szCs w:val="24"/>
        </w:rPr>
        <w:t>11</w:t>
      </w:r>
      <w:r w:rsidR="0069470C" w:rsidRPr="004F64D4">
        <w:rPr>
          <w:rFonts w:ascii="Times New Roman" w:hAnsi="Times New Roman" w:cs="Times New Roman"/>
          <w:sz w:val="24"/>
          <w:szCs w:val="24"/>
        </w:rPr>
        <w:t>)</w:t>
      </w:r>
      <w:r w:rsidR="0069470C">
        <w:rPr>
          <w:rFonts w:ascii="Times New Roman" w:hAnsi="Times New Roman" w:cs="Times New Roman"/>
          <w:sz w:val="24"/>
          <w:szCs w:val="24"/>
        </w:rPr>
        <w:t xml:space="preserve"> when further adjusted for baseline measures of weekly cigarette </w:t>
      </w:r>
      <w:r w:rsidR="00600001">
        <w:rPr>
          <w:rFonts w:ascii="Times New Roman" w:hAnsi="Times New Roman" w:cs="Times New Roman"/>
          <w:sz w:val="24"/>
          <w:szCs w:val="24"/>
        </w:rPr>
        <w:t xml:space="preserve">tobacco </w:t>
      </w:r>
      <w:r w:rsidR="0069470C">
        <w:rPr>
          <w:rFonts w:ascii="Times New Roman" w:hAnsi="Times New Roman" w:cs="Times New Roman"/>
          <w:sz w:val="24"/>
          <w:szCs w:val="24"/>
        </w:rPr>
        <w:t>and cannabis use</w:t>
      </w:r>
      <w:r w:rsidR="0069470C" w:rsidRPr="004F64D4">
        <w:rPr>
          <w:rFonts w:ascii="Times New Roman" w:hAnsi="Times New Roman" w:cs="Times New Roman"/>
          <w:sz w:val="24"/>
          <w:szCs w:val="24"/>
        </w:rPr>
        <w:t>.</w:t>
      </w:r>
      <w:r w:rsidR="0069470C">
        <w:rPr>
          <w:rFonts w:ascii="Times New Roman" w:hAnsi="Times New Roman" w:cs="Times New Roman"/>
          <w:sz w:val="24"/>
          <w:szCs w:val="24"/>
        </w:rPr>
        <w:t xml:space="preserve"> Weaker associations were found for the less demanding 2-back task</w:t>
      </w:r>
      <w:r w:rsidR="00FC3EBE" w:rsidRPr="004F64D4">
        <w:rPr>
          <w:rFonts w:ascii="Times New Roman" w:hAnsi="Times New Roman" w:cs="Times New Roman"/>
          <w:sz w:val="24"/>
          <w:szCs w:val="24"/>
        </w:rPr>
        <w:t>.</w:t>
      </w:r>
      <w:r w:rsidR="00FC3EBE" w:rsidRPr="00E45725">
        <w:rPr>
          <w:rFonts w:ascii="Times New Roman" w:hAnsi="Times New Roman" w:cs="Times New Roman"/>
          <w:sz w:val="24"/>
          <w:szCs w:val="24"/>
        </w:rPr>
        <w:t xml:space="preserve"> </w:t>
      </w:r>
      <w:r w:rsidR="00B00BA8">
        <w:rPr>
          <w:rFonts w:ascii="Times New Roman" w:hAnsi="Times New Roman" w:cs="Times New Roman"/>
          <w:sz w:val="24"/>
          <w:szCs w:val="24"/>
        </w:rPr>
        <w:t>We found no evidence to suggest frequent drinking was associated with performance on either task.</w:t>
      </w:r>
    </w:p>
    <w:p w14:paraId="374EE15F" w14:textId="6E364077" w:rsidR="001F73DF" w:rsidRPr="004F64D4" w:rsidRDefault="001F73DF" w:rsidP="001F73DF">
      <w:pPr>
        <w:spacing w:before="240" w:line="480" w:lineRule="auto"/>
        <w:rPr>
          <w:rFonts w:ascii="Times New Roman" w:hAnsi="Times New Roman" w:cs="Times New Roman"/>
          <w:sz w:val="24"/>
          <w:szCs w:val="24"/>
        </w:rPr>
      </w:pPr>
      <w:r w:rsidRPr="004F64D4">
        <w:rPr>
          <w:rFonts w:ascii="Times New Roman" w:hAnsi="Times New Roman" w:cs="Times New Roman"/>
          <w:i/>
          <w:sz w:val="24"/>
          <w:szCs w:val="24"/>
        </w:rPr>
        <w:t>Conclusions</w:t>
      </w:r>
      <w:r w:rsidRPr="004F64D4">
        <w:rPr>
          <w:rFonts w:ascii="Times New Roman" w:hAnsi="Times New Roman" w:cs="Times New Roman"/>
          <w:sz w:val="24"/>
          <w:szCs w:val="24"/>
        </w:rPr>
        <w:t xml:space="preserve">. </w:t>
      </w:r>
      <w:r>
        <w:rPr>
          <w:rFonts w:ascii="Times New Roman" w:hAnsi="Times New Roman" w:cs="Times New Roman"/>
          <w:sz w:val="24"/>
          <w:szCs w:val="24"/>
        </w:rPr>
        <w:t>We found weak</w:t>
      </w:r>
      <w:r w:rsidRPr="004F64D4">
        <w:rPr>
          <w:rFonts w:ascii="Times New Roman" w:hAnsi="Times New Roman" w:cs="Times New Roman"/>
          <w:sz w:val="24"/>
          <w:szCs w:val="24"/>
        </w:rPr>
        <w:t xml:space="preserve"> evidence of an association between</w:t>
      </w:r>
      <w:r>
        <w:rPr>
          <w:rFonts w:ascii="Times New Roman" w:hAnsi="Times New Roman" w:cs="Times New Roman"/>
          <w:sz w:val="24"/>
          <w:szCs w:val="24"/>
        </w:rPr>
        <w:t xml:space="preserve"> sustained heavy alcohol use in mid</w:t>
      </w:r>
      <w:r w:rsidR="003843D3">
        <w:rPr>
          <w:rFonts w:ascii="Times New Roman" w:hAnsi="Times New Roman" w:cs="Times New Roman"/>
          <w:sz w:val="24"/>
          <w:szCs w:val="24"/>
        </w:rPr>
        <w:t>-</w:t>
      </w:r>
      <w:r>
        <w:rPr>
          <w:rFonts w:ascii="Times New Roman" w:hAnsi="Times New Roman" w:cs="Times New Roman"/>
          <w:sz w:val="24"/>
          <w:szCs w:val="24"/>
        </w:rPr>
        <w:t xml:space="preserve">adolescence and impaired </w:t>
      </w:r>
      <w:r w:rsidR="002246C9">
        <w:rPr>
          <w:rFonts w:ascii="Times New Roman" w:hAnsi="Times New Roman" w:cs="Times New Roman"/>
          <w:sz w:val="24"/>
          <w:szCs w:val="24"/>
        </w:rPr>
        <w:t>WM</w:t>
      </w:r>
      <w:r>
        <w:rPr>
          <w:rFonts w:ascii="Times New Roman" w:hAnsi="Times New Roman" w:cs="Times New Roman"/>
          <w:sz w:val="24"/>
          <w:szCs w:val="24"/>
        </w:rPr>
        <w:t xml:space="preserve"> three years later</w:t>
      </w:r>
      <w:r w:rsidRPr="004F64D4">
        <w:rPr>
          <w:rFonts w:ascii="Times New Roman" w:hAnsi="Times New Roman" w:cs="Times New Roman"/>
          <w:sz w:val="24"/>
          <w:szCs w:val="24"/>
        </w:rPr>
        <w:t>.</w:t>
      </w:r>
      <w:r w:rsidRPr="004F64D4" w:rsidDel="00BB5CD3">
        <w:rPr>
          <w:rFonts w:ascii="Times New Roman" w:hAnsi="Times New Roman" w:cs="Times New Roman"/>
          <w:sz w:val="24"/>
          <w:szCs w:val="24"/>
        </w:rPr>
        <w:t xml:space="preserve"> </w:t>
      </w:r>
      <w:r>
        <w:rPr>
          <w:rFonts w:ascii="Times New Roman" w:hAnsi="Times New Roman" w:cs="Times New Roman"/>
          <w:sz w:val="24"/>
          <w:szCs w:val="24"/>
        </w:rPr>
        <w:t>Although we cannot fully rule out the possibility of reverse causation</w:t>
      </w:r>
      <w:r w:rsidRPr="006C61A6">
        <w:rPr>
          <w:rFonts w:ascii="Times New Roman" w:hAnsi="Times New Roman" w:cs="Times New Roman"/>
          <w:sz w:val="24"/>
          <w:szCs w:val="24"/>
        </w:rPr>
        <w:t xml:space="preserve">, </w:t>
      </w:r>
      <w:r w:rsidR="001E48A1">
        <w:rPr>
          <w:rFonts w:ascii="Times New Roman" w:hAnsi="Times New Roman" w:cs="Times New Roman"/>
          <w:sz w:val="24"/>
          <w:szCs w:val="24"/>
        </w:rPr>
        <w:t xml:space="preserve">several potential </w:t>
      </w:r>
      <w:r w:rsidR="00745126">
        <w:rPr>
          <w:rFonts w:ascii="Times New Roman" w:hAnsi="Times New Roman" w:cs="Times New Roman"/>
          <w:sz w:val="24"/>
          <w:szCs w:val="24"/>
        </w:rPr>
        <w:t>confounding variables were included</w:t>
      </w:r>
      <w:r w:rsidR="001E48A1">
        <w:rPr>
          <w:rFonts w:ascii="Times New Roman" w:hAnsi="Times New Roman" w:cs="Times New Roman"/>
          <w:sz w:val="24"/>
          <w:szCs w:val="24"/>
        </w:rPr>
        <w:t xml:space="preserve"> to address the directionality of the relationship between WM and alcohol use problems. </w:t>
      </w:r>
    </w:p>
    <w:p w14:paraId="1B68E587" w14:textId="77777777" w:rsidR="00217D31" w:rsidRDefault="00217D31" w:rsidP="005E49E4">
      <w:pPr>
        <w:spacing w:before="240"/>
        <w:rPr>
          <w:rFonts w:ascii="Times New Roman" w:hAnsi="Times New Roman" w:cs="Times New Roman"/>
          <w:b/>
          <w:sz w:val="24"/>
          <w:szCs w:val="24"/>
        </w:rPr>
      </w:pPr>
    </w:p>
    <w:p w14:paraId="5EC6A8E6" w14:textId="77777777" w:rsidR="0099445E" w:rsidRDefault="0099445E">
      <w:pPr>
        <w:rPr>
          <w:rFonts w:ascii="Times New Roman" w:hAnsi="Times New Roman" w:cs="Times New Roman"/>
          <w:b/>
          <w:sz w:val="24"/>
          <w:szCs w:val="24"/>
        </w:rPr>
      </w:pPr>
      <w:r>
        <w:rPr>
          <w:rFonts w:ascii="Times New Roman" w:hAnsi="Times New Roman" w:cs="Times New Roman"/>
          <w:b/>
          <w:sz w:val="24"/>
          <w:szCs w:val="24"/>
        </w:rPr>
        <w:br w:type="page"/>
      </w:r>
    </w:p>
    <w:p w14:paraId="5733F19F" w14:textId="0B9B4585" w:rsidR="005E49E4" w:rsidRPr="00426E8F" w:rsidRDefault="005E49E4" w:rsidP="005E49E4">
      <w:pPr>
        <w:spacing w:before="240"/>
        <w:rPr>
          <w:rFonts w:ascii="Times New Roman" w:hAnsi="Times New Roman" w:cs="Times New Roman"/>
          <w:b/>
          <w:sz w:val="24"/>
          <w:szCs w:val="24"/>
        </w:rPr>
      </w:pPr>
      <w:r w:rsidRPr="00426E8F">
        <w:rPr>
          <w:rFonts w:ascii="Times New Roman" w:hAnsi="Times New Roman" w:cs="Times New Roman"/>
          <w:b/>
          <w:sz w:val="24"/>
          <w:szCs w:val="24"/>
        </w:rPr>
        <w:lastRenderedPageBreak/>
        <w:t>INTRODUCTION</w:t>
      </w:r>
    </w:p>
    <w:p w14:paraId="7D7EF9C3" w14:textId="2D073895" w:rsidR="00E568D8" w:rsidRDefault="005E49E4" w:rsidP="00C30202">
      <w:pPr>
        <w:spacing w:after="0" w:line="480" w:lineRule="auto"/>
        <w:rPr>
          <w:rFonts w:ascii="Times New Roman" w:hAnsi="Times New Roman" w:cs="Times New Roman"/>
          <w:sz w:val="24"/>
          <w:szCs w:val="24"/>
        </w:rPr>
      </w:pPr>
      <w:r>
        <w:rPr>
          <w:rFonts w:ascii="Times New Roman" w:hAnsi="Times New Roman" w:cs="Times New Roman"/>
          <w:sz w:val="24"/>
          <w:szCs w:val="24"/>
        </w:rPr>
        <w:t>Alcohol consumption during adolescence is a major public health concern, in particular because the brain is still developing and</w:t>
      </w:r>
      <w:r w:rsidRPr="00CA3817">
        <w:rPr>
          <w:rFonts w:ascii="Times New Roman" w:hAnsi="Times New Roman" w:cs="Times New Roman"/>
          <w:sz w:val="24"/>
          <w:szCs w:val="24"/>
        </w:rPr>
        <w:t xml:space="preserve"> </w:t>
      </w:r>
      <w:r>
        <w:rPr>
          <w:rFonts w:ascii="Times New Roman" w:hAnsi="Times New Roman" w:cs="Times New Roman"/>
          <w:sz w:val="24"/>
          <w:szCs w:val="24"/>
        </w:rPr>
        <w:t xml:space="preserve">undergoing </w:t>
      </w:r>
      <w:r w:rsidRPr="00CA3817">
        <w:rPr>
          <w:rFonts w:ascii="Times New Roman" w:hAnsi="Times New Roman" w:cs="Times New Roman"/>
          <w:sz w:val="24"/>
          <w:szCs w:val="24"/>
        </w:rPr>
        <w:t>considerable structural and functional changes</w:t>
      </w:r>
      <w:r w:rsidR="001F5846">
        <w:rPr>
          <w:rFonts w:ascii="Times New Roman" w:hAnsi="Times New Roman" w:cs="Times New Roman"/>
          <w:sz w:val="24"/>
          <w:szCs w:val="24"/>
        </w:rPr>
        <w:t xml:space="preserve"> </w:t>
      </w:r>
      <w:r w:rsidR="00F54D1C">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"10.1176/appi.ajp.157.5.737", "ISSN" : "0002-953X (Print)", "PMID" : "10784466", "abstract" : "OBJECTIVE: Alcohol use disorders (defined as DSM-IV alcohol dependence or abuse) are prevalent and serious problems among adolescents. As adolescence is marked by progressive hippocampal development, this brain region may be particularly susceptible to the adverse effects of adolescent alcohol use disorders. This study compared the hippocampal volumes of adolescents and young adults with adolescent-onset alcohol use disorders to those of healthy matched comparison subjects. METHOD: Magnetic resonance imaging was used to measure the hippocampal volumes and volumes of comparison brain regions in 12 subjects with alcohol use disorders and 24 comparison subjects matched on age, sex, and handedness. RESULTS: Both left and right hippocampal volumes were significantly smaller in subjects with alcohol use disorders than in comparison subjects. Total hippocampal volume correlated positively with the age at onset and negatively with the duration of the alcohol use disorder. Intracranial, cerebral, and cortical gray and white matter volumes and measures of the mid-sagittal area of the corpus callosum did not differ between groups. CONCLUSIONS: In the mature brain, chronic alcohol use disorders are associated with graded global brain dysmorphology. Although the etiology, neuropsychological consequences, and permanence of these hippocampal findings need to be further examined, these findings suggest that, during adolescence, the hippocampus may be particularly susceptible to the adverse effects of alcohol.", "author" : [ { "dropping-particle" : "", "family" : "Bellis", "given" : "M D", "non-dropping-particle" : "De", "parse-names" : false, "suffix" : "" }, { "dropping-particle" : "", "family" : "Clark", "given" : "D B", "non-dropping-particle" : "", "parse-names" : false, "suffix" : "" }, { "dropping-particle" : "", "family" : "Beers", "given" : "S R", "non-dropping-particle" : "", "parse-names" : false, "suffix" : "" }, { "dropping-particle" : "", "family" : "Soloff", "given" : "P H", "non-dropping-particle" : "", "parse-names" : false, "suffix" : "" }, { "dropping-particle" : "", "family" : "Boring", "given" : "A M", "non-dropping-particle" : "", "parse-names" : false, "suffix" : "" }, { "dropping-particle" : "", "family" : "Hall", "given" : "J", "non-dropping-particle" : "", "parse-names" : false, "suffix" : "" }, { "dropping-particle" : "", "family" : "Kersh", "given" : "A", "non-dropping-particle" : "", "parse-names" : false, "suffix" : "" }, { "dropping-particle" : "", "family" : "Keshavan", "given" : "M S", "non-dropping-particle" : "", "parse-names" : false, "suffix" : "" } ], "container-title" : "The American Journal of Psychiatry", "id" : "ITEM-1", "issue" : "5", "issued" : { "date-parts" : [ [ "2000", "5" ] ] }, "language" : "ENG", "page" : "737-744", "publisher-place" : "United States", "title" : "Hippocampal volume in adolescent-onset alcohol use disorders.", "type" : "article-journal", "volume" : "157" }, "uris" : [ "http://www.mendeley.com/documents/?uuid=e6308a7f-ec90-4d1b-9b90-c3ab4988ae62" ] } ], "mendeley" : { "formattedCitation" : "(De Bellis et al. 2000)", "plainTextFormattedCitation" : "(De Bellis et al. 2000)", "previouslyFormattedCitation" : "(De Bellis et al. 2000)" }, "properties" : { "noteIndex" : 0 }, "schema" : "https://github.com/citation-style-language/schema/raw/master/csl-citation.json" }</w:instrText>
      </w:r>
      <w:r w:rsidR="00F54D1C">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(De Bellis et al. 2000)</w:t>
      </w:r>
      <w:r w:rsidR="00F54D1C">
        <w:rPr>
          <w:rFonts w:ascii="Times New Roman" w:hAnsi="Times New Roman" w:cs="Times New Roman"/>
          <w:sz w:val="24"/>
          <w:szCs w:val="24"/>
        </w:rPr>
        <w:fldChar w:fldCharType="end"/>
      </w:r>
      <w:r w:rsidRPr="00CA3817">
        <w:rPr>
          <w:rFonts w:ascii="Times New Roman" w:hAnsi="Times New Roman" w:cs="Times New Roman"/>
          <w:sz w:val="24"/>
          <w:szCs w:val="24"/>
        </w:rPr>
        <w:t>.</w:t>
      </w:r>
      <w:r w:rsidR="000746F0">
        <w:rPr>
          <w:rFonts w:ascii="Times New Roman" w:hAnsi="Times New Roman" w:cs="Times New Roman"/>
          <w:sz w:val="24"/>
          <w:szCs w:val="24"/>
        </w:rPr>
        <w:t xml:space="preserve"> </w:t>
      </w:r>
      <w:r w:rsidR="007B72E9">
        <w:rPr>
          <w:rFonts w:ascii="Times New Roman" w:hAnsi="Times New Roman" w:cs="Times New Roman"/>
          <w:sz w:val="24"/>
          <w:szCs w:val="24"/>
        </w:rPr>
        <w:t>One are</w:t>
      </w:r>
      <w:r w:rsidR="00CF62B9">
        <w:rPr>
          <w:rFonts w:ascii="Times New Roman" w:hAnsi="Times New Roman" w:cs="Times New Roman"/>
          <w:sz w:val="24"/>
          <w:szCs w:val="24"/>
        </w:rPr>
        <w:t>a</w:t>
      </w:r>
      <w:r w:rsidR="005E09B5">
        <w:rPr>
          <w:rFonts w:ascii="Times New Roman" w:hAnsi="Times New Roman" w:cs="Times New Roman"/>
          <w:sz w:val="24"/>
          <w:szCs w:val="24"/>
        </w:rPr>
        <w:t xml:space="preserve"> of research</w:t>
      </w:r>
      <w:r w:rsidR="007B72E9">
        <w:rPr>
          <w:rFonts w:ascii="Times New Roman" w:hAnsi="Times New Roman" w:cs="Times New Roman"/>
          <w:sz w:val="24"/>
          <w:szCs w:val="24"/>
        </w:rPr>
        <w:t xml:space="preserve"> that has </w:t>
      </w:r>
      <w:r w:rsidR="00D2028D">
        <w:rPr>
          <w:rFonts w:ascii="Times New Roman" w:hAnsi="Times New Roman" w:cs="Times New Roman"/>
          <w:sz w:val="24"/>
          <w:szCs w:val="24"/>
        </w:rPr>
        <w:t>received</w:t>
      </w:r>
      <w:r w:rsidR="007B72E9">
        <w:rPr>
          <w:rFonts w:ascii="Times New Roman" w:hAnsi="Times New Roman" w:cs="Times New Roman"/>
          <w:sz w:val="24"/>
          <w:szCs w:val="24"/>
        </w:rPr>
        <w:t xml:space="preserve"> considerable attention</w:t>
      </w:r>
      <w:r w:rsidR="0049129A">
        <w:rPr>
          <w:rFonts w:ascii="Times New Roman" w:hAnsi="Times New Roman" w:cs="Times New Roman"/>
          <w:sz w:val="24"/>
          <w:szCs w:val="24"/>
        </w:rPr>
        <w:t xml:space="preserve"> </w:t>
      </w:r>
      <w:r w:rsidR="00305DA9">
        <w:rPr>
          <w:rFonts w:ascii="Times New Roman" w:hAnsi="Times New Roman" w:cs="Times New Roman"/>
          <w:sz w:val="24"/>
          <w:szCs w:val="24"/>
        </w:rPr>
        <w:t xml:space="preserve">is the association between </w:t>
      </w:r>
      <w:r w:rsidR="007570E3">
        <w:rPr>
          <w:rFonts w:ascii="Times New Roman" w:hAnsi="Times New Roman" w:cs="Times New Roman"/>
          <w:sz w:val="24"/>
          <w:szCs w:val="24"/>
        </w:rPr>
        <w:t xml:space="preserve">alcohol </w:t>
      </w:r>
      <w:r w:rsidR="00215F0F">
        <w:rPr>
          <w:rFonts w:ascii="Times New Roman" w:hAnsi="Times New Roman" w:cs="Times New Roman"/>
          <w:sz w:val="24"/>
          <w:szCs w:val="24"/>
        </w:rPr>
        <w:t xml:space="preserve">use </w:t>
      </w:r>
      <w:r w:rsidR="00305DA9">
        <w:rPr>
          <w:rFonts w:ascii="Times New Roman" w:hAnsi="Times New Roman" w:cs="Times New Roman"/>
          <w:sz w:val="24"/>
          <w:szCs w:val="24"/>
        </w:rPr>
        <w:t>and</w:t>
      </w:r>
      <w:r w:rsidR="00D2028D">
        <w:rPr>
          <w:rFonts w:ascii="Times New Roman" w:hAnsi="Times New Roman" w:cs="Times New Roman"/>
          <w:sz w:val="24"/>
          <w:szCs w:val="24"/>
        </w:rPr>
        <w:t xml:space="preserve"> working memory (WM)</w:t>
      </w:r>
      <w:r w:rsidR="00131A11">
        <w:rPr>
          <w:rFonts w:ascii="Times New Roman" w:hAnsi="Times New Roman" w:cs="Times New Roman"/>
          <w:sz w:val="24"/>
          <w:szCs w:val="24"/>
        </w:rPr>
        <w:t xml:space="preserve"> performance</w:t>
      </w:r>
      <w:r w:rsidR="00F63ECD">
        <w:rPr>
          <w:rFonts w:ascii="Times New Roman" w:hAnsi="Times New Roman" w:cs="Times New Roman"/>
          <w:sz w:val="24"/>
          <w:szCs w:val="24"/>
        </w:rPr>
        <w:t xml:space="preserve">. </w:t>
      </w:r>
      <w:r w:rsidR="00CB3E29">
        <w:rPr>
          <w:rFonts w:ascii="Times New Roman" w:hAnsi="Times New Roman" w:cs="Times New Roman"/>
          <w:sz w:val="24"/>
          <w:szCs w:val="24"/>
        </w:rPr>
        <w:t>WM is critical to higher</w:t>
      </w:r>
      <w:r w:rsidR="00CE7110">
        <w:rPr>
          <w:rFonts w:ascii="Times New Roman" w:hAnsi="Times New Roman" w:cs="Times New Roman"/>
          <w:sz w:val="24"/>
          <w:szCs w:val="24"/>
        </w:rPr>
        <w:t>-</w:t>
      </w:r>
      <w:r w:rsidR="00CB3E29">
        <w:rPr>
          <w:rFonts w:ascii="Times New Roman" w:hAnsi="Times New Roman" w:cs="Times New Roman"/>
          <w:sz w:val="24"/>
          <w:szCs w:val="24"/>
        </w:rPr>
        <w:t xml:space="preserve">order cognitive functioning, such as decision making and planning </w:t>
      </w:r>
      <w:r w:rsidR="00CB3E29">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"author" : [ { "dropping-particle" : "", "family" : "Miller", "given" : "Earl K", "non-dropping-particle" : "", "parse-names" : false, "suffix" : "" }, { "dropping-particle" : "", "family" : "Cohen", "given" : "Jonathan D", "non-dropping-particle" : "", "parse-names" : false, "suffix" : "" } ], "container-title" : "Annual Review of Neuroscience", "id" : "ITEM-1", "issued" : { "date-parts" : [ [ "2001" ] ] }, "page" : "167-202", "title" : "An integrative theory of prefrontal cortex function", "type" : "article-journal", "volume" : "24" }, "uris" : [ "http://www.mendeley.com/documents/?uuid=b6cc1c77-9459-4cf5-b6a4-ba705eaf7680" ] } ], "mendeley" : { "formattedCitation" : "(Miller &amp; Cohen 2001)", "plainTextFormattedCitation" : "(Miller &amp; Cohen 2001)", "previouslyFormattedCitation" : "(Miller &amp; Cohen 2001)" }, "properties" : { "noteIndex" : 0 }, "schema" : "https://github.com/citation-style-language/schema/raw/master/csl-citation.json" }</w:instrText>
      </w:r>
      <w:r w:rsidR="00CB3E29">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(Miller &amp; Cohen 2001)</w:t>
      </w:r>
      <w:r w:rsidR="00CB3E29">
        <w:rPr>
          <w:rFonts w:ascii="Times New Roman" w:hAnsi="Times New Roman" w:cs="Times New Roman"/>
          <w:sz w:val="24"/>
          <w:szCs w:val="24"/>
        </w:rPr>
        <w:fldChar w:fldCharType="end"/>
      </w:r>
      <w:r w:rsidR="00CB3E29">
        <w:rPr>
          <w:rFonts w:ascii="Times New Roman" w:hAnsi="Times New Roman" w:cs="Times New Roman"/>
          <w:sz w:val="24"/>
          <w:szCs w:val="24"/>
        </w:rPr>
        <w:t xml:space="preserve"> and deficits in WM</w:t>
      </w:r>
      <w:r w:rsidR="00CE7110">
        <w:rPr>
          <w:rFonts w:ascii="Times New Roman" w:hAnsi="Times New Roman" w:cs="Times New Roman"/>
          <w:sz w:val="24"/>
          <w:szCs w:val="24"/>
        </w:rPr>
        <w:t xml:space="preserve"> </w:t>
      </w:r>
      <w:r w:rsidR="00EB591C">
        <w:rPr>
          <w:rFonts w:ascii="Times New Roman" w:hAnsi="Times New Roman" w:cs="Times New Roman"/>
          <w:sz w:val="24"/>
          <w:szCs w:val="24"/>
        </w:rPr>
        <w:t xml:space="preserve">make it more difficult </w:t>
      </w:r>
      <w:r w:rsidR="00CB3E29">
        <w:rPr>
          <w:rFonts w:ascii="Times New Roman" w:hAnsi="Times New Roman" w:cs="Times New Roman"/>
          <w:sz w:val="24"/>
          <w:szCs w:val="24"/>
        </w:rPr>
        <w:t xml:space="preserve">to respond </w:t>
      </w:r>
      <w:r w:rsidR="00B56006">
        <w:rPr>
          <w:rFonts w:ascii="Times New Roman" w:hAnsi="Times New Roman" w:cs="Times New Roman"/>
          <w:sz w:val="24"/>
          <w:szCs w:val="24"/>
        </w:rPr>
        <w:t xml:space="preserve"> </w:t>
      </w:r>
      <w:r w:rsidR="00CB3E29">
        <w:rPr>
          <w:rFonts w:ascii="Times New Roman" w:hAnsi="Times New Roman" w:cs="Times New Roman"/>
          <w:sz w:val="24"/>
          <w:szCs w:val="24"/>
        </w:rPr>
        <w:t xml:space="preserve">in a controlled and planned manner to alcohol stimuli </w:t>
      </w:r>
      <w:r w:rsidR="00CB3E29">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"10.1037/0893-164X.22.3.426", "ISSN" : "0893-164X (Print)", "PMID" : "18778136", "abstract" : "Some theories suggest that spontaneously activated, drug-related associations in memory may have a \"freer reign\" in predicting drug use among individuals with lower working memory capacity. This study evaluated this hypothesis among 145 at-risk youth attending continuation high schools (CHS). This is the 1st study to evaluate this type of dual-process interaction in the prediction of drug use among a sample of at-risk adolescents. The CHS students completed assessments of drug-related memory associations, working memory capacity, and drug use. Control variables included age, gender, ethnicity, and acculturation. Robust multiple regression using least trimmed squares estimation indicated that there was a significant linear by linear interaction between working memory capacity (assessed with the self-ordered pointing task) and drug-related associations (assessed with verb generation and cue-behavior association tasks) in the prediction of alcohol and cigarette use. Consistent with dual-process cognitive theories, drug-related associations in memory predicted drug use more strongly in students with lower levels of working memory capacity. These findings add to the literature implicating the influence of dual cognitive processes in adolescent risk behaviors.", "author" : [ { "dropping-particle" : "", "family" : "Grenard", "given" : "Jerry L", "non-dropping-particle" : "", "parse-names" : false, "suffix" : "" }, { "dropping-particle" : "", "family" : "Ames", "given" : "Susan L", "non-dropping-particle" : "", "parse-names" : false, "suffix" : "" }, { "dropping-particle" : "", "family" : "Wiers", "given" : "Reinout W", "non-dropping-particle" : "", "parse-names" : false, "suffix" : "" }, { "dropping-particle" : "", "family" : "Thush", "given" : "Carolien", "non-dropping-particle" : "", "parse-names" : false, "suffix" : "" }, { "dropping-particle" : "", "family" : "Sussman", "given" : "Steve", "non-dropping-particle" : "", "parse-names" : false, "suffix" : "" }, { "dropping-particle" : "", "family" : "Stacy", "given" : "Alan W", "non-dropping-particle" : "", "parse-names" : false, "suffix" : "" } ], "container-title" : "Psychology of Addictive Behaviors", "id" : "ITEM-1", "issue" : "3", "issued" : { "date-parts" : [ [ "2008", "9" ] ] }, "language" : "eng", "page" : "426-432", "publisher-place" : "United States", "title" : "Working memory capacity moderates the predictive effects of drug-related associations on substance use.", "type" : "article-journal", "volume" : "22" }, "uris" : [ "http://www.mendeley.com/documents/?uuid=6e9036d0-8784-463e-9b5b-9817d96cf1be" ] }, { "id" : "ITEM-2", "itemData" : { "DOI" : "10.1111/j.1360-0443.2012.03948.x", "ISSN" : "1360-0443 (Electronic)", "PMID" : "22632107", "abstract" : "AIMS: This study examined the association between automatic processes and drinking behavior in relation to individual differences in response inhibition in young adolescents who had just started drinking. It was hypothesized that strong automatic behavioral tendencies toward alcohol-related stimuli (alcohol-approach bias) were associated with higher levels of alcohol use, especially amongst adolescents with relatively weak inhibition skills. DESIGN: To test this hypothesis structural equation analyses (standard error of mean) were performed using a zero inflated Poisson (ZIP) model. A well-known problem in studying risk behavior is the low incidence rate resulting in a zero dominated distribution. A ZIP-model accounts for non-normality of the data. SETTING: Adolescents were selected from secondary Special Education schools (a risk group for the development of substance use problems). PARTICIPANTS: Participants were 374 adolescents (mean age of M = 13.6 years). MEASUREMENTS: Adolescents completed the alcohol approach avoidance task (a-AAT), the Stroop colour naming task (Stroop) and a questionnaire that assessed alcohol use. FINDINGS: The ZIP-model established stronger alcohol-approach tendencies for adolescent drinkers (P &lt; 0.01) and the interaction revealed a stronger effect of alcohol-approach tendencies on alcohol use in the absence of good inhibition skills (P &lt; 0.05). CONCLUSION: Automatically-activated cognitive processes are associated with the drinking behavior of young, at-risk adolescents. It appears that alcohol-approach tendencies are formed shortly after the initiation of drinking and particularly affect the drinking behavior of adolescents with relatively weak inhibition skills. Implications for the prevention of problem drinking in adolescents are discussed.", "author" : [ { "dropping-particle" : "", "family" : "Peeters", "given" : "Margot", "non-dropping-particle" : "", "parse-names" : false, "suffix" : "" }, { "dropping-particle" : "", "family" : "Wiers", "given" : "Reinout W", "non-dropping-particle" : "", "parse-names" : false, "suffix" : "" }, { "dropping-particle" : "", "family" : "Monshouwer", "given" : "Karin", "non-dropping-particle" : "", "parse-names" : false, "suffix" : "" }, { "dropping-particle" : "", "family" : "Schoot", "given" : "Rens", "non-dropping-particle" : "van de", "parse-names" : false, "suffix" : "" }, { "dropping-particle" : "", "family" : "Janssen", "given" : "Tim", "non-dropping-particle" : "", "parse-names" : false, "suffix" : "" }, { "dropping-particle" : "", "family" : "Vollebergh", "given" : "Wilma A M", "non-dropping-particle" : "", "parse-names" : false, "suffix" : "" } ], "container-title" : "Addiction", "id" : "ITEM-2", "issue" : "11", "issued" : { "date-parts" : [ [ "2012", "11" ] ] }, "language" : "eng", "page" : "1939-1946", "publisher-place" : "England", "title" : "Automatic processes in at-risk adolescents: the role of alcohol-approach tendencies and response inhibition in drinking behavior.", "type" : "article-journal", "volume" : "107" }, "uris" : [ "http://www.mendeley.com/documents/?uuid=d1b86ffd-58a1-4081-8ed2-1bd007602455" ] } ], "mendeley" : { "formattedCitation" : "(Grenard et al. 2008; Peeters et al. 2012)", "plainTextFormattedCitation" : "(Grenard et al. 2008; Peeters et al. 2012)", "previouslyFormattedCitation" : "(Grenard et al. 2008; Peeters et al. 2012)" }, "properties" : { "noteIndex" : 0 }, "schema" : "https://github.com/citation-style-language/schema/raw/master/csl-citation.json" }</w:instrText>
      </w:r>
      <w:r w:rsidR="00CB3E29">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(Grenard et al. 2008; Peeters et al. 2012)</w:t>
      </w:r>
      <w:r w:rsidR="00CB3E29">
        <w:rPr>
          <w:rFonts w:ascii="Times New Roman" w:hAnsi="Times New Roman" w:cs="Times New Roman"/>
          <w:sz w:val="24"/>
          <w:szCs w:val="24"/>
        </w:rPr>
        <w:fldChar w:fldCharType="end"/>
      </w:r>
      <w:r w:rsidR="00CB3E29">
        <w:rPr>
          <w:rFonts w:ascii="Times New Roman" w:hAnsi="Times New Roman" w:cs="Times New Roman"/>
          <w:sz w:val="24"/>
          <w:szCs w:val="24"/>
        </w:rPr>
        <w:t xml:space="preserve">. </w:t>
      </w:r>
      <w:r w:rsidR="00926C03">
        <w:rPr>
          <w:rFonts w:ascii="Times New Roman" w:hAnsi="Times New Roman" w:cs="Times New Roman"/>
          <w:sz w:val="24"/>
          <w:szCs w:val="24"/>
        </w:rPr>
        <w:t xml:space="preserve">Furthermore, </w:t>
      </w:r>
      <w:r w:rsidR="00F46B35">
        <w:rPr>
          <w:rFonts w:ascii="Times New Roman" w:hAnsi="Times New Roman" w:cs="Times New Roman"/>
          <w:sz w:val="24"/>
          <w:szCs w:val="24"/>
        </w:rPr>
        <w:t>WM</w:t>
      </w:r>
      <w:r w:rsidR="00F46B35" w:rsidRPr="00CA3817">
        <w:rPr>
          <w:rFonts w:ascii="Times New Roman" w:hAnsi="Times New Roman" w:cs="Times New Roman"/>
          <w:sz w:val="24"/>
          <w:szCs w:val="24"/>
        </w:rPr>
        <w:t xml:space="preserve"> may be more susceptible to damage f</w:t>
      </w:r>
      <w:r w:rsidR="00F46B35">
        <w:rPr>
          <w:rFonts w:ascii="Times New Roman" w:hAnsi="Times New Roman" w:cs="Times New Roman"/>
          <w:sz w:val="24"/>
          <w:szCs w:val="24"/>
        </w:rPr>
        <w:t xml:space="preserve">rom heavy alcohol use during adolescence than in adulthood </w:t>
      </w:r>
      <w:r w:rsidR="00F46B35">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"10.1176/appi.ajp.157.5.737", "ISSN" : "0002-953X (Print)", "PMID" : "10784466", "abstract" : "OBJECTIVE: Alcohol use disorders (defined as DSM-IV alcohol dependence or abuse) are prevalent and serious problems among adolescents. As adolescence is marked by progressive hippocampal development, this brain region may be particularly susceptible to the adverse effects of adolescent alcohol use disorders. This study compared the hippocampal volumes of adolescents and young adults with adolescent-onset alcohol use disorders to those of healthy matched comparison subjects. METHOD: Magnetic resonance imaging was used to measure the hippocampal volumes and volumes of comparison brain regions in 12 subjects with alcohol use disorders and 24 comparison subjects matched on age, sex, and handedness. RESULTS: Both left and right hippocampal volumes were significantly smaller in subjects with alcohol use disorders than in comparison subjects. Total hippocampal volume correlated positively with the age at onset and negatively with the duration of the alcohol use disorder. Intracranial, cerebral, and cortical gray and white matter volumes and measures of the mid-sagittal area of the corpus callosum did not differ between groups. CONCLUSIONS: In the mature brain, chronic alcohol use disorders are associated with graded global brain dysmorphology. Although the etiology, neuropsychological consequences, and permanence of these hippocampal findings need to be further examined, these findings suggest that, during adolescence, the hippocampus may be particularly susceptible to the adverse effects of alcohol.", "author" : [ { "dropping-particle" : "", "family" : "Bellis", "given" : "M D", "non-dropping-particle" : "De", "parse-names" : false, "suffix" : "" }, { "dropping-particle" : "", "family" : "Clark", "given" : "D B", "non-dropping-particle" : "", "parse-names" : false, "suffix" : "" }, { "dropping-particle" : "", "family" : "Beers", "given" : "S R", "non-dropping-particle" : "", "parse-names" : false, "suffix" : "" }, { "dropping-particle" : "", "family" : "Soloff", "given" : "P H", "non-dropping-particle" : "", "parse-names" : false, "suffix" : "" }, { "dropping-particle" : "", "family" : "Boring", "given" : "A M", "non-dropping-particle" : "", "parse-names" : false, "suffix" : "" }, { "dropping-particle" : "", "family" : "Hall", "given" : "J", "non-dropping-particle" : "", "parse-names" : false, "suffix" : "" }, { "dropping-particle" : "", "family" : "Kersh", "given" : "A", "non-dropping-particle" : "", "parse-names" : false, "suffix" : "" }, { "dropping-particle" : "", "family" : "Keshavan", "given" : "M S", "non-dropping-particle" : "", "parse-names" : false, "suffix" : "" } ], "container-title" : "The American Journal of Psychiatry", "id" : "ITEM-1", "issue" : "5", "issued" : { "date-parts" : [ [ "2000", "5" ] ] }, "language" : "ENG", "page" : "737-744", "publisher-place" : "United States", "title" : "Hippocampal volume in adolescent-onset alcohol use disorders.", "type" : "article-journal", "volume" : "157" }, "uris" : [ "http://www.mendeley.com/documents/?uuid=e6308a7f-ec90-4d1b-9b90-c3ab4988ae62" ] } ], "mendeley" : { "formattedCitation" : "(De Bellis et al. 2000)", "plainTextFormattedCitation" : "(De Bellis et al. 2000)", "previouslyFormattedCitation" : "(De Bellis et al. 2000)" }, "properties" : { "noteIndex" : 0 }, "schema" : "https://github.com/citation-style-language/schema/raw/master/csl-citation.json" }</w:instrText>
      </w:r>
      <w:r w:rsidR="00F46B35">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(De Bellis et al. 2000)</w:t>
      </w:r>
      <w:r w:rsidR="00F46B35">
        <w:rPr>
          <w:rFonts w:ascii="Times New Roman" w:hAnsi="Times New Roman" w:cs="Times New Roman"/>
          <w:sz w:val="24"/>
          <w:szCs w:val="24"/>
        </w:rPr>
        <w:fldChar w:fldCharType="end"/>
      </w:r>
      <w:r w:rsidR="00F46B35">
        <w:rPr>
          <w:rFonts w:ascii="Times New Roman" w:hAnsi="Times New Roman" w:cs="Times New Roman"/>
          <w:sz w:val="24"/>
          <w:szCs w:val="24"/>
        </w:rPr>
        <w:t xml:space="preserve"> as it </w:t>
      </w:r>
      <w:r w:rsidR="00F63ECD">
        <w:rPr>
          <w:rFonts w:ascii="Times New Roman" w:hAnsi="Times New Roman" w:cs="Times New Roman"/>
          <w:sz w:val="24"/>
          <w:szCs w:val="24"/>
        </w:rPr>
        <w:t xml:space="preserve">is </w:t>
      </w:r>
      <w:r w:rsidR="000449F2">
        <w:rPr>
          <w:rFonts w:ascii="Times New Roman" w:hAnsi="Times New Roman" w:cs="Times New Roman"/>
          <w:sz w:val="24"/>
          <w:szCs w:val="24"/>
        </w:rPr>
        <w:t>not fully developed until young adulthood</w:t>
      </w:r>
      <w:r w:rsidR="000A6DB8">
        <w:rPr>
          <w:rFonts w:ascii="Times New Roman" w:hAnsi="Times New Roman" w:cs="Times New Roman"/>
          <w:sz w:val="24"/>
          <w:szCs w:val="24"/>
        </w:rPr>
        <w:t xml:space="preserve"> </w:t>
      </w:r>
      <w:r w:rsidR="000A6DB8">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"ISSN" : "1047-3211 (Print)", "PMID" : "8670681", "abstract" : "Brain magnetic resonance images (MRI) of 104 healthy children and adolescents, age 4-18, showed significant effects of age and gender on brain morphometry. Males had larger cerebral (9%) and cerebellar (8%) volumes (P &lt; 0.0001 and P = 0.008, respectively), which remained significant even after correction for height and weight. After adjusting for cerebral size, the putamen and globus pallidus remained larger in males, while relative caudate size was larger in females. Neither cerebral nor cerebellar volume changed significantly across this age range. Lateral ventricular volume increased significantly in males (trend for females), with males showing an increase in slope after age 11. In males only, caudate and putamen decrease with age (P = 0.007 and 0.05, respectively). The left lateral ventricles and putamen were significantly greater than the right (P = 0.01 and 0.001, respectively). In contrast, the cerebral hemispheres and caudate showed a highly consistent right-greater-than-left asymmetry (P &lt; 0.0001 for both). All volumes demonstrated a high degree of variability. These findings highlight gender-specific maturational changes of the developing brain and the need for large gender-matched samples in pediatric neuropsychiatric studies.", "author" : [ { "dropping-particle" : "", "family" : "Giedd", "given" : "J N", "non-dropping-particle" : "", "parse-names" : false, "suffix" : "" }, { "dropping-particle" : "", "family" : "Snell", "given" : "J W", "non-dropping-particle" : "", "parse-names" : false, "suffix" : "" }, { "dropping-particle" : "", "family" : "Lange", "given" : "N", "non-dropping-particle" : "", "parse-names" : false, "suffix" : "" }, { "dropping-particle" : "", "family" : "Rajapakse", "given" : "J C", "non-dropping-particle" : "", "parse-names" : false, "suffix" : "" }, { "dropping-particle" : "", "family" : "Casey", "given" : "B J", "non-dropping-particle" : "", "parse-names" : false, "suffix" : "" }, { "dropping-particle" : "", "family" : "Kozuch", "given" : "P L", "non-dropping-particle" : "", "parse-names" : false, "suffix" : "" }, { "dropping-particle" : "", "family" : "Vaituzis", "given" : "A C", "non-dropping-particle" : "", "parse-names" : false, "suffix" : "" }, { "dropping-particle" : "", "family" : "Vauss", "given" : "Y C", "non-dropping-particle" : "", "parse-names" : false, "suffix" : "" }, { "dropping-particle" : "", "family" : "Hamburger", "given" : "S D", "non-dropping-particle" : "", "parse-names" : false, "suffix" : "" }, { "dropping-particle" : "", "family" : "Kaysen", "given" : "D", "non-dropping-particle" : "", "parse-names" : false, "suffix" : "" }, { "dropping-particle" : "", "family" : "Rapoport", "given" : "J L", "non-dropping-particle" : "", "parse-names" : false, "suffix" : "" } ], "container-title" : "Cerebral Cortex", "id" : "ITEM-1", "issue" : "4", "issued" : { "date-parts" : [ [ "1996" ] ] }, "language" : "ENG", "page" : "551-560", "publisher-place" : "United States", "title" : "Quantitative magnetic resonance imaging of human brain development: ages 4-18.", "type" : "article-journal", "volume" : "6" }, "uris" : [ "http://www.mendeley.com/documents/?uuid=b3d38741-08a5-4e96-a8d6-a9d2599a3bc2" ] }, { "id" : "ITEM-2", "itemData" : { "DOI" : "10.1111/j.1467-8624.2004.00745.x", "ISSN" : "0009-3920 (Print)", "PMID" : "15369519", "abstract" : "To characterize cognitive maturation through adolescence, processing speed, voluntary response suppression, and spatial working memory were measured in 8- to 30-year-old (N = 245) healthy participants using oculomotor tasks. Development progressed with a steep initial improvement in performance followed by stabilization in adolescence. Adult-level mature performance began at approximately 15, 14, and 19 years of age for processing speed, response inhibition, and working memory, respectively. Although processes developed independently, processing speed influenced the development of working memory whereas the development of response suppression and working memory were interdependent. These results indicate that processing speed, voluntary response suppression, and working memory mature through late childhood and into adolescence. How brain maturation specific to adolescence may support cognitive maturation is discussed.", "author" : [ { "dropping-particle" : "", "family" : "Luna", "given" : "Beatriz", "non-dropping-particle" : "", "parse-names" : false, "suffix" : "" }, { "dropping-particle" : "", "family" : "Garver", "given" : "Krista E", "non-dropping-particle" : "", "parse-names" : false, "suffix" : "" }, { "dropping-particle" : "", "family" : "Urban", "given" : "Trinity A", "non-dropping-particle" : "", "parse-names" : false, "suffix" : "" }, { "dropping-particle" : "", "family" : "Lazar", "given" : "Nicole A", "non-dropping-particle" : "", "parse-names" : false, "suffix" : "" }, { "dropping-particle" : "", "family" : "Sweeney", "given" : "John A", "non-dropping-particle" : "", "parse-names" : false, "suffix" : "" } ], "container-title" : "Child Development", "id" : "ITEM-2", "issue" : "5", "issued" : { "date-parts" : [ [ "2004" ] ] }, "language" : "ENG", "page" : "1357-1372", "publisher-place" : "United States", "title" : "Maturation of cognitive processes from late childhood to adulthood.", "type" : "article-journal", "volume" : "75" }, "uris" : [ "http://www.mendeley.com/documents/?uuid=b428155b-d94b-4810-a486-17f5ebb6b626" ] }, { "id" : "ITEM-3", "itemData" : { "DOI" : "10.1037/neu0000049", "ISBN" : "1931-1559(Electronic);0894-4105(Print)", "abstract" : "Objective: Maturation of executive functioning (EF) is topical, especially in relation to adolescence, yet longitudinal research covering early and late adolescence is lacking. This, however, is a prerequisite for drawing conclusions on normal cognitive development, and understanding deviant maturation. The aim of this study is to longitudinally investigate 6 subcomponents of EF in early (mean age 11) and late adolescence (mean age 19) and to investigate the influence of sex and socioeconomic status (SES). Method: We used data of the TRacking Adolescents\u2019 Individual Lives Survey (TRAILS). A number of 2,217 participants carried out tasks of the Amsterdam Neuropsychological Tasks (ANT), measuring Focused Attention, Inhibition, Sustained Attention, Speed of Processing, Working Memory, and Shift Attention. Results: Linear growth model with individual varying times of observation showed significant slopes for all 6 measures. Sex differences were found for the majority of the measures, where boys showed more maturation. Maturation was influenced by SES for Sustained Attention and Inhibition. Conclusion: Results show that significant maturation takes place for all the measured subcomponents over adolescence. Overall, girls show better baseline performance and smaller maturational rates, suggesting more mature skills in early adolescence. Maturation is only influenced by SES for Sustained Attention and Inhibition. Findings underline that for making statements about EF maturation in adolescence, it is essential to look at subcomponents. Furthermore, sex differences are an important factor when investing (ab)normal maturation of EF. (PsycINFO Database Record (c) 2016 APA, all rights reserved)", "author" : [ { "dropping-particle" : "", "family" : "Boelema", "given" : "Sarai R", "non-dropping-particle" : "", "parse-names" : false, "suffix" : "" }, { "dropping-particle" : "", "family" : "Harakeh", "given" : "Zeena", "non-dropping-particle" : "", "parse-names" : false, "suffix" : "" }, { "dropping-particle" : "", "family" : "Ormel", "given" : "Johan", "non-dropping-particle" : "", "parse-names" : false, "suffix" : "" }, { "dropping-particle" : "", "family" : "Hartman", "given" : "Catharina A", "non-dropping-particle" : "", "parse-names" : false, "suffix" : "" }, { "dropping-particle" : "", "family" : "Vollebergh", "given" : "Wilma A M", "non-dropping-particle" : "", "parse-names" : false, "suffix" : "" }, { "dropping-particle" : "", "family" : "Zandvoort", "given" : "Martine J E", "non-dropping-particle" : "van", "parse-names" : false, "suffix" : "" } ], "container-title" : "Neuropsychology", "id" : "ITEM-3", "issue" : "2", "issued" : { "date-parts" : [ [ "2014" ] ] }, "page" : "177-187", "publisher" : "American Psychological Association", "publisher-place" : "Boelema, Sarai R.: Faculty of Social and Behavioral Science, Utrecht University, P.O. Box 80.140, Utrecht, Netherlands, 3508 TC, s.r.boelema@uu.nl", "title" : "Executive functioning shows differential maturation from early to late adolescence: Longitudinal findings from a TRAILS study.", "type" : "article", "volume" : "28" }, "uris" : [ "http://www.mendeley.com/documents/?uuid=533dd2c9-8f53-49cb-81d8-9e77c5345b33" ] }, { "id" : "ITEM-4", "itemData" : { "DOI" : "10.1076/jcen.25.2.242.13639", "ISBN" : "1380-3395 (Print) 1380-3395 (Linking)", "ISSN" : "1380-3395", "PMID" : "12754681", "abstract" : "The study of executive function within a developmental framework has proven integral to the advancement of knowledge concerning the acquisition and decline of higher skill processes. Still in its early stages, there exists a discontinuity in the literature between the exploration of executive capacity in young children and the elderly. Research of age-related differences utilising a lifespan approach has been restricted by the lack of assessment tools for the measurement of executive skills that are applicable across all age levels. This paper addresses these issues using the computer-based Cambridge Neuropsychological Test Automated Battery (CANTAB) to identify periods of development in executive capacities using a normative sample of 194 participants ranging in age from 8 to 64 years. Findings of executive function in children as young as 8 years of age were extended, with functional gains found in the efficiency of working memory capacity, planning and problem-solving abilities, between the ages of 15 and 19 years and again at 20-29 years of age. Cognitive flexibility was assessed at adult-levels in even the youngest children. Declines in performance on all tasks were revealed for the 50-64 year old sample, providing support for the vulnerability of executive skills to normal aging.", "author" : [ { "dropping-particle" : "", "family" : "Luca", "given" : "Cinzia R.", "non-dropping-particle" : "De", "parse-names" : false, "suffix" : "" }, { "dropping-particle" : "", "family" : "Wood", "given" : "Stephen J.", "non-dropping-particle" : "", "parse-names" : false, "suffix" : "" }, { "dropping-particle" : "", "family" : "Anderson", "given" : "Vicki", "non-dropping-particle" : "", "parse-names" : false, "suffix" : "" }, { "dropping-particle" : "", "family" : "Buchanan", "given" : "Jo-Anne", "non-dropping-particle" : "", "parse-names" : false, "suffix" : "" }, { "dropping-particle" : "", "family" : "Proffitt", "given" : "Tina M.", "non-dropping-particle" : "", "parse-names" : false, "suffix" : "" }, { "dropping-particle" : "", "family" : "Mahony", "given" : "Kate", "non-dropping-particle" : "", "parse-names" : false, "suffix" : "" }, { "dropping-particle" : "", "family" : "Pantelis", "given" : "Christos", "non-dropping-particle" : "", "parse-names" : false, "suffix" : "" } ], "container-title" : "Journal of Clinical and Experimental Neuropsychology", "id" : "ITEM-4", "issue" : "2", "issued" : { "date-parts" : [ [ "2003" ] ] }, "page" : "242-254", "title" : "Normative data from the Cantab. I: development of executive function over the lifespan", "type" : "article-journal", "volume" : "25" }, "uris" : [ "http://www.mendeley.com/documents/?uuid=34189fba-9e54-448a-a533-78b8dc39b0b1" ] } ], "mendeley" : { "formattedCitation" : "(Giedd et al. 1996; Luna et al. 2004; Boelema et al. 2014; De Luca et al. 2003)", "manualFormatting" : "(Boelema et al. 2014; De Luca et al. 2003)", "plainTextFormattedCitation" : "(Giedd et al. 1996; Luna et al. 2004; Boelema et al. 2014; De Luca et al. 2003)", "previouslyFormattedCitation" : "(Giedd et al. 1996; Luna et al. 2004; Boelema et al. 2014; De Luca et al. 2003)" }, "properties" : { "noteIndex" : 0 }, "schema" : "https://github.com/citation-style-language/schema/raw/master/csl-citation.json" }</w:instrText>
      </w:r>
      <w:r w:rsidR="000A6DB8">
        <w:rPr>
          <w:rFonts w:ascii="Times New Roman" w:hAnsi="Times New Roman" w:cs="Times New Roman"/>
          <w:sz w:val="24"/>
          <w:szCs w:val="24"/>
        </w:rPr>
        <w:fldChar w:fldCharType="separate"/>
      </w:r>
      <w:r w:rsidR="00E70D00">
        <w:rPr>
          <w:rFonts w:ascii="Times New Roman" w:hAnsi="Times New Roman" w:cs="Times New Roman"/>
          <w:noProof/>
          <w:sz w:val="24"/>
          <w:szCs w:val="24"/>
        </w:rPr>
        <w:t>(</w:t>
      </w:r>
      <w:r w:rsidR="00686293" w:rsidRPr="00686293">
        <w:rPr>
          <w:rFonts w:ascii="Times New Roman" w:hAnsi="Times New Roman" w:cs="Times New Roman"/>
          <w:noProof/>
          <w:sz w:val="24"/>
          <w:szCs w:val="24"/>
        </w:rPr>
        <w:t>Boelema et al. 2014; De Luca et al. 2003)</w:t>
      </w:r>
      <w:r w:rsidR="000A6DB8">
        <w:rPr>
          <w:rFonts w:ascii="Times New Roman" w:hAnsi="Times New Roman" w:cs="Times New Roman"/>
          <w:sz w:val="24"/>
          <w:szCs w:val="24"/>
        </w:rPr>
        <w:fldChar w:fldCharType="end"/>
      </w:r>
      <w:r w:rsidR="00F46B35">
        <w:rPr>
          <w:rFonts w:ascii="Times New Roman" w:hAnsi="Times New Roman" w:cs="Times New Roman"/>
          <w:sz w:val="24"/>
          <w:szCs w:val="24"/>
        </w:rPr>
        <w:t xml:space="preserve">. </w:t>
      </w:r>
    </w:p>
    <w:p w14:paraId="5E9E3162" w14:textId="6512FFE9" w:rsidR="00CB608F" w:rsidRDefault="000C35E8" w:rsidP="005E49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using </w:t>
      </w:r>
      <w:r w:rsidR="0099445E">
        <w:rPr>
          <w:rFonts w:ascii="Times New Roman" w:hAnsi="Times New Roman" w:cs="Times New Roman"/>
          <w:sz w:val="24"/>
          <w:szCs w:val="24"/>
        </w:rPr>
        <w:t xml:space="preserve">both </w:t>
      </w:r>
      <w:r w:rsidR="007E2E0E">
        <w:rPr>
          <w:rFonts w:ascii="Times New Roman" w:hAnsi="Times New Roman" w:cs="Times New Roman"/>
          <w:sz w:val="24"/>
          <w:szCs w:val="24"/>
        </w:rPr>
        <w:t>animal</w:t>
      </w:r>
      <w:r w:rsidR="0099445E">
        <w:rPr>
          <w:rFonts w:ascii="Times New Roman" w:hAnsi="Times New Roman" w:cs="Times New Roman"/>
          <w:sz w:val="24"/>
          <w:szCs w:val="24"/>
        </w:rPr>
        <w:t xml:space="preserve"> models</w:t>
      </w:r>
      <w:r w:rsidR="007E2E0E">
        <w:rPr>
          <w:rFonts w:ascii="Times New Roman" w:hAnsi="Times New Roman" w:cs="Times New Roman"/>
          <w:sz w:val="24"/>
          <w:szCs w:val="24"/>
        </w:rPr>
        <w:t xml:space="preserve"> and human</w:t>
      </w:r>
      <w:r>
        <w:rPr>
          <w:rFonts w:ascii="Times New Roman" w:hAnsi="Times New Roman" w:cs="Times New Roman"/>
          <w:sz w:val="24"/>
          <w:szCs w:val="24"/>
        </w:rPr>
        <w:t xml:space="preserve"> </w:t>
      </w:r>
      <w:r w:rsidR="0099445E">
        <w:rPr>
          <w:rFonts w:ascii="Times New Roman" w:hAnsi="Times New Roman" w:cs="Times New Roman"/>
          <w:sz w:val="24"/>
          <w:szCs w:val="24"/>
        </w:rPr>
        <w:t>data</w:t>
      </w:r>
      <w:r>
        <w:rPr>
          <w:rFonts w:ascii="Times New Roman" w:hAnsi="Times New Roman" w:cs="Times New Roman"/>
          <w:sz w:val="24"/>
          <w:szCs w:val="24"/>
        </w:rPr>
        <w:t xml:space="preserve"> </w:t>
      </w:r>
      <w:r w:rsidR="0099445E">
        <w:rPr>
          <w:rFonts w:ascii="Times New Roman" w:hAnsi="Times New Roman" w:cs="Times New Roman"/>
          <w:sz w:val="24"/>
          <w:szCs w:val="24"/>
        </w:rPr>
        <w:t>has</w:t>
      </w:r>
      <w:r>
        <w:rPr>
          <w:rFonts w:ascii="Times New Roman" w:hAnsi="Times New Roman" w:cs="Times New Roman"/>
          <w:sz w:val="24"/>
          <w:szCs w:val="24"/>
        </w:rPr>
        <w:t xml:space="preserve"> </w:t>
      </w:r>
      <w:r w:rsidR="0099445E">
        <w:rPr>
          <w:rFonts w:ascii="Times New Roman" w:hAnsi="Times New Roman" w:cs="Times New Roman"/>
          <w:sz w:val="24"/>
          <w:szCs w:val="24"/>
        </w:rPr>
        <w:t>provided</w:t>
      </w:r>
      <w:r>
        <w:rPr>
          <w:rFonts w:ascii="Times New Roman" w:hAnsi="Times New Roman" w:cs="Times New Roman"/>
          <w:sz w:val="24"/>
          <w:szCs w:val="24"/>
        </w:rPr>
        <w:t xml:space="preserve"> </w:t>
      </w:r>
      <w:r w:rsidR="00E53D69">
        <w:rPr>
          <w:rFonts w:ascii="Times New Roman" w:hAnsi="Times New Roman" w:cs="Times New Roman"/>
          <w:sz w:val="24"/>
          <w:szCs w:val="24"/>
        </w:rPr>
        <w:t xml:space="preserve">evidence to </w:t>
      </w:r>
      <w:r w:rsidR="001934DD">
        <w:rPr>
          <w:rFonts w:ascii="Times New Roman" w:hAnsi="Times New Roman" w:cs="Times New Roman"/>
          <w:sz w:val="24"/>
          <w:szCs w:val="24"/>
        </w:rPr>
        <w:t xml:space="preserve">suggest </w:t>
      </w:r>
      <w:r w:rsidR="00052E01">
        <w:rPr>
          <w:rFonts w:ascii="Times New Roman" w:hAnsi="Times New Roman" w:cs="Times New Roman"/>
          <w:sz w:val="24"/>
          <w:szCs w:val="24"/>
        </w:rPr>
        <w:t xml:space="preserve">a negative association between alcohol use and WM during adolescence. For example, </w:t>
      </w:r>
      <w:r w:rsidR="00323EC7">
        <w:rPr>
          <w:rFonts w:ascii="Times New Roman" w:hAnsi="Times New Roman" w:cs="Times New Roman"/>
          <w:sz w:val="24"/>
          <w:szCs w:val="24"/>
        </w:rPr>
        <w:t>r</w:t>
      </w:r>
      <w:r>
        <w:rPr>
          <w:rFonts w:ascii="Times New Roman" w:hAnsi="Times New Roman" w:cs="Times New Roman"/>
          <w:sz w:val="24"/>
          <w:szCs w:val="24"/>
        </w:rPr>
        <w:t xml:space="preserve">esearch </w:t>
      </w:r>
      <w:r w:rsidR="0099445E">
        <w:rPr>
          <w:rFonts w:ascii="Times New Roman" w:hAnsi="Times New Roman" w:cs="Times New Roman"/>
          <w:sz w:val="24"/>
          <w:szCs w:val="24"/>
        </w:rPr>
        <w:t>in</w:t>
      </w:r>
      <w:r>
        <w:rPr>
          <w:rFonts w:ascii="Times New Roman" w:hAnsi="Times New Roman" w:cs="Times New Roman"/>
          <w:sz w:val="24"/>
          <w:szCs w:val="24"/>
        </w:rPr>
        <w:t xml:space="preserve"> animal </w:t>
      </w:r>
      <w:r w:rsidR="0099445E">
        <w:rPr>
          <w:rFonts w:ascii="Times New Roman" w:hAnsi="Times New Roman" w:cs="Times New Roman"/>
          <w:sz w:val="24"/>
          <w:szCs w:val="24"/>
        </w:rPr>
        <w:t>models</w:t>
      </w:r>
      <w:r>
        <w:rPr>
          <w:rFonts w:ascii="Times New Roman" w:hAnsi="Times New Roman" w:cs="Times New Roman"/>
          <w:sz w:val="24"/>
          <w:szCs w:val="24"/>
        </w:rPr>
        <w:t xml:space="preserve"> </w:t>
      </w:r>
      <w:r w:rsidR="0099445E">
        <w:rPr>
          <w:rFonts w:ascii="Times New Roman" w:hAnsi="Times New Roman" w:cs="Times New Roman"/>
          <w:sz w:val="24"/>
          <w:szCs w:val="24"/>
        </w:rPr>
        <w:t>has</w:t>
      </w:r>
      <w:r>
        <w:rPr>
          <w:rFonts w:ascii="Times New Roman" w:hAnsi="Times New Roman" w:cs="Times New Roman"/>
          <w:sz w:val="24"/>
          <w:szCs w:val="24"/>
        </w:rPr>
        <w:t xml:space="preserve"> demonstrated lasting consequences of adolescent exposure to alcohol</w:t>
      </w:r>
      <w:r w:rsidR="0099445E">
        <w:rPr>
          <w:rFonts w:ascii="Times New Roman" w:hAnsi="Times New Roman" w:cs="Times New Roman"/>
          <w:sz w:val="24"/>
          <w:szCs w:val="24"/>
        </w:rPr>
        <w:t>,</w:t>
      </w:r>
      <w:r>
        <w:rPr>
          <w:rFonts w:ascii="Times New Roman" w:hAnsi="Times New Roman" w:cs="Times New Roman"/>
          <w:sz w:val="24"/>
          <w:szCs w:val="24"/>
        </w:rPr>
        <w:t xml:space="preserve"> including alteration</w:t>
      </w:r>
      <w:r w:rsidR="00B711FA">
        <w:rPr>
          <w:rFonts w:ascii="Times New Roman" w:hAnsi="Times New Roman" w:cs="Times New Roman"/>
          <w:sz w:val="24"/>
          <w:szCs w:val="24"/>
        </w:rPr>
        <w:t>s in later</w:t>
      </w:r>
      <w:r w:rsidR="00284FB4">
        <w:rPr>
          <w:rFonts w:ascii="Times New Roman" w:hAnsi="Times New Roman" w:cs="Times New Roman"/>
          <w:sz w:val="24"/>
          <w:szCs w:val="24"/>
        </w:rPr>
        <w:t xml:space="preserve"> WM</w:t>
      </w:r>
      <w:r>
        <w:rPr>
          <w:rFonts w:ascii="Times New Roman" w:hAnsi="Times New Roman" w:cs="Times New Roman"/>
          <w:sz w:val="24"/>
          <w:szCs w:val="24"/>
        </w:rPr>
        <w:t xml:space="preserve"> </w:t>
      </w:r>
      <w:r w:rsidR="00B711FA">
        <w:rPr>
          <w:rFonts w:ascii="Times New Roman" w:hAnsi="Times New Roman" w:cs="Times New Roman"/>
          <w:sz w:val="24"/>
          <w:szCs w:val="24"/>
        </w:rPr>
        <w:t xml:space="preserve">performance </w:t>
      </w:r>
      <w:r w:rsidR="00A11503">
        <w:rPr>
          <w:rFonts w:ascii="Times New Roman" w:hAnsi="Times New Roman" w:cs="Times New Roman"/>
          <w:sz w:val="24"/>
          <w:szCs w:val="24"/>
        </w:rPr>
        <w:fldChar w:fldCharType="begin" w:fldLock="1"/>
      </w:r>
      <w:r w:rsidR="00697637">
        <w:rPr>
          <w:rFonts w:ascii="Times New Roman" w:hAnsi="Times New Roman" w:cs="Times New Roman"/>
          <w:sz w:val="24"/>
          <w:szCs w:val="24"/>
        </w:rPr>
        <w:instrText>ADDIN CSL_CITATION { "citationItems" : [ { "id" : "ITEM-1", "itemData" : { "DOI" : "10.1371/journal.pone.0062940", "ISSN" : "1932-6203 (Electronic)", "PMID" : "23675442", "abstract" : "BACKGROUND: Adolescence is not only a critical period of late-stage neurological development in humans, but is also a period in which ethanol consumption is often at its highest. Given the prevalence of ethanol use during this vulnerable developmental period we assessed the long-term effects of chronic intermittent ethanol (CIE) exposure during adolescence, compared to adulthood, on performance in the radial-arm maze (RAM) and operant food-reinforced responding in male rats. METHODOLOGY/PRINCIPAL FINDINGS: Male Sprague Dawley rats were exposed to CIE (or saline) and then allowed to recover. Animals were then trained in either the RAM task or an operant task using fixed- and progressive- ratio schedules. After baseline testing was completed all animals received an acute ethanol challenge while blood ethanol levels (BECs) were monitored in a subset of animals. CIE exposure during adolescence, but not adulthood decreased the amount of time that animals spent in the open portions of the RAM arms (reminiscent of deficits in risk-reward integration) and rendered animals more susceptible to the acute effects of an ethanol challenge on working memory tasks. The operant food reinforced task showed that these effects were not due to altered food motivation or to differential sensitivity to the nonspecific performance-disrupting effects of ethanol. However, CIE pre-treated animals had lower BEC levels than controls during the acute ethanol challenges indicating persistent pharmacokinetic tolerance to ethanol after the CIE treatment. There was little evidence of enduring effects of CIE alone on traditional measures of spatial and working memory. CONCLUSIONS/SIGNIFICANCE: These effects indicate that adolescence is a time of selective vulnerability to the long-term effects of repeated ethanol exposure on neurobehavioral function and acute ethanol sensitivity. The positive and negative findings reported here help to further define the nature and extent of the impairments observed after adolescent CIE and provide direction for future research.", "author" : [ { "dropping-particle" : "", "family" : "Risher", "given" : "Mary-Louise", "non-dropping-particle" : "", "parse-names" : false, "suffix" : "" }, { "dropping-particle" : "", "family" : "Fleming", "given" : "Rebekah L", "non-dropping-particle" : "", "parse-names" : false, "suffix" : "" }, { "dropping-particle" : "", "family" : "Boutros", "given" : "Nathalie", "non-dropping-particle" : "", "parse-names" : false, "suffix" : "" }, { "dropping-particle" : "", "family" : "Semenova", "given" : "Svetlana", "non-dropping-particle" : "", "parse-names" : false, "suffix" : "" }, { "dropping-particle" : "", "family" : "Wilson", "given" : "Wilkie A", "non-dropping-particle" : "", "parse-names" : false, "suffix" : "" }, { "dropping-particle" : "", "family" : "Levin", "given" : "Edward D", "non-dropping-particle" : "", "parse-names" : false, "suffix" : "" }, { "dropping-particle" : "", "family" : "Markou", "given" : "Athina", "non-dropping-particle" : "", "parse-names" : false, "suffix" : "" }, { "dropping-particle" : "", "family" : "Swartzwelder", "given" : "H Scott", "non-dropping-particle" : "", "parse-names" : false, "suffix" : "" }, { "dropping-particle" : "", "family" : "Acheson", "given" : "Shawn K", "non-dropping-particle" : "", "parse-names" : false, "suffix" : "" } ], "container-title" : "PloS ONE", "id" : "ITEM-1", "issue" : "5", "issued" : { "date-parts" : [ [ "2013" ] ] }, "language" : "eng", "page" : "e62940", "publisher-place" : "United States", "title" : "Long-term effects of chronic intermittent ethanol exposure in adolescent and adult rats: radial-arm maze performance and operant food reinforced responding.", "type" : "article-journal", "volume" : "8" }, "uris" : [ "http://www.mendeley.com/documents/?uuid=f7154ea0-2f65-446c-abe1-6166132c9429" ] }, { "id" : "ITEM-2", "itemData" : { "ISSN" : "0145-6008 (Print)", "PMID" : "10968665", "abstract" : "BACKGROUND: Recent evidence indicates that adolescent animals are more sensitive than adults to the disruptive effects of acute ethanol exposure on spatial learning. It is not yet known whether adolescent animals are also more sensitive than adults to the enduring neurobehavioral effects of repeated ethanol exposure. In this study, animals were exposed to ethanol in a binge-pattern during either adolescence or adulthood. At a time when all subjects were adults, spatial working memory was examined in the absence and presence of an acute ethanol challenge. METHODS: Rats were exposed to ethanol (5.0 g/kg intraperitoneally) or isovolumetric saline at 48 hr intervals over 20 days. Exposure began on either postnatal day 30 (adolescent group) or 70 (adult group). Twenty days after the final injection, a time at which all animals were adults, the subjects were tested on an elevated plus maze and then were trained to perform a spatial working memory task on an eight-arm radial maze. At the beginning of each session of training on the working memory task, subjects retrieved food rewards on four of the eight arms. After a delay, subjects were placed on the maze and allowed to retrieve food from the remaining four arms. RESULTS: Prior exposure to ethanol did not influence behavior on the plus maze. Performance of the groups did not differ during acquisition of the spatial working memory task with a 5 min delay or during subsequent testing with a 1 hr delay. However, animals treated with ethanol during adolescence exhibited larger working memory impairments during an ethanol challenge (1.5 g/kg intraperitoneally) than subjects in the other three groups. CONCLUSIONS: The findings indicate that binge pattern exposure to ethanol during adolescence enhances responsiveness to the memory-impairing effects of ethanol in adulthood.", "author" : [ { "dropping-particle" : "", "family" : "White", "given" : "A M", "non-dropping-particle" : "", "parse-names" : false, "suffix" : "" }, { "dropping-particle" : "", "family" : "Ghia", "given" : "A J", "non-dropping-particle" : "", "parse-names" : false, "suffix" : "" }, { "dropping-particle" : "", "family" : "Levin", "given" : "E D", "non-dropping-particle" : "", "parse-names" : false, "suffix" : "" }, { "dropping-particle" : "", "family" : "Swartzwelder", "given" : "H S", "non-dropping-particle" : "", "parse-names" : false, "suffix" : "" } ], "container-title" : "Alcoholism, Clinical and Experimental Research", "id" : "ITEM-2", "issue" : "8", "issued" : { "date-parts" : [ [ "2000", "8" ] ] }, "language" : "eng", "page" : "1251-1256", "publisher-place" : "England", "title" : "Binge pattern ethanol exposure in adolescent and adult rats: differential impact on subsequent responsiveness to ethanol.", "type" : "article-journal", "volume" : "24" }, "uris" : [ "http://www.mendeley.com/documents/?uuid=2eaaa9d6-5a45-4b7b-b675-5d8be0c7b8a7" ] } ], "mendeley" : { "formattedCitation" : "(Risher et al. 2013; White et al. 2000)", "plainTextFormattedCitation" : "(Risher et al. 2013; White et al. 2000)", "previouslyFormattedCitation" : "(Risher et al. 2013; White et al. 2000)" }, "properties" : { "noteIndex" : 4 }, "schema" : "https://github.com/citation-style-language/schema/raw/master/csl-citation.json" }</w:instrText>
      </w:r>
      <w:r w:rsidR="00A11503">
        <w:rPr>
          <w:rFonts w:ascii="Times New Roman" w:hAnsi="Times New Roman" w:cs="Times New Roman"/>
          <w:sz w:val="24"/>
          <w:szCs w:val="24"/>
        </w:rPr>
        <w:fldChar w:fldCharType="separate"/>
      </w:r>
      <w:r w:rsidR="00A11503" w:rsidRPr="00A11503">
        <w:rPr>
          <w:rFonts w:ascii="Times New Roman" w:hAnsi="Times New Roman" w:cs="Times New Roman"/>
          <w:noProof/>
          <w:sz w:val="24"/>
          <w:szCs w:val="24"/>
        </w:rPr>
        <w:t>(Risher et al. 2013; White et al. 2000)</w:t>
      </w:r>
      <w:r w:rsidR="00A1150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E2B77">
        <w:rPr>
          <w:rFonts w:ascii="Times New Roman" w:hAnsi="Times New Roman" w:cs="Times New Roman"/>
          <w:sz w:val="24"/>
          <w:szCs w:val="24"/>
        </w:rPr>
        <w:t>H</w:t>
      </w:r>
      <w:r w:rsidR="00E568D8">
        <w:rPr>
          <w:rFonts w:ascii="Times New Roman" w:hAnsi="Times New Roman" w:cs="Times New Roman"/>
          <w:sz w:val="24"/>
          <w:szCs w:val="24"/>
        </w:rPr>
        <w:t xml:space="preserve">uman brain imaging studies have identified neural functioning correlates of adolescent heavy drinking. </w:t>
      </w:r>
      <w:r w:rsidR="00207E76">
        <w:rPr>
          <w:rFonts w:ascii="Times New Roman" w:hAnsi="Times New Roman" w:cs="Times New Roman"/>
          <w:sz w:val="24"/>
          <w:szCs w:val="24"/>
        </w:rPr>
        <w:t>S</w:t>
      </w:r>
      <w:r w:rsidR="00AA6DE4">
        <w:rPr>
          <w:rFonts w:ascii="Times New Roman" w:hAnsi="Times New Roman" w:cs="Times New Roman"/>
          <w:sz w:val="24"/>
          <w:szCs w:val="24"/>
        </w:rPr>
        <w:t>tudies using co-</w:t>
      </w:r>
      <w:r w:rsidR="002F0DB5">
        <w:rPr>
          <w:rFonts w:ascii="Times New Roman" w:hAnsi="Times New Roman" w:cs="Times New Roman"/>
          <w:sz w:val="24"/>
          <w:szCs w:val="24"/>
        </w:rPr>
        <w:t xml:space="preserve">twin </w:t>
      </w:r>
      <w:r w:rsidR="00AA6DE4">
        <w:rPr>
          <w:rFonts w:ascii="Times New Roman" w:hAnsi="Times New Roman" w:cs="Times New Roman"/>
          <w:sz w:val="24"/>
          <w:szCs w:val="24"/>
        </w:rPr>
        <w:t>designs</w:t>
      </w:r>
      <w:r w:rsidR="002F0DB5">
        <w:rPr>
          <w:rFonts w:ascii="Times New Roman" w:hAnsi="Times New Roman" w:cs="Times New Roman"/>
          <w:sz w:val="24"/>
          <w:szCs w:val="24"/>
        </w:rPr>
        <w:t xml:space="preserve"> have found </w:t>
      </w:r>
      <w:r w:rsidR="0099445E">
        <w:rPr>
          <w:rFonts w:ascii="Times New Roman" w:hAnsi="Times New Roman" w:cs="Times New Roman"/>
          <w:sz w:val="24"/>
          <w:szCs w:val="24"/>
        </w:rPr>
        <w:t xml:space="preserve">that </w:t>
      </w:r>
      <w:r w:rsidR="001934DD">
        <w:rPr>
          <w:rFonts w:ascii="Times New Roman" w:hAnsi="Times New Roman" w:cs="Times New Roman"/>
          <w:sz w:val="24"/>
          <w:szCs w:val="24"/>
        </w:rPr>
        <w:t>amygdala</w:t>
      </w:r>
      <w:r w:rsidR="001000C0">
        <w:rPr>
          <w:rFonts w:ascii="Times New Roman" w:hAnsi="Times New Roman" w:cs="Times New Roman"/>
          <w:sz w:val="24"/>
          <w:szCs w:val="24"/>
        </w:rPr>
        <w:t xml:space="preserve"> deficits</w:t>
      </w:r>
      <w:r w:rsidR="0058608D">
        <w:rPr>
          <w:rFonts w:ascii="Times New Roman" w:hAnsi="Times New Roman" w:cs="Times New Roman"/>
          <w:sz w:val="24"/>
          <w:szCs w:val="24"/>
        </w:rPr>
        <w:t xml:space="preserve"> </w:t>
      </w:r>
      <w:r w:rsidR="000A3523">
        <w:rPr>
          <w:rFonts w:ascii="Times New Roman" w:hAnsi="Times New Roman" w:cs="Times New Roman"/>
          <w:sz w:val="24"/>
          <w:szCs w:val="24"/>
        </w:rPr>
        <w:fldChar w:fldCharType="begin" w:fldLock="1"/>
      </w:r>
      <w:r w:rsidR="000A3523">
        <w:rPr>
          <w:rFonts w:ascii="Times New Roman" w:hAnsi="Times New Roman" w:cs="Times New Roman"/>
          <w:sz w:val="24"/>
          <w:szCs w:val="24"/>
        </w:rPr>
        <w:instrText>ADDIN CSL_CITATION { "citationItems" : [ { "id" : "ITEM-1", "itemData" : { "DOI" : "10.1016/J.DCN.2015.07.005", "ISSN" : "1878-9293", "author" : [ { "dropping-particle" : "", "family" : "Wilson", "given" : "S", "non-dropping-particle" : "", "parse-names" : false, "suffix" : "" }, { "dropping-particle" : "", "family" : "Malone", "given" : "S. M.", "non-dropping-particle" : "", "parse-names" : false, "suffix" : "" }, { "dropping-particle" : "", "family" : "Thomas", "given" : "K. M.", "non-dropping-particle" : "", "parse-names" : false, "suffix" : "" }, { "dropping-particle" : "", "family" : "Iacono", "given" : "W. G.", "non-dropping-particle" : "", "parse-names" : false, "suffix" : "" } ], "container-title" : "Developmental Cognitive Neuroscience", "id" : "ITEM-1", "issued" : { "date-parts" : [ [ "2015", "12", "1" ] ] }, "page" : "130-138", "publisher" : "Elsevier", "title" : "Adolescent drinking and brain morphometry: A co-twin control analysis", "type" : "article-journal", "volume" : "16" }, "uris" : [ "http://www.mendeley.com/documents/?uuid=0fb7725d-be3a-3a1f-87b4-db69e814b0e2" ] } ], "mendeley" : { "formattedCitation" : "(Wilson et al. 2015)", "plainTextFormattedCitation" : "(Wilson et al. 2015)", "previouslyFormattedCitation" : "(Wilson et al. 2015)" }, "properties" : { "noteIndex" : 4 }, "schema" : "https://github.com/citation-style-language/schema/raw/master/csl-citation.json" }</w:instrText>
      </w:r>
      <w:r w:rsidR="000A3523">
        <w:rPr>
          <w:rFonts w:ascii="Times New Roman" w:hAnsi="Times New Roman" w:cs="Times New Roman"/>
          <w:sz w:val="24"/>
          <w:szCs w:val="24"/>
        </w:rPr>
        <w:fldChar w:fldCharType="separate"/>
      </w:r>
      <w:r w:rsidR="000A3523" w:rsidRPr="000A3523">
        <w:rPr>
          <w:rFonts w:ascii="Times New Roman" w:hAnsi="Times New Roman" w:cs="Times New Roman"/>
          <w:noProof/>
          <w:sz w:val="24"/>
          <w:szCs w:val="24"/>
        </w:rPr>
        <w:t>(Wilson et al. 2015)</w:t>
      </w:r>
      <w:r w:rsidR="000A3523">
        <w:rPr>
          <w:rFonts w:ascii="Times New Roman" w:hAnsi="Times New Roman" w:cs="Times New Roman"/>
          <w:sz w:val="24"/>
          <w:szCs w:val="24"/>
        </w:rPr>
        <w:fldChar w:fldCharType="end"/>
      </w:r>
      <w:r w:rsidR="001000C0">
        <w:rPr>
          <w:rFonts w:ascii="Times New Roman" w:hAnsi="Times New Roman" w:cs="Times New Roman"/>
          <w:sz w:val="24"/>
          <w:szCs w:val="24"/>
        </w:rPr>
        <w:t xml:space="preserve">, smaller orbitofrontal cortex </w:t>
      </w:r>
      <w:r w:rsidR="001934DD">
        <w:rPr>
          <w:rFonts w:ascii="Times New Roman" w:hAnsi="Times New Roman" w:cs="Times New Roman"/>
          <w:sz w:val="24"/>
          <w:szCs w:val="24"/>
        </w:rPr>
        <w:t>volumes</w:t>
      </w:r>
      <w:r w:rsidR="0099445E">
        <w:rPr>
          <w:rFonts w:ascii="Times New Roman" w:hAnsi="Times New Roman" w:cs="Times New Roman"/>
          <w:sz w:val="24"/>
          <w:szCs w:val="24"/>
        </w:rPr>
        <w:t>,</w:t>
      </w:r>
      <w:r w:rsidR="001934DD">
        <w:rPr>
          <w:rFonts w:ascii="Times New Roman" w:hAnsi="Times New Roman" w:cs="Times New Roman"/>
          <w:sz w:val="24"/>
          <w:szCs w:val="24"/>
        </w:rPr>
        <w:t xml:space="preserve"> and diminished quality of decision making</w:t>
      </w:r>
      <w:r w:rsidR="0058608D">
        <w:rPr>
          <w:rFonts w:ascii="Times New Roman" w:hAnsi="Times New Roman" w:cs="Times New Roman"/>
          <w:sz w:val="24"/>
          <w:szCs w:val="24"/>
        </w:rPr>
        <w:t xml:space="preserve"> </w:t>
      </w:r>
      <w:r w:rsidR="0058608D">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"10.1007/s10519-014-9651-0", "ISSN" : "1573-3297 (Electronic)", "PMID" : "24676464", "abstract" : "The present study used a monozygotic (MZ) cotwin-control (CTC) design to investigate associations between alcohol use and performance on the Iowa gambling task (IGT) in a sample of 96 adolescents (half female). The MZ CTC design is well suited to shed light on whether poor decision-making, as reflected on IGT performance, predisposes individuals to abuse substances or is a consequence of use. Participants completed structural MRI scans as well, from which we derived gray matter volumes for cortical and subcortical regions involved in IGT performance and reduced in adolescents with problematic alcohol use. Drinking was associated with poorer task performance and with reduced volume of the left lateral orbital-frontal cortex. CTC analyses indicated that the former was due to differences between members of twin pairs in alcohol use (suggesting a causal effect of alcohol), whereas the latter was due to factors shared by twins (consistent with a pre-existing vulnerability for use). Although these preliminary findings warrant replication, they suggest that normative levels of alcohol use may diminish the quality of adolescent decision-making and thus have potentially important public health implications.", "author" : [ { "dropping-particle" : "", "family" : "Malone", "given" : "Stephen M", "non-dropping-particle" : "", "parse-names" : false, "suffix" : "" }, { "dropping-particle" : "", "family" : "Luciana", "given" : "Monica", "non-dropping-particle" : "", "parse-names" : false, "suffix" : "" }, { "dropping-particle" : "", "family" : "Wilson", "given" : "Sylia", "non-dropping-particle" : "", "parse-names" : false, "suffix" : "" }, { "dropping-particle" : "", "family" : "Sparks", "given" : "Jordan C", "non-dropping-particle" : "", "parse-names" : false, "suffix" : "" }, { "dropping-particle" : "", "family" : "Hunt", "given" : "Ruskin H", "non-dropping-particle" : "", "parse-names" : false, "suffix" : "" }, { "dropping-particle" : "", "family" : "Thomas", "given" : "Kathleen M", "non-dropping-particle" : "", "parse-names" : false, "suffix" : "" }, { "dropping-particle" : "", "family" : "Iacono", "given" : "William G", "non-dropping-particle" : "", "parse-names" : false, "suffix" : "" } ], "container-title" : "Behavior Genetics", "id" : "ITEM-1", "issue" : "4", "issued" : { "date-parts" : [ [ "2014", "7" ] ] }, "language" : "eng", "page" : "407-418", "publisher-place" : "United States", "title" : "Adolescent drinking and motivated decision-making: a cotwin-control investigation with monozygotic twins.", "type" : "article-journal", "volume" : "44" }, "uris" : [ "http://www.mendeley.com/documents/?uuid=987db113-3031-4c05-8034-373d2d047582" ] } ], "mendeley" : { "formattedCitation" : "(Malone et al. 2014)", "plainTextFormattedCitation" : "(Malone et al. 2014)", "previouslyFormattedCitation" : "(Malone et al. 2014)" }, "properties" : { "noteIndex" : 4 }, "schema" : "https://github.com/citation-style-language/schema/raw/master/csl-citation.json" }</w:instrText>
      </w:r>
      <w:r w:rsidR="0058608D">
        <w:rPr>
          <w:rFonts w:ascii="Times New Roman" w:hAnsi="Times New Roman" w:cs="Times New Roman"/>
          <w:sz w:val="24"/>
          <w:szCs w:val="24"/>
        </w:rPr>
        <w:fldChar w:fldCharType="separate"/>
      </w:r>
      <w:r w:rsidR="0058608D" w:rsidRPr="0058608D">
        <w:rPr>
          <w:rFonts w:ascii="Times New Roman" w:hAnsi="Times New Roman" w:cs="Times New Roman"/>
          <w:noProof/>
          <w:sz w:val="24"/>
          <w:szCs w:val="24"/>
        </w:rPr>
        <w:t>(Malone et al. 2014)</w:t>
      </w:r>
      <w:r w:rsidR="0058608D">
        <w:rPr>
          <w:rFonts w:ascii="Times New Roman" w:hAnsi="Times New Roman" w:cs="Times New Roman"/>
          <w:sz w:val="24"/>
          <w:szCs w:val="24"/>
        </w:rPr>
        <w:fldChar w:fldCharType="end"/>
      </w:r>
      <w:r w:rsidR="00AA6DE4">
        <w:rPr>
          <w:rFonts w:ascii="Times New Roman" w:hAnsi="Times New Roman" w:cs="Times New Roman"/>
          <w:sz w:val="24"/>
          <w:szCs w:val="24"/>
        </w:rPr>
        <w:t xml:space="preserve"> </w:t>
      </w:r>
      <w:r w:rsidR="0099445E">
        <w:rPr>
          <w:rFonts w:ascii="Times New Roman" w:hAnsi="Times New Roman" w:cs="Times New Roman"/>
          <w:sz w:val="24"/>
          <w:szCs w:val="24"/>
        </w:rPr>
        <w:t>are</w:t>
      </w:r>
      <w:r w:rsidR="00AA6DE4">
        <w:rPr>
          <w:rFonts w:ascii="Times New Roman" w:hAnsi="Times New Roman" w:cs="Times New Roman"/>
          <w:sz w:val="24"/>
          <w:szCs w:val="24"/>
        </w:rPr>
        <w:t xml:space="preserve"> associated with adolescent alcohol use. Brain imaging studies</w:t>
      </w:r>
      <w:r w:rsidR="00DD34D5">
        <w:rPr>
          <w:rFonts w:ascii="Times New Roman" w:hAnsi="Times New Roman" w:cs="Times New Roman"/>
          <w:sz w:val="24"/>
          <w:szCs w:val="24"/>
        </w:rPr>
        <w:t xml:space="preserve"> examining singletons</w:t>
      </w:r>
      <w:r w:rsidR="00AA6DE4">
        <w:rPr>
          <w:rFonts w:ascii="Times New Roman" w:hAnsi="Times New Roman" w:cs="Times New Roman"/>
          <w:sz w:val="24"/>
          <w:szCs w:val="24"/>
        </w:rPr>
        <w:t xml:space="preserve"> </w:t>
      </w:r>
      <w:r w:rsidR="0099445E">
        <w:rPr>
          <w:rFonts w:ascii="Times New Roman" w:hAnsi="Times New Roman" w:cs="Times New Roman"/>
          <w:sz w:val="24"/>
          <w:szCs w:val="24"/>
        </w:rPr>
        <w:t xml:space="preserve">have </w:t>
      </w:r>
      <w:r w:rsidR="00AA6DE4">
        <w:rPr>
          <w:rFonts w:ascii="Times New Roman" w:hAnsi="Times New Roman" w:cs="Times New Roman"/>
          <w:sz w:val="24"/>
          <w:szCs w:val="24"/>
        </w:rPr>
        <w:t xml:space="preserve">found that </w:t>
      </w:r>
      <w:r w:rsidR="00802FC4">
        <w:rPr>
          <w:rFonts w:ascii="Times New Roman" w:hAnsi="Times New Roman" w:cs="Times New Roman"/>
          <w:sz w:val="24"/>
          <w:szCs w:val="24"/>
        </w:rPr>
        <w:t>young people with</w:t>
      </w:r>
      <w:r w:rsidR="00D66791">
        <w:rPr>
          <w:rFonts w:ascii="Times New Roman" w:hAnsi="Times New Roman" w:cs="Times New Roman"/>
          <w:sz w:val="24"/>
          <w:szCs w:val="24"/>
        </w:rPr>
        <w:t xml:space="preserve"> </w:t>
      </w:r>
      <w:r w:rsidR="00555649">
        <w:rPr>
          <w:rFonts w:ascii="Times New Roman" w:hAnsi="Times New Roman" w:cs="Times New Roman"/>
          <w:sz w:val="24"/>
          <w:szCs w:val="24"/>
        </w:rPr>
        <w:t xml:space="preserve">alcohol use </w:t>
      </w:r>
      <w:r w:rsidR="00802FC4">
        <w:rPr>
          <w:rFonts w:ascii="Times New Roman" w:hAnsi="Times New Roman" w:cs="Times New Roman"/>
          <w:sz w:val="24"/>
          <w:szCs w:val="24"/>
        </w:rPr>
        <w:t xml:space="preserve">disorders </w:t>
      </w:r>
      <w:r w:rsidR="00A10848">
        <w:rPr>
          <w:rFonts w:ascii="Times New Roman" w:hAnsi="Times New Roman" w:cs="Times New Roman"/>
          <w:sz w:val="24"/>
          <w:szCs w:val="24"/>
        </w:rPr>
        <w:t>have</w:t>
      </w:r>
      <w:r w:rsidR="00555649">
        <w:rPr>
          <w:rFonts w:ascii="Times New Roman" w:hAnsi="Times New Roman" w:cs="Times New Roman"/>
          <w:sz w:val="24"/>
          <w:szCs w:val="24"/>
        </w:rPr>
        <w:t xml:space="preserve"> </w:t>
      </w:r>
      <w:r w:rsidR="00D66791">
        <w:rPr>
          <w:rFonts w:ascii="Times New Roman" w:hAnsi="Times New Roman" w:cs="Times New Roman"/>
          <w:sz w:val="24"/>
          <w:szCs w:val="24"/>
        </w:rPr>
        <w:t>smaller hippocampal volumes</w:t>
      </w:r>
      <w:r w:rsidR="00555649">
        <w:rPr>
          <w:rFonts w:ascii="Times New Roman" w:hAnsi="Times New Roman" w:cs="Times New Roman"/>
          <w:sz w:val="24"/>
          <w:szCs w:val="24"/>
        </w:rPr>
        <w:t xml:space="preserve"> </w:t>
      </w:r>
      <w:r w:rsidR="00555649">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"10.1176/appi.ajp.157.5.737", "ISSN" : "0002-953X (Print)", "PMID" : "10784466", "abstract" : "OBJECTIVE: Alcohol use disorders (defined as DSM-IV alcohol dependence or abuse) are prevalent and serious problems among adolescents. As adolescence is marked by progressive hippocampal development, this brain region may be particularly susceptible to the adverse effects of adolescent alcohol use disorders. This study compared the hippocampal volumes of adolescents and young adults with adolescent-onset alcohol use disorders to those of healthy matched comparison subjects. METHOD: Magnetic resonance imaging was used to measure the hippocampal volumes and volumes of comparison brain regions in 12 subjects with alcohol use disorders and 24 comparison subjects matched on age, sex, and handedness. RESULTS: Both left and right hippocampal volumes were significantly smaller in subjects with alcohol use disorders than in comparison subjects. Total hippocampal volume correlated positively with the age at onset and negatively with the duration of the alcohol use disorder. Intracranial, cerebral, and cortical gray and white matter volumes and measures of the mid-sagittal area of the corpus callosum did not differ between groups. CONCLUSIONS: In the mature brain, chronic alcohol use disorders are associated with graded global brain dysmorphology. Although the etiology, neuropsychological consequences, and permanence of these hippocampal findings need to be further examined, these findings suggest that, during adolescence, the hippocampus may be particularly susceptible to the adverse effects of alcohol.", "author" : [ { "dropping-particle" : "", "family" : "Bellis", "given" : "M D", "non-dropping-particle" : "De", "parse-names" : false, "suffix" : "" }, { "dropping-particle" : "", "family" : "Clark", "given" : "D B", "non-dropping-particle" : "", "parse-names" : false, "suffix" : "" }, { "dropping-particle" : "", "family" : "Beers", "given" : "S R", "non-dropping-particle" : "", "parse-names" : false, "suffix" : "" }, { "dropping-particle" : "", "family" : "Soloff", "given" : "P H", "non-dropping-particle" : "", "parse-names" : false, "suffix" : "" }, { "dropping-particle" : "", "family" : "Boring", "given" : "A M", "non-dropping-particle" : "", "parse-names" : false, "suffix" : "" }, { "dropping-particle" : "", "family" : "Hall", "given" : "J", "non-dropping-particle" : "", "parse-names" : false, "suffix" : "" }, { "dropping-particle" : "", "family" : "Kersh", "given" : "A", "non-dropping-particle" : "", "parse-names" : false, "suffix" : "" }, { "dropping-particle" : "", "family" : "Keshavan", "given" : "M S", "non-dropping-particle" : "", "parse-names" : false, "suffix" : "" } ], "container-title" : "The American Journal of Psychiatry", "id" : "ITEM-1", "issue" : "5", "issued" : { "date-parts" : [ [ "2000", "5" ] ] }, "language" : "ENG", "page" : "737-744", "publisher-place" : "United States", "title" : "Hippocampal volume in adolescent-onset alcohol use disorders.", "type" : "article-journal", "volume" : "157" }, "uris" : [ "http://www.mendeley.com/documents/?uuid=e6308a7f-ec90-4d1b-9b90-c3ab4988ae62" ] }, { "id" : "ITEM-2", "itemData" : { "DOI" : "10.1016/j.pscychresns.2005.05.008", "ISSN" : "0165-1781 (Print)", "PMID" : "16054344", "abstract" : "Studies have suggested that teens with alcohol use disorder (AUD) can demonstrate memory deficits, but the underlying neuroanatomical substrates are unclear. The hippocampus is crucial to intact memory functioning, and it actively develops during adolescence. The current study attempted to replicate and extend previous findings suggesting that adolescents with AUD show smaller hippocampal volumes than healthy adolescents. Manual tracings of bilateral hippocampi were performed on structural magnetic resonance images of 14 adolescents (ages 15 to 17 years) with AUD and 17 healthy comparison teens. Intracranial, white, and gray matter volumes, as well as memory abilities, were also measured. Results revealed that adolescents with AUD had significantly smaller left hippocampal volumes than healthy teens, even after removal of teens with comorbid conduct disorder from the analyses. In contrast the groups did not differ in right hippocampal, intracranial, gray or white matter volumes, or memory performance. Hippocampal volumes were not related to alcohol-consumption rates. These findings indicate that adolescents with AUD, but free from other psychiatric comorbidities, have reduced left hippocampal volume. Because hippocampal volume did not relate to alcohol use characteristics, it is possible that premorbid volumetric differences could account for some of the observed group differences in hippocampal volume.", "author" : [ { "dropping-particle" : "", "family" : "Nagel", "given" : "Bonnie J", "non-dropping-particle" : "", "parse-names" : false, "suffix" : "" }, { "dropping-particle" : "", "family" : "Schweinsburg", "given" : "Alecia D", "non-dropping-particle" : "", "parse-names" : false, "suffix" : "" }, { "dropping-particle" : "", "family" : "Phan", "given" : "Vinh", "non-dropping-particle" : "", "parse-names" : false, "suffix" : "" }, { "dropping-particle" : "", "family" : "Tapert", "given" : "Susan F", "non-dropping-particle" : "", "parse-names" : false, "suffix" : "" } ], "container-title" : "Psychiatry Research", "id" : "ITEM-2", "issue" : "3", "issued" : { "date-parts" : [ [ "2005", "8" ] ] }, "language" : "eng", "page" : "181-190", "publisher-place" : "Ireland", "title" : "Reduced hippocampal volume among adolescents with alcohol use disorders without psychiatric comorbidity.", "type" : "article-journal", "volume" : "139" }, "uris" : [ "http://www.mendeley.com/documents/?uuid=a5d13458-7d09-492e-9d4d-966977a67fe6" ] } ], "mendeley" : { "formattedCitation" : "(De Bellis et al. 2000; Nagel et al. 2005)", "plainTextFormattedCitation" : "(De Bellis et al. 2000; Nagel et al. 2005)", "previouslyFormattedCitation" : "(De Bellis et al. 2000; Nagel et al. 2005)" }, "properties" : { "noteIndex" : 0 }, "schema" : "https://github.com/citation-style-language/schema/raw/master/csl-citation.json" }</w:instrText>
      </w:r>
      <w:r w:rsidR="00555649">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(De Bellis et al. 2000; Nagel et al. 2005)</w:t>
      </w:r>
      <w:r w:rsidR="00555649">
        <w:rPr>
          <w:rFonts w:ascii="Times New Roman" w:hAnsi="Times New Roman" w:cs="Times New Roman"/>
          <w:sz w:val="24"/>
          <w:szCs w:val="24"/>
        </w:rPr>
        <w:fldChar w:fldCharType="end"/>
      </w:r>
      <w:r w:rsidR="00555649">
        <w:rPr>
          <w:rFonts w:ascii="Times New Roman" w:hAnsi="Times New Roman" w:cs="Times New Roman"/>
          <w:sz w:val="24"/>
          <w:szCs w:val="24"/>
        </w:rPr>
        <w:t xml:space="preserve">, </w:t>
      </w:r>
      <w:r w:rsidR="00105D85">
        <w:rPr>
          <w:rFonts w:ascii="Times New Roman" w:hAnsi="Times New Roman" w:cs="Times New Roman"/>
          <w:sz w:val="24"/>
          <w:szCs w:val="24"/>
        </w:rPr>
        <w:t>prefrontal abnormalities at both the structural</w:t>
      </w:r>
      <w:r w:rsidR="00F224A4">
        <w:rPr>
          <w:rFonts w:ascii="Times New Roman" w:hAnsi="Times New Roman" w:cs="Times New Roman"/>
          <w:sz w:val="24"/>
          <w:szCs w:val="24"/>
        </w:rPr>
        <w:t xml:space="preserve"> </w:t>
      </w:r>
      <w:r w:rsidR="00F224A4">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"ISSN" : "0145-6008 (Print)", "PMID" : "16205359", "abstract" : "BACKGROUND: In adults, prefrontal, thalamic, and cerebellar brain injury is associated with excessive ethanol intake. As these brain structures are actively maturing during adolescence, we hypothesized that subjects with adolescent-onset alcohol use disorders, compared with control subjects, would have smaller brain volumes in these areas. Thus, we compared prefrontal-thalamic-cerebellar measures of adolescents and young adults with adolescent-onset alcohol use disorders (AUD, defined as DSM-IV alcohol dependence or abuse) with those of sociodemographically similar control subjects. METHODS: Magnetic resonance imaging was used to measure prefrontal cortex, thalamic, and cerebellar volumes in 14 subjects (eight males, six females) with an AUD (mean age, 17.0+/-2.1 years) and 28 control subjects (16 males, 12 females; 16.9+/-2.3 years). All AUD subjects were recruited from substance abuse treatment programs and had comorbid mental disorders. RESULTS: Subjects with alcohol use disorders had smaller prefrontal cortex and prefrontal cortex white matter volumes compared with control subjects. Right, left, and total thalamic, pons/brainstem, right and left cerebellar hemispheric, total cerebellar, and cerebellar vermis volumes did not differ between groups. There was a significant sex-by-group effect, indicating that males with an adolescent-onset AUD compared with control males had smaller cerebellar volumes, whereas the two female groups did not differ in cerebellar volumes. Prefrontal cortex volume variables significantly correlated with measures of alcohol consumption. CONCLUSIONS: These findings suggest that a smaller prefrontal cortex is associated with early-onset drinking in individuals with comorbid mental disorders. Further studies are warranted to examine if a smaller prefrontal cortex represents a vulnerability to, or a consequence of, early-onset drinking.", "author" : [ { "dropping-particle" : "", "family" : "Bellis", "given" : "Michael D", "non-dropping-particle" : "De", "parse-names" : false, "suffix" : "" }, { "dropping-particle" : "", "family" : "Narasimhan", "given" : "Anandhi", "non-dropping-particle" : "", "parse-names" : false, "suffix" : "" }, { "dropping-particle" : "", "family" : "Thatcher", "given" : "Dawn L", "non-dropping-particle" : "", "parse-names" : false, "suffix" : "" }, { "dropping-particle" : "", "family" : "Keshavan", "given" : "Matcheri S", "non-dropping-particle" : "", "parse-names" : false, "suffix" : "" }, { "dropping-particle" : "", "family" : "Soloff", "given" : "Paul", "non-dropping-particle" : "", "parse-names" : false, "suffix" : "" }, { "dropping-particle" : "", "family" : "Clark", "given" : "Duncan B", "non-dropping-particle" : "", "parse-names" : false, "suffix" : "" } ], "container-title" : "Alcoholism, Clinical and Experimental Research", "id" : "ITEM-1", "issue" : "9", "issued" : { "date-parts" : [ [ "2005", "9" ] ] }, "language" : "eng", "page" : "1590-1600", "publisher-place" : "England", "title" : "Prefrontal cortex, thalamus, and cerebellar volumes in adolescents and young adults with adolescent-onset alcohol use disorders and comorbid mental disorders.", "type" : "article-journal", "volume" : "29" }, "uris" : [ "http://www.mendeley.com/documents/?uuid=7cd10f29-440f-4835-9ec1-8b5f31dde6f4" ] } ], "mendeley" : { "formattedCitation" : "(De Bellis et al. 2005)", "plainTextFormattedCitation" : "(De Bellis et al. 2005)", "previouslyFormattedCitation" : "(De Bellis et al. 2005)" }, "properties" : { "noteIndex" : 0 }, "schema" : "https://github.com/citation-style-language/schema/raw/master/csl-citation.json" }</w:instrText>
      </w:r>
      <w:r w:rsidR="00F224A4">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(De Bellis et al. 2005)</w:t>
      </w:r>
      <w:r w:rsidR="00F224A4">
        <w:rPr>
          <w:rFonts w:ascii="Times New Roman" w:hAnsi="Times New Roman" w:cs="Times New Roman"/>
          <w:sz w:val="24"/>
          <w:szCs w:val="24"/>
        </w:rPr>
        <w:fldChar w:fldCharType="end"/>
      </w:r>
      <w:r w:rsidR="006F7C87">
        <w:rPr>
          <w:rFonts w:ascii="Times New Roman" w:hAnsi="Times New Roman" w:cs="Times New Roman"/>
          <w:sz w:val="24"/>
          <w:szCs w:val="24"/>
        </w:rPr>
        <w:t xml:space="preserve"> </w:t>
      </w:r>
      <w:r w:rsidR="00105D85">
        <w:rPr>
          <w:rFonts w:ascii="Times New Roman" w:hAnsi="Times New Roman" w:cs="Times New Roman"/>
          <w:sz w:val="24"/>
          <w:szCs w:val="24"/>
        </w:rPr>
        <w:t>and functional</w:t>
      </w:r>
      <w:r w:rsidR="006F7C87">
        <w:rPr>
          <w:rFonts w:ascii="Times New Roman" w:hAnsi="Times New Roman" w:cs="Times New Roman"/>
          <w:sz w:val="24"/>
          <w:szCs w:val="24"/>
        </w:rPr>
        <w:t xml:space="preserve"> </w:t>
      </w:r>
      <w:r w:rsidR="00105D85">
        <w:rPr>
          <w:rFonts w:ascii="Times New Roman" w:hAnsi="Times New Roman" w:cs="Times New Roman"/>
          <w:sz w:val="24"/>
          <w:szCs w:val="24"/>
        </w:rPr>
        <w:t>levels</w:t>
      </w:r>
      <w:r w:rsidR="00116D62">
        <w:rPr>
          <w:rFonts w:ascii="Times New Roman" w:hAnsi="Times New Roman" w:cs="Times New Roman"/>
          <w:sz w:val="24"/>
          <w:szCs w:val="24"/>
        </w:rPr>
        <w:t xml:space="preserve"> </w:t>
      </w:r>
      <w:r w:rsidR="00116D62">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"ISSN" : "0145-6008 (Print)", "PMID" : "15597092", "abstract" : "BACKGROUND: Previous studies have suggested neural disruption and reorganization in young and older adults with alcohol use disorders (AUD). However, it remains unclear at what age and when in the progression of AUD changes in brain functioning might occur. METHODS: Alcohol use disordered (n = 15) and nonabusing (n = 19) boys and girls aged 15 to 17 were recruited from local high schools. Functional magnetic resonance imaging data were collected after a minimum of 5 days' abstinence as participants performed spatial working memory and simple motor tasks. RESULTS: Adolescents with AUD showed greater brain response to the spatial working memory task in bilateral parietal cortices and diminished response in other regions, including the left precentral gyrus and bilateral cerebellar areas (clusters &gt; or =943 microl; p &lt; 0.05), although groups did not differ on behavioral measures of task performance. No brain response differences were observed during a simple finger-tapping task. The degree of abnormality was greater for teens who reported experiencing more withdrawal or hangover symptoms and who consumed more alcohol. CONCLUSIONS: Adolescents with AUD show abnormalities in brain response to a spatial working memory task, despite adequate performance, suggesting that subtle neuronal reorganization may occur early in the course of AUD.", "author" : [ { "dropping-particle" : "", "family" : "Tapert", "given" : "Susan F", "non-dropping-particle" : "", "parse-names" : false, "suffix" : "" }, { "dropping-particle" : "", "family" : "Schweinsburg", "given" : "Alecia D", "non-dropping-particle" : "", "parse-names" : false, "suffix" : "" }, { "dropping-particle" : "", "family" : "Barlett", "given" : "Valerie C", "non-dropping-particle" : "", "parse-names" : false, "suffix" : "" }, { "dropping-particle" : "", "family" : "Brown", "given" : "Sandra A", "non-dropping-particle" : "", "parse-names" : false, "suffix" : "" }, { "dropping-particle" : "", "family" : "Frank", "given" : "Lawrence R", "non-dropping-particle" : "", "parse-names" : false, "suffix" : "" }, { "dropping-particle" : "", "family" : "Brown", "given" : "Gregory G", "non-dropping-particle" : "", "parse-names" : false, "suffix" : "" }, { "dropping-particle" : "", "family" : "Meloy", "given" : "M J", "non-dropping-particle" : "", "parse-names" : false, "suffix" : "" } ], "container-title" : "Alcoholism, Clinical and Experimental Research", "id" : "ITEM-1", "issue" : "10", "issued" : { "date-parts" : [ [ "2004", "10" ] ] }, "language" : "eng", "page" : "1577-1586", "publisher-place" : "England", "title" : "Blood oxygen level dependent response and spatial working memory in adolescents with alcohol use disorders.", "type" : "article-journal", "volume" : "28" }, "uris" : [ "http://www.mendeley.com/documents/?uuid=ed28b2d3-af3f-47d9-a4ef-64c41a2974de" ] } ], "mendeley" : { "formattedCitation" : "(Tapert et al. 2004)", "plainTextFormattedCitation" : "(Tapert et al. 2004)", "previouslyFormattedCitation" : "(Tapert et al. 2004)" }, "properties" : { "noteIndex" : 0 }, "schema" : "https://github.com/citation-style-language/schema/raw/master/csl-citation.json" }</w:instrText>
      </w:r>
      <w:r w:rsidR="00116D62">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(Tapert et al. 2004)</w:t>
      </w:r>
      <w:r w:rsidR="00116D62">
        <w:rPr>
          <w:rFonts w:ascii="Times New Roman" w:hAnsi="Times New Roman" w:cs="Times New Roman"/>
          <w:sz w:val="24"/>
          <w:szCs w:val="24"/>
        </w:rPr>
        <w:fldChar w:fldCharType="end"/>
      </w:r>
      <w:r w:rsidR="00555649">
        <w:rPr>
          <w:rFonts w:ascii="Times New Roman" w:hAnsi="Times New Roman" w:cs="Times New Roman"/>
          <w:sz w:val="24"/>
          <w:szCs w:val="24"/>
        </w:rPr>
        <w:t xml:space="preserve">, and </w:t>
      </w:r>
      <w:r w:rsidR="00007910">
        <w:rPr>
          <w:rFonts w:ascii="Times New Roman" w:hAnsi="Times New Roman" w:cs="Times New Roman"/>
          <w:sz w:val="24"/>
          <w:szCs w:val="24"/>
        </w:rPr>
        <w:t xml:space="preserve">damage to the </w:t>
      </w:r>
      <w:r w:rsidR="00555649">
        <w:rPr>
          <w:rFonts w:ascii="Times New Roman" w:hAnsi="Times New Roman" w:cs="Times New Roman"/>
          <w:sz w:val="24"/>
          <w:szCs w:val="24"/>
        </w:rPr>
        <w:t xml:space="preserve">frontal lobe </w:t>
      </w:r>
      <w:r w:rsidR="00555649">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"10.1016/j.pbb.2006.12.001", "ISSN" : "0091-3057 (Print)", "PMID" : "17222895", "abstract" : "Cortical growth and remodeling continues from birth through youth and adolescence to stable adult levels changing slowly into senescence. There are critical periods of cortical development when specific experiences drive major synaptic rearrangements and learning that only occur during the critical period. For example, visual cortex is characterized by a critical period of plasticity involved in establishing visual acuity. Adolescence is defined by characteristic behaviors that include high levels of risk taking, exploration, novelty and sensation seeking, social interaction and play behaviors. In addition, adolescence is the final period of development of the adult during which talents, reasoning and complex adult behaviors mature. This maturation of behaviors corresponds with periods of marked changes in neurogenesis, cortical synaptic remodeling, neurotransmitter receptors and transporters, as well as major changes in hormones. Frontal cortical development is later in adolescence and likely contributes to refinement of reasoning, goal and priority setting, impulse control and evaluating long and short term rewards. Adolescent humans have high levels of binge drinking and experimentation with other drugs. This review presents findings supporting adolescence as a critical period of cortical development important for establishing life long adult characteristics that are disrupted by alcohol and drug use.", "author" : [ { "dropping-particle" : "", "family" : "Crews", "given" : "Fulton", "non-dropping-particle" : "", "parse-names" : false, "suffix" : "" }, { "dropping-particle" : "", "family" : "He", "given" : "Jun", "non-dropping-particle" : "", "parse-names" : false, "suffix" : "" }, { "dropping-particle" : "", "family" : "Hodge", "given" : "Clyde", "non-dropping-particle" : "", "parse-names" : false, "suffix" : "" } ], "container-title" : "Pharmacology, Biochemistry, and Behavior", "id" : "ITEM-1", "issue" : "2", "issued" : { "date-parts" : [ [ "2007", "2" ] ] }, "language" : "eng", "page" : "189-199", "publisher-place" : "United States", "title" : "Adolescent cortical development: a critical period of vulnerability for addiction.", "type" : "article-journal", "volume" : "86" }, "uris" : [ "http://www.mendeley.com/documents/?uuid=c33ad04b-b9e0-44d7-bf86-c5a9ecdffeca" ] } ], "mendeley" : { "formattedCitation" : "(Crews et al. 2007)", "plainTextFormattedCitation" : "(Crews et al. 2007)", "previouslyFormattedCitation" : "(Crews et al. 2007)" }, "properties" : { "noteIndex" : 0 }, "schema" : "https://github.com/citation-style-language/schema/raw/master/csl-citation.json" }</w:instrText>
      </w:r>
      <w:r w:rsidR="00555649">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(Crews et al. 2007)</w:t>
      </w:r>
      <w:r w:rsidR="00555649">
        <w:rPr>
          <w:rFonts w:ascii="Times New Roman" w:hAnsi="Times New Roman" w:cs="Times New Roman"/>
          <w:sz w:val="24"/>
          <w:szCs w:val="24"/>
        </w:rPr>
        <w:fldChar w:fldCharType="end"/>
      </w:r>
      <w:r w:rsidR="00555649">
        <w:rPr>
          <w:rFonts w:ascii="Times New Roman" w:hAnsi="Times New Roman" w:cs="Times New Roman"/>
          <w:sz w:val="24"/>
          <w:szCs w:val="24"/>
        </w:rPr>
        <w:t>.</w:t>
      </w:r>
      <w:r w:rsidR="00E126BE">
        <w:rPr>
          <w:rFonts w:ascii="Times New Roman" w:hAnsi="Times New Roman" w:cs="Times New Roman"/>
          <w:sz w:val="24"/>
          <w:szCs w:val="24"/>
        </w:rPr>
        <w:t xml:space="preserve"> </w:t>
      </w:r>
      <w:r w:rsidR="002F0DB5">
        <w:rPr>
          <w:rFonts w:ascii="Times New Roman" w:hAnsi="Times New Roman" w:cs="Times New Roman"/>
          <w:sz w:val="24"/>
          <w:szCs w:val="24"/>
        </w:rPr>
        <w:t>Taken together, t</w:t>
      </w:r>
      <w:r w:rsidR="005E49E4">
        <w:rPr>
          <w:rFonts w:ascii="Times New Roman" w:hAnsi="Times New Roman" w:cs="Times New Roman"/>
          <w:sz w:val="24"/>
          <w:szCs w:val="24"/>
        </w:rPr>
        <w:t>hese f</w:t>
      </w:r>
      <w:r w:rsidR="005E49E4" w:rsidRPr="00CA3817">
        <w:rPr>
          <w:rFonts w:ascii="Times New Roman" w:hAnsi="Times New Roman" w:cs="Times New Roman"/>
          <w:sz w:val="24"/>
          <w:szCs w:val="24"/>
        </w:rPr>
        <w:t xml:space="preserve">indings suggest that alcohol </w:t>
      </w:r>
      <w:r w:rsidR="00166E5E">
        <w:rPr>
          <w:rFonts w:ascii="Times New Roman" w:hAnsi="Times New Roman" w:cs="Times New Roman"/>
          <w:sz w:val="24"/>
          <w:szCs w:val="24"/>
        </w:rPr>
        <w:t xml:space="preserve">use </w:t>
      </w:r>
      <w:r w:rsidR="005E49E4" w:rsidRPr="00CA3817">
        <w:rPr>
          <w:rFonts w:ascii="Times New Roman" w:hAnsi="Times New Roman" w:cs="Times New Roman"/>
          <w:sz w:val="24"/>
          <w:szCs w:val="24"/>
        </w:rPr>
        <w:t xml:space="preserve">during adolescence may </w:t>
      </w:r>
      <w:r w:rsidR="005E49E4">
        <w:rPr>
          <w:rFonts w:ascii="Times New Roman" w:hAnsi="Times New Roman" w:cs="Times New Roman"/>
          <w:sz w:val="24"/>
          <w:szCs w:val="24"/>
        </w:rPr>
        <w:t>be associated with</w:t>
      </w:r>
      <w:r w:rsidR="005E49E4" w:rsidRPr="00CA3817">
        <w:rPr>
          <w:rFonts w:ascii="Times New Roman" w:hAnsi="Times New Roman" w:cs="Times New Roman"/>
          <w:sz w:val="24"/>
          <w:szCs w:val="24"/>
        </w:rPr>
        <w:t xml:space="preserve"> risks for neurocognitive deficits</w:t>
      </w:r>
      <w:r w:rsidR="0044402F">
        <w:rPr>
          <w:rFonts w:ascii="Times New Roman" w:hAnsi="Times New Roman" w:cs="Times New Roman"/>
          <w:sz w:val="24"/>
          <w:szCs w:val="24"/>
        </w:rPr>
        <w:t xml:space="preserve">, however the direction of the association </w:t>
      </w:r>
      <w:r w:rsidR="00261A4C">
        <w:rPr>
          <w:rFonts w:ascii="Times New Roman" w:hAnsi="Times New Roman" w:cs="Times New Roman"/>
          <w:sz w:val="24"/>
          <w:szCs w:val="24"/>
        </w:rPr>
        <w:t>is not clear</w:t>
      </w:r>
      <w:r w:rsidR="005E49E4" w:rsidRPr="00CA3817">
        <w:rPr>
          <w:rFonts w:ascii="Times New Roman" w:hAnsi="Times New Roman" w:cs="Times New Roman"/>
          <w:sz w:val="24"/>
          <w:szCs w:val="24"/>
        </w:rPr>
        <w:t>.</w:t>
      </w:r>
    </w:p>
    <w:p w14:paraId="55866919" w14:textId="6C17C439" w:rsidR="00F2273A" w:rsidRDefault="00554AA0" w:rsidP="005E49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D547AB">
        <w:rPr>
          <w:rFonts w:ascii="Times New Roman" w:hAnsi="Times New Roman" w:cs="Times New Roman"/>
          <w:sz w:val="24"/>
          <w:szCs w:val="24"/>
        </w:rPr>
        <w:t>tudies that have examined the prospective association</w:t>
      </w:r>
      <w:r w:rsidR="003239F0">
        <w:rPr>
          <w:rFonts w:ascii="Times New Roman" w:hAnsi="Times New Roman" w:cs="Times New Roman"/>
          <w:sz w:val="24"/>
          <w:szCs w:val="24"/>
        </w:rPr>
        <w:t xml:space="preserve"> between alcohol use and WM </w:t>
      </w:r>
      <w:r w:rsidR="00EE1335">
        <w:rPr>
          <w:rFonts w:ascii="Times New Roman" w:hAnsi="Times New Roman" w:cs="Times New Roman"/>
          <w:sz w:val="24"/>
          <w:szCs w:val="24"/>
        </w:rPr>
        <w:t>functioning</w:t>
      </w:r>
      <w:r w:rsidR="003239F0">
        <w:rPr>
          <w:rFonts w:ascii="Times New Roman" w:hAnsi="Times New Roman" w:cs="Times New Roman"/>
          <w:sz w:val="24"/>
          <w:szCs w:val="24"/>
        </w:rPr>
        <w:t xml:space="preserve"> </w:t>
      </w:r>
      <w:r w:rsidR="005F678A">
        <w:rPr>
          <w:rFonts w:ascii="Times New Roman" w:hAnsi="Times New Roman" w:cs="Times New Roman"/>
          <w:sz w:val="24"/>
          <w:szCs w:val="24"/>
        </w:rPr>
        <w:t xml:space="preserve">using both brain imaging and neuropsychological study designs </w:t>
      </w:r>
      <w:r w:rsidR="008C640C">
        <w:rPr>
          <w:rFonts w:ascii="Times New Roman" w:hAnsi="Times New Roman" w:cs="Times New Roman"/>
          <w:sz w:val="24"/>
          <w:szCs w:val="24"/>
        </w:rPr>
        <w:t xml:space="preserve">have largely revealed mixed findings. </w:t>
      </w:r>
      <w:r w:rsidR="00EE1335">
        <w:rPr>
          <w:rFonts w:ascii="Times New Roman" w:hAnsi="Times New Roman" w:cs="Times New Roman"/>
          <w:sz w:val="24"/>
          <w:szCs w:val="24"/>
        </w:rPr>
        <w:t>Some studies found that</w:t>
      </w:r>
      <w:r w:rsidR="008C640C">
        <w:rPr>
          <w:rFonts w:ascii="Times New Roman" w:hAnsi="Times New Roman" w:cs="Times New Roman"/>
          <w:sz w:val="24"/>
          <w:szCs w:val="24"/>
        </w:rPr>
        <w:t xml:space="preserve"> alcohol use preceded </w:t>
      </w:r>
      <w:r w:rsidR="009B63FB">
        <w:rPr>
          <w:rFonts w:ascii="Times New Roman" w:hAnsi="Times New Roman" w:cs="Times New Roman"/>
          <w:sz w:val="24"/>
          <w:szCs w:val="24"/>
        </w:rPr>
        <w:t>WM</w:t>
      </w:r>
      <w:r w:rsidR="00EE1335">
        <w:rPr>
          <w:rFonts w:ascii="Times New Roman" w:hAnsi="Times New Roman" w:cs="Times New Roman"/>
          <w:sz w:val="24"/>
          <w:szCs w:val="24"/>
        </w:rPr>
        <w:t xml:space="preserve"> functioning</w:t>
      </w:r>
      <w:r w:rsidR="005E49E4">
        <w:rPr>
          <w:rFonts w:ascii="Times New Roman" w:hAnsi="Times New Roman" w:cs="Times New Roman"/>
          <w:sz w:val="24"/>
          <w:szCs w:val="24"/>
        </w:rPr>
        <w:t xml:space="preserve"> </w:t>
      </w:r>
      <w:r w:rsidR="004B1995">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"10.1111/acer.12339", "ISSN" : "1530-0277 (Electronic)", "PMID" : "24460848", "abstract" : "BACKGROUND: Previous research has identified working memory (WM) as a possible risk factor for problem drinking in adolescence. At the same time, results suggest that WM functioning is negatively influenced by the use of alcohol. To get a better understanding of the nature of this relationship, the present study examined the prospective bidirectional association between alcohol use and WM in a sample of young adolescents at risk for problem drinking. METHODS: Adolescents were all 8th graders from 17 different Special Education Schools (for youth with externalizing behavior problems). At the beginning of the study, 374 adolescents participated (mean age of 13.6 years). Approximately every 6 months, adolescents completed a questionnaire to establish alcohol use and a Self-Ordered Pointing Task (SOPT) to assess WM. RESULTS: Cross-lagged analyses revealed that alcohol use at T1 negatively predicted WM functioning 6 months later (p &lt; 0.001). WM functioning at T2 and at T3 predicted alcohol use 6 months later (p &lt; 0.01). CONCLUSIONS: WM functioning has been identified as both risk factor for and as function negatively influenced by alcohol use. Findings indicate that early alcohol use in at-risk adolescents negatively influences the development of subsequent WM functioning, which in turn constitutes as a risk factor for later alcohol use problems. Implications for early interventions are discussed.", "author" : [ { "dropping-particle" : "", "family" : "Peeters", "given" : "Margot", "non-dropping-particle" : "", "parse-names" : false, "suffix" : "" }, { "dropping-particle" : "", "family" : "Monshouwer", "given" : "Karin", "non-dropping-particle" : "", "parse-names" : false, "suffix" : "" }, { "dropping-particle" : "", "family" : "Janssen", "given" : "Tim", "non-dropping-particle" : "", "parse-names" : false, "suffix" : "" }, { "dropping-particle" : "", "family" : "Wiers", "given" : "Reinout W", "non-dropping-particle" : "", "parse-names" : false, "suffix" : "" }, { "dropping-particle" : "", "family" : "Vollebergh", "given" : "Wilma A M", "non-dropping-particle" : "", "parse-names" : false, "suffix" : "" } ], "container-title" : "Alcoholism, Clinical and Experimental Research", "id" : "ITEM-1", "issue" : "4", "issued" : { "date-parts" : [ [ "2014", "4" ] ] }, "language" : "ENG", "page" : "1176-1183", "publisher-place" : "England", "title" : "Working memory and alcohol use in at-risk adolescents: a 2-year follow-up.", "type" : "article-journal", "volume" : "38" }, "uris" : [ "http://www.mendeley.com/documents/?uuid=db6c0ea1-7b86-4c1e-a1e6-0d027749ea32" ] }, { "id" : "ITEM-2", "itemData" : { "DOI" : "10.1177/155005940904000110", "ISBN" : "2122633255", "ISSN" : "1550-0594", "PMID" : "19278130", "abstract" : "Adolescence is a unique period in neurodevelopment. Alcohol and marijuana use are common. Recent research has indicated that adolescent substance users show abnormalities on measures of brain functioning, which is linked to changes in neurocognition over time. Abnormalities have been seen in brain structure volume, white matter quality, and activation to cognitive tasks, even in youth with as little as 1-2 years of heavy drinking and consumption levels of 20 drinks per month, especially if &gt; 4-5 drinks are consumed on a single occasion. Heavy marijuana users show some subtle anomalies too, but generally not the same degree of divergence from demographically similar non-using adolescents. This article reviews the extant literature on neurocognition, brain structure, and brain function in adolescent substance users with an emphasis on the most commonly used substances, and in the context of ongoing neuromaturational processes. Methodological and treatment implications are provided.", "author" : [ { "dropping-particle" : "", "family" : "Squeglia", "given" : "L M", "non-dropping-particle" : "", "parse-names" : false, "suffix" : "" }, { "dropping-particle" : "", "family" : "Jacobus", "given" : "J", "non-dropping-particle" : "", "parse-names" : false, "suffix" : "" }, { "dropping-particle" : "", "family" : "Tapert", "given" : "S F", "non-dropping-particle" : "", "parse-names" : false, "suffix" : "" } ], "container-title" : "Clinical EEG and Neuroscience", "id" : "ITEM-2", "issue" : "1", "issued" : { "date-parts" : [ [ "2009" ] ] }, "page" : "31-8", "title" : "The influence of substance use on adolescent brain development.", "type" : "article-journal", "volume" : "40" }, "uris" : [ "http://www.mendeley.com/documents/?uuid=04e7f9ce-e314-408d-bcd2-acebe0bd12f1" ] }, { "id" : "ITEM-3", "itemData" : { "ISSN" : "1938-4114 (Electronic)", "PMID" : "22846239", "abstract" : "OBJECTIVE: Many adolescents engage in heavy alcohol use. The aim of this study was to disentangle whether brain abnormalities seen in adolescent heavy drinkers are a consequence of heavy drinking, a preexisting risk factor for initiation of alcohol use, or both. METHOD: Study 1 used cross-sectional functional magnetic resonance imaging (fMRI) visual working-memory (VWM) data from 15- to 19-year-olds (20 heavy drinkers, 20 controls) to identify brain regions affected by heavy adolescent alcohol use. Study 2 used longitudinal fMRI VWM data from 12- to 16-year-olds imaged before the onset of drinking and imaged again on the same scanner approximately 3 years later. Those who had transitioned into heavy drinking (n = 20) were matched to continuous nondrinkers (n = 20) on baseline alcohol risk and developmental factors (N = 40; 80 scans). RESULTS: Study 1 found that heavy drinkers exhibited more frontal and parietal but less occipital activation than controls, defining the regions of interest for Study 2. In Study 2, adolescents who later transitioned into heavy drinking showed less fMRI response contrast at baseline than continuous nondrinkers, which increased after the onset of heavy drinking, in frontal (1,431 muL, p = .003; eta(2) = .19) and parietal (810 muL, p = .005; eta(2)= .23) regions, as in Study 1. Lower baseline activation in the frontal and parietal regions predicted subsequent substance use, more so than commonly observed predictors of youth drinking (p &lt; .05). CONCLUSIONS: Adolescents who initiated heavy drinking showed different brain activation before the onset of drinking, then less efficient information processing after high-dose alcohol use started. This suggests neural response patterns that could be risk factors for future substance use and also supports prior neuropsychological reports indicating that initiating heavy episodic drinking in adolescence may be followed by subtle alterations in brain functioning.", "author" : [ { "dropping-particle" : "", "family" : "Squeglia", "given" : "Lindsay M", "non-dropping-particle" : "", "parse-names" : false, "suffix" : "" }, { "dropping-particle" : "", "family" : "Pulido", "given" : "Carmen", "non-dropping-particle" : "", "parse-names" : false, "suffix" : "" }, { "dropping-particle" : "", "family" : "Wetherill", "given" : "Reagan R", "non-dropping-particle" : "", "parse-names" : false, "suffix" : "" }, { "dropping-particle" : "", "family" : "Jacobus", "given" : "Joanna", "non-dropping-particle" : "", "parse-names" : false, "suffix" : "" }, { "dropping-particle" : "", "family" : "Brown", "given" : "Gregory G", "non-dropping-particle" : "", "parse-names" : false, "suffix" : "" }, { "dropping-particle" : "", "family" : "Tapert", "given" : "Susan F", "non-dropping-particle" : "", "parse-names" : false, "suffix" : "" } ], "container-title" : "Journal of Studies on Alcohol and Drugs", "id" : "ITEM-3", "issue" : "5", "issued" : { "date-parts" : [ [ "2012", "9" ] ] }, "language" : "ENG", "page" : "749-760", "publisher-place" : "United States", "title" : "Brain response to working memory over three years of adolescence: influence of initiating heavy drinking.", "type" : "article-journal", "volume" : "73" }, "uris" : [ "http://www.mendeley.com/documents/?uuid=36378d90-b5ef-4b67-9f26-4aa9cda12371" ] } ], "mendeley" : { "formattedCitation" : "(Peeters et al. 2014; Squeglia et al. 2009; Squeglia et al. 2012)", "manualFormatting" : "(e.g., Peeters et al. 2014; Squeglia et al. 2009; Squeglia et al. 2012)", "plainTextFormattedCitation" : "(Peeters et al. 2014; Squeglia et al. 2009; Squeglia et al. 2012)", "previouslyFormattedCitation" : "(Peeters et al. 2014; Squeglia et al. 2009; Squeglia et al. 2012)" }, "properties" : { "noteIndex" : 0 }, "schema" : "https://github.com/citation-style-language/schema/raw/master/csl-citation.json" }</w:instrText>
      </w:r>
      <w:r w:rsidR="004B1995">
        <w:rPr>
          <w:rFonts w:ascii="Times New Roman" w:hAnsi="Times New Roman" w:cs="Times New Roman"/>
          <w:sz w:val="24"/>
          <w:szCs w:val="24"/>
        </w:rPr>
        <w:fldChar w:fldCharType="separate"/>
      </w:r>
      <w:r w:rsidR="004B1995" w:rsidRPr="004B1995">
        <w:rPr>
          <w:rFonts w:ascii="Times New Roman" w:hAnsi="Times New Roman" w:cs="Times New Roman"/>
          <w:noProof/>
          <w:sz w:val="24"/>
          <w:szCs w:val="24"/>
        </w:rPr>
        <w:t>(</w:t>
      </w:r>
      <w:r w:rsidR="004B1995">
        <w:rPr>
          <w:rFonts w:ascii="Times New Roman" w:hAnsi="Times New Roman" w:cs="Times New Roman"/>
          <w:noProof/>
          <w:sz w:val="24"/>
          <w:szCs w:val="24"/>
        </w:rPr>
        <w:t xml:space="preserve">e.g., </w:t>
      </w:r>
      <w:r w:rsidR="004B1995" w:rsidRPr="004B1995">
        <w:rPr>
          <w:rFonts w:ascii="Times New Roman" w:hAnsi="Times New Roman" w:cs="Times New Roman"/>
          <w:noProof/>
          <w:sz w:val="24"/>
          <w:szCs w:val="24"/>
        </w:rPr>
        <w:t>Peeters et al. 2014; Squeglia et al. 2009; Squeglia et al. 2012)</w:t>
      </w:r>
      <w:r w:rsidR="004B1995">
        <w:rPr>
          <w:rFonts w:ascii="Times New Roman" w:hAnsi="Times New Roman" w:cs="Times New Roman"/>
          <w:sz w:val="24"/>
          <w:szCs w:val="24"/>
        </w:rPr>
        <w:fldChar w:fldCharType="end"/>
      </w:r>
      <w:r w:rsidR="00EE1335">
        <w:rPr>
          <w:rFonts w:ascii="Times New Roman" w:hAnsi="Times New Roman" w:cs="Times New Roman"/>
          <w:sz w:val="24"/>
          <w:szCs w:val="24"/>
        </w:rPr>
        <w:t>;</w:t>
      </w:r>
      <w:r w:rsidR="004B1995">
        <w:rPr>
          <w:rFonts w:ascii="Times New Roman" w:hAnsi="Times New Roman" w:cs="Times New Roman"/>
          <w:sz w:val="24"/>
          <w:szCs w:val="24"/>
        </w:rPr>
        <w:t xml:space="preserve"> </w:t>
      </w:r>
      <w:r w:rsidR="005E49E4">
        <w:rPr>
          <w:rFonts w:ascii="Times New Roman" w:hAnsi="Times New Roman" w:cs="Times New Roman"/>
          <w:sz w:val="24"/>
          <w:szCs w:val="24"/>
        </w:rPr>
        <w:t xml:space="preserve">while others found </w:t>
      </w:r>
      <w:r w:rsidR="00530356">
        <w:rPr>
          <w:rFonts w:ascii="Times New Roman" w:hAnsi="Times New Roman" w:cs="Times New Roman"/>
          <w:sz w:val="24"/>
          <w:szCs w:val="24"/>
        </w:rPr>
        <w:t>evidence for the opposite direction</w:t>
      </w:r>
      <w:r w:rsidR="004B1995">
        <w:rPr>
          <w:rFonts w:ascii="Times New Roman" w:hAnsi="Times New Roman" w:cs="Times New Roman"/>
          <w:sz w:val="24"/>
          <w:szCs w:val="24"/>
        </w:rPr>
        <w:t xml:space="preserve"> (e.g.,</w:t>
      </w:r>
      <w:r w:rsidR="004B1995">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"10.1111/acer.12339", "ISSN" : "1530-0277 (Electronic)", "PMID" : "24460848", "abstract" : "BACKGROUND: Previous research has identified working memory (WM) as a possible risk factor for problem drinking in adolescence. At the same time, results suggest that WM functioning is negatively influenced by the use of alcohol. To get a better understanding of the nature of this relationship, the present study examined the prospective bidirectional association between alcohol use and WM in a sample of young adolescents at risk for problem drinking. METHODS: Adolescents were all 8th graders from 17 different Special Education Schools (for youth with externalizing behavior problems). At the beginning of the study, 374 adolescents participated (mean age of 13.6 years). Approximately every 6 months, adolescents completed a questionnaire to establish alcohol use and a Self-Ordered Pointing Task (SOPT) to assess WM. RESULTS: Cross-lagged analyses revealed that alcohol use at T1 negatively predicted WM functioning 6 months later (p &lt; 0.001). WM functioning at T2 and at T3 predicted alcohol use 6 months later (p &lt; 0.01). CONCLUSIONS: WM functioning has been identified as both risk factor for and as function negatively influenced by alcohol use. Findings indicate that early alcohol use in at-risk adolescents negatively influences the development of subsequent WM functioning, which in turn constitutes as a risk factor for later alcohol use problems. Implications for early interventions are discussed.", "author" : [ { "dropping-particle" : "", "family" : "Peeters", "given" : "Margot", "non-dropping-particle" : "", "parse-names" : false, "suffix" : "" }, { "dropping-particle" : "", "family" : "Monshouwer", "given" : "Karin", "non-dropping-particle" : "", "parse-names" : false, "suffix" : "" }, { "dropping-particle" : "", "family" : "Janssen", "given" : "Tim", "non-dropping-particle" : "", "parse-names" : false, "suffix" : "" }, { "dropping-particle" : "", "family" : "Wiers", "given" : "Reinout W", "non-dropping-particle" : "", "parse-names" : false, "suffix" : "" }, { "dropping-particle" : "", "family" : "Vollebergh", "given" : "Wilma A M", "non-dropping-particle" : "", "parse-names" : false, "suffix" : "" } ], "container-title" : "Alcoholism, Clinical and Experimental Research", "id" : "ITEM-1", "issue" : "4", "issued" : { "date-parts" : [ [ "2014", "4" ] ] }, "language" : "ENG", "page" : "1176-1183", "publisher-place" : "England", "title" : "Working memory and alcohol use in at-risk adolescents: a 2-year follow-up.", "type" : "article-journal", "volume" : "38" }, "uris" : [ "http://www.mendeley.com/documents/?uuid=db6c0ea1-7b86-4c1e-a1e6-0d027749ea32" ] }, { "id" : "ITEM-2", "itemData" : { "DOI" : "10.1016/j.dcn.2015.04.003", "ISBN" : "1878-9293", "ISSN" : "18789307", "PMID" : "25936585", "abstract" : "Recently, it has been suggested that impairments in executive functioning might be risk factors for the onset of alcohol use rather than a result of heavy alcohol use. In the present study, we examined whether two aspects of executive functioning, working memory and response inhibition, predicted the first alcoholic drink and first binge drinking episode in young adolescents using discrete survival analyses. Adolescents were selected from several Dutch secondary schools including both mainstream and special education (externalizing behavioral problems). Participants were 534 adolescents between 12 and 14 years at baseline. Executive functioning and alcohol use were assessed four times over a period of two years. Working memory uniquely predicted the onset of first drink (p\u00a0=\u00a0.01) and first binge drinking episode (p\u00a0=\u00a0.04) while response inhibition only uniquely predicted the initiating of the first drink (p\u00a0=\u00a0.01). These results suggest that the association of executive functioning and alcohol consumption found in former studies cannot simply be interpreted as an effect of alcohol consumption, as weaknesses in executive functioning, found in alcohol na\u00efve adolescents, predict the initiating of (binge) drinking. Though, prolonged and heavy alcohol use might further weaken already existing deficiencies.", "author" : [ { "dropping-particle" : "", "family" : "Peeters", "given" : "Margot", "non-dropping-particle" : "", "parse-names" : false, "suffix" : "" }, { "dropping-particle" : "", "family" : "Janssen", "given" : "Tim", "non-dropping-particle" : "", "parse-names" : false, "suffix" : "" }, { "dropping-particle" : "", "family" : "Monshouwer", "given" : "Karin", "non-dropping-particle" : "", "parse-names" : false, "suffix" : "" }, { "dropping-particle" : "", "family" : "Boendermaker", "given" : "Wouter", "non-dropping-particle" : "", "parse-names" : false, "suffix" : "" }, { "dropping-particle" : "", "family" : "Pronk", "given" : "Thomas", "non-dropping-particle" : "", "parse-names" : false, "suffix" : "" }, { "dropping-particle" : "", "family" : "Wiers", "given" : "Reinout", "non-dropping-particle" : "", "parse-names" : false, "suffix" : "" }, { "dropping-particle" : "", "family" : "Vollebergh", "given" : "Wilma", "non-dropping-particle" : "", "parse-names" : false, "suffix" : "" } ], "container-title" : "Developmental Cognitive Neuroscience", "id" : "ITEM-2", "issued" : { "date-parts" : [ [ "2015" ] ] }, "page" : "139-146", "publisher" : "Elsevier Ltd", "title" : "Weaknesses in executive functioning predict the initiating of adolescents\u2019 alcohol use", "type" : "article-journal", "volume" : "16" }, "uris" : [ "http://www.mendeley.com/documents/?uuid=c10c2ffc-188d-4c8d-ae1d-98d0aca4cce0" ] } ], "mendeley" : { "formattedCitation" : "(Peeters et al. 2014; Peeters et al. 2015)", "manualFormatting" : " Peeters et al. 2014; Peeters et al. 2015)", "plainTextFormattedCitation" : "(Peeters et al. 2014; Peeters et al. 2015)", "previouslyFormattedCitation" : "(Peeters et al. 2014; Peeters et al. 2015)" }, "properties" : { "noteIndex" : 0 }, "schema" : "https://github.com/citation-style-language/schema/raw/master/csl-citation.json" }</w:instrText>
      </w:r>
      <w:r w:rsidR="004B1995">
        <w:rPr>
          <w:rFonts w:ascii="Times New Roman" w:hAnsi="Times New Roman" w:cs="Times New Roman"/>
          <w:sz w:val="24"/>
          <w:szCs w:val="24"/>
        </w:rPr>
        <w:fldChar w:fldCharType="separate"/>
      </w:r>
      <w:r w:rsidR="004B1995">
        <w:rPr>
          <w:rFonts w:ascii="Times New Roman" w:hAnsi="Times New Roman" w:cs="Times New Roman"/>
          <w:noProof/>
          <w:sz w:val="24"/>
          <w:szCs w:val="24"/>
        </w:rPr>
        <w:t xml:space="preserve"> </w:t>
      </w:r>
      <w:r w:rsidR="004B1995" w:rsidRPr="004B1995">
        <w:rPr>
          <w:rFonts w:ascii="Times New Roman" w:hAnsi="Times New Roman" w:cs="Times New Roman"/>
          <w:noProof/>
          <w:sz w:val="24"/>
          <w:szCs w:val="24"/>
        </w:rPr>
        <w:t>Peeters et al. 2014; Peeters et al. 2015)</w:t>
      </w:r>
      <w:r w:rsidR="004B1995">
        <w:rPr>
          <w:rFonts w:ascii="Times New Roman" w:hAnsi="Times New Roman" w:cs="Times New Roman"/>
          <w:sz w:val="24"/>
          <w:szCs w:val="24"/>
        </w:rPr>
        <w:fldChar w:fldCharType="end"/>
      </w:r>
      <w:r w:rsidR="005E49E4">
        <w:rPr>
          <w:rFonts w:ascii="Times New Roman" w:hAnsi="Times New Roman" w:cs="Times New Roman"/>
          <w:sz w:val="24"/>
          <w:szCs w:val="24"/>
        </w:rPr>
        <w:t xml:space="preserve">, in that, </w:t>
      </w:r>
      <w:r w:rsidR="00F512DB" w:rsidRPr="00F512DB">
        <w:rPr>
          <w:rFonts w:ascii="Times New Roman" w:hAnsi="Times New Roman" w:cs="Times New Roman"/>
          <w:sz w:val="24"/>
          <w:szCs w:val="24"/>
        </w:rPr>
        <w:t>adolescents with poor WM may be at</w:t>
      </w:r>
      <w:r w:rsidR="00AF7F24">
        <w:rPr>
          <w:rFonts w:ascii="Times New Roman" w:hAnsi="Times New Roman" w:cs="Times New Roman"/>
          <w:sz w:val="24"/>
          <w:szCs w:val="24"/>
        </w:rPr>
        <w:t xml:space="preserve"> increased</w:t>
      </w:r>
      <w:r w:rsidR="00F512DB" w:rsidRPr="00F512DB">
        <w:rPr>
          <w:rFonts w:ascii="Times New Roman" w:hAnsi="Times New Roman" w:cs="Times New Roman"/>
          <w:sz w:val="24"/>
          <w:szCs w:val="24"/>
        </w:rPr>
        <w:t xml:space="preserve"> risk of developing alcohol problems</w:t>
      </w:r>
      <w:r w:rsidR="005E49E4">
        <w:rPr>
          <w:rFonts w:ascii="Times New Roman" w:hAnsi="Times New Roman" w:cs="Times New Roman"/>
          <w:sz w:val="24"/>
          <w:szCs w:val="24"/>
        </w:rPr>
        <w:t xml:space="preserve">. </w:t>
      </w:r>
      <w:r w:rsidR="004B1995">
        <w:rPr>
          <w:rFonts w:ascii="Times New Roman" w:hAnsi="Times New Roman" w:cs="Times New Roman"/>
          <w:sz w:val="24"/>
          <w:szCs w:val="24"/>
        </w:rPr>
        <w:t xml:space="preserve"> </w:t>
      </w:r>
    </w:p>
    <w:p w14:paraId="7B06A56F" w14:textId="743E75E8" w:rsidR="00AA6890" w:rsidRDefault="007A002A" w:rsidP="005E49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Evidence from </w:t>
      </w:r>
      <w:r w:rsidR="003B7116">
        <w:rPr>
          <w:rFonts w:ascii="Times New Roman" w:hAnsi="Times New Roman" w:cs="Times New Roman"/>
          <w:sz w:val="24"/>
          <w:szCs w:val="24"/>
        </w:rPr>
        <w:t xml:space="preserve">the limited number of </w:t>
      </w:r>
      <w:r w:rsidR="00176D32">
        <w:rPr>
          <w:rFonts w:ascii="Times New Roman" w:hAnsi="Times New Roman" w:cs="Times New Roman"/>
          <w:sz w:val="24"/>
          <w:szCs w:val="24"/>
        </w:rPr>
        <w:t xml:space="preserve">prospective </w:t>
      </w:r>
      <w:r>
        <w:rPr>
          <w:rFonts w:ascii="Times New Roman" w:hAnsi="Times New Roman" w:cs="Times New Roman"/>
          <w:sz w:val="24"/>
          <w:szCs w:val="24"/>
        </w:rPr>
        <w:t>community samples</w:t>
      </w:r>
      <w:r w:rsidR="003B7116">
        <w:rPr>
          <w:rFonts w:ascii="Times New Roman" w:hAnsi="Times New Roman" w:cs="Times New Roman"/>
          <w:sz w:val="24"/>
          <w:szCs w:val="24"/>
        </w:rPr>
        <w:t xml:space="preserve"> that have examined this relationship have shown </w:t>
      </w:r>
      <w:r w:rsidR="006413D0">
        <w:rPr>
          <w:rFonts w:ascii="Times New Roman" w:hAnsi="Times New Roman" w:cs="Times New Roman"/>
          <w:sz w:val="24"/>
          <w:szCs w:val="24"/>
        </w:rPr>
        <w:t>an equally conflicting</w:t>
      </w:r>
      <w:r w:rsidR="003B7116">
        <w:rPr>
          <w:rFonts w:ascii="Times New Roman" w:hAnsi="Times New Roman" w:cs="Times New Roman"/>
          <w:sz w:val="24"/>
          <w:szCs w:val="24"/>
        </w:rPr>
        <w:t xml:space="preserve"> pattern of results.</w:t>
      </w:r>
      <w:r w:rsidR="00B35DEB">
        <w:rPr>
          <w:rFonts w:ascii="Times New Roman" w:hAnsi="Times New Roman" w:cs="Times New Roman"/>
          <w:sz w:val="24"/>
          <w:szCs w:val="24"/>
        </w:rPr>
        <w:t xml:space="preserve"> For example, </w:t>
      </w:r>
      <w:r w:rsidR="004B79A3">
        <w:rPr>
          <w:rFonts w:ascii="Times New Roman" w:hAnsi="Times New Roman" w:cs="Times New Roman"/>
          <w:sz w:val="24"/>
          <w:szCs w:val="24"/>
        </w:rPr>
        <w:fldChar w:fldCharType="begin" w:fldLock="1"/>
      </w:r>
      <w:r w:rsidR="00662A69">
        <w:rPr>
          <w:rFonts w:ascii="Times New Roman" w:hAnsi="Times New Roman" w:cs="Times New Roman"/>
          <w:sz w:val="24"/>
          <w:szCs w:val="24"/>
        </w:rPr>
        <w:instrText>ADDIN CSL_CITATION { "citationItems" : [ { "id" : "ITEM-1", "itemData" : { "DOI" : "10.1371/journal.pone.0139186", "ISBN" : "1932-6203", "ISSN" : "19326203", "PMID" : "26489080", "abstract" : "Excessive alcohol use is assumed to affect maturation of cognitive functioning in adolescence. However, most existing studies that have tested this hypothesis are seriously flawed due to the use of selective groups and/or cross-sectional designs, which limits the ability to draw firm conclusions. This longitudinal study investigated whether patterns of alcohol use predicted differences in maturation of executive functioning in adolescence. Additionally, gender was tested as a possible moderator. We used data from the Tracking Adolescents\u2019 Individual Lives Survey (TRAILS), which comprises a cohort of 2,230 Dutch adolescents. Maturation of executive functioning was measured by assessing the standardized improvement on each of four basic executive functions (i.e., inhibition, working memory, and shift- and sustained attention) between ages 11 and 19. Participants were assigned to one of six (heavy) drinking groups (i.e., non-drinkers, light drinkers, infrequent heavy drinkers, increased heavy drinkers, decreased heavy drinkers, and chronic heavy drinkers). We conducted linear regression analyses, and adjusted for relevant confounders. The six drinking groups did not reveal significant differences in maturation between drinking groups. E.g., maturation executive functioning of chronic heavy drinkers in comparison to non-drinkers; inhibition: B = -0.14, 95% CI [-0.41 to 0.14], working memory: B = -0.03, 95% CI [-0.26 to 0.21], shift attention: B = 0.13, 95% CI [-0.17 to 0.41], sustained attention: B = 0.12, 95% CI [-0.60 to 0.36]. Furthermore, gender was not found to be a significant moderator. Four years of weekly heavy drinking (i.e., chronic heavy drinkers) did not result in measurable impairments in four basic executive functions. Thus, regular heavy drinking in adolescence does not seem to affect these basic behavioural measures of executive functioning.", "author" : [ { "dropping-particle" : "", "family" : "Boelema", "given" : "Sarai R.", "non-dropping-particle" : "", "parse-names" : false, "suffix" : "" }, { "dropping-particle" : "", "family" : "Harakeh", "given" : "Zeena", "non-dropping-particle" : "", "parse-names" : false, "suffix" : "" }, { "dropping-particle" : "", "family" : "Zandvoort", "given" : "Martine J E", "non-dropping-particle" : "Van", "parse-names" : false, "suffix" : "" }, { "dropping-particle" : "", "family" : "Reijneveld", "given" : "Sijmen A.", "non-dropping-particle" : "", "parse-names" : false, "suffix" : "" }, { "dropping-particle" : "", "family" : "Verhulst", "given" : "Frank C.", "non-dropping-particle" : "", "parse-names" : false, "suffix" : "" }, { "dropping-particle" : "", "family" : "Ormel", "given" : "Johan", "non-dropping-particle" : "", "parse-names" : false, "suffix" : "" }, { "dropping-particle" : "", "family" : "Vollebergh", "given" : "Wilma A M", "non-dropping-particle" : "", "parse-names" : false, "suffix" : "" } ], "container-title" : "PLoS ONE", "id" : "ITEM-1", "issue" : "10", "issued" : { "date-parts" : [ [ "2015" ] ] }, "page" : "1-15", "title" : "Adolescent heavy drinking does not affect maturation of basic executive functioning: Longitudinal findings from the TRAILS study", "type" : "article-journal", "volume" : "10" }, "uris" : [ "http://www.mendeley.com/documents/?uuid=8bde90d8-94af-43b9-b338-63415f28878a" ] } ], "mendeley" : { "formattedCitation" : "(Boelema et al. 2015)", "plainTextFormattedCitation" : "(Boelema et al. 2015)", "previouslyFormattedCitation" : "(Boelema et al. 2015)" }, "properties" : { "noteIndex" : 0 }, "schema" : "https://github.com/citation-style-language/schema/raw/master/csl-citation.json" }</w:instrText>
      </w:r>
      <w:r w:rsidR="004B79A3">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(Boelema et al. 2015)</w:t>
      </w:r>
      <w:r w:rsidR="004B79A3">
        <w:rPr>
          <w:rFonts w:ascii="Times New Roman" w:hAnsi="Times New Roman" w:cs="Times New Roman"/>
          <w:sz w:val="24"/>
          <w:szCs w:val="24"/>
        </w:rPr>
        <w:fldChar w:fldCharType="end"/>
      </w:r>
      <w:r w:rsidR="003B7116">
        <w:rPr>
          <w:rFonts w:ascii="Times New Roman" w:hAnsi="Times New Roman" w:cs="Times New Roman"/>
          <w:sz w:val="24"/>
          <w:szCs w:val="24"/>
        </w:rPr>
        <w:t xml:space="preserve"> found </w:t>
      </w:r>
      <w:r w:rsidR="00453762">
        <w:rPr>
          <w:rFonts w:ascii="Times New Roman" w:hAnsi="Times New Roman" w:cs="Times New Roman"/>
          <w:sz w:val="24"/>
          <w:szCs w:val="24"/>
        </w:rPr>
        <w:t>no evidence of an association between heavy drinking in adolescence and maturation of executive functioning.</w:t>
      </w:r>
      <w:r>
        <w:rPr>
          <w:rFonts w:ascii="Times New Roman" w:hAnsi="Times New Roman" w:cs="Times New Roman"/>
          <w:sz w:val="24"/>
          <w:szCs w:val="24"/>
        </w:rPr>
        <w:t xml:space="preserve"> </w:t>
      </w:r>
      <w:r w:rsidR="00AA6890">
        <w:rPr>
          <w:rFonts w:ascii="Times New Roman" w:hAnsi="Times New Roman" w:cs="Times New Roman"/>
          <w:sz w:val="24"/>
          <w:szCs w:val="24"/>
        </w:rPr>
        <w:t xml:space="preserve">The discrepancies </w:t>
      </w:r>
      <w:r w:rsidR="006413D0">
        <w:rPr>
          <w:rFonts w:ascii="Times New Roman" w:hAnsi="Times New Roman" w:cs="Times New Roman"/>
          <w:sz w:val="24"/>
          <w:szCs w:val="24"/>
        </w:rPr>
        <w:t>in the literature</w:t>
      </w:r>
      <w:r w:rsidR="00AA6890">
        <w:rPr>
          <w:rFonts w:ascii="Times New Roman" w:hAnsi="Times New Roman" w:cs="Times New Roman"/>
          <w:sz w:val="24"/>
          <w:szCs w:val="24"/>
        </w:rPr>
        <w:t xml:space="preserve"> could be due to a number of factors, including: 1)</w:t>
      </w:r>
      <w:r w:rsidR="00AA6890" w:rsidRPr="00FA3F56">
        <w:rPr>
          <w:rFonts w:ascii="Times New Roman" w:hAnsi="Times New Roman" w:cs="Times New Roman"/>
          <w:sz w:val="24"/>
          <w:szCs w:val="24"/>
        </w:rPr>
        <w:t xml:space="preserve"> </w:t>
      </w:r>
      <w:r w:rsidR="00AA6890">
        <w:rPr>
          <w:rFonts w:ascii="Times New Roman" w:hAnsi="Times New Roman" w:cs="Times New Roman"/>
          <w:sz w:val="24"/>
          <w:szCs w:val="24"/>
        </w:rPr>
        <w:t>sample size, 2) study design (high-risk vs community-based samples), 3) the alcohol use phenotype (i.e., binging vs frequency), 4) lack of control for potentially relevant confounding factors</w:t>
      </w:r>
      <w:r w:rsidR="00222DA8">
        <w:rPr>
          <w:rFonts w:ascii="Times New Roman" w:hAnsi="Times New Roman" w:cs="Times New Roman"/>
          <w:sz w:val="24"/>
          <w:szCs w:val="24"/>
        </w:rPr>
        <w:t>, and 5) different follow-up periods</w:t>
      </w:r>
      <w:r w:rsidR="00AA6890">
        <w:rPr>
          <w:rFonts w:ascii="Times New Roman" w:hAnsi="Times New Roman" w:cs="Times New Roman"/>
          <w:sz w:val="24"/>
          <w:szCs w:val="24"/>
        </w:rPr>
        <w:t>.</w:t>
      </w:r>
      <w:r w:rsidR="00AA6890" w:rsidRPr="00AA6890">
        <w:rPr>
          <w:rFonts w:ascii="Times New Roman" w:hAnsi="Times New Roman" w:cs="Times New Roman"/>
          <w:sz w:val="24"/>
          <w:szCs w:val="24"/>
        </w:rPr>
        <w:t xml:space="preserve"> </w:t>
      </w:r>
    </w:p>
    <w:p w14:paraId="0CF6A6F9" w14:textId="43E2E7D8" w:rsidR="005E49E4" w:rsidRDefault="00483866" w:rsidP="005E49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acknowledging that </w:t>
      </w:r>
      <w:r w:rsidR="0048199A">
        <w:rPr>
          <w:rFonts w:ascii="Times New Roman" w:hAnsi="Times New Roman" w:cs="Times New Roman"/>
          <w:sz w:val="24"/>
          <w:szCs w:val="24"/>
        </w:rPr>
        <w:t xml:space="preserve">it is possible that </w:t>
      </w:r>
      <w:r w:rsidR="00551F27">
        <w:rPr>
          <w:rFonts w:ascii="Times New Roman" w:hAnsi="Times New Roman" w:cs="Times New Roman"/>
          <w:sz w:val="24"/>
          <w:szCs w:val="24"/>
        </w:rPr>
        <w:t xml:space="preserve">deficits in </w:t>
      </w:r>
      <w:r w:rsidR="004402C9">
        <w:rPr>
          <w:rFonts w:ascii="Times New Roman" w:hAnsi="Times New Roman" w:cs="Times New Roman"/>
          <w:sz w:val="24"/>
          <w:szCs w:val="24"/>
        </w:rPr>
        <w:t xml:space="preserve">cognitive functioning </w:t>
      </w:r>
      <w:r w:rsidR="00551F27">
        <w:rPr>
          <w:rFonts w:ascii="Times New Roman" w:hAnsi="Times New Roman" w:cs="Times New Roman"/>
          <w:sz w:val="24"/>
          <w:szCs w:val="24"/>
        </w:rPr>
        <w:t xml:space="preserve">could precede and influence alcohol use, </w:t>
      </w:r>
      <w:r w:rsidR="00FA5DA9">
        <w:rPr>
          <w:rFonts w:ascii="Times New Roman" w:hAnsi="Times New Roman" w:cs="Times New Roman"/>
          <w:sz w:val="24"/>
          <w:szCs w:val="24"/>
        </w:rPr>
        <w:t>this study</w:t>
      </w:r>
      <w:r w:rsidR="00551F27">
        <w:rPr>
          <w:rFonts w:ascii="Times New Roman" w:hAnsi="Times New Roman" w:cs="Times New Roman"/>
          <w:sz w:val="24"/>
          <w:szCs w:val="24"/>
        </w:rPr>
        <w:t xml:space="preserve"> </w:t>
      </w:r>
      <w:r w:rsidR="00FA5DA9">
        <w:rPr>
          <w:rFonts w:ascii="Times New Roman" w:hAnsi="Times New Roman" w:cs="Times New Roman"/>
          <w:sz w:val="24"/>
          <w:szCs w:val="24"/>
        </w:rPr>
        <w:t xml:space="preserve">sought to expand on previous research by using a large UK birth cohort to examine the possibility that the neurotoxic effects of alcohol during this sensitive developmental period may impact on </w:t>
      </w:r>
      <w:r w:rsidR="001304B2">
        <w:rPr>
          <w:rFonts w:ascii="Times New Roman" w:hAnsi="Times New Roman" w:cs="Times New Roman"/>
          <w:sz w:val="24"/>
          <w:szCs w:val="24"/>
        </w:rPr>
        <w:t xml:space="preserve">later </w:t>
      </w:r>
      <w:r w:rsidR="00FA5DA9">
        <w:rPr>
          <w:rFonts w:ascii="Times New Roman" w:hAnsi="Times New Roman" w:cs="Times New Roman"/>
          <w:sz w:val="24"/>
          <w:szCs w:val="24"/>
        </w:rPr>
        <w:t>cognitive function</w:t>
      </w:r>
      <w:r w:rsidR="00B33642">
        <w:rPr>
          <w:rFonts w:ascii="Times New Roman" w:hAnsi="Times New Roman" w:cs="Times New Roman"/>
          <w:sz w:val="24"/>
          <w:szCs w:val="24"/>
        </w:rPr>
        <w:t>ing</w:t>
      </w:r>
      <w:r w:rsidR="00FA5DA9">
        <w:rPr>
          <w:rFonts w:ascii="Times New Roman" w:hAnsi="Times New Roman" w:cs="Times New Roman"/>
          <w:sz w:val="24"/>
          <w:szCs w:val="24"/>
        </w:rPr>
        <w:t xml:space="preserve">. </w:t>
      </w:r>
      <w:r w:rsidR="000E7BB9">
        <w:rPr>
          <w:rFonts w:ascii="Times New Roman" w:hAnsi="Times New Roman" w:cs="Times New Roman"/>
          <w:sz w:val="24"/>
          <w:szCs w:val="24"/>
        </w:rPr>
        <w:t xml:space="preserve">Focusing on </w:t>
      </w:r>
      <w:r w:rsidR="001304B2">
        <w:rPr>
          <w:rFonts w:ascii="Times New Roman" w:hAnsi="Times New Roman" w:cs="Times New Roman"/>
          <w:sz w:val="24"/>
          <w:szCs w:val="24"/>
        </w:rPr>
        <w:t xml:space="preserve">this </w:t>
      </w:r>
      <w:r w:rsidR="000E7BB9">
        <w:rPr>
          <w:rFonts w:ascii="Times New Roman" w:hAnsi="Times New Roman" w:cs="Times New Roman"/>
          <w:sz w:val="24"/>
          <w:szCs w:val="24"/>
        </w:rPr>
        <w:t xml:space="preserve">one potential pathway, we </w:t>
      </w:r>
      <w:r w:rsidR="005E49E4">
        <w:rPr>
          <w:rFonts w:ascii="Times New Roman" w:hAnsi="Times New Roman" w:cs="Times New Roman"/>
          <w:sz w:val="24"/>
          <w:szCs w:val="24"/>
        </w:rPr>
        <w:t>hypothesiz</w:t>
      </w:r>
      <w:r w:rsidR="005E49E4" w:rsidRPr="00CA3817">
        <w:rPr>
          <w:rFonts w:ascii="Times New Roman" w:hAnsi="Times New Roman" w:cs="Times New Roman"/>
          <w:sz w:val="24"/>
          <w:szCs w:val="24"/>
        </w:rPr>
        <w:t xml:space="preserve">ed that </w:t>
      </w:r>
      <w:r w:rsidR="005E49E4">
        <w:rPr>
          <w:rFonts w:ascii="Times New Roman" w:hAnsi="Times New Roman" w:cs="Times New Roman"/>
          <w:sz w:val="24"/>
          <w:szCs w:val="24"/>
        </w:rPr>
        <w:t xml:space="preserve">sustained heavy drinking, defined as </w:t>
      </w:r>
      <w:r w:rsidR="006C111C">
        <w:rPr>
          <w:rFonts w:ascii="Times New Roman" w:hAnsi="Times New Roman" w:cs="Times New Roman"/>
          <w:sz w:val="24"/>
          <w:szCs w:val="24"/>
        </w:rPr>
        <w:t xml:space="preserve">frequent and </w:t>
      </w:r>
      <w:r w:rsidR="005E49E4" w:rsidRPr="005044EB">
        <w:rPr>
          <w:rFonts w:ascii="Times New Roman" w:hAnsi="Times New Roman" w:cs="Times New Roman"/>
          <w:sz w:val="24"/>
          <w:szCs w:val="24"/>
        </w:rPr>
        <w:t>binge drinking</w:t>
      </w:r>
      <w:r w:rsidR="00FC70CF">
        <w:rPr>
          <w:rFonts w:ascii="Times New Roman" w:hAnsi="Times New Roman" w:cs="Times New Roman"/>
          <w:sz w:val="24"/>
          <w:szCs w:val="24"/>
        </w:rPr>
        <w:t xml:space="preserve"> at age 15 years</w:t>
      </w:r>
      <w:r w:rsidR="005E49E4">
        <w:rPr>
          <w:rFonts w:ascii="Times New Roman" w:hAnsi="Times New Roman" w:cs="Times New Roman"/>
          <w:sz w:val="24"/>
          <w:szCs w:val="24"/>
        </w:rPr>
        <w:t xml:space="preserve"> (</w:t>
      </w:r>
      <w:r w:rsidR="000461D4">
        <w:rPr>
          <w:rFonts w:ascii="Times New Roman" w:hAnsi="Times New Roman" w:cs="Times New Roman"/>
          <w:sz w:val="24"/>
          <w:szCs w:val="24"/>
        </w:rPr>
        <w:t>peak incidence for alcohol use Melotti et al. 2013</w:t>
      </w:r>
      <w:r w:rsidR="005E49E4">
        <w:rPr>
          <w:rFonts w:ascii="Times New Roman" w:hAnsi="Times New Roman" w:cs="Times New Roman"/>
          <w:sz w:val="24"/>
          <w:szCs w:val="24"/>
        </w:rPr>
        <w:t>),</w:t>
      </w:r>
      <w:r w:rsidR="005E49E4" w:rsidRPr="00CA3817">
        <w:rPr>
          <w:rFonts w:ascii="Times New Roman" w:hAnsi="Times New Roman" w:cs="Times New Roman"/>
          <w:sz w:val="24"/>
          <w:szCs w:val="24"/>
        </w:rPr>
        <w:t xml:space="preserve"> would </w:t>
      </w:r>
      <w:r w:rsidR="005E49E4">
        <w:rPr>
          <w:rFonts w:ascii="Times New Roman" w:hAnsi="Times New Roman" w:cs="Times New Roman"/>
          <w:sz w:val="24"/>
          <w:szCs w:val="24"/>
        </w:rPr>
        <w:t>be adversely associated with</w:t>
      </w:r>
      <w:r w:rsidR="005E49E4" w:rsidRPr="00CA3817">
        <w:rPr>
          <w:rFonts w:ascii="Times New Roman" w:hAnsi="Times New Roman" w:cs="Times New Roman"/>
          <w:sz w:val="24"/>
          <w:szCs w:val="24"/>
        </w:rPr>
        <w:t xml:space="preserve"> </w:t>
      </w:r>
      <w:r w:rsidR="005E49E4">
        <w:rPr>
          <w:rFonts w:ascii="Times New Roman" w:hAnsi="Times New Roman" w:cs="Times New Roman"/>
          <w:sz w:val="24"/>
          <w:szCs w:val="24"/>
        </w:rPr>
        <w:t>WM</w:t>
      </w:r>
      <w:r w:rsidR="00FC70CF">
        <w:rPr>
          <w:rFonts w:ascii="Times New Roman" w:hAnsi="Times New Roman" w:cs="Times New Roman"/>
          <w:sz w:val="24"/>
          <w:szCs w:val="24"/>
        </w:rPr>
        <w:t xml:space="preserve"> at age 18 years</w:t>
      </w:r>
      <w:r w:rsidR="005E49E4">
        <w:rPr>
          <w:rFonts w:ascii="Times New Roman" w:hAnsi="Times New Roman" w:cs="Times New Roman"/>
          <w:sz w:val="24"/>
          <w:szCs w:val="24"/>
        </w:rPr>
        <w:t xml:space="preserve"> (</w:t>
      </w:r>
      <w:r w:rsidR="000461D4">
        <w:rPr>
          <w:rFonts w:ascii="Times New Roman" w:hAnsi="Times New Roman" w:cs="Times New Roman"/>
          <w:sz w:val="24"/>
          <w:szCs w:val="24"/>
        </w:rPr>
        <w:t xml:space="preserve">as WM matures in late adolescence </w:t>
      </w:r>
      <w:r w:rsidR="00F52DC6">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"10.1037/neu0000049", "ISBN" : "1931-1559(Electronic);0894-4105(Print)", "abstract" : "Objective: Maturation of executive functioning (EF) is topical, especially in relation to adolescence, yet longitudinal research covering early and late adolescence is lacking. This, however, is a prerequisite for drawing conclusions on normal cognitive development, and understanding deviant maturation. The aim of this study is to longitudinally investigate 6 subcomponents of EF in early (mean age 11) and late adolescence (mean age 19) and to investigate the influence of sex and socioeconomic status (SES). Method: We used data of the TRacking Adolescents\u2019 Individual Lives Survey (TRAILS). A number of 2,217 participants carried out tasks of the Amsterdam Neuropsychological Tasks (ANT), measuring Focused Attention, Inhibition, Sustained Attention, Speed of Processing, Working Memory, and Shift Attention. Results: Linear growth model with individual varying times of observation showed significant slopes for all 6 measures. Sex differences were found for the majority of the measures, where boys showed more maturation. Maturation was influenced by SES for Sustained Attention and Inhibition. Conclusion: Results show that significant maturation takes place for all the measured subcomponents over adolescence. Overall, girls show better baseline performance and smaller maturational rates, suggesting more mature skills in early adolescence. Maturation is only influenced by SES for Sustained Attention and Inhibition. Findings underline that for making statements about EF maturation in adolescence, it is essential to look at subcomponents. Furthermore, sex differences are an important factor when investing (ab)normal maturation of EF. (PsycINFO Database Record (c) 2016 APA, all rights reserved)", "author" : [ { "dropping-particle" : "", "family" : "Boelema", "given" : "Sarai R", "non-dropping-particle" : "", "parse-names" : false, "suffix" : "" }, { "dropping-particle" : "", "family" : "Harakeh", "given" : "Zeena", "non-dropping-particle" : "", "parse-names" : false, "suffix" : "" }, { "dropping-particle" : "", "family" : "Ormel", "given" : "Johan", "non-dropping-particle" : "", "parse-names" : false, "suffix" : "" }, { "dropping-particle" : "", "family" : "Hartman", "given" : "Catharina A", "non-dropping-particle" : "", "parse-names" : false, "suffix" : "" }, { "dropping-particle" : "", "family" : "Vollebergh", "given" : "Wilma A M", "non-dropping-particle" : "", "parse-names" : false, "suffix" : "" }, { "dropping-particle" : "", "family" : "Zandvoort", "given" : "Martine J E", "non-dropping-particle" : "van", "parse-names" : false, "suffix" : "" } ], "container-title" : "Neuropsychology", "id" : "ITEM-1", "issue" : "2", "issued" : { "date-parts" : [ [ "2014" ] ] }, "page" : "177-187", "publisher" : "American Psychological Association", "publisher-place" : "Boelema, Sarai R.: Faculty of Social and Behavioral Science, Utrecht University, P.O. Box 80.140, Utrecht, Netherlands, 3508 TC, s.r.boelema@uu.nl", "title" : "Executive functioning shows differential maturation from early to late adolescence: Longitudinal findings from a TRAILS study.", "type" : "article", "volume" : "28" }, "uris" : [ "http://www.mendeley.com/documents/?uuid=533dd2c9-8f53-49cb-81d8-9e77c5345b33" ] }, { "id" : "ITEM-2", "itemData" : { "DOI" : "10.1076/jcen.25.2.242.13639", "ISBN" : "1380-3395 (Print) 1380-3395 (Linking)", "ISSN" : "1380-3395", "PMID" : "12754681", "abstract" : "The study of executive function within a developmental framework has proven integral to the advancement of knowledge concerning the acquisition and decline of higher skill processes. Still in its early stages, there exists a discontinuity in the literature between the exploration of executive capacity in young children and the elderly. Research of age-related differences utilising a lifespan approach has been restricted by the lack of assessment tools for the measurement of executive skills that are applicable across all age levels. This paper addresses these issues using the computer-based Cambridge Neuropsychological Test Automated Battery (CANTAB) to identify periods of development in executive capacities using a normative sample of 194 participants ranging in age from 8 to 64 years. Findings of executive function in children as young as 8 years of age were extended, with functional gains found in the efficiency of working memory capacity, planning and problem-solving abilities, between the ages of 15 and 19 years and again at 20-29 years of age. Cognitive flexibility was assessed at adult-levels in even the youngest children. Declines in performance on all tasks were revealed for the 50-64 year old sample, providing support for the vulnerability of executive skills to normal aging.", "author" : [ { "dropping-particle" : "", "family" : "Luca", "given" : "Cinzia R.", "non-dropping-particle" : "De", "parse-names" : false, "suffix" : "" }, { "dropping-particle" : "", "family" : "Wood", "given" : "Stephen J.", "non-dropping-particle" : "", "parse-names" : false, "suffix" : "" }, { "dropping-particle" : "", "family" : "Anderson", "given" : "Vicki", "non-dropping-particle" : "", "parse-names" : false, "suffix" : "" }, { "dropping-particle" : "", "family" : "Buchanan", "given" : "Jo-Anne", "non-dropping-particle" : "", "parse-names" : false, "suffix" : "" }, { "dropping-particle" : "", "family" : "Proffitt", "given" : "Tina M.", "non-dropping-particle" : "", "parse-names" : false, "suffix" : "" }, { "dropping-particle" : "", "family" : "Mahony", "given" : "Kate", "non-dropping-particle" : "", "parse-names" : false, "suffix" : "" }, { "dropping-particle" : "", "family" : "Pantelis", "given" : "Christos", "non-dropping-particle" : "", "parse-names" : false, "suffix" : "" } ], "container-title" : "Journal of Clinical and Experimental Neuropsychology", "id" : "ITEM-2", "issue" : "2", "issued" : { "date-parts" : [ [ "2003" ] ] }, "page" : "242-254", "title" : "Normative data from the Cantab. I: development of executive function over the lifespan", "type" : "article-journal", "volume" : "25" }, "uris" : [ "http://www.mendeley.com/documents/?uuid=34189fba-9e54-448a-a533-78b8dc39b0b1" ] }, { "id" : "ITEM-3", "itemData" : { "ISSN" : "1047-3211 (Print)", "PMID" : "8670681", "abstract" : "Brain magnetic resonance images (MRI) of 104 healthy children and adolescents, age 4-18, showed significant effects of age and gender on brain morphometry. Males had larger cerebral (9%) and cerebellar (8%) volumes (P &lt; 0.0001 and P = 0.008, respectively), which remained significant even after correction for height and weight. After adjusting for cerebral size, the putamen and globus pallidus remained larger in males, while relative caudate size was larger in females. Neither cerebral nor cerebellar volume changed significantly across this age range. Lateral ventricular volume increased significantly in males (trend for females), with males showing an increase in slope after age 11. In males only, caudate and putamen decrease with age (P = 0.007 and 0.05, respectively). The left lateral ventricles and putamen were significantly greater than the right (P = 0.01 and 0.001, respectively). In contrast, the cerebral hemispheres and caudate showed a highly consistent right-greater-than-left asymmetry (P &lt; 0.0001 for both). All volumes demonstrated a high degree of variability. These findings highlight gender-specific maturational changes of the developing brain and the need for large gender-matched samples in pediatric neuropsychiatric studies.", "author" : [ { "dropping-particle" : "", "family" : "Giedd", "given" : "J N", "non-dropping-particle" : "", "parse-names" : false, "suffix" : "" }, { "dropping-particle" : "", "family" : "Snell", "given" : "J W", "non-dropping-particle" : "", "parse-names" : false, "suffix" : "" }, { "dropping-particle" : "", "family" : "Lange", "given" : "N", "non-dropping-particle" : "", "parse-names" : false, "suffix" : "" }, { "dropping-particle" : "", "family" : "Rajapakse", "given" : "J C", "non-dropping-particle" : "", "parse-names" : false, "suffix" : "" }, { "dropping-particle" : "", "family" : "Casey", "given" : "B J", "non-dropping-particle" : "", "parse-names" : false, "suffix" : "" }, { "dropping-particle" : "", "family" : "Kozuch", "given" : "P L", "non-dropping-particle" : "", "parse-names" : false, "suffix" : "" }, { "dropping-particle" : "", "family" : "Vaituzis", "given" : "A C", "non-dropping-particle" : "", "parse-names" : false, "suffix" : "" }, { "dropping-particle" : "", "family" : "Vauss", "given" : "Y C", "non-dropping-particle" : "", "parse-names" : false, "suffix" : "" }, { "dropping-particle" : "", "family" : "Hamburger", "given" : "S D", "non-dropping-particle" : "", "parse-names" : false, "suffix" : "" }, { "dropping-particle" : "", "family" : "Kaysen", "given" : "D", "non-dropping-particle" : "", "parse-names" : false, "suffix" : "" }, { "dropping-particle" : "", "family" : "Rapoport", "given" : "J L", "non-dropping-particle" : "", "parse-names" : false, "suffix" : "" } ], "container-title" : "Cerebral Cortex", "id" : "ITEM-3", "issue" : "4", "issued" : { "date-parts" : [ [ "1996" ] ] }, "language" : "ENG", "page" : "551-560", "publisher-place" : "United States", "title" : "Quantitative magnetic resonance imaging of human brain development: ages 4-18.", "type" : "article-journal", "volume" : "6" }, "uris" : [ "http://www.mendeley.com/documents/?uuid=b3d38741-08a5-4e96-a8d6-a9d2599a3bc2" ] }, { "id" : "ITEM-4", "itemData" : { "DOI" : "10.1111/j.1467-8624.2004.00745.x", "ISSN" : "0009-3920 (Print)", "PMID" : "15369519", "abstract" : "To characterize cognitive maturation through adolescence, processing speed, voluntary response suppression, and spatial working memory were measured in 8- to 30-year-old (N = 245) healthy participants using oculomotor tasks. Development progressed with a steep initial improvement in performance followed by stabilization in adolescence. Adult-level mature performance began at approximately 15, 14, and 19 years of age for processing speed, response inhibition, and working memory, respectively. Although processes developed independently, processing speed influenced the development of working memory whereas the development of response suppression and working memory were interdependent. These results indicate that processing speed, voluntary response suppression, and working memory mature through late childhood and into adolescence. How brain maturation specific to adolescence may support cognitive maturation is discussed.", "author" : [ { "dropping-particle" : "", "family" : "Luna", "given" : "Beatriz", "non-dropping-particle" : "", "parse-names" : false, "suffix" : "" }, { "dropping-particle" : "", "family" : "Garver", "given" : "Krista E", "non-dropping-particle" : "", "parse-names" : false, "suffix" : "" }, { "dropping-particle" : "", "family" : "Urban", "given" : "Trinity A", "non-dropping-particle" : "", "parse-names" : false, "suffix" : "" }, { "dropping-particle" : "", "family" : "Lazar", "given" : "Nicole A", "non-dropping-particle" : "", "parse-names" : false, "suffix" : "" }, { "dropping-particle" : "", "family" : "Sweeney", "given" : "John A", "non-dropping-particle" : "", "parse-names" : false, "suffix" : "" } ], "container-title" : "Child Development", "id" : "ITEM-4", "issue" : "5", "issued" : { "date-parts" : [ [ "2004" ] ] }, "language" : "ENG", "page" : "1357-1372", "publisher-place" : "United States", "title" : "Maturation of cognitive processes from late childhood to adulthood.", "type" : "article-journal", "volume" : "75" }, "uris" : [ "http://www.mendeley.com/documents/?uuid=b428155b-d94b-4810-a486-17f5ebb6b626" ] } ], "mendeley" : { "formattedCitation" : "(Boelema et al. 2014; De Luca et al. 2003; Giedd et al. 1996; Luna et al. 2004)", "manualFormatting" : "(Boelema et al. 2014; De Luca et al. 2003)", "plainTextFormattedCitation" : "(Boelema et al. 2014; De Luca et al. 2003; Giedd et al. 1996; Luna et al. 2004)", "previouslyFormattedCitation" : "(Boelema et al. 2014; De Luca et al. 2003; Giedd et al. 1996; Luna et al. 2004)" }, "properties" : { "noteIndex" : 0 }, "schema" : "https://github.com/citation-style-language/schema/raw/master/csl-citation.json" }</w:instrText>
      </w:r>
      <w:r w:rsidR="00F52DC6">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(Boelema et al. 2014; De Luca</w:t>
      </w:r>
      <w:r w:rsidR="00A24458">
        <w:rPr>
          <w:rFonts w:ascii="Times New Roman" w:hAnsi="Times New Roman" w:cs="Times New Roman"/>
          <w:noProof/>
          <w:sz w:val="24"/>
          <w:szCs w:val="24"/>
        </w:rPr>
        <w:t xml:space="preserve"> et al. 2003</w:t>
      </w:r>
      <w:r w:rsidR="00686293" w:rsidRPr="00686293">
        <w:rPr>
          <w:rFonts w:ascii="Times New Roman" w:hAnsi="Times New Roman" w:cs="Times New Roman"/>
          <w:noProof/>
          <w:sz w:val="24"/>
          <w:szCs w:val="24"/>
        </w:rPr>
        <w:t>)</w:t>
      </w:r>
      <w:r w:rsidR="00F52DC6">
        <w:rPr>
          <w:rFonts w:ascii="Times New Roman" w:hAnsi="Times New Roman" w:cs="Times New Roman"/>
          <w:sz w:val="24"/>
          <w:szCs w:val="24"/>
        </w:rPr>
        <w:fldChar w:fldCharType="end"/>
      </w:r>
      <w:r w:rsidR="0083238E">
        <w:rPr>
          <w:rFonts w:ascii="Times New Roman" w:hAnsi="Times New Roman" w:cs="Times New Roman"/>
          <w:sz w:val="24"/>
          <w:szCs w:val="24"/>
        </w:rPr>
        <w:t xml:space="preserve"> while controlling for potentially relevant confounding factors</w:t>
      </w:r>
      <w:r w:rsidR="0061319C">
        <w:rPr>
          <w:rFonts w:ascii="Times New Roman" w:hAnsi="Times New Roman" w:cs="Times New Roman"/>
          <w:sz w:val="24"/>
          <w:szCs w:val="24"/>
        </w:rPr>
        <w:t>, including a measure of WM assessed prior to the onset of alcohol use</w:t>
      </w:r>
      <w:r w:rsidR="005E49E4" w:rsidRPr="00CA3817">
        <w:rPr>
          <w:rFonts w:ascii="Times New Roman" w:hAnsi="Times New Roman" w:cs="Times New Roman"/>
          <w:sz w:val="24"/>
          <w:szCs w:val="24"/>
        </w:rPr>
        <w:t xml:space="preserve">. </w:t>
      </w:r>
    </w:p>
    <w:p w14:paraId="0F442AE4" w14:textId="113D882D" w:rsidR="004F4699" w:rsidRDefault="001E3933" w:rsidP="00C9668D">
      <w:pPr>
        <w:spacing w:before="240"/>
      </w:pPr>
      <w:r w:rsidRPr="006F743A">
        <w:rPr>
          <w:rFonts w:ascii="Times New Roman" w:hAnsi="Times New Roman" w:cs="Times New Roman"/>
          <w:b/>
          <w:sz w:val="24"/>
          <w:szCs w:val="24"/>
        </w:rPr>
        <w:t>METHOD</w:t>
      </w:r>
    </w:p>
    <w:p w14:paraId="452E1BA9" w14:textId="2E0236A4" w:rsidR="008512F3" w:rsidRPr="00652247" w:rsidRDefault="008512F3" w:rsidP="00895167">
      <w:pPr>
        <w:spacing w:after="0" w:line="480" w:lineRule="auto"/>
        <w:rPr>
          <w:rFonts w:ascii="Times New Roman" w:hAnsi="Times New Roman" w:cs="Times New Roman"/>
          <w:i/>
          <w:sz w:val="24"/>
          <w:szCs w:val="24"/>
        </w:rPr>
      </w:pPr>
      <w:r w:rsidRPr="00652247">
        <w:rPr>
          <w:rFonts w:ascii="Times New Roman" w:hAnsi="Times New Roman" w:cs="Times New Roman"/>
          <w:i/>
          <w:sz w:val="24"/>
          <w:szCs w:val="24"/>
        </w:rPr>
        <w:t xml:space="preserve">Participants and Procedure </w:t>
      </w:r>
    </w:p>
    <w:p w14:paraId="14E7EA07" w14:textId="7F04645F" w:rsidR="008512F3" w:rsidRPr="00652247" w:rsidRDefault="008512F3" w:rsidP="00576726">
      <w:pPr>
        <w:spacing w:after="0" w:line="480" w:lineRule="auto"/>
        <w:rPr>
          <w:rFonts w:ascii="Times New Roman" w:hAnsi="Times New Roman" w:cs="Times New Roman"/>
          <w:sz w:val="24"/>
          <w:szCs w:val="24"/>
        </w:rPr>
      </w:pPr>
      <w:r w:rsidRPr="00652247">
        <w:rPr>
          <w:rFonts w:ascii="Times New Roman" w:hAnsi="Times New Roman" w:cs="Times New Roman"/>
          <w:sz w:val="24"/>
          <w:szCs w:val="24"/>
        </w:rPr>
        <w:lastRenderedPageBreak/>
        <w:t>We used data from the Avon Longitudinal Study of Parents and Children (ALSPAC)</w:t>
      </w:r>
      <w:r w:rsidR="00AF5F84">
        <w:rPr>
          <w:rFonts w:ascii="Times New Roman" w:hAnsi="Times New Roman" w:cs="Times New Roman"/>
          <w:sz w:val="24"/>
          <w:szCs w:val="24"/>
        </w:rPr>
        <w:t>, an ongoing population-based study</w:t>
      </w:r>
      <w:r w:rsidR="006959C2">
        <w:rPr>
          <w:rFonts w:ascii="Times New Roman" w:hAnsi="Times New Roman" w:cs="Times New Roman"/>
          <w:sz w:val="24"/>
          <w:szCs w:val="24"/>
        </w:rPr>
        <w:t xml:space="preserve"> </w:t>
      </w:r>
      <w:r w:rsidR="002F0080">
        <w:rPr>
          <w:rFonts w:ascii="Times New Roman" w:hAnsi="Times New Roman" w:cs="Times New Roman"/>
          <w:sz w:val="24"/>
          <w:szCs w:val="24"/>
        </w:rPr>
        <w:t xml:space="preserve">that </w:t>
      </w:r>
      <w:r w:rsidR="00A65618">
        <w:rPr>
          <w:rFonts w:ascii="Times New Roman" w:hAnsi="Times New Roman" w:cs="Times New Roman"/>
          <w:sz w:val="24"/>
          <w:szCs w:val="24"/>
        </w:rPr>
        <w:t>contains a wide range of phenotypic and environmental measures</w:t>
      </w:r>
      <w:r w:rsidR="006959C2">
        <w:rPr>
          <w:rFonts w:ascii="Times New Roman" w:hAnsi="Times New Roman" w:cs="Times New Roman"/>
          <w:sz w:val="24"/>
          <w:szCs w:val="24"/>
        </w:rPr>
        <w:t>, genetic information</w:t>
      </w:r>
      <w:r w:rsidR="00A65618">
        <w:rPr>
          <w:rFonts w:ascii="Times New Roman" w:hAnsi="Times New Roman" w:cs="Times New Roman"/>
          <w:sz w:val="24"/>
          <w:szCs w:val="24"/>
        </w:rPr>
        <w:t xml:space="preserve"> and linkage to health and administrative records.</w:t>
      </w:r>
      <w:r w:rsidR="00A65618" w:rsidRPr="00652247">
        <w:rPr>
          <w:rFonts w:ascii="Times New Roman" w:hAnsi="Times New Roman" w:cs="Times New Roman"/>
          <w:sz w:val="24"/>
          <w:szCs w:val="24"/>
        </w:rPr>
        <w:t xml:space="preserve"> A</w:t>
      </w:r>
      <w:r w:rsidR="00AF5F84" w:rsidRPr="00652247">
        <w:rPr>
          <w:rFonts w:ascii="Times New Roman" w:hAnsi="Times New Roman" w:cs="Times New Roman"/>
          <w:sz w:val="24"/>
          <w:szCs w:val="24"/>
        </w:rPr>
        <w:t xml:space="preserve"> fully searchable data dictionary is available on the study’s website (</w:t>
      </w:r>
      <w:hyperlink r:id="rId10" w:history="1">
        <w:r w:rsidR="00AF5F84" w:rsidRPr="00652247">
          <w:rPr>
            <w:rFonts w:ascii="Times New Roman" w:hAnsi="Times New Roman" w:cs="Times New Roman"/>
            <w:color w:val="0563C1" w:themeColor="hyperlink"/>
            <w:sz w:val="24"/>
            <w:szCs w:val="24"/>
            <w:u w:val="single"/>
          </w:rPr>
          <w:t>www.bris.ac.uk/alspac/researchers/data-access/data-dictionary/</w:t>
        </w:r>
      </w:hyperlink>
      <w:r w:rsidR="00AF5F84" w:rsidRPr="00652247">
        <w:rPr>
          <w:rFonts w:ascii="Times New Roman" w:hAnsi="Times New Roman" w:cs="Times New Roman"/>
          <w:sz w:val="24"/>
          <w:szCs w:val="24"/>
        </w:rPr>
        <w:t xml:space="preserve">). </w:t>
      </w:r>
      <w:r w:rsidR="00E23C92">
        <w:rPr>
          <w:rFonts w:ascii="Times New Roman" w:hAnsi="Times New Roman" w:cs="Times New Roman"/>
          <w:sz w:val="24"/>
          <w:szCs w:val="24"/>
        </w:rPr>
        <w:t>A</w:t>
      </w:r>
      <w:r w:rsidR="006256B2" w:rsidRPr="00652247">
        <w:rPr>
          <w:rFonts w:ascii="Times New Roman" w:hAnsi="Times New Roman" w:cs="Times New Roman"/>
          <w:sz w:val="24"/>
          <w:szCs w:val="24"/>
        </w:rPr>
        <w:t xml:space="preserve">pproval for the study was obtained from the ALSPAC Ethics and Law Committee and the Local Research Ethics Committees. </w:t>
      </w:r>
      <w:r w:rsidR="006256B2">
        <w:rPr>
          <w:rFonts w:ascii="Times New Roman" w:hAnsi="Times New Roman" w:cs="Times New Roman"/>
          <w:sz w:val="24"/>
          <w:szCs w:val="24"/>
        </w:rPr>
        <w:t xml:space="preserve">All pregnant women residing in the former Avon Health Authority in the south-west of England between </w:t>
      </w:r>
      <w:r w:rsidR="00F556C9">
        <w:rPr>
          <w:rFonts w:ascii="Times New Roman" w:hAnsi="Times New Roman" w:cs="Times New Roman"/>
          <w:sz w:val="24"/>
          <w:szCs w:val="24"/>
        </w:rPr>
        <w:t>1 April 1991 and December</w:t>
      </w:r>
      <w:r w:rsidR="006256B2">
        <w:rPr>
          <w:rFonts w:ascii="Times New Roman" w:hAnsi="Times New Roman" w:cs="Times New Roman"/>
          <w:sz w:val="24"/>
          <w:szCs w:val="24"/>
        </w:rPr>
        <w:t xml:space="preserve"> </w:t>
      </w:r>
      <w:r w:rsidR="00AF5F84">
        <w:rPr>
          <w:rFonts w:ascii="Times New Roman" w:hAnsi="Times New Roman" w:cs="Times New Roman"/>
          <w:sz w:val="24"/>
          <w:szCs w:val="24"/>
        </w:rPr>
        <w:t xml:space="preserve">1992 </w:t>
      </w:r>
      <w:r w:rsidR="006256B2">
        <w:rPr>
          <w:rFonts w:ascii="Times New Roman" w:hAnsi="Times New Roman" w:cs="Times New Roman"/>
          <w:sz w:val="24"/>
          <w:szCs w:val="24"/>
        </w:rPr>
        <w:t xml:space="preserve">were eligible for the study (Phase I consisted of </w:t>
      </w:r>
      <w:r w:rsidR="006256B2" w:rsidRPr="006256B2">
        <w:rPr>
          <w:rFonts w:ascii="Times New Roman" w:hAnsi="Times New Roman" w:cs="Times New Roman"/>
          <w:i/>
          <w:sz w:val="24"/>
          <w:szCs w:val="24"/>
        </w:rPr>
        <w:t>n</w:t>
      </w:r>
      <w:r w:rsidR="006256B2">
        <w:rPr>
          <w:rFonts w:ascii="Times New Roman" w:hAnsi="Times New Roman" w:cs="Times New Roman"/>
          <w:sz w:val="24"/>
          <w:szCs w:val="24"/>
        </w:rPr>
        <w:t xml:space="preserve">=14,541). </w:t>
      </w:r>
      <w:r w:rsidR="00FC3C55" w:rsidRPr="00652247">
        <w:rPr>
          <w:rFonts w:ascii="Times New Roman" w:hAnsi="Times New Roman" w:cs="Times New Roman"/>
          <w:sz w:val="24"/>
          <w:szCs w:val="24"/>
        </w:rPr>
        <w:t>Of the 13,978 offspring alive at one year, a small number of participants withdrew from the study (</w:t>
      </w:r>
      <w:r w:rsidR="00FC3C55" w:rsidRPr="00652247">
        <w:rPr>
          <w:rFonts w:ascii="Times New Roman" w:hAnsi="Times New Roman" w:cs="Times New Roman"/>
          <w:i/>
          <w:sz w:val="24"/>
          <w:szCs w:val="24"/>
        </w:rPr>
        <w:t>n</w:t>
      </w:r>
      <w:r w:rsidR="00FC3C55" w:rsidRPr="00652247">
        <w:rPr>
          <w:rFonts w:ascii="Times New Roman" w:hAnsi="Times New Roman" w:cs="Times New Roman"/>
          <w:sz w:val="24"/>
          <w:szCs w:val="24"/>
        </w:rPr>
        <w:t>=24), leaving a starting sample of 13,954.</w:t>
      </w:r>
      <w:r w:rsidR="00A65618">
        <w:rPr>
          <w:rFonts w:ascii="Times New Roman" w:hAnsi="Times New Roman" w:cs="Times New Roman"/>
          <w:sz w:val="24"/>
          <w:szCs w:val="24"/>
        </w:rPr>
        <w:t xml:space="preserve"> </w:t>
      </w:r>
      <w:r w:rsidRPr="00652247">
        <w:rPr>
          <w:rFonts w:ascii="Times New Roman" w:hAnsi="Times New Roman" w:cs="Times New Roman"/>
          <w:sz w:val="24"/>
          <w:szCs w:val="24"/>
        </w:rPr>
        <w:t xml:space="preserve">Detailed information about ALSPAC is available online </w:t>
      </w:r>
      <w:hyperlink r:id="rId11" w:history="1">
        <w:r w:rsidRPr="00652247">
          <w:rPr>
            <w:rFonts w:ascii="Times New Roman" w:hAnsi="Times New Roman" w:cs="Times New Roman"/>
            <w:color w:val="0563C1" w:themeColor="hyperlink"/>
            <w:sz w:val="24"/>
            <w:szCs w:val="24"/>
            <w:u w:val="single"/>
          </w:rPr>
          <w:t>www.bris.ac.uk/alspac</w:t>
        </w:r>
      </w:hyperlink>
      <w:r w:rsidRPr="00652247">
        <w:rPr>
          <w:rFonts w:ascii="Times New Roman" w:hAnsi="Times New Roman" w:cs="Times New Roman"/>
          <w:sz w:val="24"/>
          <w:szCs w:val="24"/>
        </w:rPr>
        <w:t xml:space="preserve"> and in the cohort profiles </w:t>
      </w:r>
      <w:r w:rsidR="00593F80" w:rsidRPr="00652247">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"DOI" : "10.1093/ije/dys064", "ISBN" : "1464-3685 (Electronic)\\r0300-5771 (Linking)", "ISSN" : "03005771", "PMID" : "22507743", "abstract" : "The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enroll pregnant women in the Bristol area of the UK during 1990-92; this was extended to include additional children eligible using the original enrollment definition up to the age of 18 years. The children from 14541 pregnancies were recruited in 1990-92, increasing to 15247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 "author" : [ { "dropping-particle" : "", "family" : "Boyd", "given" : "Andy", "non-dropping-particle" : "", "parse-names" : false, "suffix" : "" }, { "dropping-particle" : "", "family" : "Golding", "given" : "Jean", "non-dropping-particle" : "", "parse-names" : false, "suffix" : "" }, { "dropping-particle" : "", "family" : "Macleod", "given" : "John", "non-dropping-particle" : "", "parse-names" : false, "suffix" : "" }, { "dropping-particle" : "", "family" : "Lawlor", "given" : "Debbie Anne", "non-dropping-particle" : "", "parse-names" : false, "suffix" : "" }, { "dropping-particle" : "", "family" : "Fraser", "given" : "Abigail", "non-dropping-particle" : "", "parse-names" : false, "suffix" : "" }, { "dropping-particle" : "", "family" : "Henderson", "given" : "John", "non-dropping-particle" : "", "parse-names" : false, "suffix" : "" }, { "dropping-particle" : "", "family" : "Molloy", "given" : "Lynn", "non-dropping-particle" : "", "parse-names" : false, "suffix" : "" }, { "dropping-particle" : "", "family" : "Ness", "given" : "Andy", "non-dropping-particle" : "", "parse-names" : false, "suffix" : "" }, { "dropping-particle" : "", "family" : "Ring", "given" : "Susan", "non-dropping-particle" : "", "parse-names" : false, "suffix" : "" }, { "dropping-particle" : "", "family" : "Smith", "given" : "George Davey", "non-dropping-particle" : "", "parse-names" : false, "suffix" : "" } ], "container-title" : "International Journal of Epidemiology", "id" : "ITEM-1", "issue" : "1", "issued" : { "date-parts" : [ [ "2013" ] ] }, "page" : "111-127", "title" : "Cohort profile: The 'Children of the 90s'-The index offspring of the avon longitudinal study of parents and children", "type" : "article-journal", "volume" : "42" }, "uris" : [ "http://www.mendeley.com/documents/?uuid=1e2c9291-dcf6-45e8-bc43-1fcd3a574ebe" ] }, { "id" : "ITEM-2", "itemData" : { "DOI" : "10.1093/ije/dys066", "ISSN" : "0300-5771", "author" : [ { "dropping-particle" : "", "family" : "Fraser", "given" : "A.", "non-dropping-particle" : "", "parse-names" : false, "suffix" : "" }, { "dropping-particle" : "", "family" : "Macdonald-Wallis", "given" : "C.", "non-dropping-particle" : "", "parse-names" : false, "suffix" : "" }, { "dropping-particle" : "", "family" : "Tilling", "given" : "K.", "non-dropping-particle" : "", "parse-names" : false, "suffix" : "" }, { "dropping-particle" : "", "family" : "Boyd", "given" : "A.", "non-dropping-particle" : "", "parse-names" : false, "suffix" : "" }, { "dropping-particle" : "", "family" : "Golding", "given" : "J.", "non-dropping-particle" : "", "parse-names" : false, "suffix" : "" }, { "dropping-particle" : "", "family" : "Davey Smith", "given" : "G.", "non-dropping-particle" : "", "parse-names" : false, "suffix" : "" }, { "dropping-particle" : "", "family" : "Henderson", "given" : "J.", "non-dropping-particle" : "", "parse-names" : false, "suffix" : "" }, { "dropping-particle" : "", "family" : "Macleod", "given" : "J.", "non-dropping-particle" : "", "parse-names" : false, "suffix" : "" }, { "dropping-particle" : "", "family" : "Molloy", "given" : "L.", "non-dropping-particle" : "", "parse-names" : false, "suffix" : "" }, { "dropping-particle" : "", "family" : "Ness", "given" : "A.", "non-dropping-particle" : "", "parse-names" : false, "suffix" : "" }, { "dropping-particle" : "", "family" : "Ring", "given" : "S.", "non-dropping-particle" : "", "parse-names" : false, "suffix" : "" }, { "dropping-particle" : "", "family" : "Nelson", "given" : "S. M.", "non-dropping-particle" : "", "parse-names" : false, "suffix" : "" }, { "dropping-particle" : "", "family" : "Lawlor", "given" : "D. A.", "non-dropping-particle" : "", "parse-names" : false, "suffix" : "" } ], "container-title" : "International Journal of Epidemiology", "id" : "ITEM-2", "issue" : "1", "issued" : { "date-parts" : [ [ "2013" ] ] }, "page" : "97-110", "title" : "Cohort Profile: The Avon Longitudinal Study of Parents and Children: ALSPAC mothers cohort", "type" : "article-journal", "volume" : "42" }, "uris" : [ "http://www.mendeley.com/documents/?uuid=81db88b6-8b71-4c54-b039-e06e0b5d266a" ] } ], "mendeley" : { "formattedCitation" : "(Boyd et al. 2013; Fraser et al. 2013)", "plainTextFormattedCitation" : "(Boyd et al. 2013; Fraser et al. 2013)", "previouslyFormattedCitation" : "(Boyd et al. 2013; Fraser et al. 2013)" }, "properties" : { "noteIndex" : 0 }, "schema" : "https://github.com/citation-style-language/schema/raw/master/csl-citation.json" }</w:instrText>
      </w:r>
      <w:r w:rsidR="00593F80" w:rsidRPr="00652247">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(Boyd et al. 2013; Fraser et al. 2013)</w:t>
      </w:r>
      <w:r w:rsidR="00593F80" w:rsidRPr="00652247">
        <w:rPr>
          <w:rFonts w:ascii="Times New Roman" w:hAnsi="Times New Roman" w:cs="Times New Roman"/>
          <w:sz w:val="24"/>
          <w:szCs w:val="24"/>
        </w:rPr>
        <w:fldChar w:fldCharType="end"/>
      </w:r>
      <w:r w:rsidRPr="00652247">
        <w:rPr>
          <w:rFonts w:ascii="Times New Roman" w:hAnsi="Times New Roman" w:cs="Times New Roman"/>
          <w:sz w:val="24"/>
          <w:szCs w:val="24"/>
        </w:rPr>
        <w:t xml:space="preserve">. </w:t>
      </w:r>
      <w:r w:rsidR="002F0080">
        <w:rPr>
          <w:rFonts w:ascii="Times New Roman" w:hAnsi="Times New Roman" w:cs="Times New Roman"/>
          <w:sz w:val="24"/>
          <w:szCs w:val="24"/>
        </w:rPr>
        <w:t>A</w:t>
      </w:r>
      <w:r w:rsidR="00F556C9" w:rsidRPr="00652247">
        <w:rPr>
          <w:rFonts w:ascii="Times New Roman" w:hAnsi="Times New Roman" w:cs="Times New Roman"/>
          <w:sz w:val="24"/>
          <w:szCs w:val="24"/>
        </w:rPr>
        <w:t xml:space="preserve"> detailed overview of our study population</w:t>
      </w:r>
      <w:r w:rsidR="002F0080">
        <w:rPr>
          <w:rFonts w:ascii="Times New Roman" w:hAnsi="Times New Roman" w:cs="Times New Roman"/>
          <w:sz w:val="24"/>
          <w:szCs w:val="24"/>
        </w:rPr>
        <w:t>,</w:t>
      </w:r>
      <w:r w:rsidR="00F556C9" w:rsidRPr="00652247">
        <w:rPr>
          <w:rFonts w:ascii="Times New Roman" w:hAnsi="Times New Roman" w:cs="Times New Roman"/>
          <w:sz w:val="24"/>
          <w:szCs w:val="24"/>
        </w:rPr>
        <w:t xml:space="preserve"> including attrition at the d</w:t>
      </w:r>
      <w:r w:rsidR="00F556C9">
        <w:rPr>
          <w:rFonts w:ascii="Times New Roman" w:hAnsi="Times New Roman" w:cs="Times New Roman"/>
          <w:sz w:val="24"/>
          <w:szCs w:val="24"/>
        </w:rPr>
        <w:t>ifferent measurement occasions</w:t>
      </w:r>
      <w:r w:rsidR="002F0080">
        <w:rPr>
          <w:rFonts w:ascii="Times New Roman" w:hAnsi="Times New Roman" w:cs="Times New Roman"/>
          <w:sz w:val="24"/>
          <w:szCs w:val="24"/>
        </w:rPr>
        <w:t>, is shown in</w:t>
      </w:r>
      <w:r w:rsidR="005044EB">
        <w:rPr>
          <w:rFonts w:ascii="Times New Roman" w:hAnsi="Times New Roman" w:cs="Times New Roman"/>
          <w:sz w:val="24"/>
          <w:szCs w:val="24"/>
        </w:rPr>
        <w:t xml:space="preserve"> </w:t>
      </w:r>
      <w:r w:rsidR="006D7D5B">
        <w:rPr>
          <w:rFonts w:ascii="Times New Roman" w:hAnsi="Times New Roman" w:cs="Times New Roman"/>
          <w:sz w:val="24"/>
          <w:szCs w:val="24"/>
        </w:rPr>
        <w:t>the Supplementary Material (</w:t>
      </w:r>
      <w:r w:rsidR="00F556C9">
        <w:rPr>
          <w:rFonts w:ascii="Times New Roman" w:hAnsi="Times New Roman" w:cs="Times New Roman"/>
          <w:sz w:val="24"/>
          <w:szCs w:val="24"/>
        </w:rPr>
        <w:t xml:space="preserve">Figure </w:t>
      </w:r>
      <w:r w:rsidR="00767B75">
        <w:rPr>
          <w:rFonts w:ascii="Times New Roman" w:hAnsi="Times New Roman" w:cs="Times New Roman"/>
          <w:sz w:val="24"/>
          <w:szCs w:val="24"/>
        </w:rPr>
        <w:t>S</w:t>
      </w:r>
      <w:r w:rsidR="00F556C9">
        <w:rPr>
          <w:rFonts w:ascii="Times New Roman" w:hAnsi="Times New Roman" w:cs="Times New Roman"/>
          <w:sz w:val="24"/>
          <w:szCs w:val="24"/>
        </w:rPr>
        <w:t>1</w:t>
      </w:r>
      <w:r w:rsidR="006D7D5B">
        <w:rPr>
          <w:rFonts w:ascii="Times New Roman" w:hAnsi="Times New Roman" w:cs="Times New Roman"/>
          <w:sz w:val="24"/>
          <w:szCs w:val="24"/>
        </w:rPr>
        <w:t>)</w:t>
      </w:r>
      <w:r w:rsidR="00F556C9" w:rsidRPr="00652247">
        <w:rPr>
          <w:rFonts w:ascii="Times New Roman" w:hAnsi="Times New Roman" w:cs="Times New Roman"/>
          <w:sz w:val="24"/>
          <w:szCs w:val="24"/>
        </w:rPr>
        <w:t>.</w:t>
      </w:r>
    </w:p>
    <w:p w14:paraId="2009DAE6" w14:textId="406523C3" w:rsidR="009638BB" w:rsidRDefault="005F2F80" w:rsidP="00C9668D">
      <w:pPr>
        <w:spacing w:before="240"/>
        <w:rPr>
          <w:rFonts w:ascii="Times New Roman" w:hAnsi="Times New Roman" w:cs="Times New Roman"/>
          <w:i/>
          <w:sz w:val="24"/>
          <w:szCs w:val="24"/>
        </w:rPr>
      </w:pPr>
      <w:r>
        <w:rPr>
          <w:rFonts w:ascii="Times New Roman" w:hAnsi="Times New Roman" w:cs="Times New Roman"/>
          <w:i/>
          <w:sz w:val="24"/>
          <w:szCs w:val="24"/>
        </w:rPr>
        <w:t xml:space="preserve"> </w:t>
      </w:r>
      <w:r w:rsidR="008512F3" w:rsidRPr="006F743A">
        <w:rPr>
          <w:rFonts w:ascii="Times New Roman" w:hAnsi="Times New Roman" w:cs="Times New Roman"/>
          <w:i/>
          <w:sz w:val="24"/>
          <w:szCs w:val="24"/>
        </w:rPr>
        <w:t>MEASURES</w:t>
      </w:r>
    </w:p>
    <w:p w14:paraId="0319B9F3" w14:textId="40265544" w:rsidR="00A45570" w:rsidRDefault="00A45570" w:rsidP="005722C3">
      <w:pPr>
        <w:spacing w:before="240" w:line="480" w:lineRule="auto"/>
        <w:rPr>
          <w:rFonts w:ascii="Times New Roman" w:hAnsi="Times New Roman" w:cs="Times New Roman"/>
          <w:sz w:val="24"/>
          <w:szCs w:val="24"/>
        </w:rPr>
      </w:pPr>
      <w:r w:rsidRPr="00A45570">
        <w:rPr>
          <w:rFonts w:ascii="Times New Roman" w:hAnsi="Times New Roman" w:cs="Times New Roman"/>
          <w:sz w:val="24"/>
          <w:szCs w:val="24"/>
        </w:rPr>
        <w:t xml:space="preserve">A timeline for data collection is shown in </w:t>
      </w:r>
      <w:r w:rsidR="00C055D9">
        <w:rPr>
          <w:rFonts w:ascii="Times New Roman" w:hAnsi="Times New Roman" w:cs="Times New Roman"/>
          <w:sz w:val="24"/>
          <w:szCs w:val="24"/>
        </w:rPr>
        <w:t xml:space="preserve">Supplementary Material </w:t>
      </w:r>
      <w:r w:rsidR="007E159C">
        <w:rPr>
          <w:rFonts w:ascii="Times New Roman" w:hAnsi="Times New Roman" w:cs="Times New Roman"/>
          <w:sz w:val="24"/>
          <w:szCs w:val="24"/>
        </w:rPr>
        <w:t>(</w:t>
      </w:r>
      <w:r w:rsidRPr="00A45570">
        <w:rPr>
          <w:rFonts w:ascii="Times New Roman" w:hAnsi="Times New Roman" w:cs="Times New Roman"/>
          <w:sz w:val="24"/>
          <w:szCs w:val="24"/>
        </w:rPr>
        <w:t xml:space="preserve">Figure </w:t>
      </w:r>
      <w:r w:rsidR="00C055D9">
        <w:rPr>
          <w:rFonts w:ascii="Times New Roman" w:hAnsi="Times New Roman" w:cs="Times New Roman"/>
          <w:sz w:val="24"/>
          <w:szCs w:val="24"/>
        </w:rPr>
        <w:t>S2</w:t>
      </w:r>
      <w:r w:rsidR="007E159C">
        <w:rPr>
          <w:rFonts w:ascii="Times New Roman" w:hAnsi="Times New Roman" w:cs="Times New Roman"/>
          <w:sz w:val="24"/>
          <w:szCs w:val="24"/>
        </w:rPr>
        <w:t>)</w:t>
      </w:r>
      <w:r w:rsidRPr="00A45570">
        <w:rPr>
          <w:rFonts w:ascii="Times New Roman" w:hAnsi="Times New Roman" w:cs="Times New Roman"/>
          <w:sz w:val="24"/>
          <w:szCs w:val="24"/>
        </w:rPr>
        <w:t>.</w:t>
      </w:r>
    </w:p>
    <w:p w14:paraId="267B929C" w14:textId="62B119B6" w:rsidR="00797F3B" w:rsidRDefault="008512F3" w:rsidP="00465EDA">
      <w:pPr>
        <w:spacing w:before="240" w:after="0" w:line="480" w:lineRule="auto"/>
        <w:rPr>
          <w:rFonts w:ascii="Times New Roman" w:hAnsi="Times New Roman" w:cs="Times New Roman"/>
          <w:sz w:val="24"/>
          <w:szCs w:val="24"/>
        </w:rPr>
      </w:pPr>
      <w:r w:rsidRPr="00CA3817">
        <w:rPr>
          <w:rFonts w:ascii="Times New Roman" w:hAnsi="Times New Roman" w:cs="Times New Roman"/>
          <w:i/>
          <w:sz w:val="24"/>
          <w:szCs w:val="24"/>
        </w:rPr>
        <w:t xml:space="preserve">Exposures: Adolescent alcohol </w:t>
      </w:r>
      <w:r w:rsidR="00C9668D">
        <w:rPr>
          <w:rFonts w:ascii="Times New Roman" w:hAnsi="Times New Roman" w:cs="Times New Roman"/>
          <w:i/>
          <w:sz w:val="24"/>
          <w:szCs w:val="24"/>
        </w:rPr>
        <w:t>use</w:t>
      </w:r>
      <w:r w:rsidRPr="00CA3817">
        <w:rPr>
          <w:rFonts w:ascii="Times New Roman" w:hAnsi="Times New Roman" w:cs="Times New Roman"/>
          <w:i/>
          <w:sz w:val="24"/>
          <w:szCs w:val="24"/>
        </w:rPr>
        <w:t>.</w:t>
      </w:r>
      <w:r>
        <w:rPr>
          <w:i/>
        </w:rPr>
        <w:t xml:space="preserve"> </w:t>
      </w:r>
      <w:r w:rsidR="00F22EDE" w:rsidRPr="00CA3817">
        <w:rPr>
          <w:rFonts w:ascii="Times New Roman" w:hAnsi="Times New Roman" w:cs="Times New Roman"/>
          <w:sz w:val="24"/>
          <w:szCs w:val="24"/>
        </w:rPr>
        <w:t>A</w:t>
      </w:r>
      <w:r w:rsidR="000157CF">
        <w:rPr>
          <w:rFonts w:ascii="Times New Roman" w:hAnsi="Times New Roman" w:cs="Times New Roman"/>
          <w:sz w:val="24"/>
          <w:szCs w:val="24"/>
        </w:rPr>
        <w:t xml:space="preserve">t </w:t>
      </w:r>
      <w:r w:rsidR="007938CD">
        <w:rPr>
          <w:rFonts w:ascii="Times New Roman" w:hAnsi="Times New Roman" w:cs="Times New Roman"/>
          <w:sz w:val="24"/>
          <w:szCs w:val="24"/>
        </w:rPr>
        <w:t xml:space="preserve">approximately </w:t>
      </w:r>
      <w:r w:rsidR="00FD3EB0">
        <w:rPr>
          <w:rFonts w:ascii="Times New Roman" w:hAnsi="Times New Roman" w:cs="Times New Roman"/>
          <w:sz w:val="24"/>
          <w:szCs w:val="24"/>
        </w:rPr>
        <w:t>15 years of age</w:t>
      </w:r>
      <w:r w:rsidR="0051158C">
        <w:rPr>
          <w:rFonts w:ascii="Times New Roman" w:hAnsi="Times New Roman" w:cs="Times New Roman"/>
          <w:sz w:val="24"/>
          <w:szCs w:val="24"/>
        </w:rPr>
        <w:t xml:space="preserve"> (M=15.5; SD=0.35)</w:t>
      </w:r>
      <w:r w:rsidR="001C7417">
        <w:rPr>
          <w:rFonts w:ascii="Times New Roman" w:hAnsi="Times New Roman" w:cs="Times New Roman"/>
          <w:sz w:val="24"/>
          <w:szCs w:val="24"/>
        </w:rPr>
        <w:t xml:space="preserve">, participants completed a computer-based session at a </w:t>
      </w:r>
      <w:r w:rsidR="0051158C">
        <w:rPr>
          <w:rFonts w:ascii="Times New Roman" w:hAnsi="Times New Roman" w:cs="Times New Roman"/>
          <w:sz w:val="24"/>
          <w:szCs w:val="24"/>
        </w:rPr>
        <w:t xml:space="preserve">research </w:t>
      </w:r>
      <w:r w:rsidR="001C7417">
        <w:rPr>
          <w:rFonts w:ascii="Times New Roman" w:hAnsi="Times New Roman" w:cs="Times New Roman"/>
          <w:sz w:val="24"/>
          <w:szCs w:val="24"/>
        </w:rPr>
        <w:t>clinic</w:t>
      </w:r>
      <w:r w:rsidR="006D5135">
        <w:rPr>
          <w:rFonts w:ascii="Times New Roman" w:hAnsi="Times New Roman" w:cs="Times New Roman"/>
          <w:sz w:val="24"/>
          <w:szCs w:val="24"/>
        </w:rPr>
        <w:t>, which included questions regarding drinking</w:t>
      </w:r>
      <w:r w:rsidR="001303A2">
        <w:rPr>
          <w:rFonts w:ascii="Times New Roman" w:hAnsi="Times New Roman" w:cs="Times New Roman"/>
          <w:sz w:val="24"/>
          <w:szCs w:val="24"/>
        </w:rPr>
        <w:t xml:space="preserve"> frequency</w:t>
      </w:r>
      <w:r w:rsidR="009C3330">
        <w:rPr>
          <w:rFonts w:ascii="Times New Roman" w:hAnsi="Times New Roman" w:cs="Times New Roman"/>
          <w:sz w:val="24"/>
          <w:szCs w:val="24"/>
        </w:rPr>
        <w:t xml:space="preserve"> </w:t>
      </w:r>
      <w:r w:rsidR="006D5135">
        <w:rPr>
          <w:rFonts w:ascii="Times New Roman" w:hAnsi="Times New Roman" w:cs="Times New Roman"/>
          <w:sz w:val="24"/>
          <w:szCs w:val="24"/>
        </w:rPr>
        <w:t>and binge drinking.</w:t>
      </w:r>
      <w:r w:rsidR="00DC52BC">
        <w:rPr>
          <w:rFonts w:ascii="Times New Roman" w:hAnsi="Times New Roman" w:cs="Times New Roman"/>
          <w:sz w:val="24"/>
          <w:szCs w:val="24"/>
        </w:rPr>
        <w:t xml:space="preserve"> </w:t>
      </w:r>
      <w:r w:rsidR="00891226" w:rsidRPr="00CA3817">
        <w:rPr>
          <w:rFonts w:ascii="Times New Roman" w:hAnsi="Times New Roman" w:cs="Times New Roman"/>
          <w:sz w:val="24"/>
          <w:szCs w:val="24"/>
        </w:rPr>
        <w:t>The following</w:t>
      </w:r>
      <w:r w:rsidR="00882B7C" w:rsidRPr="00CA3817">
        <w:rPr>
          <w:rFonts w:ascii="Times New Roman" w:hAnsi="Times New Roman" w:cs="Times New Roman"/>
          <w:sz w:val="24"/>
          <w:szCs w:val="24"/>
        </w:rPr>
        <w:t xml:space="preserve"> </w:t>
      </w:r>
      <w:r w:rsidR="00F11177">
        <w:rPr>
          <w:rFonts w:ascii="Times New Roman" w:hAnsi="Times New Roman" w:cs="Times New Roman"/>
          <w:sz w:val="24"/>
          <w:szCs w:val="24"/>
        </w:rPr>
        <w:t>two</w:t>
      </w:r>
      <w:r w:rsidR="00F11177" w:rsidRPr="00CA3817">
        <w:rPr>
          <w:rFonts w:ascii="Times New Roman" w:hAnsi="Times New Roman" w:cs="Times New Roman"/>
          <w:sz w:val="24"/>
          <w:szCs w:val="24"/>
        </w:rPr>
        <w:t xml:space="preserve"> </w:t>
      </w:r>
      <w:r w:rsidR="00891226" w:rsidRPr="00CA3817">
        <w:rPr>
          <w:rFonts w:ascii="Times New Roman" w:hAnsi="Times New Roman" w:cs="Times New Roman"/>
          <w:sz w:val="24"/>
          <w:szCs w:val="24"/>
        </w:rPr>
        <w:t>binary variables</w:t>
      </w:r>
      <w:r w:rsidR="00EF0369">
        <w:rPr>
          <w:rFonts w:ascii="Times New Roman" w:hAnsi="Times New Roman" w:cs="Times New Roman"/>
          <w:sz w:val="24"/>
          <w:szCs w:val="24"/>
        </w:rPr>
        <w:t xml:space="preserve"> (present vs. absent)</w:t>
      </w:r>
      <w:r w:rsidR="00D86D0E">
        <w:rPr>
          <w:rFonts w:ascii="Times New Roman" w:hAnsi="Times New Roman" w:cs="Times New Roman"/>
          <w:sz w:val="24"/>
          <w:szCs w:val="24"/>
        </w:rPr>
        <w:t xml:space="preserve">, as previously </w:t>
      </w:r>
      <w:r w:rsidR="00891226" w:rsidRPr="00CA3817">
        <w:rPr>
          <w:rFonts w:ascii="Times New Roman" w:hAnsi="Times New Roman" w:cs="Times New Roman"/>
          <w:sz w:val="24"/>
          <w:szCs w:val="24"/>
        </w:rPr>
        <w:t>defined</w:t>
      </w:r>
      <w:r w:rsidR="00AA557A">
        <w:rPr>
          <w:rFonts w:ascii="Times New Roman" w:hAnsi="Times New Roman" w:cs="Times New Roman"/>
          <w:sz w:val="24"/>
          <w:szCs w:val="24"/>
        </w:rPr>
        <w:t xml:space="preserve"> </w:t>
      </w:r>
      <w:r w:rsidR="000E06B0">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"DOI" : "10.1111/add.12018", "ISSN" : "09652140", "author" : [ { "dropping-particle" : "", "family" : "Melotti", "given" : "Roberto", "non-dropping-particle" : "", "parse-names" : false, "suffix" : "" }, { "dropping-particle" : "", "family" : "Lewis", "given" : "Glyn", "non-dropping-particle" : "", "parse-names" : false, "suffix" : "" }, { "dropping-particle" : "", "family" : "Hickman", "given" : "Matthew", "non-dropping-particle" : "", "parse-names" : false, "suffix" : "" }, { "dropping-particle" : "", "family" : "Heron", "given" : "Jon", "non-dropping-particle" : "", "parse-names" : false, "suffix" : "" }, { "dropping-particle" : "", "family" : "Araya", "given" : "Ricardo", "non-dropping-particle" : "", "parse-names" : false, "suffix" : "" }, { "dropping-particle" : "", "family" : "Macleod", "given" : "John", "non-dropping-particle" : "", "parse-names" : false, "suffix" : "" } ], "container-title" : "Addiction", "id" : "ITEM-1", "issue" : "3", "issued" : { "date-parts" : [ [ "2013" ] ] }, "page" : "516-525", "title" : "Early life socio-economic position and later alcohol use: birth cohort study", "type" : "article-journal", "volume" : "108" }, "uris" : [ "http://www.mendeley.com/documents/?uuid=82b82bac-4b6d-46f8-8f48-bb1d1853d661" ] } ], "mendeley" : { "formattedCitation" : "(Melotti et al. 2013)", "plainTextFormattedCitation" : "(Melotti et al. 2013)", "previouslyFormattedCitation" : "(Melotti et al. 2013)" }, "properties" : { "noteIndex" : 0 }, "schema" : "https://github.com/citation-style-language/schema/raw/master/csl-citation.json" }</w:instrText>
      </w:r>
      <w:r w:rsidR="000E06B0">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(Melotti et al. 2013)</w:t>
      </w:r>
      <w:r w:rsidR="000E06B0">
        <w:rPr>
          <w:rFonts w:ascii="Times New Roman" w:hAnsi="Times New Roman" w:cs="Times New Roman"/>
          <w:sz w:val="24"/>
          <w:szCs w:val="24"/>
        </w:rPr>
        <w:fldChar w:fldCharType="end"/>
      </w:r>
      <w:r w:rsidR="00D86D0E">
        <w:rPr>
          <w:rFonts w:ascii="Times New Roman" w:hAnsi="Times New Roman" w:cs="Times New Roman"/>
          <w:sz w:val="24"/>
          <w:szCs w:val="24"/>
        </w:rPr>
        <w:t>, captured alcohol involvement</w:t>
      </w:r>
      <w:r w:rsidR="00620421">
        <w:rPr>
          <w:rFonts w:ascii="Times New Roman" w:hAnsi="Times New Roman" w:cs="Times New Roman"/>
          <w:sz w:val="24"/>
          <w:szCs w:val="24"/>
        </w:rPr>
        <w:t>:</w:t>
      </w:r>
      <w:r w:rsidR="00122EA0">
        <w:rPr>
          <w:rFonts w:ascii="Times New Roman" w:hAnsi="Times New Roman" w:cs="Times New Roman"/>
          <w:sz w:val="24"/>
          <w:szCs w:val="24"/>
        </w:rPr>
        <w:t xml:space="preserve"> </w:t>
      </w:r>
      <w:r w:rsidR="008D561B" w:rsidRPr="00CA3817">
        <w:rPr>
          <w:rFonts w:ascii="Times New Roman" w:hAnsi="Times New Roman" w:cs="Times New Roman"/>
          <w:sz w:val="24"/>
          <w:szCs w:val="24"/>
        </w:rPr>
        <w:t xml:space="preserve">1) </w:t>
      </w:r>
      <w:r w:rsidR="00891226" w:rsidRPr="001A693A">
        <w:rPr>
          <w:rFonts w:ascii="Times New Roman" w:hAnsi="Times New Roman" w:cs="Times New Roman"/>
          <w:sz w:val="24"/>
          <w:szCs w:val="24"/>
        </w:rPr>
        <w:t>frequent drinking</w:t>
      </w:r>
      <w:r w:rsidR="00891226" w:rsidRPr="00CA3817">
        <w:rPr>
          <w:rFonts w:ascii="Times New Roman" w:hAnsi="Times New Roman" w:cs="Times New Roman"/>
          <w:sz w:val="24"/>
          <w:szCs w:val="24"/>
        </w:rPr>
        <w:t xml:space="preserve"> (</w:t>
      </w:r>
      <w:r w:rsidR="00882B7C" w:rsidRPr="00CA3817">
        <w:rPr>
          <w:rFonts w:ascii="Times New Roman" w:hAnsi="Times New Roman" w:cs="Times New Roman"/>
          <w:sz w:val="24"/>
          <w:szCs w:val="24"/>
        </w:rPr>
        <w:t>≥</w:t>
      </w:r>
      <w:r w:rsidR="00891226" w:rsidRPr="00CA3817">
        <w:rPr>
          <w:rFonts w:ascii="Times New Roman" w:hAnsi="Times New Roman" w:cs="Times New Roman"/>
          <w:sz w:val="24"/>
          <w:szCs w:val="24"/>
        </w:rPr>
        <w:t xml:space="preserve">20 </w:t>
      </w:r>
      <w:r w:rsidR="00DF7CD0" w:rsidRPr="00CA3817">
        <w:rPr>
          <w:rFonts w:ascii="Times New Roman" w:hAnsi="Times New Roman" w:cs="Times New Roman"/>
          <w:sz w:val="24"/>
          <w:szCs w:val="24"/>
        </w:rPr>
        <w:t>times in the previous 6 months)</w:t>
      </w:r>
      <w:r w:rsidR="00891226" w:rsidRPr="00CA3817">
        <w:rPr>
          <w:rFonts w:ascii="Times New Roman" w:hAnsi="Times New Roman" w:cs="Times New Roman"/>
          <w:sz w:val="24"/>
          <w:szCs w:val="24"/>
        </w:rPr>
        <w:t xml:space="preserve">; and </w:t>
      </w:r>
      <w:r w:rsidR="00F11177">
        <w:rPr>
          <w:rFonts w:ascii="Times New Roman" w:hAnsi="Times New Roman" w:cs="Times New Roman"/>
          <w:sz w:val="24"/>
          <w:szCs w:val="24"/>
        </w:rPr>
        <w:t>2</w:t>
      </w:r>
      <w:r w:rsidR="008D561B" w:rsidRPr="00CA3817">
        <w:rPr>
          <w:rFonts w:ascii="Times New Roman" w:hAnsi="Times New Roman" w:cs="Times New Roman"/>
          <w:sz w:val="24"/>
          <w:szCs w:val="24"/>
        </w:rPr>
        <w:t xml:space="preserve">) </w:t>
      </w:r>
      <w:r w:rsidR="00891226" w:rsidRPr="001A693A">
        <w:rPr>
          <w:rFonts w:ascii="Times New Roman" w:hAnsi="Times New Roman" w:cs="Times New Roman"/>
          <w:sz w:val="24"/>
          <w:szCs w:val="24"/>
        </w:rPr>
        <w:t>regular binge drinking</w:t>
      </w:r>
      <w:r w:rsidR="00891226" w:rsidRPr="00CA3817">
        <w:rPr>
          <w:rFonts w:ascii="Times New Roman" w:hAnsi="Times New Roman" w:cs="Times New Roman"/>
          <w:sz w:val="24"/>
          <w:szCs w:val="24"/>
        </w:rPr>
        <w:t xml:space="preserve"> (consuming more than five drinks in any 24-hour period on </w:t>
      </w:r>
      <w:r w:rsidR="00882B7C" w:rsidRPr="00CA3817">
        <w:rPr>
          <w:rFonts w:ascii="Times New Roman" w:hAnsi="Times New Roman" w:cs="Times New Roman"/>
          <w:sz w:val="24"/>
          <w:szCs w:val="24"/>
        </w:rPr>
        <w:t>≥</w:t>
      </w:r>
      <w:r w:rsidR="00891226" w:rsidRPr="00CA3817">
        <w:rPr>
          <w:rFonts w:ascii="Times New Roman" w:hAnsi="Times New Roman" w:cs="Times New Roman"/>
          <w:sz w:val="24"/>
          <w:szCs w:val="24"/>
        </w:rPr>
        <w:t>20 occasion</w:t>
      </w:r>
      <w:r w:rsidR="00DF7CD0" w:rsidRPr="00CA3817">
        <w:rPr>
          <w:rFonts w:ascii="Times New Roman" w:hAnsi="Times New Roman" w:cs="Times New Roman"/>
          <w:sz w:val="24"/>
          <w:szCs w:val="24"/>
        </w:rPr>
        <w:t>s</w:t>
      </w:r>
      <w:r w:rsidR="00495262" w:rsidRPr="00495262">
        <w:rPr>
          <w:rFonts w:ascii="Times New Roman" w:hAnsi="Times New Roman" w:cs="Times New Roman"/>
          <w:sz w:val="24"/>
          <w:szCs w:val="24"/>
        </w:rPr>
        <w:t xml:space="preserve"> </w:t>
      </w:r>
      <w:r w:rsidR="00495262" w:rsidRPr="00CA3817">
        <w:rPr>
          <w:rFonts w:ascii="Times New Roman" w:hAnsi="Times New Roman" w:cs="Times New Roman"/>
          <w:sz w:val="24"/>
          <w:szCs w:val="24"/>
        </w:rPr>
        <w:t>in the previous 2 years</w:t>
      </w:r>
      <w:r w:rsidR="00DF7CD0" w:rsidRPr="00CA3817">
        <w:rPr>
          <w:rFonts w:ascii="Times New Roman" w:hAnsi="Times New Roman" w:cs="Times New Roman"/>
          <w:sz w:val="24"/>
          <w:szCs w:val="24"/>
        </w:rPr>
        <w:t>)</w:t>
      </w:r>
      <w:r w:rsidR="00882B7C" w:rsidRPr="00CA3817">
        <w:rPr>
          <w:rFonts w:ascii="Times New Roman" w:hAnsi="Times New Roman" w:cs="Times New Roman"/>
          <w:sz w:val="24"/>
          <w:szCs w:val="24"/>
        </w:rPr>
        <w:t>, which adapts a common definition of binge drinking</w:t>
      </w:r>
      <w:r w:rsidR="00AA557A">
        <w:rPr>
          <w:rFonts w:ascii="Times New Roman" w:hAnsi="Times New Roman" w:cs="Times New Roman"/>
          <w:sz w:val="24"/>
          <w:szCs w:val="24"/>
        </w:rPr>
        <w:t xml:space="preserve"> </w:t>
      </w:r>
      <w:r w:rsidR="000E06B0">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"abstract" : "A developmental framework for understanding and addressing the problem of underage alcohol consumption is presented. The first section presents the rationale for a developmental approach, including striking age-related data on patterns of onset, prevalence, and course of alcohol use and disorders in young people. The second section examines the fundamental meaning of a developmental approach to conceptualizing underage drinking. The third section delineates contemporary principles of developmental psychopathology as a guide to future research and intervention efforts. Strategic, sensitive, and effective efforts to address the problem of underage drinking will require a developmentally informed approach to research, prevention, and treatment.", "author" : [ { "dropping-particle" : "", "family" : "Masten", "given" : "Ann S", "non-dropping-particle" : "", "parse-names" : false, "suffix" : "" }, { "dropping-particle" : "", "family" : "Faden", "given" : "Vivian B", "non-dropping-particle" : "", "parse-names" : false, "suffix" : "" }, { "dropping-particle" : "", "family" : "Zucker", "given" : "Robert A", "non-dropping-particle" : "", "parse-names" : false, "suffix" : "" }, { "dropping-particle" : "", "family" : "Spear", "given" : "Linda P", "non-dropping-particle" : "", "parse-names" : false, "suffix" : "" } ], "container-title" : "Pediatrics", "id" : "ITEM-1", "issue" : "4", "issued" : { "date-parts" : [ [ "2008", "4", "1" ] ] }, "page" : "S235 LP - S251", "title" : "Underage drinking: a developmental framework", "type" : "article-journal", "volume" : "121" }, "uris" : [ "http://www.mendeley.com/documents/?uuid=1bc446a3-5b0d-46ac-828f-6e883657dab7" ] } ], "mendeley" : { "formattedCitation" : "(Masten et al. 2008)", "plainTextFormattedCitation" : "(Masten et al. 2008)", "previouslyFormattedCitation" : "(Masten et al. 2008)" }, "properties" : { "noteIndex" : 0 }, "schema" : "https://github.com/citation-style-language/schema/raw/master/csl-citation.json" }</w:instrText>
      </w:r>
      <w:r w:rsidR="000E06B0">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(Masten et al. 2008)</w:t>
      </w:r>
      <w:r w:rsidR="000E06B0">
        <w:rPr>
          <w:rFonts w:ascii="Times New Roman" w:hAnsi="Times New Roman" w:cs="Times New Roman"/>
          <w:sz w:val="24"/>
          <w:szCs w:val="24"/>
        </w:rPr>
        <w:fldChar w:fldCharType="end"/>
      </w:r>
      <w:r w:rsidR="00D86D0E">
        <w:rPr>
          <w:rFonts w:ascii="Times New Roman" w:hAnsi="Times New Roman" w:cs="Times New Roman"/>
          <w:sz w:val="24"/>
          <w:szCs w:val="24"/>
        </w:rPr>
        <w:t xml:space="preserve">. </w:t>
      </w:r>
      <w:r w:rsidR="00D94623">
        <w:rPr>
          <w:rFonts w:ascii="Times New Roman" w:hAnsi="Times New Roman" w:cs="Times New Roman"/>
          <w:sz w:val="24"/>
          <w:szCs w:val="24"/>
        </w:rPr>
        <w:t>A</w:t>
      </w:r>
      <w:r w:rsidR="00F12B25">
        <w:rPr>
          <w:rFonts w:ascii="Times New Roman" w:hAnsi="Times New Roman" w:cs="Times New Roman"/>
          <w:sz w:val="24"/>
          <w:szCs w:val="24"/>
        </w:rPr>
        <w:t>n</w:t>
      </w:r>
      <w:r w:rsidR="00A7012C">
        <w:rPr>
          <w:rFonts w:ascii="Times New Roman" w:hAnsi="Times New Roman" w:cs="Times New Roman"/>
          <w:sz w:val="24"/>
          <w:szCs w:val="24"/>
        </w:rPr>
        <w:t xml:space="preserve"> </w:t>
      </w:r>
      <w:r w:rsidR="00AC7D83">
        <w:rPr>
          <w:rFonts w:ascii="Times New Roman" w:hAnsi="Times New Roman" w:cs="Times New Roman"/>
          <w:sz w:val="24"/>
          <w:szCs w:val="24"/>
        </w:rPr>
        <w:t>ordinal variable</w:t>
      </w:r>
      <w:r w:rsidR="00A7012C">
        <w:rPr>
          <w:rFonts w:ascii="Times New Roman" w:hAnsi="Times New Roman" w:cs="Times New Roman"/>
          <w:sz w:val="24"/>
          <w:szCs w:val="24"/>
        </w:rPr>
        <w:t xml:space="preserve"> </w:t>
      </w:r>
      <w:r w:rsidR="00D94623">
        <w:rPr>
          <w:rFonts w:ascii="Times New Roman" w:hAnsi="Times New Roman" w:cs="Times New Roman"/>
          <w:sz w:val="24"/>
          <w:szCs w:val="24"/>
        </w:rPr>
        <w:t xml:space="preserve">capturing three mutually exclusive groups was created </w:t>
      </w:r>
      <w:r w:rsidR="00F12B25">
        <w:rPr>
          <w:rFonts w:ascii="Times New Roman" w:hAnsi="Times New Roman" w:cs="Times New Roman"/>
          <w:sz w:val="24"/>
          <w:szCs w:val="24"/>
        </w:rPr>
        <w:t xml:space="preserve">by combining </w:t>
      </w:r>
      <w:r w:rsidR="00A7012C">
        <w:rPr>
          <w:rFonts w:ascii="Times New Roman" w:hAnsi="Times New Roman" w:cs="Times New Roman"/>
          <w:sz w:val="24"/>
          <w:szCs w:val="24"/>
        </w:rPr>
        <w:lastRenderedPageBreak/>
        <w:t>the</w:t>
      </w:r>
      <w:r w:rsidR="00620421">
        <w:rPr>
          <w:rFonts w:ascii="Times New Roman" w:hAnsi="Times New Roman" w:cs="Times New Roman"/>
          <w:sz w:val="24"/>
          <w:szCs w:val="24"/>
        </w:rPr>
        <w:t>se</w:t>
      </w:r>
      <w:r w:rsidR="00A7012C">
        <w:rPr>
          <w:rFonts w:ascii="Times New Roman" w:hAnsi="Times New Roman" w:cs="Times New Roman"/>
          <w:sz w:val="24"/>
          <w:szCs w:val="24"/>
        </w:rPr>
        <w:t xml:space="preserve"> two</w:t>
      </w:r>
      <w:r w:rsidR="00F12B25">
        <w:rPr>
          <w:rFonts w:ascii="Times New Roman" w:hAnsi="Times New Roman" w:cs="Times New Roman"/>
          <w:sz w:val="24"/>
          <w:szCs w:val="24"/>
        </w:rPr>
        <w:t xml:space="preserve"> </w:t>
      </w:r>
      <w:r w:rsidR="00D94623">
        <w:rPr>
          <w:rFonts w:ascii="Times New Roman" w:hAnsi="Times New Roman" w:cs="Times New Roman"/>
          <w:sz w:val="24"/>
          <w:szCs w:val="24"/>
        </w:rPr>
        <w:t xml:space="preserve">measures. Groups consisted of participants who </w:t>
      </w:r>
      <w:r w:rsidR="00A7012C">
        <w:rPr>
          <w:rFonts w:ascii="Times New Roman" w:hAnsi="Times New Roman" w:cs="Times New Roman"/>
          <w:sz w:val="24"/>
          <w:szCs w:val="24"/>
        </w:rPr>
        <w:t xml:space="preserve">did not meet </w:t>
      </w:r>
      <w:r w:rsidR="009361D4">
        <w:rPr>
          <w:rFonts w:ascii="Times New Roman" w:hAnsi="Times New Roman" w:cs="Times New Roman"/>
          <w:sz w:val="24"/>
          <w:szCs w:val="24"/>
        </w:rPr>
        <w:t>either criterion,</w:t>
      </w:r>
      <w:r w:rsidR="00F12B25">
        <w:rPr>
          <w:rFonts w:ascii="Times New Roman" w:hAnsi="Times New Roman" w:cs="Times New Roman"/>
          <w:sz w:val="24"/>
          <w:szCs w:val="24"/>
        </w:rPr>
        <w:t xml:space="preserve"> </w:t>
      </w:r>
      <w:r w:rsidR="00BF59B9" w:rsidRPr="00BF59B9">
        <w:rPr>
          <w:rFonts w:ascii="Times New Roman" w:hAnsi="Times New Roman" w:cs="Times New Roman"/>
          <w:i/>
          <w:sz w:val="24"/>
          <w:szCs w:val="24"/>
        </w:rPr>
        <w:t>n</w:t>
      </w:r>
      <w:r w:rsidR="00BF59B9">
        <w:rPr>
          <w:rFonts w:ascii="Times New Roman" w:hAnsi="Times New Roman" w:cs="Times New Roman"/>
          <w:sz w:val="24"/>
          <w:szCs w:val="24"/>
        </w:rPr>
        <w:t>=</w:t>
      </w:r>
      <w:r w:rsidR="006546FF">
        <w:rPr>
          <w:rFonts w:ascii="Times New Roman" w:hAnsi="Times New Roman" w:cs="Times New Roman"/>
          <w:sz w:val="24"/>
          <w:szCs w:val="24"/>
        </w:rPr>
        <w:t>3,525</w:t>
      </w:r>
      <w:r w:rsidR="00BF59B9">
        <w:rPr>
          <w:rFonts w:ascii="Times New Roman" w:hAnsi="Times New Roman" w:cs="Times New Roman"/>
          <w:sz w:val="24"/>
          <w:szCs w:val="24"/>
        </w:rPr>
        <w:t xml:space="preserve"> (</w:t>
      </w:r>
      <w:r w:rsidR="006546FF">
        <w:rPr>
          <w:rFonts w:ascii="Times New Roman" w:hAnsi="Times New Roman" w:cs="Times New Roman"/>
          <w:sz w:val="24"/>
          <w:szCs w:val="24"/>
        </w:rPr>
        <w:t>78.9</w:t>
      </w:r>
      <w:r w:rsidR="00BF59B9">
        <w:rPr>
          <w:rFonts w:ascii="Times New Roman" w:hAnsi="Times New Roman" w:cs="Times New Roman"/>
          <w:sz w:val="24"/>
          <w:szCs w:val="24"/>
        </w:rPr>
        <w:t>%)</w:t>
      </w:r>
      <w:r w:rsidR="00D93D27">
        <w:rPr>
          <w:rFonts w:ascii="Times New Roman" w:hAnsi="Times New Roman" w:cs="Times New Roman"/>
          <w:sz w:val="24"/>
          <w:szCs w:val="24"/>
        </w:rPr>
        <w:t>,</w:t>
      </w:r>
      <w:r w:rsidR="006C111C">
        <w:rPr>
          <w:rFonts w:ascii="Times New Roman" w:hAnsi="Times New Roman" w:cs="Times New Roman"/>
          <w:sz w:val="24"/>
          <w:szCs w:val="24"/>
        </w:rPr>
        <w:t xml:space="preserve"> from here on referred to as </w:t>
      </w:r>
      <w:r w:rsidR="00D93D27">
        <w:rPr>
          <w:rFonts w:ascii="Times New Roman" w:hAnsi="Times New Roman" w:cs="Times New Roman"/>
          <w:sz w:val="24"/>
          <w:szCs w:val="24"/>
        </w:rPr>
        <w:t>the ‘low’ alcohol group</w:t>
      </w:r>
      <w:r w:rsidR="00A7012C">
        <w:rPr>
          <w:rFonts w:ascii="Times New Roman" w:hAnsi="Times New Roman" w:cs="Times New Roman"/>
          <w:sz w:val="24"/>
          <w:szCs w:val="24"/>
        </w:rPr>
        <w:t xml:space="preserve">, </w:t>
      </w:r>
      <w:r w:rsidR="00620421">
        <w:rPr>
          <w:rFonts w:ascii="Times New Roman" w:hAnsi="Times New Roman" w:cs="Times New Roman"/>
          <w:sz w:val="24"/>
          <w:szCs w:val="24"/>
        </w:rPr>
        <w:t>participants</w:t>
      </w:r>
      <w:r w:rsidR="00A7012C">
        <w:rPr>
          <w:rFonts w:ascii="Times New Roman" w:hAnsi="Times New Roman" w:cs="Times New Roman"/>
          <w:sz w:val="24"/>
          <w:szCs w:val="24"/>
        </w:rPr>
        <w:t xml:space="preserve"> who were frequent drinkers only</w:t>
      </w:r>
      <w:r w:rsidR="009361D4">
        <w:rPr>
          <w:rFonts w:ascii="Times New Roman" w:hAnsi="Times New Roman" w:cs="Times New Roman"/>
          <w:sz w:val="24"/>
          <w:szCs w:val="24"/>
        </w:rPr>
        <w:t>,</w:t>
      </w:r>
      <w:r w:rsidR="00BF59B9">
        <w:rPr>
          <w:rFonts w:ascii="Times New Roman" w:hAnsi="Times New Roman" w:cs="Times New Roman"/>
          <w:sz w:val="24"/>
          <w:szCs w:val="24"/>
        </w:rPr>
        <w:t xml:space="preserve"> </w:t>
      </w:r>
      <w:r w:rsidR="00BF59B9" w:rsidRPr="00BF59B9">
        <w:rPr>
          <w:rFonts w:ascii="Times New Roman" w:hAnsi="Times New Roman" w:cs="Times New Roman"/>
          <w:i/>
          <w:sz w:val="24"/>
          <w:szCs w:val="24"/>
        </w:rPr>
        <w:t>n</w:t>
      </w:r>
      <w:r w:rsidR="00BF59B9">
        <w:rPr>
          <w:rFonts w:ascii="Times New Roman" w:hAnsi="Times New Roman" w:cs="Times New Roman"/>
          <w:sz w:val="24"/>
          <w:szCs w:val="24"/>
        </w:rPr>
        <w:t>=</w:t>
      </w:r>
      <w:r w:rsidR="006546FF">
        <w:rPr>
          <w:rFonts w:ascii="Times New Roman" w:hAnsi="Times New Roman" w:cs="Times New Roman"/>
          <w:sz w:val="24"/>
          <w:szCs w:val="24"/>
        </w:rPr>
        <w:t>480</w:t>
      </w:r>
      <w:r w:rsidR="00BF59B9">
        <w:rPr>
          <w:rFonts w:ascii="Times New Roman" w:hAnsi="Times New Roman" w:cs="Times New Roman"/>
          <w:sz w:val="24"/>
          <w:szCs w:val="24"/>
        </w:rPr>
        <w:t xml:space="preserve"> (</w:t>
      </w:r>
      <w:r w:rsidR="006546FF">
        <w:rPr>
          <w:rFonts w:ascii="Times New Roman" w:hAnsi="Times New Roman" w:cs="Times New Roman"/>
          <w:sz w:val="24"/>
          <w:szCs w:val="24"/>
        </w:rPr>
        <w:t>10.8%</w:t>
      </w:r>
      <w:r w:rsidR="00BF59B9">
        <w:rPr>
          <w:rFonts w:ascii="Times New Roman" w:hAnsi="Times New Roman" w:cs="Times New Roman"/>
          <w:sz w:val="24"/>
          <w:szCs w:val="24"/>
        </w:rPr>
        <w:t>)</w:t>
      </w:r>
      <w:r w:rsidR="00A7012C">
        <w:rPr>
          <w:rFonts w:ascii="Times New Roman" w:hAnsi="Times New Roman" w:cs="Times New Roman"/>
          <w:sz w:val="24"/>
          <w:szCs w:val="24"/>
        </w:rPr>
        <w:t xml:space="preserve">, and </w:t>
      </w:r>
      <w:r w:rsidR="00620421">
        <w:rPr>
          <w:rFonts w:ascii="Times New Roman" w:hAnsi="Times New Roman" w:cs="Times New Roman"/>
          <w:sz w:val="24"/>
          <w:szCs w:val="24"/>
        </w:rPr>
        <w:t>participants</w:t>
      </w:r>
      <w:r w:rsidR="00A7012C">
        <w:rPr>
          <w:rFonts w:ascii="Times New Roman" w:hAnsi="Times New Roman" w:cs="Times New Roman"/>
          <w:sz w:val="24"/>
          <w:szCs w:val="24"/>
        </w:rPr>
        <w:t xml:space="preserve"> who </w:t>
      </w:r>
      <w:r w:rsidR="00D93D27">
        <w:rPr>
          <w:rFonts w:ascii="Times New Roman" w:hAnsi="Times New Roman" w:cs="Times New Roman"/>
          <w:sz w:val="24"/>
          <w:szCs w:val="24"/>
        </w:rPr>
        <w:t>were</w:t>
      </w:r>
      <w:r w:rsidR="00A7012C">
        <w:rPr>
          <w:rFonts w:ascii="Times New Roman" w:hAnsi="Times New Roman" w:cs="Times New Roman"/>
          <w:sz w:val="24"/>
          <w:szCs w:val="24"/>
        </w:rPr>
        <w:t xml:space="preserve"> binge and frequent drinkers</w:t>
      </w:r>
      <w:r w:rsidR="00BF59B9">
        <w:rPr>
          <w:rFonts w:ascii="Times New Roman" w:hAnsi="Times New Roman" w:cs="Times New Roman"/>
          <w:sz w:val="24"/>
          <w:szCs w:val="24"/>
        </w:rPr>
        <w:t xml:space="preserve"> </w:t>
      </w:r>
      <w:r w:rsidR="00BF59B9" w:rsidRPr="00BF59B9">
        <w:rPr>
          <w:rFonts w:ascii="Times New Roman" w:hAnsi="Times New Roman" w:cs="Times New Roman"/>
          <w:i/>
          <w:sz w:val="24"/>
          <w:szCs w:val="24"/>
        </w:rPr>
        <w:t>n</w:t>
      </w:r>
      <w:r w:rsidR="00BF59B9">
        <w:rPr>
          <w:rFonts w:ascii="Times New Roman" w:hAnsi="Times New Roman" w:cs="Times New Roman"/>
          <w:sz w:val="24"/>
          <w:szCs w:val="24"/>
        </w:rPr>
        <w:t>=</w:t>
      </w:r>
      <w:r w:rsidR="006546FF">
        <w:rPr>
          <w:rFonts w:ascii="Times New Roman" w:hAnsi="Times New Roman" w:cs="Times New Roman"/>
          <w:sz w:val="24"/>
          <w:szCs w:val="24"/>
        </w:rPr>
        <w:t>461</w:t>
      </w:r>
      <w:r w:rsidR="00BF59B9">
        <w:rPr>
          <w:rFonts w:ascii="Times New Roman" w:hAnsi="Times New Roman" w:cs="Times New Roman"/>
          <w:sz w:val="24"/>
          <w:szCs w:val="24"/>
        </w:rPr>
        <w:t xml:space="preserve"> (</w:t>
      </w:r>
      <w:r w:rsidR="006546FF">
        <w:rPr>
          <w:rFonts w:ascii="Times New Roman" w:hAnsi="Times New Roman" w:cs="Times New Roman"/>
          <w:sz w:val="24"/>
          <w:szCs w:val="24"/>
        </w:rPr>
        <w:t>10.3</w:t>
      </w:r>
      <w:r w:rsidR="00BF59B9">
        <w:rPr>
          <w:rFonts w:ascii="Times New Roman" w:hAnsi="Times New Roman" w:cs="Times New Roman"/>
          <w:sz w:val="24"/>
          <w:szCs w:val="24"/>
        </w:rPr>
        <w:t>%)</w:t>
      </w:r>
      <w:r w:rsidR="00A7012C">
        <w:rPr>
          <w:rFonts w:ascii="Times New Roman" w:hAnsi="Times New Roman" w:cs="Times New Roman"/>
          <w:sz w:val="24"/>
          <w:szCs w:val="24"/>
        </w:rPr>
        <w:t>.</w:t>
      </w:r>
      <w:r w:rsidR="007E7E3A">
        <w:rPr>
          <w:rFonts w:ascii="Times New Roman" w:hAnsi="Times New Roman" w:cs="Times New Roman"/>
          <w:sz w:val="24"/>
          <w:szCs w:val="24"/>
        </w:rPr>
        <w:t xml:space="preserve"> </w:t>
      </w:r>
      <w:r w:rsidR="00797F3B">
        <w:rPr>
          <w:rFonts w:ascii="Times New Roman" w:hAnsi="Times New Roman" w:cs="Times New Roman"/>
          <w:sz w:val="24"/>
          <w:szCs w:val="24"/>
        </w:rPr>
        <w:t>High thresholds for alcohol use were used to capture the extreme end of consumption as</w:t>
      </w:r>
      <w:r w:rsidR="00797F3B" w:rsidRPr="007B1297">
        <w:rPr>
          <w:rFonts w:ascii="Times New Roman" w:hAnsi="Times New Roman" w:cs="Times New Roman"/>
          <w:sz w:val="24"/>
          <w:szCs w:val="24"/>
        </w:rPr>
        <w:t xml:space="preserve"> it has been suggested that the amount of alcohol </w:t>
      </w:r>
      <w:r w:rsidR="00797F3B">
        <w:rPr>
          <w:rFonts w:ascii="Times New Roman" w:hAnsi="Times New Roman" w:cs="Times New Roman"/>
          <w:sz w:val="24"/>
          <w:szCs w:val="24"/>
        </w:rPr>
        <w:t xml:space="preserve">consumed </w:t>
      </w:r>
      <w:r w:rsidR="00797F3B" w:rsidRPr="007B1297">
        <w:rPr>
          <w:rFonts w:ascii="Times New Roman" w:hAnsi="Times New Roman" w:cs="Times New Roman"/>
          <w:sz w:val="24"/>
          <w:szCs w:val="24"/>
        </w:rPr>
        <w:t xml:space="preserve">in community samples might be too low to negatively influence the development of WM </w:t>
      </w:r>
      <w:r w:rsidR="00797F3B" w:rsidRPr="007B1297">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"10.1111/add.12001", "ISSN" : "1360-0443 (Electronic)", "PMID" : "23033972", "abstract" : "AIMS: (i) To evaluate the role of pre-existing weakness in working memory ability (WM) as a risk factor for early alcohol use as mediated by different forms of impulsivity and (ii) to assess the adverse effects of progressive alcohol use on variations in WM over time. DESIGN, SETTING AND PARTICIPANTS: A community sample of 358 adolescents [48% males, mean(age) (baseline) = 11.4 +/- 0.87 years] from a longitudinal cohort design, assessed annually over 4 consecutive years with less than 6% attrition. MEASUREMENTS: Repeated assessments were conducted for the following key variables: WM (based on performance on four separate tasks), frequency of alcohol use (AU) and three forms of impulsivity, namely sensation seeking (SS), acting without thinking (AWT) and delay discounting (DD). Latent growth curve modeling procedures were used to identify individual trajectories of change for all key variables. FINDINGS: Weakness in WM (at baseline) predicted significantly both concurrent alcohol use and increased frequency of use over the four waves (P &lt; 0.05). This effect was entirely mediated by two forms of impulsivity, AWT and DD, both of which were characterized by underlying weakness in WM. No individual variation was observed in the slopes of WM, which suggests that individual variations in alcohol use were not associated with changes in WM in our early adolescent sample. CONCLUSIONS: Early adolescent alcohol use may be a consequence of (pre-existing) weaknesses in working memory (WM) rather than a cause of it. Efforts to reduce early alcohol use should consider the distinct roles of different impulsivity dimensions, in addition to WM, as potential targets of intervention.", "author" : [ { "dropping-particle" : "", "family" : "Khurana", "given" : "Atika", "non-dropping-particle" : "", "parse-names" : false, "suffix" : "" }, { "dropping-particle" : "", "family" : "Romer", "given" : "Dan", "non-dropping-particle" : "", "parse-names" : false, "suffix" : "" }, { "dropping-particle" : "", "family" : "Betancourt", "given" : "Laura M", "non-dropping-particle" : "", "parse-names" : false, "suffix" : "" }, { "dropping-particle" : "", "family" : "Brodsky", "given" : "Nancy L", "non-dropping-particle" : "", "parse-names" : false, "suffix" : "" }, { "dropping-particle" : "", "family" : "Giannetta", "given" : "Joan M", "non-dropping-particle" : "", "parse-names" : false, "suffix" : "" }, { "dropping-particle" : "", "family" : "Hurt", "given" : "Hallam", "non-dropping-particle" : "", "parse-names" : false, "suffix" : "" } ], "container-title" : "Addiction", "id" : "ITEM-1", "issue" : "3", "issued" : { "date-parts" : [ [ "2013", "3" ] ] }, "language" : "ENG", "page" : "506-515", "publisher-place" : "England", "title" : "Working memory ability predicts trajectories of early alcohol use in adolescents: the mediational role of impulsivity.", "type" : "article-journal", "volume" : "108" }, "uris" : [ "http://www.mendeley.com/documents/?uuid=1dfd9236-36b3-47bd-a6c3-d49a2deddada" ] } ], "mendeley" : { "formattedCitation" : "(Khurana et al. 2013)", "plainTextFormattedCitation" : "(Khurana et al. 2013)", "previouslyFormattedCitation" : "(Khurana et al. 2013)" }, "properties" : { "noteIndex" : 0 }, "schema" : "https://github.com/citation-style-language/schema/raw/master/csl-citation.json" }</w:instrText>
      </w:r>
      <w:r w:rsidR="00797F3B" w:rsidRPr="007B1297">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(Khurana et al. 2013)</w:t>
      </w:r>
      <w:r w:rsidR="00797F3B" w:rsidRPr="007B1297">
        <w:rPr>
          <w:rFonts w:ascii="Times New Roman" w:hAnsi="Times New Roman" w:cs="Times New Roman"/>
          <w:sz w:val="24"/>
          <w:szCs w:val="24"/>
        </w:rPr>
        <w:fldChar w:fldCharType="end"/>
      </w:r>
      <w:r w:rsidR="00797F3B" w:rsidRPr="007B1297">
        <w:rPr>
          <w:rFonts w:ascii="Times New Roman" w:hAnsi="Times New Roman" w:cs="Times New Roman"/>
          <w:sz w:val="24"/>
          <w:szCs w:val="24"/>
        </w:rPr>
        <w:t>.</w:t>
      </w:r>
      <w:r w:rsidR="00797F3B">
        <w:rPr>
          <w:rFonts w:ascii="Times New Roman" w:hAnsi="Times New Roman" w:cs="Times New Roman"/>
          <w:sz w:val="24"/>
          <w:szCs w:val="24"/>
        </w:rPr>
        <w:t xml:space="preserve"> </w:t>
      </w:r>
      <w:r w:rsidR="007E7E3A">
        <w:rPr>
          <w:rFonts w:ascii="Times New Roman" w:hAnsi="Times New Roman" w:cs="Times New Roman"/>
          <w:sz w:val="24"/>
          <w:szCs w:val="24"/>
        </w:rPr>
        <w:t xml:space="preserve">For </w:t>
      </w:r>
      <w:r w:rsidR="00D94623">
        <w:rPr>
          <w:rFonts w:ascii="Times New Roman" w:hAnsi="Times New Roman" w:cs="Times New Roman"/>
          <w:sz w:val="24"/>
          <w:szCs w:val="24"/>
        </w:rPr>
        <w:t>all</w:t>
      </w:r>
      <w:r w:rsidR="007E7E3A">
        <w:rPr>
          <w:rFonts w:ascii="Times New Roman" w:hAnsi="Times New Roman" w:cs="Times New Roman"/>
          <w:sz w:val="24"/>
          <w:szCs w:val="24"/>
        </w:rPr>
        <w:t xml:space="preserve"> analyses, </w:t>
      </w:r>
      <w:r w:rsidR="00694642">
        <w:rPr>
          <w:rFonts w:ascii="Times New Roman" w:hAnsi="Times New Roman" w:cs="Times New Roman"/>
          <w:sz w:val="24"/>
          <w:szCs w:val="24"/>
        </w:rPr>
        <w:t xml:space="preserve">the low alcohol group </w:t>
      </w:r>
      <w:r w:rsidR="00D81A01">
        <w:rPr>
          <w:rFonts w:ascii="Times New Roman" w:hAnsi="Times New Roman" w:cs="Times New Roman"/>
          <w:sz w:val="24"/>
          <w:szCs w:val="24"/>
        </w:rPr>
        <w:t>was</w:t>
      </w:r>
      <w:r w:rsidR="00694642">
        <w:rPr>
          <w:rFonts w:ascii="Times New Roman" w:hAnsi="Times New Roman" w:cs="Times New Roman"/>
          <w:sz w:val="24"/>
          <w:szCs w:val="24"/>
        </w:rPr>
        <w:t xml:space="preserve"> </w:t>
      </w:r>
      <w:r w:rsidR="0055364A">
        <w:rPr>
          <w:rFonts w:ascii="Times New Roman" w:hAnsi="Times New Roman" w:cs="Times New Roman"/>
          <w:sz w:val="24"/>
          <w:szCs w:val="24"/>
        </w:rPr>
        <w:t xml:space="preserve">taken </w:t>
      </w:r>
      <w:r w:rsidR="007E7E3A">
        <w:rPr>
          <w:rFonts w:ascii="Times New Roman" w:hAnsi="Times New Roman" w:cs="Times New Roman"/>
          <w:sz w:val="24"/>
          <w:szCs w:val="24"/>
        </w:rPr>
        <w:t xml:space="preserve">as the reference group. </w:t>
      </w:r>
    </w:p>
    <w:p w14:paraId="1D01145C" w14:textId="0DF008CB" w:rsidR="00E7069C" w:rsidRDefault="00953CE8" w:rsidP="00465EDA">
      <w:pPr>
        <w:spacing w:before="240" w:after="0" w:line="480" w:lineRule="auto"/>
        <w:rPr>
          <w:rFonts w:ascii="Times New Roman" w:hAnsi="Times New Roman" w:cs="Times New Roman"/>
          <w:sz w:val="24"/>
          <w:szCs w:val="24"/>
        </w:rPr>
      </w:pPr>
      <w:r>
        <w:rPr>
          <w:rFonts w:ascii="Times New Roman" w:hAnsi="Times New Roman" w:cs="Times New Roman"/>
          <w:i/>
          <w:sz w:val="24"/>
          <w:szCs w:val="24"/>
        </w:rPr>
        <w:t>Outcome</w:t>
      </w:r>
      <w:r w:rsidR="008512F3" w:rsidRPr="00CA3817">
        <w:rPr>
          <w:rFonts w:ascii="Times New Roman" w:hAnsi="Times New Roman" w:cs="Times New Roman"/>
          <w:i/>
          <w:sz w:val="24"/>
          <w:szCs w:val="24"/>
        </w:rPr>
        <w:t xml:space="preserve">: </w:t>
      </w:r>
      <w:r w:rsidR="005822BC">
        <w:rPr>
          <w:rFonts w:ascii="Times New Roman" w:hAnsi="Times New Roman" w:cs="Times New Roman"/>
          <w:i/>
          <w:sz w:val="24"/>
          <w:szCs w:val="24"/>
        </w:rPr>
        <w:t>W</w:t>
      </w:r>
      <w:r w:rsidR="008512F3" w:rsidRPr="00CA3817">
        <w:rPr>
          <w:rFonts w:ascii="Times New Roman" w:hAnsi="Times New Roman" w:cs="Times New Roman"/>
          <w:i/>
          <w:sz w:val="24"/>
          <w:szCs w:val="24"/>
        </w:rPr>
        <w:t xml:space="preserve">orking memory. </w:t>
      </w:r>
      <w:r w:rsidR="00592D57">
        <w:rPr>
          <w:rFonts w:ascii="Times New Roman" w:hAnsi="Times New Roman" w:cs="Times New Roman"/>
          <w:sz w:val="24"/>
          <w:szCs w:val="24"/>
        </w:rPr>
        <w:t>A</w:t>
      </w:r>
      <w:r w:rsidR="002E23FC" w:rsidRPr="00CA3817">
        <w:rPr>
          <w:rFonts w:ascii="Times New Roman" w:hAnsi="Times New Roman" w:cs="Times New Roman"/>
          <w:sz w:val="24"/>
          <w:szCs w:val="24"/>
        </w:rPr>
        <w:t xml:space="preserve"> computeris</w:t>
      </w:r>
      <w:r w:rsidR="00DF7CD0" w:rsidRPr="00CA3817">
        <w:rPr>
          <w:rFonts w:ascii="Times New Roman" w:hAnsi="Times New Roman" w:cs="Times New Roman"/>
          <w:sz w:val="24"/>
          <w:szCs w:val="24"/>
        </w:rPr>
        <w:t>ed version of the N-</w:t>
      </w:r>
      <w:r w:rsidR="007114EE">
        <w:rPr>
          <w:rFonts w:ascii="Times New Roman" w:hAnsi="Times New Roman" w:cs="Times New Roman"/>
          <w:sz w:val="24"/>
          <w:szCs w:val="24"/>
        </w:rPr>
        <w:t>b</w:t>
      </w:r>
      <w:r w:rsidR="00DF7CD0" w:rsidRPr="00CA3817">
        <w:rPr>
          <w:rFonts w:ascii="Times New Roman" w:hAnsi="Times New Roman" w:cs="Times New Roman"/>
          <w:sz w:val="24"/>
          <w:szCs w:val="24"/>
        </w:rPr>
        <w:t>ack task</w:t>
      </w:r>
      <w:r w:rsidR="002F0080">
        <w:rPr>
          <w:rFonts w:ascii="Times New Roman" w:hAnsi="Times New Roman" w:cs="Times New Roman"/>
          <w:sz w:val="24"/>
          <w:szCs w:val="24"/>
        </w:rPr>
        <w:t>, including both 2- and 3-back conditions</w:t>
      </w:r>
      <w:r w:rsidR="0043297D">
        <w:rPr>
          <w:rFonts w:ascii="Times New Roman" w:hAnsi="Times New Roman" w:cs="Times New Roman"/>
          <w:sz w:val="24"/>
          <w:szCs w:val="24"/>
        </w:rPr>
        <w:t xml:space="preserve"> (</w:t>
      </w:r>
      <w:r w:rsidR="0043297D" w:rsidRPr="0043297D">
        <w:rPr>
          <w:rFonts w:ascii="Times New Roman" w:hAnsi="Times New Roman" w:cs="Times New Roman"/>
          <w:i/>
          <w:sz w:val="24"/>
          <w:szCs w:val="24"/>
        </w:rPr>
        <w:t>N</w:t>
      </w:r>
      <w:r w:rsidR="0043297D">
        <w:rPr>
          <w:rFonts w:ascii="Times New Roman" w:hAnsi="Times New Roman" w:cs="Times New Roman"/>
          <w:sz w:val="24"/>
          <w:szCs w:val="24"/>
        </w:rPr>
        <w:t>=4,827)</w:t>
      </w:r>
      <w:r w:rsidR="002F0080">
        <w:rPr>
          <w:rFonts w:ascii="Times New Roman" w:hAnsi="Times New Roman" w:cs="Times New Roman"/>
          <w:sz w:val="24"/>
          <w:szCs w:val="24"/>
        </w:rPr>
        <w:t>,</w:t>
      </w:r>
      <w:r w:rsidR="00592D57">
        <w:rPr>
          <w:rFonts w:ascii="Times New Roman" w:hAnsi="Times New Roman" w:cs="Times New Roman"/>
          <w:sz w:val="24"/>
          <w:szCs w:val="24"/>
        </w:rPr>
        <w:t xml:space="preserve"> was used to assess </w:t>
      </w:r>
      <w:r w:rsidR="0040104E">
        <w:rPr>
          <w:rFonts w:ascii="Times New Roman" w:hAnsi="Times New Roman" w:cs="Times New Roman"/>
          <w:sz w:val="24"/>
          <w:szCs w:val="24"/>
        </w:rPr>
        <w:t>WM</w:t>
      </w:r>
      <w:r w:rsidR="00E537DE">
        <w:rPr>
          <w:rFonts w:ascii="Times New Roman" w:hAnsi="Times New Roman" w:cs="Times New Roman"/>
          <w:sz w:val="24"/>
          <w:szCs w:val="24"/>
        </w:rPr>
        <w:t xml:space="preserve"> at </w:t>
      </w:r>
      <w:r w:rsidR="006136E8">
        <w:rPr>
          <w:rFonts w:ascii="Times New Roman" w:hAnsi="Times New Roman" w:cs="Times New Roman"/>
          <w:sz w:val="24"/>
          <w:szCs w:val="24"/>
        </w:rPr>
        <w:t>the</w:t>
      </w:r>
      <w:r w:rsidR="00E537DE">
        <w:rPr>
          <w:rFonts w:ascii="Times New Roman" w:hAnsi="Times New Roman" w:cs="Times New Roman"/>
          <w:sz w:val="24"/>
          <w:szCs w:val="24"/>
        </w:rPr>
        <w:t xml:space="preserve"> </w:t>
      </w:r>
      <w:r w:rsidR="006136E8">
        <w:rPr>
          <w:rFonts w:ascii="Times New Roman" w:hAnsi="Times New Roman" w:cs="Times New Roman"/>
          <w:sz w:val="24"/>
          <w:szCs w:val="24"/>
        </w:rPr>
        <w:t xml:space="preserve">age </w:t>
      </w:r>
      <w:r w:rsidR="00E537DE">
        <w:rPr>
          <w:rFonts w:ascii="Times New Roman" w:hAnsi="Times New Roman" w:cs="Times New Roman"/>
          <w:sz w:val="24"/>
          <w:szCs w:val="24"/>
        </w:rPr>
        <w:t>18 years</w:t>
      </w:r>
      <w:r w:rsidR="006136E8">
        <w:rPr>
          <w:rFonts w:ascii="Times New Roman" w:hAnsi="Times New Roman" w:cs="Times New Roman"/>
          <w:sz w:val="24"/>
          <w:szCs w:val="24"/>
        </w:rPr>
        <w:t xml:space="preserve"> research clinic (M=17</w:t>
      </w:r>
      <w:r w:rsidR="005E4749">
        <w:rPr>
          <w:rFonts w:ascii="Times New Roman" w:hAnsi="Times New Roman" w:cs="Times New Roman"/>
          <w:sz w:val="24"/>
          <w:szCs w:val="24"/>
        </w:rPr>
        <w:t xml:space="preserve"> years 10 months</w:t>
      </w:r>
      <w:r w:rsidR="006136E8">
        <w:rPr>
          <w:rFonts w:ascii="Times New Roman" w:hAnsi="Times New Roman" w:cs="Times New Roman"/>
          <w:sz w:val="24"/>
          <w:szCs w:val="24"/>
        </w:rPr>
        <w:t>; SD=</w:t>
      </w:r>
      <w:r w:rsidR="005E4749">
        <w:rPr>
          <w:rFonts w:ascii="Times New Roman" w:hAnsi="Times New Roman" w:cs="Times New Roman"/>
          <w:sz w:val="24"/>
          <w:szCs w:val="24"/>
        </w:rPr>
        <w:t>5 months</w:t>
      </w:r>
      <w:r w:rsidR="006136E8">
        <w:rPr>
          <w:rFonts w:ascii="Times New Roman" w:hAnsi="Times New Roman" w:cs="Times New Roman"/>
          <w:sz w:val="24"/>
          <w:szCs w:val="24"/>
        </w:rPr>
        <w:t>)</w:t>
      </w:r>
      <w:r w:rsidR="00DF7CD0" w:rsidRPr="00CA3817">
        <w:rPr>
          <w:rFonts w:ascii="Times New Roman" w:hAnsi="Times New Roman" w:cs="Times New Roman"/>
          <w:sz w:val="24"/>
          <w:szCs w:val="24"/>
        </w:rPr>
        <w:t xml:space="preserve">. </w:t>
      </w:r>
      <w:r w:rsidR="002C3695">
        <w:rPr>
          <w:rFonts w:ascii="Times New Roman" w:hAnsi="Times New Roman" w:cs="Times New Roman"/>
          <w:sz w:val="24"/>
          <w:szCs w:val="24"/>
        </w:rPr>
        <w:t xml:space="preserve">The N-back task, originally introduced by Kirchner </w:t>
      </w:r>
      <w:r w:rsidR="00824263">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"ISSN" : "0022-1015 (Print)", "PMID" : "13539317", "author" : [ { "dropping-particle" : "", "family" : "Kirchner", "given" : "W K", "non-dropping-particle" : "", "parse-names" : false, "suffix" : "" } ], "container-title" : "Journal of Experimental Psychology", "id" : "ITEM-1", "issue" : "4", "issued" : { "date-parts" : [ [ "1958", "4" ] ] }, "language" : "ENG", "page" : "352-358", "publisher-place" : "United States", "title" : "Age differences in short-term retention of rapidly changing information.", "type" : "article-journal", "volume" : "55" }, "uris" : [ "http://www.mendeley.com/documents/?uuid=8cf239fb-0462-4fbd-896f-9bdabbbbc0bc" ] } ], "mendeley" : { "formattedCitation" : "(Kirchner 1958)", "plainTextFormattedCitation" : "(Kirchner 1958)", "previouslyFormattedCitation" : "(Kirchner 1958)" }, "properties" : { "noteIndex" : 0 }, "schema" : "https://github.com/citation-style-language/schema/raw/master/csl-citation.json" }</w:instrText>
      </w:r>
      <w:r w:rsidR="00824263">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(Kirchner 1958)</w:t>
      </w:r>
      <w:r w:rsidR="00824263">
        <w:rPr>
          <w:rFonts w:ascii="Times New Roman" w:hAnsi="Times New Roman" w:cs="Times New Roman"/>
          <w:sz w:val="24"/>
          <w:szCs w:val="24"/>
        </w:rPr>
        <w:fldChar w:fldCharType="end"/>
      </w:r>
      <w:r w:rsidR="002C3695">
        <w:rPr>
          <w:rFonts w:ascii="Times New Roman" w:hAnsi="Times New Roman" w:cs="Times New Roman"/>
          <w:sz w:val="24"/>
          <w:szCs w:val="24"/>
        </w:rPr>
        <w:t xml:space="preserve"> is widely used to measure WM</w:t>
      </w:r>
      <w:r w:rsidR="00824263">
        <w:rPr>
          <w:rFonts w:ascii="Times New Roman" w:hAnsi="Times New Roman" w:cs="Times New Roman"/>
          <w:sz w:val="24"/>
          <w:szCs w:val="24"/>
        </w:rPr>
        <w:t xml:space="preserve"> </w:t>
      </w:r>
      <w:r w:rsidR="00824263">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"10.1038/npp.2013.24", "ISSN" : "1740-634X (Electronic)", "PMID" : "23337869", "abstract" : "The Val158Met polymorphism of the catechol-O-methyltransferase (COMT) gene is an important regulator of dopamine in the prefrontal cortex, an area critical to working memory. Working memory deficits are present in several psychiatric disorders, and there is wide variation in working memory capacity in the normal population. Association studies of COMT and working memory in healthy volunteers have yielded inconsistent results, possibly because of small sample sizes. Here we examine COMT in relation to N-Back working memory task performance in a large population-based cohort of young adults. We predicted individuals with one or two copies of the Met allele would perform better, and that this relationship would be more evident in males than females. Participants (N=1857-2659) tested at 18 years of age, were enrolled in the Avon Longitudinal Study of Parents and Children (ALSPAC). We used multiple regression to examine effects of sex and COMT genotype on N-Back hits, false positives, discriminability (d'), and reaction time while controlling for important covariates. COMT genotype did not predict hits or d'. There was a nominally significant interaction between COMT and sex on false positives, but this was not in the predicted direction, and was not significant after controlling for covariates. COMT genotype was not related to working memory in this large population-based cohort. It is possible COMT is not meaningfully associated with working memory in healthy young adults, or that COMT effects are detectable only in assessments reflecting neural processes underlying cognition, such as fMRI, rather than in behavioral performance.", "author" : [ { "dropping-particle" : "", "family" : "Wardle", "given" : "Margaret C", "non-dropping-particle" : "", "parse-names" : false, "suffix" : "" }, { "dropping-particle" : "", "family" : "Wit", "given" : "Harriet", "non-dropping-particle" : "de", "parse-names" : false, "suffix" : "" }, { "dropping-particle" : "", "family" : "Penton-Voak", "given" : "Ian", "non-dropping-particle" : "", "parse-names" : false, "suffix" : "" }, { "dropping-particle" : "", "family" : "Lewis", "given" : "Glyn", "non-dropping-particle" : "", "parse-names" : false, "suffix" : "" }, { "dropping-particle" : "", "family" : "Munafo", "given" : "Marcus R", "non-dropping-particle" : "", "parse-names" : false, "suffix" : "" } ], "container-title" : "Neuropsychopharmacology", "id" : "ITEM-1", "issue" : "7", "issued" : { "date-parts" : [ [ "2013", "6" ] ] }, "language" : "ENG", "page" : "1253-1263", "publisher-place" : "England", "title" : "Lack of association between COMT and working memory in a population-based cohort of healthy young adults.", "type" : "article-journal", "volume" : "38" }, "uris" : [ "http://www.mendeley.com/documents/?uuid=cbb9e0e2-afcf-416d-81d7-68ebde995995" ] }, { "id" : "ITEM-2", "itemData" : { "DOI" : "10.1371/journal.pone.0153148", "ISSN" : "1932-6203", "PMID" : "27120349", "abstract" : "Psychotic Experiences (PEs) during adolescence index increased risk for psychotic disorders and schizophrenia in adult life. Working memory (WM) deficits are a core feature of these disorders. Our objective was to examine the relationship between PEs and WM in a general population sample of young people in a case control study. 4744 individuals of age 17-18 from Bristol and surrounding areas (UK) were analyzed in a cross-sectional study nested within the Avon Longitudinal Study of Parents and Children (ALSPAC) birth cohort study. The dependent variable was PEs, assessed using the semi-structured Psychosis-Like Symptom Interview (PLIKSi). The independent variable was performance on a computerized numerical n-back working memory task. Signal-Detection Theory indices, including standardized hits rate, false alarms rate, discriminability index (d') and response bias (c) from 2-Back and 3-Back tasks were calculated. 3576 and 3527 individuals had complete data for 2-Back and 3-Back respectively. Suspected/definite PEs prevalence was 7.9% (N = 374). Strongest evidence of association was seen between PEs and false alarms on the 2-Back, (odds ratio (OR) = 1.17 [95% confidence intervals (CI) 1.01, 1.35]) and 3-back (OR = 1.35 [1.18, 1.54]) and with c (OR = 1.59 [1.09, 2.34]), and lower d' (OR = 0.76 [0.65, 0.89]), on the 3-Back. Adjustment for several potential confounders, including general IQ, drug exposure and different psycho-social factors, and subsequent multiple imputation of missing data did not materially alter the results. WM is impaired in young people with PEs in the general population. False alarms, rather than poor accuracy, are more closely related to PEs. Such impairment is consistent with different neuropsychological models of psychosis focusing on signal-to-noise discrimination, probabilistic reasoning and impaired reality monitoring as a basis of psychotic symptoms.", "author" : [ { "dropping-particle" : "", "family" : "Rossi", "given" : "Rodolfo", "non-dropping-particle" : "", "parse-names" : false, "suffix" : "" }, { "dropping-particle" : "", "family" : "Zammit", "given" : "Stanley", "non-dropping-particle" : "", "parse-names" : false, "suffix" : "" }, { "dropping-particle" : "", "family" : "Button", "given" : "Katherine S", "non-dropping-particle" : "", "parse-names" : false, "suffix" : "" }, { "dropping-particle" : "", "family" : "Munaf\u00f2", "given" : "Marcus R", "non-dropping-particle" : "", "parse-names" : false, "suffix" : "" }, { "dropping-particle" : "", "family" : "Lewis", "given" : "Glyn", "non-dropping-particle" : "", "parse-names" : false, "suffix" : "" }, { "dropping-particle" : "", "family" : "David", "given" : "Anthony S", "non-dropping-particle" : "", "parse-names" : false, "suffix" : "" } ], "container-title" : "PloS ONE", "id" : "ITEM-2", "issue" : "4", "issued" : { "date-parts" : [ [ "2016", "1", "27" ] ] }, "page" : "e0153148", "publisher" : "Public Library of Science", "title" : "Psychotic experiences and working memory: a population-based study using signal-detection analysis.", "type" : "article-journal", "volume" : "11" }, "uris" : [ "http://www.mendeley.com/documents/?uuid=da12d7e6-4156-40fb-af5a-f7e6902ae98d" ] } ], "mendeley" : { "formattedCitation" : "(Wardle et al. 2013; Rossi et al. 2016)", "plainTextFormattedCitation" : "(Wardle et al. 2013; Rossi et al. 2016)", "previouslyFormattedCitation" : "(Wardle et al. 2013; Rossi et al. 2016)" }, "properties" : { "noteIndex" : 0 }, "schema" : "https://github.com/citation-style-language/schema/raw/master/csl-citation.json" }</w:instrText>
      </w:r>
      <w:r w:rsidR="00824263">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(Wardle et al. 2013; Rossi et al. 2016)</w:t>
      </w:r>
      <w:r w:rsidR="00824263">
        <w:rPr>
          <w:rFonts w:ascii="Times New Roman" w:hAnsi="Times New Roman" w:cs="Times New Roman"/>
          <w:sz w:val="24"/>
          <w:szCs w:val="24"/>
        </w:rPr>
        <w:fldChar w:fldCharType="end"/>
      </w:r>
      <w:r w:rsidR="0040694A">
        <w:rPr>
          <w:rFonts w:ascii="Times New Roman" w:hAnsi="Times New Roman" w:cs="Times New Roman"/>
          <w:sz w:val="24"/>
          <w:szCs w:val="24"/>
        </w:rPr>
        <w:t>, and has been shown to activate prefrontal cortex areas</w:t>
      </w:r>
      <w:r w:rsidR="00A716A4">
        <w:rPr>
          <w:rFonts w:ascii="Times New Roman" w:hAnsi="Times New Roman" w:cs="Times New Roman"/>
          <w:sz w:val="24"/>
          <w:szCs w:val="24"/>
        </w:rPr>
        <w:t xml:space="preserve"> </w:t>
      </w:r>
      <w:r w:rsidR="00A716A4">
        <w:rPr>
          <w:rFonts w:ascii="Times New Roman" w:hAnsi="Times New Roman" w:cs="Times New Roman"/>
          <w:sz w:val="24"/>
          <w:szCs w:val="24"/>
        </w:rPr>
        <w:fldChar w:fldCharType="begin" w:fldLock="1"/>
      </w:r>
      <w:r w:rsidR="00A716A4">
        <w:rPr>
          <w:rFonts w:ascii="Times New Roman" w:hAnsi="Times New Roman" w:cs="Times New Roman"/>
          <w:sz w:val="24"/>
          <w:szCs w:val="24"/>
        </w:rPr>
        <w:instrText>ADDIN CSL_CITATION { "citationItems" : [ { "id" : "ITEM-1", "itemData" : { "DOI" : "10.1038/386604a0", "ISSN" : "0028-0836 (Print)", "PMID" : "9121583", "abstract" : "Working memory is responsible for the short-term storage and online manipulation  of information necessary for higher cognitive functions, such as language, planning and problem-solving. Traditionally, working memory has been divided into two types of processes: executive control (governing the encoding manipulation and retrieval of information in working memory) and active maintenance (keeping information available 'online'). It has also been proposed that these two types of processes may be subserved by distinct cortical structures, with the prefrontal cortex housing the executive control processes, and more posterior regions housing the content-specific buffers (for example verbal versus visuospatial) responsible for active maintenance. However, studies in non-human primates suggest that dorsolateral regions of the prefrontal cortex may also be involved in active maintenance. We have used functional magnetic resonance imaging to examine brain activation in human subjects during performance of a working memory task. We used the temporal resolution of this technique to examine the dynamics of regional activation, and to show that prefrontal cortex along with parietal cortex appears to play a role in active maintenance.", "author" : [ { "dropping-particle" : "", "family" : "Cohen", "given" : "J D", "non-dropping-particle" : "", "parse-names" : false, "suffix" : "" }, { "dropping-particle" : "", "family" : "Perlstein", "given" : "W M", "non-dropping-particle" : "", "parse-names" : false, "suffix" : "" }, { "dropping-particle" : "", "family" : "Braver", "given" : "T S", "non-dropping-particle" : "", "parse-names" : false, "suffix" : "" }, { "dropping-particle" : "", "family" : "Nystrom", "given" : "L E", "non-dropping-particle" : "", "parse-names" : false, "suffix" : "" }, { "dropping-particle" : "", "family" : "Noll", "given" : "D C", "non-dropping-particle" : "", "parse-names" : false, "suffix" : "" }, { "dropping-particle" : "", "family" : "Jonides", "given" : "J", "non-dropping-particle" : "", "parse-names" : false, "suffix" : "" }, { "dropping-particle" : "", "family" : "Smith", "given" : "E E", "non-dropping-particle" : "", "parse-names" : false, "suffix" : "" } ], "container-title" : "Nature", "id" : "ITEM-1", "issue" : "6625", "issued" : { "date-parts" : [ [ "1997", "4" ] ] }, "language" : "eng", "page" : "604-608", "publisher-place" : "England", "title" : "Temporal dynamics of brain activation during a working memory task.", "type" : "article-journal", "volume" : "386" }, "uris" : [ "http://www.mendeley.com/documents/?uuid=22335d32-db1a-4c41-a05a-7b5a22ca5883" ] } ], "mendeley" : { "formattedCitation" : "(Cohen et al. 1997)", "plainTextFormattedCitation" : "(Cohen et al. 1997)", "previouslyFormattedCitation" : "(Cohen et al. 1997)" }, "properties" : { "noteIndex" : 7 }, "schema" : "https://github.com/citation-style-language/schema/raw/master/csl-citation.json" }</w:instrText>
      </w:r>
      <w:r w:rsidR="00A716A4">
        <w:rPr>
          <w:rFonts w:ascii="Times New Roman" w:hAnsi="Times New Roman" w:cs="Times New Roman"/>
          <w:sz w:val="24"/>
          <w:szCs w:val="24"/>
        </w:rPr>
        <w:fldChar w:fldCharType="separate"/>
      </w:r>
      <w:r w:rsidR="00A716A4" w:rsidRPr="00A716A4">
        <w:rPr>
          <w:rFonts w:ascii="Times New Roman" w:hAnsi="Times New Roman" w:cs="Times New Roman"/>
          <w:noProof/>
          <w:sz w:val="24"/>
          <w:szCs w:val="24"/>
        </w:rPr>
        <w:t>(Cohen et al. 1997)</w:t>
      </w:r>
      <w:r w:rsidR="00A716A4">
        <w:rPr>
          <w:rFonts w:ascii="Times New Roman" w:hAnsi="Times New Roman" w:cs="Times New Roman"/>
          <w:sz w:val="24"/>
          <w:szCs w:val="24"/>
        </w:rPr>
        <w:fldChar w:fldCharType="end"/>
      </w:r>
      <w:r w:rsidR="0099445E">
        <w:rPr>
          <w:rFonts w:ascii="Times New Roman" w:hAnsi="Times New Roman" w:cs="Times New Roman"/>
          <w:sz w:val="24"/>
          <w:szCs w:val="24"/>
        </w:rPr>
        <w:t>.</w:t>
      </w:r>
      <w:r w:rsidR="002C3695">
        <w:rPr>
          <w:rFonts w:ascii="Times New Roman" w:hAnsi="Times New Roman" w:cs="Times New Roman"/>
          <w:sz w:val="24"/>
          <w:szCs w:val="24"/>
        </w:rPr>
        <w:t xml:space="preserve"> </w:t>
      </w:r>
      <w:r w:rsidR="00F53353">
        <w:rPr>
          <w:rFonts w:ascii="Times New Roman" w:hAnsi="Times New Roman" w:cs="Times New Roman"/>
          <w:sz w:val="24"/>
          <w:szCs w:val="24"/>
        </w:rPr>
        <w:t xml:space="preserve">Despite being frequently </w:t>
      </w:r>
      <w:r w:rsidR="00E7069C">
        <w:rPr>
          <w:rFonts w:ascii="Times New Roman" w:hAnsi="Times New Roman" w:cs="Times New Roman"/>
          <w:sz w:val="24"/>
          <w:szCs w:val="24"/>
        </w:rPr>
        <w:t xml:space="preserve">used in </w:t>
      </w:r>
      <w:r w:rsidR="00F53353">
        <w:rPr>
          <w:rFonts w:ascii="Times New Roman" w:hAnsi="Times New Roman" w:cs="Times New Roman"/>
          <w:sz w:val="24"/>
          <w:szCs w:val="24"/>
        </w:rPr>
        <w:t xml:space="preserve">brain imaging studies, there have been </w:t>
      </w:r>
      <w:r w:rsidR="0099445E">
        <w:rPr>
          <w:rFonts w:ascii="Times New Roman" w:hAnsi="Times New Roman" w:cs="Times New Roman"/>
          <w:sz w:val="24"/>
          <w:szCs w:val="24"/>
        </w:rPr>
        <w:t>few</w:t>
      </w:r>
      <w:r w:rsidR="00F53353">
        <w:rPr>
          <w:rFonts w:ascii="Times New Roman" w:hAnsi="Times New Roman" w:cs="Times New Roman"/>
          <w:sz w:val="24"/>
          <w:szCs w:val="24"/>
        </w:rPr>
        <w:t xml:space="preserve"> psychometric studies of the N-back task</w:t>
      </w:r>
      <w:r w:rsidR="00A260B5">
        <w:rPr>
          <w:rFonts w:ascii="Times New Roman" w:hAnsi="Times New Roman" w:cs="Times New Roman"/>
          <w:sz w:val="24"/>
          <w:szCs w:val="24"/>
        </w:rPr>
        <w:t>.</w:t>
      </w:r>
      <w:r w:rsidR="003B2E9D">
        <w:rPr>
          <w:rFonts w:ascii="Times New Roman" w:hAnsi="Times New Roman" w:cs="Times New Roman"/>
          <w:sz w:val="24"/>
          <w:szCs w:val="24"/>
        </w:rPr>
        <w:t xml:space="preserve"> </w:t>
      </w:r>
      <w:r w:rsidR="007A3155">
        <w:rPr>
          <w:rFonts w:ascii="Times New Roman" w:hAnsi="Times New Roman" w:cs="Times New Roman"/>
          <w:sz w:val="24"/>
          <w:szCs w:val="24"/>
        </w:rPr>
        <w:t xml:space="preserve">In general, the studies that have </w:t>
      </w:r>
      <w:r w:rsidR="00A011BF">
        <w:rPr>
          <w:rFonts w:ascii="Times New Roman" w:hAnsi="Times New Roman" w:cs="Times New Roman"/>
          <w:sz w:val="24"/>
          <w:szCs w:val="24"/>
        </w:rPr>
        <w:t>examined its</w:t>
      </w:r>
      <w:r w:rsidR="007A3155">
        <w:rPr>
          <w:rFonts w:ascii="Times New Roman" w:hAnsi="Times New Roman" w:cs="Times New Roman"/>
          <w:sz w:val="24"/>
          <w:szCs w:val="24"/>
        </w:rPr>
        <w:t xml:space="preserve"> psychometric properties have </w:t>
      </w:r>
      <w:r w:rsidR="00951507">
        <w:rPr>
          <w:rFonts w:ascii="Times New Roman" w:hAnsi="Times New Roman" w:cs="Times New Roman"/>
          <w:sz w:val="24"/>
          <w:szCs w:val="24"/>
        </w:rPr>
        <w:t>rep</w:t>
      </w:r>
      <w:r w:rsidR="00A260B5">
        <w:rPr>
          <w:rFonts w:ascii="Times New Roman" w:hAnsi="Times New Roman" w:cs="Times New Roman"/>
          <w:sz w:val="24"/>
          <w:szCs w:val="24"/>
        </w:rPr>
        <w:t>or</w:t>
      </w:r>
      <w:r w:rsidR="00951507">
        <w:rPr>
          <w:rFonts w:ascii="Times New Roman" w:hAnsi="Times New Roman" w:cs="Times New Roman"/>
          <w:sz w:val="24"/>
          <w:szCs w:val="24"/>
        </w:rPr>
        <w:t>ted reliability coefficients greater than 0.70</w:t>
      </w:r>
      <w:r w:rsidR="000D36C9">
        <w:rPr>
          <w:rFonts w:ascii="Times New Roman" w:hAnsi="Times New Roman" w:cs="Times New Roman"/>
          <w:sz w:val="24"/>
          <w:szCs w:val="24"/>
        </w:rPr>
        <w:t xml:space="preserve"> </w:t>
      </w:r>
      <w:r w:rsidR="00BD0CD9">
        <w:rPr>
          <w:rFonts w:ascii="Times New Roman" w:hAnsi="Times New Roman" w:cs="Times New Roman"/>
          <w:sz w:val="24"/>
          <w:szCs w:val="24"/>
        </w:rPr>
        <w:fldChar w:fldCharType="begin" w:fldLock="1"/>
      </w:r>
      <w:r w:rsidR="005F7979">
        <w:rPr>
          <w:rFonts w:ascii="Times New Roman" w:hAnsi="Times New Roman" w:cs="Times New Roman"/>
          <w:sz w:val="24"/>
          <w:szCs w:val="24"/>
        </w:rPr>
        <w:instrText>ADDIN CSL_CITATION { "citationItems" : [ { "id" : "ITEM-1", "itemData" : { "DOI" : "https://doi.org/10.1016/j.intell.2010.09.001", "ISSN" : "0160-2896", "abstract" : "Abstract We have previously demonstrated that training on a dual n-back task results in improvements in fluid intelligence (Gf) as measured by matrix reasoning tasks. Here, we explored the underlying mechanisms of this transfer effect in two studies, and we evaluated the transfer potential of a single n-back task. In the first study, we demonstrated that dual and single n-back task performances are approximately equally correlated with performance on two different tasks measuring Gf, whereas the correlation with a task assessing working memory capacity was smaller. Based on these results, the second study was aimed on testing the hypothesis that training on a single n-back task yields the same improvement in Gf as training on a dual n-back task, but that there should be less transfer to working memory capacity. We trained two groups of students for four weeks with either a single or a dual n-back intervention. We investigated transfer effects on working memory capacity and Gf comparing the two training groups' performance to controls who received no training of any kind. Our results showed that both training groups improved more on Gf than controls, thereby replicating and extending our prior results.", "author" : [ { "dropping-particle" : "", "family" : "Jaeggi", "given" : "Susanne M", "non-dropping-particle" : "", "parse-names" : false, "suffix" : "" }, { "dropping-particle" : "", "family" : "Studer-Luethi", "given" : "Barbara", "non-dropping-particle" : "", "parse-names" : false, "suffix" : "" }, { "dropping-particle" : "", "family" : "Buschkuehl", "given" : "Martin", "non-dropping-particle" : "", "parse-names" : false, "suffix" : "" }, { "dropping-particle" : "", "family" : "Su", "given" : "Yi-Fen", "non-dropping-particle" : "", "parse-names" : false, "suffix" : "" }, { "dropping-particle" : "", "family" : "Jonides", "given" : "John", "non-dropping-particle" : "", "parse-names" : false, "suffix" : "" }, { "dropping-particle" : "", "family" : "Perrig", "given" : "Walter J", "non-dropping-particle" : "", "parse-names" : false, "suffix" : "" } ], "container-title" : "Intelligence", "id" : "ITEM-1", "issue" : "6", "issued" : { "date-parts" : [ [ "2010" ] ] }, "page" : "625-635", "title" : "The relationship between n-back performance and matrix reasoning \u2014 implications for training and transfer", "type" : "article-journal", "volume" : "38" }, "uris" : [ "http://www.mendeley.com/documents/?uuid=9e6536d3-b946-44e0-942c-0688e0e51bfb" ] }, { "id" : "ITEM-2", "itemData" : { "DOI" : "10.1037/a0015730", "ISSN" : "0278-7393 (Print)", "PMID" : "19586272", "abstract" : "How to best measure working memory capacity is an issue of ongoing debate. Besides established complex span tasks, which combine short-term memory demands with generally unrelated secondary tasks, there exists a set of paradigms characterized by continuous and simultaneous updating of several items in working memory, such as the n-back, memory updating, or alpha span tasks. With a latent variable analysis (N = 96) based on content-heterogeneous operationalizations of both task families, the authors found a latent correlation between a complex span factor and an updating factor that was not statistically different from unity (r = .96). Moreover, both factors predicted fluid intelligence (reasoning) equally well. The authors conclude that updating tasks measure working memory equally well as complex span tasks. Processes involved in building, maintaining, and updating arbitrary bindings may constitute the common working memory ability underlying performance on reasoning, complex span, and updating tasks.", "author" : [ { "dropping-particle" : "", "family" : "Schmiedek", "given" : "Florian", "non-dropping-particle" : "", "parse-names" : false, "suffix" : "" }, { "dropping-particle" : "", "family" : "Hildebrandt", "given" : "Andrea", "non-dropping-particle" : "", "parse-names" : false, "suffix" : "" }, { "dropping-particle" : "", "family" : "Lovden", "given" : "Martin", "non-dropping-particle" : "", "parse-names" : false, "suffix" : "" }, { "dropping-particle" : "", "family" : "Lindenberger", "given" : "Ulman", "non-dropping-particle" : "", "parse-names" : false, "suffix" : "" }, { "dropping-particle" : "", "family" : "Wilhelm", "given" : "Oliver", "non-dropping-particle" : "", "parse-names" : false, "suffix" : "" } ], "container-title" : "Journal of Experimental Psychology. Learning, Memory, and Cognition", "id" : "ITEM-2", "issue" : "4", "issued" : { "date-parts" : [ [ "2009", "7" ] ] }, "language" : "eng", "page" : "1089-1096", "publisher-place" : "United States", "title" : "Complex span versus updating tasks of working memory: the gap is not that deep.", "type" : "article-journal", "volume" : "35" }, "uris" : [ "http://www.mendeley.com/documents/?uuid=0fce2e18-d7c6-43b4-bc24-7ee9534ed8c7" ] }, { "id" : "ITEM-3", "itemData" : { "DOI" : "10.1016/j.actpsy.2009.11.010", "ISSN" : "1873-6297 (Electronic)", "PMID" : "20022311", "abstract" : "The present study examined the extent to which working (WM) and long-term memory (LTM) reflect the same, related, or completely different constructs and how they relate to other cognitive ability constructs. Participants performed various WM, recall, recognition, general fluid (gF) and general crystallized intelligence (gC) measures. Confirmatory factor analyses suggested that the memory measures could be grouped into three separate yet correlated factors (WM, recall, and recognition) and that these factors were strongly related to gF, but were related less so with gC. Furthermore, it was found that the common variance from the three memory factors could be accounted for by a higher-order memory factor which was strongly related to gF, but less so with gC. Finally, structural equation modeling suggested that both the variance common to the WM tasks and the variance common to all the memory tasks accounted for a unique variance in gF. These results are interpreted within an embedded process model of memory and suggest that WM and LTM tasks measure both shared and unique processes, which are important for intelligence.", "author" : [ { "dropping-particle" : "", "family" : "Unsworth", "given" : "Nash", "non-dropping-particle" : "", "parse-names" : false, "suffix" : "" } ], "container-title" : "Acta Psychologica", "id" : "ITEM-3", "issue" : "1", "issued" : { "date-parts" : [ [ "2010", "5" ] ] }, "language" : "eng", "page" : "16-28", "publisher-place" : "Netherlands", "title" : "On the division of working memory and long-term memory and their relation to intelligence: A latent variable approach.", "type" : "article-journal", "volume" : "134" }, "uris" : [ "http://www.mendeley.com/documents/?uuid=b676d8ed-ee3a-4d11-ad69-aa4fd9abc620" ] } ], "mendeley" : { "formattedCitation" : "(Jaeggi et al. 2010; Schmiedek et al. 2009; Unsworth 2010)", "plainTextFormattedCitation" : "(Jaeggi et al. 2010; Schmiedek et al. 2009; Unsworth 2010)", "previouslyFormattedCitation" : "(Jaeggi et al. 2010; Schmiedek et al. 2009; Unsworth 2010)" }, "properties" : { "noteIndex" : 7 }, "schema" : "https://github.com/citation-style-language/schema/raw/master/csl-citation.json" }</w:instrText>
      </w:r>
      <w:r w:rsidR="00BD0CD9">
        <w:rPr>
          <w:rFonts w:ascii="Times New Roman" w:hAnsi="Times New Roman" w:cs="Times New Roman"/>
          <w:sz w:val="24"/>
          <w:szCs w:val="24"/>
        </w:rPr>
        <w:fldChar w:fldCharType="separate"/>
      </w:r>
      <w:r w:rsidR="005F7979" w:rsidRPr="005F7979">
        <w:rPr>
          <w:rFonts w:ascii="Times New Roman" w:hAnsi="Times New Roman" w:cs="Times New Roman"/>
          <w:noProof/>
          <w:sz w:val="24"/>
          <w:szCs w:val="24"/>
        </w:rPr>
        <w:t>(Jaeggi et al. 2010; Schmiedek et al. 2009; Unsworth 2010)</w:t>
      </w:r>
      <w:r w:rsidR="00BD0CD9">
        <w:rPr>
          <w:rFonts w:ascii="Times New Roman" w:hAnsi="Times New Roman" w:cs="Times New Roman"/>
          <w:sz w:val="24"/>
          <w:szCs w:val="24"/>
        </w:rPr>
        <w:fldChar w:fldCharType="end"/>
      </w:r>
      <w:r w:rsidR="00A260B5">
        <w:rPr>
          <w:rFonts w:ascii="Times New Roman" w:hAnsi="Times New Roman" w:cs="Times New Roman"/>
          <w:sz w:val="24"/>
          <w:szCs w:val="24"/>
        </w:rPr>
        <w:t>.</w:t>
      </w:r>
    </w:p>
    <w:p w14:paraId="0308F105" w14:textId="43571A9C" w:rsidR="001868F9" w:rsidRDefault="001868F9" w:rsidP="001868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CA3817">
        <w:rPr>
          <w:rFonts w:ascii="Times New Roman" w:hAnsi="Times New Roman" w:cs="Times New Roman"/>
          <w:sz w:val="24"/>
          <w:szCs w:val="24"/>
        </w:rPr>
        <w:t xml:space="preserve">our metrics </w:t>
      </w:r>
      <w:r>
        <w:rPr>
          <w:rFonts w:ascii="Times New Roman" w:hAnsi="Times New Roman" w:cs="Times New Roman"/>
          <w:sz w:val="24"/>
          <w:szCs w:val="24"/>
        </w:rPr>
        <w:t xml:space="preserve">were examined </w:t>
      </w:r>
      <w:r w:rsidRPr="00CA3817">
        <w:rPr>
          <w:rFonts w:ascii="Times New Roman" w:hAnsi="Times New Roman" w:cs="Times New Roman"/>
          <w:sz w:val="24"/>
          <w:szCs w:val="24"/>
        </w:rPr>
        <w:t xml:space="preserve">for both </w:t>
      </w:r>
      <w:r>
        <w:rPr>
          <w:rFonts w:ascii="Times New Roman" w:hAnsi="Times New Roman" w:cs="Times New Roman"/>
          <w:sz w:val="24"/>
          <w:szCs w:val="24"/>
        </w:rPr>
        <w:t>the 2- and 3-b</w:t>
      </w:r>
      <w:r w:rsidRPr="00CA3817">
        <w:rPr>
          <w:rFonts w:ascii="Times New Roman" w:hAnsi="Times New Roman" w:cs="Times New Roman"/>
          <w:sz w:val="24"/>
          <w:szCs w:val="24"/>
        </w:rPr>
        <w:t xml:space="preserve">ack conditions: 1) hits, or the percentage of matching numbers correctly identified as matches, 2) false alarms, or the percentage of non-matching numbers incorrectly identified as matches, 3) </w:t>
      </w:r>
      <w:r>
        <w:rPr>
          <w:rFonts w:ascii="Times New Roman" w:hAnsi="Times New Roman" w:cs="Times New Roman"/>
          <w:sz w:val="24"/>
          <w:szCs w:val="24"/>
        </w:rPr>
        <w:t>discriminability index (</w:t>
      </w:r>
      <w:r w:rsidRPr="00A31214">
        <w:rPr>
          <w:rFonts w:ascii="Times New Roman" w:hAnsi="Times New Roman" w:cs="Times New Roman"/>
          <w:i/>
          <w:sz w:val="24"/>
          <w:szCs w:val="24"/>
        </w:rPr>
        <w:t>d'</w:t>
      </w:r>
      <w:r>
        <w:rPr>
          <w:rFonts w:ascii="Times New Roman" w:hAnsi="Times New Roman" w:cs="Times New Roman"/>
          <w:sz w:val="24"/>
          <w:szCs w:val="24"/>
        </w:rPr>
        <w:t>)</w:t>
      </w:r>
      <w:r w:rsidRPr="00CA3817">
        <w:rPr>
          <w:rFonts w:ascii="Times New Roman" w:hAnsi="Times New Roman" w:cs="Times New Roman"/>
          <w:sz w:val="24"/>
          <w:szCs w:val="24"/>
        </w:rPr>
        <w:t xml:space="preserve"> which is a signal-detection metric that takes into account both hits and false alarms to derive an overall estimate of signal detection ability</w:t>
      </w:r>
      <w:r w:rsidR="00C065CC">
        <w:rPr>
          <w:rFonts w:ascii="Times New Roman" w:hAnsi="Times New Roman" w:cs="Times New Roman"/>
          <w:sz w:val="24"/>
          <w:szCs w:val="24"/>
        </w:rPr>
        <w:t xml:space="preserve">, </w:t>
      </w:r>
      <w:r>
        <w:rPr>
          <w:rFonts w:ascii="Times New Roman" w:hAnsi="Times New Roman" w:cs="Times New Roman"/>
          <w:sz w:val="24"/>
          <w:szCs w:val="24"/>
        </w:rPr>
        <w:t>see</w:t>
      </w:r>
      <w:r w:rsidR="00C065CC">
        <w:rPr>
          <w:rFonts w:ascii="Times New Roman" w:hAnsi="Times New Roman" w:cs="Times New Roman"/>
          <w:sz w:val="24"/>
          <w:szCs w:val="24"/>
        </w:rPr>
        <w:t xml:space="preserve"> </w:t>
      </w:r>
      <w:r w:rsidR="00C065CC">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"ISBN" : "978-0805853230", "author" : [ { "dropping-particle" : "", "family" : "McNicol", "given" : "D", "non-dropping-particle" : "", "parse-names" : false, "suffix" : "" } ], "id" : "ITEM-1", "issued" : { "date-parts" : [ [ "1972" ] ] }, "publisher" : "George Allen &amp; Unwin Ltd", "publisher-place" : "Norwich", "title" : "A Primer of Signal Detection Theory", "type" : "book" }, "uris" : [ "http://www.mendeley.com/documents/?uuid=c067dd1c-6377-40e5-8e62-3485606fd44f" ] } ], "mendeley" : { "formattedCitation" : "(McNicol 1972)", "plainTextFormattedCitation" : "(McNicol 1972)", "previouslyFormattedCitation" : "(McNicol 1972)" }, "properties" : { "noteIndex" : 0 }, "schema" : "https://github.com/citation-style-language/schema/raw/master/csl-citation.json" }</w:instrText>
      </w:r>
      <w:r w:rsidR="00C065CC">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(McNicol 1972)</w:t>
      </w:r>
      <w:r w:rsidR="00C065CC">
        <w:rPr>
          <w:rFonts w:ascii="Times New Roman" w:hAnsi="Times New Roman" w:cs="Times New Roman"/>
          <w:sz w:val="24"/>
          <w:szCs w:val="24"/>
        </w:rPr>
        <w:fldChar w:fldCharType="end"/>
      </w:r>
      <w:r w:rsidRPr="00CA3817">
        <w:rPr>
          <w:rFonts w:ascii="Times New Roman" w:hAnsi="Times New Roman" w:cs="Times New Roman"/>
          <w:sz w:val="24"/>
          <w:szCs w:val="24"/>
        </w:rPr>
        <w:t>, and 4) median reaction times</w:t>
      </w:r>
      <w:r>
        <w:rPr>
          <w:rFonts w:ascii="Times New Roman" w:hAnsi="Times New Roman" w:cs="Times New Roman"/>
          <w:sz w:val="24"/>
          <w:szCs w:val="24"/>
        </w:rPr>
        <w:t xml:space="preserve"> for hits and false alarms</w:t>
      </w:r>
      <w:r w:rsidRPr="00CA3817">
        <w:rPr>
          <w:rFonts w:ascii="Times New Roman" w:hAnsi="Times New Roman" w:cs="Times New Roman"/>
          <w:sz w:val="24"/>
          <w:szCs w:val="24"/>
        </w:rPr>
        <w:t xml:space="preserve">, as an indicator of processing efficiency. </w:t>
      </w:r>
      <w:r w:rsidR="00FA2B36">
        <w:rPr>
          <w:rFonts w:ascii="Times New Roman" w:hAnsi="Times New Roman" w:cs="Times New Roman"/>
          <w:sz w:val="24"/>
          <w:szCs w:val="24"/>
        </w:rPr>
        <w:t xml:space="preserve">A measure of </w:t>
      </w:r>
      <w:r w:rsidR="007F114B">
        <w:rPr>
          <w:rFonts w:ascii="Times New Roman" w:hAnsi="Times New Roman" w:cs="Times New Roman"/>
          <w:sz w:val="24"/>
          <w:szCs w:val="24"/>
        </w:rPr>
        <w:t>d</w:t>
      </w:r>
      <w:r w:rsidR="004F748A">
        <w:rPr>
          <w:rFonts w:ascii="Times New Roman" w:hAnsi="Times New Roman" w:cs="Times New Roman"/>
          <w:sz w:val="24"/>
          <w:szCs w:val="24"/>
        </w:rPr>
        <w:t>´</w:t>
      </w:r>
      <w:r w:rsidR="00E537DE">
        <w:rPr>
          <w:rFonts w:ascii="Times New Roman" w:hAnsi="Times New Roman" w:cs="Times New Roman"/>
          <w:sz w:val="24"/>
          <w:szCs w:val="24"/>
        </w:rPr>
        <w:t xml:space="preserve"> was </w:t>
      </w:r>
      <w:r w:rsidR="0008502A">
        <w:rPr>
          <w:rFonts w:ascii="Times New Roman" w:hAnsi="Times New Roman" w:cs="Times New Roman"/>
          <w:sz w:val="24"/>
          <w:szCs w:val="24"/>
        </w:rPr>
        <w:t>chosen as the p</w:t>
      </w:r>
      <w:r w:rsidR="00E537DE">
        <w:rPr>
          <w:rFonts w:ascii="Times New Roman" w:hAnsi="Times New Roman" w:cs="Times New Roman"/>
          <w:sz w:val="24"/>
          <w:szCs w:val="24"/>
        </w:rPr>
        <w:t>rimary outcome measure</w:t>
      </w:r>
      <w:r w:rsidR="0008502A">
        <w:rPr>
          <w:rFonts w:ascii="Times New Roman" w:hAnsi="Times New Roman" w:cs="Times New Roman"/>
          <w:sz w:val="24"/>
          <w:szCs w:val="24"/>
        </w:rPr>
        <w:t xml:space="preserve"> given it is an overall </w:t>
      </w:r>
      <w:r w:rsidR="00FA2B36">
        <w:rPr>
          <w:rFonts w:ascii="Times New Roman" w:hAnsi="Times New Roman" w:cs="Times New Roman"/>
          <w:sz w:val="24"/>
          <w:szCs w:val="24"/>
        </w:rPr>
        <w:t>estimate</w:t>
      </w:r>
      <w:r w:rsidR="0008502A">
        <w:rPr>
          <w:rFonts w:ascii="Times New Roman" w:hAnsi="Times New Roman" w:cs="Times New Roman"/>
          <w:sz w:val="24"/>
          <w:szCs w:val="24"/>
        </w:rPr>
        <w:t>. The</w:t>
      </w:r>
      <w:r w:rsidR="003E666D">
        <w:rPr>
          <w:rFonts w:ascii="Times New Roman" w:hAnsi="Times New Roman" w:cs="Times New Roman"/>
          <w:sz w:val="24"/>
          <w:szCs w:val="24"/>
        </w:rPr>
        <w:t xml:space="preserve"> remaining indices were examined for descriptive purposes. </w:t>
      </w:r>
      <w:r>
        <w:rPr>
          <w:rFonts w:ascii="Times New Roman" w:hAnsi="Times New Roman" w:cs="Times New Roman"/>
          <w:sz w:val="24"/>
          <w:szCs w:val="24"/>
        </w:rPr>
        <w:t>High scores on number of hits indicate</w:t>
      </w:r>
      <w:r w:rsidR="008E1101">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lastRenderedPageBreak/>
        <w:t>more accurate identification, while high scores on false alarms indicate</w:t>
      </w:r>
      <w:r w:rsidR="008E1101">
        <w:rPr>
          <w:rFonts w:ascii="Times New Roman" w:hAnsi="Times New Roman" w:cs="Times New Roman"/>
          <w:sz w:val="24"/>
          <w:szCs w:val="24"/>
        </w:rPr>
        <w:t>d</w:t>
      </w:r>
      <w:r>
        <w:rPr>
          <w:rFonts w:ascii="Times New Roman" w:hAnsi="Times New Roman" w:cs="Times New Roman"/>
          <w:sz w:val="24"/>
          <w:szCs w:val="24"/>
        </w:rPr>
        <w:t xml:space="preserve"> less accurate identification. High scores on </w:t>
      </w:r>
      <w:r w:rsidR="007F114B">
        <w:rPr>
          <w:rFonts w:ascii="Times New Roman" w:hAnsi="Times New Roman" w:cs="Times New Roman"/>
          <w:i/>
          <w:sz w:val="24"/>
          <w:szCs w:val="24"/>
        </w:rPr>
        <w:t>d´</w:t>
      </w:r>
      <w:r>
        <w:rPr>
          <w:rFonts w:ascii="Times New Roman" w:hAnsi="Times New Roman" w:cs="Times New Roman"/>
          <w:sz w:val="24"/>
          <w:szCs w:val="24"/>
        </w:rPr>
        <w:t xml:space="preserve"> therefore indicate</w:t>
      </w:r>
      <w:r w:rsidR="008E1101">
        <w:rPr>
          <w:rFonts w:ascii="Times New Roman" w:hAnsi="Times New Roman" w:cs="Times New Roman"/>
          <w:sz w:val="24"/>
          <w:szCs w:val="24"/>
        </w:rPr>
        <w:t>d</w:t>
      </w:r>
      <w:r w:rsidRPr="005876A4">
        <w:rPr>
          <w:rFonts w:ascii="Times New Roman" w:hAnsi="Times New Roman" w:cs="Times New Roman"/>
          <w:sz w:val="24"/>
          <w:szCs w:val="24"/>
        </w:rPr>
        <w:t xml:space="preserve"> a greater ability to</w:t>
      </w:r>
      <w:r>
        <w:rPr>
          <w:rFonts w:ascii="Times New Roman" w:hAnsi="Times New Roman" w:cs="Times New Roman"/>
          <w:sz w:val="24"/>
          <w:szCs w:val="24"/>
        </w:rPr>
        <w:t xml:space="preserve"> distinguish signals from noise.</w:t>
      </w:r>
      <w:r w:rsidR="009360C4">
        <w:rPr>
          <w:rFonts w:ascii="Times New Roman" w:hAnsi="Times New Roman" w:cs="Times New Roman"/>
          <w:sz w:val="24"/>
          <w:szCs w:val="24"/>
        </w:rPr>
        <w:t xml:space="preserve"> </w:t>
      </w:r>
    </w:p>
    <w:p w14:paraId="0913064A" w14:textId="60839847" w:rsidR="007533D7" w:rsidRDefault="00F52DC6" w:rsidP="00BA30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were interested in examining possible enduring effects of alcohol use on WM performance, WM was assessed at age 18 years as it generally shown that WM matures in late adolescence </w:t>
      </w:r>
      <w:r>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"10.1037/neu0000049", "ISBN" : "1931-1559(Electronic);0894-4105(Print)", "abstract" : "Objective: Maturation of executive functioning (EF) is topical, especially in relation to adolescence, yet longitudinal research covering early and late adolescence is lacking. This, however, is a prerequisite for drawing conclusions on normal cognitive development, and understanding deviant maturation. The aim of this study is to longitudinally investigate 6 subcomponents of EF in early (mean age 11) and late adolescence (mean age 19) and to investigate the influence of sex and socioeconomic status (SES). Method: We used data of the TRacking Adolescents\u2019 Individual Lives Survey (TRAILS). A number of 2,217 participants carried out tasks of the Amsterdam Neuropsychological Tasks (ANT), measuring Focused Attention, Inhibition, Sustained Attention, Speed of Processing, Working Memory, and Shift Attention. Results: Linear growth model with individual varying times of observation showed significant slopes for all 6 measures. Sex differences were found for the majority of the measures, where boys showed more maturation. Maturation was influenced by SES for Sustained Attention and Inhibition. Conclusion: Results show that significant maturation takes place for all the measured subcomponents over adolescence. Overall, girls show better baseline performance and smaller maturational rates, suggesting more mature skills in early adolescence. Maturation is only influenced by SES for Sustained Attention and Inhibition. Findings underline that for making statements about EF maturation in adolescence, it is essential to look at subcomponents. Furthermore, sex differences are an important factor when investing (ab)normal maturation of EF. (PsycINFO Database Record (c) 2016 APA, all rights reserved)", "author" : [ { "dropping-particle" : "", "family" : "Boelema", "given" : "Sarai R", "non-dropping-particle" : "", "parse-names" : false, "suffix" : "" }, { "dropping-particle" : "", "family" : "Harakeh", "given" : "Zeena", "non-dropping-particle" : "", "parse-names" : false, "suffix" : "" }, { "dropping-particle" : "", "family" : "Ormel", "given" : "Johan", "non-dropping-particle" : "", "parse-names" : false, "suffix" : "" }, { "dropping-particle" : "", "family" : "Hartman", "given" : "Catharina A", "non-dropping-particle" : "", "parse-names" : false, "suffix" : "" }, { "dropping-particle" : "", "family" : "Vollebergh", "given" : "Wilma A M", "non-dropping-particle" : "", "parse-names" : false, "suffix" : "" }, { "dropping-particle" : "", "family" : "Zandvoort", "given" : "Martine J E", "non-dropping-particle" : "van", "parse-names" : false, "suffix" : "" } ], "container-title" : "Neuropsychology", "id" : "ITEM-1", "issue" : "2", "issued" : { "date-parts" : [ [ "2014" ] ] }, "page" : "177-187", "publisher" : "American Psychological Association", "publisher-place" : "Boelema, Sarai R.: Faculty of Social and Behavioral Science, Utrecht University, P.O. Box 80.140, Utrecht, Netherlands, 3508 TC, s.r.boelema@uu.nl", "title" : "Executive functioning shows differential maturation from early to late adolescence: Longitudinal findings from a TRAILS study.", "type" : "article", "volume" : "28" }, "uris" : [ "http://www.mendeley.com/documents/?uuid=533dd2c9-8f53-49cb-81d8-9e77c5345b33" ] }, { "id" : "ITEM-2", "itemData" : { "DOI" : "10.1076/jcen.25.2.242.13639", "ISBN" : "1380-3395 (Print) 1380-3395 (Linking)", "ISSN" : "1380-3395", "PMID" : "12754681", "abstract" : "The study of executive function within a developmental framework has proven integral to the advancement of knowledge concerning the acquisition and decline of higher skill processes. Still in its early stages, there exists a discontinuity in the literature between the exploration of executive capacity in young children and the elderly. Research of age-related differences utilising a lifespan approach has been restricted by the lack of assessment tools for the measurement of executive skills that are applicable across all age levels. This paper addresses these issues using the computer-based Cambridge Neuropsychological Test Automated Battery (CANTAB) to identify periods of development in executive capacities using a normative sample of 194 participants ranging in age from 8 to 64 years. Findings of executive function in children as young as 8 years of age were extended, with functional gains found in the efficiency of working memory capacity, planning and problem-solving abilities, between the ages of 15 and 19 years and again at 20-29 years of age. Cognitive flexibility was assessed at adult-levels in even the youngest children. Declines in performance on all tasks were revealed for the 50-64 year old sample, providing support for the vulnerability of executive skills to normal aging.", "author" : [ { "dropping-particle" : "", "family" : "Luca", "given" : "Cinzia R.", "non-dropping-particle" : "De", "parse-names" : false, "suffix" : "" }, { "dropping-particle" : "", "family" : "Wood", "given" : "Stephen J.", "non-dropping-particle" : "", "parse-names" : false, "suffix" : "" }, { "dropping-particle" : "", "family" : "Anderson", "given" : "Vicki", "non-dropping-particle" : "", "parse-names" : false, "suffix" : "" }, { "dropping-particle" : "", "family" : "Buchanan", "given" : "Jo-Anne", "non-dropping-particle" : "", "parse-names" : false, "suffix" : "" }, { "dropping-particle" : "", "family" : "Proffitt", "given" : "Tina M.", "non-dropping-particle" : "", "parse-names" : false, "suffix" : "" }, { "dropping-particle" : "", "family" : "Mahony", "given" : "Kate", "non-dropping-particle" : "", "parse-names" : false, "suffix" : "" }, { "dropping-particle" : "", "family" : "Pantelis", "given" : "Christos", "non-dropping-particle" : "", "parse-names" : false, "suffix" : "" } ], "container-title" : "Journal of Clinical and Experimental Neuropsychology", "id" : "ITEM-2", "issue" : "2", "issued" : { "date-parts" : [ [ "2003" ] ] }, "page" : "242-254", "title" : "Normative data from the Cantab. I: development of executive function over the lifespan", "type" : "article-journal", "volume" : "25" }, "uris" : [ "http://www.mendeley.com/documents/?uuid=34189fba-9e54-448a-a533-78b8dc39b0b1" ] }, { "id" : "ITEM-3", "itemData" : { "ISSN" : "1047-3211 (Print)", "PMID" : "8670681", "abstract" : "Brain magnetic resonance images (MRI) of 104 healthy children and adolescents, age 4-18, showed significant effects of age and gender on brain morphometry. Males had larger cerebral (9%) and cerebellar (8%) volumes (P &lt; 0.0001 and P = 0.008, respectively), which remained significant even after correction for height and weight. After adjusting for cerebral size, the putamen and globus pallidus remained larger in males, while relative caudate size was larger in females. Neither cerebral nor cerebellar volume changed significantly across this age range. Lateral ventricular volume increased significantly in males (trend for females), with males showing an increase in slope after age 11. In males only, caudate and putamen decrease with age (P = 0.007 and 0.05, respectively). The left lateral ventricles and putamen were significantly greater than the right (P = 0.01 and 0.001, respectively). In contrast, the cerebral hemispheres and caudate showed a highly consistent right-greater-than-left asymmetry (P &lt; 0.0001 for both). All volumes demonstrated a high degree of variability. These findings highlight gender-specific maturational changes of the developing brain and the need for large gender-matched samples in pediatric neuropsychiatric studies.", "author" : [ { "dropping-particle" : "", "family" : "Giedd", "given" : "J N", "non-dropping-particle" : "", "parse-names" : false, "suffix" : "" }, { "dropping-particle" : "", "family" : "Snell", "given" : "J W", "non-dropping-particle" : "", "parse-names" : false, "suffix" : "" }, { "dropping-particle" : "", "family" : "Lange", "given" : "N", "non-dropping-particle" : "", "parse-names" : false, "suffix" : "" }, { "dropping-particle" : "", "family" : "Rajapakse", "given" : "J C", "non-dropping-particle" : "", "parse-names" : false, "suffix" : "" }, { "dropping-particle" : "", "family" : "Casey", "given" : "B J", "non-dropping-particle" : "", "parse-names" : false, "suffix" : "" }, { "dropping-particle" : "", "family" : "Kozuch", "given" : "P L", "non-dropping-particle" : "", "parse-names" : false, "suffix" : "" }, { "dropping-particle" : "", "family" : "Vaituzis", "given" : "A C", "non-dropping-particle" : "", "parse-names" : false, "suffix" : "" }, { "dropping-particle" : "", "family" : "Vauss", "given" : "Y C", "non-dropping-particle" : "", "parse-names" : false, "suffix" : "" }, { "dropping-particle" : "", "family" : "Hamburger", "given" : "S D", "non-dropping-particle" : "", "parse-names" : false, "suffix" : "" }, { "dropping-particle" : "", "family" : "Kaysen", "given" : "D", "non-dropping-particle" : "", "parse-names" : false, "suffix" : "" }, { "dropping-particle" : "", "family" : "Rapoport", "given" : "J L", "non-dropping-particle" : "", "parse-names" : false, "suffix" : "" } ], "container-title" : "Cerebral Cortex", "id" : "ITEM-3", "issue" : "4", "issued" : { "date-parts" : [ [ "1996" ] ] }, "language" : "ENG", "page" : "551-560", "publisher-place" : "United States", "title" : "Quantitative magnetic resonance imaging of human brain development: ages 4-18.", "type" : "article-journal", "volume" : "6" }, "uris" : [ "http://www.mendeley.com/documents/?uuid=b3d38741-08a5-4e96-a8d6-a9d2599a3bc2" ] }, { "id" : "ITEM-4", "itemData" : { "DOI" : "10.1111/j.1467-8624.2004.00745.x", "ISSN" : "0009-3920 (Print)", "PMID" : "15369519", "abstract" : "To characterize cognitive maturation through adolescence, processing speed, voluntary response suppression, and spatial working memory were measured in 8- to 30-year-old (N = 245) healthy participants using oculomotor tasks. Development progressed with a steep initial improvement in performance followed by stabilization in adolescence. Adult-level mature performance began at approximately 15, 14, and 19 years of age for processing speed, response inhibition, and working memory, respectively. Although processes developed independently, processing speed influenced the development of working memory whereas the development of response suppression and working memory were interdependent. These results indicate that processing speed, voluntary response suppression, and working memory mature through late childhood and into adolescence. How brain maturation specific to adolescence may support cognitive maturation is discussed.", "author" : [ { "dropping-particle" : "", "family" : "Luna", "given" : "Beatriz", "non-dropping-particle" : "", "parse-names" : false, "suffix" : "" }, { "dropping-particle" : "", "family" : "Garver", "given" : "Krista E", "non-dropping-particle" : "", "parse-names" : false, "suffix" : "" }, { "dropping-particle" : "", "family" : "Urban", "given" : "Trinity A", "non-dropping-particle" : "", "parse-names" : false, "suffix" : "" }, { "dropping-particle" : "", "family" : "Lazar", "given" : "Nicole A", "non-dropping-particle" : "", "parse-names" : false, "suffix" : "" }, { "dropping-particle" : "", "family" : "Sweeney", "given" : "John A", "non-dropping-particle" : "", "parse-names" : false, "suffix" : "" } ], "container-title" : "Child Development", "id" : "ITEM-4", "issue" : "5", "issued" : { "date-parts" : [ [ "2004" ] ] }, "language" : "ENG", "page" : "1357-1372", "publisher-place" : "United States", "title" : "Maturation of cognitive processes from late childhood to adulthood.", "type" : "article-journal", "volume" : "75" }, "uris" : [ "http://www.mendeley.com/documents/?uuid=b428155b-d94b-4810-a486-17f5ebb6b626" ] } ], "mendeley" : { "formattedCitation" : "(Boelema et al. 2014; De Luca et al. 2003; Giedd et al. 1996; Luna et al. 2004)", "manualFormatting" : "(Boelema et al. 2014; De Luca et al. 2003)", "plainTextFormattedCitation" : "(Boelema et al. 2014; De Luca et al. 2003; Giedd et al. 1996; Luna et al. 2004)", "previouslyFormattedCitation" : "(Boelema et al. 2014; De Luca et al. 2003; Giedd et al. 1996; Luna et al. 2004)" }, "properties" : { "noteIndex" : 0 }, "schema" : "https://github.com/citation-style-language/schema/raw/master/csl-citation.json" }</w:instrText>
      </w:r>
      <w:r>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(Boelema et al. 2014; De Luca</w:t>
      </w:r>
      <w:r w:rsidR="003033BC">
        <w:rPr>
          <w:rFonts w:ascii="Times New Roman" w:hAnsi="Times New Roman" w:cs="Times New Roman"/>
          <w:noProof/>
          <w:sz w:val="24"/>
          <w:szCs w:val="24"/>
        </w:rPr>
        <w:t xml:space="preserve"> et al. 2003</w:t>
      </w:r>
      <w:r w:rsidR="00686293" w:rsidRPr="0068629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443EE">
        <w:rPr>
          <w:rFonts w:ascii="Times New Roman" w:hAnsi="Times New Roman" w:cs="Times New Roman"/>
          <w:sz w:val="24"/>
          <w:szCs w:val="24"/>
        </w:rPr>
        <w:t>P</w:t>
      </w:r>
      <w:r w:rsidR="00DC038E">
        <w:rPr>
          <w:rFonts w:ascii="Times New Roman" w:hAnsi="Times New Roman" w:cs="Times New Roman"/>
          <w:sz w:val="24"/>
          <w:szCs w:val="24"/>
        </w:rPr>
        <w:t xml:space="preserve">articipants </w:t>
      </w:r>
      <w:r w:rsidR="001543F6">
        <w:rPr>
          <w:rFonts w:ascii="Times New Roman" w:hAnsi="Times New Roman" w:cs="Times New Roman"/>
          <w:sz w:val="24"/>
          <w:szCs w:val="24"/>
        </w:rPr>
        <w:t xml:space="preserve">were excluded </w:t>
      </w:r>
      <w:r w:rsidR="005443EE">
        <w:rPr>
          <w:rFonts w:ascii="Times New Roman" w:hAnsi="Times New Roman" w:cs="Times New Roman"/>
          <w:sz w:val="24"/>
          <w:szCs w:val="24"/>
        </w:rPr>
        <w:t xml:space="preserve">if </w:t>
      </w:r>
      <w:r w:rsidR="00FB7AE3">
        <w:rPr>
          <w:rFonts w:ascii="Times New Roman" w:hAnsi="Times New Roman" w:cs="Times New Roman"/>
          <w:sz w:val="24"/>
          <w:szCs w:val="24"/>
        </w:rPr>
        <w:t xml:space="preserve">they did not provide any </w:t>
      </w:r>
      <w:r w:rsidR="005443EE">
        <w:rPr>
          <w:rFonts w:ascii="Times New Roman" w:hAnsi="Times New Roman" w:cs="Times New Roman"/>
          <w:sz w:val="24"/>
          <w:szCs w:val="24"/>
        </w:rPr>
        <w:t xml:space="preserve">responses </w:t>
      </w:r>
      <w:r w:rsidR="00ED1AF7">
        <w:rPr>
          <w:rFonts w:ascii="Times New Roman" w:hAnsi="Times New Roman" w:cs="Times New Roman"/>
          <w:sz w:val="24"/>
          <w:szCs w:val="24"/>
        </w:rPr>
        <w:t>(</w:t>
      </w:r>
      <w:r w:rsidR="00DC038E" w:rsidRPr="00DC038E">
        <w:rPr>
          <w:rFonts w:ascii="Times New Roman" w:hAnsi="Times New Roman" w:cs="Times New Roman"/>
          <w:i/>
          <w:sz w:val="24"/>
          <w:szCs w:val="24"/>
        </w:rPr>
        <w:t>n</w:t>
      </w:r>
      <w:r w:rsidR="00DC038E">
        <w:rPr>
          <w:rFonts w:ascii="Times New Roman" w:hAnsi="Times New Roman" w:cs="Times New Roman"/>
          <w:sz w:val="24"/>
          <w:szCs w:val="24"/>
        </w:rPr>
        <w:t>=373</w:t>
      </w:r>
      <w:r w:rsidR="00ED1AF7">
        <w:rPr>
          <w:rFonts w:ascii="Times New Roman" w:hAnsi="Times New Roman" w:cs="Times New Roman"/>
          <w:sz w:val="24"/>
          <w:szCs w:val="24"/>
        </w:rPr>
        <w:t xml:space="preserve"> for the 2-back</w:t>
      </w:r>
      <w:r w:rsidR="00FB7AE3">
        <w:rPr>
          <w:rFonts w:ascii="Times New Roman" w:hAnsi="Times New Roman" w:cs="Times New Roman"/>
          <w:sz w:val="24"/>
          <w:szCs w:val="24"/>
        </w:rPr>
        <w:t xml:space="preserve"> task</w:t>
      </w:r>
      <w:r w:rsidR="005443EE">
        <w:rPr>
          <w:rFonts w:ascii="Times New Roman" w:hAnsi="Times New Roman" w:cs="Times New Roman"/>
          <w:sz w:val="24"/>
          <w:szCs w:val="24"/>
        </w:rPr>
        <w:t xml:space="preserve">; </w:t>
      </w:r>
      <w:r w:rsidR="00DC038E" w:rsidRPr="00DC038E">
        <w:rPr>
          <w:rFonts w:ascii="Times New Roman" w:hAnsi="Times New Roman" w:cs="Times New Roman"/>
          <w:i/>
          <w:sz w:val="24"/>
          <w:szCs w:val="24"/>
        </w:rPr>
        <w:t>n</w:t>
      </w:r>
      <w:r w:rsidR="00ED1AF7">
        <w:rPr>
          <w:rFonts w:ascii="Times New Roman" w:hAnsi="Times New Roman" w:cs="Times New Roman"/>
          <w:sz w:val="24"/>
          <w:szCs w:val="24"/>
        </w:rPr>
        <w:t>=320 for the 3-back</w:t>
      </w:r>
      <w:r w:rsidR="00FB7AE3">
        <w:rPr>
          <w:rFonts w:ascii="Times New Roman" w:hAnsi="Times New Roman" w:cs="Times New Roman"/>
          <w:sz w:val="24"/>
          <w:szCs w:val="24"/>
        </w:rPr>
        <w:t xml:space="preserve"> task).</w:t>
      </w:r>
      <w:r w:rsidR="00DC038E">
        <w:rPr>
          <w:rFonts w:ascii="Times New Roman" w:hAnsi="Times New Roman" w:cs="Times New Roman"/>
          <w:sz w:val="24"/>
          <w:szCs w:val="24"/>
        </w:rPr>
        <w:t xml:space="preserve"> </w:t>
      </w:r>
      <w:r w:rsidR="00FB7AE3">
        <w:rPr>
          <w:rFonts w:ascii="Times New Roman" w:hAnsi="Times New Roman" w:cs="Times New Roman"/>
          <w:sz w:val="24"/>
          <w:szCs w:val="24"/>
        </w:rPr>
        <w:t xml:space="preserve">In total, </w:t>
      </w:r>
      <w:r w:rsidR="00370848" w:rsidRPr="0090541C">
        <w:rPr>
          <w:rFonts w:ascii="Times New Roman" w:hAnsi="Times New Roman" w:cs="Times New Roman"/>
          <w:i/>
          <w:sz w:val="24"/>
          <w:szCs w:val="24"/>
        </w:rPr>
        <w:t>n</w:t>
      </w:r>
      <w:r w:rsidR="00370848">
        <w:rPr>
          <w:rFonts w:ascii="Times New Roman" w:hAnsi="Times New Roman" w:cs="Times New Roman"/>
          <w:sz w:val="24"/>
          <w:szCs w:val="24"/>
        </w:rPr>
        <w:t xml:space="preserve">=3,141 </w:t>
      </w:r>
      <w:r w:rsidR="00300732">
        <w:rPr>
          <w:rFonts w:ascii="Times New Roman" w:hAnsi="Times New Roman" w:cs="Times New Roman"/>
          <w:sz w:val="24"/>
          <w:szCs w:val="24"/>
        </w:rPr>
        <w:t xml:space="preserve">participants </w:t>
      </w:r>
      <w:r w:rsidR="00370848">
        <w:rPr>
          <w:rFonts w:ascii="Times New Roman" w:hAnsi="Times New Roman" w:cs="Times New Roman"/>
          <w:sz w:val="24"/>
          <w:szCs w:val="24"/>
        </w:rPr>
        <w:t>completed both versions of the task</w:t>
      </w:r>
      <w:r w:rsidR="00300732">
        <w:rPr>
          <w:rFonts w:ascii="Times New Roman" w:hAnsi="Times New Roman" w:cs="Times New Roman"/>
          <w:sz w:val="24"/>
          <w:szCs w:val="24"/>
        </w:rPr>
        <w:t>, w</w:t>
      </w:r>
      <w:r w:rsidR="0090541C">
        <w:rPr>
          <w:rFonts w:ascii="Times New Roman" w:hAnsi="Times New Roman" w:cs="Times New Roman"/>
          <w:sz w:val="24"/>
          <w:szCs w:val="24"/>
        </w:rPr>
        <w:t xml:space="preserve">hile </w:t>
      </w:r>
      <w:r w:rsidR="001A1662" w:rsidRPr="001A1662">
        <w:rPr>
          <w:rFonts w:ascii="Times New Roman" w:hAnsi="Times New Roman" w:cs="Times New Roman"/>
          <w:i/>
          <w:sz w:val="24"/>
          <w:szCs w:val="24"/>
        </w:rPr>
        <w:t>n</w:t>
      </w:r>
      <w:r w:rsidR="001A1662">
        <w:rPr>
          <w:rFonts w:ascii="Times New Roman" w:hAnsi="Times New Roman" w:cs="Times New Roman"/>
          <w:sz w:val="24"/>
          <w:szCs w:val="24"/>
        </w:rPr>
        <w:t>=</w:t>
      </w:r>
      <w:r w:rsidR="005044EB">
        <w:rPr>
          <w:rFonts w:ascii="Times New Roman" w:hAnsi="Times New Roman" w:cs="Times New Roman"/>
          <w:sz w:val="24"/>
          <w:szCs w:val="24"/>
        </w:rPr>
        <w:t>3,351</w:t>
      </w:r>
      <w:r w:rsidR="00DC038E">
        <w:rPr>
          <w:rFonts w:ascii="Times New Roman" w:hAnsi="Times New Roman" w:cs="Times New Roman"/>
          <w:sz w:val="24"/>
          <w:szCs w:val="24"/>
        </w:rPr>
        <w:t xml:space="preserve"> participants</w:t>
      </w:r>
      <w:r w:rsidR="00DC038E" w:rsidRPr="00CA3817">
        <w:rPr>
          <w:rFonts w:ascii="Times New Roman" w:hAnsi="Times New Roman" w:cs="Times New Roman"/>
          <w:sz w:val="24"/>
          <w:szCs w:val="24"/>
        </w:rPr>
        <w:t xml:space="preserve"> had available d</w:t>
      </w:r>
      <w:r w:rsidR="00FB7AE3">
        <w:rPr>
          <w:rFonts w:ascii="Times New Roman" w:hAnsi="Times New Roman" w:cs="Times New Roman"/>
          <w:sz w:val="24"/>
          <w:szCs w:val="24"/>
        </w:rPr>
        <w:t xml:space="preserve">ata for the 2-back </w:t>
      </w:r>
      <w:r w:rsidR="0084002F">
        <w:rPr>
          <w:rFonts w:ascii="Times New Roman" w:hAnsi="Times New Roman" w:cs="Times New Roman"/>
          <w:sz w:val="24"/>
          <w:szCs w:val="24"/>
        </w:rPr>
        <w:t>task</w:t>
      </w:r>
      <w:r w:rsidR="005044EB">
        <w:rPr>
          <w:rFonts w:ascii="Times New Roman" w:hAnsi="Times New Roman" w:cs="Times New Roman"/>
          <w:sz w:val="24"/>
          <w:szCs w:val="24"/>
        </w:rPr>
        <w:t xml:space="preserve"> and </w:t>
      </w:r>
      <w:r w:rsidR="001A1662" w:rsidRPr="001A1662">
        <w:rPr>
          <w:rFonts w:ascii="Times New Roman" w:hAnsi="Times New Roman" w:cs="Times New Roman"/>
          <w:i/>
          <w:sz w:val="24"/>
          <w:szCs w:val="24"/>
        </w:rPr>
        <w:t>n</w:t>
      </w:r>
      <w:r w:rsidR="001A1662">
        <w:rPr>
          <w:rFonts w:ascii="Times New Roman" w:hAnsi="Times New Roman" w:cs="Times New Roman"/>
          <w:sz w:val="24"/>
          <w:szCs w:val="24"/>
        </w:rPr>
        <w:t>=</w:t>
      </w:r>
      <w:r w:rsidR="005044EB">
        <w:rPr>
          <w:rFonts w:ascii="Times New Roman" w:hAnsi="Times New Roman" w:cs="Times New Roman"/>
          <w:sz w:val="24"/>
          <w:szCs w:val="24"/>
        </w:rPr>
        <w:t>3,319</w:t>
      </w:r>
      <w:r w:rsidR="00DC038E" w:rsidRPr="00CA3817">
        <w:rPr>
          <w:rFonts w:ascii="Times New Roman" w:hAnsi="Times New Roman" w:cs="Times New Roman"/>
          <w:sz w:val="24"/>
          <w:szCs w:val="24"/>
        </w:rPr>
        <w:t xml:space="preserve"> had ava</w:t>
      </w:r>
      <w:r w:rsidR="0084002F">
        <w:rPr>
          <w:rFonts w:ascii="Times New Roman" w:hAnsi="Times New Roman" w:cs="Times New Roman"/>
          <w:sz w:val="24"/>
          <w:szCs w:val="24"/>
        </w:rPr>
        <w:t>ilable data for the 3-back version</w:t>
      </w:r>
      <w:r w:rsidR="0090541C">
        <w:rPr>
          <w:rFonts w:ascii="Times New Roman" w:hAnsi="Times New Roman" w:cs="Times New Roman"/>
          <w:sz w:val="24"/>
          <w:szCs w:val="24"/>
        </w:rPr>
        <w:t>.</w:t>
      </w:r>
      <w:r w:rsidR="005527E4">
        <w:rPr>
          <w:rFonts w:ascii="Times New Roman" w:hAnsi="Times New Roman" w:cs="Times New Roman"/>
          <w:sz w:val="24"/>
          <w:szCs w:val="24"/>
        </w:rPr>
        <w:t xml:space="preserve"> </w:t>
      </w:r>
    </w:p>
    <w:p w14:paraId="39E50493" w14:textId="761A1939" w:rsidR="004E180D" w:rsidRDefault="00492240" w:rsidP="00CE2E86">
      <w:pPr>
        <w:spacing w:before="240" w:after="0" w:line="480" w:lineRule="auto"/>
        <w:rPr>
          <w:rFonts w:ascii="Times New Roman" w:hAnsi="Times New Roman" w:cs="Times New Roman"/>
          <w:i/>
          <w:sz w:val="24"/>
          <w:szCs w:val="24"/>
        </w:rPr>
      </w:pPr>
      <w:r w:rsidRPr="00CA3817">
        <w:rPr>
          <w:rFonts w:ascii="Times New Roman" w:hAnsi="Times New Roman" w:cs="Times New Roman"/>
          <w:i/>
          <w:sz w:val="24"/>
          <w:szCs w:val="24"/>
        </w:rPr>
        <w:t xml:space="preserve">Potential confounders </w:t>
      </w:r>
    </w:p>
    <w:p w14:paraId="5D0F1127" w14:textId="59652877" w:rsidR="00F8352A" w:rsidRDefault="00BD2082" w:rsidP="00734E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the complicated confounding structure, potential confounding variables were included in </w:t>
      </w:r>
      <w:r w:rsidR="0098623D">
        <w:rPr>
          <w:rFonts w:ascii="Times New Roman" w:hAnsi="Times New Roman" w:cs="Times New Roman"/>
          <w:sz w:val="24"/>
          <w:szCs w:val="24"/>
        </w:rPr>
        <w:t>three</w:t>
      </w:r>
      <w:r>
        <w:rPr>
          <w:rFonts w:ascii="Times New Roman" w:hAnsi="Times New Roman" w:cs="Times New Roman"/>
          <w:sz w:val="24"/>
          <w:szCs w:val="24"/>
        </w:rPr>
        <w:t xml:space="preserve"> steps. </w:t>
      </w:r>
      <w:r w:rsidR="00086244">
        <w:rPr>
          <w:rFonts w:ascii="Times New Roman" w:hAnsi="Times New Roman" w:cs="Times New Roman"/>
          <w:sz w:val="24"/>
          <w:szCs w:val="24"/>
        </w:rPr>
        <w:t>First,</w:t>
      </w:r>
      <w:r w:rsidR="00E27F73">
        <w:rPr>
          <w:rFonts w:ascii="Times New Roman" w:hAnsi="Times New Roman" w:cs="Times New Roman"/>
          <w:sz w:val="24"/>
          <w:szCs w:val="24"/>
        </w:rPr>
        <w:t xml:space="preserve"> we</w:t>
      </w:r>
      <w:r w:rsidR="00AC7544">
        <w:rPr>
          <w:rFonts w:ascii="Times New Roman" w:hAnsi="Times New Roman" w:cs="Times New Roman"/>
          <w:sz w:val="24"/>
          <w:szCs w:val="24"/>
        </w:rPr>
        <w:t xml:space="preserve"> examined an unadjusted model (M</w:t>
      </w:r>
      <w:r w:rsidR="00E27F73">
        <w:rPr>
          <w:rFonts w:ascii="Times New Roman" w:hAnsi="Times New Roman" w:cs="Times New Roman"/>
          <w:sz w:val="24"/>
          <w:szCs w:val="24"/>
        </w:rPr>
        <w:t>odel 1). Second,</w:t>
      </w:r>
      <w:r w:rsidR="00086244">
        <w:rPr>
          <w:rFonts w:ascii="Times New Roman" w:hAnsi="Times New Roman" w:cs="Times New Roman"/>
          <w:sz w:val="24"/>
          <w:szCs w:val="24"/>
        </w:rPr>
        <w:t xml:space="preserve"> a </w:t>
      </w:r>
      <w:r w:rsidR="00AC7544">
        <w:rPr>
          <w:rFonts w:ascii="Times New Roman" w:hAnsi="Times New Roman" w:cs="Times New Roman"/>
          <w:sz w:val="24"/>
          <w:szCs w:val="24"/>
        </w:rPr>
        <w:t>number</w:t>
      </w:r>
      <w:r w:rsidR="00AC7544" w:rsidRPr="0062764F">
        <w:rPr>
          <w:rFonts w:ascii="Times New Roman" w:hAnsi="Times New Roman" w:cs="Times New Roman"/>
          <w:sz w:val="24"/>
          <w:szCs w:val="24"/>
        </w:rPr>
        <w:t xml:space="preserve"> </w:t>
      </w:r>
      <w:r w:rsidR="00D4322B" w:rsidRPr="0062764F">
        <w:rPr>
          <w:rFonts w:ascii="Times New Roman" w:hAnsi="Times New Roman" w:cs="Times New Roman"/>
          <w:sz w:val="24"/>
          <w:szCs w:val="24"/>
        </w:rPr>
        <w:t xml:space="preserve">of </w:t>
      </w:r>
      <w:r w:rsidR="00086244">
        <w:rPr>
          <w:rFonts w:ascii="Times New Roman" w:hAnsi="Times New Roman" w:cs="Times New Roman"/>
          <w:sz w:val="24"/>
          <w:szCs w:val="24"/>
        </w:rPr>
        <w:t xml:space="preserve">sociodemographic </w:t>
      </w:r>
      <w:r w:rsidR="00D4322B" w:rsidRPr="0062764F">
        <w:rPr>
          <w:rFonts w:ascii="Times New Roman" w:hAnsi="Times New Roman" w:cs="Times New Roman"/>
          <w:sz w:val="24"/>
          <w:szCs w:val="24"/>
        </w:rPr>
        <w:t>measures were considered to be potential confounders of the</w:t>
      </w:r>
      <w:r w:rsidR="00A60327">
        <w:rPr>
          <w:rFonts w:ascii="Times New Roman" w:hAnsi="Times New Roman" w:cs="Times New Roman"/>
          <w:sz w:val="24"/>
          <w:szCs w:val="24"/>
        </w:rPr>
        <w:t xml:space="preserve"> relationship between</w:t>
      </w:r>
      <w:r w:rsidR="00D4322B" w:rsidRPr="0062764F">
        <w:rPr>
          <w:rFonts w:ascii="Times New Roman" w:hAnsi="Times New Roman" w:cs="Times New Roman"/>
          <w:sz w:val="24"/>
          <w:szCs w:val="24"/>
        </w:rPr>
        <w:t xml:space="preserve"> </w:t>
      </w:r>
      <w:r w:rsidR="00D66931">
        <w:rPr>
          <w:rFonts w:ascii="Times New Roman" w:hAnsi="Times New Roman" w:cs="Times New Roman"/>
          <w:sz w:val="24"/>
          <w:szCs w:val="24"/>
        </w:rPr>
        <w:t xml:space="preserve">alcohol </w:t>
      </w:r>
      <w:r w:rsidR="00A60327">
        <w:rPr>
          <w:rFonts w:ascii="Times New Roman" w:hAnsi="Times New Roman" w:cs="Times New Roman"/>
          <w:sz w:val="24"/>
          <w:szCs w:val="24"/>
        </w:rPr>
        <w:t>and WM in adolescence</w:t>
      </w:r>
      <w:r w:rsidR="00E27F73">
        <w:rPr>
          <w:rFonts w:ascii="Times New Roman" w:hAnsi="Times New Roman" w:cs="Times New Roman"/>
          <w:sz w:val="24"/>
          <w:szCs w:val="24"/>
        </w:rPr>
        <w:t xml:space="preserve"> </w:t>
      </w:r>
      <w:r w:rsidR="00AC7544">
        <w:rPr>
          <w:rFonts w:ascii="Times New Roman" w:hAnsi="Times New Roman" w:cs="Times New Roman"/>
          <w:sz w:val="24"/>
          <w:szCs w:val="24"/>
        </w:rPr>
        <w:t>(M</w:t>
      </w:r>
      <w:r w:rsidR="00E27F73">
        <w:rPr>
          <w:rFonts w:ascii="Times New Roman" w:hAnsi="Times New Roman" w:cs="Times New Roman"/>
          <w:sz w:val="24"/>
          <w:szCs w:val="24"/>
        </w:rPr>
        <w:t>odel 2)</w:t>
      </w:r>
      <w:r w:rsidR="00A60327">
        <w:rPr>
          <w:rFonts w:ascii="Times New Roman" w:hAnsi="Times New Roman" w:cs="Times New Roman"/>
          <w:sz w:val="24"/>
          <w:szCs w:val="24"/>
        </w:rPr>
        <w:t>.</w:t>
      </w:r>
      <w:r w:rsidR="00D4322B" w:rsidRPr="0062764F">
        <w:rPr>
          <w:rFonts w:ascii="Times New Roman" w:hAnsi="Times New Roman" w:cs="Times New Roman"/>
          <w:sz w:val="24"/>
          <w:szCs w:val="24"/>
        </w:rPr>
        <w:t xml:space="preserve"> These comprised of estab</w:t>
      </w:r>
      <w:r w:rsidR="0062764F">
        <w:rPr>
          <w:rFonts w:ascii="Times New Roman" w:hAnsi="Times New Roman" w:cs="Times New Roman"/>
          <w:sz w:val="24"/>
          <w:szCs w:val="24"/>
        </w:rPr>
        <w:t>lished risk factors for WM</w:t>
      </w:r>
      <w:r w:rsidR="00E8745C">
        <w:rPr>
          <w:rFonts w:ascii="Times New Roman" w:hAnsi="Times New Roman" w:cs="Times New Roman"/>
          <w:sz w:val="24"/>
          <w:szCs w:val="24"/>
        </w:rPr>
        <w:t xml:space="preserve"> performance</w:t>
      </w:r>
      <w:r w:rsidR="00D4322B" w:rsidRPr="0062764F">
        <w:rPr>
          <w:rFonts w:ascii="Times New Roman" w:hAnsi="Times New Roman" w:cs="Times New Roman"/>
          <w:sz w:val="24"/>
          <w:szCs w:val="24"/>
        </w:rPr>
        <w:t xml:space="preserve"> for which we felt the assumption of a causal predictive rel</w:t>
      </w:r>
      <w:r w:rsidR="0062764F">
        <w:rPr>
          <w:rFonts w:ascii="Times New Roman" w:hAnsi="Times New Roman" w:cs="Times New Roman"/>
          <w:sz w:val="24"/>
          <w:szCs w:val="24"/>
        </w:rPr>
        <w:t>ationship with earlier</w:t>
      </w:r>
      <w:r w:rsidR="00D4322B" w:rsidRPr="0062764F">
        <w:rPr>
          <w:rFonts w:ascii="Times New Roman" w:hAnsi="Times New Roman" w:cs="Times New Roman"/>
          <w:sz w:val="24"/>
          <w:szCs w:val="24"/>
        </w:rPr>
        <w:t xml:space="preserve"> alcohol use could be justified. </w:t>
      </w:r>
      <w:r w:rsidR="00C335A8" w:rsidRPr="00CA3817">
        <w:rPr>
          <w:rFonts w:ascii="Times New Roman" w:hAnsi="Times New Roman" w:cs="Times New Roman"/>
          <w:sz w:val="24"/>
          <w:szCs w:val="24"/>
        </w:rPr>
        <w:t>Adjustment was made for a number of potential time-invariant confounding variables</w:t>
      </w:r>
      <w:r w:rsidR="00AF5F6A">
        <w:rPr>
          <w:rFonts w:ascii="Times New Roman" w:hAnsi="Times New Roman" w:cs="Times New Roman"/>
          <w:sz w:val="24"/>
          <w:szCs w:val="24"/>
        </w:rPr>
        <w:t xml:space="preserve"> during pregnancy</w:t>
      </w:r>
      <w:r w:rsidR="007E653C">
        <w:rPr>
          <w:rFonts w:ascii="Times New Roman" w:hAnsi="Times New Roman" w:cs="Times New Roman"/>
          <w:sz w:val="24"/>
          <w:szCs w:val="24"/>
        </w:rPr>
        <w:t>.</w:t>
      </w:r>
      <w:r w:rsidR="00C335A8" w:rsidRPr="00CA3817">
        <w:rPr>
          <w:rFonts w:ascii="Times New Roman" w:hAnsi="Times New Roman" w:cs="Times New Roman"/>
          <w:sz w:val="24"/>
          <w:szCs w:val="24"/>
        </w:rPr>
        <w:t xml:space="preserve"> These included: </w:t>
      </w:r>
      <w:r w:rsidR="00DF567E" w:rsidRPr="00CA3817">
        <w:rPr>
          <w:rFonts w:ascii="Times New Roman" w:hAnsi="Times New Roman" w:cs="Times New Roman"/>
          <w:sz w:val="24"/>
          <w:szCs w:val="24"/>
        </w:rPr>
        <w:t>income (quintiles)</w:t>
      </w:r>
      <w:r w:rsidR="00DF567E">
        <w:rPr>
          <w:rFonts w:ascii="Times New Roman" w:hAnsi="Times New Roman" w:cs="Times New Roman"/>
          <w:sz w:val="24"/>
          <w:szCs w:val="24"/>
        </w:rPr>
        <w:t xml:space="preserve">, </w:t>
      </w:r>
      <w:r w:rsidR="00DF567E" w:rsidRPr="00CA3817">
        <w:rPr>
          <w:rFonts w:ascii="Times New Roman" w:hAnsi="Times New Roman" w:cs="Times New Roman"/>
          <w:sz w:val="24"/>
          <w:szCs w:val="24"/>
        </w:rPr>
        <w:t>maternal education (&lt;O level</w:t>
      </w:r>
      <w:r w:rsidR="009D01C4">
        <w:rPr>
          <w:rFonts w:ascii="Times New Roman" w:hAnsi="Times New Roman" w:cs="Times New Roman"/>
          <w:sz w:val="24"/>
          <w:szCs w:val="24"/>
        </w:rPr>
        <w:t xml:space="preserve">: indicating no qualification; </w:t>
      </w:r>
      <w:r w:rsidR="009D01C4" w:rsidRPr="00CA3817">
        <w:rPr>
          <w:rFonts w:ascii="Times New Roman" w:hAnsi="Times New Roman" w:cs="Times New Roman"/>
          <w:sz w:val="24"/>
          <w:szCs w:val="24"/>
        </w:rPr>
        <w:t>O level</w:t>
      </w:r>
      <w:r w:rsidR="009D01C4">
        <w:rPr>
          <w:rFonts w:ascii="Times New Roman" w:hAnsi="Times New Roman" w:cs="Times New Roman"/>
          <w:sz w:val="24"/>
          <w:szCs w:val="24"/>
        </w:rPr>
        <w:t>:</w:t>
      </w:r>
      <w:r w:rsidR="00DF567E" w:rsidRPr="00CA3817">
        <w:rPr>
          <w:rFonts w:ascii="Times New Roman" w:hAnsi="Times New Roman" w:cs="Times New Roman"/>
          <w:sz w:val="24"/>
          <w:szCs w:val="24"/>
        </w:rPr>
        <w:t xml:space="preserve"> </w:t>
      </w:r>
      <w:r w:rsidR="002B3A20">
        <w:rPr>
          <w:rFonts w:ascii="Times New Roman" w:hAnsi="Times New Roman" w:cs="Times New Roman"/>
          <w:sz w:val="24"/>
          <w:szCs w:val="24"/>
        </w:rPr>
        <w:t>indicating completion of</w:t>
      </w:r>
      <w:r w:rsidR="00E244A5">
        <w:rPr>
          <w:rFonts w:ascii="Times New Roman" w:hAnsi="Times New Roman" w:cs="Times New Roman"/>
          <w:sz w:val="24"/>
          <w:szCs w:val="24"/>
        </w:rPr>
        <w:t xml:space="preserve"> school </w:t>
      </w:r>
      <w:r w:rsidR="002B3A20">
        <w:rPr>
          <w:rFonts w:ascii="Times New Roman" w:hAnsi="Times New Roman" w:cs="Times New Roman"/>
          <w:sz w:val="24"/>
          <w:szCs w:val="24"/>
        </w:rPr>
        <w:t>examinations at age 16</w:t>
      </w:r>
      <w:r w:rsidR="009D01C4">
        <w:rPr>
          <w:rFonts w:ascii="Times New Roman" w:hAnsi="Times New Roman" w:cs="Times New Roman"/>
          <w:sz w:val="24"/>
          <w:szCs w:val="24"/>
        </w:rPr>
        <w:t>;</w:t>
      </w:r>
      <w:r w:rsidR="00AC143F">
        <w:rPr>
          <w:rFonts w:ascii="Times New Roman" w:hAnsi="Times New Roman" w:cs="Times New Roman"/>
          <w:sz w:val="24"/>
          <w:szCs w:val="24"/>
        </w:rPr>
        <w:t xml:space="preserve"> </w:t>
      </w:r>
      <w:r w:rsidR="009D01C4">
        <w:rPr>
          <w:rFonts w:ascii="Times New Roman" w:hAnsi="Times New Roman" w:cs="Times New Roman"/>
          <w:sz w:val="24"/>
          <w:szCs w:val="24"/>
        </w:rPr>
        <w:t xml:space="preserve">and </w:t>
      </w:r>
      <w:r w:rsidR="009D01C4" w:rsidRPr="00CA3817">
        <w:rPr>
          <w:rFonts w:ascii="Times New Roman" w:hAnsi="Times New Roman" w:cs="Times New Roman"/>
          <w:sz w:val="24"/>
          <w:szCs w:val="24"/>
        </w:rPr>
        <w:t>&gt;O level</w:t>
      </w:r>
      <w:r w:rsidR="009D01C4">
        <w:rPr>
          <w:rFonts w:ascii="Times New Roman" w:hAnsi="Times New Roman" w:cs="Times New Roman"/>
          <w:sz w:val="24"/>
          <w:szCs w:val="24"/>
        </w:rPr>
        <w:t xml:space="preserve">: indicating </w:t>
      </w:r>
      <w:r w:rsidR="002B3A20">
        <w:rPr>
          <w:rFonts w:ascii="Times New Roman" w:hAnsi="Times New Roman" w:cs="Times New Roman"/>
          <w:sz w:val="24"/>
          <w:szCs w:val="24"/>
        </w:rPr>
        <w:t xml:space="preserve">completion of </w:t>
      </w:r>
      <w:r w:rsidR="00E244A5">
        <w:rPr>
          <w:rFonts w:ascii="Times New Roman" w:hAnsi="Times New Roman" w:cs="Times New Roman"/>
          <w:sz w:val="24"/>
          <w:szCs w:val="24"/>
        </w:rPr>
        <w:t>college or university educat</w:t>
      </w:r>
      <w:r w:rsidR="002B3A20">
        <w:rPr>
          <w:rFonts w:ascii="Times New Roman" w:hAnsi="Times New Roman" w:cs="Times New Roman"/>
          <w:sz w:val="24"/>
          <w:szCs w:val="24"/>
        </w:rPr>
        <w:t>ion at or after age 18</w:t>
      </w:r>
      <w:r w:rsidR="00DF567E" w:rsidRPr="00CA3817">
        <w:rPr>
          <w:rFonts w:ascii="Times New Roman" w:hAnsi="Times New Roman" w:cs="Times New Roman"/>
          <w:sz w:val="24"/>
          <w:szCs w:val="24"/>
        </w:rPr>
        <w:t>)</w:t>
      </w:r>
      <w:r w:rsidR="00DF567E">
        <w:rPr>
          <w:rFonts w:ascii="Times New Roman" w:hAnsi="Times New Roman" w:cs="Times New Roman"/>
          <w:sz w:val="24"/>
          <w:szCs w:val="24"/>
        </w:rPr>
        <w:t xml:space="preserve">, </w:t>
      </w:r>
      <w:r w:rsidR="00DF567E" w:rsidRPr="00CA3817">
        <w:rPr>
          <w:rFonts w:ascii="Times New Roman" w:hAnsi="Times New Roman" w:cs="Times New Roman"/>
          <w:sz w:val="24"/>
          <w:szCs w:val="24"/>
        </w:rPr>
        <w:t>socioeconomic position (SEP</w:t>
      </w:r>
      <w:r w:rsidR="002B3A20">
        <w:rPr>
          <w:rFonts w:ascii="Times New Roman" w:hAnsi="Times New Roman" w:cs="Times New Roman"/>
          <w:sz w:val="24"/>
          <w:szCs w:val="24"/>
        </w:rPr>
        <w:t xml:space="preserve">, </w:t>
      </w:r>
      <w:r w:rsidR="00DF567E" w:rsidRPr="00CA3817">
        <w:rPr>
          <w:rFonts w:ascii="Times New Roman" w:hAnsi="Times New Roman" w:cs="Times New Roman"/>
          <w:sz w:val="24"/>
          <w:szCs w:val="24"/>
        </w:rPr>
        <w:t>grouped into four categories: 1) unskilled or semiskilled manual; 2) skilled manual or non</w:t>
      </w:r>
      <w:r w:rsidR="00B27092">
        <w:rPr>
          <w:rFonts w:ascii="Times New Roman" w:hAnsi="Times New Roman" w:cs="Times New Roman"/>
          <w:sz w:val="24"/>
          <w:szCs w:val="24"/>
        </w:rPr>
        <w:t>-</w:t>
      </w:r>
      <w:r w:rsidR="00DF567E" w:rsidRPr="00CA3817">
        <w:rPr>
          <w:rFonts w:ascii="Times New Roman" w:hAnsi="Times New Roman" w:cs="Times New Roman"/>
          <w:sz w:val="24"/>
          <w:szCs w:val="24"/>
        </w:rPr>
        <w:t xml:space="preserve">manual; 3) managerial and </w:t>
      </w:r>
      <w:r w:rsidR="00DF567E">
        <w:rPr>
          <w:rFonts w:ascii="Times New Roman" w:hAnsi="Times New Roman" w:cs="Times New Roman"/>
          <w:sz w:val="24"/>
          <w:szCs w:val="24"/>
        </w:rPr>
        <w:t>technical; and 4) professional)</w:t>
      </w:r>
      <w:r w:rsidR="00AF69D9">
        <w:rPr>
          <w:rFonts w:ascii="Times New Roman" w:hAnsi="Times New Roman" w:cs="Times New Roman"/>
          <w:sz w:val="24"/>
          <w:szCs w:val="24"/>
        </w:rPr>
        <w:t>,</w:t>
      </w:r>
      <w:r w:rsidR="00DF567E">
        <w:rPr>
          <w:rFonts w:ascii="Times New Roman" w:hAnsi="Times New Roman" w:cs="Times New Roman"/>
          <w:sz w:val="24"/>
          <w:szCs w:val="24"/>
        </w:rPr>
        <w:t xml:space="preserve"> </w:t>
      </w:r>
      <w:r w:rsidR="00C335A8" w:rsidRPr="00CA3817">
        <w:rPr>
          <w:rFonts w:ascii="Times New Roman" w:hAnsi="Times New Roman" w:cs="Times New Roman"/>
          <w:sz w:val="24"/>
          <w:szCs w:val="24"/>
        </w:rPr>
        <w:t>pari</w:t>
      </w:r>
      <w:r w:rsidR="00AF69D9">
        <w:rPr>
          <w:rFonts w:ascii="Times New Roman" w:hAnsi="Times New Roman" w:cs="Times New Roman"/>
          <w:sz w:val="24"/>
          <w:szCs w:val="24"/>
        </w:rPr>
        <w:t>ty (</w:t>
      </w:r>
      <w:r w:rsidR="002B3A20">
        <w:rPr>
          <w:rFonts w:ascii="Times New Roman" w:hAnsi="Times New Roman" w:cs="Times New Roman"/>
          <w:sz w:val="24"/>
          <w:szCs w:val="24"/>
        </w:rPr>
        <w:t>1</w:t>
      </w:r>
      <w:r w:rsidR="002B3A20" w:rsidRPr="008C6779">
        <w:rPr>
          <w:rFonts w:ascii="Times New Roman" w:hAnsi="Times New Roman" w:cs="Times New Roman"/>
          <w:sz w:val="24"/>
          <w:szCs w:val="24"/>
          <w:vertAlign w:val="superscript"/>
        </w:rPr>
        <w:t>st</w:t>
      </w:r>
      <w:r w:rsidR="00C335A8" w:rsidRPr="00CA3817">
        <w:rPr>
          <w:rFonts w:ascii="Times New Roman" w:hAnsi="Times New Roman" w:cs="Times New Roman"/>
          <w:sz w:val="24"/>
          <w:szCs w:val="24"/>
        </w:rPr>
        <w:t>, 2</w:t>
      </w:r>
      <w:r w:rsidR="002B3A20" w:rsidRPr="008C6779">
        <w:rPr>
          <w:rFonts w:ascii="Times New Roman" w:hAnsi="Times New Roman" w:cs="Times New Roman"/>
          <w:sz w:val="24"/>
          <w:szCs w:val="24"/>
          <w:vertAlign w:val="superscript"/>
        </w:rPr>
        <w:t>nd</w:t>
      </w:r>
      <w:r w:rsidR="00C335A8" w:rsidRPr="00CA3817">
        <w:rPr>
          <w:rFonts w:ascii="Times New Roman" w:hAnsi="Times New Roman" w:cs="Times New Roman"/>
          <w:sz w:val="24"/>
          <w:szCs w:val="24"/>
        </w:rPr>
        <w:t>, ≥3</w:t>
      </w:r>
      <w:r w:rsidR="002B3A20" w:rsidRPr="008C6779">
        <w:rPr>
          <w:rFonts w:ascii="Times New Roman" w:hAnsi="Times New Roman" w:cs="Times New Roman"/>
          <w:sz w:val="24"/>
          <w:szCs w:val="24"/>
          <w:vertAlign w:val="superscript"/>
        </w:rPr>
        <w:t>rd</w:t>
      </w:r>
      <w:r w:rsidR="00C335A8" w:rsidRPr="00CA3817">
        <w:rPr>
          <w:rFonts w:ascii="Times New Roman" w:hAnsi="Times New Roman" w:cs="Times New Roman"/>
          <w:sz w:val="24"/>
          <w:szCs w:val="24"/>
        </w:rPr>
        <w:t xml:space="preserve"> children), housing tenure (mortgaged, subsidised renting, and private renting), </w:t>
      </w:r>
      <w:r w:rsidR="00D542A7">
        <w:rPr>
          <w:rFonts w:ascii="Times New Roman" w:hAnsi="Times New Roman" w:cs="Times New Roman"/>
          <w:sz w:val="24"/>
          <w:szCs w:val="24"/>
        </w:rPr>
        <w:t>sex</w:t>
      </w:r>
      <w:r w:rsidR="00DF567E">
        <w:rPr>
          <w:rFonts w:ascii="Times New Roman" w:hAnsi="Times New Roman" w:cs="Times New Roman"/>
          <w:sz w:val="24"/>
          <w:szCs w:val="24"/>
        </w:rPr>
        <w:t xml:space="preserve">, and </w:t>
      </w:r>
      <w:r w:rsidR="00DF567E" w:rsidRPr="00CA3817">
        <w:rPr>
          <w:rFonts w:ascii="Times New Roman" w:hAnsi="Times New Roman" w:cs="Times New Roman"/>
          <w:sz w:val="24"/>
          <w:szCs w:val="24"/>
        </w:rPr>
        <w:t xml:space="preserve">maternal smoking during first </w:t>
      </w:r>
      <w:r w:rsidR="00DF567E">
        <w:rPr>
          <w:rFonts w:ascii="Times New Roman" w:hAnsi="Times New Roman" w:cs="Times New Roman"/>
          <w:sz w:val="24"/>
          <w:szCs w:val="24"/>
        </w:rPr>
        <w:t>trimester in pregnancy (yes/no)</w:t>
      </w:r>
      <w:r w:rsidR="00C335A8" w:rsidRPr="00CA3817">
        <w:rPr>
          <w:rFonts w:ascii="Times New Roman" w:hAnsi="Times New Roman" w:cs="Times New Roman"/>
          <w:sz w:val="24"/>
          <w:szCs w:val="24"/>
        </w:rPr>
        <w:t xml:space="preserve">. </w:t>
      </w:r>
    </w:p>
    <w:p w14:paraId="3F6E13B5" w14:textId="1FB20FF8" w:rsidR="002A0CEC" w:rsidRDefault="002A0CEC" w:rsidP="002A0C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Third, WM at </w:t>
      </w:r>
      <w:r w:rsidR="009753E6">
        <w:rPr>
          <w:rFonts w:ascii="Times New Roman" w:hAnsi="Times New Roman" w:cs="Times New Roman"/>
          <w:sz w:val="24"/>
          <w:szCs w:val="24"/>
        </w:rPr>
        <w:t xml:space="preserve">approximately </w:t>
      </w:r>
      <w:r>
        <w:rPr>
          <w:rFonts w:ascii="Times New Roman" w:hAnsi="Times New Roman" w:cs="Times New Roman"/>
          <w:sz w:val="24"/>
          <w:szCs w:val="24"/>
        </w:rPr>
        <w:t xml:space="preserve">age 11 years and experience of a head injury/ unconsciousness up to age 11 years were included (Model 3). A computerised version of the </w:t>
      </w:r>
      <w:r w:rsidR="00EE7E2B">
        <w:rPr>
          <w:rFonts w:ascii="Times New Roman" w:hAnsi="Times New Roman" w:cs="Times New Roman"/>
          <w:sz w:val="24"/>
          <w:szCs w:val="24"/>
        </w:rPr>
        <w:t>C</w:t>
      </w:r>
      <w:r>
        <w:rPr>
          <w:rFonts w:ascii="Times New Roman" w:hAnsi="Times New Roman" w:cs="Times New Roman"/>
          <w:sz w:val="24"/>
          <w:szCs w:val="24"/>
        </w:rPr>
        <w:t xml:space="preserve">ounting </w:t>
      </w:r>
      <w:r w:rsidR="00EE7E2B">
        <w:rPr>
          <w:rFonts w:ascii="Times New Roman" w:hAnsi="Times New Roman" w:cs="Times New Roman"/>
          <w:sz w:val="24"/>
          <w:szCs w:val="24"/>
        </w:rPr>
        <w:t>S</w:t>
      </w:r>
      <w:r>
        <w:rPr>
          <w:rFonts w:ascii="Times New Roman" w:hAnsi="Times New Roman" w:cs="Times New Roman"/>
          <w:sz w:val="24"/>
          <w:szCs w:val="24"/>
        </w:rPr>
        <w:t xml:space="preserve">pan task </w:t>
      </w:r>
      <w:r w:rsidR="00A541CD">
        <w:rPr>
          <w:rFonts w:ascii="Times New Roman" w:hAnsi="Times New Roman" w:cs="Times New Roman"/>
          <w:sz w:val="24"/>
          <w:szCs w:val="24"/>
        </w:rPr>
        <w:fldChar w:fldCharType="begin" w:fldLock="1"/>
      </w:r>
      <w:r w:rsidR="00662A69">
        <w:rPr>
          <w:rFonts w:ascii="Times New Roman" w:hAnsi="Times New Roman" w:cs="Times New Roman"/>
          <w:sz w:val="24"/>
          <w:szCs w:val="24"/>
        </w:rPr>
        <w:instrText>ADDIN CSL_CITATION { "citationItems" : [ { "id" : "ITEM-1", "itemData" : { "DOI" : "10.1016/0022-0965(82)90054-6", "author" : [ { "dropping-particle" : "", "family" : "Case", "given" : "Robbie", "non-dropping-particle" : "", "parse-names" : false, "suffix" : "" }, { "dropping-particle" : "", "family" : "Kurland", "given" : "D.M.", "non-dropping-particle" : "", "parse-names" : false, "suffix" : "" }, { "dropping-particle" : "", "family" : "Goldberg", "given" : "J.", "non-dropping-particle" : "", "parse-names" : false, "suffix" : "" } ], "container-title" : "Journal of Experimental Child Psychology", "id" : "ITEM-1", "issued" : { "date-parts" : [ [ "1982" ] ] }, "page" : "386-404", "title" : "Operational efficiency and the growth of short-term memory span", "type" : "article-journal", "volume" : "33" }, "uris" : [ "http://www.mendeley.com/documents/?uuid=c802ac55-7d92-4bb8-aa27-09f6a6860415" ] } ], "mendeley" : { "formattedCitation" : "(Case et al. 1982)", "plainTextFormattedCitation" : "(Case et al. 1982)", "previouslyFormattedCitation" : "(Case et al. 1982)" }, "properties" : { "noteIndex" : 0 }, "schema" : "https://github.com/citation-style-language/schema/raw/master/csl-citation.json" }</w:instrText>
      </w:r>
      <w:r w:rsidR="00A541CD">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(Case et al. 1982)</w:t>
      </w:r>
      <w:r w:rsidR="00A541CD">
        <w:rPr>
          <w:rFonts w:ascii="Times New Roman" w:hAnsi="Times New Roman" w:cs="Times New Roman"/>
          <w:sz w:val="24"/>
          <w:szCs w:val="24"/>
        </w:rPr>
        <w:fldChar w:fldCharType="end"/>
      </w:r>
      <w:r>
        <w:rPr>
          <w:rFonts w:ascii="Times New Roman" w:hAnsi="Times New Roman" w:cs="Times New Roman"/>
          <w:sz w:val="24"/>
          <w:szCs w:val="24"/>
        </w:rPr>
        <w:t xml:space="preserve"> was included at approximately age 11 years (M=10 years, 8 months, SD=3 months) to assess WM performance during a focus clinic. A span score was based on the number of correctly recalled sets (maximum score of 5 in increments of 0.5). </w:t>
      </w:r>
      <w:r w:rsidR="00CE25AA">
        <w:rPr>
          <w:rFonts w:ascii="Times New Roman" w:hAnsi="Times New Roman" w:cs="Times New Roman"/>
          <w:sz w:val="24"/>
          <w:szCs w:val="24"/>
        </w:rPr>
        <w:t xml:space="preserve">Further detail is provided in the Supplementary Material. </w:t>
      </w:r>
      <w:r>
        <w:rPr>
          <w:rFonts w:ascii="Times New Roman" w:hAnsi="Times New Roman" w:cs="Times New Roman"/>
          <w:sz w:val="24"/>
          <w:szCs w:val="24"/>
        </w:rPr>
        <w:t xml:space="preserve">A measure of head injury/ unconsciousness </w:t>
      </w:r>
      <w:r w:rsidR="00056904">
        <w:rPr>
          <w:rFonts w:ascii="Times New Roman" w:hAnsi="Times New Roman" w:cs="Times New Roman"/>
          <w:sz w:val="24"/>
          <w:szCs w:val="24"/>
        </w:rPr>
        <w:t>was also included</w:t>
      </w:r>
      <w:r>
        <w:rPr>
          <w:rFonts w:ascii="Times New Roman" w:hAnsi="Times New Roman" w:cs="Times New Roman"/>
          <w:sz w:val="24"/>
          <w:szCs w:val="24"/>
        </w:rPr>
        <w:t xml:space="preserve">. Since adolescents who have experienced head injury perform poorly compared with age-matched peers </w:t>
      </w:r>
      <w:r>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"10.1080/02699050310001617415", "ISSN" : "0269-9052 (Print)", "PMID" : "14726286", "abstract" : "The performance of adolescents who suffered a traumatic brain injury in childhood, on language comprehension tasks with varying working memory demands, was examined. It was hypothesized that adolescents with a traumatic brain injury would perform more poorly than their non-injured peers, particularly on those tasks with high working memory demands. A case study design allowed for both group and intra-participant comparisons. A battery of language comprehension and working memory tasks was administered to six adolescents aged 12-16 years. Their performance was compared with six individually age-matched peers with typical development and to the normative data of the standardized tests. Intra-participant performance was examined by comparing results across language tasks that varied in working memory demands. Analysis revealed that individuals with traumatic brain injury performed poorly compared with their age-matched peers. However, the pattern of listening comprehension impairment differed across individuals and marked variability within the comprehension profiles for some individuals with traumatic brain injury was evident. Language comprehension tasks with high working memory demands generally posed the most difficulty for individuals with traumatic brain injury.", "author" : [ { "dropping-particle" : "", "family" : "Moran", "given" : "Catherine", "non-dropping-particle" : "", "parse-names" : false, "suffix" : "" }, { "dropping-particle" : "", "family" : "Gillon", "given" : "Gail", "non-dropping-particle" : "", "parse-names" : false, "suffix" : "" } ], "container-title" : "Brain Injury", "id" : "ITEM-1", "issue" : "3", "issued" : { "date-parts" : [ [ "2004", "3" ] ] }, "language" : "ENG", "page" : "273-288", "publisher-place" : "England", "title" : "Language and memory profiles of adolescents with traumatic brain injury.", "type" : "article-journal", "volume" : "18" }, "uris" : [ "http://www.mendeley.com/documents/?uuid=b9e3d1f5-5172-43ec-8e2f-2fa9e86d140c" ] }, { "id" : "ITEM-2", "itemData" : { "ISSN" : "0010-9452 (Print)", "PMID" : "17334210", "abstract" : "Functional magnetic resonance imaging (fMRI) has shown that brain activation during performance of working memory (WM) tasks under high memory loads is altered in adults with severe traumatic brain injury (TBI) relative to uninjured subjects (Perlstein et al., 2004; Scheibel et al., 2003). Our study attempted to equate TBI patients and orthopedically injured (OI) subjects on performance of an N-Back task that used faces as stimuli. To minimize confusion in TBI patients that was revealed in pilot work, we presented the memory conditions in two separate tasks, 0- versus 1-back and 0- versus 2-back. In the 0- versus 1-back task, OI subjects activated bilateral frontal areas more extensively than TBI patients, and TBI patients activated posterior regions more extensively than OI subjects. In the 0- versus 2-back task, there were no significant differences between the groups. Analysis of changes in activation over time on 1-back disclosed that OI subjects had decreases in bilateral anterior and posterior regions, while TBI patients showed activation increases in those and other areas over time. In the 2-back condition, both groups showed decreases over time in fusiform and parahippocampal gyri, although the OI group also showed increases over time in frontal, parietal, and temporal areas not seen in the TBI patients. The greatest group differences were found in the 1-back condition, which places low demand on WM. Although the extent of activation in the 2-back condition did not differ between the two groups, deactivation in the 2-back condition was seen in the OI patients only, and both groups' patterns of activation over time varied, suggesting a dissociation between the TBI and OI patients in recruitment of neural areas mediating WM.", "author" : [ { "dropping-particle" : "", "family" : "Newsome", "given" : "Mary R", "non-dropping-particle" : "", "parse-names" : false, "suffix" : "" }, { "dropping-particle" : "", "family" : "Scheibel", "given" : "Randall S", "non-dropping-particle" : "", "parse-names" : false, "suffix" : "" }, { "dropping-particle" : "", "family" : "Steinberg", "given" : "Joel L", "non-dropping-particle" : "", "parse-names" : false, "suffix" : "" }, { "dropping-particle" : "", "family" : "Troyanskaya", "given" : "Maya", "non-dropping-particle" : "", "parse-names" : false, "suffix" : "" }, { "dropping-particle" : "", "family" : "Sharma", "given" : "Rajkumar G", "non-dropping-particle" : "", "parse-names" : false, "suffix" : "" }, { "dropping-particle" : "", "family" : "Rauch", "given" : "Ronald A", "non-dropping-particle" : "", "parse-names" : false, "suffix" : "" }, { "dropping-particle" : "", "family" : "Li", "given" : "Xioaqi", "non-dropping-particle" : "", "parse-names" : false, "suffix" : "" }, { "dropping-particle" : "", "family" : "Levin", "given" : "Harvey S", "non-dropping-particle" : "", "parse-names" : false, "suffix" : "" } ], "container-title" : "Cortex", "id" : "ITEM-2", "issue" : "1", "issued" : { "date-parts" : [ [ "2007", "1" ] ] }, "language" : "ENG", "page" : "95-111", "publisher-place" : "Italy", "title" : "Working memory brain activation following severe traumatic brain injury.", "type" : "article-journal", "volume" : "43" }, "uris" : [ "http://www.mendeley.com/documents/?uuid=48e13541-7a3c-43e3-b526-d72135a9b49f" ] } ], "mendeley" : { "formattedCitation" : "(Moran &amp; Gillon 2004; Newsome et al. 2007)", "manualFormatting" : "(Newsome et al. 2007)", "plainTextFormattedCitation" : "(Moran &amp; Gillon 2004; Newsome et al. 2007)", "previouslyFormattedCitation" : "(Moran &amp; Gillon 2004; Newsome et al. 2007)" }, "properties" : { "noteIndex" : 0 }, "schema" : "https://github.com/citation-style-language/schema/raw/master/csl-citation.json" }</w:instrText>
      </w:r>
      <w:r>
        <w:rPr>
          <w:rFonts w:ascii="Times New Roman" w:hAnsi="Times New Roman" w:cs="Times New Roman"/>
          <w:sz w:val="24"/>
          <w:szCs w:val="24"/>
        </w:rPr>
        <w:fldChar w:fldCharType="separate"/>
      </w:r>
      <w:r w:rsidR="00101F0C">
        <w:rPr>
          <w:rFonts w:ascii="Times New Roman" w:hAnsi="Times New Roman" w:cs="Times New Roman"/>
          <w:noProof/>
          <w:sz w:val="24"/>
          <w:szCs w:val="24"/>
        </w:rPr>
        <w:t>(</w:t>
      </w:r>
      <w:r w:rsidR="00686293" w:rsidRPr="00686293">
        <w:rPr>
          <w:rFonts w:ascii="Times New Roman" w:hAnsi="Times New Roman" w:cs="Times New Roman"/>
          <w:noProof/>
          <w:sz w:val="24"/>
          <w:szCs w:val="24"/>
        </w:rPr>
        <w:t>Newsome et al. 2007)</w:t>
      </w:r>
      <w:r>
        <w:rPr>
          <w:rFonts w:ascii="Times New Roman" w:hAnsi="Times New Roman" w:cs="Times New Roman"/>
          <w:sz w:val="24"/>
          <w:szCs w:val="24"/>
        </w:rPr>
        <w:fldChar w:fldCharType="end"/>
      </w:r>
      <w:r>
        <w:rPr>
          <w:rFonts w:ascii="Times New Roman" w:hAnsi="Times New Roman" w:cs="Times New Roman"/>
          <w:sz w:val="24"/>
          <w:szCs w:val="24"/>
        </w:rPr>
        <w:t xml:space="preserve">, we included participants who experienced head injury/ unconsciousness before the age of 11 years </w:t>
      </w:r>
      <w:r w:rsidRPr="005876A4">
        <w:rPr>
          <w:rFonts w:ascii="Times New Roman" w:hAnsi="Times New Roman" w:cs="Times New Roman"/>
          <w:i/>
          <w:sz w:val="24"/>
          <w:szCs w:val="24"/>
        </w:rPr>
        <w:t>n</w:t>
      </w:r>
      <w:r>
        <w:rPr>
          <w:rFonts w:ascii="Times New Roman" w:hAnsi="Times New Roman" w:cs="Times New Roman"/>
          <w:sz w:val="24"/>
          <w:szCs w:val="24"/>
        </w:rPr>
        <w:t>=113 (3.4%).</w:t>
      </w:r>
      <w:r w:rsidRPr="00841FC3">
        <w:rPr>
          <w:rFonts w:ascii="Times New Roman" w:hAnsi="Times New Roman" w:cs="Times New Roman"/>
          <w:sz w:val="24"/>
          <w:szCs w:val="24"/>
        </w:rPr>
        <w:t xml:space="preserve"> </w:t>
      </w:r>
      <w:r>
        <w:rPr>
          <w:rFonts w:ascii="Times New Roman" w:hAnsi="Times New Roman" w:cs="Times New Roman"/>
          <w:sz w:val="24"/>
          <w:szCs w:val="24"/>
        </w:rPr>
        <w:t xml:space="preserve">The inclusion of both measures, </w:t>
      </w:r>
      <w:bookmarkStart w:id="1" w:name="_Hlk494967611"/>
      <w:r>
        <w:rPr>
          <w:rFonts w:ascii="Times New Roman" w:hAnsi="Times New Roman" w:cs="Times New Roman"/>
          <w:sz w:val="24"/>
          <w:szCs w:val="24"/>
        </w:rPr>
        <w:t xml:space="preserve">prior to the onset of alcohol initiation, helps to remove the possibility that </w:t>
      </w:r>
      <w:r w:rsidR="0014436C">
        <w:rPr>
          <w:rFonts w:ascii="Times New Roman" w:hAnsi="Times New Roman" w:cs="Times New Roman"/>
          <w:sz w:val="24"/>
          <w:szCs w:val="24"/>
        </w:rPr>
        <w:t xml:space="preserve">deficits in </w:t>
      </w:r>
      <w:r>
        <w:rPr>
          <w:rFonts w:ascii="Times New Roman" w:hAnsi="Times New Roman" w:cs="Times New Roman"/>
          <w:sz w:val="24"/>
          <w:szCs w:val="24"/>
        </w:rPr>
        <w:t xml:space="preserve">WM </w:t>
      </w:r>
      <w:r w:rsidR="0014436C">
        <w:rPr>
          <w:rFonts w:ascii="Times New Roman" w:hAnsi="Times New Roman" w:cs="Times New Roman"/>
          <w:sz w:val="24"/>
          <w:szCs w:val="24"/>
        </w:rPr>
        <w:t xml:space="preserve">performance </w:t>
      </w:r>
      <w:r>
        <w:rPr>
          <w:rFonts w:ascii="Times New Roman" w:hAnsi="Times New Roman" w:cs="Times New Roman"/>
          <w:sz w:val="24"/>
          <w:szCs w:val="24"/>
        </w:rPr>
        <w:t>precedes alcohol use, thereby allowing for the temporal order between alcohol use and later WM to be established.</w:t>
      </w:r>
      <w:bookmarkEnd w:id="1"/>
    </w:p>
    <w:p w14:paraId="21ED5502" w14:textId="36E07BE0" w:rsidR="00C335A8" w:rsidRDefault="009B1445" w:rsidP="00B101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BA2A0A">
        <w:rPr>
          <w:rFonts w:ascii="Times New Roman" w:hAnsi="Times New Roman" w:cs="Times New Roman"/>
          <w:sz w:val="24"/>
          <w:szCs w:val="24"/>
        </w:rPr>
        <w:t xml:space="preserve">inally, </w:t>
      </w:r>
      <w:r w:rsidR="00991996">
        <w:rPr>
          <w:rFonts w:ascii="Times New Roman" w:hAnsi="Times New Roman" w:cs="Times New Roman"/>
          <w:sz w:val="24"/>
          <w:szCs w:val="24"/>
        </w:rPr>
        <w:t xml:space="preserve">weekly </w:t>
      </w:r>
      <w:r w:rsidR="00BA2A0A">
        <w:rPr>
          <w:rFonts w:ascii="Times New Roman" w:hAnsi="Times New Roman" w:cs="Times New Roman"/>
          <w:sz w:val="24"/>
          <w:szCs w:val="24"/>
        </w:rPr>
        <w:t>cig</w:t>
      </w:r>
      <w:r w:rsidR="00C53FDE">
        <w:rPr>
          <w:rFonts w:ascii="Times New Roman" w:hAnsi="Times New Roman" w:cs="Times New Roman"/>
          <w:sz w:val="24"/>
          <w:szCs w:val="24"/>
        </w:rPr>
        <w:t>arette smoking and cannabis use</w:t>
      </w:r>
      <w:r w:rsidR="002603F8">
        <w:rPr>
          <w:rFonts w:ascii="Times New Roman" w:hAnsi="Times New Roman" w:cs="Times New Roman"/>
          <w:sz w:val="24"/>
          <w:szCs w:val="24"/>
        </w:rPr>
        <w:t xml:space="preserve"> at age 15 years</w:t>
      </w:r>
      <w:r w:rsidR="00C53FDE">
        <w:rPr>
          <w:rFonts w:ascii="Times New Roman" w:hAnsi="Times New Roman" w:cs="Times New Roman"/>
          <w:sz w:val="24"/>
          <w:szCs w:val="24"/>
        </w:rPr>
        <w:t xml:space="preserve"> (as</w:t>
      </w:r>
      <w:r w:rsidR="002603F8">
        <w:rPr>
          <w:rFonts w:ascii="Times New Roman" w:hAnsi="Times New Roman" w:cs="Times New Roman"/>
          <w:sz w:val="24"/>
          <w:szCs w:val="24"/>
        </w:rPr>
        <w:t>sessed</w:t>
      </w:r>
      <w:r w:rsidR="00C53FDE">
        <w:rPr>
          <w:rFonts w:ascii="Times New Roman" w:hAnsi="Times New Roman" w:cs="Times New Roman"/>
          <w:sz w:val="24"/>
          <w:szCs w:val="24"/>
        </w:rPr>
        <w:t xml:space="preserve"> </w:t>
      </w:r>
      <w:r w:rsidR="0027418B">
        <w:rPr>
          <w:rFonts w:ascii="Times New Roman" w:hAnsi="Times New Roman" w:cs="Times New Roman"/>
          <w:sz w:val="24"/>
          <w:szCs w:val="24"/>
        </w:rPr>
        <w:t>during</w:t>
      </w:r>
      <w:r w:rsidR="00C53FDE">
        <w:rPr>
          <w:rFonts w:ascii="Times New Roman" w:hAnsi="Times New Roman" w:cs="Times New Roman"/>
          <w:sz w:val="24"/>
          <w:szCs w:val="24"/>
        </w:rPr>
        <w:t xml:space="preserve"> </w:t>
      </w:r>
      <w:r w:rsidR="002603F8">
        <w:rPr>
          <w:rFonts w:ascii="Times New Roman" w:hAnsi="Times New Roman" w:cs="Times New Roman"/>
          <w:sz w:val="24"/>
          <w:szCs w:val="24"/>
        </w:rPr>
        <w:t>the same clinic assessment as the alcohol measures</w:t>
      </w:r>
      <w:r w:rsidR="00C53FDE">
        <w:rPr>
          <w:rFonts w:ascii="Times New Roman" w:hAnsi="Times New Roman" w:cs="Times New Roman"/>
          <w:sz w:val="24"/>
          <w:szCs w:val="24"/>
        </w:rPr>
        <w:t xml:space="preserve">) were included (Model 4). </w:t>
      </w:r>
      <w:r w:rsidR="0082193B">
        <w:rPr>
          <w:rFonts w:ascii="Times New Roman" w:hAnsi="Times New Roman" w:cs="Times New Roman"/>
          <w:sz w:val="24"/>
          <w:szCs w:val="24"/>
        </w:rPr>
        <w:t>Weekly cigarette smoking</w:t>
      </w:r>
      <w:r w:rsidR="0027418B">
        <w:rPr>
          <w:rFonts w:ascii="Times New Roman" w:hAnsi="Times New Roman" w:cs="Times New Roman"/>
          <w:sz w:val="24"/>
          <w:szCs w:val="24"/>
        </w:rPr>
        <w:t xml:space="preserve">, </w:t>
      </w:r>
      <w:r w:rsidR="0082193B">
        <w:rPr>
          <w:rFonts w:ascii="Times New Roman" w:hAnsi="Times New Roman" w:cs="Times New Roman"/>
          <w:sz w:val="24"/>
          <w:szCs w:val="24"/>
        </w:rPr>
        <w:t xml:space="preserve">assessed </w:t>
      </w:r>
      <w:r w:rsidR="008C668D">
        <w:rPr>
          <w:rFonts w:ascii="Times New Roman" w:hAnsi="Times New Roman" w:cs="Times New Roman"/>
          <w:sz w:val="24"/>
          <w:szCs w:val="24"/>
        </w:rPr>
        <w:t>using the question ‘do you smoke every week</w:t>
      </w:r>
      <w:r w:rsidR="004D0B8E">
        <w:rPr>
          <w:rFonts w:ascii="Times New Roman" w:hAnsi="Times New Roman" w:cs="Times New Roman"/>
          <w:sz w:val="24"/>
          <w:szCs w:val="24"/>
        </w:rPr>
        <w:t>’</w:t>
      </w:r>
      <w:r w:rsidR="008C668D">
        <w:rPr>
          <w:rFonts w:ascii="Times New Roman" w:hAnsi="Times New Roman" w:cs="Times New Roman"/>
          <w:sz w:val="24"/>
          <w:szCs w:val="24"/>
        </w:rPr>
        <w:t xml:space="preserve"> (</w:t>
      </w:r>
      <w:r w:rsidR="00F458EA" w:rsidRPr="00F458EA">
        <w:rPr>
          <w:rFonts w:ascii="Times New Roman" w:hAnsi="Times New Roman" w:cs="Times New Roman"/>
          <w:i/>
          <w:sz w:val="24"/>
          <w:szCs w:val="24"/>
        </w:rPr>
        <w:t>n</w:t>
      </w:r>
      <w:r w:rsidR="00F458EA">
        <w:rPr>
          <w:rFonts w:ascii="Times New Roman" w:hAnsi="Times New Roman" w:cs="Times New Roman"/>
          <w:sz w:val="24"/>
          <w:szCs w:val="24"/>
        </w:rPr>
        <w:t>=181</w:t>
      </w:r>
      <w:r w:rsidR="006A5E2B">
        <w:rPr>
          <w:rFonts w:ascii="Times New Roman" w:hAnsi="Times New Roman" w:cs="Times New Roman"/>
          <w:sz w:val="24"/>
          <w:szCs w:val="24"/>
        </w:rPr>
        <w:t>/</w:t>
      </w:r>
      <w:r w:rsidR="004D0B8E">
        <w:rPr>
          <w:rFonts w:ascii="Times New Roman" w:hAnsi="Times New Roman" w:cs="Times New Roman"/>
          <w:sz w:val="24"/>
          <w:szCs w:val="24"/>
        </w:rPr>
        <w:t>2,659</w:t>
      </w:r>
      <w:r w:rsidR="00F458EA">
        <w:rPr>
          <w:rFonts w:ascii="Times New Roman" w:hAnsi="Times New Roman" w:cs="Times New Roman"/>
          <w:sz w:val="24"/>
          <w:szCs w:val="24"/>
        </w:rPr>
        <w:t>)</w:t>
      </w:r>
      <w:r w:rsidR="007543BD">
        <w:rPr>
          <w:rFonts w:ascii="Times New Roman" w:hAnsi="Times New Roman" w:cs="Times New Roman"/>
          <w:sz w:val="24"/>
          <w:szCs w:val="24"/>
        </w:rPr>
        <w:t>,</w:t>
      </w:r>
      <w:r w:rsidR="004E180D">
        <w:rPr>
          <w:rFonts w:ascii="Times New Roman" w:hAnsi="Times New Roman" w:cs="Times New Roman"/>
          <w:sz w:val="24"/>
          <w:szCs w:val="24"/>
        </w:rPr>
        <w:t xml:space="preserve"> </w:t>
      </w:r>
      <w:r w:rsidR="007543BD">
        <w:rPr>
          <w:rFonts w:ascii="Times New Roman" w:hAnsi="Times New Roman" w:cs="Times New Roman"/>
          <w:sz w:val="24"/>
          <w:szCs w:val="24"/>
        </w:rPr>
        <w:t xml:space="preserve">was </w:t>
      </w:r>
      <w:r w:rsidR="00FB7AE3">
        <w:rPr>
          <w:rFonts w:ascii="Times New Roman" w:hAnsi="Times New Roman" w:cs="Times New Roman"/>
          <w:sz w:val="24"/>
          <w:szCs w:val="24"/>
        </w:rPr>
        <w:t>included</w:t>
      </w:r>
      <w:r w:rsidR="00E244A5">
        <w:rPr>
          <w:rFonts w:ascii="Times New Roman" w:hAnsi="Times New Roman" w:cs="Times New Roman"/>
          <w:sz w:val="24"/>
          <w:szCs w:val="24"/>
        </w:rPr>
        <w:t xml:space="preserve"> because of evidence</w:t>
      </w:r>
      <w:r w:rsidR="007545B4">
        <w:rPr>
          <w:rFonts w:ascii="Times New Roman" w:hAnsi="Times New Roman" w:cs="Times New Roman"/>
          <w:sz w:val="24"/>
          <w:szCs w:val="24"/>
        </w:rPr>
        <w:t xml:space="preserve"> suggesting</w:t>
      </w:r>
      <w:r w:rsidR="00E244A5">
        <w:rPr>
          <w:rFonts w:ascii="Times New Roman" w:hAnsi="Times New Roman" w:cs="Times New Roman"/>
          <w:sz w:val="24"/>
          <w:szCs w:val="24"/>
        </w:rPr>
        <w:t xml:space="preserve"> that smoking is </w:t>
      </w:r>
      <w:r w:rsidR="004E180D">
        <w:rPr>
          <w:rFonts w:ascii="Times New Roman" w:hAnsi="Times New Roman" w:cs="Times New Roman"/>
          <w:sz w:val="24"/>
          <w:szCs w:val="24"/>
        </w:rPr>
        <w:t>associated with cognitive function</w:t>
      </w:r>
      <w:r w:rsidR="00F1700E">
        <w:rPr>
          <w:rFonts w:ascii="Times New Roman" w:hAnsi="Times New Roman" w:cs="Times New Roman"/>
          <w:sz w:val="24"/>
          <w:szCs w:val="24"/>
        </w:rPr>
        <w:t xml:space="preserve"> </w:t>
      </w:r>
      <w:r w:rsidR="00954EE1">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"10.1038/mp.2008.132", "ISSN" : "1476-5578 (Electronic)", "PMID" : "19065145", "abstract" : "The val allele of the catechol-O-methyltransferase (COMT) val(158)met polymorphism has been linked with nicotine dependence and with cognitive performance in healthy volunteers. We tested the hypothesis that the val allele is a risk factor for altered brain function and cognition during nicotine abstinence as compared with the normal smoking state. Chronic smokers (n=33) were genotyped prospectively for the COMT polymorphism for balanced selection of met/met, val/met and val/val groups. A visual N-back working memory task was performed during two separate blood oxygen level-dependent (BOLD) functional magnetic resonance imaging sessions in counterbalanced order: (1) smoking as usual, and (2)&gt;or=14 h confirmed abstinence. Significant genotype by session interactions were observed for BOLD signal in right dorsolateral prefrontal cortex (DLPFC; (P=0.0005), left DLPFC (P=0.02) and dorsal cingulate/medial prefrontal cortex (P=0.01) as well as for task reaction time (P=0.03). Smokers with val/val genotypes were more sensitive to the abstinence challenge than carriers of the met allele, with the greatest effects on BOLD signal and performance speed at the highest working memory load. These data suggest a novel brain-behavior mechanism that may underlie the increased susceptibility to nicotine dependence and smoking relapse associated with the COMT val allele. Exploration of the effects of COMT inhibitors as a possible smoking cessation aid in this group may be warranted.", "author" : [ { "dropping-particle" : "", "family" : "Loughead", "given" : "J", "non-dropping-particle" : "", "parse-names" : false, "suffix" : "" }, { "dropping-particle" : "", "family" : "Wileyto", "given" : "E P", "non-dropping-particle" : "", "parse-names" : false, "suffix" : "" }, { "dropping-particle" : "", "family" : "Valdez", "given" : "J N", "non-dropping-particle" : "", "parse-names" : false, "suffix" : "" }, { "dropping-particle" : "", "family" : "Sanborn", "given" : "P", "non-dropping-particle" : "", "parse-names" : false, "suffix" : "" }, { "dropping-particle" : "", "family" : "Tang", "given" : "K", "non-dropping-particle" : "", "parse-names" : false, "suffix" : "" }, { "dropping-particle" : "", "family" : "Strasser", "given" : "A A", "non-dropping-particle" : "", "parse-names" : false, "suffix" : "" }, { "dropping-particle" : "", "family" : "Ruparel", "given" : "K", "non-dropping-particle" : "", "parse-names" : false, "suffix" : "" }, { "dropping-particle" : "", "family" : "Ray", "given" : "R", "non-dropping-particle" : "", "parse-names" : false, "suffix" : "" }, { "dropping-particle" : "", "family" : "Gur", "given" : "R C", "non-dropping-particle" : "", "parse-names" : false, "suffix" : "" }, { "dropping-particle" : "", "family" : "Lerman", "given" : "C", "non-dropping-particle" : "", "parse-names" : false, "suffix" : "" } ], "container-title" : "Molecular Psychiatry", "id" : "ITEM-1", "issue" : "8", "issued" : { "date-parts" : [ [ "2009", "8" ] ] }, "language" : "ENG", "page" : "820-826", "publisher-place" : "England", "title" : "Effect of abstinence challenge on brain function and cognition in smokers differs by COMT genotype.", "type" : "article-journal", "volume" : "14" }, "uris" : [ "http://www.mendeley.com/documents/?uuid=68653b29-064f-45f4-b933-a04aa56111fd" ] }, { "id" : "ITEM-2", "itemData" : { "DOI" : "10.1016/j.biopsych.2010.06.018", "ISSN" : "1873-2402 (Electronic)", "PMID" : "20678753", "abstract" : "BACKGROUND: Although schizophrenia patients are at high risk for tobacco use, the neurobiological basis of this comorbid association is not clear. White matter abnormalities have been described independently in schizophrenia and smoking cohorts. We sought to determine whether smoking and schizophrenia are associated with similar white matter abnormalities that could be biomarkers for the high risk of smoking in schizophrenia. METHODS: Whole brain white matter integrity (fractional anisotropy) was measured in 46 schizophrenia patients (32 smokers and 14 nonsmokers) and 69 healthy age-matched control subjects (48 smokers and 21 nonsmokers). RESULTS: Schizophrenia and smoking status were independently and additively associated with reduced fractional anisotropy in left anterior thalamic radiation/anterior limb of the internal capsule, and significant fractional anisotropy decreases were identified in the bilateral uncinate fasciculus/inferior fronto-occipital fasciculus in schizophrenia and the left prefrontal area in smoking status separately. CONCLUSIONS: Common and distinct patterns of impaired white matter are associated with schizophrenia and smoking. Particularly, the anatomic congruence of an additive white matter abnormality in the anterior thalamic radiation/anterior limb of the internal capsule suggests that this abnormal fiber connectivity between frontal cortex and striatum/thalamus may be a biomarker for the increased comorbid smoking in schizophrenia patients.", "author" : [ { "dropping-particle" : "", "family" : "Zhang", "given" : "Xiaochu", "non-dropping-particle" : "", "parse-names" : false, "suffix" : "" }, { "dropping-particle" : "", "family" : "Stein", "given" : "Elliot A", "non-dropping-particle" : "", "parse-names" : false, "suffix" : "" }, { "dropping-particle" : "", "family" : "Hong", "given" : "L Elliot", "non-dropping-particle" : "", "parse-names" : false, "suffix" : "" } ], "container-title" : "Biological Psychiatry", "id" : "ITEM-2", "issue" : "7", "issued" : { "date-parts" : [ [ "2010", "10" ] ] }, "language" : "ENG", "page" : "674-677", "publisher-place" : "United States", "title" : "Smoking and schizophrenia independently and additively reduce white matter integrity between striatum and frontal cortex.", "type" : "article-journal", "volume" : "68" }, "uris" : [ "http://www.mendeley.com/documents/?uuid=3958f83d-9702-4c46-a657-ce817058b5b5" ] } ], "mendeley" : { "formattedCitation" : "(Loughead et al. 2009; Zhang et al. 2010)", "manualFormatting" : "(Loughead et al. 2009)", "plainTextFormattedCitation" : "(Loughead et al. 2009; Zhang et al. 2010)", "previouslyFormattedCitation" : "(Loughead et al. 2009; Zhang et al. 2010)" }, "properties" : { "noteIndex" : 0 }, "schema" : "https://github.com/citation-style-language/schema/raw/master/csl-citation.json" }</w:instrText>
      </w:r>
      <w:r w:rsidR="00954EE1">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(Loughea</w:t>
      </w:r>
      <w:r w:rsidR="00A24458">
        <w:rPr>
          <w:rFonts w:ascii="Times New Roman" w:hAnsi="Times New Roman" w:cs="Times New Roman"/>
          <w:noProof/>
          <w:sz w:val="24"/>
          <w:szCs w:val="24"/>
        </w:rPr>
        <w:t>d et al. 2009</w:t>
      </w:r>
      <w:r w:rsidR="00686293" w:rsidRPr="00686293">
        <w:rPr>
          <w:rFonts w:ascii="Times New Roman" w:hAnsi="Times New Roman" w:cs="Times New Roman"/>
          <w:noProof/>
          <w:sz w:val="24"/>
          <w:szCs w:val="24"/>
        </w:rPr>
        <w:t>)</w:t>
      </w:r>
      <w:r w:rsidR="00954EE1">
        <w:rPr>
          <w:rFonts w:ascii="Times New Roman" w:hAnsi="Times New Roman" w:cs="Times New Roman"/>
          <w:sz w:val="24"/>
          <w:szCs w:val="24"/>
        </w:rPr>
        <w:fldChar w:fldCharType="end"/>
      </w:r>
      <w:r w:rsidR="004E180D">
        <w:rPr>
          <w:rFonts w:ascii="Times New Roman" w:hAnsi="Times New Roman" w:cs="Times New Roman"/>
          <w:sz w:val="24"/>
          <w:szCs w:val="24"/>
        </w:rPr>
        <w:t>.</w:t>
      </w:r>
      <w:r w:rsidR="007B350A">
        <w:rPr>
          <w:rFonts w:ascii="Times New Roman" w:hAnsi="Times New Roman" w:cs="Times New Roman"/>
          <w:sz w:val="24"/>
          <w:szCs w:val="24"/>
        </w:rPr>
        <w:t xml:space="preserve"> </w:t>
      </w:r>
      <w:r w:rsidR="005103BB">
        <w:rPr>
          <w:rFonts w:ascii="Times New Roman" w:hAnsi="Times New Roman" w:cs="Times New Roman"/>
          <w:sz w:val="24"/>
          <w:szCs w:val="24"/>
        </w:rPr>
        <w:t>Cannabis use</w:t>
      </w:r>
      <w:r w:rsidR="00F0789F">
        <w:rPr>
          <w:rFonts w:ascii="Times New Roman" w:hAnsi="Times New Roman" w:cs="Times New Roman"/>
          <w:sz w:val="24"/>
          <w:szCs w:val="24"/>
        </w:rPr>
        <w:t xml:space="preserve"> in the past 12 months</w:t>
      </w:r>
      <w:r w:rsidR="0027418B">
        <w:rPr>
          <w:rFonts w:ascii="Times New Roman" w:hAnsi="Times New Roman" w:cs="Times New Roman"/>
          <w:sz w:val="24"/>
          <w:szCs w:val="24"/>
        </w:rPr>
        <w:t xml:space="preserve">, </w:t>
      </w:r>
      <w:r w:rsidR="00F0789F">
        <w:rPr>
          <w:rFonts w:ascii="Times New Roman" w:hAnsi="Times New Roman" w:cs="Times New Roman"/>
          <w:sz w:val="24"/>
          <w:szCs w:val="24"/>
        </w:rPr>
        <w:t>assessed using the question ‘has used or taken cannabis in the past 12 months’ (</w:t>
      </w:r>
      <w:r w:rsidR="004D0B8E" w:rsidRPr="004D0B8E">
        <w:rPr>
          <w:rFonts w:ascii="Times New Roman" w:hAnsi="Times New Roman" w:cs="Times New Roman"/>
          <w:i/>
          <w:sz w:val="24"/>
          <w:szCs w:val="24"/>
        </w:rPr>
        <w:t>n</w:t>
      </w:r>
      <w:r w:rsidR="004D0B8E">
        <w:rPr>
          <w:rFonts w:ascii="Times New Roman" w:hAnsi="Times New Roman" w:cs="Times New Roman"/>
          <w:sz w:val="24"/>
          <w:szCs w:val="24"/>
        </w:rPr>
        <w:t>=442/2,649</w:t>
      </w:r>
      <w:r w:rsidR="00F0789F">
        <w:rPr>
          <w:rFonts w:ascii="Times New Roman" w:hAnsi="Times New Roman" w:cs="Times New Roman"/>
          <w:sz w:val="24"/>
          <w:szCs w:val="24"/>
        </w:rPr>
        <w:t>)</w:t>
      </w:r>
      <w:r w:rsidR="0027418B">
        <w:rPr>
          <w:rFonts w:ascii="Times New Roman" w:hAnsi="Times New Roman" w:cs="Times New Roman"/>
          <w:sz w:val="24"/>
          <w:szCs w:val="24"/>
        </w:rPr>
        <w:t xml:space="preserve">, </w:t>
      </w:r>
      <w:r w:rsidR="00286E1D">
        <w:rPr>
          <w:rFonts w:ascii="Times New Roman" w:hAnsi="Times New Roman" w:cs="Times New Roman"/>
          <w:sz w:val="24"/>
          <w:szCs w:val="24"/>
        </w:rPr>
        <w:t xml:space="preserve">was included as evidence suggests that engagement in cannabis use often display deficits in neurocognitive function </w:t>
      </w:r>
      <w:r w:rsidR="00E71296">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"ISBN" : "0959-8138 (Print)\\n0959-535X (Linking)", "ISSN" : "0959-8138", "PMID" : "10221941", "abstract" : "OBJECTIVES: To examine the relation between pertussis vaccination and the prevalence of wheezing illnesses in young children. DESIGN: Prospective cohort study. SETTING: Three former health districts comprising Avon Health Authority. SUBJECTS: 9444 of 14 138 children enrolled in the Avon longitudinal study of pregnancy and childhood and for whom data on wheezing symptoms, vaccination status, and 15 environmental and biological variables were available. MAIN OUTCOME MEASURES: Episodes of wheezing from birth to 6 months, 7-18 months, 19-30 months, and 31-42 months. These time periods were used to derive five categories of wheezing illness: early wheezing (not after 18 months); late onset wheezing (after 18 months); persistent wheezing (at every time period); recurrent wheezing (any combination of two or more episodes for each period); and intermittent wheezing (any combination of single episodes of reported wheezing). These categories were stratified according to parental self reported asthma or allergy. RESULTS: Unadjusted comparisons of the defined wheezing illnesses in vaccinated and non-vaccinated children showed no significant association between pertussis vaccination and any of the wheezing outcomes regardless of stratification for parental asthma or allergy. Wheeze was more common in non-vaccinated children at 18 months, and there was a tendency for late onset wheezing to be associated with non-vaccination in children whose parents did not have asthma, but this was not significant. After adjustment for environmental and biological variables, logistic regression analyses showed no significant increased relative risk for any of the wheezing outcomes in vaccinated children: early wheezing (0.99, 95% confidence interval 0.80 to 1.23), late onset wheezing (0.85, 0.69 to 1.05), persistent wheezing (0.91, 0.47 to 1.79), recurrent wheezing (0.96, 0.72 to 1.26), and intermittent wheezing (1.06, 0.81 to 1.37). CONCLUSIONS: No evidence was found that pertussis vaccination increases the risk of wheezing illnesses in young children. Further follow up of this population with objective measurement of allergy and bronchial responsiveness is planned to confirm these observations.", "author" : [ { "dropping-particle" : "", "family" : "Henderson", "given" : "J", "non-dropping-particle" : "", "parse-names" : false, "suffix" : "" }, { "dropping-particle" : "", "family" : "North", "given" : "K", "non-dropping-particle" : "", "parse-names" : false, "suffix" : "" }, { "dropping-particle" : "", "family" : "Griffiths", "given" : "M", "non-dropping-particle" : "", "parse-names" : false, "suffix" : "" }, { "dropping-particle" : "", "family" : "Harvey", "given" : "I", "non-dropping-particle" : "", "parse-names" : false, "suffix" : "" }, { "dropping-particle" : "", "family" : "Golding", "given" : "J", "non-dropping-particle" : "", "parse-names" : false, "suffix" : "" } ], "container-title" : "British Medical Journal", "id" : "ITEM-1", "issue" : "7192", "issued" : { "date-parts" : [ [ "1999" ] ] }, "page" : "1173-1176", "title" : "Pertussis vaccination and wheezing illnesses in young children: prospective cohort study. The Longitudinal Study of Pregnancy and Childhood Team.", "type" : "article-journal", "volume" : "318" }, "uris" : [ "http://www.mendeley.com/documents/?uuid=e2a70dbb-5851-43bf-8fff-6182d0939876" ] } ], "mendeley" : { "formattedCitation" : "(Henderson et al. 1999)", "plainTextFormattedCitation" : "(Henderson et al. 1999)", "previouslyFormattedCitation" : "(Henderson et al. 1999)" }, "properties" : { "noteIndex" : 0 }, "schema" : "https://github.com/citation-style-language/schema/raw/master/csl-citation.json" }</w:instrText>
      </w:r>
      <w:r w:rsidR="00E71296">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(Henderson et al. 1999)</w:t>
      </w:r>
      <w:r w:rsidR="00E71296">
        <w:rPr>
          <w:rFonts w:ascii="Times New Roman" w:hAnsi="Times New Roman" w:cs="Times New Roman"/>
          <w:sz w:val="24"/>
          <w:szCs w:val="24"/>
        </w:rPr>
        <w:fldChar w:fldCharType="end"/>
      </w:r>
      <w:r w:rsidR="007A55AE">
        <w:rPr>
          <w:rFonts w:ascii="Times New Roman" w:hAnsi="Times New Roman" w:cs="Times New Roman"/>
          <w:sz w:val="24"/>
          <w:szCs w:val="24"/>
        </w:rPr>
        <w:t xml:space="preserve">. </w:t>
      </w:r>
    </w:p>
    <w:p w14:paraId="28E30193" w14:textId="4FA51F3A" w:rsidR="00BC7DEC" w:rsidRDefault="007A18A3" w:rsidP="008B0AFE">
      <w:pPr>
        <w:spacing w:before="240" w:after="0" w:line="480" w:lineRule="auto"/>
        <w:rPr>
          <w:rFonts w:ascii="Times New Roman" w:hAnsi="Times New Roman" w:cs="Times New Roman"/>
          <w:i/>
          <w:sz w:val="24"/>
          <w:szCs w:val="24"/>
        </w:rPr>
      </w:pPr>
      <w:r w:rsidRPr="00CA3817">
        <w:rPr>
          <w:rFonts w:ascii="Times New Roman" w:hAnsi="Times New Roman" w:cs="Times New Roman"/>
          <w:i/>
          <w:sz w:val="24"/>
          <w:szCs w:val="24"/>
        </w:rPr>
        <w:t xml:space="preserve">Statistical methods </w:t>
      </w:r>
    </w:p>
    <w:p w14:paraId="27C021B2" w14:textId="39539A2D" w:rsidR="00B83521" w:rsidRDefault="003900D7" w:rsidP="00CB64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9775EB">
        <w:rPr>
          <w:rFonts w:ascii="Times New Roman" w:hAnsi="Times New Roman" w:cs="Times New Roman"/>
          <w:sz w:val="24"/>
          <w:szCs w:val="24"/>
        </w:rPr>
        <w:t>series</w:t>
      </w:r>
      <w:r>
        <w:rPr>
          <w:rFonts w:ascii="Times New Roman" w:hAnsi="Times New Roman" w:cs="Times New Roman"/>
          <w:sz w:val="24"/>
          <w:szCs w:val="24"/>
        </w:rPr>
        <w:t xml:space="preserve"> of </w:t>
      </w:r>
      <w:r w:rsidR="002C6E3F">
        <w:rPr>
          <w:rFonts w:ascii="Times New Roman" w:hAnsi="Times New Roman" w:cs="Times New Roman"/>
          <w:sz w:val="24"/>
          <w:szCs w:val="24"/>
        </w:rPr>
        <w:t>univariable</w:t>
      </w:r>
      <w:r w:rsidR="00972910">
        <w:rPr>
          <w:rFonts w:ascii="Times New Roman" w:hAnsi="Times New Roman" w:cs="Times New Roman"/>
          <w:sz w:val="24"/>
          <w:szCs w:val="24"/>
        </w:rPr>
        <w:t xml:space="preserve"> and multivariable</w:t>
      </w:r>
      <w:r w:rsidR="00612129" w:rsidRPr="00CA3817">
        <w:rPr>
          <w:rFonts w:ascii="Times New Roman" w:hAnsi="Times New Roman" w:cs="Times New Roman"/>
          <w:sz w:val="24"/>
          <w:szCs w:val="24"/>
        </w:rPr>
        <w:t xml:space="preserve"> </w:t>
      </w:r>
      <w:r w:rsidR="009775EB">
        <w:rPr>
          <w:rFonts w:ascii="Times New Roman" w:hAnsi="Times New Roman" w:cs="Times New Roman"/>
          <w:sz w:val="24"/>
          <w:szCs w:val="24"/>
        </w:rPr>
        <w:t xml:space="preserve">linear regression </w:t>
      </w:r>
      <w:r w:rsidR="00612129" w:rsidRPr="00CA3817">
        <w:rPr>
          <w:rFonts w:ascii="Times New Roman" w:hAnsi="Times New Roman" w:cs="Times New Roman"/>
          <w:sz w:val="24"/>
          <w:szCs w:val="24"/>
        </w:rPr>
        <w:t>models were conducted to examine the association between each of the alcohol exposures and the 2</w:t>
      </w:r>
      <w:r w:rsidR="008A66C2">
        <w:rPr>
          <w:rFonts w:ascii="Times New Roman" w:hAnsi="Times New Roman" w:cs="Times New Roman"/>
          <w:sz w:val="24"/>
          <w:szCs w:val="24"/>
        </w:rPr>
        <w:t>-</w:t>
      </w:r>
      <w:r w:rsidR="00612129" w:rsidRPr="00CA3817">
        <w:rPr>
          <w:rFonts w:ascii="Times New Roman" w:hAnsi="Times New Roman" w:cs="Times New Roman"/>
          <w:sz w:val="24"/>
          <w:szCs w:val="24"/>
        </w:rPr>
        <w:t xml:space="preserve"> and 3-back </w:t>
      </w:r>
      <w:r w:rsidR="005B05E0">
        <w:rPr>
          <w:rFonts w:ascii="Times New Roman" w:hAnsi="Times New Roman" w:cs="Times New Roman"/>
          <w:sz w:val="24"/>
          <w:szCs w:val="24"/>
        </w:rPr>
        <w:t>outcome measures</w:t>
      </w:r>
      <w:r w:rsidR="00612129" w:rsidRPr="00CA3817">
        <w:rPr>
          <w:rFonts w:ascii="Times New Roman" w:hAnsi="Times New Roman" w:cs="Times New Roman"/>
          <w:sz w:val="24"/>
          <w:szCs w:val="24"/>
        </w:rPr>
        <w:t xml:space="preserve">. </w:t>
      </w:r>
      <w:r w:rsidR="001300F9">
        <w:rPr>
          <w:rFonts w:ascii="Times New Roman" w:hAnsi="Times New Roman" w:cs="Times New Roman"/>
          <w:sz w:val="24"/>
          <w:szCs w:val="24"/>
        </w:rPr>
        <w:t xml:space="preserve">Models </w:t>
      </w:r>
      <w:r w:rsidR="001300F9" w:rsidRPr="00CA3817">
        <w:rPr>
          <w:rFonts w:ascii="Times New Roman" w:hAnsi="Times New Roman" w:cs="Times New Roman"/>
          <w:sz w:val="24"/>
          <w:szCs w:val="24"/>
        </w:rPr>
        <w:t>unadjusted</w:t>
      </w:r>
      <w:r w:rsidR="006F1DD9" w:rsidRPr="00CA3817">
        <w:rPr>
          <w:rFonts w:ascii="Times New Roman" w:hAnsi="Times New Roman" w:cs="Times New Roman"/>
          <w:sz w:val="24"/>
          <w:szCs w:val="24"/>
        </w:rPr>
        <w:t xml:space="preserve"> and adjusted for </w:t>
      </w:r>
      <w:r w:rsidR="00DF2848">
        <w:rPr>
          <w:rFonts w:ascii="Times New Roman" w:hAnsi="Times New Roman" w:cs="Times New Roman"/>
          <w:sz w:val="24"/>
          <w:szCs w:val="24"/>
        </w:rPr>
        <w:t xml:space="preserve">potential </w:t>
      </w:r>
      <w:r w:rsidR="006F1DD9" w:rsidRPr="00CA3817">
        <w:rPr>
          <w:rFonts w:ascii="Times New Roman" w:hAnsi="Times New Roman" w:cs="Times New Roman"/>
          <w:sz w:val="24"/>
          <w:szCs w:val="24"/>
        </w:rPr>
        <w:t xml:space="preserve">confounding variables were examined. </w:t>
      </w:r>
      <w:r w:rsidR="007F114B">
        <w:rPr>
          <w:rFonts w:ascii="Times New Roman" w:hAnsi="Times New Roman" w:cs="Times New Roman"/>
          <w:i/>
          <w:sz w:val="24"/>
          <w:szCs w:val="24"/>
        </w:rPr>
        <w:t>d´</w:t>
      </w:r>
      <w:r w:rsidR="00064E10" w:rsidRPr="005876A4">
        <w:rPr>
          <w:rFonts w:ascii="Times New Roman" w:hAnsi="Times New Roman" w:cs="Times New Roman"/>
          <w:sz w:val="24"/>
          <w:szCs w:val="24"/>
        </w:rPr>
        <w:t xml:space="preserve"> was chosen </w:t>
      </w:r>
      <w:r w:rsidR="00064E10" w:rsidRPr="005876A4">
        <w:rPr>
          <w:rFonts w:ascii="Times New Roman" w:hAnsi="Times New Roman" w:cs="Times New Roman"/>
          <w:i/>
          <w:sz w:val="24"/>
          <w:szCs w:val="24"/>
        </w:rPr>
        <w:t>a priori</w:t>
      </w:r>
      <w:r w:rsidR="00064E10" w:rsidRPr="005876A4">
        <w:rPr>
          <w:rFonts w:ascii="Times New Roman" w:hAnsi="Times New Roman" w:cs="Times New Roman"/>
          <w:sz w:val="24"/>
          <w:szCs w:val="24"/>
        </w:rPr>
        <w:t xml:space="preserve"> as the primary outcome</w:t>
      </w:r>
      <w:r w:rsidR="00064E10">
        <w:rPr>
          <w:rFonts w:ascii="Times New Roman" w:hAnsi="Times New Roman" w:cs="Times New Roman"/>
          <w:sz w:val="24"/>
          <w:szCs w:val="24"/>
        </w:rPr>
        <w:t xml:space="preserve"> as it </w:t>
      </w:r>
      <w:r w:rsidR="00064E10" w:rsidRPr="005876A4">
        <w:rPr>
          <w:rFonts w:ascii="Times New Roman" w:hAnsi="Times New Roman" w:cs="Times New Roman"/>
          <w:sz w:val="24"/>
          <w:szCs w:val="24"/>
        </w:rPr>
        <w:t>ca</w:t>
      </w:r>
      <w:r w:rsidR="00064E10">
        <w:rPr>
          <w:rFonts w:ascii="Times New Roman" w:hAnsi="Times New Roman" w:cs="Times New Roman"/>
          <w:sz w:val="24"/>
          <w:szCs w:val="24"/>
        </w:rPr>
        <w:t xml:space="preserve">ptures overall signal </w:t>
      </w:r>
      <w:r w:rsidR="00064E10">
        <w:rPr>
          <w:rFonts w:ascii="Times New Roman" w:hAnsi="Times New Roman" w:cs="Times New Roman"/>
          <w:sz w:val="24"/>
          <w:szCs w:val="24"/>
        </w:rPr>
        <w:lastRenderedPageBreak/>
        <w:t>detection</w:t>
      </w:r>
      <w:r w:rsidR="00064E10" w:rsidRPr="005876A4">
        <w:rPr>
          <w:rFonts w:ascii="Times New Roman" w:hAnsi="Times New Roman" w:cs="Times New Roman"/>
          <w:sz w:val="24"/>
          <w:szCs w:val="24"/>
        </w:rPr>
        <w:t xml:space="preserve">. Number of hits, false alarms, and reaction time for hits and false alarms were used as secondary outcomes allowing for specific effects to be examined. </w:t>
      </w:r>
      <w:r w:rsidR="007D4E0D">
        <w:rPr>
          <w:rFonts w:ascii="Times New Roman" w:hAnsi="Times New Roman" w:cs="Times New Roman"/>
          <w:sz w:val="24"/>
          <w:szCs w:val="24"/>
        </w:rPr>
        <w:t xml:space="preserve">Standardised </w:t>
      </w:r>
      <w:r w:rsidR="001672A6">
        <w:rPr>
          <w:rFonts w:ascii="Times New Roman" w:hAnsi="Times New Roman" w:cs="Times New Roman"/>
          <w:sz w:val="24"/>
          <w:szCs w:val="24"/>
        </w:rPr>
        <w:t xml:space="preserve">regression </w:t>
      </w:r>
      <w:r w:rsidR="007D4E0D">
        <w:rPr>
          <w:rFonts w:ascii="Times New Roman" w:hAnsi="Times New Roman" w:cs="Times New Roman"/>
          <w:sz w:val="24"/>
          <w:szCs w:val="24"/>
        </w:rPr>
        <w:t xml:space="preserve">coefficients </w:t>
      </w:r>
      <w:r w:rsidR="004D10BD">
        <w:rPr>
          <w:rFonts w:ascii="Times New Roman" w:hAnsi="Times New Roman" w:cs="Times New Roman"/>
          <w:sz w:val="24"/>
          <w:szCs w:val="24"/>
        </w:rPr>
        <w:t xml:space="preserve">with 95% confidence intervals were used and can be interpreted as a change in the exposure associated with a one standard deviation </w:t>
      </w:r>
      <w:r w:rsidR="00FA45E5">
        <w:rPr>
          <w:rFonts w:ascii="Times New Roman" w:hAnsi="Times New Roman" w:cs="Times New Roman"/>
          <w:sz w:val="24"/>
          <w:szCs w:val="24"/>
        </w:rPr>
        <w:t xml:space="preserve">change </w:t>
      </w:r>
      <w:r w:rsidR="004D10BD">
        <w:rPr>
          <w:rFonts w:ascii="Times New Roman" w:hAnsi="Times New Roman" w:cs="Times New Roman"/>
          <w:sz w:val="24"/>
          <w:szCs w:val="24"/>
        </w:rPr>
        <w:t>in WM performance assessed using the d</w:t>
      </w:r>
      <w:r w:rsidR="00B70B5C">
        <w:rPr>
          <w:rFonts w:ascii="Times New Roman" w:hAnsi="Times New Roman" w:cs="Times New Roman"/>
          <w:sz w:val="24"/>
          <w:szCs w:val="24"/>
        </w:rPr>
        <w:t>´</w:t>
      </w:r>
      <w:r w:rsidR="00B37B47">
        <w:rPr>
          <w:rFonts w:ascii="Times New Roman" w:hAnsi="Times New Roman" w:cs="Times New Roman"/>
          <w:sz w:val="24"/>
          <w:szCs w:val="24"/>
        </w:rPr>
        <w:t xml:space="preserve"> </w:t>
      </w:r>
      <w:r w:rsidR="00174984">
        <w:rPr>
          <w:rFonts w:ascii="Times New Roman" w:hAnsi="Times New Roman" w:cs="Times New Roman"/>
          <w:sz w:val="24"/>
          <w:szCs w:val="24"/>
        </w:rPr>
        <w:t xml:space="preserve">measure </w:t>
      </w:r>
      <w:r w:rsidR="00B37B47">
        <w:rPr>
          <w:rFonts w:ascii="Times New Roman" w:hAnsi="Times New Roman" w:cs="Times New Roman"/>
          <w:sz w:val="24"/>
          <w:szCs w:val="24"/>
        </w:rPr>
        <w:t>(i.e., our primary outcome)</w:t>
      </w:r>
      <w:r w:rsidR="004D10BD">
        <w:rPr>
          <w:rFonts w:ascii="Times New Roman" w:hAnsi="Times New Roman" w:cs="Times New Roman"/>
          <w:sz w:val="24"/>
          <w:szCs w:val="24"/>
        </w:rPr>
        <w:t xml:space="preserve">. </w:t>
      </w:r>
      <w:r w:rsidR="00861B1F">
        <w:rPr>
          <w:rFonts w:ascii="Times New Roman" w:hAnsi="Times New Roman" w:cs="Times New Roman"/>
          <w:sz w:val="24"/>
          <w:szCs w:val="24"/>
        </w:rPr>
        <w:t>All standardized scores are normali</w:t>
      </w:r>
      <w:r w:rsidR="005651DA">
        <w:rPr>
          <w:rFonts w:ascii="Times New Roman" w:hAnsi="Times New Roman" w:cs="Times New Roman"/>
          <w:sz w:val="24"/>
          <w:szCs w:val="24"/>
        </w:rPr>
        <w:t>z</w:t>
      </w:r>
      <w:r w:rsidR="00861B1F">
        <w:rPr>
          <w:rFonts w:ascii="Times New Roman" w:hAnsi="Times New Roman" w:cs="Times New Roman"/>
          <w:sz w:val="24"/>
          <w:szCs w:val="24"/>
        </w:rPr>
        <w:t xml:space="preserve">ed to have a mean of 0 and a standard deviation of 1, and thus </w:t>
      </w:r>
      <w:r w:rsidR="005651DA">
        <w:rPr>
          <w:rFonts w:ascii="Times New Roman" w:hAnsi="Times New Roman" w:cs="Times New Roman"/>
          <w:sz w:val="24"/>
          <w:szCs w:val="24"/>
        </w:rPr>
        <w:t>regression coefficients can be interpreted as effect sizes.</w:t>
      </w:r>
    </w:p>
    <w:p w14:paraId="10D97379" w14:textId="1AB1AFC6" w:rsidR="008778C7" w:rsidRPr="00EC30E4" w:rsidRDefault="002B7164" w:rsidP="00717C39">
      <w:pPr>
        <w:spacing w:before="240"/>
        <w:rPr>
          <w:rFonts w:ascii="Times New Roman" w:hAnsi="Times New Roman" w:cs="Times New Roman"/>
          <w:i/>
          <w:sz w:val="24"/>
          <w:szCs w:val="24"/>
        </w:rPr>
      </w:pPr>
      <w:r>
        <w:rPr>
          <w:rFonts w:ascii="Times New Roman" w:hAnsi="Times New Roman" w:cs="Times New Roman"/>
          <w:i/>
          <w:sz w:val="24"/>
          <w:szCs w:val="24"/>
        </w:rPr>
        <w:t>Attrition</w:t>
      </w:r>
    </w:p>
    <w:p w14:paraId="64D54552" w14:textId="421C7014" w:rsidR="009C0455" w:rsidRDefault="000C5E6D" w:rsidP="009C0455">
      <w:pPr>
        <w:spacing w:after="0" w:line="480" w:lineRule="auto"/>
        <w:rPr>
          <w:rFonts w:ascii="Times New Roman" w:hAnsi="Times New Roman" w:cs="Times New Roman"/>
          <w:sz w:val="24"/>
          <w:szCs w:val="24"/>
        </w:rPr>
      </w:pPr>
      <w:r w:rsidRPr="00652247">
        <w:rPr>
          <w:rFonts w:ascii="Times New Roman" w:hAnsi="Times New Roman" w:cs="Times New Roman"/>
          <w:sz w:val="24"/>
          <w:szCs w:val="24"/>
        </w:rPr>
        <w:t xml:space="preserve">Since using complete case analysis can result in biased estimates </w:t>
      </w:r>
      <w:r w:rsidR="00593F80" w:rsidRPr="00652247">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"10.1136/bmj.b2393", "ISSN" : "0959-8138", "abstract" : "Most studies have some missing data. Jonathan Sterne and colleagues describe the appropriate use and reporting of the multiple imputation approach to dealing with them", "author" : [ { "dropping-particle" : "", "family" : "Sterne", "given" : "Jonathan A C", "non-dropping-particle" : "", "parse-names" : false, "suffix" : "" }, { "dropping-particle" : "", "family" : "White", "given" : "Ian R", "non-dropping-particle" : "", "parse-names" : false, "suffix" : "" }, { "dropping-particle" : "", "family" : "Carlin", "given" : "John B", "non-dropping-particle" : "", "parse-names" : false, "suffix" : "" }, { "dropping-particle" : "", "family" : "Spratt", "given" : "Michael", "non-dropping-particle" : "", "parse-names" : false, "suffix" : "" }, { "dropping-particle" : "", "family" : "Royston", "given" : "Patrick", "non-dropping-particle" : "", "parse-names" : false, "suffix" : "" }, { "dropping-particle" : "", "family" : "Kenward", "given" : "Michael G", "non-dropping-particle" : "", "parse-names" : false, "suffix" : "" }, { "dropping-particle" : "", "family" : "Wood", "given" : "Angela M", "non-dropping-particle" : "", "parse-names" : false, "suffix" : "" }, { "dropping-particle" : "", "family" : "Carpenter", "given" : "James R", "non-dropping-particle" : "", "parse-names" : false, "suffix" : "" } ], "container-title" : "British Medical Journal", "id" : "ITEM-1", "issued" : { "date-parts" : [ [ "2009", "6", "29" ] ] }, "page" : "b2393", "publisher" : "BMJ Publishing Group Ltd.", "title" : "Multiple imputation for missing data in epidemiological and clinical research: potential and pitfalls", "type" : "article-journal", "volume" : "338" }, "uris" : [ "http://www.mendeley.com/documents/?uuid=ca9d1533-6abc-42df-a6c0-f43859f67cf9" ] } ], "mendeley" : { "formattedCitation" : "(Sterne et al. 2009)", "plainTextFormattedCitation" : "(Sterne et al. 2009)", "previouslyFormattedCitation" : "(Sterne et al. 2009)" }, "properties" : { "noteIndex" : 0 }, "schema" : "https://github.com/citation-style-language/schema/raw/master/csl-citation.json" }</w:instrText>
      </w:r>
      <w:r w:rsidR="00593F80" w:rsidRPr="00652247">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(Sterne et al. 2009)</w:t>
      </w:r>
      <w:r w:rsidR="00593F80" w:rsidRPr="00652247">
        <w:rPr>
          <w:rFonts w:ascii="Times New Roman" w:hAnsi="Times New Roman" w:cs="Times New Roman"/>
          <w:sz w:val="24"/>
          <w:szCs w:val="24"/>
        </w:rPr>
        <w:fldChar w:fldCharType="end"/>
      </w:r>
      <w:r w:rsidR="008A66C2">
        <w:rPr>
          <w:rFonts w:ascii="Times New Roman" w:hAnsi="Times New Roman" w:cs="Times New Roman"/>
          <w:sz w:val="24"/>
          <w:szCs w:val="24"/>
        </w:rPr>
        <w:t>,</w:t>
      </w:r>
      <w:r w:rsidR="007E653C">
        <w:rPr>
          <w:rFonts w:ascii="Times New Roman" w:hAnsi="Times New Roman" w:cs="Times New Roman"/>
          <w:sz w:val="24"/>
          <w:szCs w:val="24"/>
        </w:rPr>
        <w:t xml:space="preserve"> we </w:t>
      </w:r>
      <w:r w:rsidRPr="00652247">
        <w:rPr>
          <w:rFonts w:ascii="Times New Roman" w:hAnsi="Times New Roman" w:cs="Times New Roman"/>
          <w:sz w:val="24"/>
          <w:szCs w:val="24"/>
        </w:rPr>
        <w:t>examine</w:t>
      </w:r>
      <w:r w:rsidR="007E653C">
        <w:rPr>
          <w:rFonts w:ascii="Times New Roman" w:hAnsi="Times New Roman" w:cs="Times New Roman"/>
          <w:sz w:val="24"/>
          <w:szCs w:val="24"/>
        </w:rPr>
        <w:t>d</w:t>
      </w:r>
      <w:r w:rsidRPr="00652247">
        <w:rPr>
          <w:rFonts w:ascii="Times New Roman" w:hAnsi="Times New Roman" w:cs="Times New Roman"/>
          <w:sz w:val="24"/>
          <w:szCs w:val="24"/>
        </w:rPr>
        <w:t xml:space="preserve"> possible effects of missing data </w:t>
      </w:r>
      <w:r w:rsidR="00A077F7">
        <w:rPr>
          <w:rFonts w:ascii="Times New Roman" w:hAnsi="Times New Roman" w:cs="Times New Roman"/>
          <w:sz w:val="24"/>
          <w:szCs w:val="24"/>
        </w:rPr>
        <w:t>using</w:t>
      </w:r>
      <w:r w:rsidR="003A6830">
        <w:rPr>
          <w:rFonts w:ascii="Times New Roman" w:hAnsi="Times New Roman" w:cs="Times New Roman"/>
          <w:sz w:val="24"/>
          <w:szCs w:val="24"/>
        </w:rPr>
        <w:t xml:space="preserve"> a combination of multiple imputation and inverse probability weighting (MI/IPW)</w:t>
      </w:r>
      <w:r w:rsidR="00AA557A">
        <w:rPr>
          <w:rFonts w:ascii="Times New Roman" w:hAnsi="Times New Roman" w:cs="Times New Roman"/>
          <w:sz w:val="24"/>
          <w:szCs w:val="24"/>
        </w:rPr>
        <w:t xml:space="preserve"> </w:t>
      </w:r>
      <w:r w:rsidR="003A1D33">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"10.1080/03610926.2012.700371", "ISSN" : "0361-0926", "abstract" : "Inverse probability weighting (IPW) can deal with confounding in non randomized studies. The inverse weights are probabilities of treatment assignment (propensity scores), estimated by regressing assignment on predictors. Problems arise if predictors can be missing. Solutions previously proposed include assuming assignment depends only on observed predictors and multiple imputation (MI) of missing predictors. For the MI approach, it was recommended that missingness indicators be used with the other predictors. We determine when the two MI approaches, (with/without missingness indicators) yield consistent estimators and compare their efficiencies.We find that, although including indicators can reduce bias when predictors are missing not at random, it can induce bias when they are missing at random. We propose a consistent variance estimator and investigate performance of the simpler Rubin\u2019s Rules variance estimator. In simulations we find both estimators perform well. IPW is also used to correct bias when ...", "author" : [ { "dropping-particle" : "", "family" : "Seaman", "given" : "Shaun", "non-dropping-particle" : "", "parse-names" : false, "suffix" : "" }, { "dropping-particle" : "", "family" : "White", "given" : "Ian", "non-dropping-particle" : "", "parse-names" : false, "suffix" : "" } ], "container-title" : "Communications in Statistics - Theory and Methods", "id" : "ITEM-1", "issue" : "16", "issued" : { "date-parts" : [ [ "2014", "7", "24" ] ] }, "language" : "en", "page" : "3499-3515", "publisher" : "Taylor &amp; Francis", "title" : "Inverse probability weighting with missing predictors of treatment assignment or missingness", "type" : "article-journal", "volume" : "43" }, "uris" : [ "http://www.mendeley.com/documents/?uuid=4dfc872b-3e87-4f4d-824c-709be46c4f3c" ] }, { "id" : "ITEM-2", "itemData" : { "DOI" : "10.1111/j.1541-0420.2011.01666.x", "ISBN" : "1541-0420 (Electronic)\\r0006-341X (Linking)", "ISSN" : "0006341X", "PMID" : "22050039", "abstract" : "Two approaches commonly used to deal with missing data are multiple imputation (MI) and inverse-probability weighting (IPW). IPW is also used to adjust for unequal sampling fractions. MI is generally more efficient than IPW but more complex. Whereas IPW requires only a model for the probability that an individual has complete data (a univariate outcome), MI needs a model for the joint distribution of the missing data (a multivariate outcome) given the observed data. Inadequacies in either model may lead to important bias if large amounts of data are missing. A third approach combines MI and IPW to give a doubly robust estimator. A fourth approach (IPW/MI) combines MI and IPW but, unlike doubly robust methods, imputes only isolated missing values and uses weights to account for remaining larger blocks of unimputed missing data, such as would arise, e.g., in a cohort study subject to sample attrition, and/or unequal sampling fractions. In this article, we examine the performance, in terms of bias and efficiency, of IPW/MI relative to MI and IPW alone and investigate whether the Rubin's rules variance estimator is valid for IPW/MI. We prove that the Rubin's rules variance estimator is valid for IPW/MI for linear regression with an imputed outcome, we present simulations supporting the use of this variance estimator in more general settings, and we demonstrate that IPW/MI can have advantages over alternatives. IPW/MI is applied to data from the National Child Development Study.", "author" : [ { "dropping-particle" : "", "family" : "Seaman", "given" : "Shaun R.", "non-dropping-particle" : "", "parse-names" : false, "suffix" : "" }, { "dropping-particle" : "", "family" : "White", "given" : "Ian R.", "non-dropping-particle" : "", "parse-names" : false, "suffix" : "" }, { "dropping-particle" : "", "family" : "Copas", "given" : "Andrew J.", "non-dropping-particle" : "", "parse-names" : false, "suffix" : "" }, { "dropping-particle" : "", "family" : "Li", "given" : "Leah", "non-dropping-particle" : "", "parse-names" : false, "suffix" : "" } ], "container-title" : "Biometrics", "id" : "ITEM-2", "issue" : "1", "issued" : { "date-parts" : [ [ "2012" ] ] }, "page" : "129-137", "title" : "Combining multiple imputation and inverse-probability weighting", "type" : "article-journal", "volume" : "68" }, "uris" : [ "http://www.mendeley.com/documents/?uuid=ca0eecd6-03b4-48c9-8528-2b8024b8a0ff" ] } ], "mendeley" : { "formattedCitation" : "(Seaman &amp; White 2014; Seaman et al. 2012)", "manualFormatting" : "(Seaman et al. 2012)", "plainTextFormattedCitation" : "(Seaman &amp; White 2014; Seaman et al. 2012)", "previouslyFormattedCitation" : "(Seaman &amp; White 2014; Seaman et al. 2012)" }, "properties" : { "noteIndex" : 0 }, "schema" : "https://github.com/citation-style-language/schema/raw/master/csl-citation.json" }</w:instrText>
      </w:r>
      <w:r w:rsidR="003A1D33">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(Seaman et al. 2012)</w:t>
      </w:r>
      <w:r w:rsidR="003A1D33">
        <w:rPr>
          <w:rFonts w:ascii="Times New Roman" w:hAnsi="Times New Roman" w:cs="Times New Roman"/>
          <w:sz w:val="24"/>
          <w:szCs w:val="24"/>
        </w:rPr>
        <w:fldChar w:fldCharType="end"/>
      </w:r>
      <w:r w:rsidR="003A6830">
        <w:rPr>
          <w:rFonts w:ascii="Times New Roman" w:hAnsi="Times New Roman" w:cs="Times New Roman"/>
          <w:sz w:val="24"/>
          <w:szCs w:val="24"/>
        </w:rPr>
        <w:t xml:space="preserve">. </w:t>
      </w:r>
      <w:r w:rsidR="008A66C2">
        <w:rPr>
          <w:rFonts w:ascii="Times New Roman" w:hAnsi="Times New Roman" w:cs="Times New Roman"/>
          <w:sz w:val="24"/>
          <w:szCs w:val="24"/>
        </w:rPr>
        <w:t>In the first step, m</w:t>
      </w:r>
      <w:r w:rsidR="00AB5D86">
        <w:rPr>
          <w:rFonts w:ascii="Times New Roman" w:hAnsi="Times New Roman" w:cs="Times New Roman"/>
          <w:sz w:val="24"/>
          <w:szCs w:val="24"/>
        </w:rPr>
        <w:t xml:space="preserve">ultiple imputation was based on the 3,351 participants </w:t>
      </w:r>
      <w:r w:rsidR="00640361">
        <w:rPr>
          <w:rFonts w:ascii="Times New Roman" w:hAnsi="Times New Roman" w:cs="Times New Roman"/>
          <w:sz w:val="24"/>
          <w:szCs w:val="24"/>
        </w:rPr>
        <w:t>who had</w:t>
      </w:r>
      <w:r w:rsidR="00AB5D86">
        <w:rPr>
          <w:rFonts w:ascii="Times New Roman" w:hAnsi="Times New Roman" w:cs="Times New Roman"/>
          <w:sz w:val="24"/>
          <w:szCs w:val="24"/>
        </w:rPr>
        <w:t xml:space="preserve"> information on the 2-back task</w:t>
      </w:r>
      <w:r w:rsidR="00640361">
        <w:rPr>
          <w:rFonts w:ascii="Times New Roman" w:hAnsi="Times New Roman" w:cs="Times New Roman"/>
          <w:sz w:val="24"/>
          <w:szCs w:val="24"/>
        </w:rPr>
        <w:t>,</w:t>
      </w:r>
      <w:r w:rsidR="00AB5D86">
        <w:rPr>
          <w:rFonts w:ascii="Times New Roman" w:hAnsi="Times New Roman" w:cs="Times New Roman"/>
          <w:sz w:val="24"/>
          <w:szCs w:val="24"/>
        </w:rPr>
        <w:t xml:space="preserve"> and 3,319 participants </w:t>
      </w:r>
      <w:r w:rsidR="00640361">
        <w:rPr>
          <w:rFonts w:ascii="Times New Roman" w:hAnsi="Times New Roman" w:cs="Times New Roman"/>
          <w:sz w:val="24"/>
          <w:szCs w:val="24"/>
        </w:rPr>
        <w:t>who had</w:t>
      </w:r>
      <w:r w:rsidR="00AB5D86">
        <w:rPr>
          <w:rFonts w:ascii="Times New Roman" w:hAnsi="Times New Roman" w:cs="Times New Roman"/>
          <w:sz w:val="24"/>
          <w:szCs w:val="24"/>
        </w:rPr>
        <w:t xml:space="preserve"> information on the 3-back task. </w:t>
      </w:r>
      <w:r w:rsidR="00415D20">
        <w:rPr>
          <w:rFonts w:ascii="Times New Roman" w:hAnsi="Times New Roman" w:cs="Times New Roman"/>
          <w:sz w:val="24"/>
          <w:szCs w:val="24"/>
        </w:rPr>
        <w:t xml:space="preserve">The imputation model contained performance on both </w:t>
      </w:r>
      <w:r w:rsidR="00B27092">
        <w:rPr>
          <w:rFonts w:ascii="Times New Roman" w:hAnsi="Times New Roman" w:cs="Times New Roman"/>
          <w:sz w:val="24"/>
          <w:szCs w:val="24"/>
        </w:rPr>
        <w:t xml:space="preserve">versions of the </w:t>
      </w:r>
      <w:r w:rsidR="00773827">
        <w:rPr>
          <w:rFonts w:ascii="Times New Roman" w:hAnsi="Times New Roman" w:cs="Times New Roman"/>
          <w:sz w:val="24"/>
          <w:szCs w:val="24"/>
        </w:rPr>
        <w:t xml:space="preserve">WM </w:t>
      </w:r>
      <w:r w:rsidR="00B27092">
        <w:rPr>
          <w:rFonts w:ascii="Times New Roman" w:hAnsi="Times New Roman" w:cs="Times New Roman"/>
          <w:sz w:val="24"/>
          <w:szCs w:val="24"/>
        </w:rPr>
        <w:t>task</w:t>
      </w:r>
      <w:r w:rsidR="00415D20">
        <w:rPr>
          <w:rFonts w:ascii="Times New Roman" w:hAnsi="Times New Roman" w:cs="Times New Roman"/>
          <w:sz w:val="24"/>
          <w:szCs w:val="24"/>
        </w:rPr>
        <w:t xml:space="preserve">, alcohol exposure variables, and </w:t>
      </w:r>
      <w:r w:rsidR="00773827">
        <w:rPr>
          <w:rFonts w:ascii="Times New Roman" w:hAnsi="Times New Roman" w:cs="Times New Roman"/>
          <w:sz w:val="24"/>
          <w:szCs w:val="24"/>
        </w:rPr>
        <w:t xml:space="preserve">potential </w:t>
      </w:r>
      <w:r w:rsidR="00415D20">
        <w:rPr>
          <w:rFonts w:ascii="Times New Roman" w:hAnsi="Times New Roman" w:cs="Times New Roman"/>
          <w:sz w:val="24"/>
          <w:szCs w:val="24"/>
        </w:rPr>
        <w:t>confounding variables</w:t>
      </w:r>
      <w:r w:rsidR="00773827">
        <w:rPr>
          <w:rFonts w:ascii="Times New Roman" w:hAnsi="Times New Roman" w:cs="Times New Roman"/>
          <w:sz w:val="24"/>
          <w:szCs w:val="24"/>
        </w:rPr>
        <w:t>,</w:t>
      </w:r>
      <w:r w:rsidR="00415D20">
        <w:rPr>
          <w:rFonts w:ascii="Times New Roman" w:hAnsi="Times New Roman" w:cs="Times New Roman"/>
          <w:sz w:val="24"/>
          <w:szCs w:val="24"/>
        </w:rPr>
        <w:t xml:space="preserve"> as well as a number of additional auxiliary variables know</w:t>
      </w:r>
      <w:r w:rsidR="00526FA3">
        <w:rPr>
          <w:rFonts w:ascii="Times New Roman" w:hAnsi="Times New Roman" w:cs="Times New Roman"/>
          <w:sz w:val="24"/>
          <w:szCs w:val="24"/>
        </w:rPr>
        <w:t xml:space="preserve">n to be related to missingness. </w:t>
      </w:r>
      <w:r w:rsidR="00033963">
        <w:rPr>
          <w:rFonts w:ascii="Times New Roman" w:hAnsi="Times New Roman" w:cs="Times New Roman"/>
          <w:sz w:val="24"/>
          <w:szCs w:val="24"/>
        </w:rPr>
        <w:t>Fifty</w:t>
      </w:r>
      <w:r w:rsidR="00526FA3">
        <w:rPr>
          <w:rFonts w:ascii="Times New Roman" w:hAnsi="Times New Roman" w:cs="Times New Roman"/>
          <w:sz w:val="24"/>
          <w:szCs w:val="24"/>
        </w:rPr>
        <w:t xml:space="preserve"> datasets </w:t>
      </w:r>
      <w:r w:rsidR="00033963">
        <w:rPr>
          <w:rFonts w:ascii="Times New Roman" w:hAnsi="Times New Roman" w:cs="Times New Roman"/>
          <w:sz w:val="24"/>
          <w:szCs w:val="24"/>
        </w:rPr>
        <w:t xml:space="preserve">by </w:t>
      </w:r>
      <w:r w:rsidR="00526FA3">
        <w:rPr>
          <w:rFonts w:ascii="Times New Roman" w:hAnsi="Times New Roman" w:cs="Times New Roman"/>
          <w:sz w:val="24"/>
          <w:szCs w:val="24"/>
        </w:rPr>
        <w:t xml:space="preserve">10 cycles of regression </w:t>
      </w:r>
      <w:r w:rsidR="00033963">
        <w:rPr>
          <w:rFonts w:ascii="Times New Roman" w:hAnsi="Times New Roman" w:cs="Times New Roman"/>
          <w:sz w:val="24"/>
          <w:szCs w:val="24"/>
        </w:rPr>
        <w:t xml:space="preserve">were generated. </w:t>
      </w:r>
    </w:p>
    <w:p w14:paraId="1A15858F" w14:textId="74C4B6FC" w:rsidR="005B02E7" w:rsidRDefault="008A66C2" w:rsidP="009C04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second step</w:t>
      </w:r>
      <w:r w:rsidR="00697BBF">
        <w:rPr>
          <w:rFonts w:ascii="Times New Roman" w:hAnsi="Times New Roman" w:cs="Times New Roman"/>
          <w:sz w:val="24"/>
          <w:szCs w:val="24"/>
        </w:rPr>
        <w:t>,</w:t>
      </w:r>
      <w:r>
        <w:rPr>
          <w:rFonts w:ascii="Times New Roman" w:hAnsi="Times New Roman" w:cs="Times New Roman"/>
          <w:sz w:val="24"/>
          <w:szCs w:val="24"/>
        </w:rPr>
        <w:t xml:space="preserve"> </w:t>
      </w:r>
      <w:r w:rsidR="004728BB">
        <w:rPr>
          <w:rFonts w:ascii="Times New Roman" w:hAnsi="Times New Roman" w:cs="Times New Roman"/>
          <w:sz w:val="24"/>
          <w:szCs w:val="24"/>
        </w:rPr>
        <w:t>inverse probability weighting (IPW) was performed</w:t>
      </w:r>
      <w:r w:rsidR="00697BBF">
        <w:rPr>
          <w:rFonts w:ascii="Times New Roman" w:hAnsi="Times New Roman" w:cs="Times New Roman"/>
          <w:sz w:val="24"/>
          <w:szCs w:val="24"/>
        </w:rPr>
        <w:t xml:space="preserve">. </w:t>
      </w:r>
      <w:r w:rsidR="00803E7C">
        <w:rPr>
          <w:rFonts w:ascii="Times New Roman" w:hAnsi="Times New Roman" w:cs="Times New Roman"/>
          <w:sz w:val="24"/>
          <w:szCs w:val="24"/>
        </w:rPr>
        <w:t>Estimates of prevalence and associations were weighted to account for probabilities of non-response to attending the clinic.</w:t>
      </w:r>
      <w:r w:rsidR="001E2454">
        <w:rPr>
          <w:rFonts w:ascii="Times New Roman" w:hAnsi="Times New Roman" w:cs="Times New Roman"/>
          <w:sz w:val="24"/>
          <w:szCs w:val="24"/>
        </w:rPr>
        <w:t xml:space="preserve"> Further information is provided in the Supplementary Material. </w:t>
      </w:r>
      <w:r w:rsidR="00803E7C">
        <w:rPr>
          <w:rFonts w:ascii="Times New Roman" w:hAnsi="Times New Roman" w:cs="Times New Roman"/>
          <w:sz w:val="24"/>
          <w:szCs w:val="24"/>
        </w:rPr>
        <w:t>All analyses were conducted using Stata version 14. Results using weighted estimates are reported as the main results.</w:t>
      </w:r>
      <w:r w:rsidR="00602A3E">
        <w:rPr>
          <w:rFonts w:ascii="Times New Roman" w:hAnsi="Times New Roman" w:cs="Times New Roman"/>
          <w:sz w:val="24"/>
          <w:szCs w:val="24"/>
        </w:rPr>
        <w:t xml:space="preserve"> Table S1</w:t>
      </w:r>
      <w:r w:rsidR="00602A3E" w:rsidRPr="007724A0">
        <w:rPr>
          <w:rFonts w:ascii="Times New Roman" w:hAnsi="Times New Roman" w:cs="Times New Roman"/>
          <w:sz w:val="24"/>
          <w:szCs w:val="24"/>
        </w:rPr>
        <w:t xml:space="preserve"> shows strong evidence of a relationship between sociodemographic variables</w:t>
      </w:r>
      <w:r w:rsidR="007631EB">
        <w:rPr>
          <w:rFonts w:ascii="Times New Roman" w:hAnsi="Times New Roman" w:cs="Times New Roman"/>
          <w:sz w:val="24"/>
          <w:szCs w:val="24"/>
        </w:rPr>
        <w:t xml:space="preserve">, a measure of </w:t>
      </w:r>
      <w:r w:rsidR="00411B59">
        <w:rPr>
          <w:rFonts w:ascii="Times New Roman" w:hAnsi="Times New Roman" w:cs="Times New Roman"/>
          <w:sz w:val="24"/>
          <w:szCs w:val="24"/>
        </w:rPr>
        <w:t>WM at age 11 years</w:t>
      </w:r>
      <w:r w:rsidR="007631EB">
        <w:rPr>
          <w:rFonts w:ascii="Times New Roman" w:hAnsi="Times New Roman" w:cs="Times New Roman"/>
          <w:sz w:val="24"/>
          <w:szCs w:val="24"/>
        </w:rPr>
        <w:t>,</w:t>
      </w:r>
      <w:r w:rsidR="00971F68">
        <w:rPr>
          <w:rFonts w:ascii="Times New Roman" w:hAnsi="Times New Roman" w:cs="Times New Roman"/>
          <w:sz w:val="24"/>
          <w:szCs w:val="24"/>
        </w:rPr>
        <w:t xml:space="preserve"> </w:t>
      </w:r>
      <w:r w:rsidR="008626B3">
        <w:rPr>
          <w:rFonts w:ascii="Times New Roman" w:hAnsi="Times New Roman" w:cs="Times New Roman"/>
          <w:sz w:val="24"/>
          <w:szCs w:val="24"/>
        </w:rPr>
        <w:t xml:space="preserve">cigarette smoking, cannabis use, </w:t>
      </w:r>
      <w:r w:rsidR="00971F68">
        <w:rPr>
          <w:rFonts w:ascii="Times New Roman" w:hAnsi="Times New Roman" w:cs="Times New Roman"/>
          <w:sz w:val="24"/>
          <w:szCs w:val="24"/>
        </w:rPr>
        <w:t>and alcohol use at age 15 years,</w:t>
      </w:r>
      <w:r w:rsidR="00602A3E" w:rsidRPr="007724A0">
        <w:rPr>
          <w:rFonts w:ascii="Times New Roman" w:hAnsi="Times New Roman" w:cs="Times New Roman"/>
          <w:sz w:val="24"/>
          <w:szCs w:val="24"/>
        </w:rPr>
        <w:t xml:space="preserve"> and missing data on</w:t>
      </w:r>
      <w:r w:rsidR="00017A57">
        <w:rPr>
          <w:rFonts w:ascii="Times New Roman" w:hAnsi="Times New Roman" w:cs="Times New Roman"/>
          <w:sz w:val="24"/>
          <w:szCs w:val="24"/>
        </w:rPr>
        <w:t xml:space="preserve"> both </w:t>
      </w:r>
      <w:r w:rsidR="00E651DC">
        <w:rPr>
          <w:rFonts w:ascii="Times New Roman" w:hAnsi="Times New Roman" w:cs="Times New Roman"/>
          <w:sz w:val="24"/>
          <w:szCs w:val="24"/>
        </w:rPr>
        <w:t xml:space="preserve">conditions of the </w:t>
      </w:r>
      <w:r w:rsidR="00017A57">
        <w:rPr>
          <w:rFonts w:ascii="Times New Roman" w:hAnsi="Times New Roman" w:cs="Times New Roman"/>
          <w:sz w:val="24"/>
          <w:szCs w:val="24"/>
        </w:rPr>
        <w:t>WM</w:t>
      </w:r>
      <w:r w:rsidR="00E651DC">
        <w:rPr>
          <w:rFonts w:ascii="Times New Roman" w:hAnsi="Times New Roman" w:cs="Times New Roman"/>
          <w:sz w:val="24"/>
          <w:szCs w:val="24"/>
        </w:rPr>
        <w:t xml:space="preserve"> task</w:t>
      </w:r>
      <w:r w:rsidR="00602A3E" w:rsidRPr="007724A0">
        <w:rPr>
          <w:rFonts w:ascii="Times New Roman" w:hAnsi="Times New Roman" w:cs="Times New Roman"/>
          <w:sz w:val="24"/>
          <w:szCs w:val="24"/>
        </w:rPr>
        <w:t>.</w:t>
      </w:r>
      <w:r w:rsidR="00FE0234">
        <w:rPr>
          <w:rFonts w:ascii="Times New Roman" w:hAnsi="Times New Roman" w:cs="Times New Roman"/>
          <w:sz w:val="24"/>
          <w:szCs w:val="24"/>
        </w:rPr>
        <w:t xml:space="preserve"> </w:t>
      </w:r>
      <w:r w:rsidR="004F3107">
        <w:rPr>
          <w:rFonts w:ascii="Times New Roman" w:hAnsi="Times New Roman" w:cs="Times New Roman"/>
          <w:sz w:val="24"/>
          <w:szCs w:val="24"/>
        </w:rPr>
        <w:t>Furthermore, i</w:t>
      </w:r>
      <w:r w:rsidR="00FE0234" w:rsidRPr="00FE0234">
        <w:rPr>
          <w:rFonts w:ascii="Times New Roman" w:hAnsi="Times New Roman" w:cs="Times New Roman"/>
          <w:sz w:val="24"/>
          <w:szCs w:val="24"/>
        </w:rPr>
        <w:t>ndividuals who attended</w:t>
      </w:r>
      <w:r w:rsidR="00FE0234" w:rsidRPr="00B95675">
        <w:rPr>
          <w:rFonts w:ascii="Times New Roman" w:hAnsi="Times New Roman" w:cs="Times New Roman"/>
          <w:sz w:val="24"/>
          <w:szCs w:val="24"/>
        </w:rPr>
        <w:t xml:space="preserve"> the clinic</w:t>
      </w:r>
      <w:r w:rsidR="00FE0234" w:rsidRPr="00E13F24">
        <w:rPr>
          <w:rFonts w:ascii="Times New Roman" w:hAnsi="Times New Roman" w:cs="Times New Roman"/>
          <w:sz w:val="24"/>
          <w:szCs w:val="24"/>
        </w:rPr>
        <w:t xml:space="preserve"> at age 18 years but who </w:t>
      </w:r>
      <w:r w:rsidR="00E651DC">
        <w:rPr>
          <w:rFonts w:ascii="Times New Roman" w:hAnsi="Times New Roman" w:cs="Times New Roman"/>
          <w:sz w:val="24"/>
          <w:szCs w:val="24"/>
        </w:rPr>
        <w:t xml:space="preserve">did not complete </w:t>
      </w:r>
      <w:r w:rsidR="00E651DC">
        <w:rPr>
          <w:rFonts w:ascii="Times New Roman" w:hAnsi="Times New Roman" w:cs="Times New Roman"/>
          <w:sz w:val="24"/>
          <w:szCs w:val="24"/>
        </w:rPr>
        <w:lastRenderedPageBreak/>
        <w:t>either of the N</w:t>
      </w:r>
      <w:r w:rsidR="00FE0234" w:rsidRPr="00E13F24">
        <w:rPr>
          <w:rFonts w:ascii="Times New Roman" w:hAnsi="Times New Roman" w:cs="Times New Roman"/>
          <w:sz w:val="24"/>
          <w:szCs w:val="24"/>
        </w:rPr>
        <w:t>-back tasks were more likel</w:t>
      </w:r>
      <w:r w:rsidR="00FE0234" w:rsidRPr="00987488">
        <w:rPr>
          <w:rFonts w:ascii="Times New Roman" w:hAnsi="Times New Roman" w:cs="Times New Roman"/>
          <w:sz w:val="24"/>
          <w:szCs w:val="24"/>
        </w:rPr>
        <w:t xml:space="preserve">y to be involved in </w:t>
      </w:r>
      <w:r w:rsidR="008626B3">
        <w:rPr>
          <w:rFonts w:ascii="Times New Roman" w:hAnsi="Times New Roman" w:cs="Times New Roman"/>
          <w:sz w:val="24"/>
          <w:szCs w:val="24"/>
        </w:rPr>
        <w:t xml:space="preserve">frequent and binge </w:t>
      </w:r>
      <w:r w:rsidR="00FE0234" w:rsidRPr="00987488">
        <w:rPr>
          <w:rFonts w:ascii="Times New Roman" w:hAnsi="Times New Roman" w:cs="Times New Roman"/>
          <w:sz w:val="24"/>
          <w:szCs w:val="24"/>
        </w:rPr>
        <w:t>drinking at the earlier age of 15 years</w:t>
      </w:r>
      <w:r w:rsidR="00FE0234" w:rsidRPr="00FE0234">
        <w:rPr>
          <w:rFonts w:ascii="Arial" w:hAnsi="Arial" w:cs="Arial"/>
          <w:sz w:val="19"/>
          <w:szCs w:val="19"/>
        </w:rPr>
        <w:t xml:space="preserve"> </w:t>
      </w:r>
      <w:r w:rsidR="00FE0234">
        <w:rPr>
          <w:rFonts w:ascii="Times New Roman" w:hAnsi="Times New Roman" w:cs="Times New Roman"/>
          <w:sz w:val="24"/>
          <w:szCs w:val="24"/>
        </w:rPr>
        <w:t>(Table S2).</w:t>
      </w:r>
    </w:p>
    <w:p w14:paraId="09CDB984" w14:textId="77777777" w:rsidR="00D43F59" w:rsidRPr="00585CF5" w:rsidRDefault="00D43F59" w:rsidP="00D43F59">
      <w:pPr>
        <w:spacing w:before="240" w:after="0" w:line="480" w:lineRule="auto"/>
        <w:rPr>
          <w:rFonts w:ascii="Times New Roman" w:hAnsi="Times New Roman" w:cs="Times New Roman"/>
          <w:i/>
          <w:sz w:val="24"/>
          <w:szCs w:val="24"/>
        </w:rPr>
      </w:pPr>
      <w:r w:rsidRPr="00585CF5">
        <w:rPr>
          <w:rFonts w:ascii="Times New Roman" w:hAnsi="Times New Roman" w:cs="Times New Roman"/>
          <w:i/>
          <w:sz w:val="24"/>
          <w:szCs w:val="24"/>
        </w:rPr>
        <w:t>Sensitivity analyses</w:t>
      </w:r>
    </w:p>
    <w:p w14:paraId="011C0D67" w14:textId="485BCBD5" w:rsidR="00D5730E" w:rsidRDefault="00D43F59" w:rsidP="00D43F59">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D5730E">
        <w:rPr>
          <w:rFonts w:ascii="Times New Roman" w:hAnsi="Times New Roman" w:cs="Times New Roman"/>
          <w:sz w:val="24"/>
          <w:szCs w:val="24"/>
        </w:rPr>
        <w:t>s WM is developing across childhood and adolescence, a</w:t>
      </w:r>
      <w:r>
        <w:rPr>
          <w:rFonts w:ascii="Times New Roman" w:hAnsi="Times New Roman" w:cs="Times New Roman"/>
          <w:sz w:val="24"/>
          <w:szCs w:val="24"/>
        </w:rPr>
        <w:t xml:space="preserve"> measure of WM performance, assessed at age 8 years, was included to </w:t>
      </w:r>
      <w:r w:rsidR="00E627AB">
        <w:rPr>
          <w:rFonts w:ascii="Times New Roman" w:hAnsi="Times New Roman" w:cs="Times New Roman"/>
          <w:sz w:val="24"/>
          <w:szCs w:val="24"/>
        </w:rPr>
        <w:t>provide</w:t>
      </w:r>
      <w:r>
        <w:rPr>
          <w:rFonts w:ascii="Times New Roman" w:hAnsi="Times New Roman" w:cs="Times New Roman"/>
          <w:sz w:val="24"/>
          <w:szCs w:val="24"/>
        </w:rPr>
        <w:t xml:space="preserve"> consistency across the findings. The backward digit span task was assessed as part of an in-person standardized assessment of cognitive ability at age 8 years. The backward measure, which requires storage and manipulation of the information prior to recall, is thought to tap into WM capacity see </w:t>
      </w:r>
      <w:r>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"DOI" : "10.1111/j.1467-8624.2006.00968.x", "ISBN" : "1467-8624", "ISSN" : "00093920", "PMID" : "17107455", "abstract" : "This study explored the structure of verbal and visuospatial short-term and working memory in children between ages 4 and 11 years. Multiple tasks measuring 4 different memory components were used to capture the cognitive processes underlying working memory. Confirmatory factor analyses indicated that the processing component of working memory tasks was supported by a common resource pool, while storage aspects depend on domain-specific verbal and visuospatial resources. This model is largely stable across this developmental period, although some evidence exists that the links between the domain-specific visuospatial construct and the domain-general processing construct were higher in the 4- to- 6-year age group. The data also suggest that all working memory components are in place by 4 years of age.", "author" : [ { "dropping-particle" : "", "family" : "Alloway", "given" : "Tracy Packiam", "non-dropping-particle" : "", "parse-names" : false, "suffix" : "" }, { "dropping-particle" : "", "family" : "Gathercole", "given" : "Susan Elizabeth", "non-dropping-particle" : "", "parse-names" : false, "suffix" : "" }, { "dropping-particle" : "", "family" : "Pickering", "given" : "Susan J.", "non-dropping-particle" : "", "parse-names" : false, "suffix" : "" } ], "container-title" : "Child Development", "id" : "ITEM-1", "issue" : "6", "issued" : { "date-parts" : [ [ "2006" ] ] }, "page" : "1698-1716", "title" : "Verbal and visuospatial short-term and working memory in children: Are they separable?", "type" : "article-journal", "volume" : "77" }, "uris" : [ "http://www.mendeley.com/documents/?uuid=241a8478-155b-47ef-b58e-4f9793b49953" ] } ], "mendeley" : { "formattedCitation" : "(Alloway et al. 2006)", "plainTextFormattedCitation" : "(Alloway et al. 2006)", "previouslyFormattedCitation" : "(Alloway et al. 2006)" }, "properties" : { "noteIndex" : 0 }, "schema" : "https://github.com/citation-style-language/schema/raw/master/csl-citation.json" }</w:instrText>
      </w:r>
      <w:r>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(Alloway et al. 2006)</w:t>
      </w:r>
      <w:r>
        <w:rPr>
          <w:rFonts w:ascii="Times New Roman" w:hAnsi="Times New Roman" w:cs="Times New Roman"/>
          <w:sz w:val="24"/>
          <w:szCs w:val="24"/>
        </w:rPr>
        <w:fldChar w:fldCharType="end"/>
      </w:r>
      <w:r>
        <w:rPr>
          <w:rFonts w:ascii="Times New Roman" w:hAnsi="Times New Roman" w:cs="Times New Roman"/>
          <w:sz w:val="24"/>
          <w:szCs w:val="24"/>
        </w:rPr>
        <w:t xml:space="preserve">. Further information on the measure is provided in Supplementary material. </w:t>
      </w:r>
      <w:r w:rsidR="00AC72E0">
        <w:rPr>
          <w:rFonts w:ascii="Times New Roman" w:hAnsi="Times New Roman" w:cs="Times New Roman"/>
          <w:sz w:val="24"/>
          <w:szCs w:val="24"/>
        </w:rPr>
        <w:t>Models using complete case</w:t>
      </w:r>
      <w:r w:rsidR="009B42AB">
        <w:rPr>
          <w:rFonts w:ascii="Times New Roman" w:hAnsi="Times New Roman" w:cs="Times New Roman"/>
          <w:sz w:val="24"/>
          <w:szCs w:val="24"/>
        </w:rPr>
        <w:t>s</w:t>
      </w:r>
      <w:r w:rsidR="00AC72E0">
        <w:rPr>
          <w:rFonts w:ascii="Times New Roman" w:hAnsi="Times New Roman" w:cs="Times New Roman"/>
          <w:sz w:val="24"/>
          <w:szCs w:val="24"/>
        </w:rPr>
        <w:t xml:space="preserve"> were included to assess the impact of missing data.</w:t>
      </w:r>
      <w:r w:rsidR="006B76C5">
        <w:rPr>
          <w:rFonts w:ascii="Times New Roman" w:hAnsi="Times New Roman" w:cs="Times New Roman"/>
          <w:sz w:val="24"/>
          <w:szCs w:val="24"/>
        </w:rPr>
        <w:t xml:space="preserve"> </w:t>
      </w:r>
    </w:p>
    <w:p w14:paraId="27DA066D" w14:textId="77777777" w:rsidR="00281347" w:rsidRDefault="00281347" w:rsidP="00EB4C76">
      <w:pPr>
        <w:spacing w:after="0" w:line="480" w:lineRule="auto"/>
        <w:rPr>
          <w:rFonts w:ascii="Times New Roman" w:hAnsi="Times New Roman" w:cs="Times New Roman"/>
          <w:sz w:val="24"/>
          <w:szCs w:val="24"/>
        </w:rPr>
      </w:pPr>
    </w:p>
    <w:p w14:paraId="23FD948D" w14:textId="1D170D91" w:rsidR="00405A88" w:rsidRPr="008E3253" w:rsidRDefault="00405A88" w:rsidP="00717C39">
      <w:pPr>
        <w:spacing w:before="240"/>
        <w:rPr>
          <w:rFonts w:ascii="Times New Roman" w:hAnsi="Times New Roman" w:cs="Times New Roman"/>
          <w:b/>
          <w:sz w:val="24"/>
          <w:szCs w:val="24"/>
        </w:rPr>
      </w:pPr>
      <w:r w:rsidRPr="008E3253">
        <w:rPr>
          <w:rFonts w:ascii="Times New Roman" w:hAnsi="Times New Roman" w:cs="Times New Roman"/>
          <w:b/>
          <w:sz w:val="24"/>
          <w:szCs w:val="24"/>
        </w:rPr>
        <w:t>RESULTS</w:t>
      </w:r>
    </w:p>
    <w:p w14:paraId="5238BDA3" w14:textId="4BC4E695" w:rsidR="00405A88" w:rsidRPr="008E3253" w:rsidRDefault="000E5660" w:rsidP="00951FB3">
      <w:pPr>
        <w:spacing w:before="240"/>
        <w:rPr>
          <w:rFonts w:ascii="Times New Roman" w:hAnsi="Times New Roman" w:cs="Times New Roman"/>
          <w:i/>
          <w:sz w:val="24"/>
          <w:szCs w:val="24"/>
        </w:rPr>
      </w:pPr>
      <w:r w:rsidRPr="008E3253">
        <w:rPr>
          <w:rFonts w:ascii="Times New Roman" w:hAnsi="Times New Roman" w:cs="Times New Roman"/>
          <w:i/>
          <w:sz w:val="24"/>
          <w:szCs w:val="24"/>
        </w:rPr>
        <w:t xml:space="preserve">Descriptive results </w:t>
      </w:r>
    </w:p>
    <w:p w14:paraId="32E96077" w14:textId="0D93EF79" w:rsidR="0089762F" w:rsidRDefault="00DB4B28" w:rsidP="00350524">
      <w:pPr>
        <w:spacing w:after="0" w:line="480" w:lineRule="auto"/>
        <w:rPr>
          <w:rFonts w:ascii="Times New Roman" w:hAnsi="Times New Roman" w:cs="Times New Roman"/>
          <w:sz w:val="24"/>
          <w:szCs w:val="24"/>
        </w:rPr>
      </w:pPr>
      <w:r w:rsidRPr="00DB4B28">
        <w:rPr>
          <w:rFonts w:ascii="Times New Roman" w:hAnsi="Times New Roman" w:cs="Times New Roman"/>
          <w:i/>
          <w:sz w:val="24"/>
          <w:szCs w:val="24"/>
        </w:rPr>
        <w:t>Working memory</w:t>
      </w:r>
      <w:r w:rsidR="0092656F">
        <w:rPr>
          <w:rFonts w:ascii="Times New Roman" w:hAnsi="Times New Roman" w:cs="Times New Roman"/>
          <w:i/>
          <w:sz w:val="24"/>
          <w:szCs w:val="24"/>
        </w:rPr>
        <w:t xml:space="preserve"> performance</w:t>
      </w:r>
      <w:r w:rsidR="00707D0E">
        <w:rPr>
          <w:rFonts w:ascii="Times New Roman" w:hAnsi="Times New Roman" w:cs="Times New Roman"/>
          <w:i/>
          <w:sz w:val="24"/>
          <w:szCs w:val="24"/>
        </w:rPr>
        <w:t xml:space="preserve"> at age 18</w:t>
      </w:r>
      <w:r w:rsidRPr="00DB4B28">
        <w:rPr>
          <w:rFonts w:ascii="Times New Roman" w:hAnsi="Times New Roman" w:cs="Times New Roman"/>
          <w:i/>
          <w:sz w:val="24"/>
          <w:szCs w:val="24"/>
        </w:rPr>
        <w:t>:</w:t>
      </w:r>
      <w:r>
        <w:rPr>
          <w:rFonts w:ascii="Times New Roman" w:hAnsi="Times New Roman" w:cs="Times New Roman"/>
          <w:sz w:val="24"/>
          <w:szCs w:val="24"/>
        </w:rPr>
        <w:t xml:space="preserve"> </w:t>
      </w:r>
      <w:r w:rsidR="00D13248">
        <w:rPr>
          <w:rFonts w:ascii="Times New Roman" w:hAnsi="Times New Roman" w:cs="Times New Roman"/>
          <w:sz w:val="24"/>
          <w:szCs w:val="24"/>
        </w:rPr>
        <w:t>O</w:t>
      </w:r>
      <w:r w:rsidR="00031F87">
        <w:rPr>
          <w:rFonts w:ascii="Times New Roman" w:hAnsi="Times New Roman" w:cs="Times New Roman"/>
          <w:sz w:val="24"/>
          <w:szCs w:val="24"/>
        </w:rPr>
        <w:t xml:space="preserve">verall, </w:t>
      </w:r>
      <w:r w:rsidR="00D13248">
        <w:rPr>
          <w:rFonts w:ascii="Times New Roman" w:hAnsi="Times New Roman" w:cs="Times New Roman"/>
          <w:sz w:val="24"/>
          <w:szCs w:val="24"/>
        </w:rPr>
        <w:t>participants</w:t>
      </w:r>
      <w:r w:rsidR="00031F87">
        <w:rPr>
          <w:rFonts w:ascii="Times New Roman" w:hAnsi="Times New Roman" w:cs="Times New Roman"/>
          <w:sz w:val="24"/>
          <w:szCs w:val="24"/>
        </w:rPr>
        <w:t xml:space="preserve"> performed better on the 2-back task compared to the 3-back task using all four metrics (</w:t>
      </w:r>
      <w:r w:rsidR="00037761">
        <w:rPr>
          <w:rFonts w:ascii="Times New Roman" w:hAnsi="Times New Roman" w:cs="Times New Roman"/>
          <w:sz w:val="24"/>
          <w:szCs w:val="24"/>
        </w:rPr>
        <w:t>Supplementary Material</w:t>
      </w:r>
      <w:r w:rsidR="00031F87">
        <w:rPr>
          <w:rFonts w:ascii="Times New Roman" w:hAnsi="Times New Roman" w:cs="Times New Roman"/>
          <w:sz w:val="24"/>
          <w:szCs w:val="24"/>
        </w:rPr>
        <w:t xml:space="preserve">). </w:t>
      </w:r>
      <w:r w:rsidR="002B0DDA">
        <w:rPr>
          <w:rFonts w:ascii="Times New Roman" w:hAnsi="Times New Roman" w:cs="Times New Roman"/>
          <w:sz w:val="24"/>
          <w:szCs w:val="24"/>
        </w:rPr>
        <w:t>In</w:t>
      </w:r>
      <w:r w:rsidR="006C5969">
        <w:rPr>
          <w:rFonts w:ascii="Times New Roman" w:hAnsi="Times New Roman" w:cs="Times New Roman"/>
          <w:sz w:val="24"/>
          <w:szCs w:val="24"/>
        </w:rPr>
        <w:t xml:space="preserve"> terms of WM performance for the specific alcohol groups, </w:t>
      </w:r>
      <w:r w:rsidR="00896669">
        <w:rPr>
          <w:rFonts w:ascii="Times New Roman" w:hAnsi="Times New Roman" w:cs="Times New Roman"/>
          <w:sz w:val="24"/>
          <w:szCs w:val="24"/>
        </w:rPr>
        <w:t>f</w:t>
      </w:r>
      <w:r w:rsidR="00C92E41">
        <w:rPr>
          <w:rFonts w:ascii="Times New Roman" w:hAnsi="Times New Roman" w:cs="Times New Roman"/>
          <w:sz w:val="24"/>
          <w:szCs w:val="24"/>
        </w:rPr>
        <w:t xml:space="preserve">requent and binge drinkers </w:t>
      </w:r>
      <w:r w:rsidR="00896669">
        <w:rPr>
          <w:rFonts w:ascii="Times New Roman" w:hAnsi="Times New Roman" w:cs="Times New Roman"/>
          <w:sz w:val="24"/>
          <w:szCs w:val="24"/>
        </w:rPr>
        <w:t xml:space="preserve">performed worse on the 2-back task, assessed using the </w:t>
      </w:r>
      <w:r w:rsidR="007F114B">
        <w:rPr>
          <w:rFonts w:ascii="Times New Roman" w:hAnsi="Times New Roman" w:cs="Times New Roman"/>
          <w:i/>
          <w:sz w:val="24"/>
          <w:szCs w:val="24"/>
        </w:rPr>
        <w:t>d´</w:t>
      </w:r>
      <w:r w:rsidR="00896669">
        <w:rPr>
          <w:rFonts w:ascii="Times New Roman" w:hAnsi="Times New Roman" w:cs="Times New Roman"/>
          <w:sz w:val="24"/>
          <w:szCs w:val="24"/>
        </w:rPr>
        <w:t xml:space="preserve">, </w:t>
      </w:r>
      <w:r w:rsidR="00987488">
        <w:rPr>
          <w:rFonts w:ascii="Times New Roman" w:hAnsi="Times New Roman" w:cs="Times New Roman"/>
          <w:sz w:val="24"/>
          <w:szCs w:val="24"/>
        </w:rPr>
        <w:t>(M=1.7</w:t>
      </w:r>
      <w:r w:rsidR="000354D7">
        <w:rPr>
          <w:rFonts w:ascii="Times New Roman" w:hAnsi="Times New Roman" w:cs="Times New Roman"/>
          <w:sz w:val="24"/>
          <w:szCs w:val="24"/>
        </w:rPr>
        <w:t>0</w:t>
      </w:r>
      <w:r w:rsidR="00C323D1">
        <w:rPr>
          <w:rFonts w:ascii="Times New Roman" w:hAnsi="Times New Roman" w:cs="Times New Roman"/>
          <w:sz w:val="24"/>
          <w:szCs w:val="24"/>
        </w:rPr>
        <w:t>,</w:t>
      </w:r>
      <w:r w:rsidR="00987488">
        <w:rPr>
          <w:rFonts w:ascii="Times New Roman" w:hAnsi="Times New Roman" w:cs="Times New Roman"/>
          <w:sz w:val="24"/>
          <w:szCs w:val="24"/>
        </w:rPr>
        <w:t xml:space="preserve"> SD=1.</w:t>
      </w:r>
      <w:r w:rsidR="000354D7">
        <w:rPr>
          <w:rFonts w:ascii="Times New Roman" w:hAnsi="Times New Roman" w:cs="Times New Roman"/>
          <w:sz w:val="24"/>
          <w:szCs w:val="24"/>
        </w:rPr>
        <w:t>3</w:t>
      </w:r>
      <w:r w:rsidR="00987488">
        <w:rPr>
          <w:rFonts w:ascii="Times New Roman" w:hAnsi="Times New Roman" w:cs="Times New Roman"/>
          <w:sz w:val="24"/>
          <w:szCs w:val="24"/>
        </w:rPr>
        <w:t>6)</w:t>
      </w:r>
      <w:r w:rsidR="00896669">
        <w:rPr>
          <w:rFonts w:ascii="Times New Roman" w:hAnsi="Times New Roman" w:cs="Times New Roman"/>
          <w:sz w:val="24"/>
          <w:szCs w:val="24"/>
        </w:rPr>
        <w:t xml:space="preserve"> co</w:t>
      </w:r>
      <w:r w:rsidR="009A7B28">
        <w:rPr>
          <w:rFonts w:ascii="Times New Roman" w:hAnsi="Times New Roman" w:cs="Times New Roman"/>
          <w:sz w:val="24"/>
          <w:szCs w:val="24"/>
        </w:rPr>
        <w:t xml:space="preserve">mpared to the low alcohol group </w:t>
      </w:r>
      <w:r w:rsidR="001966B0">
        <w:rPr>
          <w:rFonts w:ascii="Times New Roman" w:hAnsi="Times New Roman" w:cs="Times New Roman"/>
          <w:sz w:val="24"/>
          <w:szCs w:val="24"/>
        </w:rPr>
        <w:t>(</w:t>
      </w:r>
      <w:r w:rsidR="00896669">
        <w:rPr>
          <w:rFonts w:ascii="Times New Roman" w:hAnsi="Times New Roman" w:cs="Times New Roman"/>
          <w:sz w:val="24"/>
          <w:szCs w:val="24"/>
        </w:rPr>
        <w:t>M=1.84, SD=1.24</w:t>
      </w:r>
      <w:r w:rsidR="009A7B28">
        <w:rPr>
          <w:rFonts w:ascii="Times New Roman" w:hAnsi="Times New Roman" w:cs="Times New Roman"/>
          <w:sz w:val="24"/>
          <w:szCs w:val="24"/>
        </w:rPr>
        <w:t>)</w:t>
      </w:r>
      <w:r w:rsidR="00896669">
        <w:rPr>
          <w:rFonts w:ascii="Times New Roman" w:hAnsi="Times New Roman" w:cs="Times New Roman"/>
          <w:sz w:val="24"/>
          <w:szCs w:val="24"/>
        </w:rPr>
        <w:t xml:space="preserve"> and the frequent drinking only group (M=1.92, SD=1.19)</w:t>
      </w:r>
      <w:r w:rsidR="00987488">
        <w:rPr>
          <w:rFonts w:ascii="Times New Roman" w:hAnsi="Times New Roman" w:cs="Times New Roman"/>
          <w:sz w:val="24"/>
          <w:szCs w:val="24"/>
        </w:rPr>
        <w:t>. A similar pattern was observed for performance on the 3-back task</w:t>
      </w:r>
      <w:r w:rsidR="00996B09">
        <w:rPr>
          <w:rFonts w:ascii="Times New Roman" w:hAnsi="Times New Roman" w:cs="Times New Roman"/>
          <w:sz w:val="24"/>
          <w:szCs w:val="24"/>
        </w:rPr>
        <w:t xml:space="preserve"> </w:t>
      </w:r>
      <w:r w:rsidR="00896669">
        <w:rPr>
          <w:rFonts w:ascii="Times New Roman" w:hAnsi="Times New Roman" w:cs="Times New Roman"/>
          <w:sz w:val="24"/>
          <w:szCs w:val="24"/>
        </w:rPr>
        <w:t>with frequent and binge drinkers performing worse (M=1.02, SD=1.04) compared to the</w:t>
      </w:r>
      <w:r w:rsidR="001167A8">
        <w:rPr>
          <w:rFonts w:ascii="Times New Roman" w:hAnsi="Times New Roman" w:cs="Times New Roman"/>
          <w:sz w:val="24"/>
          <w:szCs w:val="24"/>
        </w:rPr>
        <w:t xml:space="preserve"> low </w:t>
      </w:r>
      <w:r w:rsidR="00F154F4">
        <w:rPr>
          <w:rFonts w:ascii="Times New Roman" w:hAnsi="Times New Roman" w:cs="Times New Roman"/>
          <w:sz w:val="24"/>
          <w:szCs w:val="24"/>
        </w:rPr>
        <w:t xml:space="preserve">alcohol </w:t>
      </w:r>
      <w:r w:rsidR="009A7B28">
        <w:rPr>
          <w:rFonts w:ascii="Times New Roman" w:hAnsi="Times New Roman" w:cs="Times New Roman"/>
          <w:sz w:val="24"/>
          <w:szCs w:val="24"/>
        </w:rPr>
        <w:t>(</w:t>
      </w:r>
      <w:r w:rsidR="00896669">
        <w:rPr>
          <w:rFonts w:ascii="Times New Roman" w:hAnsi="Times New Roman" w:cs="Times New Roman"/>
          <w:sz w:val="24"/>
          <w:szCs w:val="24"/>
        </w:rPr>
        <w:t>M=1.19, SD=1.03</w:t>
      </w:r>
      <w:r w:rsidR="009A7B28">
        <w:rPr>
          <w:rFonts w:ascii="Times New Roman" w:hAnsi="Times New Roman" w:cs="Times New Roman"/>
          <w:sz w:val="24"/>
          <w:szCs w:val="24"/>
        </w:rPr>
        <w:t>)</w:t>
      </w:r>
      <w:r w:rsidR="00896669">
        <w:rPr>
          <w:rFonts w:ascii="Times New Roman" w:hAnsi="Times New Roman" w:cs="Times New Roman"/>
          <w:sz w:val="24"/>
          <w:szCs w:val="24"/>
        </w:rPr>
        <w:t xml:space="preserve"> </w:t>
      </w:r>
      <w:r w:rsidR="001167A8">
        <w:rPr>
          <w:rFonts w:ascii="Times New Roman" w:hAnsi="Times New Roman" w:cs="Times New Roman"/>
          <w:sz w:val="24"/>
          <w:szCs w:val="24"/>
        </w:rPr>
        <w:t>and frequent drinking groups</w:t>
      </w:r>
      <w:r w:rsidR="00896669">
        <w:rPr>
          <w:rFonts w:ascii="Times New Roman" w:hAnsi="Times New Roman" w:cs="Times New Roman"/>
          <w:sz w:val="24"/>
          <w:szCs w:val="24"/>
        </w:rPr>
        <w:t xml:space="preserve"> </w:t>
      </w:r>
      <w:r w:rsidR="009A7B28">
        <w:rPr>
          <w:rFonts w:ascii="Times New Roman" w:hAnsi="Times New Roman" w:cs="Times New Roman"/>
          <w:sz w:val="24"/>
          <w:szCs w:val="24"/>
        </w:rPr>
        <w:t>(</w:t>
      </w:r>
      <w:r w:rsidR="00896669">
        <w:rPr>
          <w:rFonts w:ascii="Times New Roman" w:hAnsi="Times New Roman" w:cs="Times New Roman"/>
          <w:sz w:val="24"/>
          <w:szCs w:val="24"/>
        </w:rPr>
        <w:t>M=1.28, SD=1.04)</w:t>
      </w:r>
      <w:r w:rsidR="00987488">
        <w:rPr>
          <w:rFonts w:ascii="Times New Roman" w:hAnsi="Times New Roman" w:cs="Times New Roman"/>
          <w:sz w:val="24"/>
          <w:szCs w:val="24"/>
        </w:rPr>
        <w:t>.</w:t>
      </w:r>
    </w:p>
    <w:p w14:paraId="4DE57AAF" w14:textId="5CB5E133" w:rsidR="00BE684E" w:rsidRDefault="00BE684E" w:rsidP="003227DF">
      <w:pPr>
        <w:spacing w:before="240" w:after="0" w:line="480" w:lineRule="auto"/>
        <w:rPr>
          <w:rFonts w:ascii="Times New Roman" w:hAnsi="Times New Roman" w:cs="Times New Roman"/>
          <w:sz w:val="24"/>
          <w:szCs w:val="24"/>
        </w:rPr>
      </w:pPr>
      <w:r>
        <w:rPr>
          <w:rFonts w:ascii="Times New Roman" w:hAnsi="Times New Roman" w:cs="Times New Roman"/>
          <w:sz w:val="24"/>
          <w:szCs w:val="24"/>
        </w:rPr>
        <w:t>Associations between alcohol use at age 15 years and potential confounding variables are presented in Table S</w:t>
      </w:r>
      <w:r w:rsidR="00B36C05">
        <w:rPr>
          <w:rFonts w:ascii="Times New Roman" w:hAnsi="Times New Roman" w:cs="Times New Roman"/>
          <w:sz w:val="24"/>
          <w:szCs w:val="24"/>
        </w:rPr>
        <w:t>3</w:t>
      </w:r>
      <w:r>
        <w:rPr>
          <w:rFonts w:ascii="Times New Roman" w:hAnsi="Times New Roman" w:cs="Times New Roman"/>
          <w:sz w:val="24"/>
          <w:szCs w:val="24"/>
        </w:rPr>
        <w:t>.</w:t>
      </w:r>
      <w:r w:rsidR="005F78EA">
        <w:rPr>
          <w:rFonts w:ascii="Times New Roman" w:hAnsi="Times New Roman" w:cs="Times New Roman"/>
          <w:sz w:val="24"/>
          <w:szCs w:val="24"/>
        </w:rPr>
        <w:t xml:space="preserve"> </w:t>
      </w:r>
    </w:p>
    <w:p w14:paraId="5908E261" w14:textId="77777777" w:rsidR="00106B55" w:rsidRDefault="00823FD4" w:rsidP="007714A8">
      <w:pPr>
        <w:spacing w:before="240" w:line="480" w:lineRule="auto"/>
        <w:rPr>
          <w:rFonts w:ascii="Times New Roman" w:hAnsi="Times New Roman" w:cs="Times New Roman"/>
          <w:i/>
          <w:sz w:val="24"/>
          <w:szCs w:val="24"/>
        </w:rPr>
      </w:pPr>
      <w:r w:rsidRPr="002C1FD7">
        <w:rPr>
          <w:rFonts w:ascii="Times New Roman" w:hAnsi="Times New Roman" w:cs="Times New Roman"/>
          <w:i/>
          <w:sz w:val="24"/>
          <w:szCs w:val="24"/>
        </w:rPr>
        <w:t>Univariable</w:t>
      </w:r>
      <w:r>
        <w:rPr>
          <w:rFonts w:ascii="Times New Roman" w:hAnsi="Times New Roman" w:cs="Times New Roman"/>
          <w:i/>
          <w:sz w:val="24"/>
          <w:szCs w:val="24"/>
        </w:rPr>
        <w:t xml:space="preserve"> and multivariable</w:t>
      </w:r>
      <w:r w:rsidRPr="002C1FD7">
        <w:rPr>
          <w:rFonts w:ascii="Times New Roman" w:hAnsi="Times New Roman" w:cs="Times New Roman"/>
          <w:i/>
          <w:sz w:val="24"/>
          <w:szCs w:val="24"/>
        </w:rPr>
        <w:t xml:space="preserve"> linear regression</w:t>
      </w:r>
    </w:p>
    <w:p w14:paraId="5977708A" w14:textId="3A2905D4" w:rsidR="00213F85" w:rsidRDefault="0043302A" w:rsidP="007714A8">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 presents associations between </w:t>
      </w:r>
      <w:r w:rsidRPr="002C1FD7">
        <w:rPr>
          <w:rFonts w:ascii="Times New Roman" w:hAnsi="Times New Roman" w:cs="Times New Roman"/>
          <w:sz w:val="24"/>
          <w:szCs w:val="24"/>
        </w:rPr>
        <w:t xml:space="preserve">alcohol use at age 15 </w:t>
      </w:r>
      <w:r>
        <w:rPr>
          <w:rFonts w:ascii="Times New Roman" w:hAnsi="Times New Roman" w:cs="Times New Roman"/>
          <w:sz w:val="24"/>
          <w:szCs w:val="24"/>
        </w:rPr>
        <w:t xml:space="preserve">years </w:t>
      </w:r>
      <w:r w:rsidRPr="002C1FD7">
        <w:rPr>
          <w:rFonts w:ascii="Times New Roman" w:hAnsi="Times New Roman" w:cs="Times New Roman"/>
          <w:sz w:val="24"/>
          <w:szCs w:val="24"/>
        </w:rPr>
        <w:t xml:space="preserve">and 2-back </w:t>
      </w:r>
      <w:r>
        <w:rPr>
          <w:rFonts w:ascii="Times New Roman" w:hAnsi="Times New Roman" w:cs="Times New Roman"/>
          <w:sz w:val="24"/>
          <w:szCs w:val="24"/>
        </w:rPr>
        <w:t xml:space="preserve">task performance (assessed using </w:t>
      </w:r>
      <w:r w:rsidR="007F114B">
        <w:rPr>
          <w:rFonts w:ascii="Times New Roman" w:hAnsi="Times New Roman" w:cs="Times New Roman"/>
          <w:i/>
          <w:sz w:val="24"/>
          <w:szCs w:val="24"/>
        </w:rPr>
        <w:t>d´</w:t>
      </w:r>
      <w:r>
        <w:rPr>
          <w:rFonts w:ascii="Times New Roman" w:hAnsi="Times New Roman" w:cs="Times New Roman"/>
          <w:sz w:val="24"/>
          <w:szCs w:val="24"/>
        </w:rPr>
        <w:t xml:space="preserve">) </w:t>
      </w:r>
      <w:r w:rsidRPr="002C1FD7">
        <w:rPr>
          <w:rFonts w:ascii="Times New Roman" w:hAnsi="Times New Roman" w:cs="Times New Roman"/>
          <w:sz w:val="24"/>
          <w:szCs w:val="24"/>
        </w:rPr>
        <w:t>at age 18 years</w:t>
      </w:r>
      <w:r w:rsidR="00213F85">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0038078B">
        <w:rPr>
          <w:rFonts w:ascii="Times New Roman" w:hAnsi="Times New Roman" w:cs="Times New Roman"/>
          <w:sz w:val="24"/>
          <w:szCs w:val="24"/>
        </w:rPr>
        <w:t>insufficient</w:t>
      </w:r>
      <w:r>
        <w:rPr>
          <w:rFonts w:ascii="Times New Roman" w:hAnsi="Times New Roman" w:cs="Times New Roman"/>
          <w:sz w:val="24"/>
          <w:szCs w:val="24"/>
        </w:rPr>
        <w:t xml:space="preserve"> evidence </w:t>
      </w:r>
      <w:r w:rsidR="0038078B">
        <w:rPr>
          <w:rFonts w:ascii="Times New Roman" w:hAnsi="Times New Roman" w:cs="Times New Roman"/>
          <w:sz w:val="24"/>
          <w:szCs w:val="24"/>
        </w:rPr>
        <w:t>to suggest</w:t>
      </w:r>
      <w:r>
        <w:rPr>
          <w:rFonts w:ascii="Times New Roman" w:hAnsi="Times New Roman" w:cs="Times New Roman"/>
          <w:sz w:val="24"/>
          <w:szCs w:val="24"/>
        </w:rPr>
        <w:t xml:space="preserve"> an association between </w:t>
      </w:r>
      <w:r w:rsidR="00A13837">
        <w:rPr>
          <w:rFonts w:ascii="Times New Roman" w:hAnsi="Times New Roman" w:cs="Times New Roman"/>
          <w:sz w:val="24"/>
          <w:szCs w:val="24"/>
        </w:rPr>
        <w:t xml:space="preserve">frequent </w:t>
      </w:r>
      <w:r w:rsidR="00F154F4">
        <w:rPr>
          <w:rFonts w:ascii="Times New Roman" w:hAnsi="Times New Roman" w:cs="Times New Roman"/>
          <w:sz w:val="24"/>
          <w:szCs w:val="24"/>
        </w:rPr>
        <w:t>drinkers</w:t>
      </w:r>
      <w:r w:rsidR="00A13837">
        <w:rPr>
          <w:rFonts w:ascii="Times New Roman" w:hAnsi="Times New Roman" w:cs="Times New Roman"/>
          <w:sz w:val="24"/>
          <w:szCs w:val="24"/>
        </w:rPr>
        <w:t xml:space="preserve"> compared to the low alcohol group</w:t>
      </w:r>
      <w:r w:rsidR="00D06680">
        <w:rPr>
          <w:rFonts w:ascii="Times New Roman" w:hAnsi="Times New Roman" w:cs="Times New Roman"/>
          <w:sz w:val="24"/>
          <w:szCs w:val="24"/>
        </w:rPr>
        <w:t xml:space="preserve"> and </w:t>
      </w:r>
      <w:r w:rsidR="00BB4FA9">
        <w:rPr>
          <w:rFonts w:ascii="Times New Roman" w:hAnsi="Times New Roman" w:cs="Times New Roman"/>
          <w:sz w:val="24"/>
          <w:szCs w:val="24"/>
        </w:rPr>
        <w:t>WM performance</w:t>
      </w:r>
      <w:r w:rsidR="00A13837">
        <w:rPr>
          <w:rFonts w:ascii="Times New Roman" w:hAnsi="Times New Roman" w:cs="Times New Roman"/>
          <w:sz w:val="24"/>
          <w:szCs w:val="24"/>
        </w:rPr>
        <w:t xml:space="preserve">. </w:t>
      </w:r>
      <w:r w:rsidR="00213F85">
        <w:rPr>
          <w:rFonts w:ascii="Times New Roman" w:hAnsi="Times New Roman" w:cs="Times New Roman"/>
          <w:sz w:val="24"/>
          <w:szCs w:val="24"/>
        </w:rPr>
        <w:t>There was</w:t>
      </w:r>
      <w:r w:rsidR="00213F85" w:rsidRPr="002C1FD7">
        <w:rPr>
          <w:rFonts w:ascii="Times New Roman" w:hAnsi="Times New Roman" w:cs="Times New Roman"/>
          <w:sz w:val="24"/>
          <w:szCs w:val="24"/>
        </w:rPr>
        <w:t xml:space="preserve"> </w:t>
      </w:r>
      <w:r w:rsidR="00213F85">
        <w:rPr>
          <w:rFonts w:ascii="Times New Roman" w:hAnsi="Times New Roman" w:cs="Times New Roman"/>
          <w:sz w:val="24"/>
          <w:szCs w:val="24"/>
        </w:rPr>
        <w:t>evidence in the unadjusted models that frequent and binge drinking (β=-.17, 95% CI=-.32 to -.0</w:t>
      </w:r>
      <w:r w:rsidR="00E34D85">
        <w:rPr>
          <w:rFonts w:ascii="Times New Roman" w:hAnsi="Times New Roman" w:cs="Times New Roman"/>
          <w:sz w:val="24"/>
          <w:szCs w:val="24"/>
        </w:rPr>
        <w:t>3</w:t>
      </w:r>
      <w:r w:rsidR="00213F85">
        <w:rPr>
          <w:rFonts w:ascii="Times New Roman" w:hAnsi="Times New Roman" w:cs="Times New Roman"/>
          <w:sz w:val="24"/>
          <w:szCs w:val="24"/>
        </w:rPr>
        <w:t xml:space="preserve">, </w:t>
      </w:r>
      <w:r w:rsidR="00213F85" w:rsidRPr="00467F06">
        <w:rPr>
          <w:rFonts w:ascii="Times New Roman" w:hAnsi="Times New Roman" w:cs="Times New Roman"/>
          <w:i/>
          <w:sz w:val="24"/>
          <w:szCs w:val="24"/>
        </w:rPr>
        <w:t>p</w:t>
      </w:r>
      <w:r w:rsidR="00E34D85">
        <w:rPr>
          <w:rFonts w:ascii="Times New Roman" w:hAnsi="Times New Roman" w:cs="Times New Roman"/>
          <w:sz w:val="24"/>
          <w:szCs w:val="24"/>
        </w:rPr>
        <w:t>=.02</w:t>
      </w:r>
      <w:r w:rsidR="00D06680">
        <w:rPr>
          <w:rFonts w:ascii="Times New Roman" w:hAnsi="Times New Roman" w:cs="Times New Roman"/>
          <w:sz w:val="24"/>
          <w:szCs w:val="24"/>
        </w:rPr>
        <w:t xml:space="preserve">) was associated with </w:t>
      </w:r>
      <w:r w:rsidR="00BB4FA9" w:rsidRPr="00BB4FA9">
        <w:rPr>
          <w:rFonts w:ascii="Times New Roman" w:hAnsi="Times New Roman" w:cs="Times New Roman"/>
          <w:sz w:val="24"/>
          <w:szCs w:val="24"/>
        </w:rPr>
        <w:t>WM performance</w:t>
      </w:r>
      <w:r w:rsidR="00EC5189">
        <w:rPr>
          <w:rFonts w:ascii="Times New Roman" w:hAnsi="Times New Roman" w:cs="Times New Roman"/>
          <w:i/>
          <w:sz w:val="24"/>
          <w:szCs w:val="24"/>
        </w:rPr>
        <w:t xml:space="preserve"> </w:t>
      </w:r>
      <w:r w:rsidR="00EC5189">
        <w:rPr>
          <w:rFonts w:ascii="Times New Roman" w:hAnsi="Times New Roman" w:cs="Times New Roman"/>
          <w:sz w:val="24"/>
          <w:szCs w:val="24"/>
        </w:rPr>
        <w:t xml:space="preserve">compared to </w:t>
      </w:r>
      <w:r>
        <w:rPr>
          <w:rFonts w:ascii="Times New Roman" w:hAnsi="Times New Roman" w:cs="Times New Roman"/>
          <w:sz w:val="24"/>
          <w:szCs w:val="24"/>
        </w:rPr>
        <w:t>the low alcohol group</w:t>
      </w:r>
      <w:r w:rsidR="00213F85">
        <w:rPr>
          <w:rFonts w:ascii="Times New Roman" w:hAnsi="Times New Roman" w:cs="Times New Roman"/>
          <w:sz w:val="24"/>
          <w:szCs w:val="24"/>
        </w:rPr>
        <w:t>.</w:t>
      </w:r>
      <w:r w:rsidR="00213F85" w:rsidRPr="002C1FD7">
        <w:rPr>
          <w:rFonts w:ascii="Times New Roman" w:hAnsi="Times New Roman" w:cs="Times New Roman"/>
          <w:sz w:val="24"/>
          <w:szCs w:val="24"/>
        </w:rPr>
        <w:t xml:space="preserve"> </w:t>
      </w:r>
      <w:r w:rsidR="00213F85">
        <w:rPr>
          <w:rFonts w:ascii="Times New Roman" w:hAnsi="Times New Roman" w:cs="Times New Roman"/>
          <w:sz w:val="24"/>
          <w:szCs w:val="24"/>
        </w:rPr>
        <w:t>Howeve</w:t>
      </w:r>
      <w:r>
        <w:rPr>
          <w:rFonts w:ascii="Times New Roman" w:hAnsi="Times New Roman" w:cs="Times New Roman"/>
          <w:sz w:val="24"/>
          <w:szCs w:val="24"/>
        </w:rPr>
        <w:t>r, this association was</w:t>
      </w:r>
      <w:r w:rsidR="00213F85" w:rsidRPr="002C1FD7">
        <w:rPr>
          <w:rFonts w:ascii="Times New Roman" w:hAnsi="Times New Roman" w:cs="Times New Roman"/>
          <w:sz w:val="24"/>
          <w:szCs w:val="24"/>
        </w:rPr>
        <w:t xml:space="preserve"> attenuated </w:t>
      </w:r>
      <w:r w:rsidR="00213F85">
        <w:rPr>
          <w:rFonts w:ascii="Times New Roman" w:hAnsi="Times New Roman" w:cs="Times New Roman"/>
          <w:sz w:val="24"/>
          <w:szCs w:val="24"/>
        </w:rPr>
        <w:t xml:space="preserve">when adjusting for sociodemographic </w:t>
      </w:r>
      <w:r w:rsidR="00213F85" w:rsidRPr="00750471">
        <w:rPr>
          <w:rFonts w:ascii="Times New Roman" w:hAnsi="Times New Roman" w:cs="Times New Roman"/>
          <w:sz w:val="24"/>
          <w:szCs w:val="24"/>
        </w:rPr>
        <w:t>variables</w:t>
      </w:r>
      <w:r w:rsidR="00213F85">
        <w:rPr>
          <w:rFonts w:ascii="Times New Roman" w:hAnsi="Times New Roman" w:cs="Times New Roman"/>
          <w:sz w:val="24"/>
          <w:szCs w:val="24"/>
        </w:rPr>
        <w:t xml:space="preserve">, </w:t>
      </w:r>
      <w:r w:rsidR="00411B59">
        <w:rPr>
          <w:rFonts w:ascii="Times New Roman" w:hAnsi="Times New Roman" w:cs="Times New Roman"/>
          <w:sz w:val="24"/>
          <w:szCs w:val="24"/>
        </w:rPr>
        <w:t>WM at age 11 years</w:t>
      </w:r>
      <w:r w:rsidR="00213F85">
        <w:rPr>
          <w:rFonts w:ascii="Times New Roman" w:hAnsi="Times New Roman" w:cs="Times New Roman"/>
          <w:sz w:val="24"/>
          <w:szCs w:val="24"/>
        </w:rPr>
        <w:t xml:space="preserve"> and participants who had a head injury/unconsciousness before age 11 years, weekly cigarette smoking, and cannabis use assessed at age 15 years (β</w:t>
      </w:r>
      <w:r w:rsidR="00213F85" w:rsidRPr="002C1FD7">
        <w:rPr>
          <w:rFonts w:ascii="Times New Roman" w:hAnsi="Times New Roman" w:cs="Times New Roman"/>
          <w:sz w:val="24"/>
          <w:szCs w:val="24"/>
        </w:rPr>
        <w:t>=</w:t>
      </w:r>
      <w:r w:rsidR="00E34D85">
        <w:rPr>
          <w:rFonts w:ascii="Times New Roman" w:hAnsi="Times New Roman" w:cs="Times New Roman"/>
          <w:sz w:val="24"/>
          <w:szCs w:val="24"/>
        </w:rPr>
        <w:t>-.05</w:t>
      </w:r>
      <w:r w:rsidR="00213F85" w:rsidRPr="002C1FD7">
        <w:rPr>
          <w:rFonts w:ascii="Times New Roman" w:hAnsi="Times New Roman" w:cs="Times New Roman"/>
          <w:sz w:val="24"/>
          <w:szCs w:val="24"/>
        </w:rPr>
        <w:t>, 95% CI=</w:t>
      </w:r>
      <w:r w:rsidR="00E34D85">
        <w:rPr>
          <w:rFonts w:ascii="Times New Roman" w:hAnsi="Times New Roman" w:cs="Times New Roman"/>
          <w:sz w:val="24"/>
          <w:szCs w:val="24"/>
        </w:rPr>
        <w:t>-.21 to .10</w:t>
      </w:r>
      <w:r w:rsidR="00213F85">
        <w:rPr>
          <w:rFonts w:ascii="Times New Roman" w:hAnsi="Times New Roman" w:cs="Times New Roman"/>
          <w:sz w:val="24"/>
          <w:szCs w:val="24"/>
        </w:rPr>
        <w:t>,</w:t>
      </w:r>
      <w:r w:rsidR="00213F85" w:rsidRPr="002C1FD7">
        <w:rPr>
          <w:rFonts w:ascii="Times New Roman" w:hAnsi="Times New Roman" w:cs="Times New Roman"/>
          <w:sz w:val="24"/>
          <w:szCs w:val="24"/>
        </w:rPr>
        <w:t xml:space="preserve"> </w:t>
      </w:r>
      <w:r w:rsidR="00213F85" w:rsidRPr="002C1FD7">
        <w:rPr>
          <w:rFonts w:ascii="Times New Roman" w:hAnsi="Times New Roman" w:cs="Times New Roman"/>
          <w:i/>
          <w:sz w:val="24"/>
          <w:szCs w:val="24"/>
        </w:rPr>
        <w:t>p</w:t>
      </w:r>
      <w:r w:rsidR="00213F85" w:rsidRPr="002C1FD7">
        <w:rPr>
          <w:rFonts w:ascii="Times New Roman" w:hAnsi="Times New Roman" w:cs="Times New Roman"/>
          <w:sz w:val="24"/>
          <w:szCs w:val="24"/>
        </w:rPr>
        <w:t>=</w:t>
      </w:r>
      <w:r w:rsidR="00E34D85">
        <w:rPr>
          <w:rFonts w:ascii="Times New Roman" w:hAnsi="Times New Roman" w:cs="Times New Roman"/>
          <w:sz w:val="24"/>
          <w:szCs w:val="24"/>
        </w:rPr>
        <w:t>.50</w:t>
      </w:r>
      <w:r w:rsidR="00213F85">
        <w:rPr>
          <w:rFonts w:ascii="Times New Roman" w:hAnsi="Times New Roman" w:cs="Times New Roman"/>
          <w:sz w:val="24"/>
          <w:szCs w:val="24"/>
        </w:rPr>
        <w:t>)</w:t>
      </w:r>
      <w:r w:rsidR="00213F85" w:rsidRPr="002C1FD7">
        <w:rPr>
          <w:rFonts w:ascii="Times New Roman" w:hAnsi="Times New Roman" w:cs="Times New Roman"/>
          <w:sz w:val="24"/>
          <w:szCs w:val="24"/>
        </w:rPr>
        <w:t>.</w:t>
      </w:r>
      <w:r w:rsidR="008E6C16">
        <w:rPr>
          <w:rFonts w:ascii="Times New Roman" w:hAnsi="Times New Roman" w:cs="Times New Roman"/>
          <w:sz w:val="24"/>
          <w:szCs w:val="24"/>
        </w:rPr>
        <w:t xml:space="preserve"> </w:t>
      </w:r>
    </w:p>
    <w:p w14:paraId="0197BED4" w14:textId="77777777" w:rsidR="00CD5D1E" w:rsidRPr="002C1FD7" w:rsidRDefault="00CD5D1E" w:rsidP="001657A8">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w:t>
      </w:r>
      <w:r w:rsidR="00825C63">
        <w:rPr>
          <w:rFonts w:ascii="Times New Roman" w:hAnsi="Times New Roman" w:cs="Times New Roman"/>
          <w:sz w:val="24"/>
          <w:szCs w:val="24"/>
        </w:rPr>
        <w:t>1</w:t>
      </w:r>
      <w:r>
        <w:rPr>
          <w:rFonts w:ascii="Times New Roman" w:hAnsi="Times New Roman" w:cs="Times New Roman"/>
          <w:sz w:val="24"/>
          <w:szCs w:val="24"/>
        </w:rPr>
        <w:t xml:space="preserve"> here]</w:t>
      </w:r>
    </w:p>
    <w:p w14:paraId="7E5EB1E0" w14:textId="14ABD276" w:rsidR="00574AC5" w:rsidRDefault="00D06680" w:rsidP="001E2A87">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Table 2 presents </w:t>
      </w:r>
      <w:r w:rsidRPr="00DA26D2">
        <w:rPr>
          <w:rFonts w:ascii="Times New Roman" w:hAnsi="Times New Roman" w:cs="Times New Roman"/>
          <w:sz w:val="24"/>
          <w:szCs w:val="24"/>
        </w:rPr>
        <w:t>associations between alcohol use at age 15</w:t>
      </w:r>
      <w:r>
        <w:rPr>
          <w:rFonts w:ascii="Times New Roman" w:hAnsi="Times New Roman" w:cs="Times New Roman"/>
          <w:sz w:val="24"/>
          <w:szCs w:val="24"/>
        </w:rPr>
        <w:t xml:space="preserve"> years</w:t>
      </w:r>
      <w:r w:rsidRPr="00DA26D2">
        <w:rPr>
          <w:rFonts w:ascii="Times New Roman" w:hAnsi="Times New Roman" w:cs="Times New Roman"/>
          <w:sz w:val="24"/>
          <w:szCs w:val="24"/>
        </w:rPr>
        <w:t xml:space="preserve"> and 3-back </w:t>
      </w:r>
      <w:r>
        <w:rPr>
          <w:rFonts w:ascii="Times New Roman" w:hAnsi="Times New Roman" w:cs="Times New Roman"/>
          <w:sz w:val="24"/>
          <w:szCs w:val="24"/>
        </w:rPr>
        <w:t>task performance</w:t>
      </w:r>
      <w:r w:rsidRPr="00DA26D2">
        <w:rPr>
          <w:rFonts w:ascii="Times New Roman" w:hAnsi="Times New Roman" w:cs="Times New Roman"/>
          <w:sz w:val="24"/>
          <w:szCs w:val="24"/>
        </w:rPr>
        <w:t xml:space="preserve"> at age 18 years. </w:t>
      </w:r>
      <w:r w:rsidR="00291769">
        <w:rPr>
          <w:rFonts w:ascii="Times New Roman" w:hAnsi="Times New Roman" w:cs="Times New Roman"/>
          <w:sz w:val="24"/>
          <w:szCs w:val="24"/>
        </w:rPr>
        <w:t>In a similar finding to the 2-back task, t</w:t>
      </w:r>
      <w:r>
        <w:rPr>
          <w:rFonts w:ascii="Times New Roman" w:hAnsi="Times New Roman" w:cs="Times New Roman"/>
          <w:sz w:val="24"/>
          <w:szCs w:val="24"/>
        </w:rPr>
        <w:t xml:space="preserve">here was insufficient evidence </w:t>
      </w:r>
      <w:r w:rsidR="001F162C">
        <w:rPr>
          <w:rFonts w:ascii="Times New Roman" w:hAnsi="Times New Roman" w:cs="Times New Roman"/>
          <w:sz w:val="24"/>
          <w:szCs w:val="24"/>
        </w:rPr>
        <w:t>to suggest an</w:t>
      </w:r>
      <w:r>
        <w:rPr>
          <w:rFonts w:ascii="Times New Roman" w:hAnsi="Times New Roman" w:cs="Times New Roman"/>
          <w:sz w:val="24"/>
          <w:szCs w:val="24"/>
        </w:rPr>
        <w:t xml:space="preserve"> association between </w:t>
      </w:r>
      <w:r w:rsidR="00291769">
        <w:rPr>
          <w:rFonts w:ascii="Times New Roman" w:hAnsi="Times New Roman" w:cs="Times New Roman"/>
          <w:sz w:val="24"/>
          <w:szCs w:val="24"/>
        </w:rPr>
        <w:t>frequent drinking</w:t>
      </w:r>
      <w:r>
        <w:rPr>
          <w:rFonts w:ascii="Times New Roman" w:hAnsi="Times New Roman" w:cs="Times New Roman"/>
          <w:sz w:val="24"/>
          <w:szCs w:val="24"/>
        </w:rPr>
        <w:t xml:space="preserve"> compared to </w:t>
      </w:r>
      <w:r w:rsidR="00291769">
        <w:rPr>
          <w:rFonts w:ascii="Times New Roman" w:hAnsi="Times New Roman" w:cs="Times New Roman"/>
          <w:sz w:val="24"/>
          <w:szCs w:val="24"/>
        </w:rPr>
        <w:t xml:space="preserve">the </w:t>
      </w:r>
      <w:r>
        <w:rPr>
          <w:rFonts w:ascii="Times New Roman" w:hAnsi="Times New Roman" w:cs="Times New Roman"/>
          <w:sz w:val="24"/>
          <w:szCs w:val="24"/>
        </w:rPr>
        <w:t xml:space="preserve">low alcohol </w:t>
      </w:r>
      <w:r w:rsidR="00291769">
        <w:rPr>
          <w:rFonts w:ascii="Times New Roman" w:hAnsi="Times New Roman" w:cs="Times New Roman"/>
          <w:sz w:val="24"/>
          <w:szCs w:val="24"/>
        </w:rPr>
        <w:t>group</w:t>
      </w:r>
      <w:r>
        <w:rPr>
          <w:rFonts w:ascii="Times New Roman" w:hAnsi="Times New Roman" w:cs="Times New Roman"/>
          <w:sz w:val="24"/>
          <w:szCs w:val="24"/>
        </w:rPr>
        <w:t xml:space="preserve"> and WM performance assessed using </w:t>
      </w:r>
      <w:r w:rsidRPr="00750471">
        <w:rPr>
          <w:rFonts w:ascii="Times New Roman" w:hAnsi="Times New Roman" w:cs="Times New Roman"/>
          <w:i/>
          <w:sz w:val="24"/>
          <w:szCs w:val="24"/>
        </w:rPr>
        <w:t>d</w:t>
      </w:r>
      <w:r w:rsidR="007F114B">
        <w:rPr>
          <w:rFonts w:ascii="Times New Roman" w:hAnsi="Times New Roman" w:cs="Times New Roman"/>
          <w:i/>
          <w:sz w:val="24"/>
          <w:szCs w:val="24"/>
        </w:rPr>
        <w:t>´</w:t>
      </w:r>
      <w:r>
        <w:rPr>
          <w:rFonts w:ascii="Times New Roman" w:hAnsi="Times New Roman" w:cs="Times New Roman"/>
          <w:sz w:val="24"/>
          <w:szCs w:val="24"/>
        </w:rPr>
        <w:t xml:space="preserve">. There was </w:t>
      </w:r>
      <w:r w:rsidR="00291769">
        <w:rPr>
          <w:rFonts w:ascii="Times New Roman" w:hAnsi="Times New Roman" w:cs="Times New Roman"/>
          <w:sz w:val="24"/>
          <w:szCs w:val="24"/>
        </w:rPr>
        <w:t xml:space="preserve">however </w:t>
      </w:r>
      <w:r>
        <w:rPr>
          <w:rFonts w:ascii="Times New Roman" w:hAnsi="Times New Roman" w:cs="Times New Roman"/>
          <w:sz w:val="24"/>
          <w:szCs w:val="24"/>
        </w:rPr>
        <w:t>strong evidence that f</w:t>
      </w:r>
      <w:r w:rsidR="000C2320">
        <w:rPr>
          <w:rFonts w:ascii="Times New Roman" w:hAnsi="Times New Roman" w:cs="Times New Roman"/>
          <w:sz w:val="24"/>
          <w:szCs w:val="24"/>
        </w:rPr>
        <w:t>requent and binge</w:t>
      </w:r>
      <w:r w:rsidR="00AF3A23">
        <w:rPr>
          <w:rFonts w:ascii="Times New Roman" w:hAnsi="Times New Roman" w:cs="Times New Roman"/>
          <w:sz w:val="24"/>
          <w:szCs w:val="24"/>
        </w:rPr>
        <w:t xml:space="preserve"> drinking compared to </w:t>
      </w:r>
      <w:r>
        <w:rPr>
          <w:rFonts w:ascii="Times New Roman" w:hAnsi="Times New Roman" w:cs="Times New Roman"/>
          <w:sz w:val="24"/>
          <w:szCs w:val="24"/>
        </w:rPr>
        <w:t>the low alcohol group was associated with</w:t>
      </w:r>
      <w:r w:rsidR="00C1439A">
        <w:rPr>
          <w:rFonts w:ascii="Times New Roman" w:hAnsi="Times New Roman" w:cs="Times New Roman"/>
          <w:sz w:val="24"/>
          <w:szCs w:val="24"/>
        </w:rPr>
        <w:t xml:space="preserve"> WM performance</w:t>
      </w:r>
      <w:r w:rsidR="003A392F">
        <w:rPr>
          <w:rFonts w:ascii="Times New Roman" w:hAnsi="Times New Roman" w:cs="Times New Roman"/>
          <w:sz w:val="24"/>
          <w:szCs w:val="24"/>
        </w:rPr>
        <w:t xml:space="preserve">: </w:t>
      </w:r>
      <w:r w:rsidR="00E93419">
        <w:rPr>
          <w:rFonts w:ascii="Times New Roman" w:hAnsi="Times New Roman" w:cs="Times New Roman"/>
          <w:sz w:val="24"/>
          <w:szCs w:val="24"/>
        </w:rPr>
        <w:t>unadjusted model (β=-.25</w:t>
      </w:r>
      <w:r w:rsidR="00AF3A23">
        <w:rPr>
          <w:rFonts w:ascii="Times New Roman" w:hAnsi="Times New Roman" w:cs="Times New Roman"/>
          <w:sz w:val="24"/>
          <w:szCs w:val="24"/>
        </w:rPr>
        <w:t xml:space="preserve">, 95% CI=-.39 to -.11, </w:t>
      </w:r>
      <w:r w:rsidR="00AF3A23" w:rsidRPr="00C848D2">
        <w:rPr>
          <w:rFonts w:ascii="Times New Roman" w:hAnsi="Times New Roman" w:cs="Times New Roman"/>
          <w:i/>
          <w:sz w:val="24"/>
          <w:szCs w:val="24"/>
        </w:rPr>
        <w:t>p</w:t>
      </w:r>
      <w:r w:rsidR="00E93419">
        <w:rPr>
          <w:rFonts w:ascii="Times New Roman" w:hAnsi="Times New Roman" w:cs="Times New Roman"/>
          <w:sz w:val="24"/>
          <w:szCs w:val="24"/>
        </w:rPr>
        <w:t>&lt;</w:t>
      </w:r>
      <w:r w:rsidR="00AF3A23">
        <w:rPr>
          <w:rFonts w:ascii="Times New Roman" w:hAnsi="Times New Roman" w:cs="Times New Roman"/>
          <w:sz w:val="24"/>
          <w:szCs w:val="24"/>
        </w:rPr>
        <w:t xml:space="preserve">.001), model adjusted for sociodemographic confounders (β=-.22, 95% CI=-.36 to .08, </w:t>
      </w:r>
      <w:r w:rsidR="00AF3A23" w:rsidRPr="00C848D2">
        <w:rPr>
          <w:rFonts w:ascii="Times New Roman" w:hAnsi="Times New Roman" w:cs="Times New Roman"/>
          <w:i/>
          <w:sz w:val="24"/>
          <w:szCs w:val="24"/>
        </w:rPr>
        <w:t>p</w:t>
      </w:r>
      <w:r w:rsidR="001C3C89">
        <w:rPr>
          <w:rFonts w:ascii="Times New Roman" w:hAnsi="Times New Roman" w:cs="Times New Roman"/>
          <w:sz w:val="24"/>
          <w:szCs w:val="24"/>
        </w:rPr>
        <w:t>=.001</w:t>
      </w:r>
      <w:r w:rsidR="00AF3A23">
        <w:rPr>
          <w:rFonts w:ascii="Times New Roman" w:hAnsi="Times New Roman" w:cs="Times New Roman"/>
          <w:sz w:val="24"/>
          <w:szCs w:val="24"/>
        </w:rPr>
        <w:t xml:space="preserve">), model further adjusted for </w:t>
      </w:r>
      <w:r w:rsidR="00411B59">
        <w:rPr>
          <w:rFonts w:ascii="Times New Roman" w:hAnsi="Times New Roman" w:cs="Times New Roman"/>
          <w:sz w:val="24"/>
          <w:szCs w:val="24"/>
        </w:rPr>
        <w:t>WM at age 11 years</w:t>
      </w:r>
      <w:r w:rsidR="000C2320">
        <w:rPr>
          <w:rFonts w:ascii="Times New Roman" w:hAnsi="Times New Roman" w:cs="Times New Roman"/>
          <w:sz w:val="24"/>
          <w:szCs w:val="24"/>
        </w:rPr>
        <w:t xml:space="preserve"> and participants who had a head injury/ unconsciousness before age 11 years</w:t>
      </w:r>
      <w:r w:rsidR="00AF3A23">
        <w:rPr>
          <w:rFonts w:ascii="Times New Roman" w:hAnsi="Times New Roman" w:cs="Times New Roman"/>
          <w:sz w:val="24"/>
          <w:szCs w:val="24"/>
        </w:rPr>
        <w:t xml:space="preserve"> </w:t>
      </w:r>
      <w:r w:rsidR="003A392F">
        <w:rPr>
          <w:rFonts w:ascii="Times New Roman" w:hAnsi="Times New Roman" w:cs="Times New Roman"/>
          <w:sz w:val="24"/>
          <w:szCs w:val="24"/>
        </w:rPr>
        <w:t>(β=-.</w:t>
      </w:r>
      <w:r w:rsidR="001C3C89">
        <w:rPr>
          <w:rFonts w:ascii="Times New Roman" w:hAnsi="Times New Roman" w:cs="Times New Roman"/>
          <w:sz w:val="24"/>
          <w:szCs w:val="24"/>
        </w:rPr>
        <w:t>23</w:t>
      </w:r>
      <w:r w:rsidR="003A392F">
        <w:rPr>
          <w:rFonts w:ascii="Times New Roman" w:hAnsi="Times New Roman" w:cs="Times New Roman"/>
          <w:sz w:val="24"/>
          <w:szCs w:val="24"/>
        </w:rPr>
        <w:t>, 95% CI=-.</w:t>
      </w:r>
      <w:r w:rsidR="001C3C89">
        <w:rPr>
          <w:rFonts w:ascii="Times New Roman" w:hAnsi="Times New Roman" w:cs="Times New Roman"/>
          <w:sz w:val="24"/>
          <w:szCs w:val="24"/>
        </w:rPr>
        <w:t>37</w:t>
      </w:r>
      <w:r w:rsidR="003A392F">
        <w:rPr>
          <w:rFonts w:ascii="Times New Roman" w:hAnsi="Times New Roman" w:cs="Times New Roman"/>
          <w:sz w:val="24"/>
          <w:szCs w:val="24"/>
        </w:rPr>
        <w:t xml:space="preserve"> to </w:t>
      </w:r>
      <w:r w:rsidR="001C3C89">
        <w:rPr>
          <w:rFonts w:ascii="Times New Roman" w:hAnsi="Times New Roman" w:cs="Times New Roman"/>
          <w:sz w:val="24"/>
          <w:szCs w:val="24"/>
        </w:rPr>
        <w:t>-</w:t>
      </w:r>
      <w:r w:rsidR="003A392F">
        <w:rPr>
          <w:rFonts w:ascii="Times New Roman" w:hAnsi="Times New Roman" w:cs="Times New Roman"/>
          <w:sz w:val="24"/>
          <w:szCs w:val="24"/>
        </w:rPr>
        <w:t>.0</w:t>
      </w:r>
      <w:r w:rsidR="001C3C89">
        <w:rPr>
          <w:rFonts w:ascii="Times New Roman" w:hAnsi="Times New Roman" w:cs="Times New Roman"/>
          <w:sz w:val="24"/>
          <w:szCs w:val="24"/>
        </w:rPr>
        <w:t>9</w:t>
      </w:r>
      <w:r w:rsidR="003A392F">
        <w:rPr>
          <w:rFonts w:ascii="Times New Roman" w:hAnsi="Times New Roman" w:cs="Times New Roman"/>
          <w:sz w:val="24"/>
          <w:szCs w:val="24"/>
        </w:rPr>
        <w:t xml:space="preserve">, </w:t>
      </w:r>
      <w:r w:rsidR="003A392F" w:rsidRPr="00C848D2">
        <w:rPr>
          <w:rFonts w:ascii="Times New Roman" w:hAnsi="Times New Roman" w:cs="Times New Roman"/>
          <w:i/>
          <w:sz w:val="24"/>
          <w:szCs w:val="24"/>
        </w:rPr>
        <w:t>p</w:t>
      </w:r>
      <w:r w:rsidR="003A392F">
        <w:rPr>
          <w:rFonts w:ascii="Times New Roman" w:hAnsi="Times New Roman" w:cs="Times New Roman"/>
          <w:sz w:val="24"/>
          <w:szCs w:val="24"/>
        </w:rPr>
        <w:t>=.</w:t>
      </w:r>
      <w:r w:rsidR="001C3C89">
        <w:rPr>
          <w:rFonts w:ascii="Times New Roman" w:hAnsi="Times New Roman" w:cs="Times New Roman"/>
          <w:sz w:val="24"/>
          <w:szCs w:val="24"/>
        </w:rPr>
        <w:t>001</w:t>
      </w:r>
      <w:r w:rsidR="003A392F">
        <w:rPr>
          <w:rFonts w:ascii="Times New Roman" w:hAnsi="Times New Roman" w:cs="Times New Roman"/>
          <w:sz w:val="24"/>
          <w:szCs w:val="24"/>
        </w:rPr>
        <w:t>)</w:t>
      </w:r>
      <w:r w:rsidR="00D53080">
        <w:rPr>
          <w:rFonts w:ascii="Times New Roman" w:hAnsi="Times New Roman" w:cs="Times New Roman"/>
          <w:sz w:val="24"/>
          <w:szCs w:val="24"/>
        </w:rPr>
        <w:t xml:space="preserve">. </w:t>
      </w:r>
      <w:r w:rsidR="00E47402">
        <w:rPr>
          <w:rFonts w:ascii="Times New Roman" w:hAnsi="Times New Roman" w:cs="Times New Roman"/>
          <w:sz w:val="24"/>
          <w:szCs w:val="24"/>
        </w:rPr>
        <w:t>However,</w:t>
      </w:r>
      <w:r w:rsidR="00D53080">
        <w:rPr>
          <w:rFonts w:ascii="Times New Roman" w:hAnsi="Times New Roman" w:cs="Times New Roman"/>
          <w:sz w:val="24"/>
          <w:szCs w:val="24"/>
        </w:rPr>
        <w:t xml:space="preserve"> </w:t>
      </w:r>
      <w:r w:rsidR="00EB33BD">
        <w:rPr>
          <w:rFonts w:ascii="Times New Roman" w:hAnsi="Times New Roman" w:cs="Times New Roman"/>
          <w:sz w:val="24"/>
          <w:szCs w:val="24"/>
        </w:rPr>
        <w:t>this association was attenuated when</w:t>
      </w:r>
      <w:r w:rsidR="00AF3A23">
        <w:rPr>
          <w:rFonts w:ascii="Times New Roman" w:hAnsi="Times New Roman" w:cs="Times New Roman"/>
          <w:sz w:val="24"/>
          <w:szCs w:val="24"/>
        </w:rPr>
        <w:t xml:space="preserve"> further adjusted for weekly cigarette smoking and cannabis use at age 15 years </w:t>
      </w:r>
      <w:r w:rsidR="001C3C89">
        <w:rPr>
          <w:rFonts w:ascii="Times New Roman" w:hAnsi="Times New Roman" w:cs="Times New Roman"/>
          <w:sz w:val="24"/>
          <w:szCs w:val="24"/>
        </w:rPr>
        <w:t>(β=-.12, 95% CI=-.27 to .03</w:t>
      </w:r>
      <w:r w:rsidR="000C2320">
        <w:rPr>
          <w:rFonts w:ascii="Times New Roman" w:hAnsi="Times New Roman" w:cs="Times New Roman"/>
          <w:sz w:val="24"/>
          <w:szCs w:val="24"/>
        </w:rPr>
        <w:t xml:space="preserve">, </w:t>
      </w:r>
      <w:r w:rsidR="000C2320" w:rsidRPr="00C848D2">
        <w:rPr>
          <w:rFonts w:ascii="Times New Roman" w:hAnsi="Times New Roman" w:cs="Times New Roman"/>
          <w:i/>
          <w:sz w:val="24"/>
          <w:szCs w:val="24"/>
        </w:rPr>
        <w:t>p</w:t>
      </w:r>
      <w:r w:rsidR="001C3C89">
        <w:rPr>
          <w:rFonts w:ascii="Times New Roman" w:hAnsi="Times New Roman" w:cs="Times New Roman"/>
          <w:sz w:val="24"/>
          <w:szCs w:val="24"/>
        </w:rPr>
        <w:t>=.11</w:t>
      </w:r>
      <w:r w:rsidR="000C2320">
        <w:rPr>
          <w:rFonts w:ascii="Times New Roman" w:hAnsi="Times New Roman" w:cs="Times New Roman"/>
          <w:sz w:val="24"/>
          <w:szCs w:val="24"/>
        </w:rPr>
        <w:t>)</w:t>
      </w:r>
      <w:r w:rsidR="00F12D53">
        <w:rPr>
          <w:rFonts w:ascii="Times New Roman" w:hAnsi="Times New Roman" w:cs="Times New Roman"/>
          <w:sz w:val="24"/>
          <w:szCs w:val="24"/>
        </w:rPr>
        <w:t>.</w:t>
      </w:r>
      <w:r w:rsidR="007363FA">
        <w:rPr>
          <w:rFonts w:ascii="Times New Roman" w:hAnsi="Times New Roman" w:cs="Times New Roman"/>
          <w:sz w:val="24"/>
          <w:szCs w:val="24"/>
        </w:rPr>
        <w:t xml:space="preserve"> </w:t>
      </w:r>
      <w:r w:rsidR="00C47F07">
        <w:rPr>
          <w:rFonts w:ascii="Times New Roman" w:hAnsi="Times New Roman" w:cs="Times New Roman"/>
          <w:sz w:val="24"/>
          <w:szCs w:val="24"/>
        </w:rPr>
        <w:t xml:space="preserve">All </w:t>
      </w:r>
      <w:r w:rsidR="004C5861">
        <w:rPr>
          <w:rFonts w:ascii="Times New Roman" w:hAnsi="Times New Roman" w:cs="Times New Roman"/>
          <w:sz w:val="24"/>
          <w:szCs w:val="24"/>
        </w:rPr>
        <w:t xml:space="preserve">coefficients highlighting the impact of the individual confounding variables </w:t>
      </w:r>
      <w:r w:rsidR="00C47F07">
        <w:rPr>
          <w:rFonts w:ascii="Times New Roman" w:hAnsi="Times New Roman" w:cs="Times New Roman"/>
          <w:sz w:val="24"/>
          <w:szCs w:val="24"/>
        </w:rPr>
        <w:t xml:space="preserve">are </w:t>
      </w:r>
      <w:r w:rsidR="00D12C2A">
        <w:rPr>
          <w:rFonts w:ascii="Times New Roman" w:hAnsi="Times New Roman" w:cs="Times New Roman"/>
          <w:sz w:val="24"/>
          <w:szCs w:val="24"/>
        </w:rPr>
        <w:t>presented in Table S4.</w:t>
      </w:r>
      <w:r w:rsidR="00852E01">
        <w:rPr>
          <w:rFonts w:ascii="Times New Roman" w:hAnsi="Times New Roman" w:cs="Times New Roman"/>
          <w:sz w:val="24"/>
          <w:szCs w:val="24"/>
        </w:rPr>
        <w:t xml:space="preserve"> </w:t>
      </w:r>
      <w:r w:rsidR="000B0D42">
        <w:rPr>
          <w:rFonts w:ascii="Times New Roman" w:hAnsi="Times New Roman" w:cs="Times New Roman"/>
          <w:sz w:val="24"/>
          <w:szCs w:val="24"/>
        </w:rPr>
        <w:t xml:space="preserve">For both versions of the N-back task, larger effect estimates for the frequent and binge </w:t>
      </w:r>
      <w:r w:rsidR="0092608F">
        <w:rPr>
          <w:rFonts w:ascii="Times New Roman" w:hAnsi="Times New Roman" w:cs="Times New Roman"/>
          <w:sz w:val="24"/>
          <w:szCs w:val="24"/>
        </w:rPr>
        <w:t>drinking group</w:t>
      </w:r>
      <w:r w:rsidR="000B0D42">
        <w:rPr>
          <w:rFonts w:ascii="Times New Roman" w:hAnsi="Times New Roman" w:cs="Times New Roman"/>
          <w:sz w:val="24"/>
          <w:szCs w:val="24"/>
        </w:rPr>
        <w:t xml:space="preserve"> </w:t>
      </w:r>
      <w:r w:rsidR="00283503">
        <w:rPr>
          <w:rFonts w:ascii="Times New Roman" w:hAnsi="Times New Roman" w:cs="Times New Roman"/>
          <w:sz w:val="24"/>
          <w:szCs w:val="24"/>
        </w:rPr>
        <w:t>(</w:t>
      </w:r>
      <w:r w:rsidR="007539A6">
        <w:rPr>
          <w:rFonts w:ascii="Times New Roman" w:hAnsi="Times New Roman" w:cs="Times New Roman"/>
          <w:sz w:val="24"/>
          <w:szCs w:val="24"/>
        </w:rPr>
        <w:t xml:space="preserve">compared to the low alcohol </w:t>
      </w:r>
      <w:r w:rsidR="007539A6">
        <w:rPr>
          <w:rFonts w:ascii="Times New Roman" w:hAnsi="Times New Roman" w:cs="Times New Roman"/>
          <w:sz w:val="24"/>
          <w:szCs w:val="24"/>
        </w:rPr>
        <w:lastRenderedPageBreak/>
        <w:t>group</w:t>
      </w:r>
      <w:r w:rsidR="00283503">
        <w:rPr>
          <w:rFonts w:ascii="Times New Roman" w:hAnsi="Times New Roman" w:cs="Times New Roman"/>
          <w:sz w:val="24"/>
          <w:szCs w:val="24"/>
        </w:rPr>
        <w:t>)</w:t>
      </w:r>
      <w:r w:rsidR="007539A6">
        <w:rPr>
          <w:rFonts w:ascii="Times New Roman" w:hAnsi="Times New Roman" w:cs="Times New Roman"/>
          <w:sz w:val="24"/>
          <w:szCs w:val="24"/>
        </w:rPr>
        <w:t xml:space="preserve"> </w:t>
      </w:r>
      <w:r w:rsidR="000B0D42">
        <w:rPr>
          <w:rFonts w:ascii="Times New Roman" w:hAnsi="Times New Roman" w:cs="Times New Roman"/>
          <w:sz w:val="24"/>
          <w:szCs w:val="24"/>
        </w:rPr>
        <w:t>indicate</w:t>
      </w:r>
      <w:r w:rsidR="00283503">
        <w:rPr>
          <w:rFonts w:ascii="Times New Roman" w:hAnsi="Times New Roman" w:cs="Times New Roman"/>
          <w:sz w:val="24"/>
          <w:szCs w:val="24"/>
        </w:rPr>
        <w:t>s</w:t>
      </w:r>
      <w:r w:rsidR="000B0D42">
        <w:rPr>
          <w:rFonts w:ascii="Times New Roman" w:hAnsi="Times New Roman" w:cs="Times New Roman"/>
          <w:sz w:val="24"/>
          <w:szCs w:val="24"/>
        </w:rPr>
        <w:t xml:space="preserve"> stronger evidence </w:t>
      </w:r>
      <w:r w:rsidR="00283503">
        <w:rPr>
          <w:rFonts w:ascii="Times New Roman" w:hAnsi="Times New Roman" w:cs="Times New Roman"/>
          <w:sz w:val="24"/>
          <w:szCs w:val="24"/>
        </w:rPr>
        <w:t>of</w:t>
      </w:r>
      <w:r w:rsidR="000B0D42">
        <w:rPr>
          <w:rFonts w:ascii="Times New Roman" w:hAnsi="Times New Roman" w:cs="Times New Roman"/>
          <w:sz w:val="24"/>
          <w:szCs w:val="24"/>
        </w:rPr>
        <w:t xml:space="preserve"> an association with </w:t>
      </w:r>
      <w:r w:rsidR="0092608F">
        <w:rPr>
          <w:rFonts w:ascii="Times New Roman" w:hAnsi="Times New Roman" w:cs="Times New Roman"/>
          <w:sz w:val="24"/>
          <w:szCs w:val="24"/>
        </w:rPr>
        <w:t xml:space="preserve">deficits in </w:t>
      </w:r>
      <w:r w:rsidR="000B0D42">
        <w:rPr>
          <w:rFonts w:ascii="Times New Roman" w:hAnsi="Times New Roman" w:cs="Times New Roman"/>
          <w:sz w:val="24"/>
          <w:szCs w:val="24"/>
        </w:rPr>
        <w:t>WM performance</w:t>
      </w:r>
      <w:r w:rsidR="00283503">
        <w:rPr>
          <w:rFonts w:ascii="Times New Roman" w:hAnsi="Times New Roman" w:cs="Times New Roman"/>
          <w:sz w:val="24"/>
          <w:szCs w:val="24"/>
        </w:rPr>
        <w:t>,</w:t>
      </w:r>
      <w:r w:rsidR="000B0D42">
        <w:rPr>
          <w:rFonts w:ascii="Times New Roman" w:hAnsi="Times New Roman" w:cs="Times New Roman"/>
          <w:sz w:val="24"/>
          <w:szCs w:val="24"/>
        </w:rPr>
        <w:t xml:space="preserve"> </w:t>
      </w:r>
      <w:r w:rsidR="00283503">
        <w:rPr>
          <w:rFonts w:ascii="Times New Roman" w:hAnsi="Times New Roman" w:cs="Times New Roman"/>
          <w:sz w:val="24"/>
          <w:szCs w:val="24"/>
        </w:rPr>
        <w:t xml:space="preserve">in comparison </w:t>
      </w:r>
      <w:r w:rsidR="0092608F">
        <w:rPr>
          <w:rFonts w:ascii="Times New Roman" w:hAnsi="Times New Roman" w:cs="Times New Roman"/>
          <w:sz w:val="24"/>
          <w:szCs w:val="24"/>
        </w:rPr>
        <w:t xml:space="preserve">to </w:t>
      </w:r>
      <w:r w:rsidR="007539A6">
        <w:rPr>
          <w:rFonts w:ascii="Times New Roman" w:hAnsi="Times New Roman" w:cs="Times New Roman"/>
          <w:sz w:val="24"/>
          <w:szCs w:val="24"/>
        </w:rPr>
        <w:t xml:space="preserve">effect sizes for </w:t>
      </w:r>
      <w:r w:rsidR="000B0D42">
        <w:rPr>
          <w:rFonts w:ascii="Times New Roman" w:hAnsi="Times New Roman" w:cs="Times New Roman"/>
          <w:sz w:val="24"/>
          <w:szCs w:val="24"/>
        </w:rPr>
        <w:t>the frequent drinking only group.</w:t>
      </w:r>
    </w:p>
    <w:p w14:paraId="1DA6D7C5" w14:textId="77777777" w:rsidR="00160965" w:rsidRDefault="00F11156" w:rsidP="002A1037">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[Insert Table</w:t>
      </w:r>
      <w:r w:rsidR="00825C63">
        <w:rPr>
          <w:rFonts w:ascii="Times New Roman" w:hAnsi="Times New Roman" w:cs="Times New Roman"/>
          <w:sz w:val="24"/>
          <w:szCs w:val="24"/>
        </w:rPr>
        <w:t xml:space="preserve"> 2</w:t>
      </w:r>
      <w:r w:rsidR="00CD5D1E">
        <w:rPr>
          <w:rFonts w:ascii="Times New Roman" w:hAnsi="Times New Roman" w:cs="Times New Roman"/>
          <w:sz w:val="24"/>
          <w:szCs w:val="24"/>
        </w:rPr>
        <w:t xml:space="preserve"> here]</w:t>
      </w:r>
    </w:p>
    <w:p w14:paraId="24B04FD9" w14:textId="0211D3F7" w:rsidR="00B052AC" w:rsidRDefault="00F11156" w:rsidP="002A1037">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57747C">
        <w:rPr>
          <w:rFonts w:ascii="Times New Roman" w:hAnsi="Times New Roman" w:cs="Times New Roman"/>
          <w:sz w:val="24"/>
          <w:szCs w:val="24"/>
        </w:rPr>
        <w:t xml:space="preserve">Given the </w:t>
      </w:r>
      <w:r w:rsidR="00ED6D8F">
        <w:rPr>
          <w:rFonts w:ascii="Times New Roman" w:hAnsi="Times New Roman" w:cs="Times New Roman"/>
          <w:sz w:val="24"/>
          <w:szCs w:val="24"/>
        </w:rPr>
        <w:t>strength</w:t>
      </w:r>
      <w:r w:rsidR="0057747C">
        <w:rPr>
          <w:rFonts w:ascii="Times New Roman" w:hAnsi="Times New Roman" w:cs="Times New Roman"/>
          <w:sz w:val="24"/>
          <w:szCs w:val="24"/>
        </w:rPr>
        <w:t xml:space="preserve"> of the association </w:t>
      </w:r>
      <w:r w:rsidR="00397329">
        <w:rPr>
          <w:rFonts w:ascii="Times New Roman" w:hAnsi="Times New Roman" w:cs="Times New Roman"/>
          <w:sz w:val="24"/>
          <w:szCs w:val="24"/>
        </w:rPr>
        <w:t xml:space="preserve">between </w:t>
      </w:r>
      <w:r w:rsidR="00F154F4">
        <w:rPr>
          <w:rFonts w:ascii="Times New Roman" w:hAnsi="Times New Roman" w:cs="Times New Roman"/>
          <w:sz w:val="24"/>
          <w:szCs w:val="24"/>
        </w:rPr>
        <w:t xml:space="preserve">frequent and </w:t>
      </w:r>
      <w:r w:rsidR="0057747C">
        <w:rPr>
          <w:rFonts w:ascii="Times New Roman" w:hAnsi="Times New Roman" w:cs="Times New Roman"/>
          <w:sz w:val="24"/>
          <w:szCs w:val="24"/>
        </w:rPr>
        <w:t xml:space="preserve">binge drinking </w:t>
      </w:r>
      <w:r w:rsidR="00567332">
        <w:rPr>
          <w:rFonts w:ascii="Times New Roman" w:hAnsi="Times New Roman" w:cs="Times New Roman"/>
          <w:sz w:val="24"/>
          <w:szCs w:val="24"/>
        </w:rPr>
        <w:t>and performance</w:t>
      </w:r>
      <w:r w:rsidR="0057747C">
        <w:rPr>
          <w:rFonts w:ascii="Times New Roman" w:hAnsi="Times New Roman" w:cs="Times New Roman"/>
          <w:i/>
          <w:sz w:val="24"/>
          <w:szCs w:val="24"/>
        </w:rPr>
        <w:t xml:space="preserve"> </w:t>
      </w:r>
      <w:r w:rsidR="0057747C" w:rsidRPr="0057747C">
        <w:rPr>
          <w:rFonts w:ascii="Times New Roman" w:hAnsi="Times New Roman" w:cs="Times New Roman"/>
          <w:sz w:val="24"/>
          <w:szCs w:val="24"/>
        </w:rPr>
        <w:t>on the 3-back task</w:t>
      </w:r>
      <w:r w:rsidR="0057747C">
        <w:rPr>
          <w:rFonts w:ascii="Times New Roman" w:hAnsi="Times New Roman" w:cs="Times New Roman"/>
          <w:sz w:val="24"/>
          <w:szCs w:val="24"/>
        </w:rPr>
        <w:t xml:space="preserve">, we examined whether </w:t>
      </w:r>
      <w:r w:rsidR="00410F16">
        <w:rPr>
          <w:rFonts w:ascii="Times New Roman" w:hAnsi="Times New Roman" w:cs="Times New Roman"/>
          <w:sz w:val="24"/>
          <w:szCs w:val="24"/>
        </w:rPr>
        <w:t xml:space="preserve">frequent and </w:t>
      </w:r>
      <w:r w:rsidR="0057747C">
        <w:rPr>
          <w:rFonts w:ascii="Times New Roman" w:hAnsi="Times New Roman" w:cs="Times New Roman"/>
          <w:sz w:val="24"/>
          <w:szCs w:val="24"/>
        </w:rPr>
        <w:t xml:space="preserve">binge drinking </w:t>
      </w:r>
      <w:r w:rsidR="00F154F4">
        <w:rPr>
          <w:rFonts w:ascii="Times New Roman" w:hAnsi="Times New Roman" w:cs="Times New Roman"/>
          <w:sz w:val="24"/>
          <w:szCs w:val="24"/>
        </w:rPr>
        <w:t xml:space="preserve">compared to consuming low amounts of alcohol </w:t>
      </w:r>
      <w:r w:rsidR="00773F58">
        <w:rPr>
          <w:rFonts w:ascii="Times New Roman" w:hAnsi="Times New Roman" w:cs="Times New Roman"/>
          <w:sz w:val="24"/>
          <w:szCs w:val="24"/>
        </w:rPr>
        <w:t xml:space="preserve">was </w:t>
      </w:r>
      <w:r w:rsidR="0057747C">
        <w:rPr>
          <w:rFonts w:ascii="Times New Roman" w:hAnsi="Times New Roman" w:cs="Times New Roman"/>
          <w:sz w:val="24"/>
          <w:szCs w:val="24"/>
        </w:rPr>
        <w:t xml:space="preserve">associated with </w:t>
      </w:r>
      <w:r w:rsidR="00B84404">
        <w:rPr>
          <w:rFonts w:ascii="Times New Roman" w:hAnsi="Times New Roman" w:cs="Times New Roman"/>
          <w:sz w:val="24"/>
          <w:szCs w:val="24"/>
        </w:rPr>
        <w:t xml:space="preserve">the specific </w:t>
      </w:r>
      <w:r w:rsidR="007B0C6C">
        <w:rPr>
          <w:rFonts w:ascii="Times New Roman" w:hAnsi="Times New Roman" w:cs="Times New Roman"/>
          <w:sz w:val="24"/>
          <w:szCs w:val="24"/>
        </w:rPr>
        <w:t xml:space="preserve">indices </w:t>
      </w:r>
      <w:r w:rsidR="00B84404">
        <w:rPr>
          <w:rFonts w:ascii="Times New Roman" w:hAnsi="Times New Roman" w:cs="Times New Roman"/>
          <w:sz w:val="24"/>
          <w:szCs w:val="24"/>
        </w:rPr>
        <w:t>of WM</w:t>
      </w:r>
      <w:r w:rsidR="00F946F6">
        <w:rPr>
          <w:rFonts w:ascii="Times New Roman" w:hAnsi="Times New Roman" w:cs="Times New Roman"/>
          <w:sz w:val="24"/>
          <w:szCs w:val="24"/>
        </w:rPr>
        <w:t xml:space="preserve"> functioning</w:t>
      </w:r>
      <w:r w:rsidR="00B84404">
        <w:rPr>
          <w:rFonts w:ascii="Times New Roman" w:hAnsi="Times New Roman" w:cs="Times New Roman"/>
          <w:sz w:val="24"/>
          <w:szCs w:val="24"/>
        </w:rPr>
        <w:t xml:space="preserve"> </w:t>
      </w:r>
      <w:r w:rsidR="006C05F9">
        <w:rPr>
          <w:rFonts w:ascii="Times New Roman" w:hAnsi="Times New Roman" w:cs="Times New Roman"/>
          <w:sz w:val="24"/>
          <w:szCs w:val="24"/>
        </w:rPr>
        <w:t>(Table 3)</w:t>
      </w:r>
      <w:r w:rsidR="0057747C">
        <w:rPr>
          <w:rFonts w:ascii="Times New Roman" w:hAnsi="Times New Roman" w:cs="Times New Roman"/>
          <w:sz w:val="24"/>
          <w:szCs w:val="24"/>
        </w:rPr>
        <w:t xml:space="preserve">. </w:t>
      </w:r>
      <w:r w:rsidR="00CD0004">
        <w:rPr>
          <w:rFonts w:ascii="Times New Roman" w:hAnsi="Times New Roman" w:cs="Times New Roman"/>
          <w:sz w:val="24"/>
          <w:szCs w:val="24"/>
        </w:rPr>
        <w:t xml:space="preserve">There was evidence </w:t>
      </w:r>
      <w:r w:rsidR="000277A9">
        <w:rPr>
          <w:rFonts w:ascii="Times New Roman" w:hAnsi="Times New Roman" w:cs="Times New Roman"/>
          <w:sz w:val="24"/>
          <w:szCs w:val="24"/>
        </w:rPr>
        <w:t xml:space="preserve">to suggest </w:t>
      </w:r>
      <w:r w:rsidR="00CD0004">
        <w:rPr>
          <w:rFonts w:ascii="Times New Roman" w:hAnsi="Times New Roman" w:cs="Times New Roman"/>
          <w:sz w:val="24"/>
          <w:szCs w:val="24"/>
        </w:rPr>
        <w:t xml:space="preserve">that </w:t>
      </w:r>
      <w:r w:rsidR="005E735C">
        <w:rPr>
          <w:rFonts w:ascii="Times New Roman" w:hAnsi="Times New Roman" w:cs="Times New Roman"/>
          <w:sz w:val="24"/>
          <w:szCs w:val="24"/>
        </w:rPr>
        <w:t xml:space="preserve">frequent and </w:t>
      </w:r>
      <w:r w:rsidR="001868F9">
        <w:rPr>
          <w:rFonts w:ascii="Times New Roman" w:hAnsi="Times New Roman" w:cs="Times New Roman"/>
          <w:sz w:val="24"/>
          <w:szCs w:val="24"/>
        </w:rPr>
        <w:t xml:space="preserve">binge drinking was associated with </w:t>
      </w:r>
      <w:r w:rsidR="005E735C">
        <w:rPr>
          <w:rFonts w:ascii="Times New Roman" w:hAnsi="Times New Roman" w:cs="Times New Roman"/>
          <w:sz w:val="24"/>
          <w:szCs w:val="24"/>
        </w:rPr>
        <w:t xml:space="preserve">the </w:t>
      </w:r>
      <w:r w:rsidR="00651D36">
        <w:rPr>
          <w:rFonts w:ascii="Times New Roman" w:hAnsi="Times New Roman" w:cs="Times New Roman"/>
          <w:sz w:val="24"/>
          <w:szCs w:val="24"/>
        </w:rPr>
        <w:t>number of false alarms</w:t>
      </w:r>
      <w:r w:rsidR="007E1A0D">
        <w:rPr>
          <w:rFonts w:ascii="Times New Roman" w:hAnsi="Times New Roman" w:cs="Times New Roman"/>
          <w:sz w:val="24"/>
          <w:szCs w:val="24"/>
        </w:rPr>
        <w:t>: unadjusted model</w:t>
      </w:r>
      <w:r w:rsidR="00CD0004">
        <w:rPr>
          <w:rFonts w:ascii="Times New Roman" w:hAnsi="Times New Roman" w:cs="Times New Roman"/>
          <w:sz w:val="24"/>
          <w:szCs w:val="24"/>
        </w:rPr>
        <w:t xml:space="preserve"> (</w:t>
      </w:r>
      <w:r w:rsidR="00142292">
        <w:rPr>
          <w:rFonts w:ascii="Times New Roman" w:hAnsi="Times New Roman" w:cs="Times New Roman"/>
          <w:sz w:val="24"/>
          <w:szCs w:val="24"/>
        </w:rPr>
        <w:t>β</w:t>
      </w:r>
      <w:r w:rsidR="00CD0004">
        <w:rPr>
          <w:rFonts w:ascii="Times New Roman" w:hAnsi="Times New Roman" w:cs="Times New Roman"/>
          <w:sz w:val="24"/>
          <w:szCs w:val="24"/>
        </w:rPr>
        <w:t>=-.</w:t>
      </w:r>
      <w:r w:rsidR="007E1A0D">
        <w:rPr>
          <w:rFonts w:ascii="Times New Roman" w:hAnsi="Times New Roman" w:cs="Times New Roman"/>
          <w:sz w:val="24"/>
          <w:szCs w:val="24"/>
        </w:rPr>
        <w:t>26</w:t>
      </w:r>
      <w:r w:rsidR="00CD0004">
        <w:rPr>
          <w:rFonts w:ascii="Times New Roman" w:hAnsi="Times New Roman" w:cs="Times New Roman"/>
          <w:sz w:val="24"/>
          <w:szCs w:val="24"/>
        </w:rPr>
        <w:t>, 95% CI=-.</w:t>
      </w:r>
      <w:r w:rsidR="007E1A0D">
        <w:rPr>
          <w:rFonts w:ascii="Times New Roman" w:hAnsi="Times New Roman" w:cs="Times New Roman"/>
          <w:sz w:val="24"/>
          <w:szCs w:val="24"/>
        </w:rPr>
        <w:t>4</w:t>
      </w:r>
      <w:r w:rsidR="002354EE">
        <w:rPr>
          <w:rFonts w:ascii="Times New Roman" w:hAnsi="Times New Roman" w:cs="Times New Roman"/>
          <w:sz w:val="24"/>
          <w:szCs w:val="24"/>
        </w:rPr>
        <w:t>4</w:t>
      </w:r>
      <w:r w:rsidR="00CD0004">
        <w:rPr>
          <w:rFonts w:ascii="Times New Roman" w:hAnsi="Times New Roman" w:cs="Times New Roman"/>
          <w:sz w:val="24"/>
          <w:szCs w:val="24"/>
        </w:rPr>
        <w:t xml:space="preserve"> to -.0</w:t>
      </w:r>
      <w:r w:rsidR="002354EE">
        <w:rPr>
          <w:rFonts w:ascii="Times New Roman" w:hAnsi="Times New Roman" w:cs="Times New Roman"/>
          <w:sz w:val="24"/>
          <w:szCs w:val="24"/>
        </w:rPr>
        <w:t>7</w:t>
      </w:r>
      <w:r w:rsidR="00CD0004">
        <w:rPr>
          <w:rFonts w:ascii="Times New Roman" w:hAnsi="Times New Roman" w:cs="Times New Roman"/>
          <w:sz w:val="24"/>
          <w:szCs w:val="24"/>
        </w:rPr>
        <w:t xml:space="preserve">, </w:t>
      </w:r>
      <w:r w:rsidR="00CD0004" w:rsidRPr="00B052AC">
        <w:rPr>
          <w:rFonts w:ascii="Times New Roman" w:hAnsi="Times New Roman" w:cs="Times New Roman"/>
          <w:i/>
          <w:sz w:val="24"/>
          <w:szCs w:val="24"/>
        </w:rPr>
        <w:t>p</w:t>
      </w:r>
      <w:r w:rsidR="00CD0004">
        <w:rPr>
          <w:rFonts w:ascii="Times New Roman" w:hAnsi="Times New Roman" w:cs="Times New Roman"/>
          <w:sz w:val="24"/>
          <w:szCs w:val="24"/>
        </w:rPr>
        <w:t>=.</w:t>
      </w:r>
      <w:r w:rsidR="007E1A0D">
        <w:rPr>
          <w:rFonts w:ascii="Times New Roman" w:hAnsi="Times New Roman" w:cs="Times New Roman"/>
          <w:sz w:val="24"/>
          <w:szCs w:val="24"/>
        </w:rPr>
        <w:t>01</w:t>
      </w:r>
      <w:r w:rsidR="000277A9">
        <w:rPr>
          <w:rFonts w:ascii="Times New Roman" w:hAnsi="Times New Roman" w:cs="Times New Roman"/>
          <w:sz w:val="24"/>
          <w:szCs w:val="24"/>
        </w:rPr>
        <w:t>),</w:t>
      </w:r>
      <w:r w:rsidR="001868F9">
        <w:rPr>
          <w:rFonts w:ascii="Times New Roman" w:hAnsi="Times New Roman" w:cs="Times New Roman"/>
          <w:sz w:val="24"/>
          <w:szCs w:val="24"/>
        </w:rPr>
        <w:t xml:space="preserve"> </w:t>
      </w:r>
      <w:r w:rsidR="000277A9">
        <w:rPr>
          <w:rFonts w:ascii="Times New Roman" w:hAnsi="Times New Roman" w:cs="Times New Roman"/>
          <w:sz w:val="24"/>
          <w:szCs w:val="24"/>
        </w:rPr>
        <w:t>2)</w:t>
      </w:r>
      <w:r w:rsidR="007E1A0D">
        <w:rPr>
          <w:rFonts w:ascii="Times New Roman" w:hAnsi="Times New Roman" w:cs="Times New Roman"/>
          <w:sz w:val="24"/>
          <w:szCs w:val="24"/>
        </w:rPr>
        <w:t>, model adjusted for sociodemographic confounders</w:t>
      </w:r>
      <w:r w:rsidR="000277A9">
        <w:rPr>
          <w:rFonts w:ascii="Times New Roman" w:hAnsi="Times New Roman" w:cs="Times New Roman"/>
          <w:sz w:val="24"/>
          <w:szCs w:val="24"/>
        </w:rPr>
        <w:t xml:space="preserve"> </w:t>
      </w:r>
      <w:r w:rsidR="00CD0004">
        <w:rPr>
          <w:rFonts w:ascii="Times New Roman" w:hAnsi="Times New Roman" w:cs="Times New Roman"/>
          <w:sz w:val="24"/>
          <w:szCs w:val="24"/>
        </w:rPr>
        <w:t>(</w:t>
      </w:r>
      <w:r w:rsidR="00142292">
        <w:rPr>
          <w:rFonts w:ascii="Times New Roman" w:hAnsi="Times New Roman" w:cs="Times New Roman"/>
          <w:sz w:val="24"/>
          <w:szCs w:val="24"/>
        </w:rPr>
        <w:t>β</w:t>
      </w:r>
      <w:r w:rsidR="00CD0004">
        <w:rPr>
          <w:rFonts w:ascii="Times New Roman" w:hAnsi="Times New Roman" w:cs="Times New Roman"/>
          <w:sz w:val="24"/>
          <w:szCs w:val="24"/>
        </w:rPr>
        <w:t>=-.</w:t>
      </w:r>
      <w:r w:rsidR="007E1A0D">
        <w:rPr>
          <w:rFonts w:ascii="Times New Roman" w:hAnsi="Times New Roman" w:cs="Times New Roman"/>
          <w:sz w:val="24"/>
          <w:szCs w:val="24"/>
        </w:rPr>
        <w:t>42</w:t>
      </w:r>
      <w:r w:rsidR="00CD0004">
        <w:rPr>
          <w:rFonts w:ascii="Times New Roman" w:hAnsi="Times New Roman" w:cs="Times New Roman"/>
          <w:sz w:val="24"/>
          <w:szCs w:val="24"/>
        </w:rPr>
        <w:t>, 95% CI=-.</w:t>
      </w:r>
      <w:r w:rsidR="007E1A0D">
        <w:rPr>
          <w:rFonts w:ascii="Times New Roman" w:hAnsi="Times New Roman" w:cs="Times New Roman"/>
          <w:sz w:val="24"/>
          <w:szCs w:val="24"/>
        </w:rPr>
        <w:t>42</w:t>
      </w:r>
      <w:r w:rsidR="00CD0004">
        <w:rPr>
          <w:rFonts w:ascii="Times New Roman" w:hAnsi="Times New Roman" w:cs="Times New Roman"/>
          <w:sz w:val="24"/>
          <w:szCs w:val="24"/>
        </w:rPr>
        <w:t xml:space="preserve"> to </w:t>
      </w:r>
      <w:r w:rsidR="007E1A0D">
        <w:rPr>
          <w:rFonts w:ascii="Times New Roman" w:hAnsi="Times New Roman" w:cs="Times New Roman"/>
          <w:sz w:val="24"/>
          <w:szCs w:val="24"/>
        </w:rPr>
        <w:t>-.05</w:t>
      </w:r>
      <w:r w:rsidR="00CD0004">
        <w:rPr>
          <w:rFonts w:ascii="Times New Roman" w:hAnsi="Times New Roman" w:cs="Times New Roman"/>
          <w:sz w:val="24"/>
          <w:szCs w:val="24"/>
        </w:rPr>
        <w:t xml:space="preserve">, </w:t>
      </w:r>
      <w:r w:rsidR="00CD0004" w:rsidRPr="00B052AC">
        <w:rPr>
          <w:rFonts w:ascii="Times New Roman" w:hAnsi="Times New Roman" w:cs="Times New Roman"/>
          <w:i/>
          <w:sz w:val="24"/>
          <w:szCs w:val="24"/>
        </w:rPr>
        <w:t>p</w:t>
      </w:r>
      <w:r w:rsidR="00CD0004">
        <w:rPr>
          <w:rFonts w:ascii="Times New Roman" w:hAnsi="Times New Roman" w:cs="Times New Roman"/>
          <w:sz w:val="24"/>
          <w:szCs w:val="24"/>
        </w:rPr>
        <w:t>=.</w:t>
      </w:r>
      <w:r w:rsidR="007E1A0D">
        <w:rPr>
          <w:rFonts w:ascii="Times New Roman" w:hAnsi="Times New Roman" w:cs="Times New Roman"/>
          <w:sz w:val="24"/>
          <w:szCs w:val="24"/>
        </w:rPr>
        <w:t>01</w:t>
      </w:r>
      <w:r w:rsidR="00CD0004">
        <w:rPr>
          <w:rFonts w:ascii="Times New Roman" w:hAnsi="Times New Roman" w:cs="Times New Roman"/>
          <w:sz w:val="24"/>
          <w:szCs w:val="24"/>
        </w:rPr>
        <w:t>)</w:t>
      </w:r>
      <w:r w:rsidR="000277A9">
        <w:rPr>
          <w:rFonts w:ascii="Times New Roman" w:hAnsi="Times New Roman" w:cs="Times New Roman"/>
          <w:sz w:val="24"/>
          <w:szCs w:val="24"/>
        </w:rPr>
        <w:t>, 3)</w:t>
      </w:r>
      <w:r w:rsidR="007E1A0D">
        <w:rPr>
          <w:rFonts w:ascii="Times New Roman" w:hAnsi="Times New Roman" w:cs="Times New Roman"/>
          <w:sz w:val="24"/>
          <w:szCs w:val="24"/>
        </w:rPr>
        <w:t xml:space="preserve">, model further adjusted for </w:t>
      </w:r>
      <w:r w:rsidR="00411B59">
        <w:rPr>
          <w:rFonts w:ascii="Times New Roman" w:hAnsi="Times New Roman" w:cs="Times New Roman"/>
          <w:sz w:val="24"/>
          <w:szCs w:val="24"/>
        </w:rPr>
        <w:t>WM at age 11 years</w:t>
      </w:r>
      <w:r w:rsidR="005E735C">
        <w:rPr>
          <w:rFonts w:ascii="Times New Roman" w:hAnsi="Times New Roman" w:cs="Times New Roman"/>
          <w:sz w:val="24"/>
          <w:szCs w:val="24"/>
        </w:rPr>
        <w:t xml:space="preserve"> and participants who had </w:t>
      </w:r>
      <w:r w:rsidR="00100542">
        <w:rPr>
          <w:rFonts w:ascii="Times New Roman" w:hAnsi="Times New Roman" w:cs="Times New Roman"/>
          <w:sz w:val="24"/>
          <w:szCs w:val="24"/>
        </w:rPr>
        <w:t xml:space="preserve">experienced </w:t>
      </w:r>
      <w:r w:rsidR="005E735C">
        <w:rPr>
          <w:rFonts w:ascii="Times New Roman" w:hAnsi="Times New Roman" w:cs="Times New Roman"/>
          <w:sz w:val="24"/>
          <w:szCs w:val="24"/>
        </w:rPr>
        <w:t>a head injury/ unconsciousness before age 11 years</w:t>
      </w:r>
      <w:r w:rsidR="000277A9">
        <w:rPr>
          <w:rFonts w:ascii="Times New Roman" w:hAnsi="Times New Roman" w:cs="Times New Roman"/>
          <w:sz w:val="24"/>
          <w:szCs w:val="24"/>
        </w:rPr>
        <w:t xml:space="preserve"> (β=</w:t>
      </w:r>
      <w:r w:rsidR="007E1A0D">
        <w:rPr>
          <w:rFonts w:ascii="Times New Roman" w:hAnsi="Times New Roman" w:cs="Times New Roman"/>
          <w:sz w:val="24"/>
          <w:szCs w:val="24"/>
        </w:rPr>
        <w:t>-.22</w:t>
      </w:r>
      <w:r w:rsidR="000277A9">
        <w:rPr>
          <w:rFonts w:ascii="Times New Roman" w:hAnsi="Times New Roman" w:cs="Times New Roman"/>
          <w:sz w:val="24"/>
          <w:szCs w:val="24"/>
        </w:rPr>
        <w:t>, 95% CI=</w:t>
      </w:r>
      <w:r w:rsidR="000277A9">
        <w:rPr>
          <w:rFonts w:ascii="Times New Roman" w:hAnsi="Times New Roman"/>
          <w:sz w:val="24"/>
          <w:szCs w:val="24"/>
        </w:rPr>
        <w:t>-</w:t>
      </w:r>
      <w:r w:rsidR="007E1A0D">
        <w:rPr>
          <w:rFonts w:ascii="Times New Roman" w:hAnsi="Times New Roman"/>
          <w:sz w:val="24"/>
          <w:szCs w:val="24"/>
        </w:rPr>
        <w:t>.41</w:t>
      </w:r>
      <w:r w:rsidR="000277A9">
        <w:rPr>
          <w:rFonts w:ascii="Times New Roman" w:hAnsi="Times New Roman"/>
          <w:sz w:val="24"/>
          <w:szCs w:val="24"/>
        </w:rPr>
        <w:t xml:space="preserve"> to </w:t>
      </w:r>
      <w:r w:rsidR="007E1A0D">
        <w:rPr>
          <w:rFonts w:ascii="Times New Roman" w:hAnsi="Times New Roman"/>
          <w:sz w:val="24"/>
          <w:szCs w:val="24"/>
        </w:rPr>
        <w:t>-.22</w:t>
      </w:r>
      <w:r w:rsidR="000277A9">
        <w:rPr>
          <w:rFonts w:ascii="Times New Roman" w:hAnsi="Times New Roman" w:cs="Times New Roman"/>
          <w:sz w:val="24"/>
          <w:szCs w:val="24"/>
        </w:rPr>
        <w:t xml:space="preserve">, </w:t>
      </w:r>
      <w:r w:rsidR="000277A9" w:rsidRPr="00B052AC">
        <w:rPr>
          <w:rFonts w:ascii="Times New Roman" w:hAnsi="Times New Roman" w:cs="Times New Roman"/>
          <w:i/>
          <w:sz w:val="24"/>
          <w:szCs w:val="24"/>
        </w:rPr>
        <w:t>p</w:t>
      </w:r>
      <w:r w:rsidR="000277A9">
        <w:rPr>
          <w:rFonts w:ascii="Times New Roman" w:hAnsi="Times New Roman" w:cs="Times New Roman"/>
          <w:sz w:val="24"/>
          <w:szCs w:val="24"/>
        </w:rPr>
        <w:t>=.</w:t>
      </w:r>
      <w:r w:rsidR="007E1A0D">
        <w:rPr>
          <w:rFonts w:ascii="Times New Roman" w:hAnsi="Times New Roman" w:cs="Times New Roman"/>
          <w:sz w:val="24"/>
          <w:szCs w:val="24"/>
        </w:rPr>
        <w:t>02</w:t>
      </w:r>
      <w:r w:rsidR="000277A9">
        <w:rPr>
          <w:rFonts w:ascii="Times New Roman" w:hAnsi="Times New Roman" w:cs="Times New Roman"/>
          <w:sz w:val="24"/>
          <w:szCs w:val="24"/>
        </w:rPr>
        <w:t>)</w:t>
      </w:r>
      <w:r w:rsidR="007E1A0D">
        <w:rPr>
          <w:rFonts w:ascii="Times New Roman" w:hAnsi="Times New Roman" w:cs="Times New Roman"/>
          <w:sz w:val="24"/>
          <w:szCs w:val="24"/>
        </w:rPr>
        <w:t xml:space="preserve">. However, this association was attenuated when further adjusted for weekly cigarette smoking and cannabis use at age 15 years </w:t>
      </w:r>
      <w:r w:rsidR="000277A9">
        <w:rPr>
          <w:rFonts w:ascii="Times New Roman" w:hAnsi="Times New Roman" w:cs="Times New Roman"/>
          <w:sz w:val="24"/>
          <w:szCs w:val="24"/>
        </w:rPr>
        <w:t>(β=</w:t>
      </w:r>
      <w:r w:rsidR="007E1A0D">
        <w:rPr>
          <w:rFonts w:ascii="Times New Roman" w:hAnsi="Times New Roman" w:cs="Times New Roman"/>
          <w:sz w:val="24"/>
          <w:szCs w:val="24"/>
        </w:rPr>
        <w:t>-.08</w:t>
      </w:r>
      <w:r w:rsidR="000277A9">
        <w:rPr>
          <w:rFonts w:ascii="Times New Roman" w:hAnsi="Times New Roman" w:cs="Times New Roman"/>
          <w:sz w:val="24"/>
          <w:szCs w:val="24"/>
        </w:rPr>
        <w:t>, 95% CI=</w:t>
      </w:r>
      <w:r w:rsidR="007E1A0D">
        <w:rPr>
          <w:rFonts w:ascii="Times New Roman" w:hAnsi="Times New Roman" w:cs="Times New Roman"/>
          <w:sz w:val="24"/>
          <w:szCs w:val="24"/>
        </w:rPr>
        <w:t>-.26 to .11</w:t>
      </w:r>
      <w:r w:rsidR="000277A9">
        <w:rPr>
          <w:rFonts w:ascii="Times New Roman" w:hAnsi="Times New Roman" w:cs="Times New Roman"/>
          <w:sz w:val="24"/>
          <w:szCs w:val="24"/>
        </w:rPr>
        <w:t xml:space="preserve">, </w:t>
      </w:r>
      <w:r w:rsidR="000277A9" w:rsidRPr="00B052AC">
        <w:rPr>
          <w:rFonts w:ascii="Times New Roman" w:hAnsi="Times New Roman" w:cs="Times New Roman"/>
          <w:i/>
          <w:sz w:val="24"/>
          <w:szCs w:val="24"/>
        </w:rPr>
        <w:t>p</w:t>
      </w:r>
      <w:r w:rsidR="000277A9">
        <w:rPr>
          <w:rFonts w:ascii="Times New Roman" w:hAnsi="Times New Roman" w:cs="Times New Roman"/>
          <w:sz w:val="24"/>
          <w:szCs w:val="24"/>
        </w:rPr>
        <w:t>=.</w:t>
      </w:r>
      <w:r w:rsidR="007E1A0D">
        <w:rPr>
          <w:rFonts w:ascii="Times New Roman" w:hAnsi="Times New Roman" w:cs="Times New Roman"/>
          <w:sz w:val="24"/>
          <w:szCs w:val="24"/>
        </w:rPr>
        <w:t>39</w:t>
      </w:r>
      <w:r w:rsidR="000277A9">
        <w:rPr>
          <w:rFonts w:ascii="Times New Roman" w:hAnsi="Times New Roman" w:cs="Times New Roman"/>
          <w:sz w:val="24"/>
          <w:szCs w:val="24"/>
        </w:rPr>
        <w:t>)</w:t>
      </w:r>
      <w:r w:rsidR="001868F9">
        <w:rPr>
          <w:rFonts w:ascii="Times New Roman" w:hAnsi="Times New Roman" w:cs="Times New Roman"/>
          <w:sz w:val="24"/>
          <w:szCs w:val="24"/>
        </w:rPr>
        <w:t xml:space="preserve">. </w:t>
      </w:r>
      <w:r w:rsidR="00ED6D8F">
        <w:rPr>
          <w:rFonts w:ascii="Times New Roman" w:hAnsi="Times New Roman" w:cs="Times New Roman"/>
          <w:sz w:val="24"/>
          <w:szCs w:val="24"/>
        </w:rPr>
        <w:t>Models examining these associations for the 2-back are presented in Table S5.</w:t>
      </w:r>
    </w:p>
    <w:p w14:paraId="1AF402EA" w14:textId="1DDC2A96" w:rsidR="00F11156" w:rsidRDefault="00F11156" w:rsidP="00590C97">
      <w:pPr>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14:paraId="225A8B52" w14:textId="77777777" w:rsidR="00106B55" w:rsidRPr="00F11156" w:rsidRDefault="00106B55" w:rsidP="00590C97">
      <w:pPr>
        <w:spacing w:before="240" w:after="0" w:line="480" w:lineRule="auto"/>
        <w:jc w:val="center"/>
        <w:rPr>
          <w:rFonts w:ascii="Times New Roman" w:hAnsi="Times New Roman" w:cs="Times New Roman"/>
          <w:sz w:val="24"/>
          <w:szCs w:val="24"/>
        </w:rPr>
      </w:pPr>
    </w:p>
    <w:p w14:paraId="2C6D7CDA" w14:textId="77777777" w:rsidR="00823FD4" w:rsidRDefault="00823FD4" w:rsidP="00106B55">
      <w:pPr>
        <w:spacing w:after="0" w:line="480" w:lineRule="auto"/>
        <w:rPr>
          <w:rFonts w:ascii="Times New Roman" w:hAnsi="Times New Roman" w:cs="Times New Roman"/>
          <w:sz w:val="24"/>
          <w:szCs w:val="24"/>
        </w:rPr>
      </w:pPr>
      <w:r w:rsidRPr="00296A87">
        <w:rPr>
          <w:rFonts w:ascii="Times New Roman" w:hAnsi="Times New Roman" w:cs="Times New Roman"/>
          <w:i/>
          <w:sz w:val="24"/>
          <w:szCs w:val="24"/>
        </w:rPr>
        <w:t>Sensitivity analyses</w:t>
      </w:r>
      <w:r>
        <w:rPr>
          <w:rFonts w:ascii="Times New Roman" w:hAnsi="Times New Roman" w:cs="Times New Roman"/>
          <w:sz w:val="24"/>
          <w:szCs w:val="24"/>
        </w:rPr>
        <w:t xml:space="preserve"> </w:t>
      </w:r>
    </w:p>
    <w:p w14:paraId="364F0F8F" w14:textId="07DF8B80" w:rsidR="007A4400" w:rsidRDefault="005763EB" w:rsidP="00106B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Including </w:t>
      </w:r>
      <w:r w:rsidR="006F4694">
        <w:rPr>
          <w:rFonts w:ascii="Times New Roman" w:hAnsi="Times New Roman" w:cs="Times New Roman"/>
          <w:sz w:val="24"/>
          <w:szCs w:val="24"/>
        </w:rPr>
        <w:t>the b</w:t>
      </w:r>
      <w:r w:rsidR="00744ADA">
        <w:rPr>
          <w:rFonts w:ascii="Times New Roman" w:hAnsi="Times New Roman" w:cs="Times New Roman"/>
          <w:sz w:val="24"/>
          <w:szCs w:val="24"/>
        </w:rPr>
        <w:t>ackward digit span</w:t>
      </w:r>
      <w:r w:rsidR="006F4694">
        <w:rPr>
          <w:rFonts w:ascii="Times New Roman" w:hAnsi="Times New Roman" w:cs="Times New Roman"/>
          <w:sz w:val="24"/>
          <w:szCs w:val="24"/>
        </w:rPr>
        <w:t xml:space="preserve"> at age 8 years </w:t>
      </w:r>
      <w:r w:rsidR="00D42BB5">
        <w:rPr>
          <w:rFonts w:ascii="Times New Roman" w:hAnsi="Times New Roman" w:cs="Times New Roman"/>
          <w:sz w:val="24"/>
          <w:szCs w:val="24"/>
        </w:rPr>
        <w:t>(Table</w:t>
      </w:r>
      <w:r w:rsidR="00936354">
        <w:rPr>
          <w:rFonts w:ascii="Times New Roman" w:hAnsi="Times New Roman" w:cs="Times New Roman"/>
          <w:sz w:val="24"/>
          <w:szCs w:val="24"/>
        </w:rPr>
        <w:t>s</w:t>
      </w:r>
      <w:r w:rsidR="00D42BB5">
        <w:rPr>
          <w:rFonts w:ascii="Times New Roman" w:hAnsi="Times New Roman" w:cs="Times New Roman"/>
          <w:sz w:val="24"/>
          <w:szCs w:val="24"/>
        </w:rPr>
        <w:t xml:space="preserve"> </w:t>
      </w:r>
      <w:r w:rsidR="00936354">
        <w:rPr>
          <w:rFonts w:ascii="Times New Roman" w:hAnsi="Times New Roman" w:cs="Times New Roman"/>
          <w:sz w:val="24"/>
          <w:szCs w:val="24"/>
        </w:rPr>
        <w:t>S</w:t>
      </w:r>
      <w:r w:rsidR="0015351E">
        <w:rPr>
          <w:rFonts w:ascii="Times New Roman" w:hAnsi="Times New Roman" w:cs="Times New Roman"/>
          <w:sz w:val="24"/>
          <w:szCs w:val="24"/>
        </w:rPr>
        <w:t>6</w:t>
      </w:r>
      <w:r w:rsidR="00936354">
        <w:rPr>
          <w:rFonts w:ascii="Times New Roman" w:hAnsi="Times New Roman" w:cs="Times New Roman"/>
          <w:sz w:val="24"/>
          <w:szCs w:val="24"/>
        </w:rPr>
        <w:t>a and S</w:t>
      </w:r>
      <w:r w:rsidR="0015351E">
        <w:rPr>
          <w:rFonts w:ascii="Times New Roman" w:hAnsi="Times New Roman" w:cs="Times New Roman"/>
          <w:sz w:val="24"/>
          <w:szCs w:val="24"/>
        </w:rPr>
        <w:t>6</w:t>
      </w:r>
      <w:r w:rsidR="003C70B4">
        <w:rPr>
          <w:rFonts w:ascii="Times New Roman" w:hAnsi="Times New Roman" w:cs="Times New Roman"/>
          <w:sz w:val="24"/>
          <w:szCs w:val="24"/>
        </w:rPr>
        <w:t>b</w:t>
      </w:r>
      <w:r w:rsidR="00D42BB5">
        <w:rPr>
          <w:rFonts w:ascii="Times New Roman" w:hAnsi="Times New Roman" w:cs="Times New Roman"/>
          <w:sz w:val="24"/>
          <w:szCs w:val="24"/>
        </w:rPr>
        <w:t>)</w:t>
      </w:r>
      <w:r w:rsidR="00936354">
        <w:rPr>
          <w:rFonts w:ascii="Times New Roman" w:hAnsi="Times New Roman" w:cs="Times New Roman"/>
          <w:sz w:val="24"/>
          <w:szCs w:val="24"/>
        </w:rPr>
        <w:t xml:space="preserve"> </w:t>
      </w:r>
      <w:r w:rsidR="006F4694">
        <w:rPr>
          <w:rFonts w:ascii="Times New Roman" w:hAnsi="Times New Roman" w:cs="Times New Roman"/>
          <w:sz w:val="24"/>
          <w:szCs w:val="24"/>
        </w:rPr>
        <w:t xml:space="preserve">produced almost identical results </w:t>
      </w:r>
      <w:r w:rsidR="00DC60A6">
        <w:rPr>
          <w:rFonts w:ascii="Times New Roman" w:hAnsi="Times New Roman" w:cs="Times New Roman"/>
          <w:sz w:val="24"/>
          <w:szCs w:val="24"/>
        </w:rPr>
        <w:t xml:space="preserve">demonstrating evidence of </w:t>
      </w:r>
      <w:r w:rsidR="00921055">
        <w:rPr>
          <w:rFonts w:ascii="Times New Roman" w:hAnsi="Times New Roman" w:cs="Times New Roman"/>
          <w:sz w:val="24"/>
          <w:szCs w:val="24"/>
        </w:rPr>
        <w:t xml:space="preserve">an </w:t>
      </w:r>
      <w:r w:rsidR="00DC60A6">
        <w:rPr>
          <w:rFonts w:ascii="Times New Roman" w:hAnsi="Times New Roman" w:cs="Times New Roman"/>
          <w:sz w:val="24"/>
          <w:szCs w:val="24"/>
        </w:rPr>
        <w:t>associat</w:t>
      </w:r>
      <w:r w:rsidR="00921055">
        <w:rPr>
          <w:rFonts w:ascii="Times New Roman" w:hAnsi="Times New Roman" w:cs="Times New Roman"/>
          <w:sz w:val="24"/>
          <w:szCs w:val="24"/>
        </w:rPr>
        <w:t xml:space="preserve">ion </w:t>
      </w:r>
      <w:r w:rsidR="00DC60A6">
        <w:rPr>
          <w:rFonts w:ascii="Times New Roman" w:hAnsi="Times New Roman" w:cs="Times New Roman"/>
          <w:sz w:val="24"/>
          <w:szCs w:val="24"/>
        </w:rPr>
        <w:t>for</w:t>
      </w:r>
      <w:r w:rsidR="00921055">
        <w:rPr>
          <w:rFonts w:ascii="Times New Roman" w:hAnsi="Times New Roman" w:cs="Times New Roman"/>
          <w:sz w:val="24"/>
          <w:szCs w:val="24"/>
        </w:rPr>
        <w:t xml:space="preserve"> frequent and binge drinking and</w:t>
      </w:r>
      <w:r w:rsidR="00DC60A6">
        <w:rPr>
          <w:rFonts w:ascii="Times New Roman" w:hAnsi="Times New Roman" w:cs="Times New Roman"/>
          <w:sz w:val="24"/>
          <w:szCs w:val="24"/>
        </w:rPr>
        <w:t xml:space="preserve"> </w:t>
      </w:r>
      <w:r w:rsidR="00933AA4">
        <w:rPr>
          <w:rFonts w:ascii="Times New Roman" w:hAnsi="Times New Roman" w:cs="Times New Roman"/>
          <w:sz w:val="24"/>
          <w:szCs w:val="24"/>
        </w:rPr>
        <w:t>both</w:t>
      </w:r>
      <w:r w:rsidR="00DC60A6">
        <w:rPr>
          <w:rFonts w:ascii="Times New Roman" w:hAnsi="Times New Roman" w:cs="Times New Roman"/>
          <w:sz w:val="24"/>
          <w:szCs w:val="24"/>
        </w:rPr>
        <w:t xml:space="preserve"> </w:t>
      </w:r>
      <w:r w:rsidR="00933AA4">
        <w:rPr>
          <w:rFonts w:ascii="Times New Roman" w:hAnsi="Times New Roman" w:cs="Times New Roman"/>
          <w:sz w:val="24"/>
          <w:szCs w:val="24"/>
        </w:rPr>
        <w:t>t</w:t>
      </w:r>
      <w:r w:rsidR="00DC60A6">
        <w:rPr>
          <w:rFonts w:ascii="Times New Roman" w:hAnsi="Times New Roman" w:cs="Times New Roman"/>
          <w:sz w:val="24"/>
          <w:szCs w:val="24"/>
        </w:rPr>
        <w:t>he 2-and 3-back tasks (stronger associations for the 3-back task)</w:t>
      </w:r>
      <w:r w:rsidR="00921055">
        <w:rPr>
          <w:rFonts w:ascii="Times New Roman" w:hAnsi="Times New Roman" w:cs="Times New Roman"/>
          <w:sz w:val="24"/>
          <w:szCs w:val="24"/>
        </w:rPr>
        <w:t xml:space="preserve"> compared to low alcohol users.</w:t>
      </w:r>
      <w:r w:rsidR="00F74CF8">
        <w:rPr>
          <w:rFonts w:ascii="Times New Roman" w:hAnsi="Times New Roman" w:cs="Times New Roman"/>
          <w:sz w:val="24"/>
          <w:szCs w:val="24"/>
        </w:rPr>
        <w:t xml:space="preserve"> </w:t>
      </w:r>
      <w:r w:rsidR="00C9039E">
        <w:rPr>
          <w:rFonts w:ascii="Times New Roman" w:hAnsi="Times New Roman" w:cs="Times New Roman"/>
          <w:sz w:val="24"/>
          <w:szCs w:val="24"/>
        </w:rPr>
        <w:t>R</w:t>
      </w:r>
      <w:r w:rsidR="00CF58CC">
        <w:rPr>
          <w:rFonts w:ascii="Times New Roman" w:hAnsi="Times New Roman" w:cs="Times New Roman"/>
          <w:sz w:val="24"/>
          <w:szCs w:val="24"/>
        </w:rPr>
        <w:t>epeating the analys</w:t>
      </w:r>
      <w:r w:rsidR="00F154F4">
        <w:rPr>
          <w:rFonts w:ascii="Times New Roman" w:hAnsi="Times New Roman" w:cs="Times New Roman"/>
          <w:sz w:val="24"/>
          <w:szCs w:val="24"/>
        </w:rPr>
        <w:t>e</w:t>
      </w:r>
      <w:r w:rsidR="00CF58CC">
        <w:rPr>
          <w:rFonts w:ascii="Times New Roman" w:hAnsi="Times New Roman" w:cs="Times New Roman"/>
          <w:sz w:val="24"/>
          <w:szCs w:val="24"/>
        </w:rPr>
        <w:t>s using participants who had complete data on alcohol use, WM measures and all confounding variables produced weaker associations compared to the analyses using the fully imputed data</w:t>
      </w:r>
      <w:r w:rsidR="00A45B1A">
        <w:rPr>
          <w:rFonts w:ascii="Times New Roman" w:hAnsi="Times New Roman" w:cs="Times New Roman"/>
          <w:sz w:val="24"/>
          <w:szCs w:val="24"/>
        </w:rPr>
        <w:t xml:space="preserve"> (Tables S</w:t>
      </w:r>
      <w:r w:rsidR="0015351E">
        <w:rPr>
          <w:rFonts w:ascii="Times New Roman" w:hAnsi="Times New Roman" w:cs="Times New Roman"/>
          <w:sz w:val="24"/>
          <w:szCs w:val="24"/>
        </w:rPr>
        <w:t>7</w:t>
      </w:r>
      <w:r w:rsidR="00A45B1A">
        <w:rPr>
          <w:rFonts w:ascii="Times New Roman" w:hAnsi="Times New Roman" w:cs="Times New Roman"/>
          <w:sz w:val="24"/>
          <w:szCs w:val="24"/>
        </w:rPr>
        <w:t>a and S</w:t>
      </w:r>
      <w:r w:rsidR="0015351E">
        <w:rPr>
          <w:rFonts w:ascii="Times New Roman" w:hAnsi="Times New Roman" w:cs="Times New Roman"/>
          <w:sz w:val="24"/>
          <w:szCs w:val="24"/>
        </w:rPr>
        <w:t>7</w:t>
      </w:r>
      <w:r w:rsidR="00CF58CC">
        <w:rPr>
          <w:rFonts w:ascii="Times New Roman" w:hAnsi="Times New Roman" w:cs="Times New Roman"/>
          <w:sz w:val="24"/>
          <w:szCs w:val="24"/>
        </w:rPr>
        <w:t>b). Notably, the estimates for the fully adjusted models (Model 4) were</w:t>
      </w:r>
      <w:r w:rsidR="005756EF">
        <w:rPr>
          <w:rFonts w:ascii="Times New Roman" w:hAnsi="Times New Roman" w:cs="Times New Roman"/>
          <w:sz w:val="24"/>
          <w:szCs w:val="24"/>
        </w:rPr>
        <w:t xml:space="preserve"> </w:t>
      </w:r>
      <w:r w:rsidR="00AF450F">
        <w:rPr>
          <w:rFonts w:ascii="Times New Roman" w:hAnsi="Times New Roman" w:cs="Times New Roman"/>
          <w:sz w:val="24"/>
          <w:szCs w:val="24"/>
        </w:rPr>
        <w:t>similar</w:t>
      </w:r>
      <w:r w:rsidR="007A4400">
        <w:rPr>
          <w:rFonts w:ascii="Times New Roman" w:hAnsi="Times New Roman" w:cs="Times New Roman"/>
          <w:sz w:val="24"/>
          <w:szCs w:val="24"/>
        </w:rPr>
        <w:t xml:space="preserve">. </w:t>
      </w:r>
    </w:p>
    <w:p w14:paraId="21CA3C04" w14:textId="51B6A519" w:rsidR="00E64919" w:rsidRPr="00CA3817" w:rsidRDefault="00E64919" w:rsidP="00106B55">
      <w:pPr>
        <w:tabs>
          <w:tab w:val="center" w:pos="4513"/>
        </w:tabs>
        <w:spacing w:before="240" w:after="0" w:line="480" w:lineRule="auto"/>
        <w:rPr>
          <w:rFonts w:ascii="Times New Roman" w:hAnsi="Times New Roman" w:cs="Times New Roman"/>
          <w:sz w:val="24"/>
          <w:szCs w:val="24"/>
        </w:rPr>
      </w:pPr>
      <w:r w:rsidRPr="00CA3817">
        <w:rPr>
          <w:rFonts w:ascii="Times New Roman" w:hAnsi="Times New Roman" w:cs="Times New Roman"/>
          <w:b/>
          <w:sz w:val="24"/>
          <w:szCs w:val="24"/>
        </w:rPr>
        <w:lastRenderedPageBreak/>
        <w:t>DISCUSSION</w:t>
      </w:r>
      <w:r w:rsidR="00106B55">
        <w:rPr>
          <w:rFonts w:ascii="Times New Roman" w:hAnsi="Times New Roman" w:cs="Times New Roman"/>
          <w:b/>
          <w:sz w:val="24"/>
          <w:szCs w:val="24"/>
        </w:rPr>
        <w:tab/>
      </w:r>
    </w:p>
    <w:p w14:paraId="666D346D" w14:textId="48EE8479" w:rsidR="007005AF" w:rsidRDefault="00983D4B" w:rsidP="00333E67">
      <w:pPr>
        <w:spacing w:after="0" w:line="480" w:lineRule="auto"/>
        <w:rPr>
          <w:rFonts w:ascii="Times New Roman" w:hAnsi="Times New Roman" w:cs="Times New Roman"/>
          <w:sz w:val="24"/>
          <w:szCs w:val="24"/>
        </w:rPr>
      </w:pPr>
      <w:r>
        <w:rPr>
          <w:rFonts w:ascii="Times New Roman" w:hAnsi="Times New Roman" w:cs="Times New Roman"/>
          <w:sz w:val="24"/>
          <w:szCs w:val="24"/>
        </w:rPr>
        <w:t>In this study, w</w:t>
      </w:r>
      <w:r w:rsidR="00DF4B45">
        <w:rPr>
          <w:rFonts w:ascii="Times New Roman" w:hAnsi="Times New Roman" w:cs="Times New Roman"/>
          <w:sz w:val="24"/>
          <w:szCs w:val="24"/>
        </w:rPr>
        <w:t>e found</w:t>
      </w:r>
      <w:r w:rsidR="00A77630">
        <w:rPr>
          <w:rFonts w:ascii="Times New Roman" w:hAnsi="Times New Roman" w:cs="Times New Roman"/>
          <w:sz w:val="24"/>
          <w:szCs w:val="24"/>
        </w:rPr>
        <w:t xml:space="preserve"> </w:t>
      </w:r>
      <w:r w:rsidR="008A4E1D">
        <w:rPr>
          <w:rFonts w:ascii="Times New Roman" w:hAnsi="Times New Roman" w:cs="Times New Roman"/>
          <w:sz w:val="24"/>
          <w:szCs w:val="24"/>
        </w:rPr>
        <w:t>weak</w:t>
      </w:r>
      <w:r w:rsidR="00EC3CB9">
        <w:rPr>
          <w:rFonts w:ascii="Times New Roman" w:hAnsi="Times New Roman" w:cs="Times New Roman"/>
          <w:sz w:val="24"/>
          <w:szCs w:val="24"/>
        </w:rPr>
        <w:t xml:space="preserve"> </w:t>
      </w:r>
      <w:r w:rsidR="00DF4B45">
        <w:rPr>
          <w:rFonts w:ascii="Times New Roman" w:hAnsi="Times New Roman" w:cs="Times New Roman"/>
          <w:sz w:val="24"/>
          <w:szCs w:val="24"/>
        </w:rPr>
        <w:t>evidence of a</w:t>
      </w:r>
      <w:r w:rsidR="00A7347B">
        <w:rPr>
          <w:rFonts w:ascii="Times New Roman" w:hAnsi="Times New Roman" w:cs="Times New Roman"/>
          <w:sz w:val="24"/>
          <w:szCs w:val="24"/>
        </w:rPr>
        <w:t xml:space="preserve"> prospective </w:t>
      </w:r>
      <w:r w:rsidR="00DF4B45">
        <w:rPr>
          <w:rFonts w:ascii="Times New Roman" w:hAnsi="Times New Roman" w:cs="Times New Roman"/>
          <w:sz w:val="24"/>
          <w:szCs w:val="24"/>
        </w:rPr>
        <w:t xml:space="preserve">association between </w:t>
      </w:r>
      <w:r>
        <w:rPr>
          <w:rFonts w:ascii="Times New Roman" w:hAnsi="Times New Roman" w:cs="Times New Roman"/>
          <w:sz w:val="24"/>
          <w:szCs w:val="24"/>
        </w:rPr>
        <w:t xml:space="preserve">alcohol use </w:t>
      </w:r>
      <w:r w:rsidR="00DF4B45">
        <w:rPr>
          <w:rFonts w:ascii="Times New Roman" w:hAnsi="Times New Roman" w:cs="Times New Roman"/>
          <w:sz w:val="24"/>
          <w:szCs w:val="24"/>
        </w:rPr>
        <w:t xml:space="preserve">at age 15 years and impaired WM performance </w:t>
      </w:r>
      <w:r w:rsidR="005E05DD">
        <w:rPr>
          <w:rFonts w:ascii="Times New Roman" w:hAnsi="Times New Roman" w:cs="Times New Roman"/>
          <w:sz w:val="24"/>
          <w:szCs w:val="24"/>
        </w:rPr>
        <w:t>three years later</w:t>
      </w:r>
      <w:r w:rsidR="00DF4B45">
        <w:rPr>
          <w:rFonts w:ascii="Times New Roman" w:hAnsi="Times New Roman" w:cs="Times New Roman"/>
          <w:sz w:val="24"/>
          <w:szCs w:val="24"/>
        </w:rPr>
        <w:t xml:space="preserve"> in a general population birth cohort.</w:t>
      </w:r>
      <w:r w:rsidR="007005AF">
        <w:rPr>
          <w:rFonts w:ascii="Times New Roman" w:hAnsi="Times New Roman" w:cs="Times New Roman"/>
          <w:sz w:val="24"/>
          <w:szCs w:val="24"/>
        </w:rPr>
        <w:t xml:space="preserve"> </w:t>
      </w:r>
      <w:r>
        <w:rPr>
          <w:rFonts w:ascii="Times New Roman" w:hAnsi="Times New Roman" w:cs="Times New Roman"/>
          <w:sz w:val="24"/>
          <w:szCs w:val="24"/>
        </w:rPr>
        <w:t xml:space="preserve">This association was evident </w:t>
      </w:r>
      <w:r w:rsidR="00672D3A">
        <w:rPr>
          <w:rFonts w:ascii="Times New Roman" w:hAnsi="Times New Roman" w:cs="Times New Roman"/>
          <w:sz w:val="24"/>
          <w:szCs w:val="24"/>
        </w:rPr>
        <w:t xml:space="preserve">in </w:t>
      </w:r>
      <w:r w:rsidR="0005445A">
        <w:rPr>
          <w:rFonts w:ascii="Times New Roman" w:hAnsi="Times New Roman" w:cs="Times New Roman"/>
          <w:sz w:val="24"/>
          <w:szCs w:val="24"/>
        </w:rPr>
        <w:t>adolescents</w:t>
      </w:r>
      <w:r w:rsidR="00672D3A">
        <w:rPr>
          <w:rFonts w:ascii="Times New Roman" w:hAnsi="Times New Roman" w:cs="Times New Roman"/>
          <w:sz w:val="24"/>
          <w:szCs w:val="24"/>
        </w:rPr>
        <w:t xml:space="preserve"> who were </w:t>
      </w:r>
      <w:r w:rsidR="007B0C6C">
        <w:rPr>
          <w:rFonts w:ascii="Times New Roman" w:hAnsi="Times New Roman" w:cs="Times New Roman"/>
          <w:sz w:val="24"/>
          <w:szCs w:val="24"/>
        </w:rPr>
        <w:t>frequent and</w:t>
      </w:r>
      <w:r w:rsidR="00672D3A">
        <w:rPr>
          <w:rFonts w:ascii="Times New Roman" w:hAnsi="Times New Roman" w:cs="Times New Roman"/>
          <w:sz w:val="24"/>
          <w:szCs w:val="24"/>
        </w:rPr>
        <w:t xml:space="preserve"> binge drinkers </w:t>
      </w:r>
      <w:r>
        <w:rPr>
          <w:rFonts w:ascii="Times New Roman" w:hAnsi="Times New Roman" w:cs="Times New Roman"/>
          <w:sz w:val="24"/>
          <w:szCs w:val="24"/>
        </w:rPr>
        <w:t>for</w:t>
      </w:r>
      <w:r w:rsidR="00CB1467">
        <w:rPr>
          <w:rFonts w:ascii="Times New Roman" w:hAnsi="Times New Roman" w:cs="Times New Roman"/>
          <w:sz w:val="24"/>
          <w:szCs w:val="24"/>
        </w:rPr>
        <w:t xml:space="preserve"> </w:t>
      </w:r>
      <w:r w:rsidR="00541914">
        <w:rPr>
          <w:rFonts w:ascii="Times New Roman" w:hAnsi="Times New Roman" w:cs="Times New Roman"/>
          <w:sz w:val="24"/>
          <w:szCs w:val="24"/>
        </w:rPr>
        <w:t xml:space="preserve">the more </w:t>
      </w:r>
      <w:r w:rsidR="00EE6775">
        <w:rPr>
          <w:rFonts w:ascii="Times New Roman" w:hAnsi="Times New Roman" w:cs="Times New Roman"/>
          <w:sz w:val="24"/>
          <w:szCs w:val="24"/>
        </w:rPr>
        <w:t>demanding</w:t>
      </w:r>
      <w:r w:rsidR="00541914">
        <w:rPr>
          <w:rFonts w:ascii="Times New Roman" w:hAnsi="Times New Roman" w:cs="Times New Roman"/>
          <w:sz w:val="24"/>
          <w:szCs w:val="24"/>
        </w:rPr>
        <w:t xml:space="preserve"> 3-back </w:t>
      </w:r>
      <w:r w:rsidR="008E14D7">
        <w:rPr>
          <w:rFonts w:ascii="Times New Roman" w:hAnsi="Times New Roman" w:cs="Times New Roman"/>
          <w:sz w:val="24"/>
          <w:szCs w:val="24"/>
        </w:rPr>
        <w:t>version</w:t>
      </w:r>
      <w:r w:rsidR="00541914">
        <w:rPr>
          <w:rFonts w:ascii="Times New Roman" w:hAnsi="Times New Roman" w:cs="Times New Roman"/>
          <w:sz w:val="24"/>
          <w:szCs w:val="24"/>
        </w:rPr>
        <w:t xml:space="preserve"> of the task (assessed using the </w:t>
      </w:r>
      <w:r w:rsidR="007F114B">
        <w:rPr>
          <w:rFonts w:ascii="Times New Roman" w:hAnsi="Times New Roman" w:cs="Times New Roman"/>
          <w:i/>
          <w:sz w:val="24"/>
          <w:szCs w:val="24"/>
        </w:rPr>
        <w:t>d´</w:t>
      </w:r>
      <w:r w:rsidR="00541914" w:rsidRPr="00B06CE4">
        <w:rPr>
          <w:rFonts w:ascii="Times New Roman" w:hAnsi="Times New Roman" w:cs="Times New Roman"/>
          <w:sz w:val="24"/>
          <w:szCs w:val="24"/>
        </w:rPr>
        <w:t>)</w:t>
      </w:r>
      <w:r w:rsidR="00541914">
        <w:rPr>
          <w:rFonts w:ascii="Times New Roman" w:hAnsi="Times New Roman" w:cs="Times New Roman"/>
          <w:i/>
          <w:sz w:val="24"/>
          <w:szCs w:val="24"/>
        </w:rPr>
        <w:t xml:space="preserve"> </w:t>
      </w:r>
      <w:r w:rsidR="00541914">
        <w:rPr>
          <w:rFonts w:ascii="Times New Roman" w:hAnsi="Times New Roman" w:cs="Times New Roman"/>
          <w:sz w:val="24"/>
          <w:szCs w:val="24"/>
        </w:rPr>
        <w:t xml:space="preserve">after adjusting for </w:t>
      </w:r>
      <w:r w:rsidR="004B4138">
        <w:rPr>
          <w:rFonts w:ascii="Times New Roman" w:hAnsi="Times New Roman" w:cs="Times New Roman"/>
          <w:sz w:val="24"/>
          <w:szCs w:val="24"/>
        </w:rPr>
        <w:t xml:space="preserve">a number of </w:t>
      </w:r>
      <w:r w:rsidR="00672D3A">
        <w:rPr>
          <w:rFonts w:ascii="Times New Roman" w:hAnsi="Times New Roman" w:cs="Times New Roman"/>
          <w:sz w:val="24"/>
          <w:szCs w:val="24"/>
        </w:rPr>
        <w:t xml:space="preserve">sociodemographic </w:t>
      </w:r>
      <w:r w:rsidR="00541914">
        <w:rPr>
          <w:rFonts w:ascii="Times New Roman" w:hAnsi="Times New Roman" w:cs="Times New Roman"/>
          <w:sz w:val="24"/>
          <w:szCs w:val="24"/>
        </w:rPr>
        <w:t>confounding variables,</w:t>
      </w:r>
      <w:r w:rsidR="00EC3CB9">
        <w:rPr>
          <w:rFonts w:ascii="Times New Roman" w:hAnsi="Times New Roman" w:cs="Times New Roman"/>
          <w:sz w:val="24"/>
          <w:szCs w:val="24"/>
        </w:rPr>
        <w:t xml:space="preserve"> measure of </w:t>
      </w:r>
      <w:r w:rsidR="00411B59">
        <w:rPr>
          <w:rFonts w:ascii="Times New Roman" w:hAnsi="Times New Roman" w:cs="Times New Roman"/>
          <w:sz w:val="24"/>
          <w:szCs w:val="24"/>
        </w:rPr>
        <w:t>WM at age 11 years</w:t>
      </w:r>
      <w:r w:rsidR="00593AD0">
        <w:rPr>
          <w:rFonts w:ascii="Times New Roman" w:hAnsi="Times New Roman" w:cs="Times New Roman"/>
          <w:sz w:val="24"/>
          <w:szCs w:val="24"/>
        </w:rPr>
        <w:t xml:space="preserve"> and participants who had a head injury/ unconsciousness before age 11 years</w:t>
      </w:r>
      <w:r w:rsidR="0066346F">
        <w:rPr>
          <w:rFonts w:ascii="Times New Roman" w:hAnsi="Times New Roman" w:cs="Times New Roman"/>
          <w:sz w:val="24"/>
          <w:szCs w:val="24"/>
        </w:rPr>
        <w:t>.</w:t>
      </w:r>
      <w:r w:rsidR="008106F8">
        <w:rPr>
          <w:rFonts w:ascii="Times New Roman" w:hAnsi="Times New Roman" w:cs="Times New Roman"/>
          <w:sz w:val="24"/>
          <w:szCs w:val="24"/>
        </w:rPr>
        <w:t xml:space="preserve"> However, this </w:t>
      </w:r>
      <w:r w:rsidR="00E73E44">
        <w:rPr>
          <w:rFonts w:ascii="Times New Roman" w:hAnsi="Times New Roman" w:cs="Times New Roman"/>
          <w:sz w:val="24"/>
          <w:szCs w:val="24"/>
        </w:rPr>
        <w:t>association</w:t>
      </w:r>
      <w:r w:rsidR="008106F8">
        <w:rPr>
          <w:rFonts w:ascii="Times New Roman" w:hAnsi="Times New Roman" w:cs="Times New Roman"/>
          <w:sz w:val="24"/>
          <w:szCs w:val="24"/>
        </w:rPr>
        <w:t xml:space="preserve"> was attenuated when controlling for </w:t>
      </w:r>
      <w:r w:rsidR="00EC3CB9">
        <w:rPr>
          <w:rFonts w:ascii="Times New Roman" w:hAnsi="Times New Roman" w:cs="Times New Roman"/>
          <w:sz w:val="24"/>
          <w:szCs w:val="24"/>
        </w:rPr>
        <w:t>measures of cigarette</w:t>
      </w:r>
      <w:r w:rsidR="004B4138">
        <w:rPr>
          <w:rFonts w:ascii="Times New Roman" w:hAnsi="Times New Roman" w:cs="Times New Roman"/>
          <w:sz w:val="24"/>
          <w:szCs w:val="24"/>
        </w:rPr>
        <w:t xml:space="preserve"> smoking</w:t>
      </w:r>
      <w:r w:rsidR="00EC3CB9">
        <w:rPr>
          <w:rFonts w:ascii="Times New Roman" w:hAnsi="Times New Roman" w:cs="Times New Roman"/>
          <w:sz w:val="24"/>
          <w:szCs w:val="24"/>
        </w:rPr>
        <w:t xml:space="preserve"> and cannabis use</w:t>
      </w:r>
      <w:r>
        <w:rPr>
          <w:rFonts w:ascii="Times New Roman" w:hAnsi="Times New Roman" w:cs="Times New Roman"/>
          <w:sz w:val="24"/>
          <w:szCs w:val="24"/>
        </w:rPr>
        <w:t>.</w:t>
      </w:r>
      <w:r w:rsidR="00B06CE4">
        <w:rPr>
          <w:rFonts w:ascii="Times New Roman" w:hAnsi="Times New Roman" w:cs="Times New Roman"/>
          <w:sz w:val="24"/>
          <w:szCs w:val="24"/>
        </w:rPr>
        <w:t xml:space="preserve"> </w:t>
      </w:r>
      <w:r w:rsidR="00E85BDD">
        <w:rPr>
          <w:rFonts w:ascii="Times New Roman" w:hAnsi="Times New Roman" w:cs="Times New Roman"/>
          <w:sz w:val="24"/>
          <w:szCs w:val="24"/>
        </w:rPr>
        <w:t xml:space="preserve">When examining </w:t>
      </w:r>
      <w:r w:rsidR="00CA3BA7">
        <w:rPr>
          <w:rFonts w:ascii="Times New Roman" w:hAnsi="Times New Roman" w:cs="Times New Roman"/>
          <w:sz w:val="24"/>
          <w:szCs w:val="24"/>
        </w:rPr>
        <w:t xml:space="preserve">specific indices of WM, false alarms showed the strongest association, suggesting that performance on the task </w:t>
      </w:r>
      <w:r w:rsidR="003D28C6">
        <w:rPr>
          <w:rFonts w:ascii="Times New Roman" w:hAnsi="Times New Roman" w:cs="Times New Roman"/>
          <w:sz w:val="24"/>
          <w:szCs w:val="24"/>
        </w:rPr>
        <w:t>was</w:t>
      </w:r>
      <w:r w:rsidR="00CA3BA7">
        <w:rPr>
          <w:rFonts w:ascii="Times New Roman" w:hAnsi="Times New Roman" w:cs="Times New Roman"/>
          <w:sz w:val="24"/>
          <w:szCs w:val="24"/>
        </w:rPr>
        <w:t xml:space="preserve"> affected by poor accuracy in rejecting non-targets rather than poor accuracy in detecting targets. There</w:t>
      </w:r>
      <w:r>
        <w:rPr>
          <w:rFonts w:ascii="Times New Roman" w:hAnsi="Times New Roman" w:cs="Times New Roman"/>
          <w:sz w:val="24"/>
          <w:szCs w:val="24"/>
        </w:rPr>
        <w:t xml:space="preserve"> was insufficient evidence for </w:t>
      </w:r>
      <w:r w:rsidR="00CB1467">
        <w:rPr>
          <w:rFonts w:ascii="Times New Roman" w:hAnsi="Times New Roman" w:cs="Times New Roman"/>
          <w:sz w:val="24"/>
          <w:szCs w:val="24"/>
        </w:rPr>
        <w:t>a</w:t>
      </w:r>
      <w:r w:rsidR="005E05DD">
        <w:rPr>
          <w:rFonts w:ascii="Times New Roman" w:hAnsi="Times New Roman" w:cs="Times New Roman"/>
          <w:sz w:val="24"/>
          <w:szCs w:val="24"/>
        </w:rPr>
        <w:t>n</w:t>
      </w:r>
      <w:r w:rsidR="009A7AF3">
        <w:rPr>
          <w:rFonts w:ascii="Times New Roman" w:hAnsi="Times New Roman" w:cs="Times New Roman"/>
          <w:sz w:val="24"/>
          <w:szCs w:val="24"/>
        </w:rPr>
        <w:t xml:space="preserve"> association between</w:t>
      </w:r>
      <w:r w:rsidR="00F26287">
        <w:rPr>
          <w:rFonts w:ascii="Times New Roman" w:hAnsi="Times New Roman" w:cs="Times New Roman"/>
          <w:sz w:val="24"/>
          <w:szCs w:val="24"/>
        </w:rPr>
        <w:t xml:space="preserve"> moderate drinking</w:t>
      </w:r>
      <w:r w:rsidR="00421ED3">
        <w:rPr>
          <w:rFonts w:ascii="Times New Roman" w:hAnsi="Times New Roman" w:cs="Times New Roman"/>
          <w:sz w:val="24"/>
          <w:szCs w:val="24"/>
        </w:rPr>
        <w:t xml:space="preserve"> practices</w:t>
      </w:r>
      <w:r w:rsidR="009A7AF3">
        <w:rPr>
          <w:rFonts w:ascii="Times New Roman" w:hAnsi="Times New Roman" w:cs="Times New Roman"/>
          <w:sz w:val="24"/>
          <w:szCs w:val="24"/>
        </w:rPr>
        <w:t xml:space="preserve"> </w:t>
      </w:r>
      <w:r w:rsidR="00F26287">
        <w:rPr>
          <w:rFonts w:ascii="Times New Roman" w:hAnsi="Times New Roman" w:cs="Times New Roman"/>
          <w:sz w:val="24"/>
          <w:szCs w:val="24"/>
        </w:rPr>
        <w:t xml:space="preserve">(i.e., frequent drinking only) </w:t>
      </w:r>
      <w:r w:rsidR="009A7AF3">
        <w:rPr>
          <w:rFonts w:ascii="Times New Roman" w:hAnsi="Times New Roman" w:cs="Times New Roman"/>
          <w:sz w:val="24"/>
          <w:szCs w:val="24"/>
        </w:rPr>
        <w:t>and WM</w:t>
      </w:r>
      <w:r w:rsidR="00BC6856">
        <w:rPr>
          <w:rFonts w:ascii="Times New Roman" w:hAnsi="Times New Roman" w:cs="Times New Roman"/>
          <w:sz w:val="24"/>
          <w:szCs w:val="24"/>
        </w:rPr>
        <w:t xml:space="preserve"> </w:t>
      </w:r>
      <w:r w:rsidR="00F26287">
        <w:rPr>
          <w:rFonts w:ascii="Times New Roman" w:hAnsi="Times New Roman" w:cs="Times New Roman"/>
          <w:sz w:val="24"/>
          <w:szCs w:val="24"/>
        </w:rPr>
        <w:t xml:space="preserve">performance </w:t>
      </w:r>
      <w:r w:rsidR="005E05DD">
        <w:rPr>
          <w:rFonts w:ascii="Times New Roman" w:hAnsi="Times New Roman" w:cs="Times New Roman"/>
          <w:sz w:val="24"/>
          <w:szCs w:val="24"/>
        </w:rPr>
        <w:t xml:space="preserve">three years later </w:t>
      </w:r>
      <w:r w:rsidR="00BC6856">
        <w:rPr>
          <w:rFonts w:ascii="Times New Roman" w:hAnsi="Times New Roman" w:cs="Times New Roman"/>
          <w:sz w:val="24"/>
          <w:szCs w:val="24"/>
        </w:rPr>
        <w:t>for either the 2-back or 3-back versions</w:t>
      </w:r>
      <w:r w:rsidR="009A7AF3">
        <w:rPr>
          <w:rFonts w:ascii="Times New Roman" w:hAnsi="Times New Roman" w:cs="Times New Roman"/>
          <w:sz w:val="24"/>
          <w:szCs w:val="24"/>
        </w:rPr>
        <w:t xml:space="preserve">. </w:t>
      </w:r>
    </w:p>
    <w:p w14:paraId="068124AD" w14:textId="776A722E" w:rsidR="00762F7F" w:rsidRDefault="00621E31" w:rsidP="009961C5">
      <w:pPr>
        <w:spacing w:before="240" w:after="0" w:line="480" w:lineRule="auto"/>
        <w:rPr>
          <w:rFonts w:ascii="Times New Roman" w:hAnsi="Times New Roman" w:cs="Times New Roman"/>
          <w:i/>
          <w:sz w:val="24"/>
          <w:szCs w:val="24"/>
        </w:rPr>
      </w:pPr>
      <w:r w:rsidRPr="00621E31">
        <w:rPr>
          <w:rFonts w:ascii="Times New Roman" w:hAnsi="Times New Roman" w:cs="Times New Roman"/>
          <w:i/>
          <w:sz w:val="24"/>
          <w:szCs w:val="24"/>
        </w:rPr>
        <w:t xml:space="preserve">Limitations </w:t>
      </w:r>
    </w:p>
    <w:p w14:paraId="4B2AA100" w14:textId="3A22D3D3" w:rsidR="00FE31E1" w:rsidRDefault="001E5C94" w:rsidP="00A94D39">
      <w:pPr>
        <w:spacing w:after="0" w:line="480" w:lineRule="auto"/>
        <w:rPr>
          <w:rFonts w:ascii="Times New Roman" w:hAnsi="Times New Roman" w:cs="Times New Roman"/>
          <w:sz w:val="24"/>
          <w:szCs w:val="24"/>
        </w:rPr>
      </w:pPr>
      <w:r w:rsidRPr="001E5C94">
        <w:rPr>
          <w:rFonts w:ascii="Times New Roman" w:hAnsi="Times New Roman" w:cs="Times New Roman"/>
          <w:sz w:val="24"/>
          <w:szCs w:val="24"/>
        </w:rPr>
        <w:t xml:space="preserve">The present study should be considered in light of a number of limitations. </w:t>
      </w:r>
      <w:r w:rsidR="006A2BA4">
        <w:rPr>
          <w:rFonts w:ascii="Times New Roman" w:hAnsi="Times New Roman" w:cs="Times New Roman"/>
          <w:sz w:val="24"/>
          <w:szCs w:val="24"/>
        </w:rPr>
        <w:t>First</w:t>
      </w:r>
      <w:r w:rsidR="009B0F46">
        <w:rPr>
          <w:rFonts w:ascii="Times New Roman" w:hAnsi="Times New Roman" w:cs="Times New Roman"/>
          <w:sz w:val="24"/>
          <w:szCs w:val="24"/>
        </w:rPr>
        <w:t xml:space="preserve">, </w:t>
      </w:r>
      <w:r w:rsidR="00BA7E03">
        <w:rPr>
          <w:rFonts w:ascii="Times New Roman" w:hAnsi="Times New Roman" w:cs="Times New Roman"/>
          <w:sz w:val="24"/>
          <w:szCs w:val="24"/>
        </w:rPr>
        <w:t xml:space="preserve">the </w:t>
      </w:r>
      <w:r w:rsidRPr="00652247">
        <w:rPr>
          <w:rFonts w:ascii="Times New Roman" w:hAnsi="Times New Roman" w:cs="Times New Roman"/>
          <w:sz w:val="24"/>
          <w:szCs w:val="24"/>
        </w:rPr>
        <w:t xml:space="preserve">ALSPAC </w:t>
      </w:r>
      <w:r w:rsidR="00BA7E03">
        <w:rPr>
          <w:rFonts w:ascii="Times New Roman" w:hAnsi="Times New Roman" w:cs="Times New Roman"/>
          <w:sz w:val="24"/>
          <w:szCs w:val="24"/>
        </w:rPr>
        <w:t xml:space="preserve">cohort </w:t>
      </w:r>
      <w:r w:rsidRPr="00652247">
        <w:rPr>
          <w:rFonts w:ascii="Times New Roman" w:hAnsi="Times New Roman" w:cs="Times New Roman"/>
          <w:sz w:val="24"/>
          <w:szCs w:val="24"/>
        </w:rPr>
        <w:t>suffers from attrition, which is higher among the socially disadvantaged</w:t>
      </w:r>
      <w:r w:rsidR="003610D6">
        <w:rPr>
          <w:rFonts w:ascii="Times New Roman" w:hAnsi="Times New Roman" w:cs="Times New Roman"/>
          <w:sz w:val="24"/>
          <w:szCs w:val="24"/>
        </w:rPr>
        <w:t xml:space="preserve"> </w:t>
      </w:r>
      <w:r w:rsidR="003610D6">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"10.1192/bjp.bp.108.053751", "ISSN" : "1472-1465", "PMID" : "19721116", "abstract" : "BACKGROUND: Participant drop-out occurs in all longitudinal studies, and if systematic, may lead to selection biases and erroneous conclusions being drawn from a study. AIMS: We investigated whether drop out in the Avon Longitudinal Study of Parents And Children (ALSPAC) was systematic or random, and if systematic, whether it had an impact on the prediction of disruptive behaviour disorders. METHOD: Teacher reports of disruptive behaviour among currently participating, previously participating and never participating children aged 8 years in the ALSPAC longitudinal study were collected. Data on family factors were obtained in pregnancy. Simulations were conducted to explain the impact of selective drop-out on the strength of prediction. RESULTS: Drop out from the ALSPAC cohort was systematic and children who dropped out were more likely to suffer from disruptive behaviour disorder. Systematic participant drop-out according to the family variables, however, did not alter the association between family factors obtained in pregnancy and disruptive behaviour disorder at 8 years of age. CONCLUSIONS: Cohort studies are prone to selective drop-out and are likely to underestimate the prevalence of psychiatric disorder. This empirical study and the simulations confirm that the validity of regression models is only marginally affected despite range restrictions after selective drop-out.", "author" : [ { "dropping-particle" : "", "family" : "Wolke", "given" : "Dieter", "non-dropping-particle" : "", "parse-names" : false, "suffix" : "" }, { "dropping-particle" : "", "family" : "Waylen", "given" : "Andrea", "non-dropping-particle" : "", "parse-names" : false, "suffix" : "" }, { "dropping-particle" : "", "family" : "Samara", "given" : "Muthanna", "non-dropping-particle" : "", "parse-names" : false, "suffix" : "" }, { "dropping-particle" : "", "family" : "Steer", "given" : "Colin", "non-dropping-particle" : "", "parse-names" : false, "suffix" : "" }, { "dropping-particle" : "", "family" : "Goodman", "given" : "Robert", "non-dropping-particle" : "", "parse-names" : false, "suffix" : "" }, { "dropping-particle" : "", "family" : "Ford", "given" : "Tamsin", "non-dropping-particle" : "", "parse-names" : false, "suffix" : "" }, { "dropping-particle" : "", "family" : "Lamberts", "given" : "Koen", "non-dropping-particle" : "", "parse-names" : false, "suffix" : "" } ], "container-title" : "The British Journal of Psychiatry", "id" : "ITEM-1", "issue" : "3", "issued" : { "date-parts" : [ [ "2009", "10" ] ] }, "page" : "249-56", "title" : "Selective drop-out in longitudinal studies and non-biased prediction of behaviour disorders.", "type" : "article-journal", "volume" : "195" }, "uris" : [ "http://www.mendeley.com/documents/?uuid=da381c02-f181-4b8a-9ea4-da843195258e" ] } ], "mendeley" : { "formattedCitation" : "(Wolke et al. 2009)", "plainTextFormattedCitation" : "(Wolke et al. 2009)", "previouslyFormattedCitation" : "(Wolke et al. 2009)" }, "properties" : { "noteIndex" : 0 }, "schema" : "https://github.com/citation-style-language/schema/raw/master/csl-citation.json" }</w:instrText>
      </w:r>
      <w:r w:rsidR="003610D6">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(Wolke et al. 2009)</w:t>
      </w:r>
      <w:r w:rsidR="003610D6">
        <w:rPr>
          <w:rFonts w:ascii="Times New Roman" w:hAnsi="Times New Roman" w:cs="Times New Roman"/>
          <w:sz w:val="24"/>
          <w:szCs w:val="24"/>
        </w:rPr>
        <w:fldChar w:fldCharType="end"/>
      </w:r>
      <w:r w:rsidRPr="00652247">
        <w:rPr>
          <w:rFonts w:ascii="Times New Roman" w:hAnsi="Times New Roman" w:cs="Times New Roman"/>
          <w:sz w:val="24"/>
          <w:szCs w:val="24"/>
        </w:rPr>
        <w:t xml:space="preserve">. </w:t>
      </w:r>
      <w:r w:rsidR="00D226FC">
        <w:rPr>
          <w:rFonts w:ascii="Times New Roman" w:hAnsi="Times New Roman" w:cs="Times New Roman"/>
          <w:sz w:val="24"/>
          <w:szCs w:val="24"/>
        </w:rPr>
        <w:t xml:space="preserve">We attempted to minimise the impact of </w:t>
      </w:r>
      <w:r w:rsidR="00873AFA">
        <w:rPr>
          <w:rFonts w:ascii="Times New Roman" w:hAnsi="Times New Roman" w:cs="Times New Roman"/>
          <w:sz w:val="24"/>
          <w:szCs w:val="24"/>
        </w:rPr>
        <w:t>attrition</w:t>
      </w:r>
      <w:r w:rsidR="00D226FC">
        <w:rPr>
          <w:rFonts w:ascii="Times New Roman" w:hAnsi="Times New Roman" w:cs="Times New Roman"/>
          <w:sz w:val="24"/>
          <w:szCs w:val="24"/>
        </w:rPr>
        <w:t xml:space="preserve"> using</w:t>
      </w:r>
      <w:r w:rsidR="0053183A">
        <w:rPr>
          <w:rFonts w:ascii="Times New Roman" w:hAnsi="Times New Roman" w:cs="Times New Roman"/>
          <w:sz w:val="24"/>
          <w:szCs w:val="24"/>
        </w:rPr>
        <w:t xml:space="preserve"> </w:t>
      </w:r>
      <w:r w:rsidR="00D226FC">
        <w:rPr>
          <w:rFonts w:ascii="Times New Roman" w:hAnsi="Times New Roman" w:cs="Times New Roman"/>
          <w:sz w:val="24"/>
          <w:szCs w:val="24"/>
        </w:rPr>
        <w:t>sensitivity analyses</w:t>
      </w:r>
      <w:r w:rsidR="0053183A">
        <w:rPr>
          <w:rFonts w:ascii="Times New Roman" w:hAnsi="Times New Roman" w:cs="Times New Roman"/>
          <w:sz w:val="24"/>
          <w:szCs w:val="24"/>
        </w:rPr>
        <w:t xml:space="preserve">. </w:t>
      </w:r>
      <w:r w:rsidR="00E30693">
        <w:rPr>
          <w:rFonts w:ascii="Times New Roman" w:hAnsi="Times New Roman" w:cs="Times New Roman"/>
          <w:sz w:val="24"/>
          <w:szCs w:val="24"/>
        </w:rPr>
        <w:t>Missingness was related to W</w:t>
      </w:r>
      <w:r w:rsidR="0067541F">
        <w:rPr>
          <w:rFonts w:ascii="Times New Roman" w:hAnsi="Times New Roman" w:cs="Times New Roman"/>
          <w:sz w:val="24"/>
          <w:szCs w:val="24"/>
        </w:rPr>
        <w:t>M</w:t>
      </w:r>
      <w:r w:rsidR="00E30693">
        <w:rPr>
          <w:rFonts w:ascii="Times New Roman" w:hAnsi="Times New Roman" w:cs="Times New Roman"/>
          <w:sz w:val="24"/>
          <w:szCs w:val="24"/>
        </w:rPr>
        <w:t xml:space="preserve"> a</w:t>
      </w:r>
      <w:r w:rsidR="00F5658F">
        <w:rPr>
          <w:rFonts w:ascii="Times New Roman" w:hAnsi="Times New Roman" w:cs="Times New Roman"/>
          <w:sz w:val="24"/>
          <w:szCs w:val="24"/>
        </w:rPr>
        <w:t>t</w:t>
      </w:r>
      <w:r w:rsidR="00E30693">
        <w:rPr>
          <w:rFonts w:ascii="Times New Roman" w:hAnsi="Times New Roman" w:cs="Times New Roman"/>
          <w:sz w:val="24"/>
          <w:szCs w:val="24"/>
        </w:rPr>
        <w:t xml:space="preserve"> age 11 years, </w:t>
      </w:r>
      <w:r w:rsidR="0067541F">
        <w:rPr>
          <w:rFonts w:ascii="Times New Roman" w:hAnsi="Times New Roman" w:cs="Times New Roman"/>
          <w:sz w:val="24"/>
          <w:szCs w:val="24"/>
        </w:rPr>
        <w:t>alcohol use at age 15 years and sociodemographic variables</w:t>
      </w:r>
      <w:r w:rsidR="004B00FE">
        <w:rPr>
          <w:rFonts w:ascii="Times New Roman" w:hAnsi="Times New Roman" w:cs="Times New Roman"/>
          <w:sz w:val="24"/>
          <w:szCs w:val="24"/>
        </w:rPr>
        <w:t xml:space="preserve">. However, the results from the sensitivity analysis suggest that the pattern of missing data did not lead to </w:t>
      </w:r>
      <w:r w:rsidR="00232929">
        <w:rPr>
          <w:rFonts w:ascii="Times New Roman" w:hAnsi="Times New Roman" w:cs="Times New Roman"/>
          <w:sz w:val="24"/>
          <w:szCs w:val="24"/>
        </w:rPr>
        <w:t xml:space="preserve">biased </w:t>
      </w:r>
      <w:r w:rsidR="004B00FE">
        <w:rPr>
          <w:rFonts w:ascii="Times New Roman" w:hAnsi="Times New Roman" w:cs="Times New Roman"/>
          <w:sz w:val="24"/>
          <w:szCs w:val="24"/>
        </w:rPr>
        <w:t xml:space="preserve">effect estimates. </w:t>
      </w:r>
      <w:r w:rsidR="00A5514D">
        <w:rPr>
          <w:rFonts w:ascii="Times New Roman" w:hAnsi="Times New Roman" w:cs="Times New Roman"/>
          <w:sz w:val="24"/>
          <w:szCs w:val="24"/>
        </w:rPr>
        <w:t>Although</w:t>
      </w:r>
      <w:r w:rsidR="004B6292">
        <w:rPr>
          <w:rFonts w:ascii="Times New Roman" w:hAnsi="Times New Roman" w:cs="Times New Roman"/>
          <w:sz w:val="24"/>
          <w:szCs w:val="24"/>
        </w:rPr>
        <w:t xml:space="preserve"> we did observe differences in auxiliary measures depending on data availability, </w:t>
      </w:r>
      <w:r w:rsidR="000A3107">
        <w:rPr>
          <w:rFonts w:ascii="Times New Roman" w:hAnsi="Times New Roman" w:cs="Times New Roman"/>
          <w:sz w:val="24"/>
          <w:szCs w:val="24"/>
        </w:rPr>
        <w:t>t</w:t>
      </w:r>
      <w:r w:rsidR="004B6292">
        <w:rPr>
          <w:rFonts w:ascii="Times New Roman" w:hAnsi="Times New Roman" w:cs="Times New Roman"/>
          <w:sz w:val="24"/>
          <w:szCs w:val="24"/>
        </w:rPr>
        <w:t>he</w:t>
      </w:r>
      <w:r w:rsidR="0051578F">
        <w:rPr>
          <w:rFonts w:ascii="Times New Roman" w:hAnsi="Times New Roman" w:cs="Times New Roman"/>
          <w:sz w:val="24"/>
          <w:szCs w:val="24"/>
        </w:rPr>
        <w:t xml:space="preserve"> direction </w:t>
      </w:r>
      <w:r w:rsidR="00D1750E">
        <w:rPr>
          <w:rFonts w:ascii="Times New Roman" w:hAnsi="Times New Roman" w:cs="Times New Roman"/>
          <w:sz w:val="24"/>
          <w:szCs w:val="24"/>
        </w:rPr>
        <w:t xml:space="preserve">and magnitude </w:t>
      </w:r>
      <w:r w:rsidR="0051578F">
        <w:rPr>
          <w:rFonts w:ascii="Times New Roman" w:hAnsi="Times New Roman" w:cs="Times New Roman"/>
          <w:sz w:val="24"/>
          <w:szCs w:val="24"/>
        </w:rPr>
        <w:t xml:space="preserve">of the associations were consistent </w:t>
      </w:r>
      <w:r w:rsidR="007661D2">
        <w:rPr>
          <w:rFonts w:ascii="Times New Roman" w:hAnsi="Times New Roman" w:cs="Times New Roman"/>
          <w:sz w:val="24"/>
          <w:szCs w:val="24"/>
        </w:rPr>
        <w:t xml:space="preserve">with the weighted </w:t>
      </w:r>
      <w:r w:rsidR="004B6292">
        <w:rPr>
          <w:rFonts w:ascii="Times New Roman" w:hAnsi="Times New Roman" w:cs="Times New Roman"/>
          <w:sz w:val="24"/>
          <w:szCs w:val="24"/>
        </w:rPr>
        <w:t>models.</w:t>
      </w:r>
      <w:r w:rsidR="007622FD">
        <w:rPr>
          <w:rFonts w:ascii="Times New Roman" w:hAnsi="Times New Roman" w:cs="Times New Roman"/>
          <w:sz w:val="24"/>
          <w:szCs w:val="24"/>
        </w:rPr>
        <w:t xml:space="preserve"> </w:t>
      </w:r>
      <w:r w:rsidR="006A2BA4">
        <w:rPr>
          <w:rFonts w:ascii="Times New Roman" w:hAnsi="Times New Roman" w:cs="Times New Roman"/>
          <w:sz w:val="24"/>
          <w:szCs w:val="24"/>
        </w:rPr>
        <w:t>Second</w:t>
      </w:r>
      <w:r w:rsidR="00AF07ED">
        <w:rPr>
          <w:rFonts w:ascii="Times New Roman" w:hAnsi="Times New Roman" w:cs="Times New Roman"/>
          <w:sz w:val="24"/>
          <w:szCs w:val="24"/>
        </w:rPr>
        <w:t xml:space="preserve">, although alcohol use was self-reported, </w:t>
      </w:r>
      <w:r w:rsidR="006E1FE5">
        <w:rPr>
          <w:rFonts w:ascii="Times New Roman" w:hAnsi="Times New Roman" w:cs="Times New Roman"/>
          <w:sz w:val="24"/>
          <w:szCs w:val="24"/>
        </w:rPr>
        <w:t xml:space="preserve">there is evidence to suggest that self-reported alcohol use is a reliable and valid method </w:t>
      </w:r>
      <w:r w:rsidR="00DF45F2">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"DOI" : "10.1046/j.1359-6357.2003.00586.x", "ISSN" : "1360-0443", "abstract" : "Aims\u00a0 To review three topics pertaining to the validity of alcohol self-reports: factors that influence response accuracy; the relative merits of different self-report approaches; and the utility of using alternative measures to confirm verbal reports. Findings\u00a0 Response behavior is influenced by the interaction of social context factors, respondent characteristics, and task attributes. Although research has advanced our knowledge about self-report methods, many questions remain unanswered. In particular, there is a need to investigate how task demands interact with different patterns of drinking behavior to affect response accuracy. There is also a continuing need to use multiple data sources to examine the extent of self-report response bias, and to determine whether it varies as a function of respondent characteristics or assessment timing. Conclusion\u00a0 Self-report methods offer a reliable and valid approach to measuring alcohol consumption. The accuracy of such methods, however, can be improved by research directed at understanding the processes involved in response behavior. ", "author" : [ { "dropping-particle" : "", "family" : "Boca", "given" : "Frances K", "non-dropping-particle" : "Del", "parse-names" : false, "suffix" : "" }, { "dropping-particle" : "", "family" : "Darkes", "given" : "Jack", "non-dropping-particle" : "", "parse-names" : false, "suffix" : "" } ], "container-title" : "Addiction", "id" : "ITEM-1", "issued" : { "date-parts" : [ [ "2003" ] ] }, "page" : "1-12", "publisher" : "Blackwell Publishing Ltd.", "title" : "The validity of self-reports of alcohol consumption: state of the science and challenges for research", "type" : "article-journal", "volume" : "98" }, "uris" : [ "http://www.mendeley.com/documents/?uuid=9b70b493-5404-49a7-9186-47dea21843ea" ] } ], "mendeley" : { "formattedCitation" : "(Del Boca &amp; Darkes 2003)", "plainTextFormattedCitation" : "(Del Boca &amp; Darkes 2003)", "previouslyFormattedCitation" : "(Del Boca &amp; Darkes 2003)" }, "properties" : { "noteIndex" : 0 }, "schema" : "https://github.com/citation-style-language/schema/raw/master/csl-citation.json" }</w:instrText>
      </w:r>
      <w:r w:rsidR="00DF45F2">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(Del Boca &amp; Darkes 2003)</w:t>
      </w:r>
      <w:r w:rsidR="00DF45F2">
        <w:rPr>
          <w:rFonts w:ascii="Times New Roman" w:hAnsi="Times New Roman" w:cs="Times New Roman"/>
          <w:sz w:val="24"/>
          <w:szCs w:val="24"/>
        </w:rPr>
        <w:fldChar w:fldCharType="end"/>
      </w:r>
      <w:r w:rsidR="003936A6">
        <w:rPr>
          <w:rFonts w:ascii="Times New Roman" w:hAnsi="Times New Roman" w:cs="Times New Roman"/>
          <w:sz w:val="24"/>
          <w:szCs w:val="24"/>
        </w:rPr>
        <w:t>.</w:t>
      </w:r>
      <w:r w:rsidR="00B17499">
        <w:rPr>
          <w:rFonts w:ascii="Times New Roman" w:hAnsi="Times New Roman" w:cs="Times New Roman"/>
          <w:sz w:val="24"/>
          <w:szCs w:val="24"/>
        </w:rPr>
        <w:t xml:space="preserve"> </w:t>
      </w:r>
      <w:r w:rsidR="006A2BA4">
        <w:rPr>
          <w:rFonts w:ascii="Times New Roman" w:hAnsi="Times New Roman" w:cs="Times New Roman"/>
          <w:sz w:val="24"/>
          <w:szCs w:val="24"/>
        </w:rPr>
        <w:t>Third</w:t>
      </w:r>
      <w:r w:rsidR="00945879">
        <w:rPr>
          <w:rFonts w:ascii="Times New Roman" w:hAnsi="Times New Roman" w:cs="Times New Roman"/>
          <w:sz w:val="24"/>
          <w:szCs w:val="24"/>
        </w:rPr>
        <w:t xml:space="preserve">, </w:t>
      </w:r>
      <w:r w:rsidR="00CF1E50">
        <w:rPr>
          <w:rFonts w:ascii="Times New Roman" w:hAnsi="Times New Roman" w:cs="Times New Roman"/>
          <w:sz w:val="24"/>
          <w:szCs w:val="24"/>
        </w:rPr>
        <w:t xml:space="preserve">as </w:t>
      </w:r>
      <w:r w:rsidR="00945879">
        <w:rPr>
          <w:rFonts w:ascii="Times New Roman" w:hAnsi="Times New Roman" w:cs="Times New Roman"/>
          <w:sz w:val="24"/>
          <w:szCs w:val="24"/>
        </w:rPr>
        <w:t>it cannot be ruled o</w:t>
      </w:r>
      <w:r w:rsidR="00C31D9F">
        <w:rPr>
          <w:rFonts w:ascii="Times New Roman" w:hAnsi="Times New Roman" w:cs="Times New Roman"/>
          <w:sz w:val="24"/>
          <w:szCs w:val="24"/>
        </w:rPr>
        <w:t>ut that our findings could be</w:t>
      </w:r>
      <w:r w:rsidR="00945879">
        <w:rPr>
          <w:rFonts w:ascii="Times New Roman" w:hAnsi="Times New Roman" w:cs="Times New Roman"/>
          <w:sz w:val="24"/>
          <w:szCs w:val="24"/>
        </w:rPr>
        <w:t xml:space="preserve"> over- or under</w:t>
      </w:r>
      <w:r w:rsidR="00C31D9F">
        <w:rPr>
          <w:rFonts w:ascii="Times New Roman" w:hAnsi="Times New Roman" w:cs="Times New Roman"/>
          <w:sz w:val="24"/>
          <w:szCs w:val="24"/>
        </w:rPr>
        <w:t>estimating</w:t>
      </w:r>
      <w:r w:rsidR="00945879">
        <w:rPr>
          <w:rFonts w:ascii="Times New Roman" w:hAnsi="Times New Roman" w:cs="Times New Roman"/>
          <w:sz w:val="24"/>
          <w:szCs w:val="24"/>
        </w:rPr>
        <w:t xml:space="preserve"> alcohol use, the inclusion </w:t>
      </w:r>
      <w:r w:rsidR="004A5172">
        <w:rPr>
          <w:rFonts w:ascii="Times New Roman" w:hAnsi="Times New Roman" w:cs="Times New Roman"/>
          <w:sz w:val="24"/>
          <w:szCs w:val="24"/>
        </w:rPr>
        <w:t xml:space="preserve">of mutually exclusive alcohol </w:t>
      </w:r>
      <w:r w:rsidR="004A5172">
        <w:rPr>
          <w:rFonts w:ascii="Times New Roman" w:hAnsi="Times New Roman" w:cs="Times New Roman"/>
          <w:sz w:val="24"/>
          <w:szCs w:val="24"/>
        </w:rPr>
        <w:lastRenderedPageBreak/>
        <w:t xml:space="preserve">measures ranging in </w:t>
      </w:r>
      <w:r w:rsidR="00F068A9">
        <w:rPr>
          <w:rFonts w:ascii="Times New Roman" w:hAnsi="Times New Roman" w:cs="Times New Roman"/>
          <w:sz w:val="24"/>
          <w:szCs w:val="24"/>
        </w:rPr>
        <w:t xml:space="preserve">order of </w:t>
      </w:r>
      <w:r w:rsidR="004A5172">
        <w:rPr>
          <w:rFonts w:ascii="Times New Roman" w:hAnsi="Times New Roman" w:cs="Times New Roman"/>
          <w:sz w:val="24"/>
          <w:szCs w:val="24"/>
        </w:rPr>
        <w:t xml:space="preserve">severity </w:t>
      </w:r>
      <w:r w:rsidR="00C31D9F">
        <w:rPr>
          <w:rFonts w:ascii="Times New Roman" w:hAnsi="Times New Roman" w:cs="Times New Roman"/>
          <w:sz w:val="24"/>
          <w:szCs w:val="24"/>
        </w:rPr>
        <w:t>helped to provide a more accurate</w:t>
      </w:r>
      <w:r w:rsidR="00945879">
        <w:rPr>
          <w:rFonts w:ascii="Times New Roman" w:hAnsi="Times New Roman" w:cs="Times New Roman"/>
          <w:sz w:val="24"/>
          <w:szCs w:val="24"/>
        </w:rPr>
        <w:t xml:space="preserve"> account of </w:t>
      </w:r>
      <w:r w:rsidR="00F068A9">
        <w:rPr>
          <w:rFonts w:ascii="Times New Roman" w:hAnsi="Times New Roman" w:cs="Times New Roman"/>
          <w:sz w:val="24"/>
          <w:szCs w:val="24"/>
        </w:rPr>
        <w:t xml:space="preserve">adolescent </w:t>
      </w:r>
      <w:r w:rsidR="00945879">
        <w:rPr>
          <w:rFonts w:ascii="Times New Roman" w:hAnsi="Times New Roman" w:cs="Times New Roman"/>
          <w:sz w:val="24"/>
          <w:szCs w:val="24"/>
        </w:rPr>
        <w:t>drinking practices.</w:t>
      </w:r>
      <w:r w:rsidR="00CB1268">
        <w:rPr>
          <w:rFonts w:ascii="Times New Roman" w:hAnsi="Times New Roman" w:cs="Times New Roman"/>
          <w:sz w:val="24"/>
          <w:szCs w:val="24"/>
        </w:rPr>
        <w:t xml:space="preserve"> </w:t>
      </w:r>
      <w:r w:rsidR="00E85E35">
        <w:rPr>
          <w:rFonts w:ascii="Times New Roman" w:hAnsi="Times New Roman" w:cs="Times New Roman"/>
          <w:sz w:val="24"/>
          <w:szCs w:val="24"/>
        </w:rPr>
        <w:t>Further, focusing on heavy drinking practices among adolescents</w:t>
      </w:r>
      <w:r w:rsidR="00116E2B">
        <w:rPr>
          <w:rFonts w:ascii="Times New Roman" w:hAnsi="Times New Roman" w:cs="Times New Roman"/>
          <w:sz w:val="24"/>
          <w:szCs w:val="24"/>
        </w:rPr>
        <w:t>,</w:t>
      </w:r>
      <w:r w:rsidR="00E85E35">
        <w:rPr>
          <w:rFonts w:ascii="Times New Roman" w:hAnsi="Times New Roman" w:cs="Times New Roman"/>
          <w:sz w:val="24"/>
          <w:szCs w:val="24"/>
        </w:rPr>
        <w:t xml:space="preserve"> rather than more normative aspects of drinking such as frequency of drinking episodes</w:t>
      </w:r>
      <w:r w:rsidR="00116E2B">
        <w:rPr>
          <w:rFonts w:ascii="Times New Roman" w:hAnsi="Times New Roman" w:cs="Times New Roman"/>
          <w:sz w:val="24"/>
          <w:szCs w:val="24"/>
        </w:rPr>
        <w:t>,</w:t>
      </w:r>
      <w:r w:rsidR="00E85E35">
        <w:rPr>
          <w:rFonts w:ascii="Times New Roman" w:hAnsi="Times New Roman" w:cs="Times New Roman"/>
          <w:sz w:val="24"/>
          <w:szCs w:val="24"/>
        </w:rPr>
        <w:t xml:space="preserve"> enables us to examine the </w:t>
      </w:r>
      <w:r w:rsidR="00116E2B">
        <w:rPr>
          <w:rFonts w:ascii="Times New Roman" w:hAnsi="Times New Roman" w:cs="Times New Roman"/>
          <w:sz w:val="24"/>
          <w:szCs w:val="24"/>
        </w:rPr>
        <w:t>hypothesised</w:t>
      </w:r>
      <w:r w:rsidR="00E85E35">
        <w:rPr>
          <w:rFonts w:ascii="Times New Roman" w:hAnsi="Times New Roman" w:cs="Times New Roman"/>
          <w:sz w:val="24"/>
          <w:szCs w:val="24"/>
        </w:rPr>
        <w:t xml:space="preserve"> association in a more robust manner, as it has been suggested that focusing on frequency of drinking episodes may not be extreme enough to adversely impact WM </w:t>
      </w:r>
      <w:r w:rsidR="003D76E4">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"10.1111/add.12001", "ISSN" : "1360-0443 (Electronic)", "PMID" : "23033972", "abstract" : "AIMS: (i) To evaluate the role of pre-existing weakness in working memory ability (WM) as a risk factor for early alcohol use as mediated by different forms of impulsivity and (ii) to assess the adverse effects of progressive alcohol use on variations in WM over time. DESIGN, SETTING AND PARTICIPANTS: A community sample of 358 adolescents [48% males, mean(age) (baseline) = 11.4 +/- 0.87 years] from a longitudinal cohort design, assessed annually over 4 consecutive years with less than 6% attrition. MEASUREMENTS: Repeated assessments were conducted for the following key variables: WM (based on performance on four separate tasks), frequency of alcohol use (AU) and three forms of impulsivity, namely sensation seeking (SS), acting without thinking (AWT) and delay discounting (DD). Latent growth curve modeling procedures were used to identify individual trajectories of change for all key variables. FINDINGS: Weakness in WM (at baseline) predicted significantly both concurrent alcohol use and increased frequency of use over the four waves (P &lt; 0.05). This effect was entirely mediated by two forms of impulsivity, AWT and DD, both of which were characterized by underlying weakness in WM. No individual variation was observed in the slopes of WM, which suggests that individual variations in alcohol use were not associated with changes in WM in our early adolescent sample. CONCLUSIONS: Early adolescent alcohol use may be a consequence of (pre-existing) weaknesses in working memory (WM) rather than a cause of it. Efforts to reduce early alcohol use should consider the distinct roles of different impulsivity dimensions, in addition to WM, as potential targets of intervention.", "author" : [ { "dropping-particle" : "", "family" : "Khurana", "given" : "Atika", "non-dropping-particle" : "", "parse-names" : false, "suffix" : "" }, { "dropping-particle" : "", "family" : "Romer", "given" : "Dan", "non-dropping-particle" : "", "parse-names" : false, "suffix" : "" }, { "dropping-particle" : "", "family" : "Betancourt", "given" : "Laura M", "non-dropping-particle" : "", "parse-names" : false, "suffix" : "" }, { "dropping-particle" : "", "family" : "Brodsky", "given" : "Nancy L", "non-dropping-particle" : "", "parse-names" : false, "suffix" : "" }, { "dropping-particle" : "", "family" : "Giannetta", "given" : "Joan M", "non-dropping-particle" : "", "parse-names" : false, "suffix" : "" }, { "dropping-particle" : "", "family" : "Hurt", "given" : "Hallam", "non-dropping-particle" : "", "parse-names" : false, "suffix" : "" } ], "container-title" : "Addiction", "id" : "ITEM-1", "issue" : "3", "issued" : { "date-parts" : [ [ "2013", "3" ] ] }, "language" : "ENG", "page" : "506-515", "publisher-place" : "England", "title" : "Working memory ability predicts trajectories of early alcohol use in adolescents: the mediational role of impulsivity.", "type" : "article-journal", "volume" : "108" }, "uris" : [ "http://www.mendeley.com/documents/?uuid=1dfd9236-36b3-47bd-a6c3-d49a2deddada" ] } ], "mendeley" : { "formattedCitation" : "(Khurana et al. 2013)", "plainTextFormattedCitation" : "(Khurana et al. 2013)", "previouslyFormattedCitation" : "(Khurana et al. 2013)" }, "properties" : { "noteIndex" : 0 }, "schema" : "https://github.com/citation-style-language/schema/raw/master/csl-citation.json" }</w:instrText>
      </w:r>
      <w:r w:rsidR="003D76E4">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(Khurana et al. 2013)</w:t>
      </w:r>
      <w:r w:rsidR="003D76E4">
        <w:rPr>
          <w:rFonts w:ascii="Times New Roman" w:hAnsi="Times New Roman" w:cs="Times New Roman"/>
          <w:sz w:val="24"/>
          <w:szCs w:val="24"/>
        </w:rPr>
        <w:fldChar w:fldCharType="end"/>
      </w:r>
      <w:r w:rsidR="00E85E35">
        <w:rPr>
          <w:rFonts w:ascii="Times New Roman" w:hAnsi="Times New Roman" w:cs="Times New Roman"/>
          <w:sz w:val="24"/>
          <w:szCs w:val="24"/>
        </w:rPr>
        <w:t>.</w:t>
      </w:r>
      <w:r w:rsidR="00AC2010">
        <w:rPr>
          <w:rFonts w:ascii="Times New Roman" w:hAnsi="Times New Roman" w:cs="Times New Roman"/>
          <w:sz w:val="24"/>
          <w:szCs w:val="24"/>
        </w:rPr>
        <w:t xml:space="preserve"> </w:t>
      </w:r>
      <w:r w:rsidR="009E3F50">
        <w:rPr>
          <w:rFonts w:ascii="Times New Roman" w:hAnsi="Times New Roman" w:cs="Times New Roman"/>
          <w:sz w:val="24"/>
          <w:szCs w:val="24"/>
        </w:rPr>
        <w:t xml:space="preserve">Fourth, </w:t>
      </w:r>
      <w:r w:rsidR="003E7435">
        <w:rPr>
          <w:rFonts w:ascii="Times New Roman" w:hAnsi="Times New Roman" w:cs="Times New Roman"/>
          <w:sz w:val="24"/>
          <w:szCs w:val="24"/>
        </w:rPr>
        <w:t>an N-back measure assessed prior to alcohol initiation would have been optimal, h</w:t>
      </w:r>
      <w:r w:rsidR="006A3DB0">
        <w:rPr>
          <w:rFonts w:ascii="Times New Roman" w:hAnsi="Times New Roman" w:cs="Times New Roman"/>
          <w:sz w:val="24"/>
          <w:szCs w:val="24"/>
        </w:rPr>
        <w:t>owever,</w:t>
      </w:r>
      <w:r w:rsidR="009E3F50">
        <w:rPr>
          <w:rFonts w:ascii="Times New Roman" w:hAnsi="Times New Roman" w:cs="Times New Roman"/>
          <w:sz w:val="24"/>
          <w:szCs w:val="24"/>
        </w:rPr>
        <w:t xml:space="preserve"> the</w:t>
      </w:r>
      <w:r w:rsidR="0031088A">
        <w:rPr>
          <w:rFonts w:ascii="Times New Roman" w:hAnsi="Times New Roman" w:cs="Times New Roman"/>
          <w:sz w:val="24"/>
          <w:szCs w:val="24"/>
        </w:rPr>
        <w:t xml:space="preserve"> inclusion of the </w:t>
      </w:r>
      <w:r w:rsidR="001B6692">
        <w:rPr>
          <w:rFonts w:ascii="Times New Roman" w:hAnsi="Times New Roman" w:cs="Times New Roman"/>
          <w:sz w:val="24"/>
          <w:szCs w:val="24"/>
        </w:rPr>
        <w:t>C</w:t>
      </w:r>
      <w:r w:rsidR="009E3F50">
        <w:rPr>
          <w:rFonts w:ascii="Times New Roman" w:hAnsi="Times New Roman" w:cs="Times New Roman"/>
          <w:sz w:val="24"/>
          <w:szCs w:val="24"/>
        </w:rPr>
        <w:t xml:space="preserve">ounting </w:t>
      </w:r>
      <w:r w:rsidR="001B6692">
        <w:rPr>
          <w:rFonts w:ascii="Times New Roman" w:hAnsi="Times New Roman" w:cs="Times New Roman"/>
          <w:sz w:val="24"/>
          <w:szCs w:val="24"/>
        </w:rPr>
        <w:t>S</w:t>
      </w:r>
      <w:r w:rsidR="009E3F50">
        <w:rPr>
          <w:rFonts w:ascii="Times New Roman" w:hAnsi="Times New Roman" w:cs="Times New Roman"/>
          <w:sz w:val="24"/>
          <w:szCs w:val="24"/>
        </w:rPr>
        <w:t>pan task assessed at age 11 years</w:t>
      </w:r>
      <w:r w:rsidR="0031088A">
        <w:rPr>
          <w:rFonts w:ascii="Times New Roman" w:hAnsi="Times New Roman" w:cs="Times New Roman"/>
          <w:sz w:val="24"/>
          <w:szCs w:val="24"/>
        </w:rPr>
        <w:t xml:space="preserve"> </w:t>
      </w:r>
      <w:r w:rsidR="00DE1D85">
        <w:rPr>
          <w:rFonts w:ascii="Times New Roman" w:hAnsi="Times New Roman" w:cs="Times New Roman"/>
          <w:sz w:val="24"/>
          <w:szCs w:val="24"/>
        </w:rPr>
        <w:t>demonstrat</w:t>
      </w:r>
      <w:r w:rsidR="009E3F50">
        <w:rPr>
          <w:rFonts w:ascii="Times New Roman" w:hAnsi="Times New Roman" w:cs="Times New Roman"/>
          <w:sz w:val="24"/>
          <w:szCs w:val="24"/>
        </w:rPr>
        <w:t>e a robust pattern of results.</w:t>
      </w:r>
      <w:r w:rsidR="00FE31E1" w:rsidRPr="00FE31E1">
        <w:rPr>
          <w:rFonts w:ascii="Times New Roman" w:hAnsi="Times New Roman" w:cs="Times New Roman"/>
          <w:sz w:val="24"/>
          <w:szCs w:val="24"/>
        </w:rPr>
        <w:t xml:space="preserve"> </w:t>
      </w:r>
    </w:p>
    <w:p w14:paraId="77048908" w14:textId="7DA1F281" w:rsidR="00FE31E1" w:rsidRPr="00E9113D" w:rsidRDefault="001E409F" w:rsidP="00FE31E1">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Fifth</w:t>
      </w:r>
      <w:r w:rsidR="00FE31E1">
        <w:rPr>
          <w:rFonts w:ascii="Times New Roman" w:hAnsi="Times New Roman" w:cs="Times New Roman"/>
          <w:sz w:val="24"/>
          <w:szCs w:val="24"/>
        </w:rPr>
        <w:t>, a</w:t>
      </w:r>
      <w:r w:rsidR="00FE31E1" w:rsidRPr="00E9113D">
        <w:rPr>
          <w:rFonts w:ascii="Times New Roman" w:hAnsi="Times New Roman" w:cs="Times New Roman"/>
          <w:color w:val="000000"/>
          <w:sz w:val="24"/>
          <w:szCs w:val="24"/>
          <w:shd w:val="clear" w:color="auto" w:fill="FFFFFF"/>
        </w:rPr>
        <w:t>lthough there is some debate in the literature surrounding the construct validity of performance on the N-back task as an indicator of WM ability, it has been argued that by using N-back performance indices from a signal detection framework (i.e., d’) may reveal clearer insights about its validity as a measure of WM performance</w:t>
      </w:r>
      <w:r w:rsidR="000F0FBB">
        <w:rPr>
          <w:rFonts w:ascii="Times New Roman" w:hAnsi="Times New Roman" w:cs="Times New Roman"/>
          <w:color w:val="000000"/>
          <w:sz w:val="24"/>
          <w:szCs w:val="24"/>
          <w:shd w:val="clear" w:color="auto" w:fill="FFFFFF"/>
        </w:rPr>
        <w:t xml:space="preserve"> </w:t>
      </w:r>
      <w:r w:rsidR="000F0FBB">
        <w:rPr>
          <w:rFonts w:ascii="Times New Roman" w:hAnsi="Times New Roman" w:cs="Times New Roman"/>
          <w:color w:val="000000"/>
          <w:sz w:val="24"/>
          <w:szCs w:val="24"/>
          <w:shd w:val="clear" w:color="auto" w:fill="FFFFFF"/>
        </w:rPr>
        <w:fldChar w:fldCharType="begin" w:fldLock="1"/>
      </w:r>
      <w:r w:rsidR="0064549F">
        <w:rPr>
          <w:rFonts w:ascii="Times New Roman" w:hAnsi="Times New Roman" w:cs="Times New Roman"/>
          <w:color w:val="000000"/>
          <w:sz w:val="24"/>
          <w:szCs w:val="24"/>
          <w:shd w:val="clear" w:color="auto" w:fill="FFFFFF"/>
        </w:rPr>
        <w:instrText>ADDIN CSL_CITATION { "citationItems" : [ { "id" : "ITEM-1", "itemData" : { "DOI" : "10.3389/fpsyg.2017.00352", "ISSN" : "1664-1078 (Print)", "PMID" : "28326058", "author" : [ { "dropping-particle" : "", "family" : "Meule", "given" : "Adrian", "non-dropping-particle" : "", "parse-names" : false, "suffix" : "" } ], "container-title" : "Frontiers in Psychology", "id" : "ITEM-1", "issued" : { "date-parts" : [ [ "2017" ] ] }, "language" : "eng", "page" : "352", "publisher-place" : "Switzerland", "title" : "Reporting and interpreting working memory performance in n-back tasks.", "type" : "article-journal", "volume" : "8" }, "uris" : [ "http://www.mendeley.com/documents/?uuid=06a655b0-05fc-4da2-9e17-461421b021d6" ] }, { "id" : "ITEM-2", "itemData" : { "DOI" : "10.1037/0278-7393.33.3.615", "ISSN" : "0278-7393 (Print)", "PMID" : "17470009", "abstract" : "The N-back task requires participants to decide whether each stimulus in a sequence matches the one that appeared n items ago. Although N-back has become a standard \"executive\" working memory (WM) measure in cognitive neuroscience, it has been subjected to few behavioral tests of construct validity. A combined experimental- correlational study tested the attention-control demands of verbal 2- and 3-back tasks by presenting n = 1 \"lure\" foils. Lures elicited more false alarms than control foils in both 2- and 3-back tasks, and lures caused more misses to targets that immediately followed them compared with control targets, but only in 3-back tasks. N-back thus challenges control over familiarity-based responding. Participants also completed a verbal WM span task (operation span task) and a marker test of general fluid intelligence (Gf; Ravens Advanced Progressive Matrices Test; J. C. Raven, J. E. Raven, &amp; J. H. Court, 1998). N-back and WM span correlated weakly, suggesting they do not reflect primarily a single construct; moreover, both accounted for independent variance in Gf. N-back has face validity as a WM task, but it does not demonstrate convergent validity with at least 1 established WM measure.", "author" : [ { "dropping-particle" : "", "family" : "Kane", "given" : "Michael J", "non-dropping-particle" : "", "parse-names" : false, "suffix" : "" }, { "dropping-particle" : "", "family" : "Conway", "given" : "Andrew R A", "non-dropping-particle" : "", "parse-names" : false, "suffix" : "" }, { "dropping-particle" : "", "family" : "Miura", "given" : "Timothy K", "non-dropping-particle" : "", "parse-names" : false, "suffix" : "" }, { "dropping-particle" : "", "family" : "Colflesh", "given" : "Gregory J H", "non-dropping-particle" : "", "parse-names" : false, "suffix" : "" } ], "container-title" : "Journal of Experimental Psychology. Learning, Memory, and Cognition", "id" : "ITEM-2", "issue" : "3", "issued" : { "date-parts" : [ [ "2007", "5" ] ] }, "language" : "eng", "page" : "615-622", "publisher-place" : "United States", "title" : "Working memory, attention control, and the N-back task: a question of construct validity.", "type" : "article-journal", "volume" : "33" }, "uris" : [ "http://www.mendeley.com/documents/?uuid=cd7edbb1-892b-4834-b2e7-79a54fb6a99b" ] }, { "id" : "ITEM-3", "itemData" : { "DOI" : "10.1080/13803391003596421", "ISSN" : "1744-411X (Electronic)", "PMID" : "20383801", "abstract" : "The n-back task is frequently used as an experimental paradigm in imaging studies of working memory. This study aimed to investigate whether the Bergen 2-back task is suitable for use in desktop assessment of patients with schizophrenia. Looking at the psychometric properties of the task, including the newly added measure of discriminability, d prime (d '), our analyses confirmed that the 2-back d ' is the preferred measure of working memory dysfunction in desktop assessment compared to the Digit Span Backward and the Letter-Number Sequencing subtests from the Wechsler Adult Intelligence Scale-Third Edition (WAIS-III). d ' has the advantage of capturing executive skills needed to perform mental operations in patients with schizophrenia, without being influenced by demographic variables or IQ.", "author" : [ { "dropping-particle" : "", "family" : "Haatveit", "given" : "Beathe C", "non-dropping-particle" : "", "parse-names" : false, "suffix" : "" }, { "dropping-particle" : "", "family" : "Sundet", "given" : "Kjetil", "non-dropping-particle" : "", "parse-names" : false, "suffix" : "" }, { "dropping-particle" : "", "family" : "Hugdahl", "given" : "Kenneth", "non-dropping-particle" : "", "parse-names" : false, "suffix" : "" }, { "dropping-particle" : "", "family" : "Ueland", "given" : "Torill", "non-dropping-particle" : "", "parse-names" : false, "suffix" : "" }, { "dropping-particle" : "", "family" : "Melle", "given" : "Ingrid", "non-dropping-particle" : "", "parse-names" : false, "suffix" : "" }, { "dropping-particle" : "", "family" : "Andreassen", "given" : "Ole A", "non-dropping-particle" : "", "parse-names" : false, "suffix" : "" } ], "container-title" : "Journal of Clinical and Experimental Neuropsychology", "id" : "ITEM-3", "issue" : "8", "issued" : { "date-parts" : [ [ "2010", "10" ] ] }, "language" : "eng", "page" : "871-880", "publisher-place" : "England", "title" : "The validity of d prime as a working memory index: results from the \"Bergen n-back task\".", "type" : "article-journal", "volume" : "32" }, "uris" : [ "http://www.mendeley.com/documents/?uuid=1ae1b7ac-6794-4dc4-8068-5648b9c661ee" ] } ], "mendeley" : { "formattedCitation" : "(Meule 2017; Kane et al. 2007; Haatveit et al. 2010)", "plainTextFormattedCitation" : "(Meule 2017; Kane et al. 2007; Haatveit et al. 2010)", "previouslyFormattedCitation" : "(Meule 2017; Kane et al. 2007; Haatveit et al. 2010)" }, "properties" : { "noteIndex" : 15 }, "schema" : "https://github.com/citation-style-language/schema/raw/master/csl-citation.json" }</w:instrText>
      </w:r>
      <w:r w:rsidR="000F0FBB">
        <w:rPr>
          <w:rFonts w:ascii="Times New Roman" w:hAnsi="Times New Roman" w:cs="Times New Roman"/>
          <w:color w:val="000000"/>
          <w:sz w:val="24"/>
          <w:szCs w:val="24"/>
          <w:shd w:val="clear" w:color="auto" w:fill="FFFFFF"/>
        </w:rPr>
        <w:fldChar w:fldCharType="separate"/>
      </w:r>
      <w:r w:rsidR="000F0FBB" w:rsidRPr="000F0FBB">
        <w:rPr>
          <w:rFonts w:ascii="Times New Roman" w:hAnsi="Times New Roman" w:cs="Times New Roman"/>
          <w:noProof/>
          <w:color w:val="000000"/>
          <w:sz w:val="24"/>
          <w:szCs w:val="24"/>
          <w:shd w:val="clear" w:color="auto" w:fill="FFFFFF"/>
        </w:rPr>
        <w:t>(Meule 2017; Kane et al. 2007; Haatveit et al. 2010)</w:t>
      </w:r>
      <w:r w:rsidR="000F0FBB">
        <w:rPr>
          <w:rFonts w:ascii="Times New Roman" w:hAnsi="Times New Roman" w:cs="Times New Roman"/>
          <w:color w:val="000000"/>
          <w:sz w:val="24"/>
          <w:szCs w:val="24"/>
          <w:shd w:val="clear" w:color="auto" w:fill="FFFFFF"/>
        </w:rPr>
        <w:fldChar w:fldCharType="end"/>
      </w:r>
      <w:r w:rsidR="00FE31E1" w:rsidRPr="00E9113D">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Sixth, it is also possible that a number of higher-order functions could influence this relationship since important maturational changes in brain organization and function continue well into late adolescence. For example, alcohol induced damage to the prefrontal cortex (PFC) and hippocampus could increase impulsive behaviour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"10.1177/1534582302001003001", "ISSN" : "1534-5823", "author" : [ { "dropping-particle" : "", "family" : "Finn", "given" : "Peter R.", "non-dropping-particle" : "", "parse-names" : false, "suffix" : "" } ], "container-title" : "Behavioral and Cognitive Neuroscience Reviews", "id" : "ITEM-1", "issue" : "3", "issued" : { "date-parts" : [ [ "2002" ] ] }, "page" : "183-205", "title" : "Motivation, working memory, and decision making: A cognitive-motivational theory of personality vulnerability to alcoholism", "type" : "article-journal", "volume" : "1" }, "uris" : [ "http://www.mendeley.com/documents/?uuid=4e93f9ef-b0d4-311d-b829-2394e6c369db" ] } ], "mendeley" : { "formattedCitation" : "(Finn 2002)", "plainTextFormattedCitation" : "(Finn 2002)", "previouslyFormattedCitation" : "(Finn 2002)" }, "properties" : { "noteIndex" : 15 }, "schema" : "https://github.com/citation-style-language/schema/raw/master/csl-citation.json" }</w:instrText>
      </w:r>
      <w:r>
        <w:rPr>
          <w:rFonts w:ascii="Times New Roman" w:hAnsi="Times New Roman" w:cs="Times New Roman"/>
          <w:sz w:val="24"/>
          <w:szCs w:val="24"/>
        </w:rPr>
        <w:fldChar w:fldCharType="separate"/>
      </w:r>
      <w:r w:rsidRPr="000F0FBB">
        <w:rPr>
          <w:rFonts w:ascii="Times New Roman" w:hAnsi="Times New Roman" w:cs="Times New Roman"/>
          <w:noProof/>
          <w:sz w:val="24"/>
          <w:szCs w:val="24"/>
        </w:rPr>
        <w:t>(Finn 2002)</w:t>
      </w:r>
      <w:r>
        <w:rPr>
          <w:rFonts w:ascii="Times New Roman" w:hAnsi="Times New Roman" w:cs="Times New Roman"/>
          <w:sz w:val="24"/>
          <w:szCs w:val="24"/>
        </w:rPr>
        <w:fldChar w:fldCharType="end"/>
      </w:r>
      <w:r>
        <w:rPr>
          <w:rFonts w:ascii="Times New Roman" w:hAnsi="Times New Roman" w:cs="Times New Roman"/>
          <w:sz w:val="24"/>
          <w:szCs w:val="24"/>
        </w:rPr>
        <w:t xml:space="preserve">, lead to poor decision making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"10.1016/j.pbb.2009.04.018", "ISSN" : "1873-5177 (Electronic)", "PMID" : "19410598", "abstract" : "Alcohol and substance abuse disorders involve continued use of substances despite negative consequences, i.e. loss of behavioral control of drug use. The frontal-cortical areas of the brain oversee behavioral control through executive functions. Executive functions include abstract thinking, motivation, planning, attention to tasks and inhibition of impulsive responses. Impulsiveness generally refers to premature, unduly risky, poorly conceived actions. Dysfunctional impulsivity includes deficits in attention, lack of reflection and/or insensitivity to consequences, all of which occur in addiction [Evenden JL. Varieties of impulsivity. Psychopharmacology (Berl) 1999;146:348-361.; de Wit H. Impulsivity as a determinant and consequence of drug use: a review of underlying processes. Addict Biol 2009;14:22-31]. Binge drinking models indicate chronic alcohol damages in the corticolimbic brain regions [Crews FT, Braun CJ, Hoplight B, Switzer III RC, Knapp DJ. Binge ethanol consumption causes differential brain damage in young adolescent rats compared with adult rats. Alcohol Clin Exp Res 2000;24:1712-1723] causing reversal learning deficits indicative of loss of executive function [Obernier JA, White AM, Swartzwelder HS, Crews FT. Cognitive deficits and CNS damage after a 4-day binge ethanol exposure in rats. Pharmacol Biochem Behav 2002b;72:521-532]. Genetics and adolescent age are risk factors for alcoholism that coincide with sensitivity to alcohol-induced neurotoxicity. Cortical degeneration from alcohol abuse may increase impulsivity contributing to the development, persistence and severity of alcohol use disorders. Interestingly, abstinence results in bursts of neurogenesis and brain regrowth [Crews FT, Nixon K. Mechanisms of neurodegeneration and regeneration in alcoholism. Alcohol Alcohol 2009;44:115-127]. Treatments for alcoholism, including naltrexone pharmacotherapy and psychotherapy may work through improving executive functions. This review will examine the relationships between impulsivity and executive function behaviors to changes in cortical structure during alcohol dependence and recovery.", "author" : [ { "dropping-particle" : "", "family" : "Crews", "given" : "Fulton Timm", "non-dropping-particle" : "", "parse-names" : false, "suffix" : "" }, { "dropping-particle" : "", "family" : "Boettiger", "given" : "Charlotte Ann", "non-dropping-particle" : "", "parse-names" : false, "suffix" : "" } ], "container-title" : "Pharmacology, Biochemistry, and Behavior", "id" : "ITEM-1", "issue" : "3", "issued" : { "date-parts" : [ [ "2009", "9" ] ] }, "language" : "eng", "page" : "237-247", "publisher-place" : "United States", "title" : "Impulsivity, frontal lobes and risk for addiction.", "type" : "article-journal", "volume" : "93" }, "uris" : [ "http://www.mendeley.com/documents/?uuid=6e3827d6-7152-4451-b924-15667e8363bf" ] } ], "mendeley" : { "formattedCitation" : "(Crews &amp; Boettiger 2009)", "plainTextFormattedCitation" : "(Crews &amp; Boettiger 2009)", "previouslyFormattedCitation" : "(Crews &amp; Boettiger 2009)" }, "properties" : { "noteIndex" : 15 }, "schema" : "https://github.com/citation-style-language/schema/raw/master/csl-citation.json" }</w:instrText>
      </w:r>
      <w:r>
        <w:rPr>
          <w:rFonts w:ascii="Times New Roman" w:hAnsi="Times New Roman" w:cs="Times New Roman"/>
          <w:sz w:val="24"/>
          <w:szCs w:val="24"/>
        </w:rPr>
        <w:fldChar w:fldCharType="separate"/>
      </w:r>
      <w:r w:rsidRPr="000F0FBB">
        <w:rPr>
          <w:rFonts w:ascii="Times New Roman" w:hAnsi="Times New Roman" w:cs="Times New Roman"/>
          <w:noProof/>
          <w:sz w:val="24"/>
          <w:szCs w:val="24"/>
        </w:rPr>
        <w:t>(Crews &amp; Boettiger 2009)</w:t>
      </w:r>
      <w:r>
        <w:rPr>
          <w:rFonts w:ascii="Times New Roman" w:hAnsi="Times New Roman" w:cs="Times New Roman"/>
          <w:sz w:val="24"/>
          <w:szCs w:val="24"/>
        </w:rPr>
        <w:fldChar w:fldCharType="end"/>
      </w:r>
      <w:r>
        <w:rPr>
          <w:rFonts w:ascii="Times New Roman" w:hAnsi="Times New Roman" w:cs="Times New Roman"/>
          <w:sz w:val="24"/>
          <w:szCs w:val="24"/>
        </w:rPr>
        <w:t xml:space="preserve"> and motivation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"10.1176/appi.ajp.160.6.1041", "ISSN" : "0002-953X (Print)", "PMID" : "12777258", "abstract" : "OBJECTIVE: Epidemiological studies indicate that experimentation with addictive drugs and onset of addictive disorders is primarily concentrated in adolescence and young adulthood. The authors describe basic and clinical data supporting adolescent neurodevelopment as a biologically critical period of greater vulnerability for experimentation with substances and acquisition of substance use disorders. METHOD: The authors reviewed recent literature regarding neurocircuitry underlying motivation, impulsivity, and addiction, with a focus on studies investigating adolescent neurodevelopment. RESULTS: Adolescent neurodevelopment occurs in brain regions associated with motivation, impulsivity, and addiction. Adolescent impulsivity and/or novelty seeking as a transitional trait behavior can be explained in part by maturational changes in frontal cortical and subcortical monoaminergic systems. These developmental processes may advantageously promote learning drives for adaptation to adult roles but may also confer greater vulnerability to the addictive actions of drugs. CONCLUSIONS: An exploration of developmental changes in neurocircuitry involved in impulse control has significant implications for understanding adolescent behavior, addiction vulnerability, and the prevention of addiction in adolescence and adulthood.", "author" : [ { "dropping-particle" : "", "family" : "Chambers", "given" : "R Andrew", "non-dropping-particle" : "", "parse-names" : false, "suffix" : "" }, { "dropping-particle" : "", "family" : "Taylor", "given" : "Jane R", "non-dropping-particle" : "", "parse-names" : false, "suffix" : "" }, { "dropping-particle" : "", "family" : "Potenza", "given" : "Marc N", "non-dropping-particle" : "", "parse-names" : false, "suffix" : "" } ], "container-title" : "The American Journal of Psychiatry", "id" : "ITEM-1", "issue" : "6", "issued" : { "date-parts" : [ [ "2003", "6" ] ] }, "language" : "eng", "page" : "1041-1052", "publisher-place" : "United States", "title" : "Developmental neurocircuitry of motivation in adolescence: a critical period of addiction vulnerability.", "type" : "article-journal", "volume" : "160" }, "uris" : [ "http://www.mendeley.com/documents/?uuid=c9cb2e1b-1d92-4ec2-8324-54272dc9f919" ] } ], "mendeley" : { "formattedCitation" : "(Chambers et al. 2003)", "plainTextFormattedCitation" : "(Chambers et al. 2003)", "previouslyFormattedCitation" : "(Chambers et al. 2003)" }, "properties" : { "noteIndex" : 15 }, "schema" : "https://github.com/citation-style-language/schema/raw/master/csl-citation.json" }</w:instrText>
      </w:r>
      <w:r>
        <w:rPr>
          <w:rFonts w:ascii="Times New Roman" w:hAnsi="Times New Roman" w:cs="Times New Roman"/>
          <w:sz w:val="24"/>
          <w:szCs w:val="24"/>
        </w:rPr>
        <w:fldChar w:fldCharType="separate"/>
      </w:r>
      <w:r w:rsidRPr="000F0FBB">
        <w:rPr>
          <w:rFonts w:ascii="Times New Roman" w:hAnsi="Times New Roman" w:cs="Times New Roman"/>
          <w:noProof/>
          <w:sz w:val="24"/>
          <w:szCs w:val="24"/>
        </w:rPr>
        <w:t>(Chambers et al. 2003)</w:t>
      </w:r>
      <w:r>
        <w:rPr>
          <w:rFonts w:ascii="Times New Roman" w:hAnsi="Times New Roman" w:cs="Times New Roman"/>
          <w:sz w:val="24"/>
          <w:szCs w:val="24"/>
        </w:rPr>
        <w:fldChar w:fldCharType="end"/>
      </w:r>
      <w:r>
        <w:rPr>
          <w:rFonts w:ascii="Times New Roman" w:hAnsi="Times New Roman" w:cs="Times New Roman"/>
          <w:sz w:val="24"/>
          <w:szCs w:val="24"/>
        </w:rPr>
        <w:t>.</w:t>
      </w:r>
    </w:p>
    <w:p w14:paraId="5035B802" w14:textId="02CF1083" w:rsidR="00E10E41" w:rsidRDefault="006A2BA4" w:rsidP="006A2B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as we examined one potential causal pathway, it is possible that the direction of the association could work in both ways, that is, impairments in </w:t>
      </w:r>
      <w:r w:rsidRPr="00F512DB">
        <w:rPr>
          <w:rFonts w:ascii="Times New Roman" w:hAnsi="Times New Roman" w:cs="Times New Roman"/>
          <w:sz w:val="24"/>
          <w:szCs w:val="24"/>
        </w:rPr>
        <w:t xml:space="preserve">WM may </w:t>
      </w:r>
      <w:r>
        <w:rPr>
          <w:rFonts w:ascii="Times New Roman" w:hAnsi="Times New Roman" w:cs="Times New Roman"/>
          <w:sz w:val="24"/>
          <w:szCs w:val="24"/>
        </w:rPr>
        <w:t>precede (and increase the</w:t>
      </w:r>
      <w:r w:rsidRPr="00F512DB">
        <w:rPr>
          <w:rFonts w:ascii="Times New Roman" w:hAnsi="Times New Roman" w:cs="Times New Roman"/>
          <w:sz w:val="24"/>
          <w:szCs w:val="24"/>
        </w:rPr>
        <w:t xml:space="preserve"> risk of developing</w:t>
      </w:r>
      <w:r>
        <w:rPr>
          <w:rFonts w:ascii="Times New Roman" w:hAnsi="Times New Roman" w:cs="Times New Roman"/>
          <w:sz w:val="24"/>
          <w:szCs w:val="24"/>
        </w:rPr>
        <w:t>)</w:t>
      </w:r>
      <w:r w:rsidRPr="00F512DB">
        <w:rPr>
          <w:rFonts w:ascii="Times New Roman" w:hAnsi="Times New Roman" w:cs="Times New Roman"/>
          <w:sz w:val="24"/>
          <w:szCs w:val="24"/>
        </w:rPr>
        <w:t xml:space="preserve"> alcohol problems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"10.1111/acer.12339", "ISSN" : "1530-0277 (Electronic)", "PMID" : "24460848", "abstract" : "BACKGROUND: Previous research has identified working memory (WM) as a possible risk factor for problem drinking in adolescence. At the same time, results suggest that WM functioning is negatively influenced by the use of alcohol. To get a better understanding of the nature of this relationship, the present study examined the prospective bidirectional association between alcohol use and WM in a sample of young adolescents at risk for problem drinking. METHODS: Adolescents were all 8th graders from 17 different Special Education Schools (for youth with externalizing behavior problems). At the beginning of the study, 374 adolescents participated (mean age of 13.6 years). Approximately every 6 months, adolescents completed a questionnaire to establish alcohol use and a Self-Ordered Pointing Task (SOPT) to assess WM. RESULTS: Cross-lagged analyses revealed that alcohol use at T1 negatively predicted WM functioning 6 months later (p &lt; 0.001). WM functioning at T2 and at T3 predicted alcohol use 6 months later (p &lt; 0.01). CONCLUSIONS: WM functioning has been identified as both risk factor for and as function negatively influenced by alcohol use. Findings indicate that early alcohol use in at-risk adolescents negatively influences the development of subsequent WM functioning, which in turn constitutes as a risk factor for later alcohol use problems. Implications for early interventions are discussed.", "author" : [ { "dropping-particle" : "", "family" : "Peeters", "given" : "Margot", "non-dropping-particle" : "", "parse-names" : false, "suffix" : "" }, { "dropping-particle" : "", "family" : "Monshouwer", "given" : "Karin", "non-dropping-particle" : "", "parse-names" : false, "suffix" : "" }, { "dropping-particle" : "", "family" : "Janssen", "given" : "Tim", "non-dropping-particle" : "", "parse-names" : false, "suffix" : "" }, { "dropping-particle" : "", "family" : "Wiers", "given" : "Reinout W", "non-dropping-particle" : "", "parse-names" : false, "suffix" : "" }, { "dropping-particle" : "", "family" : "Vollebergh", "given" : "Wilma A M", "non-dropping-particle" : "", "parse-names" : false, "suffix" : "" } ], "container-title" : "Alcoholism, Clinical and Experimental Research", "id" : "ITEM-1", "issue" : "4", "issued" : { "date-parts" : [ [ "2014", "4" ] ] }, "language" : "ENG", "page" : "1176-1183", "publisher-place" : "England", "title" : "Working memory and alcohol use in at-risk adolescents: a 2-year follow-up.", "type" : "article-journal", "volume" : "38" }, "uris" : [ "http://www.mendeley.com/documents/?uuid=db6c0ea1-7b86-4c1e-a1e6-0d027749ea32" ] } ], "mendeley" : { "formattedCitation" : "(Peeters et al. 2014)", "manualFormatting" : "(see Peeters et al., 2014)", "plainTextFormattedCitation" : "(Peeters et al. 2014)", "previouslyFormattedCitation" : "(Peeters et al. 2014)" }, "properties" : { "noteIndex" : 0 }, "schema" : "https://github.com/citation-style-language/schema/raw/master/csl-citation.json" }</w:instrText>
      </w:r>
      <w:r>
        <w:rPr>
          <w:rFonts w:ascii="Times New Roman" w:hAnsi="Times New Roman" w:cs="Times New Roman"/>
          <w:sz w:val="24"/>
          <w:szCs w:val="24"/>
        </w:rPr>
        <w:fldChar w:fldCharType="separate"/>
      </w:r>
      <w:r w:rsidRPr="00C74B10">
        <w:rPr>
          <w:rFonts w:ascii="Times New Roman" w:hAnsi="Times New Roman" w:cs="Times New Roman"/>
          <w:noProof/>
          <w:sz w:val="24"/>
          <w:szCs w:val="24"/>
        </w:rPr>
        <w:t>(</w:t>
      </w:r>
      <w:r>
        <w:rPr>
          <w:rFonts w:ascii="Times New Roman" w:hAnsi="Times New Roman" w:cs="Times New Roman"/>
          <w:noProof/>
          <w:sz w:val="24"/>
          <w:szCs w:val="24"/>
        </w:rPr>
        <w:t xml:space="preserve">see </w:t>
      </w:r>
      <w:r w:rsidRPr="00C74B10">
        <w:rPr>
          <w:rFonts w:ascii="Times New Roman" w:hAnsi="Times New Roman" w:cs="Times New Roman"/>
          <w:noProof/>
          <w:sz w:val="24"/>
          <w:szCs w:val="24"/>
        </w:rPr>
        <w:t>Peeters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We were however able to </w:t>
      </w:r>
      <w:r w:rsidR="00AF2206">
        <w:rPr>
          <w:rFonts w:ascii="Times New Roman" w:hAnsi="Times New Roman" w:cs="Times New Roman"/>
          <w:sz w:val="24"/>
          <w:szCs w:val="24"/>
        </w:rPr>
        <w:t xml:space="preserve">include a number of measures </w:t>
      </w:r>
      <w:r w:rsidR="00D5229E">
        <w:rPr>
          <w:rFonts w:ascii="Times New Roman" w:hAnsi="Times New Roman" w:cs="Times New Roman"/>
          <w:sz w:val="24"/>
          <w:szCs w:val="24"/>
        </w:rPr>
        <w:t xml:space="preserve">to </w:t>
      </w:r>
      <w:r w:rsidR="00B1720A">
        <w:rPr>
          <w:rFonts w:ascii="Times New Roman" w:hAnsi="Times New Roman" w:cs="Times New Roman"/>
          <w:sz w:val="24"/>
          <w:szCs w:val="24"/>
        </w:rPr>
        <w:t>maximise</w:t>
      </w:r>
      <w:r w:rsidR="00D5229E">
        <w:rPr>
          <w:rFonts w:ascii="Times New Roman" w:hAnsi="Times New Roman" w:cs="Times New Roman"/>
          <w:sz w:val="24"/>
          <w:szCs w:val="24"/>
        </w:rPr>
        <w:t xml:space="preserve"> the robustness of our findings:</w:t>
      </w:r>
      <w:r w:rsidR="00AF2206">
        <w:rPr>
          <w:rFonts w:ascii="Times New Roman" w:hAnsi="Times New Roman" w:cs="Times New Roman"/>
          <w:sz w:val="24"/>
          <w:szCs w:val="24"/>
        </w:rPr>
        <w:t xml:space="preserve"> i) </w:t>
      </w:r>
      <w:r>
        <w:rPr>
          <w:rFonts w:ascii="Times New Roman" w:hAnsi="Times New Roman" w:cs="Times New Roman"/>
          <w:sz w:val="24"/>
          <w:szCs w:val="24"/>
        </w:rPr>
        <w:t>ascertain the time order of exposure and outcome in our study, enabling the potential temporal associations between alcohol use and WM to be examine</w:t>
      </w:r>
      <w:r w:rsidR="00D5229E">
        <w:rPr>
          <w:rFonts w:ascii="Times New Roman" w:hAnsi="Times New Roman" w:cs="Times New Roman"/>
          <w:sz w:val="24"/>
          <w:szCs w:val="24"/>
        </w:rPr>
        <w:t>d,</w:t>
      </w:r>
      <w:r>
        <w:rPr>
          <w:rFonts w:ascii="Times New Roman" w:hAnsi="Times New Roman" w:cs="Times New Roman"/>
          <w:sz w:val="24"/>
          <w:szCs w:val="24"/>
        </w:rPr>
        <w:t xml:space="preserve"> </w:t>
      </w:r>
      <w:r w:rsidR="00AF2206">
        <w:rPr>
          <w:rFonts w:ascii="Times New Roman" w:hAnsi="Times New Roman" w:cs="Times New Roman"/>
          <w:sz w:val="24"/>
          <w:szCs w:val="24"/>
        </w:rPr>
        <w:t xml:space="preserve">ii) </w:t>
      </w:r>
      <w:r>
        <w:rPr>
          <w:rFonts w:ascii="Times New Roman" w:hAnsi="Times New Roman" w:cs="Times New Roman"/>
          <w:sz w:val="24"/>
          <w:szCs w:val="24"/>
        </w:rPr>
        <w:t>controlling for a</w:t>
      </w:r>
      <w:r w:rsidR="009B07AA">
        <w:rPr>
          <w:rFonts w:ascii="Times New Roman" w:hAnsi="Times New Roman" w:cs="Times New Roman"/>
          <w:sz w:val="24"/>
          <w:szCs w:val="24"/>
        </w:rPr>
        <w:t xml:space="preserve"> measure </w:t>
      </w:r>
      <w:r>
        <w:rPr>
          <w:rFonts w:ascii="Times New Roman" w:hAnsi="Times New Roman" w:cs="Times New Roman"/>
          <w:sz w:val="24"/>
          <w:szCs w:val="24"/>
        </w:rPr>
        <w:t xml:space="preserve">of </w:t>
      </w:r>
      <w:r w:rsidR="00411B59">
        <w:rPr>
          <w:rFonts w:ascii="Times New Roman" w:hAnsi="Times New Roman" w:cs="Times New Roman"/>
          <w:sz w:val="24"/>
          <w:szCs w:val="24"/>
        </w:rPr>
        <w:t xml:space="preserve">WM prior to the onset of alcohol use </w:t>
      </w:r>
      <w:r>
        <w:rPr>
          <w:rFonts w:ascii="Times New Roman" w:hAnsi="Times New Roman" w:cs="Times New Roman"/>
          <w:sz w:val="24"/>
          <w:szCs w:val="24"/>
        </w:rPr>
        <w:t xml:space="preserve">and participants who had a head injury helped to </w:t>
      </w:r>
      <w:r>
        <w:rPr>
          <w:rFonts w:ascii="Times New Roman" w:hAnsi="Times New Roman" w:cs="Times New Roman"/>
          <w:sz w:val="24"/>
          <w:szCs w:val="24"/>
        </w:rPr>
        <w:lastRenderedPageBreak/>
        <w:t xml:space="preserve">remove the possibility of </w:t>
      </w:r>
      <w:r w:rsidR="00947955">
        <w:rPr>
          <w:rFonts w:ascii="Times New Roman" w:hAnsi="Times New Roman" w:cs="Times New Roman"/>
          <w:sz w:val="24"/>
          <w:szCs w:val="24"/>
        </w:rPr>
        <w:t xml:space="preserve">deficits in </w:t>
      </w:r>
      <w:r>
        <w:rPr>
          <w:rFonts w:ascii="Times New Roman" w:hAnsi="Times New Roman" w:cs="Times New Roman"/>
          <w:sz w:val="24"/>
          <w:szCs w:val="24"/>
        </w:rPr>
        <w:t>WM influencing alcohol use,</w:t>
      </w:r>
      <w:r w:rsidR="00156166">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56166">
        <w:rPr>
          <w:rFonts w:ascii="Times New Roman" w:hAnsi="Times New Roman" w:cs="Times New Roman"/>
          <w:sz w:val="24"/>
          <w:szCs w:val="24"/>
        </w:rPr>
        <w:t xml:space="preserve">iii) although we cannot exclude the possibility of residual confounding, </w:t>
      </w:r>
      <w:r>
        <w:rPr>
          <w:rFonts w:ascii="Times New Roman" w:hAnsi="Times New Roman" w:cs="Times New Roman"/>
          <w:sz w:val="24"/>
          <w:szCs w:val="24"/>
        </w:rPr>
        <w:t xml:space="preserve">we have made adjustment for a number of confounding variables, including weekly smoking status, </w:t>
      </w:r>
      <w:r w:rsidR="009B07AA">
        <w:rPr>
          <w:rFonts w:ascii="Times New Roman" w:hAnsi="Times New Roman" w:cs="Times New Roman"/>
          <w:noProof/>
          <w:sz w:val="24"/>
          <w:szCs w:val="24"/>
        </w:rPr>
        <w:t xml:space="preserve">which was shown to </w:t>
      </w:r>
      <w:r w:rsidR="00AC2010">
        <w:rPr>
          <w:rFonts w:ascii="Times New Roman" w:hAnsi="Times New Roman" w:cs="Times New Roman"/>
          <w:noProof/>
          <w:sz w:val="24"/>
          <w:szCs w:val="24"/>
        </w:rPr>
        <w:t>have</w:t>
      </w:r>
      <w:r w:rsidR="009B07AA">
        <w:rPr>
          <w:rFonts w:ascii="Times New Roman" w:hAnsi="Times New Roman" w:cs="Times New Roman"/>
          <w:noProof/>
          <w:sz w:val="24"/>
          <w:szCs w:val="24"/>
        </w:rPr>
        <w:t xml:space="preserve"> the strongest asscoiation with WM perfromance</w:t>
      </w:r>
      <w:r>
        <w:rPr>
          <w:rFonts w:ascii="Times New Roman" w:hAnsi="Times New Roman" w:cs="Times New Roman"/>
          <w:sz w:val="24"/>
          <w:szCs w:val="24"/>
        </w:rPr>
        <w:t xml:space="preserve">. Future work aims to follow up large prospective cohorts should take the possibly of reverse causality into account by including measures of alcohol use and WM at every assessment wave. </w:t>
      </w:r>
    </w:p>
    <w:p w14:paraId="0059A2AB" w14:textId="190D2E51" w:rsidR="00621E31" w:rsidRDefault="00621E31" w:rsidP="00595157">
      <w:pPr>
        <w:spacing w:before="240" w:after="0" w:line="480" w:lineRule="auto"/>
        <w:rPr>
          <w:rFonts w:ascii="Times New Roman" w:hAnsi="Times New Roman" w:cs="Times New Roman"/>
          <w:i/>
          <w:sz w:val="24"/>
          <w:szCs w:val="24"/>
        </w:rPr>
      </w:pPr>
      <w:r w:rsidRPr="00621E31">
        <w:rPr>
          <w:rFonts w:ascii="Times New Roman" w:hAnsi="Times New Roman" w:cs="Times New Roman"/>
          <w:i/>
          <w:sz w:val="24"/>
          <w:szCs w:val="24"/>
        </w:rPr>
        <w:t>Comparison with previous studies</w:t>
      </w:r>
    </w:p>
    <w:p w14:paraId="659C748C" w14:textId="3887FB0F" w:rsidR="00FE4481" w:rsidRDefault="00D21102" w:rsidP="001B7F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the best of our knowledge, this is the largest study to date to assess the prospective relationship between alcohol use and WM in adolescents. </w:t>
      </w:r>
      <w:r w:rsidR="00C541E0">
        <w:rPr>
          <w:rFonts w:ascii="Times New Roman" w:hAnsi="Times New Roman" w:cs="Times New Roman"/>
          <w:sz w:val="24"/>
          <w:szCs w:val="24"/>
        </w:rPr>
        <w:t>Our</w:t>
      </w:r>
      <w:r w:rsidR="00497CDF">
        <w:rPr>
          <w:rFonts w:ascii="Times New Roman" w:hAnsi="Times New Roman" w:cs="Times New Roman"/>
          <w:sz w:val="24"/>
          <w:szCs w:val="24"/>
        </w:rPr>
        <w:t xml:space="preserve"> </w:t>
      </w:r>
      <w:r w:rsidR="004630CD">
        <w:rPr>
          <w:rFonts w:ascii="Times New Roman" w:hAnsi="Times New Roman" w:cs="Times New Roman"/>
          <w:sz w:val="24"/>
          <w:szCs w:val="24"/>
        </w:rPr>
        <w:t>findings are</w:t>
      </w:r>
      <w:r w:rsidR="006C5E7A">
        <w:rPr>
          <w:rFonts w:ascii="Times New Roman" w:hAnsi="Times New Roman" w:cs="Times New Roman"/>
          <w:sz w:val="24"/>
          <w:szCs w:val="24"/>
        </w:rPr>
        <w:t xml:space="preserve"> </w:t>
      </w:r>
      <w:r w:rsidR="00497CDF">
        <w:rPr>
          <w:rFonts w:ascii="Times New Roman" w:hAnsi="Times New Roman" w:cs="Times New Roman"/>
          <w:sz w:val="24"/>
          <w:szCs w:val="24"/>
        </w:rPr>
        <w:t xml:space="preserve">consistent </w:t>
      </w:r>
      <w:r w:rsidR="004630CD">
        <w:rPr>
          <w:rFonts w:ascii="Times New Roman" w:hAnsi="Times New Roman" w:cs="Times New Roman"/>
          <w:sz w:val="24"/>
          <w:szCs w:val="24"/>
        </w:rPr>
        <w:t xml:space="preserve">with </w:t>
      </w:r>
      <w:r w:rsidR="00DC2C22">
        <w:rPr>
          <w:rFonts w:ascii="Times New Roman" w:hAnsi="Times New Roman" w:cs="Times New Roman"/>
          <w:sz w:val="24"/>
          <w:szCs w:val="24"/>
        </w:rPr>
        <w:t xml:space="preserve">the majority of </w:t>
      </w:r>
      <w:r w:rsidR="00B80AE3">
        <w:rPr>
          <w:rFonts w:ascii="Times New Roman" w:hAnsi="Times New Roman" w:cs="Times New Roman"/>
          <w:sz w:val="24"/>
          <w:szCs w:val="24"/>
        </w:rPr>
        <w:t>research from neuropsychological</w:t>
      </w:r>
      <w:r w:rsidR="00824434">
        <w:rPr>
          <w:rFonts w:ascii="Times New Roman" w:hAnsi="Times New Roman" w:cs="Times New Roman"/>
          <w:sz w:val="24"/>
          <w:szCs w:val="24"/>
        </w:rPr>
        <w:t xml:space="preserve"> and</w:t>
      </w:r>
      <w:r w:rsidR="00B80AE3">
        <w:rPr>
          <w:rFonts w:ascii="Times New Roman" w:hAnsi="Times New Roman" w:cs="Times New Roman"/>
          <w:sz w:val="24"/>
          <w:szCs w:val="24"/>
        </w:rPr>
        <w:t xml:space="preserve"> </w:t>
      </w:r>
      <w:r w:rsidR="009F3621">
        <w:rPr>
          <w:rFonts w:ascii="Times New Roman" w:hAnsi="Times New Roman" w:cs="Times New Roman"/>
          <w:sz w:val="24"/>
          <w:szCs w:val="24"/>
        </w:rPr>
        <w:t xml:space="preserve">brain </w:t>
      </w:r>
      <w:r w:rsidR="00992674">
        <w:rPr>
          <w:rFonts w:ascii="Times New Roman" w:hAnsi="Times New Roman" w:cs="Times New Roman"/>
          <w:sz w:val="24"/>
          <w:szCs w:val="24"/>
        </w:rPr>
        <w:t xml:space="preserve">imaging </w:t>
      </w:r>
      <w:r w:rsidR="00DC2C22">
        <w:rPr>
          <w:rFonts w:ascii="Times New Roman" w:hAnsi="Times New Roman" w:cs="Times New Roman"/>
          <w:sz w:val="24"/>
          <w:szCs w:val="24"/>
        </w:rPr>
        <w:t xml:space="preserve">that have </w:t>
      </w:r>
      <w:r w:rsidR="005601BC">
        <w:rPr>
          <w:rFonts w:ascii="Times New Roman" w:hAnsi="Times New Roman" w:cs="Times New Roman"/>
          <w:sz w:val="24"/>
          <w:szCs w:val="24"/>
        </w:rPr>
        <w:t xml:space="preserve">demonstrated </w:t>
      </w:r>
      <w:r w:rsidR="00134A88">
        <w:rPr>
          <w:rFonts w:ascii="Times New Roman" w:hAnsi="Times New Roman" w:cs="Times New Roman"/>
          <w:sz w:val="24"/>
          <w:szCs w:val="24"/>
        </w:rPr>
        <w:t>deficits in WM functioning</w:t>
      </w:r>
      <w:r w:rsidR="005601BC">
        <w:rPr>
          <w:rFonts w:ascii="Times New Roman" w:hAnsi="Times New Roman" w:cs="Times New Roman"/>
          <w:sz w:val="24"/>
          <w:szCs w:val="24"/>
        </w:rPr>
        <w:t xml:space="preserve"> in adolescents exhibiting problematic patterns of alcohol use</w:t>
      </w:r>
      <w:r w:rsidR="00134A88">
        <w:rPr>
          <w:rFonts w:ascii="Times New Roman" w:hAnsi="Times New Roman" w:cs="Times New Roman"/>
          <w:sz w:val="24"/>
          <w:szCs w:val="24"/>
        </w:rPr>
        <w:t xml:space="preserve"> </w:t>
      </w:r>
      <w:r w:rsidR="00134A88">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"10.1111/acer.12339", "ISSN" : "1530-0277 (Electronic)", "PMID" : "24460848", "abstract" : "BACKGROUND: Previous research has identified working memory (WM) as a possible risk factor for problem drinking in adolescence. At the same time, results suggest that WM functioning is negatively influenced by the use of alcohol. To get a better understanding of the nature of this relationship, the present study examined the prospective bidirectional association between alcohol use and WM in a sample of young adolescents at risk for problem drinking. METHODS: Adolescents were all 8th graders from 17 different Special Education Schools (for youth with externalizing behavior problems). At the beginning of the study, 374 adolescents participated (mean age of 13.6 years). Approximately every 6 months, adolescents completed a questionnaire to establish alcohol use and a Self-Ordered Pointing Task (SOPT) to assess WM. RESULTS: Cross-lagged analyses revealed that alcohol use at T1 negatively predicted WM functioning 6 months later (p &lt; 0.001). WM functioning at T2 and at T3 predicted alcohol use 6 months later (p &lt; 0.01). CONCLUSIONS: WM functioning has been identified as both risk factor for and as function negatively influenced by alcohol use. Findings indicate that early alcohol use in at-risk adolescents negatively influences the development of subsequent WM functioning, which in turn constitutes as a risk factor for later alcohol use problems. Implications for early interventions are discussed.", "author" : [ { "dropping-particle" : "", "family" : "Peeters", "given" : "Margot", "non-dropping-particle" : "", "parse-names" : false, "suffix" : "" }, { "dropping-particle" : "", "family" : "Monshouwer", "given" : "Karin", "non-dropping-particle" : "", "parse-names" : false, "suffix" : "" }, { "dropping-particle" : "", "family" : "Janssen", "given" : "Tim", "non-dropping-particle" : "", "parse-names" : false, "suffix" : "" }, { "dropping-particle" : "", "family" : "Wiers", "given" : "Reinout W", "non-dropping-particle" : "", "parse-names" : false, "suffix" : "" }, { "dropping-particle" : "", "family" : "Vollebergh", "given" : "Wilma A M", "non-dropping-particle" : "", "parse-names" : false, "suffix" : "" } ], "container-title" : "Alcoholism, Clinical and Experimental Research", "id" : "ITEM-1", "issue" : "4", "issued" : { "date-parts" : [ [ "2014", "4" ] ] }, "language" : "ENG", "page" : "1176-1183", "publisher-place" : "England", "title" : "Working memory and alcohol use in at-risk adolescents: a 2-year follow-up.", "type" : "article-journal", "volume" : "38" }, "uris" : [ "http://www.mendeley.com/documents/?uuid=db6c0ea1-7b86-4c1e-a1e6-0d027749ea32" ] }, { "id" : "ITEM-2", "itemData" : { "DOI" : "10.1177/155005940904000110", "ISBN" : "2122633255", "ISSN" : "1550-0594", "PMID" : "19278130", "abstract" : "Adolescence is a unique period in neurodevelopment. Alcohol and marijuana use are common. Recent research has indicated that adolescent substance users show abnormalities on measures of brain functioning, which is linked to changes in neurocognition over time. Abnormalities have been seen in brain structure volume, white matter quality, and activation to cognitive tasks, even in youth with as little as 1-2 years of heavy drinking and consumption levels of 20 drinks per month, especially if &gt; 4-5 drinks are consumed on a single occasion. Heavy marijuana users show some subtle anomalies too, but generally not the same degree of divergence from demographically similar non-using adolescents. This article reviews the extant literature on neurocognition, brain structure, and brain function in adolescent substance users with an emphasis on the most commonly used substances, and in the context of ongoing neuromaturational processes. Methodological and treatment implications are provided.", "author" : [ { "dropping-particle" : "", "family" : "Squeglia", "given" : "L M", "non-dropping-particle" : "", "parse-names" : false, "suffix" : "" }, { "dropping-particle" : "", "family" : "Jacobus", "given" : "J", "non-dropping-particle" : "", "parse-names" : false, "suffix" : "" }, { "dropping-particle" : "", "family" : "Tapert", "given" : "S F", "non-dropping-particle" : "", "parse-names" : false, "suffix" : "" } ], "container-title" : "Clinical EEG and Neuroscience", "id" : "ITEM-2", "issue" : "1", "issued" : { "date-parts" : [ [ "2009" ] ] }, "page" : "31-8", "title" : "The influence of substance use on adolescent brain development.", "type" : "article-journal", "volume" : "40" }, "uris" : [ "http://www.mendeley.com/documents/?uuid=04e7f9ce-e314-408d-bcd2-acebe0bd12f1" ] }, { "id" : "ITEM-3", "itemData" : { "ISSN" : "1938-4114 (Electronic)", "PMID" : "22846239", "abstract" : "OBJECTIVE: Many adolescents engage in heavy alcohol use. The aim of this study was to disentangle whether brain abnormalities seen in adolescent heavy drinkers are a consequence of heavy drinking, a preexisting risk factor for initiation of alcohol use, or both. METHOD: Study 1 used cross-sectional functional magnetic resonance imaging (fMRI) visual working-memory (VWM) data from 15- to 19-year-olds (20 heavy drinkers, 20 controls) to identify brain regions affected by heavy adolescent alcohol use. Study 2 used longitudinal fMRI VWM data from 12- to 16-year-olds imaged before the onset of drinking and imaged again on the same scanner approximately 3 years later. Those who had transitioned into heavy drinking (n = 20) were matched to continuous nondrinkers (n = 20) on baseline alcohol risk and developmental factors (N = 40; 80 scans). RESULTS: Study 1 found that heavy drinkers exhibited more frontal and parietal but less occipital activation than controls, defining the regions of interest for Study 2. In Study 2, adolescents who later transitioned into heavy drinking showed less fMRI response contrast at baseline than continuous nondrinkers, which increased after the onset of heavy drinking, in frontal (1,431 muL, p = .003; eta(2) = .19) and parietal (810 muL, p = .005; eta(2)= .23) regions, as in Study 1. Lower baseline activation in the frontal and parietal regions predicted subsequent substance use, more so than commonly observed predictors of youth drinking (p &lt; .05). CONCLUSIONS: Adolescents who initiated heavy drinking showed different brain activation before the onset of drinking, then less efficient information processing after high-dose alcohol use started. This suggests neural response patterns that could be risk factors for future substance use and also supports prior neuropsychological reports indicating that initiating heavy episodic drinking in adolescence may be followed by subtle alterations in brain functioning.", "author" : [ { "dropping-particle" : "", "family" : "Squeglia", "given" : "Lindsay M", "non-dropping-particle" : "", "parse-names" : false, "suffix" : "" }, { "dropping-particle" : "", "family" : "Pulido", "given" : "Carmen", "non-dropping-particle" : "", "parse-names" : false, "suffix" : "" }, { "dropping-particle" : "", "family" : "Wetherill", "given" : "Reagan R", "non-dropping-particle" : "", "parse-names" : false, "suffix" : "" }, { "dropping-particle" : "", "family" : "Jacobus", "given" : "Joanna", "non-dropping-particle" : "", "parse-names" : false, "suffix" : "" }, { "dropping-particle" : "", "family" : "Brown", "given" : "Gregory G", "non-dropping-particle" : "", "parse-names" : false, "suffix" : "" }, { "dropping-particle" : "", "family" : "Tapert", "given" : "Susan F", "non-dropping-particle" : "", "parse-names" : false, "suffix" : "" } ], "container-title" : "Journal of Studies on Alcohol and Drugs", "id" : "ITEM-3", "issue" : "5", "issued" : { "date-parts" : [ [ "2012", "9" ] ] }, "language" : "ENG", "page" : "749-760", "publisher-place" : "United States", "title" : "Brain response to working memory over three years of adolescence: influence of initiating heavy drinking.", "type" : "article-journal", "volume" : "73" }, "uris" : [ "http://www.mendeley.com/documents/?uuid=36378d90-b5ef-4b67-9f26-4aa9cda12371" ] } ], "mendeley" : { "formattedCitation" : "(Peeters et al. 2014; Squeglia et al. 2009; Squeglia et al. 2012)", "plainTextFormattedCitation" : "(Peeters et al. 2014; Squeglia et al. 2009; Squeglia et al. 2012)", "previouslyFormattedCitation" : "(Peeters et al. 2014; Squeglia et al. 2009; Squeglia et al. 2012)" }, "properties" : { "noteIndex" : 0 }, "schema" : "https://github.com/citation-style-language/schema/raw/master/csl-citation.json" }</w:instrText>
      </w:r>
      <w:r w:rsidR="00134A88">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(Peeters et al. 2014; Squeglia et al. 2009; Squeglia et al. 2012)</w:t>
      </w:r>
      <w:r w:rsidR="00134A88">
        <w:rPr>
          <w:rFonts w:ascii="Times New Roman" w:hAnsi="Times New Roman" w:cs="Times New Roman"/>
          <w:sz w:val="24"/>
          <w:szCs w:val="24"/>
        </w:rPr>
        <w:fldChar w:fldCharType="end"/>
      </w:r>
      <w:r w:rsidR="00FE3928">
        <w:rPr>
          <w:rFonts w:ascii="Times New Roman" w:hAnsi="Times New Roman" w:cs="Times New Roman"/>
          <w:sz w:val="24"/>
          <w:szCs w:val="24"/>
        </w:rPr>
        <w:t>.</w:t>
      </w:r>
      <w:r w:rsidR="00770CCA" w:rsidRPr="00770CCA">
        <w:rPr>
          <w:rFonts w:ascii="Times New Roman" w:hAnsi="Times New Roman" w:cs="Times New Roman"/>
          <w:sz w:val="24"/>
          <w:szCs w:val="24"/>
        </w:rPr>
        <w:t xml:space="preserve"> </w:t>
      </w:r>
      <w:r w:rsidR="00134A88">
        <w:rPr>
          <w:rFonts w:ascii="Times New Roman" w:hAnsi="Times New Roman" w:cs="Times New Roman"/>
          <w:sz w:val="24"/>
          <w:szCs w:val="24"/>
        </w:rPr>
        <w:t>In terms of findings from community samples, a</w:t>
      </w:r>
      <w:r w:rsidR="00770CCA">
        <w:rPr>
          <w:rFonts w:ascii="Times New Roman" w:hAnsi="Times New Roman" w:cs="Times New Roman"/>
          <w:sz w:val="24"/>
          <w:szCs w:val="24"/>
        </w:rPr>
        <w:t xml:space="preserve"> </w:t>
      </w:r>
      <w:r w:rsidR="00BB425E">
        <w:rPr>
          <w:rFonts w:ascii="Times New Roman" w:hAnsi="Times New Roman" w:cs="Times New Roman"/>
          <w:sz w:val="24"/>
          <w:szCs w:val="24"/>
        </w:rPr>
        <w:t>longitudinal cohort study of Dutch adolescents</w:t>
      </w:r>
      <w:r w:rsidR="00876CBE">
        <w:rPr>
          <w:rFonts w:ascii="Times New Roman" w:hAnsi="Times New Roman" w:cs="Times New Roman"/>
          <w:sz w:val="24"/>
          <w:szCs w:val="24"/>
        </w:rPr>
        <w:t xml:space="preserve"> (</w:t>
      </w:r>
      <w:r w:rsidR="007A378E">
        <w:rPr>
          <w:rFonts w:ascii="Times New Roman" w:hAnsi="Times New Roman" w:cs="Times New Roman"/>
          <w:sz w:val="24"/>
          <w:szCs w:val="24"/>
        </w:rPr>
        <w:t xml:space="preserve">aged </w:t>
      </w:r>
      <w:r w:rsidR="00876CBE">
        <w:rPr>
          <w:rFonts w:ascii="Times New Roman" w:hAnsi="Times New Roman" w:cs="Times New Roman"/>
          <w:sz w:val="24"/>
          <w:szCs w:val="24"/>
        </w:rPr>
        <w:t>11-19 years)</w:t>
      </w:r>
      <w:r w:rsidR="00BB425E">
        <w:rPr>
          <w:rFonts w:ascii="Times New Roman" w:hAnsi="Times New Roman" w:cs="Times New Roman"/>
          <w:sz w:val="24"/>
          <w:szCs w:val="24"/>
        </w:rPr>
        <w:t xml:space="preserve"> found no evidence of an association between heavy drinking in adolescence and </w:t>
      </w:r>
      <w:r w:rsidR="002A5630">
        <w:rPr>
          <w:rFonts w:ascii="Times New Roman" w:hAnsi="Times New Roman" w:cs="Times New Roman"/>
          <w:sz w:val="24"/>
          <w:szCs w:val="24"/>
        </w:rPr>
        <w:t xml:space="preserve">maturation </w:t>
      </w:r>
      <w:r w:rsidR="00BB425E">
        <w:rPr>
          <w:rFonts w:ascii="Times New Roman" w:hAnsi="Times New Roman" w:cs="Times New Roman"/>
          <w:sz w:val="24"/>
          <w:szCs w:val="24"/>
        </w:rPr>
        <w:t xml:space="preserve">of executive functioning </w:t>
      </w:r>
      <w:r w:rsidR="003D76E4">
        <w:rPr>
          <w:rFonts w:ascii="Times New Roman" w:hAnsi="Times New Roman" w:cs="Times New Roman"/>
          <w:sz w:val="24"/>
          <w:szCs w:val="24"/>
        </w:rPr>
        <w:fldChar w:fldCharType="begin" w:fldLock="1"/>
      </w:r>
      <w:r w:rsidR="00662A69">
        <w:rPr>
          <w:rFonts w:ascii="Times New Roman" w:hAnsi="Times New Roman" w:cs="Times New Roman"/>
          <w:sz w:val="24"/>
          <w:szCs w:val="24"/>
        </w:rPr>
        <w:instrText>ADDIN CSL_CITATION { "citationItems" : [ { "id" : "ITEM-1", "itemData" : { "DOI" : "10.1371/journal.pone.0139186", "ISBN" : "1932-6203", "ISSN" : "19326203", "PMID" : "26489080", "abstract" : "Excessive alcohol use is assumed to affect maturation of cognitive functioning in adolescence. However, most existing studies that have tested this hypothesis are seriously flawed due to the use of selective groups and/or cross-sectional designs, which limits the ability to draw firm conclusions. This longitudinal study investigated whether patterns of alcohol use predicted differences in maturation of executive functioning in adolescence. Additionally, gender was tested as a possible moderator. We used data from the Tracking Adolescents\u2019 Individual Lives Survey (TRAILS), which comprises a cohort of 2,230 Dutch adolescents. Maturation of executive functioning was measured by assessing the standardized improvement on each of four basic executive functions (i.e., inhibition, working memory, and shift- and sustained attention) between ages 11 and 19. Participants were assigned to one of six (heavy) drinking groups (i.e., non-drinkers, light drinkers, infrequent heavy drinkers, increased heavy drinkers, decreased heavy drinkers, and chronic heavy drinkers). We conducted linear regression analyses, and adjusted for relevant confounders. The six drinking groups did not reveal significant differences in maturation between drinking groups. E.g., maturation executive functioning of chronic heavy drinkers in comparison to non-drinkers; inhibition: B = -0.14, 95% CI [-0.41 to 0.14], working memory: B = -0.03, 95% CI [-0.26 to 0.21], shift attention: B = 0.13, 95% CI [-0.17 to 0.41], sustained attention: B = 0.12, 95% CI [-0.60 to 0.36]. Furthermore, gender was not found to be a significant moderator. Four years of weekly heavy drinking (i.e., chronic heavy drinkers) did not result in measurable impairments in four basic executive functions. Thus, regular heavy drinking in adolescence does not seem to affect these basic behavioural measures of executive functioning.", "author" : [ { "dropping-particle" : "", "family" : "Boelema", "given" : "Sarai R.", "non-dropping-particle" : "", "parse-names" : false, "suffix" : "" }, { "dropping-particle" : "", "family" : "Harakeh", "given" : "Zeena", "non-dropping-particle" : "", "parse-names" : false, "suffix" : "" }, { "dropping-particle" : "", "family" : "Zandvoort", "given" : "Martine J E", "non-dropping-particle" : "Van", "parse-names" : false, "suffix" : "" }, { "dropping-particle" : "", "family" : "Reijneveld", "given" : "Sijmen A.", "non-dropping-particle" : "", "parse-names" : false, "suffix" : "" }, { "dropping-particle" : "", "family" : "Verhulst", "given" : "Frank C.", "non-dropping-particle" : "", "parse-names" : false, "suffix" : "" }, { "dropping-particle" : "", "family" : "Ormel", "given" : "Johan", "non-dropping-particle" : "", "parse-names" : false, "suffix" : "" }, { "dropping-particle" : "", "family" : "Vollebergh", "given" : "Wilma A M", "non-dropping-particle" : "", "parse-names" : false, "suffix" : "" } ], "container-title" : "PLoS ONE", "id" : "ITEM-1", "issue" : "10", "issued" : { "date-parts" : [ [ "2015" ] ] }, "page" : "1-15", "title" : "Adolescent heavy drinking does not affect maturation of basic executive functioning: Longitudinal findings from the TRAILS study", "type" : "article-journal", "volume" : "10" }, "uris" : [ "http://www.mendeley.com/documents/?uuid=8bde90d8-94af-43b9-b338-63415f28878a" ] } ], "mendeley" : { "formattedCitation" : "(Boelema et al. 2015)", "plainTextFormattedCitation" : "(Boelema et al. 2015)", "previouslyFormattedCitation" : "(Boelema et al. 2015)" }, "properties" : { "noteIndex" : 0 }, "schema" : "https://github.com/citation-style-language/schema/raw/master/csl-citation.json" }</w:instrText>
      </w:r>
      <w:r w:rsidR="003D76E4">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(Boelema et al. 2015)</w:t>
      </w:r>
      <w:r w:rsidR="003D76E4">
        <w:rPr>
          <w:rFonts w:ascii="Times New Roman" w:hAnsi="Times New Roman" w:cs="Times New Roman"/>
          <w:sz w:val="24"/>
          <w:szCs w:val="24"/>
        </w:rPr>
        <w:fldChar w:fldCharType="end"/>
      </w:r>
      <w:r w:rsidR="002A5630">
        <w:rPr>
          <w:rFonts w:ascii="Times New Roman" w:hAnsi="Times New Roman" w:cs="Times New Roman"/>
          <w:sz w:val="24"/>
          <w:szCs w:val="24"/>
        </w:rPr>
        <w:t xml:space="preserve">. The </w:t>
      </w:r>
      <w:r w:rsidR="00876CBE">
        <w:rPr>
          <w:rFonts w:ascii="Times New Roman" w:hAnsi="Times New Roman" w:cs="Times New Roman"/>
          <w:sz w:val="24"/>
          <w:szCs w:val="24"/>
        </w:rPr>
        <w:t xml:space="preserve">contrast in findings could be due to a number of possibilities. First, our study used the </w:t>
      </w:r>
      <w:r w:rsidR="00D81A01">
        <w:rPr>
          <w:rFonts w:ascii="Times New Roman" w:hAnsi="Times New Roman" w:cs="Times New Roman"/>
          <w:sz w:val="24"/>
          <w:szCs w:val="24"/>
        </w:rPr>
        <w:t>N</w:t>
      </w:r>
      <w:r w:rsidR="00876CBE">
        <w:rPr>
          <w:rFonts w:ascii="Times New Roman" w:hAnsi="Times New Roman" w:cs="Times New Roman"/>
          <w:sz w:val="24"/>
          <w:szCs w:val="24"/>
        </w:rPr>
        <w:t xml:space="preserve">-back task as opposed to the use of WM measured with the Amsterdam Neuropsychological Task </w:t>
      </w:r>
      <w:r w:rsidR="003D76E4">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"author" : [ { "dropping-particle" : "", "family" : "Sonneville", "given" : "L.M.J.", "non-dropping-particle" : "de", "parse-names" : false, "suffix" : "" } ], "container-title" : "Cognitive Ergonomics, Clinical Assessment and Computer-Assisted Learning", "editor" : [ { "dropping-particle" : "", "family" : "Brinker", "given" : "B.P.L.M.", "non-dropping-particle" : "Den", "parse-names" : false, "suffix" : "" }, { "dropping-particle" : "", "family" : "Beek", "given" : "P.J.", "non-dropping-particle" : "", "parse-names" : false, "suffix" : "" }, { "dropping-particle" : "", "family" : "Brand", "given" : "A.N.", "non-dropping-particle" : "", "parse-names" : false, "suffix" : "" }, { "dropping-particle" : "", "family" : "Maarse", "given" : "F.J.", "non-dropping-particle" : "", "parse-names" : false, "suffix" : "" }, { "dropping-particle" : "", "family" : "Mulder", "given" : "L.J.M.", "non-dropping-particle" : "", "parse-names" : false, "suffix" : "" } ], "id" : "ITEM-1", "issued" : { "date-parts" : [ [ "1999" ] ] }, "page" : "187-203", "publisher" : "Swets &amp; Zeitlinger", "publisher-place" : "The Netherlands", "title" : "Amsterdam Neuropsychological Tasks: A computer-aided assessment program", "type" : "chapter" }, "uris" : [ "http://www.mendeley.com/documents/?uuid=4d940dca-91fe-418a-96c6-9fff06f73939" ] } ], "mendeley" : { "formattedCitation" : "(de Sonneville 1999)", "plainTextFormattedCitation" : "(de Sonneville 1999)", "previouslyFormattedCitation" : "(de Sonneville 1999)" }, "properties" : { "noteIndex" : 0 }, "schema" : "https://github.com/citation-style-language/schema/raw/master/csl-citation.json" }</w:instrText>
      </w:r>
      <w:r w:rsidR="003D76E4">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(de Sonneville 1999)</w:t>
      </w:r>
      <w:r w:rsidR="003D76E4">
        <w:rPr>
          <w:rFonts w:ascii="Times New Roman" w:hAnsi="Times New Roman" w:cs="Times New Roman"/>
          <w:sz w:val="24"/>
          <w:szCs w:val="24"/>
        </w:rPr>
        <w:fldChar w:fldCharType="end"/>
      </w:r>
      <w:r w:rsidR="00876CBE">
        <w:rPr>
          <w:rFonts w:ascii="Times New Roman" w:hAnsi="Times New Roman" w:cs="Times New Roman"/>
          <w:sz w:val="24"/>
          <w:szCs w:val="24"/>
        </w:rPr>
        <w:t xml:space="preserve">. Second, Boelema </w:t>
      </w:r>
      <w:r w:rsidR="00174984">
        <w:rPr>
          <w:rFonts w:ascii="Times New Roman" w:hAnsi="Times New Roman" w:cs="Times New Roman"/>
          <w:sz w:val="24"/>
          <w:szCs w:val="24"/>
        </w:rPr>
        <w:t>and colleagues</w:t>
      </w:r>
      <w:r w:rsidR="00712C8E">
        <w:rPr>
          <w:rFonts w:ascii="Times New Roman" w:hAnsi="Times New Roman" w:cs="Times New Roman"/>
          <w:sz w:val="24"/>
          <w:szCs w:val="24"/>
        </w:rPr>
        <w:t xml:space="preserve"> </w:t>
      </w:r>
      <w:r w:rsidR="00876CBE">
        <w:rPr>
          <w:rFonts w:ascii="Times New Roman" w:hAnsi="Times New Roman" w:cs="Times New Roman"/>
          <w:sz w:val="24"/>
          <w:szCs w:val="24"/>
        </w:rPr>
        <w:t>examined change in WM performance across adolescence (examining maturation), while in our study WM performance was assessed at ag</w:t>
      </w:r>
      <w:r w:rsidR="007A378E">
        <w:rPr>
          <w:rFonts w:ascii="Times New Roman" w:hAnsi="Times New Roman" w:cs="Times New Roman"/>
          <w:sz w:val="24"/>
          <w:szCs w:val="24"/>
        </w:rPr>
        <w:t>e</w:t>
      </w:r>
      <w:r w:rsidR="00876CBE">
        <w:rPr>
          <w:rFonts w:ascii="Times New Roman" w:hAnsi="Times New Roman" w:cs="Times New Roman"/>
          <w:sz w:val="24"/>
          <w:szCs w:val="24"/>
        </w:rPr>
        <w:t xml:space="preserve"> 18 years (which is generally regarded as when WM matures). Finally, </w:t>
      </w:r>
      <w:r w:rsidR="00694720">
        <w:rPr>
          <w:rFonts w:ascii="Times New Roman" w:hAnsi="Times New Roman" w:cs="Times New Roman"/>
          <w:sz w:val="24"/>
          <w:szCs w:val="24"/>
        </w:rPr>
        <w:t xml:space="preserve">WM performance was measured in reaction times only, as opposed to </w:t>
      </w:r>
      <w:r w:rsidR="00876CBE">
        <w:rPr>
          <w:rFonts w:ascii="Times New Roman" w:hAnsi="Times New Roman" w:cs="Times New Roman"/>
          <w:sz w:val="24"/>
          <w:szCs w:val="24"/>
        </w:rPr>
        <w:t>the more comprehensive approach used in our study</w:t>
      </w:r>
      <w:r w:rsidR="00694720">
        <w:rPr>
          <w:rFonts w:ascii="Times New Roman" w:hAnsi="Times New Roman" w:cs="Times New Roman"/>
          <w:sz w:val="24"/>
          <w:szCs w:val="24"/>
        </w:rPr>
        <w:t xml:space="preserve"> </w:t>
      </w:r>
      <w:r w:rsidR="00876CBE">
        <w:rPr>
          <w:rFonts w:ascii="Times New Roman" w:hAnsi="Times New Roman" w:cs="Times New Roman"/>
          <w:sz w:val="24"/>
          <w:szCs w:val="24"/>
        </w:rPr>
        <w:t xml:space="preserve">(e.g., </w:t>
      </w:r>
      <w:r w:rsidR="007A378E">
        <w:rPr>
          <w:rFonts w:ascii="Times New Roman" w:hAnsi="Times New Roman" w:cs="Times New Roman"/>
          <w:sz w:val="24"/>
          <w:szCs w:val="24"/>
        </w:rPr>
        <w:t xml:space="preserve">identifying the correct </w:t>
      </w:r>
      <w:r w:rsidR="00876CBE">
        <w:rPr>
          <w:rFonts w:ascii="Times New Roman" w:hAnsi="Times New Roman" w:cs="Times New Roman"/>
          <w:sz w:val="24"/>
          <w:szCs w:val="24"/>
        </w:rPr>
        <w:t>number of hits, number of false alarms, discriminability index, and mean reaction times for hits and false alarms)</w:t>
      </w:r>
      <w:r w:rsidR="00F80C80">
        <w:rPr>
          <w:rFonts w:ascii="Times New Roman" w:hAnsi="Times New Roman" w:cs="Times New Roman"/>
          <w:sz w:val="24"/>
          <w:szCs w:val="24"/>
        </w:rPr>
        <w:t>.</w:t>
      </w:r>
      <w:r w:rsidR="006A077F">
        <w:rPr>
          <w:rFonts w:ascii="Times New Roman" w:hAnsi="Times New Roman" w:cs="Times New Roman"/>
          <w:sz w:val="24"/>
          <w:szCs w:val="24"/>
        </w:rPr>
        <w:t xml:space="preserve"> </w:t>
      </w:r>
    </w:p>
    <w:p w14:paraId="0E210CD6" w14:textId="7B72C8C4" w:rsidR="00EA532A" w:rsidRDefault="00B0126D" w:rsidP="00EA53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37A61">
        <w:rPr>
          <w:rFonts w:ascii="Times New Roman" w:hAnsi="Times New Roman" w:cs="Times New Roman"/>
          <w:sz w:val="24"/>
          <w:szCs w:val="24"/>
        </w:rPr>
        <w:t xml:space="preserve">he inclusion of </w:t>
      </w:r>
      <w:r w:rsidR="00600001">
        <w:rPr>
          <w:rFonts w:ascii="Times New Roman" w:hAnsi="Times New Roman" w:cs="Times New Roman"/>
          <w:sz w:val="24"/>
          <w:szCs w:val="24"/>
        </w:rPr>
        <w:t xml:space="preserve">tobacco </w:t>
      </w:r>
      <w:r w:rsidR="007162EA">
        <w:rPr>
          <w:rFonts w:ascii="Times New Roman" w:hAnsi="Times New Roman" w:cs="Times New Roman"/>
          <w:sz w:val="24"/>
          <w:szCs w:val="24"/>
        </w:rPr>
        <w:t xml:space="preserve">and cannabis </w:t>
      </w:r>
      <w:r w:rsidR="00D260BC">
        <w:rPr>
          <w:rFonts w:ascii="Times New Roman" w:hAnsi="Times New Roman" w:cs="Times New Roman"/>
          <w:sz w:val="24"/>
          <w:szCs w:val="24"/>
        </w:rPr>
        <w:t xml:space="preserve">use </w:t>
      </w:r>
      <w:r w:rsidR="00F37A61">
        <w:rPr>
          <w:rFonts w:ascii="Times New Roman" w:hAnsi="Times New Roman" w:cs="Times New Roman"/>
          <w:sz w:val="24"/>
          <w:szCs w:val="24"/>
        </w:rPr>
        <w:t xml:space="preserve">had a sizeable impact on associations between alcohol use and </w:t>
      </w:r>
      <w:r w:rsidR="00B00A32">
        <w:rPr>
          <w:rFonts w:ascii="Times New Roman" w:hAnsi="Times New Roman" w:cs="Times New Roman"/>
          <w:sz w:val="24"/>
          <w:szCs w:val="24"/>
        </w:rPr>
        <w:t>WM</w:t>
      </w:r>
      <w:r w:rsidR="00F37A61">
        <w:rPr>
          <w:rFonts w:ascii="Times New Roman" w:hAnsi="Times New Roman" w:cs="Times New Roman"/>
          <w:sz w:val="24"/>
          <w:szCs w:val="24"/>
        </w:rPr>
        <w:t xml:space="preserve">. This is </w:t>
      </w:r>
      <w:r w:rsidR="00B27092">
        <w:rPr>
          <w:rFonts w:ascii="Times New Roman" w:hAnsi="Times New Roman" w:cs="Times New Roman"/>
          <w:sz w:val="24"/>
          <w:szCs w:val="24"/>
        </w:rPr>
        <w:t xml:space="preserve">perhaps </w:t>
      </w:r>
      <w:r w:rsidR="00F37A61">
        <w:rPr>
          <w:rFonts w:ascii="Times New Roman" w:hAnsi="Times New Roman" w:cs="Times New Roman"/>
          <w:sz w:val="24"/>
          <w:szCs w:val="24"/>
        </w:rPr>
        <w:t xml:space="preserve">unsurprising </w:t>
      </w:r>
      <w:r w:rsidR="008F54F2">
        <w:rPr>
          <w:rFonts w:ascii="Times New Roman" w:hAnsi="Times New Roman" w:cs="Times New Roman"/>
          <w:sz w:val="24"/>
          <w:szCs w:val="24"/>
        </w:rPr>
        <w:t>as there is</w:t>
      </w:r>
      <w:r w:rsidR="007B1EB6">
        <w:rPr>
          <w:rFonts w:ascii="Times New Roman" w:hAnsi="Times New Roman" w:cs="Times New Roman"/>
          <w:sz w:val="24"/>
          <w:szCs w:val="24"/>
        </w:rPr>
        <w:t xml:space="preserve"> substantial evidence </w:t>
      </w:r>
      <w:r w:rsidR="007B1EB6">
        <w:rPr>
          <w:rFonts w:ascii="Times New Roman" w:hAnsi="Times New Roman" w:cs="Times New Roman"/>
          <w:sz w:val="24"/>
          <w:szCs w:val="24"/>
        </w:rPr>
        <w:lastRenderedPageBreak/>
        <w:t xml:space="preserve">from </w:t>
      </w:r>
      <w:r w:rsidR="008F54F2">
        <w:rPr>
          <w:rFonts w:ascii="Times New Roman" w:hAnsi="Times New Roman" w:cs="Times New Roman"/>
          <w:sz w:val="24"/>
          <w:szCs w:val="24"/>
        </w:rPr>
        <w:t>animal studies linking</w:t>
      </w:r>
      <w:r w:rsidR="00EE37ED">
        <w:rPr>
          <w:rFonts w:ascii="Times New Roman" w:hAnsi="Times New Roman" w:cs="Times New Roman"/>
          <w:sz w:val="24"/>
          <w:szCs w:val="24"/>
        </w:rPr>
        <w:t xml:space="preserve"> cannabis </w:t>
      </w:r>
      <w:r w:rsidR="00074000">
        <w:rPr>
          <w:rFonts w:ascii="Times New Roman" w:hAnsi="Times New Roman" w:cs="Times New Roman"/>
          <w:sz w:val="24"/>
          <w:szCs w:val="24"/>
        </w:rPr>
        <w:t>use</w:t>
      </w:r>
      <w:r w:rsidR="004C6FAB">
        <w:rPr>
          <w:rFonts w:ascii="Times New Roman" w:hAnsi="Times New Roman" w:cs="Times New Roman"/>
          <w:sz w:val="24"/>
          <w:szCs w:val="24"/>
        </w:rPr>
        <w:t xml:space="preserve"> in adolescent with deficits in WM performance</w:t>
      </w:r>
      <w:r w:rsidR="000F0FBB">
        <w:rPr>
          <w:rFonts w:ascii="Times New Roman" w:hAnsi="Times New Roman" w:cs="Times New Roman"/>
          <w:sz w:val="24"/>
          <w:szCs w:val="24"/>
        </w:rPr>
        <w:t xml:space="preserve"> </w:t>
      </w:r>
      <w:r w:rsidR="000F0FBB">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"10.3389/fnins.2014.00361", "ISSN" : "1662-4548 (Print)", "PMID" : "25426017", "abstract" : "Marijuana is the most widely used illicit drug among adolescents and young adults. Unique cognitive, emotional, and social changes occur during this critical period of development from childhood into adulthood. The adolescent brain is in a state of transition and differs from the adult brain with respect to both anatomy (e.g., neuronal connections and morphology) and neurochemistry (e.g., dopamine, GABA, and glutamate). These changes are thought to support the emergence of adult cerebral processes and behaviors. The endocannabinoid system plays an important role in development by acting on synaptic plasticity, neuronal cell proliferation, migration, and differentiation. Delta-9-tetrahydrocanabinol (THC), the principal psychoactive component in marijuana, acts as a partial agonist of the cannabinoid type 1 receptor (CB1R). Thus, over-activation of the endocannabinoid system by chronic exposure to CB1R agonists (e.g., THC, CP-55,940, and WIN55,212-2) during adolescence can dramatically alter brain maturation and cause long-lasting neurobiological changes that ultimately affect the function and behavior of the adult brain. Indeed, emerging evidence from both human and animal studies demonstrates that early-onset marijuana use has long-lasting consequences on cognition; moreover, in humans, this use is associated with a two-fold increase in the risk of developing a psychotic disorder. Here, we review the relationship between cannabinoid exposure during adolescence and the increased risk of neuropsychiatric disorders, focusing on both clinical and animal studies.", "author" : [ { "dropping-particle" : "", "family" : "Renard", "given" : "Justine", "non-dropping-particle" : "", "parse-names" : false, "suffix" : "" }, { "dropping-particle" : "", "family" : "Krebs", "given" : "Marie-Odile", "non-dropping-particle" : "", "parse-names" : false, "suffix" : "" }, { "dropping-particle" : "", "family" : "Pen", "given" : "Gwenaelle", "non-dropping-particle" : "Le", "parse-names" : false, "suffix" : "" }, { "dropping-particle" : "", "family" : "Jay", "given" : "Therese M", "non-dropping-particle" : "", "parse-names" : false, "suffix" : "" } ], "container-title" : "Frontiers in Neuroscience", "id" : "ITEM-1", "issued" : { "date-parts" : [ [ "2014" ] ] }, "language" : "eng", "page" : "361", "publisher-place" : "Switzerland", "title" : "Long-term consequences of adolescent cannabinoid exposure in adult psychopathology.", "type" : "article-journal", "volume" : "8" }, "uris" : [ "http://www.mendeley.com/documents/?uuid=69088a55-4bf5-470c-acbf-7a84a8f9558b" ] }, { "id" : "ITEM-2", "itemData" : { "DOI" : "10.1002/hipo.20554", "ISSN" : "10509631", "author" : [ { "dropping-particle" : "", "family" : "Rubino", "given" : "Tiziana", "non-dropping-particle" : "", "parse-names" : false, "suffix" : "" }, { "dropping-particle" : "", "family" : "Realini", "given" : "Natalia", "non-dropping-particle" : "", "parse-names" : false, "suffix" : "" }, { "dropping-particle" : "", "family" : "Braida", "given" : "Daniela", "non-dropping-particle" : "", "parse-names" : false, "suffix" : "" }, { "dropping-particle" : "", "family" : "Guidi", "given" : "Sandra", "non-dropping-particle" : "", "parse-names" : false, "suffix" : "" }, { "dropping-particle" : "", "family" : "Capurro", "given" : "Valeria", "non-dropping-particle" : "", "parse-names" : false, "suffix" : "" }, { "dropping-particle" : "", "family" : "Vigan\u00f2", "given" : "Daniela", "non-dropping-particle" : "", "parse-names" : false, "suffix" : "" }, { "dropping-particle" : "", "family" : "Guidali", "given" : "Cinzia", "non-dropping-particle" : "", "parse-names" : false, "suffix" : "" }, { "dropping-particle" : "", "family" : "Pinter", "given" : "Marta", "non-dropping-particle" : "", "parse-names" : false, "suffix" : "" }, { "dropping-particle" : "", "family" : "Sala", "given" : "Mariaelvina", "non-dropping-particle" : "", "parse-names" : false, "suffix" : "" }, { "dropping-particle" : "", "family" : "Bartesaghi", "given" : "Renata", "non-dropping-particle" : "", "parse-names" : false, "suffix" : "" }, { "dropping-particle" : "", "family" : "Parolaro", "given" : "Daniela", "non-dropping-particle" : "", "parse-names" : false, "suffix" : "" } ], "container-title" : "Hippocampus", "id" : "ITEM-2", "issue" : "8", "issued" : { "date-parts" : [ [ "2009", "8", "1" ] ] }, "page" : "763-772", "publisher" : "Wiley Subscription Services, Inc., A Wiley Company", "title" : "Changes in hippocampal morphology and neuroplasticity induced by adolescent THC treatment are associated with cognitive impairment in adulthood", "type" : "article-journal", "volume" : "19" }, "uris" : [ "http://www.mendeley.com/documents/?uuid=91306afe-929a-3978-a837-326b4e249584" ] }, { "id" : "ITEM-3", "itemData" : { "DOI" : "10.1176/appi.ajp.2013.13030335", "ISSN" : "1535-7228 (Electronic)", "PMID" : "24577206", "abstract" : "OBJECTIVE: Epidemiological findings suggest that, relative to adults, adolescents are more vulnerable to the adverse persistent effects of cannabis on working memory. However, the potential confounds inherent in human studies preclude direct determination of a cause-and-effect relationship between adolescent cannabis use and heightened susceptibility to persistent working memory impairments. Consequently, the authors examined the effects of repeated exposure to Delta9-tetrahydrocannabinol (THC) on performance of spatial and object working memory tasks in adolescent monkeys. METHOD: Seven pairs of male adolescent rhesus monkeys, matched for baseline cognitive performance, received vehicle or THC intravenously 5 days/week for 6 months. Performance on spatial and object memory tasks was assessed 23 or 71 hours after drug administration throughout the study. In addition, acute effects on working memory were also assessed at the beginning and end of the 6-month period. RESULTS: Relative to the vehicle-exposed control animals, those with repeated THC exposure had a blunted trajectory of accuracy improvements on the spatial working memory task in a delay-dependent manner. Accuracy improvements on the object working memory task did not differ between groups. Relative to the acute effects of THC on working memory at the beginning of the study, neither sensitivity nor tolerance was evident after 6 months of THC exposure. CONCLUSIONS: Because maturation of performance is later for spatial than for object working memory, these findings suggest that persistent effects of THC on cognitive abilities are more evident when exposure coincides with the developmental stage during which the underlying neural circuits are actively maturing.", "author" : [ { "dropping-particle" : "", "family" : "Verrico", "given" : "Christopher D", "non-dropping-particle" : "", "parse-names" : false, "suffix" : "" }, { "dropping-particle" : "", "family" : "Gu", "given" : "Hong", "non-dropping-particle" : "", "parse-names" : false, "suffix" : "" }, { "dropping-particle" : "", "family" : "Peterson", "given" : "Melanie L", "non-dropping-particle" : "", "parse-names" : false, "suffix" : "" }, { "dropping-particle" : "", "family" : "Sampson", "given" : "Allan R", "non-dropping-particle" : "", "parse-names" : false, "suffix" : "" }, { "dropping-particle" : "", "family" : "Lewis", "given" : "David A", "non-dropping-particle" : "", "parse-names" : false, "suffix" : "" } ], "container-title" : "The American Journal of Psychiatry", "id" : "ITEM-3", "issue" : "4", "issued" : { "date-parts" : [ [ "2014", "4" ] ] }, "language" : "eng", "page" : "416-425", "publisher-place" : "United States", "title" : "Repeated Delta9-tetrahydrocannabinol exposure in adolescent monkeys: persistent effects selective for spatial working memory.", "type" : "article-journal", "volume" : "171" }, "uris" : [ "http://www.mendeley.com/documents/?uuid=6517185f-fe20-438b-97b9-d061389bfc7f" ] } ], "mendeley" : { "formattedCitation" : "(Renard et al. 2014; Rubino et al. 2009; Verrico et al. 2014)", "plainTextFormattedCitation" : "(Renard et al. 2014; Rubino et al. 2009; Verrico et al. 2014)", "previouslyFormattedCitation" : "(Renard et al. 2014; Rubino et al. 2009; Verrico et al. 2014)" }, "properties" : { "noteIndex" : 17 }, "schema" : "https://github.com/citation-style-language/schema/raw/master/csl-citation.json" }</w:instrText>
      </w:r>
      <w:r w:rsidR="000F0FBB">
        <w:rPr>
          <w:rFonts w:ascii="Times New Roman" w:hAnsi="Times New Roman" w:cs="Times New Roman"/>
          <w:sz w:val="24"/>
          <w:szCs w:val="24"/>
        </w:rPr>
        <w:fldChar w:fldCharType="separate"/>
      </w:r>
      <w:r w:rsidR="000F0FBB" w:rsidRPr="000F0FBB">
        <w:rPr>
          <w:rFonts w:ascii="Times New Roman" w:hAnsi="Times New Roman" w:cs="Times New Roman"/>
          <w:noProof/>
          <w:sz w:val="24"/>
          <w:szCs w:val="24"/>
        </w:rPr>
        <w:t>(Renard et al. 2014; Rubino et al. 2009; Verrico et al. 2014)</w:t>
      </w:r>
      <w:r w:rsidR="000F0FBB">
        <w:rPr>
          <w:rFonts w:ascii="Times New Roman" w:hAnsi="Times New Roman" w:cs="Times New Roman"/>
          <w:sz w:val="24"/>
          <w:szCs w:val="24"/>
        </w:rPr>
        <w:fldChar w:fldCharType="end"/>
      </w:r>
      <w:r w:rsidR="003343D4">
        <w:rPr>
          <w:rFonts w:ascii="Times New Roman" w:hAnsi="Times New Roman" w:cs="Times New Roman"/>
          <w:sz w:val="24"/>
          <w:szCs w:val="24"/>
        </w:rPr>
        <w:t>.</w:t>
      </w:r>
      <w:r w:rsidR="006C5138">
        <w:rPr>
          <w:rFonts w:ascii="Times New Roman" w:hAnsi="Times New Roman" w:cs="Times New Roman"/>
          <w:sz w:val="24"/>
          <w:szCs w:val="24"/>
        </w:rPr>
        <w:t xml:space="preserve"> </w:t>
      </w:r>
      <w:r w:rsidR="00C60AEF">
        <w:rPr>
          <w:rFonts w:ascii="Times New Roman" w:hAnsi="Times New Roman" w:cs="Times New Roman"/>
          <w:sz w:val="24"/>
          <w:szCs w:val="24"/>
        </w:rPr>
        <w:t>The association is further complicated as nicotine withdrawal has been shown to be associated with reductions in WM efficiency in animal</w:t>
      </w:r>
      <w:r w:rsidR="003B07D1">
        <w:rPr>
          <w:rFonts w:ascii="Times New Roman" w:hAnsi="Times New Roman" w:cs="Times New Roman"/>
          <w:sz w:val="24"/>
          <w:szCs w:val="24"/>
        </w:rPr>
        <w:t xml:space="preserve"> studies</w:t>
      </w:r>
      <w:r w:rsidR="00E303BA">
        <w:rPr>
          <w:rFonts w:ascii="Times New Roman" w:hAnsi="Times New Roman" w:cs="Times New Roman"/>
          <w:sz w:val="24"/>
          <w:szCs w:val="24"/>
        </w:rPr>
        <w:t xml:space="preserve"> </w:t>
      </w:r>
      <w:r w:rsidR="00E303BA">
        <w:rPr>
          <w:rFonts w:ascii="Times New Roman" w:hAnsi="Times New Roman" w:cs="Times New Roman"/>
          <w:sz w:val="24"/>
          <w:szCs w:val="24"/>
        </w:rPr>
        <w:fldChar w:fldCharType="begin" w:fldLock="1"/>
      </w:r>
      <w:r w:rsidR="00E303BA">
        <w:rPr>
          <w:rFonts w:ascii="Times New Roman" w:hAnsi="Times New Roman" w:cs="Times New Roman"/>
          <w:sz w:val="24"/>
          <w:szCs w:val="24"/>
        </w:rPr>
        <w:instrText>ADDIN CSL_CITATION { "citationItems" : [ { "id" : "ITEM-1", "itemData" : { "DOI" : "10.1007/s00213-005-0164-7", "ISSN" : "0033-3158 (Print)", "PMID" : "16220335", "abstract" : "RATIONALE: Nicotine has been shown in a variety of studies in humans and experimental animals to improve cognitive function. Nicotinic treatments are being developed as therapeutic treatments for cognitive dysfunction. OBJECTIVES: Critical for the development of nicotinic therapeutics is an understanding of the neurobehavioral bases for nicotinic involvement in cognitive function. METHODS: Specific and diverse cognitive functions affected by nicotinic treatments are reviewed, including attention, learning, and memory. The neural substrates for these behavioral actions involve the identification of the critical pharmacologic receptor targets, in particular brain locations, and how those incipient targets integrate with broader neural systems involved with cognitive function. RESULTS: Nicotine and nicotinic agonists can improve working memory function, learning, and attention. Both alpha4beta2 and alpha7 nicotinic receptors appear to be critical for memory function. The hippocampus and the amygdala in particular have been found to be important for memory, with decreased nicotinic activity in these areas impairing memory. Nicotine and nicotinic analogs have shown promise for inducing cognitive improvement. Positive therapeutic effects have been seen in initial studies with a variety of cognitive dysfunctions, including Alzheimer's disease, age-associated memory impairment, schizophrenia, and attention deficit hyperactivity disorder. CONCLUSIONS: Discovery of the behavioral, pharmacological, and anatomic specificity of nicotinic effects on learning, memory, and attention not only aids the understanding of nicotinic involvement in the basis of cognitive function, but also helps in the development of novel nicotinic treatments for cognitive dysfunction. Nicotinic treatments directed at specific receptor subtypes and nicotinic cotreatments with drugs affecting interacting transmitter systems may provide cognitive benefits most relevant to different syndromes of cognitive impairment such as Alzheimer's disease, schizophrenia, and attention deficit hyperactivity disorder. Further research is necessary in order to determine the efficacy and safety of nicotinic treatments of these cognitive disorders.", "author" : [ { "dropping-particle" : "", "family" : "Levin", "given" : "Edward D", "non-dropping-particle" : "", "parse-names" : false, "suffix" : "" }, { "dropping-particle" : "", "family" : "McClernon", "given" : "F Joseph", "non-dropping-particle" : "", "parse-names" : false, "suffix" : "" }, { "dropping-particle" : "", "family" : "Rezvani", "given" : "Amir H", "non-dropping-particle" : "", "parse-names" : false, "suffix" : "" } ], "container-title" : "Psychopharmacology", "id" : "ITEM-1", "issue" : "3-4", "issued" : { "date-parts" : [ [ "2006", "3" ] ] }, "language" : "eng", "page" : "523-539", "publisher-place" : "Germany", "title" : "Nicotinic effects on cognitive function: behavioral characterization, pharmacological specification, and anatomic localization.", "type" : "article-journal", "volume" : "184" }, "uris" : [ "http://www.mendeley.com/documents/?uuid=f26be2a7-4f24-45b0-b2b2-ca5e5d3f46eb" ] }, { "id" : "ITEM-2", "itemData" : { "ISSN" : "0163-1047 (Print)", "PMID" : "2331235", "abstract" : "Rats were tested for choice accuracy in an eight-arm radial maze during and after chronic administration of nicotine via subcutaneously implanted glass and Silastic capsules. Nicotine administration significantly improved choice accuracy relative to controls. The effect gradually became apparent over the first 2 weeks of exposure and persisted through the third week. Surprisingly, the significant facilitation of the nicotine-treated rats relative to controls continued for 2 weeks after the end of nicotine administration. No effects of nicotine were seen on choice latency or the strategy to make adjacent arm entries.", "author" : [ { "dropping-particle" : "", "family" : "Levin", "given" : "E D", "non-dropping-particle" : "", "parse-names" : false, "suffix" : "" }, { "dropping-particle" : "", "family" : "Lee", "given" : "C", "non-dropping-particle" : "", "parse-names" : false, "suffix" : "" }, { "dropping-particle" : "", "family" : "Rose", "given" : "J E", "non-dropping-particle" : "", "parse-names" : false, "suffix" : "" }, { "dropping-particle" : "", "family" : "Reyes", "given" : "A", "non-dropping-particle" : "", "parse-names" : false, "suffix" : "" }, { "dropping-particle" : "", "family" : "Ellison", "given" : "G", "non-dropping-particle" : "", "parse-names" : false, "suffix" : "" }, { "dropping-particle" : "", "family" : "Jarvik", "given" : "M", "non-dropping-particle" : "", "parse-names" : false, "suffix" : "" }, { "dropping-particle" : "", "family" : "Gritz", "given" : "E", "non-dropping-particle" : "", "parse-names" : false, "suffix" : "" } ], "container-title" : "Behavioral and Neural Biology", "id" : "ITEM-2", "issue" : "2", "issued" : { "date-parts" : [ [ "1990", "3" ] ] }, "language" : "eng", "page" : "269-276", "publisher-place" : "United States", "title" : "Chronic nicotine and withdrawal effects on radial-arm maze performance in rats.", "type" : "article-journal", "volume" : "53" }, "uris" : [ "http://www.mendeley.com/documents/?uuid=e2b0299d-0444-47d9-bd99-a76df7ef193e" ] } ], "mendeley" : { "formattedCitation" : "(Levin et al. 2006; Levin et al. 1990)", "plainTextFormattedCitation" : "(Levin et al. 2006; Levin et al. 1990)", "previouslyFormattedCitation" : "(Levin et al. 2006; Levin et al. 1990)" }, "properties" : { "noteIndex" : 17 }, "schema" : "https://github.com/citation-style-language/schema/raw/master/csl-citation.json" }</w:instrText>
      </w:r>
      <w:r w:rsidR="00E303BA">
        <w:rPr>
          <w:rFonts w:ascii="Times New Roman" w:hAnsi="Times New Roman" w:cs="Times New Roman"/>
          <w:sz w:val="24"/>
          <w:szCs w:val="24"/>
        </w:rPr>
        <w:fldChar w:fldCharType="separate"/>
      </w:r>
      <w:r w:rsidR="00E303BA" w:rsidRPr="00E303BA">
        <w:rPr>
          <w:rFonts w:ascii="Times New Roman" w:hAnsi="Times New Roman" w:cs="Times New Roman"/>
          <w:noProof/>
          <w:sz w:val="24"/>
          <w:szCs w:val="24"/>
        </w:rPr>
        <w:t>(Levin et al. 2006; Levin et al. 1990)</w:t>
      </w:r>
      <w:r w:rsidR="00E303BA">
        <w:rPr>
          <w:rFonts w:ascii="Times New Roman" w:hAnsi="Times New Roman" w:cs="Times New Roman"/>
          <w:sz w:val="24"/>
          <w:szCs w:val="24"/>
        </w:rPr>
        <w:fldChar w:fldCharType="end"/>
      </w:r>
      <w:r w:rsidR="003B07D1">
        <w:rPr>
          <w:rFonts w:ascii="Times New Roman" w:hAnsi="Times New Roman" w:cs="Times New Roman"/>
          <w:sz w:val="24"/>
          <w:szCs w:val="24"/>
        </w:rPr>
        <w:t>.</w:t>
      </w:r>
      <w:r w:rsidR="00C60AEF">
        <w:rPr>
          <w:rFonts w:ascii="Times New Roman" w:hAnsi="Times New Roman" w:cs="Times New Roman"/>
          <w:sz w:val="24"/>
          <w:szCs w:val="24"/>
        </w:rPr>
        <w:t xml:space="preserve"> </w:t>
      </w:r>
      <w:r w:rsidR="003B07D1">
        <w:rPr>
          <w:rFonts w:ascii="Times New Roman" w:hAnsi="Times New Roman" w:cs="Times New Roman"/>
          <w:sz w:val="24"/>
          <w:szCs w:val="24"/>
        </w:rPr>
        <w:t>Ev</w:t>
      </w:r>
      <w:r w:rsidR="002C113A">
        <w:rPr>
          <w:rFonts w:ascii="Times New Roman" w:hAnsi="Times New Roman" w:cs="Times New Roman"/>
          <w:sz w:val="24"/>
          <w:szCs w:val="24"/>
        </w:rPr>
        <w:t>idence from h</w:t>
      </w:r>
      <w:r w:rsidR="00542598">
        <w:rPr>
          <w:rFonts w:ascii="Times New Roman" w:hAnsi="Times New Roman" w:cs="Times New Roman"/>
          <w:sz w:val="24"/>
          <w:szCs w:val="24"/>
        </w:rPr>
        <w:t>uman studies</w:t>
      </w:r>
      <w:r w:rsidR="00305E74">
        <w:rPr>
          <w:rFonts w:ascii="Times New Roman" w:hAnsi="Times New Roman" w:cs="Times New Roman"/>
          <w:sz w:val="24"/>
          <w:szCs w:val="24"/>
        </w:rPr>
        <w:t xml:space="preserve"> </w:t>
      </w:r>
      <w:r w:rsidR="00A40DA6">
        <w:rPr>
          <w:rFonts w:ascii="Times New Roman" w:hAnsi="Times New Roman" w:cs="Times New Roman"/>
          <w:sz w:val="24"/>
          <w:szCs w:val="24"/>
        </w:rPr>
        <w:t>reveal</w:t>
      </w:r>
      <w:r w:rsidR="002069B4">
        <w:rPr>
          <w:rFonts w:ascii="Times New Roman" w:hAnsi="Times New Roman" w:cs="Times New Roman"/>
          <w:sz w:val="24"/>
          <w:szCs w:val="24"/>
        </w:rPr>
        <w:t xml:space="preserve"> a similar pattern</w:t>
      </w:r>
      <w:r w:rsidR="00D9399A">
        <w:rPr>
          <w:rFonts w:ascii="Times New Roman" w:hAnsi="Times New Roman" w:cs="Times New Roman"/>
          <w:sz w:val="24"/>
          <w:szCs w:val="24"/>
        </w:rPr>
        <w:t xml:space="preserve"> of findings</w:t>
      </w:r>
      <w:r w:rsidR="00116185">
        <w:rPr>
          <w:rFonts w:ascii="Times New Roman" w:hAnsi="Times New Roman" w:cs="Times New Roman"/>
          <w:sz w:val="24"/>
          <w:szCs w:val="24"/>
        </w:rPr>
        <w:t xml:space="preserve"> </w:t>
      </w:r>
      <w:r w:rsidR="006623FD">
        <w:rPr>
          <w:rFonts w:ascii="Times New Roman" w:hAnsi="Times New Roman" w:cs="Times New Roman"/>
          <w:sz w:val="24"/>
          <w:szCs w:val="24"/>
        </w:rPr>
        <w:t>for</w:t>
      </w:r>
      <w:r w:rsidR="006C7AAD">
        <w:rPr>
          <w:rFonts w:ascii="Times New Roman" w:hAnsi="Times New Roman" w:cs="Times New Roman"/>
          <w:sz w:val="24"/>
          <w:szCs w:val="24"/>
        </w:rPr>
        <w:t xml:space="preserve"> adolescent </w:t>
      </w:r>
      <w:r w:rsidR="00600001">
        <w:rPr>
          <w:rFonts w:ascii="Times New Roman" w:hAnsi="Times New Roman" w:cs="Times New Roman"/>
          <w:sz w:val="24"/>
          <w:szCs w:val="24"/>
        </w:rPr>
        <w:t>tobacco</w:t>
      </w:r>
      <w:r w:rsidR="00A34EE1">
        <w:rPr>
          <w:rFonts w:ascii="Times New Roman" w:hAnsi="Times New Roman" w:cs="Times New Roman"/>
          <w:sz w:val="24"/>
          <w:szCs w:val="24"/>
        </w:rPr>
        <w:t xml:space="preserve"> and cannabis use on WM performance</w:t>
      </w:r>
      <w:r w:rsidR="00600001">
        <w:rPr>
          <w:rFonts w:ascii="Times New Roman" w:hAnsi="Times New Roman" w:cs="Times New Roman"/>
          <w:sz w:val="24"/>
          <w:szCs w:val="24"/>
        </w:rPr>
        <w:t xml:space="preserve"> </w:t>
      </w:r>
      <w:r w:rsidR="00137291">
        <w:rPr>
          <w:rFonts w:ascii="Times New Roman" w:hAnsi="Times New Roman" w:cs="Times New Roman"/>
          <w:sz w:val="24"/>
          <w:szCs w:val="24"/>
        </w:rPr>
        <w:fldChar w:fldCharType="begin" w:fldLock="1"/>
      </w:r>
      <w:r w:rsidR="005F7979">
        <w:rPr>
          <w:rFonts w:ascii="Times New Roman" w:hAnsi="Times New Roman" w:cs="Times New Roman"/>
          <w:sz w:val="24"/>
          <w:szCs w:val="24"/>
        </w:rPr>
        <w:instrText>ADDIN CSL_CITATION { "citationItems" : [ { "id" : "ITEM-1", "itemData" : { "DOI" : "10.1016/j.addbeh.2010.06.012", "ISSN" : "1873-6327 (Electronic)", "PMID" : "20621421", "abstract" : "BACKGROUND: Cognitive deficits that persist up to a month have been detected among adult marijuana users, but decrements and their pattern of recovery are less known in adolescent users. Previously, we reported cognitive deficits among adolescent marijuana users after one month of abstinence (Medina, Hanson, Schweinsburg, Cohen-Zion, Nagel, &amp; Tapert, 2007). In this longitudinal study, we characterized neurocognitive changes among marijuana-using adolescents across the first three weeks of abstinence. METHOD: Participants were adolescent marijuana users with limited alcohol and other drug use (n=19) and demographically similar non-using controls (n=21) ages 15-19. Participants completed a brief neuropsychological battery on three occasions, after 3days, 2weeks, and 3weeks of stopping substance use. Abstinence was ascertained by decreasing tetrahydrocannabinol metabolite values on serial urine drug screens. Verbal learning, verbal working memory, attention and vigilance, and time estimation were evaluated. RESULTS: Marijuana users demonstrated poorer verbal learning (p&lt;.01), verbal working memory (p&lt;.05), and attention accuracy (p&lt;.01) compared to controls. Improvements in users were seen on word list learning after 2weeks of abstinence and on verbal working memory after 3weeks. While attention processing speed was similar between groups, attention accuracy remained deficient in users throughout the 3-week abstinence period. CONCLUSIONS: This preliminary study detected poorer verbal learning and verbal working memory among adolescent marijuana users that improved during three weeks of abstinence, while attention deficits persisted. These results implicate possible hippocampal, subcortical, and prefrontal cortex abnormalities.", "author" : [ { "dropping-particle" : "", "family" : "Hanson", "given" : "Karen L", "non-dropping-particle" : "", "parse-names" : false, "suffix" : "" }, { "dropping-particle" : "", "family" : "Winward", "given" : "Jennifer L", "non-dropping-particle" : "", "parse-names" : false, "suffix" : "" }, { "dropping-particle" : "", "family" : "Schweinsburg", "given" : "Alecia D", "non-dropping-particle" : "", "parse-names" : false, "suffix" : "" }, { "dropping-particle" : "", "family" : "Medina", "given" : "Krista Lisdahl", "non-dropping-particle" : "", "parse-names" : false, "suffix" : "" }, { "dropping-particle" : "", "family" : "Brown", "given" : "Sandra A", "non-dropping-particle" : "", "parse-names" : false, "suffix" : "" }, { "dropping-particle" : "", "family" : "Tapert", "given" : "Susan F", "non-dropping-particle" : "", "parse-names" : false, "suffix" : "" } ], "container-title" : "Addictive Behaviors", "id" : "ITEM-1", "issue" : "11", "issued" : { "date-parts" : [ [ "2010", "11" ] ] }, "language" : "eng", "page" : "970-976", "publisher-place" : "England", "title" : "Longitudinal study of cognition among adolescent marijuana users over three weeks of abstinence.", "type" : "article-journal", "volume" : "35" }, "uris" : [ "http://www.mendeley.com/documents/?uuid=a6f6580b-78b4-4bf6-abe3-bd3753a373d8" ] }, { "id" : "ITEM-2", "itemData" : { "DOI" : "10.1080/09595230701247772", "ISSN" : "0959-5236 (Print)", "PMID" : "17454021", "abstract" : "Research indicates that cannabis continues to be a popular illegal drug internationally. Furthermore, adolescent rates of use appear to be significant. Whilst the non-acute effect of cannabis use on adult cognition has been extensively researched, there has been less examination of adolescents. This study aimed to investigate the non-acute relationship between cannabis and cognitive function in a sample of adolescents with a continuum of cannabis use, taking into account additional predictor variables (psychiatric functioning, general functioning, demographics and other drug use). Seventy adolescents were recruited from clinical and community sources as well as through newspaper advertisements. After 12 hours abstinence from cannabis, adolescents completed a two-hour interview covering: demographics; alcohol and drug use history; drug use in the past 28 days; depression; further psychiatric functioning (including ADHD and Conduct Disorder); and cognitive functioning as measured by computerised tasks (CANTAB) and traditional pen and paper tests. Adolescents who were regular cannabis users (more than once a week) had a significantly poorer performance on four measures of cognitive function reflecting attention, spatial working memory and learning. Cannabis use remained an independent predictor of performance on the working memory and strategy measures after additional predictor variables were included in a multivariate regression analysis. The results suggest that aspects of adolescent cognitive function are independently related to the frequency of cannabis use beyond acute intoxication.", "author" : [ { "dropping-particle" : "", "family" : "Harvey", "given" : "Megan A", "non-dropping-particle" : "", "parse-names" : false, "suffix" : "" }, { "dropping-particle" : "", "family" : "Sellman", "given" : "John D", "non-dropping-particle" : "", "parse-names" : false, "suffix" : "" }, { "dropping-particle" : "", "family" : "Porter", "given" : "Richard J", "non-dropping-particle" : "", "parse-names" : false, "suffix" : "" }, { "dropping-particle" : "", "family" : "Frampton", "given" : "Christopher M", "non-dropping-particle" : "", "parse-names" : false, "suffix" : "" } ], "container-title" : "Drug and Alcohol Review", "id" : "ITEM-2", "issue" : "3", "issued" : { "date-parts" : [ [ "2007", "5" ] ] }, "language" : "eng", "page" : "309-319", "publisher-place" : "Australia", "title" : "The relationship between non-acute adolescent cannabis use and cognition.", "type" : "article-journal", "volume" : "26" }, "uris" : [ "http://www.mendeley.com/documents/?uuid=da76a5e0-0184-4917-af09-6e0dd298c472" ] }, { "id" : "ITEM-3", "itemData" : { "DOI" : "10.1016/j.biopsych.2004.10.022", "ISSN" : "0006-3223 (Print)", "PMID" : "15607301", "abstract" : "BACKGROUND: In adult animals and humans, nicotine can produce short-term cognitive enhancement and, in some cases, neuroprotection. Recent work in animals, however, suggests that exposure to nicotine during adolescence might be neurotoxic. We tested for evidence of acute and chronic effects of tobacco smoking on cognition in adolescents who smoked tobacco daily and were compared with adolescent nonsmokers. METHODS: Verbal working memory, verbal learning and memory, selective, divided, sustained attention, mood, symptoms of nicotine withdrawal, and tobacco craving were examined in 41 adolescent daily smokers and 32 nonsmokers who were similar in age, gender, and education. Analyses were controlled for general intelligence, reading achievement, parental educational attainment, baseline affective symptoms, and lifetime exposure to alcohol and cannabis. RESULTS: In adolescent smokers, cessation of tobacco use increased tobacco craving, symptoms of nicotine withdrawal, and depressed mood. Adolescent smokers were found to have impairments in accuracy of working memory performance irrespective of recency of smoking. Performance decrements were more severe with earlier age of onset of smoking. Adolescent smokers experienced further disruption of working memory and verbal memory during smoking cessation. As a group, male smokers initiated smoking at an earlier age than female smokers and were significantly more impaired during tests of selective and divided attention than female smokers and nonsmokers. CONCLUSIONS: Adolescent daily tobacco smokers experience acute impairments of verbal memory and working memory after smoking cessation, along with chronic decrements in cognitive performance that are consistent with preclinical evidence that neurotoxic effects of nicotine are more severe when exposure to nicotine occurs at earlier periods in development.", "author" : [ { "dropping-particle" : "", "family" : "Jacobsen", "given" : "Leslie K", "non-dropping-particle" : "", "parse-names" : false, "suffix" : "" }, { "dropping-particle" : "", "family" : "Krystal", "given" : "John H", "non-dropping-particle" : "", "parse-names" : false, "suffix" : "" }, { "dropping-particle" : "", "family" : "Mencl", "given" : "W Einar", "non-dropping-particle" : "", "parse-names" : false, "suffix" : "" }, { "dropping-particle" : "", "family" : "Westerveld", "given" : "Michael", "non-dropping-particle" : "", "parse-names" : false, "suffix" : "" }, { "dropping-particle" : "", "family" : "Frost", "given" : "Stephen J", "non-dropping-particle" : "", "parse-names" : false, "suffix" : "" }, { "dropping-particle" : "", "family" : "Pugh", "given" : "Kenneth R", "non-dropping-particle" : "", "parse-names" : false, "suffix" : "" } ], "container-title" : "Biological Psychiatry", "id" : "ITEM-3", "issue" : "1", "issued" : { "date-parts" : [ [ "2005", "1" ] ] }, "language" : "eng", "page" : "56-66", "publisher-place" : "United States", "title" : "Effects of smoking and smoking abstinence on cognition in adolescent tobacco smokers.", "type" : "article-journal", "volume" : "57" }, "uris" : [ "http://www.mendeley.com/documents/?uuid=073fd865-dbdb-4dce-a964-22fb160673df" ] }, { "id" : "ITEM-4", "itemData" : { "DOI" : "10.1523/JNEUROSCI.2402-07.2007", "ISSN" : "1529-2401 (Electronic)", "PMID" : "18057207", "abstract" : "Prenatal exposure to maternal smoking has been linked to cognitive and auditory processing deficits in offspring. Preclinical studies have demonstrated that exposure to nicotine disrupts neurodevelopment during gestation and adolescence, possibly by disrupting the trophic effects of acetylcholine. Given recent clinical and preclinical work suggesting that neurocircuits that support auditory processing may be particularly vulnerable to developmental disruption by nicotine, we examined white matter microstructure in 67 adolescent smokers and nonsmokers with and without prenatal exposure to maternal smoking. The groups did not differ in age, educational attainment, IQ, years of parent education, or symptoms of inattention. Diffusion tensor anisotropy and anatomical magnetic resonance images were acquired, and auditory attention was assessed, in all subjects. Both prenatal exposure and adolescent exposure to tobacco smoke was associated with increased fractional anisotropy (FA) in anterior cortical white matter. Adolescent smoking was also associated with increased FA of regions of the internal capsule that contain auditory thalamocortical and corticofugal fibers. FA of the posterior limb of the left internal capsule was positively correlated with reaction time during performance of an auditory attention task in smokers but not in nonsmokers. Development of anterior cortical and internal capsule fibers may be particularly vulnerable to disruption in cholinergic signaling induced by nicotine in tobacco smoke. Nicotine-induced disruption of the development of auditory corticofugal fibers may interfere with the ability of these fibers to modulate ascending auditory signals, leading to greater noise and reduced efficiency of neurocircuitry that supports auditory processing.", "author" : [ { "dropping-particle" : "", "family" : "Jacobsen", "given" : "Leslie K", "non-dropping-particle" : "", "parse-names" : false, "suffix" : "" }, { "dropping-particle" : "", "family" : "Picciotto", "given" : "Marina R", "non-dropping-particle" : "", "parse-names" : false, "suffix" : "" }, { "dropping-particle" : "", "family" : "Heath", "given" : "Christopher J", "non-dropping-particle" : "", "parse-names" : false, "suffix" : "" }, { "dropping-particle" : "", "family" : "Frost", "given" : "Stephen J", "non-dropping-particle" : "", "parse-names" : false, "suffix" : "" }, { "dropping-particle" : "", "family" : "Tsou", "given" : "Kristen A", "non-dropping-particle" : "", "parse-names" : false, "suffix" : "" }, { "dropping-particle" : "", "family" : "Dwan", "given" : "Rita A", "non-dropping-particle" : "", "parse-names" : false, "suffix" : "" }, { "dropping-particle" : "", "family" : "Jackowski", "given" : "Marcel P", "non-dropping-particle" : "", "parse-names" : false, "suffix" : "" }, { "dropping-particle" : "", "family" : "Constable", "given" : "Robert T", "non-dropping-particle" : "", "parse-names" : false, "suffix" : "" }, { "dropping-particle" : "", "family" : "Mencl", "given" : "W Einar", "non-dropping-particle" : "", "parse-names" : false, "suffix" : "" } ], "container-title" : "The Journal of Neuroscience", "id" : "ITEM-4", "issue" : "49", "issued" : { "date-parts" : [ [ "2007", "12" ] ] }, "language" : "ENG", "page" : "13491-13498", "publisher-place" : "United States", "title" : "Prenatal and adolescent exposure to tobacco smoke modulates the development of white matter microstructure.", "type" : "article-journal", "volume" : "27" }, "uris" : [ "http://www.mendeley.com/documents/?uuid=a08c4ed6-62f5-4944-b771-71a366eee468" ] }, { "id" : "ITEM-5", "itemData" : { "DOI" : "10.1007/s00213-006-0499-8", "ISSN" : "0033-3158 (Print)", "PMID" : "16937098", "abstract" : "RATIONALE: There is abundant evidence from clinical and preclinical studies that  acute administration of nicotine has beneficial effects on attentional network function in the brain. In contrast, little is known about potentially neurotoxic effects on the attentional network during neurodevelopmentally critical periods, such as during adolescence and early adulthood. METHODS: Using event-related functional MRI (fMRI), we investigated prefrontal attentional network function in young adults (n=15 regular smokers and n=12 never-smokers; age: 22.6+/-1.5 years). Duration of smoking was 6.9+/-2.3 years (range of 2-10). Smokers were allowed to smoke ad libitum before the fMRI scanning was conducted. RESULTS: As expected from literature, prefrontal attentional network activity was significantly reduced in smokers compared to nonsmokers (Z=2.1; P=0.036). In smokers, we found that the history of smoking duration (years) is directly related to the extent of diminished attentional network activity (R=-0.67; P=0.012). CONCLUSIONS: To our best knowledge, the relationship between the duration of smoking history and prefrontal attentional network function has not yet been reported. This finding might suggest that several years of chronic nicotine abuse may be sufficient to exert long-lasting effects on the brain function of adolescents and young adults.", "author" : [ { "dropping-particle" : "", "family" : "Musso", "given" : "Francesco", "non-dropping-particle" : "", "parse-names" : false, "suffix" : "" }, { "dropping-particle" : "", "family" : "Bettermann", "given" : "Franziska", "non-dropping-particle" : "", "parse-names" : false, "suffix" : "" }, { "dropping-particle" : "", "family" : "Vucurevic", "given" : "Goran", "non-dropping-particle" : "", "parse-names" : false, "suffix" : "" }, { "dropping-particle" : "", "family" : "Stoeter", "given" : "Peter", "non-dropping-particle" : "", "parse-names" : false, "suffix" : "" }, { "dropping-particle" : "", "family" : "Konrad", "given" : "Andreas", "non-dropping-particle" : "", "parse-names" : false, "suffix" : "" }, { "dropping-particle" : "", "family" : "Winterer", "given" : "Georg", "non-dropping-particle" : "", "parse-names" : false, "suffix" : "" } ], "container-title" : "Psychopharmacology", "id" : "ITEM-5", "issue" : "1", "issued" : { "date-parts" : [ [ "2007", "3" ] ] }, "language" : "eng", "page" : "159-169", "publisher-place" : "Germany", "title" : "Smoking impacts on prefrontal attentional network function in young adult brains.", "type" : "article-journal", "volume" : "191" }, "uris" : [ "http://www.mendeley.com/documents/?uuid=36698a8b-8c7f-43b3-87e5-7a647a3c69d5" ] }, { "id" : "ITEM-6", "itemData" : { "DOI" : "10.1007/s00213-004-1868-9", "ISBN" : "0033-3158 (Print)", "ISSN" : "00333158", "PMID" : "15502936", "abstract" : "RATIONALE: The primary psychoactive constituent of marijuana, Delta9-THC, activates cannabinoid receptors, which are especially abundant in the frontal cortex and hippocampus. Acute marijuana smoking can disrupt working memory (WM) and episodic memory (EM) functions that are known to rely on these regions. However, the effects of marijuana on the brain activity accompanying such cognitive processes remain largely unexplored. OBJECTIVES: To examine such effects on performance and neurophysiological signals of these functions, EEG recordings were obtained from ten subjects (5M, 5F) performing cognitive tasks before and after smoking marijuana (3.45% Delta9-THC) or a placebo. WM was assessed with a spatial N-back task, and EM was evaluated with a test requiring recognition of words after a 5-10 min delay between study and test. RESULTS: Marijuana increased heart rate and decreased global theta band EEG power, consistent with increased autonomic arousal. Responses in the WM task were slower and less accurate after smoking marijuana, accompanied by reduced alpha band EEG reactivity in response to increased task difficulty. In the EM task, marijuana was associated with an increased tendency to erroneously identify distracter words as having been previously studied. In both tasks, marijuana attenuated stimulus-locked event-related potentials (ERPs). CONCLUSIONS: The results suggest that marijuana disrupted both sustained and transient attention processes resulting in impaired memory task performance. In subjects most affected by marijuana a pronounced ERP difference between previously studied words and new distracter words was also reduced, suggesting disruption of neural mechanisms underlying memory for recent study episodes.", "author" : [ { "dropping-particle" : "", "family" : "Ilan", "given" : "Aaron B.", "non-dropping-particle" : "", "parse-names" : false, "suffix" : "" }, { "dropping-particle" : "", "family" : "Smith", "given" : "Michael E.", "non-dropping-particle" : "", "parse-names" : false, "suffix" : "" }, { "dropping-particle" : "", "family" : "Gevins", "given" : "Alan", "non-dropping-particle" : "", "parse-names" : false, "suffix" : "" } ], "container-title" : "Psychopharmacology", "id" : "ITEM-6", "issue" : "2", "issued" : { "date-parts" : [ [ "2004" ] ] }, "page" : "214-222", "title" : "Effects of marijuana on neurophysiological signals of working and episodic memory", "type" : "article-journal", "volume" : "176" }, "uris" : [ "http://www.mendeley.com/documents/?uuid=09b4b278-0f37-44ea-a786-d4340d7ad317" ] } ], "mendeley" : { "formattedCitation" : "(Hanson et al. 2010; Harvey et al. 2007; Jacobsen et al. 2005; Jacobsen et al. 2007; Musso et al. 2007; Ilan et al. 2004)", "plainTextFormattedCitation" : "(Hanson et al. 2010; Harvey et al. 2007; Jacobsen et al. 2005; Jacobsen et al. 2007; Musso et al. 2007; Ilan et al. 2004)", "previouslyFormattedCitation" : "(Hanson et al. 2010; Harvey et al. 2007; Jacobsen et al. 2005; Jacobsen et al. 2007; Musso et al. 2007; Ilan et al. 2004)" }, "properties" : { "noteIndex" : 17 }, "schema" : "https://github.com/citation-style-language/schema/raw/master/csl-citation.json" }</w:instrText>
      </w:r>
      <w:r w:rsidR="00137291">
        <w:rPr>
          <w:rFonts w:ascii="Times New Roman" w:hAnsi="Times New Roman" w:cs="Times New Roman"/>
          <w:sz w:val="24"/>
          <w:szCs w:val="24"/>
        </w:rPr>
        <w:fldChar w:fldCharType="separate"/>
      </w:r>
      <w:r w:rsidR="005F7979" w:rsidRPr="005F7979">
        <w:rPr>
          <w:rFonts w:ascii="Times New Roman" w:hAnsi="Times New Roman" w:cs="Times New Roman"/>
          <w:noProof/>
          <w:sz w:val="24"/>
          <w:szCs w:val="24"/>
        </w:rPr>
        <w:t>(Hanson et al. 2010; Harvey et al. 2007; Jacobsen et al. 2005; Jacobsen et al. 2007; Musso et al. 2007; Ilan et al. 2004)</w:t>
      </w:r>
      <w:r w:rsidR="00137291">
        <w:rPr>
          <w:rFonts w:ascii="Times New Roman" w:hAnsi="Times New Roman" w:cs="Times New Roman"/>
          <w:sz w:val="24"/>
          <w:szCs w:val="24"/>
        </w:rPr>
        <w:fldChar w:fldCharType="end"/>
      </w:r>
      <w:r w:rsidR="00602716">
        <w:rPr>
          <w:rFonts w:ascii="Times New Roman" w:hAnsi="Times New Roman" w:cs="Times New Roman"/>
          <w:sz w:val="24"/>
          <w:szCs w:val="24"/>
        </w:rPr>
        <w:t xml:space="preserve">. </w:t>
      </w:r>
    </w:p>
    <w:p w14:paraId="67225DF8" w14:textId="16C97F53" w:rsidR="00815719" w:rsidRDefault="00BA2CFE" w:rsidP="008157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that </w:t>
      </w:r>
      <w:r w:rsidR="007B14ED">
        <w:rPr>
          <w:rFonts w:ascii="Times New Roman" w:hAnsi="Times New Roman" w:cs="Times New Roman"/>
          <w:sz w:val="24"/>
          <w:szCs w:val="24"/>
        </w:rPr>
        <w:t xml:space="preserve">cannabis and tobacco </w:t>
      </w:r>
      <w:r w:rsidR="009E47B6">
        <w:rPr>
          <w:rFonts w:ascii="Times New Roman" w:hAnsi="Times New Roman" w:cs="Times New Roman"/>
          <w:sz w:val="24"/>
          <w:szCs w:val="24"/>
        </w:rPr>
        <w:t xml:space="preserve">use at the same time is popular among adolescents </w:t>
      </w:r>
      <w:r w:rsidR="000F0FBB">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"ISSN" : "0965-2140 (Print)", "PMID" : "14678065", "abstract" : "AIMS: To examine the relationship between smoking tobacco and cannabis use among smokers in their mid-to-late teens. DESIGN AND PARTICIPANTS: Two qualitative studies in Scotland. One study used semistructured paired interviews involving 99 16-19-year-old smokers, the other comprised eight focus groups involving 46 15-16-year-old smokers. MEASUREMENT: The interviews and focus groups explored the role and meaning of smoking in the participants' lives, smoking histories and future cessation intentions and how these related to other aspects of their lives, particularly cannabis use. FINDINGS: Cannabis use was regarded as an important and enjoyable aspect of many of the participants' lives. Importantly, cannabis use and cigarette smoking were linked inextricably. Several reported how smoking joints had been a 'gateway' to smoking cigarettes. While most wanted to quit smoking cigarettes, cannabis use reinforced their cigarette smoking and few wanted to stop using cannabis. CONCLUSION: National studies need to be conducted to examine how widespread the problem identified is and tobacco control initiatives and smoking cessation treatment services need to consider urgently how to overcome the barrier that a desire on the part of young people to continue cannabis smoking poses to achieving a reduction in tobacco use.", "author" : [ { "dropping-particle" : "", "family" : "Amos", "given" : "Amanda", "non-dropping-particle" : "", "parse-names" : false, "suffix" : "" }, { "dropping-particle" : "", "family" : "Wiltshire", "given" : "Susan", "non-dropping-particle" : "", "parse-names" : false, "suffix" : "" }, { "dropping-particle" : "", "family" : "Bostock", "given" : "Yvonne", "non-dropping-particle" : "", "parse-names" : false, "suffix" : "" }, { "dropping-particle" : "", "family" : "Haw", "given" : "Sally", "non-dropping-particle" : "", "parse-names" : false, "suffix" : "" }, { "dropping-particle" : "", "family" : "McNeill", "given" : "Ann", "non-dropping-particle" : "", "parse-names" : false, "suffix" : "" } ], "container-title" : "Addiction", "id" : "ITEM-1", "issue" : "1", "issued" : { "date-parts" : [ [ "2004", "1" ] ] }, "language" : "eng", "page" : "77-81", "publisher-place" : "England", "title" : "'You can't go without a fag...you need it for your hash'--a qualitative exploration of smoking, cannabis and young people.", "type" : "article-journal", "volume" : "99" }, "uris" : [ "http://www.mendeley.com/documents/?uuid=aec8ddcf-a41e-4805-b068-0edd9732b825" ] } ], "mendeley" : { "formattedCitation" : "(Amos et al. 2004)", "plainTextFormattedCitation" : "(Amos et al. 2004)", "previouslyFormattedCitation" : "(Amos et al. 2004)" }, "properties" : { "noteIndex" : 17 }, "schema" : "https://github.com/citation-style-language/schema/raw/master/csl-citation.json" }</w:instrText>
      </w:r>
      <w:r w:rsidR="000F0FBB">
        <w:rPr>
          <w:rFonts w:ascii="Times New Roman" w:hAnsi="Times New Roman" w:cs="Times New Roman"/>
          <w:sz w:val="24"/>
          <w:szCs w:val="24"/>
        </w:rPr>
        <w:fldChar w:fldCharType="separate"/>
      </w:r>
      <w:r w:rsidR="000F0FBB" w:rsidRPr="000F0FBB">
        <w:rPr>
          <w:rFonts w:ascii="Times New Roman" w:hAnsi="Times New Roman" w:cs="Times New Roman"/>
          <w:noProof/>
          <w:sz w:val="24"/>
          <w:szCs w:val="24"/>
        </w:rPr>
        <w:t>(Amos et al. 2004)</w:t>
      </w:r>
      <w:r w:rsidR="000F0FBB">
        <w:rPr>
          <w:rFonts w:ascii="Times New Roman" w:hAnsi="Times New Roman" w:cs="Times New Roman"/>
          <w:sz w:val="24"/>
          <w:szCs w:val="24"/>
        </w:rPr>
        <w:fldChar w:fldCharType="end"/>
      </w:r>
      <w:r w:rsidR="00AB2504">
        <w:rPr>
          <w:rFonts w:ascii="Times New Roman" w:hAnsi="Times New Roman" w:cs="Times New Roman"/>
          <w:sz w:val="24"/>
          <w:szCs w:val="24"/>
        </w:rPr>
        <w:t>,</w:t>
      </w:r>
      <w:r>
        <w:rPr>
          <w:rFonts w:ascii="Times New Roman" w:hAnsi="Times New Roman" w:cs="Times New Roman"/>
          <w:sz w:val="24"/>
          <w:szCs w:val="24"/>
        </w:rPr>
        <w:t xml:space="preserve"> </w:t>
      </w:r>
      <w:r w:rsidR="00457781">
        <w:rPr>
          <w:rFonts w:ascii="Times New Roman" w:hAnsi="Times New Roman" w:cs="Times New Roman"/>
          <w:sz w:val="24"/>
          <w:szCs w:val="24"/>
        </w:rPr>
        <w:t xml:space="preserve">it is </w:t>
      </w:r>
      <w:r w:rsidR="00AB2504">
        <w:rPr>
          <w:rFonts w:ascii="Times New Roman" w:hAnsi="Times New Roman" w:cs="Times New Roman"/>
          <w:sz w:val="24"/>
          <w:szCs w:val="24"/>
        </w:rPr>
        <w:t>of interest</w:t>
      </w:r>
      <w:r w:rsidR="00457781">
        <w:rPr>
          <w:rFonts w:ascii="Times New Roman" w:hAnsi="Times New Roman" w:cs="Times New Roman"/>
          <w:sz w:val="24"/>
          <w:szCs w:val="24"/>
        </w:rPr>
        <w:t xml:space="preserve"> to try to disentangle the </w:t>
      </w:r>
      <w:r w:rsidR="009E47B6">
        <w:rPr>
          <w:rFonts w:ascii="Times New Roman" w:hAnsi="Times New Roman" w:cs="Times New Roman"/>
          <w:sz w:val="24"/>
          <w:szCs w:val="24"/>
        </w:rPr>
        <w:t xml:space="preserve">independent and combined effects. </w:t>
      </w:r>
      <w:r w:rsidR="00AB2504">
        <w:rPr>
          <w:rFonts w:ascii="Times New Roman" w:hAnsi="Times New Roman" w:cs="Times New Roman"/>
          <w:sz w:val="24"/>
          <w:szCs w:val="24"/>
        </w:rPr>
        <w:t>A</w:t>
      </w:r>
      <w:r w:rsidR="008103D5">
        <w:rPr>
          <w:rFonts w:ascii="Times New Roman" w:hAnsi="Times New Roman" w:cs="Times New Roman"/>
          <w:sz w:val="24"/>
          <w:szCs w:val="24"/>
        </w:rPr>
        <w:t xml:space="preserve"> recent study examining</w:t>
      </w:r>
      <w:r w:rsidR="000B6745">
        <w:rPr>
          <w:rFonts w:ascii="Times New Roman" w:hAnsi="Times New Roman" w:cs="Times New Roman"/>
          <w:sz w:val="24"/>
          <w:szCs w:val="24"/>
        </w:rPr>
        <w:t xml:space="preserve"> </w:t>
      </w:r>
      <w:r w:rsidR="006F1240">
        <w:rPr>
          <w:rFonts w:ascii="Times New Roman" w:hAnsi="Times New Roman" w:cs="Times New Roman"/>
          <w:sz w:val="24"/>
          <w:szCs w:val="24"/>
        </w:rPr>
        <w:t>the independent and combined impact of cannabis and nicotine on WM</w:t>
      </w:r>
      <w:r w:rsidR="00C5021A">
        <w:rPr>
          <w:rFonts w:ascii="Times New Roman" w:hAnsi="Times New Roman" w:cs="Times New Roman"/>
          <w:sz w:val="24"/>
          <w:szCs w:val="24"/>
        </w:rPr>
        <w:t xml:space="preserve"> </w:t>
      </w:r>
      <w:r w:rsidR="008103D5">
        <w:rPr>
          <w:rFonts w:ascii="Times New Roman" w:hAnsi="Times New Roman" w:cs="Times New Roman"/>
          <w:sz w:val="24"/>
          <w:szCs w:val="24"/>
        </w:rPr>
        <w:t xml:space="preserve">performance </w:t>
      </w:r>
      <w:r w:rsidR="004B7111">
        <w:rPr>
          <w:rFonts w:ascii="Times New Roman" w:hAnsi="Times New Roman" w:cs="Times New Roman"/>
          <w:sz w:val="24"/>
          <w:szCs w:val="24"/>
        </w:rPr>
        <w:t xml:space="preserve">suggested that WM performance </w:t>
      </w:r>
      <w:r w:rsidR="008103D5">
        <w:rPr>
          <w:rFonts w:ascii="Times New Roman" w:hAnsi="Times New Roman" w:cs="Times New Roman"/>
          <w:sz w:val="24"/>
          <w:szCs w:val="24"/>
        </w:rPr>
        <w:t xml:space="preserve">decreased with </w:t>
      </w:r>
      <w:r w:rsidR="00815719">
        <w:rPr>
          <w:rFonts w:ascii="Times New Roman" w:hAnsi="Times New Roman" w:cs="Times New Roman"/>
          <w:sz w:val="24"/>
          <w:szCs w:val="24"/>
        </w:rPr>
        <w:t xml:space="preserve">acute </w:t>
      </w:r>
      <w:r w:rsidR="00785D52">
        <w:rPr>
          <w:rFonts w:ascii="Times New Roman" w:hAnsi="Times New Roman" w:cs="Times New Roman"/>
          <w:sz w:val="24"/>
          <w:szCs w:val="24"/>
        </w:rPr>
        <w:t>cannabis</w:t>
      </w:r>
      <w:r w:rsidR="008103D5">
        <w:rPr>
          <w:rFonts w:ascii="Times New Roman" w:hAnsi="Times New Roman" w:cs="Times New Roman"/>
          <w:sz w:val="24"/>
          <w:szCs w:val="24"/>
        </w:rPr>
        <w:t xml:space="preserve"> use and increased </w:t>
      </w:r>
      <w:r w:rsidR="00C5021A">
        <w:rPr>
          <w:rFonts w:ascii="Times New Roman" w:hAnsi="Times New Roman" w:cs="Times New Roman"/>
          <w:sz w:val="24"/>
          <w:szCs w:val="24"/>
        </w:rPr>
        <w:t xml:space="preserve">with </w:t>
      </w:r>
      <w:r w:rsidR="00E303BA">
        <w:rPr>
          <w:rFonts w:ascii="Times New Roman" w:hAnsi="Times New Roman" w:cs="Times New Roman"/>
          <w:sz w:val="24"/>
          <w:szCs w:val="24"/>
        </w:rPr>
        <w:t>tobacco</w:t>
      </w:r>
      <w:r w:rsidR="00AB2504">
        <w:rPr>
          <w:rFonts w:ascii="Times New Roman" w:hAnsi="Times New Roman" w:cs="Times New Roman"/>
          <w:sz w:val="24"/>
          <w:szCs w:val="24"/>
        </w:rPr>
        <w:t xml:space="preserve"> use, </w:t>
      </w:r>
      <w:r w:rsidR="00456EBC">
        <w:rPr>
          <w:rFonts w:ascii="Times New Roman" w:hAnsi="Times New Roman" w:cs="Times New Roman"/>
          <w:sz w:val="24"/>
          <w:szCs w:val="24"/>
        </w:rPr>
        <w:t xml:space="preserve">while cannabis </w:t>
      </w:r>
      <w:r w:rsidR="00876966">
        <w:rPr>
          <w:rFonts w:ascii="Times New Roman" w:hAnsi="Times New Roman" w:cs="Times New Roman"/>
          <w:sz w:val="24"/>
          <w:szCs w:val="24"/>
        </w:rPr>
        <w:t xml:space="preserve">use </w:t>
      </w:r>
      <w:r w:rsidR="00456EBC">
        <w:rPr>
          <w:rFonts w:ascii="Times New Roman" w:hAnsi="Times New Roman" w:cs="Times New Roman"/>
          <w:sz w:val="24"/>
          <w:szCs w:val="24"/>
        </w:rPr>
        <w:t>was not associated with diminished WM when used with tobacco</w:t>
      </w:r>
      <w:r w:rsidR="004F70A8">
        <w:rPr>
          <w:rFonts w:ascii="Times New Roman" w:hAnsi="Times New Roman" w:cs="Times New Roman"/>
          <w:sz w:val="24"/>
          <w:szCs w:val="24"/>
        </w:rPr>
        <w:t>, suggesting that tobacco use may compensate for deficits in WM from cannabis</w:t>
      </w:r>
      <w:r w:rsidR="000F0FBB">
        <w:rPr>
          <w:rFonts w:ascii="Times New Roman" w:hAnsi="Times New Roman" w:cs="Times New Roman"/>
          <w:sz w:val="24"/>
          <w:szCs w:val="24"/>
        </w:rPr>
        <w:t xml:space="preserve"> </w:t>
      </w:r>
      <w:r w:rsidR="000F0FBB">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"10.1111/add.13342", "ISSN" : "1360-0443 (Electronic)", "PMID" : "26857917", "abstract" : "BACKGROUND AND AIMS: The neuropsychological correlates of simultaneous marijuana and tobacco use are largely unknown, which is surprising as both substances have similar neural substrates and have opposing influences on working memory (WM). This study examined the effects of marijuana alone, tobacco alone and simultaneous marijuana and tobacco use on WM. DESIGN: Primary aims were tested using a within-subject design, controlling for multiple subject- and momentary-level confounds via ecological momentary assessment (EMA). SETTING: Data collection occurred in the Chicago, USA area in participants' natural environments. PARTICIPANTS: Participants were 287 community young adults from a larger natural history study, oversampled for ever smoking, all of whom event-recorded at least one substance use occasion during the study week. MEASUREMENTS: Momentary tobacco, marijuana and alcohol use were recorded during multiple EMA across 1 week of data capture. WM was assessed at the end of each EMA assessment. Contextual variables that may influence WM were recorded via EMA. FINDINGS: There were main effects for marijuana and tobacco: WM was poorer with marijuana [odds ratio (OR) = 0.91, 95% confidence interval (CI) = 0.84-0.99] and better with tobacco (OR = 1.11, 95% CI = 1.04-1.18). These effects were not qualified by an interaction (OR = 1.03, 95% CI = 0.84-1.26). Alcohol also reduced WM (OR = 0.87, 95% CI = 0.79-0.95), and the tobacco x alcohol interaction was significant (OR = 0.81, 95% CI = 0.66-0.99), indicating that the facilitative effect of tobacco disappeared with concurrent alcohol use. CONCLUSIONS: Relative to when individuals did not use these substances, working memory decreased with acute marijuana and alcohol use and increased with acute tobacco use. However, the putative effect of marijuana on working memory and the facilitative effect of tobacco on working memory were no longer present when used simultaneously with tobacco and alcohol, respectively. Data suggest that tobacco use may compensate for working memory decrements from marijuana among young adults and highlight the importance of investigating further the negative impact of alcohol use on cognition.", "author" : [ { "dropping-particle" : "", "family" : "Schuster", "given" : "Randi Melissa", "non-dropping-particle" : "", "parse-names" : false, "suffix" : "" }, { "dropping-particle" : "", "family" : "Mermelstein", "given" : "Robin J", "non-dropping-particle" : "", "parse-names" : false, "suffix" : "" }, { "dropping-particle" : "", "family" : "Hedeker", "given" : "Donald", "non-dropping-particle" : "", "parse-names" : false, "suffix" : "" } ], "container-title" : "Addiction", "id" : "ITEM-1", "issue" : "8", "issued" : { "date-parts" : [ [ "2016", "8" ] ] }, "language" : "eng", "page" : "1466-1476", "publisher-place" : "England", "title" : "Ecological momentary assessment of working memory under conditions of simultaneous marijuana and tobacco use.", "type" : "article-journal", "volume" : "111" }, "uris" : [ "http://www.mendeley.com/documents/?uuid=beec05d1-3bd1-4b23-bc4d-bbadc250adaa" ] } ], "mendeley" : { "formattedCitation" : "(Schuster et al. 2016)", "plainTextFormattedCitation" : "(Schuster et al. 2016)", "previouslyFormattedCitation" : "(Schuster et al. 2016)" }, "properties" : { "noteIndex" : 17 }, "schema" : "https://github.com/citation-style-language/schema/raw/master/csl-citation.json" }</w:instrText>
      </w:r>
      <w:r w:rsidR="000F0FBB">
        <w:rPr>
          <w:rFonts w:ascii="Times New Roman" w:hAnsi="Times New Roman" w:cs="Times New Roman"/>
          <w:sz w:val="24"/>
          <w:szCs w:val="24"/>
        </w:rPr>
        <w:fldChar w:fldCharType="separate"/>
      </w:r>
      <w:r w:rsidR="000F0FBB" w:rsidRPr="000F0FBB">
        <w:rPr>
          <w:rFonts w:ascii="Times New Roman" w:hAnsi="Times New Roman" w:cs="Times New Roman"/>
          <w:noProof/>
          <w:sz w:val="24"/>
          <w:szCs w:val="24"/>
        </w:rPr>
        <w:t>(Schuster et al. 2016)</w:t>
      </w:r>
      <w:r w:rsidR="000F0FBB">
        <w:rPr>
          <w:rFonts w:ascii="Times New Roman" w:hAnsi="Times New Roman" w:cs="Times New Roman"/>
          <w:sz w:val="24"/>
          <w:szCs w:val="24"/>
        </w:rPr>
        <w:fldChar w:fldCharType="end"/>
      </w:r>
      <w:r w:rsidR="000B6745">
        <w:rPr>
          <w:rFonts w:ascii="Times New Roman" w:hAnsi="Times New Roman" w:cs="Times New Roman"/>
          <w:sz w:val="24"/>
          <w:szCs w:val="24"/>
        </w:rPr>
        <w:t>.</w:t>
      </w:r>
      <w:r w:rsidR="00DF4C08" w:rsidRPr="00DF4C08">
        <w:rPr>
          <w:rFonts w:ascii="Times New Roman" w:hAnsi="Times New Roman" w:cs="Times New Roman"/>
          <w:sz w:val="24"/>
          <w:szCs w:val="24"/>
        </w:rPr>
        <w:t xml:space="preserve"> </w:t>
      </w:r>
    </w:p>
    <w:p w14:paraId="1E351D05" w14:textId="0B369212" w:rsidR="00271A1F" w:rsidRDefault="00621E31" w:rsidP="006F1240">
      <w:pPr>
        <w:spacing w:before="240" w:after="0" w:line="480" w:lineRule="auto"/>
        <w:rPr>
          <w:rFonts w:ascii="Times New Roman" w:hAnsi="Times New Roman" w:cs="Times New Roman"/>
          <w:i/>
          <w:sz w:val="24"/>
          <w:szCs w:val="24"/>
        </w:rPr>
      </w:pPr>
      <w:r w:rsidRPr="00621E31">
        <w:rPr>
          <w:rFonts w:ascii="Times New Roman" w:hAnsi="Times New Roman" w:cs="Times New Roman"/>
          <w:i/>
          <w:sz w:val="24"/>
          <w:szCs w:val="24"/>
        </w:rPr>
        <w:t xml:space="preserve">Implications </w:t>
      </w:r>
      <w:r w:rsidR="00F43291">
        <w:rPr>
          <w:rFonts w:ascii="Times New Roman" w:hAnsi="Times New Roman" w:cs="Times New Roman"/>
          <w:i/>
          <w:sz w:val="24"/>
          <w:szCs w:val="24"/>
        </w:rPr>
        <w:t>and C</w:t>
      </w:r>
      <w:r w:rsidRPr="00621E31">
        <w:rPr>
          <w:rFonts w:ascii="Times New Roman" w:hAnsi="Times New Roman" w:cs="Times New Roman"/>
          <w:i/>
          <w:sz w:val="24"/>
          <w:szCs w:val="24"/>
        </w:rPr>
        <w:t>onclusions</w:t>
      </w:r>
    </w:p>
    <w:p w14:paraId="76A6FB77" w14:textId="6A7DBE6A" w:rsidR="0029198A" w:rsidRDefault="002B3A20" w:rsidP="00F37611">
      <w:pPr>
        <w:spacing w:after="0" w:line="480" w:lineRule="auto"/>
      </w:pPr>
      <w:r>
        <w:rPr>
          <w:rFonts w:ascii="Times New Roman" w:hAnsi="Times New Roman" w:cs="Times New Roman"/>
          <w:sz w:val="24"/>
          <w:szCs w:val="24"/>
        </w:rPr>
        <w:t xml:space="preserve">Our </w:t>
      </w:r>
      <w:r w:rsidR="00994BB1">
        <w:rPr>
          <w:rFonts w:ascii="Times New Roman" w:hAnsi="Times New Roman" w:cs="Times New Roman"/>
          <w:sz w:val="24"/>
          <w:szCs w:val="24"/>
        </w:rPr>
        <w:t xml:space="preserve">findings </w:t>
      </w:r>
      <w:r w:rsidR="00980263">
        <w:rPr>
          <w:rFonts w:ascii="Times New Roman" w:hAnsi="Times New Roman" w:cs="Times New Roman"/>
          <w:sz w:val="24"/>
          <w:szCs w:val="24"/>
        </w:rPr>
        <w:t>contribute</w:t>
      </w:r>
      <w:r w:rsidR="00994BB1">
        <w:rPr>
          <w:rFonts w:ascii="Times New Roman" w:hAnsi="Times New Roman" w:cs="Times New Roman"/>
          <w:sz w:val="24"/>
          <w:szCs w:val="24"/>
        </w:rPr>
        <w:t xml:space="preserve"> to the understanding of the relationship between alcohol use and WM in adolescen</w:t>
      </w:r>
      <w:r w:rsidR="00D63DBE">
        <w:rPr>
          <w:rFonts w:ascii="Times New Roman" w:hAnsi="Times New Roman" w:cs="Times New Roman"/>
          <w:sz w:val="24"/>
          <w:szCs w:val="24"/>
        </w:rPr>
        <w:t>ts</w:t>
      </w:r>
      <w:r>
        <w:rPr>
          <w:rFonts w:ascii="Times New Roman" w:hAnsi="Times New Roman" w:cs="Times New Roman"/>
          <w:sz w:val="24"/>
          <w:szCs w:val="24"/>
        </w:rPr>
        <w:t>, and</w:t>
      </w:r>
      <w:r w:rsidR="00EB7405" w:rsidRPr="00EB7405">
        <w:rPr>
          <w:rFonts w:ascii="Times New Roman" w:hAnsi="Times New Roman" w:cs="Times New Roman"/>
          <w:sz w:val="24"/>
          <w:szCs w:val="24"/>
        </w:rPr>
        <w:t xml:space="preserve"> provide evidence that regular binge drinking in mid</w:t>
      </w:r>
      <w:r w:rsidR="00653FBA">
        <w:rPr>
          <w:rFonts w:ascii="Times New Roman" w:hAnsi="Times New Roman" w:cs="Times New Roman"/>
          <w:sz w:val="24"/>
          <w:szCs w:val="24"/>
        </w:rPr>
        <w:t>-</w:t>
      </w:r>
      <w:r w:rsidR="00EB7405" w:rsidRPr="00EB7405">
        <w:rPr>
          <w:rFonts w:ascii="Times New Roman" w:hAnsi="Times New Roman" w:cs="Times New Roman"/>
          <w:sz w:val="24"/>
          <w:szCs w:val="24"/>
        </w:rPr>
        <w:t xml:space="preserve">adolescence is associated with </w:t>
      </w:r>
      <w:r w:rsidR="004C7024">
        <w:rPr>
          <w:rFonts w:ascii="Times New Roman" w:hAnsi="Times New Roman" w:cs="Times New Roman"/>
          <w:sz w:val="24"/>
          <w:szCs w:val="24"/>
        </w:rPr>
        <w:t xml:space="preserve">impaired </w:t>
      </w:r>
      <w:r w:rsidR="00D63DBE">
        <w:rPr>
          <w:rFonts w:ascii="Times New Roman" w:hAnsi="Times New Roman" w:cs="Times New Roman"/>
          <w:sz w:val="24"/>
          <w:szCs w:val="24"/>
        </w:rPr>
        <w:t>WM</w:t>
      </w:r>
      <w:r w:rsidR="004C7024">
        <w:rPr>
          <w:rFonts w:ascii="Times New Roman" w:hAnsi="Times New Roman" w:cs="Times New Roman"/>
          <w:sz w:val="24"/>
          <w:szCs w:val="24"/>
        </w:rPr>
        <w:t xml:space="preserve"> </w:t>
      </w:r>
      <w:r w:rsidR="001660EE">
        <w:rPr>
          <w:rFonts w:ascii="Times New Roman" w:hAnsi="Times New Roman" w:cs="Times New Roman"/>
          <w:sz w:val="24"/>
          <w:szCs w:val="24"/>
        </w:rPr>
        <w:t xml:space="preserve">three years later, </w:t>
      </w:r>
      <w:r w:rsidR="004C7024">
        <w:rPr>
          <w:rFonts w:ascii="Times New Roman" w:hAnsi="Times New Roman" w:cs="Times New Roman"/>
          <w:sz w:val="24"/>
          <w:szCs w:val="24"/>
        </w:rPr>
        <w:t xml:space="preserve">after adjusting for confounding variables. </w:t>
      </w:r>
      <w:r w:rsidR="00611328">
        <w:rPr>
          <w:rFonts w:ascii="Times New Roman" w:hAnsi="Times New Roman" w:cs="Times New Roman"/>
          <w:sz w:val="24"/>
          <w:szCs w:val="24"/>
        </w:rPr>
        <w:t xml:space="preserve">These findings have clinical </w:t>
      </w:r>
      <w:r w:rsidR="00994BB1">
        <w:rPr>
          <w:rFonts w:ascii="Times New Roman" w:hAnsi="Times New Roman" w:cs="Times New Roman"/>
          <w:sz w:val="24"/>
          <w:szCs w:val="24"/>
        </w:rPr>
        <w:t>and public health implications</w:t>
      </w:r>
      <w:r w:rsidR="002C1DB1">
        <w:rPr>
          <w:rFonts w:ascii="Times New Roman" w:hAnsi="Times New Roman" w:cs="Times New Roman"/>
          <w:sz w:val="24"/>
          <w:szCs w:val="24"/>
        </w:rPr>
        <w:t>. For example</w:t>
      </w:r>
      <w:r w:rsidR="00C51A9F">
        <w:rPr>
          <w:rFonts w:ascii="Times New Roman" w:hAnsi="Times New Roman" w:cs="Times New Roman"/>
          <w:sz w:val="24"/>
          <w:szCs w:val="24"/>
        </w:rPr>
        <w:t xml:space="preserve">, </w:t>
      </w:r>
      <w:r w:rsidR="00042C5C">
        <w:rPr>
          <w:rFonts w:ascii="Times New Roman" w:hAnsi="Times New Roman" w:cs="Times New Roman"/>
          <w:sz w:val="24"/>
          <w:szCs w:val="24"/>
        </w:rPr>
        <w:t>interventions</w:t>
      </w:r>
      <w:r w:rsidR="00C51A9F">
        <w:rPr>
          <w:rFonts w:ascii="Times New Roman" w:hAnsi="Times New Roman" w:cs="Times New Roman"/>
          <w:sz w:val="24"/>
          <w:szCs w:val="24"/>
        </w:rPr>
        <w:t xml:space="preserve"> aimed at </w:t>
      </w:r>
      <w:r w:rsidR="002C1DB1">
        <w:rPr>
          <w:rFonts w:ascii="Times New Roman" w:hAnsi="Times New Roman" w:cs="Times New Roman"/>
          <w:sz w:val="24"/>
          <w:szCs w:val="24"/>
        </w:rPr>
        <w:t>preventing alcohol use in adolescents</w:t>
      </w:r>
      <w:r w:rsidR="00AA557A">
        <w:rPr>
          <w:rFonts w:ascii="Times New Roman" w:hAnsi="Times New Roman" w:cs="Times New Roman"/>
          <w:sz w:val="24"/>
          <w:szCs w:val="24"/>
        </w:rPr>
        <w:t xml:space="preserve"> </w:t>
      </w:r>
      <w:r w:rsidR="00CA1E0D">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"10.1111/j.1360-0443.2009.02677.x", "ISSN" : "1360-0443 (Electronic)", "PMID" : "21265908", "abstract" : "AIMS: To evaluate the effectiveness of two preventive interventions to reduce heavy drinking in first- and second-year high school students. DESIGN AND SETTING: Cluster randomized controlled trial using four conditions for comparing two active interventions with a control group from 152 classes of 19 high schools in the Netherlands. PARTICIPANTS: A total of 3490 first-year high school students (mean 12.68 years, SD=0.51) and their parents. Intervention conditions (i) Parent intervention (modelled on the Swedish Orebro Prevention Program) aimed at encouraging parental rule-setting concerning their children's alcohol consumption; (ii) student intervention consisting of four digital lessons based on the principles of the theory of planned behaviour and social cognitive theory; (iii) interventions 1 and 2 combined; and (iv) the regular curriculum as control condition. Main outcome measures Incidence of (heavy) weekly alcohol use and frequency of monthly drinking at 10 and 22 months after baseline measurement. FINDINGS: A total of 2937 students were eligible for analyses in this study. At first follow-up, only the combined student-parent intervention showed substantial and statistically significant effects on heavy weekly drinking, weekly drinking and frequency of drinking. At second follow-up these results were replicated, except for the effects of the combined intervention on heavy weekly drinking. These findings were consistent across intention-to-treat and completers-only analyses. CONCLUSIONS: Results suggest that adolescents as well as their parents should be targeted in order to delay the onset of drinking, preferably prior to onset of weekly drinking.", "author" : [ { "dropping-particle" : "", "family" : "Koning", "given" : "Ina M", "non-dropping-particle" : "", "parse-names" : false, "suffix" : "" }, { "dropping-particle" : "", "family" : "Vollebergh", "given" : "Wilma A M", "non-dropping-particle" : "", "parse-names" : false, "suffix" : "" }, { "dropping-particle" : "", "family" : "Smit", "given" : "Filip", "non-dropping-particle" : "", "parse-names" : false, "suffix" : "" }, { "dropping-particle" : "", "family" : "Verdurmen", "given" : "Jacqueline E E", "non-dropping-particle" : "", "parse-names" : false, "suffix" : "" }, { "dropping-particle" : "", "family" : "Eijnden", "given" : "Regina J J M", "non-dropping-particle" : "Van Den", "parse-names" : false, "suffix" : "" }, { "dropping-particle" : "", "family" : "Bogt", "given" : "Tom F M", "non-dropping-particle" : "Ter", "parse-names" : false, "suffix" : "" }, { "dropping-particle" : "", "family" : "Stattin", "given" : "Hakan", "non-dropping-particle" : "", "parse-names" : false, "suffix" : "" }, { "dropping-particle" : "", "family" : "Engels", "given" : "Rutger C M E", "non-dropping-particle" : "", "parse-names" : false, "suffix" : "" } ], "container-title" : "Addiction", "id" : "ITEM-1", "issue" : "10", "issued" : { "date-parts" : [ [ "2009", "10" ] ] }, "language" : "ENG", "page" : "1669-1678", "publisher-place" : "England", "title" : "Preventing heavy alcohol use in adolescents (PAS): cluster randomized trial of a parent and student intervention offered separately and simultaneously.", "type" : "article-journal", "volume" : "104" }, "uris" : [ "http://www.mendeley.com/documents/?uuid=efa27c70-d1f3-47d3-b399-36c31970a9c1" ] } ], "mendeley" : { "formattedCitation" : "(Koning et al. 2009)", "manualFormatting" : "(e.g., Koning et al., 2009)", "plainTextFormattedCitation" : "(Koning et al. 2009)", "previouslyFormattedCitation" : "(Koning et al. 2009)" }, "properties" : { "noteIndex" : 0 }, "schema" : "https://github.com/citation-style-language/schema/raw/master/csl-citation.json" }</w:instrText>
      </w:r>
      <w:r w:rsidR="00CA1E0D">
        <w:rPr>
          <w:rFonts w:ascii="Times New Roman" w:hAnsi="Times New Roman" w:cs="Times New Roman"/>
          <w:sz w:val="24"/>
          <w:szCs w:val="24"/>
        </w:rPr>
        <w:fldChar w:fldCharType="separate"/>
      </w:r>
      <w:r w:rsidR="00C74B10" w:rsidRPr="00C74B10">
        <w:rPr>
          <w:rFonts w:ascii="Times New Roman" w:hAnsi="Times New Roman" w:cs="Times New Roman"/>
          <w:noProof/>
          <w:sz w:val="24"/>
          <w:szCs w:val="24"/>
        </w:rPr>
        <w:t>(</w:t>
      </w:r>
      <w:r w:rsidR="002C1DB1">
        <w:rPr>
          <w:rFonts w:ascii="Times New Roman" w:hAnsi="Times New Roman" w:cs="Times New Roman"/>
          <w:noProof/>
          <w:sz w:val="24"/>
          <w:szCs w:val="24"/>
        </w:rPr>
        <w:t xml:space="preserve">e.g., </w:t>
      </w:r>
      <w:r w:rsidR="00C74B10" w:rsidRPr="00C74B10">
        <w:rPr>
          <w:rFonts w:ascii="Times New Roman" w:hAnsi="Times New Roman" w:cs="Times New Roman"/>
          <w:noProof/>
          <w:sz w:val="24"/>
          <w:szCs w:val="24"/>
        </w:rPr>
        <w:t>Koning et al., 2009)</w:t>
      </w:r>
      <w:r w:rsidR="00CA1E0D">
        <w:rPr>
          <w:rFonts w:ascii="Times New Roman" w:hAnsi="Times New Roman" w:cs="Times New Roman"/>
          <w:sz w:val="24"/>
          <w:szCs w:val="24"/>
        </w:rPr>
        <w:fldChar w:fldCharType="end"/>
      </w:r>
      <w:r w:rsidR="00042C5C">
        <w:rPr>
          <w:rFonts w:ascii="Times New Roman" w:hAnsi="Times New Roman" w:cs="Times New Roman"/>
          <w:sz w:val="24"/>
          <w:szCs w:val="24"/>
        </w:rPr>
        <w:t xml:space="preserve"> might be effective in reducing impairments in WM</w:t>
      </w:r>
      <w:r w:rsidR="00994BB1">
        <w:rPr>
          <w:rFonts w:ascii="Times New Roman" w:hAnsi="Times New Roman" w:cs="Times New Roman"/>
          <w:sz w:val="24"/>
          <w:szCs w:val="24"/>
        </w:rPr>
        <w:t>.</w:t>
      </w:r>
      <w:r w:rsidR="005B74EE">
        <w:rPr>
          <w:rFonts w:ascii="Times New Roman" w:hAnsi="Times New Roman" w:cs="Times New Roman"/>
          <w:sz w:val="24"/>
          <w:szCs w:val="24"/>
        </w:rPr>
        <w:t xml:space="preserve"> In particular, a combined parent and student intervention was the most effective in reducing the onset of weekly alcohol use and frequency of drinking.</w:t>
      </w:r>
      <w:r w:rsidR="006F2CCB">
        <w:rPr>
          <w:rFonts w:ascii="Times New Roman" w:hAnsi="Times New Roman" w:cs="Times New Roman"/>
          <w:sz w:val="24"/>
          <w:szCs w:val="24"/>
        </w:rPr>
        <w:t xml:space="preserve"> </w:t>
      </w:r>
      <w:r w:rsidR="00CE0B73">
        <w:rPr>
          <w:rFonts w:ascii="Times New Roman" w:hAnsi="Times New Roman" w:cs="Times New Roman"/>
          <w:sz w:val="24"/>
          <w:szCs w:val="24"/>
        </w:rPr>
        <w:t xml:space="preserve">One advantage is that interventions can </w:t>
      </w:r>
      <w:r w:rsidR="00DB23DF">
        <w:rPr>
          <w:rFonts w:ascii="Times New Roman" w:hAnsi="Times New Roman" w:cs="Times New Roman"/>
          <w:sz w:val="24"/>
          <w:szCs w:val="24"/>
        </w:rPr>
        <w:t xml:space="preserve">yield beneficial effects on alcohol related outcomes for adolescents even </w:t>
      </w:r>
      <w:r w:rsidR="00CE0B73">
        <w:rPr>
          <w:rFonts w:ascii="Times New Roman" w:hAnsi="Times New Roman" w:cs="Times New Roman"/>
          <w:sz w:val="24"/>
          <w:szCs w:val="24"/>
        </w:rPr>
        <w:t xml:space="preserve">when delivered at young ages </w:t>
      </w:r>
      <w:r w:rsidR="00681350">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"DOI" : "10.1016/j.jsat.2014.09.001", "ISBN" : "0324141122", "ISSN" : "18736483", "PMID" : "25300577", "abstract" : "This study reports findings from a meta-analysis summarizing the effectiveness of brief alcohol interventions for adolescents (age 11-18) and young adults (age 19-30). We identified 185 eligible study samples using a comprehensive literature search and synthesized findings using random-effects meta-analyses with robust standard errors. Overall, brief alcohol interventions led to significant reductions in alcohol consumption and alcohol-related problems among adolescents (g = 0.27 and g  = 0.19) and young adults (g = 0.17 and g = 0.11). These effects persisted for up to 1. year after intervention and did not vary across participant demographics, intervention length, or intervention format. However, certain intervention modalities (e.g., motivational interviewing) and components (e.g., decisional balance, goal-setting exercises) were associated with larger effects. We conclude that brief alcohol interventions yield beneficial effects on alcohol-related outcomes for adolescents and young adults that are modest but potentially worthwhile given their brevity and low cost.", "author" : [ { "dropping-particle" : "", "family" : "Tanner-Smith", "given" : "Emily E.", "non-dropping-particle" : "", "parse-names" : false, "suffix" : "" }, { "dropping-particle" : "", "family" : "Lipsey", "given" : "Mark W.", "non-dropping-particle" : "", "parse-names" : false, "suffix" : "" } ], "container-title" : "Journal of Substance Abuse Treatment", "id" : "ITEM-1", "issued" : { "date-parts" : [ [ "2015" ] ] }, "page" : "1-18", "publisher" : "Elsevier Inc.", "title" : "Brief alcohol interventions for adolescents and young adults: A systematic review and meta-analysis", "type" : "article-journal", "volume" : "51" }, "uris" : [ "http://www.mendeley.com/documents/?uuid=b3f37bfb-6a1c-4393-900b-6d199b256d53" ] } ], "mendeley" : { "formattedCitation" : "(Tanner-Smith &amp; Lipsey 2015)", "plainTextFormattedCitation" : "(Tanner-Smith &amp; Lipsey 2015)", "previouslyFormattedCitation" : "(Tanner-Smith &amp; Lipsey 2015)" }, "properties" : { "noteIndex" : 0 }, "schema" : "https://github.com/citation-style-language/schema/raw/master/csl-citation.json" }</w:instrText>
      </w:r>
      <w:r w:rsidR="00681350">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(Tanner-Smith &amp; Lipsey 2015)</w:t>
      </w:r>
      <w:r w:rsidR="00681350">
        <w:rPr>
          <w:rFonts w:ascii="Times New Roman" w:hAnsi="Times New Roman" w:cs="Times New Roman"/>
          <w:sz w:val="24"/>
          <w:szCs w:val="24"/>
        </w:rPr>
        <w:fldChar w:fldCharType="end"/>
      </w:r>
      <w:r w:rsidR="007C3FD5">
        <w:rPr>
          <w:rFonts w:ascii="Times New Roman" w:hAnsi="Times New Roman" w:cs="Times New Roman"/>
          <w:sz w:val="24"/>
          <w:szCs w:val="24"/>
        </w:rPr>
        <w:t>.</w:t>
      </w:r>
      <w:r w:rsidR="00866D1D">
        <w:rPr>
          <w:rFonts w:ascii="Times New Roman" w:hAnsi="Times New Roman" w:cs="Times New Roman"/>
          <w:sz w:val="24"/>
          <w:szCs w:val="24"/>
        </w:rPr>
        <w:t xml:space="preserve"> </w:t>
      </w:r>
      <w:r w:rsidR="00CF1E40">
        <w:rPr>
          <w:rFonts w:ascii="Times New Roman" w:hAnsi="Times New Roman" w:cs="Times New Roman"/>
          <w:sz w:val="24"/>
          <w:szCs w:val="24"/>
        </w:rPr>
        <w:t>Although i</w:t>
      </w:r>
      <w:r w:rsidR="00CC1C0F">
        <w:rPr>
          <w:rFonts w:ascii="Times New Roman" w:hAnsi="Times New Roman" w:cs="Times New Roman"/>
          <w:sz w:val="24"/>
          <w:szCs w:val="24"/>
        </w:rPr>
        <w:t xml:space="preserve">t is difficult to </w:t>
      </w:r>
      <w:r w:rsidR="00191890">
        <w:rPr>
          <w:rFonts w:ascii="Times New Roman" w:hAnsi="Times New Roman" w:cs="Times New Roman"/>
          <w:sz w:val="24"/>
          <w:szCs w:val="24"/>
        </w:rPr>
        <w:t xml:space="preserve">quantify the </w:t>
      </w:r>
      <w:r w:rsidR="00CF1E40">
        <w:rPr>
          <w:rFonts w:ascii="Times New Roman" w:hAnsi="Times New Roman" w:cs="Times New Roman"/>
          <w:sz w:val="24"/>
          <w:szCs w:val="24"/>
        </w:rPr>
        <w:t xml:space="preserve">meaning </w:t>
      </w:r>
      <w:r w:rsidR="00CC1C0F">
        <w:rPr>
          <w:rFonts w:ascii="Times New Roman" w:hAnsi="Times New Roman" w:cs="Times New Roman"/>
          <w:sz w:val="24"/>
          <w:szCs w:val="24"/>
        </w:rPr>
        <w:t>of the deficit in</w:t>
      </w:r>
      <w:r w:rsidR="008224D7">
        <w:rPr>
          <w:rFonts w:ascii="Times New Roman" w:hAnsi="Times New Roman" w:cs="Times New Roman"/>
          <w:sz w:val="24"/>
          <w:szCs w:val="24"/>
        </w:rPr>
        <w:t xml:space="preserve"> WM in</w:t>
      </w:r>
      <w:r w:rsidR="00CC1C0F">
        <w:rPr>
          <w:rFonts w:ascii="Times New Roman" w:hAnsi="Times New Roman" w:cs="Times New Roman"/>
          <w:sz w:val="24"/>
          <w:szCs w:val="24"/>
        </w:rPr>
        <w:t xml:space="preserve"> practical terms, deficits in WM have </w:t>
      </w:r>
      <w:r w:rsidR="00CC1C0F">
        <w:rPr>
          <w:rFonts w:ascii="Times New Roman" w:hAnsi="Times New Roman" w:cs="Times New Roman"/>
          <w:sz w:val="24"/>
          <w:szCs w:val="24"/>
        </w:rPr>
        <w:lastRenderedPageBreak/>
        <w:t xml:space="preserve">been shown to be related to academic achievement </w:t>
      </w:r>
      <w:r w:rsidR="004738C7">
        <w:rPr>
          <w:rFonts w:ascii="Times New Roman" w:hAnsi="Times New Roman" w:cs="Times New Roman"/>
          <w:sz w:val="24"/>
          <w:szCs w:val="24"/>
        </w:rPr>
        <w:fldChar w:fldCharType="begin" w:fldLock="1"/>
      </w:r>
      <w:r w:rsidR="00A24458">
        <w:rPr>
          <w:rFonts w:ascii="Times New Roman" w:hAnsi="Times New Roman" w:cs="Times New Roman"/>
          <w:sz w:val="24"/>
          <w:szCs w:val="24"/>
        </w:rPr>
        <w:instrText>ADDIN CSL_CITATION { "citationItems" : [ { "id" : "ITEM-1", "itemData" : { "DOI" : "10.1002/acp.934", "ISBN" : "08884080", "ISSN" : "08884080", "PMID" : "11818510", "abstract" : "The relationship between working memory skills and performance on national curriculum assessments in English, mathematics and science was explored in groups of children aged 7 and 14 years. At 7 years, children's levels of attainment in both English and mathematics were significantly associated with working memory scores, and in particular with performance on complex span tasks. At 14 years, strong links persisted between the complex working memory test scores and attainments levels in both mathematics and science, although ability in the English assessments showed no strong association with working memory skill. The results suggest that the intellectual operations required in the curriculum areas of mathematics and science are constrained by the general capacity of working memory across the childhood years. However, whereas success in the acquisition in literacy (tapped by the English assessments at the youngest age) was also linked with working memory capacity, achievements in the higher-level skills of comprehension and analysis of English literature assessed at 14 years were independent of working memory capacity.", "author" : [ { "dropping-particle" : "", "family" : "Gathercole", "given" : "Susan E.", "non-dropping-particle" : "", "parse-names" : false, "suffix" : "" }, { "dropping-particle" : "", "family" : "Pickering", "given" : "Susan J.", "non-dropping-particle" : "", "parse-names" : false, "suffix" : "" }, { "dropping-particle" : "", "family" : "Knight", "given" : "Camilla", "non-dropping-particle" : "", "parse-names" : false, "suffix" : "" }, { "dropping-particle" : "", "family" : "Stegmann", "given" : "Zoe", "non-dropping-particle" : "", "parse-names" : false, "suffix" : "" } ], "container-title" : "Applied Cognitive Psychology", "id" : "ITEM-1", "issue" : "1", "issued" : { "date-parts" : [ [ "2004" ] ] }, "page" : "1-16", "title" : "Working memory skills and educational attainment: Evidence from national curriculum assessments at 7 and 14 years of age", "type" : "article-journal", "volume" : "18" }, "uris" : [ "http://www.mendeley.com/documents/?uuid=c0ee289a-e29c-4517-b2df-fe7eddf1bb6f" ] } ], "mendeley" : { "formattedCitation" : "(Gathercole et al. 2004)", "plainTextFormattedCitation" : "(Gathercole et al. 2004)", "previouslyFormattedCitation" : "(Gathercole et al. 2004)" }, "properties" : { "noteIndex" : 0 }, "schema" : "https://github.com/citation-style-language/schema/raw/master/csl-citation.json" }</w:instrText>
      </w:r>
      <w:r w:rsidR="004738C7">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(Gathercole et al. 2004)</w:t>
      </w:r>
      <w:r w:rsidR="004738C7">
        <w:rPr>
          <w:rFonts w:ascii="Times New Roman" w:hAnsi="Times New Roman" w:cs="Times New Roman"/>
          <w:sz w:val="24"/>
          <w:szCs w:val="24"/>
        </w:rPr>
        <w:fldChar w:fldCharType="end"/>
      </w:r>
      <w:r w:rsidR="004B0DAA">
        <w:rPr>
          <w:rFonts w:ascii="Times New Roman" w:hAnsi="Times New Roman" w:cs="Times New Roman"/>
          <w:sz w:val="24"/>
          <w:szCs w:val="24"/>
        </w:rPr>
        <w:t>,</w:t>
      </w:r>
      <w:r w:rsidR="00CC1C0F">
        <w:rPr>
          <w:rFonts w:ascii="Times New Roman" w:hAnsi="Times New Roman" w:cs="Times New Roman"/>
          <w:sz w:val="24"/>
          <w:szCs w:val="24"/>
        </w:rPr>
        <w:t xml:space="preserve"> and </w:t>
      </w:r>
      <w:r w:rsidR="004B0DAA">
        <w:rPr>
          <w:rFonts w:ascii="Times New Roman" w:hAnsi="Times New Roman" w:cs="Times New Roman"/>
          <w:sz w:val="24"/>
          <w:szCs w:val="24"/>
        </w:rPr>
        <w:t xml:space="preserve">impulsivity and </w:t>
      </w:r>
      <w:r w:rsidR="00CC1C0F">
        <w:rPr>
          <w:rFonts w:ascii="Times New Roman" w:hAnsi="Times New Roman" w:cs="Times New Roman"/>
          <w:sz w:val="24"/>
          <w:szCs w:val="24"/>
        </w:rPr>
        <w:t>risk-taking behaviours</w:t>
      </w:r>
      <w:r w:rsidR="00681350">
        <w:rPr>
          <w:rFonts w:ascii="Times New Roman" w:hAnsi="Times New Roman" w:cs="Times New Roman"/>
          <w:sz w:val="24"/>
          <w:szCs w:val="24"/>
        </w:rPr>
        <w:t xml:space="preserve"> </w:t>
      </w:r>
      <w:r w:rsidR="00681350">
        <w:rPr>
          <w:rFonts w:ascii="Times New Roman" w:hAnsi="Times New Roman" w:cs="Times New Roman"/>
          <w:sz w:val="24"/>
          <w:szCs w:val="24"/>
        </w:rPr>
        <w:fldChar w:fldCharType="begin" w:fldLock="1"/>
      </w:r>
      <w:r w:rsidR="0064549F">
        <w:rPr>
          <w:rFonts w:ascii="Times New Roman" w:hAnsi="Times New Roman" w:cs="Times New Roman"/>
          <w:sz w:val="24"/>
          <w:szCs w:val="24"/>
        </w:rPr>
        <w:instrText>ADDIN CSL_CITATION { "citationItems" : [ { "id" : "ITEM-1", "itemData" : { "DOI" : "10.1111/add.12001", "ISSN" : "1360-0443 (Electronic)", "PMID" : "23033972", "abstract" : "AIMS: (i) To evaluate the role of pre-existing weakness in working memory ability (WM) as a risk factor for early alcohol use as mediated by different forms of impulsivity and (ii) to assess the adverse effects of progressive alcohol use on variations in WM over time. DESIGN, SETTING AND PARTICIPANTS: A community sample of 358 adolescents [48% males, mean(age) (baseline) = 11.4 +/- 0.87 years] from a longitudinal cohort design, assessed annually over 4 consecutive years with less than 6% attrition. MEASUREMENTS: Repeated assessments were conducted for the following key variables: WM (based on performance on four separate tasks), frequency of alcohol use (AU) and three forms of impulsivity, namely sensation seeking (SS), acting without thinking (AWT) and delay discounting (DD). Latent growth curve modeling procedures were used to identify individual trajectories of change for all key variables. FINDINGS: Weakness in WM (at baseline) predicted significantly both concurrent alcohol use and increased frequency of use over the four waves (P &lt; 0.05). This effect was entirely mediated by two forms of impulsivity, AWT and DD, both of which were characterized by underlying weakness in WM. No individual variation was observed in the slopes of WM, which suggests that individual variations in alcohol use were not associated with changes in WM in our early adolescent sample. CONCLUSIONS: Early adolescent alcohol use may be a consequence of (pre-existing) weaknesses in working memory (WM) rather than a cause of it. Efforts to reduce early alcohol use should consider the distinct roles of different impulsivity dimensions, in addition to WM, as potential targets of intervention.", "author" : [ { "dropping-particle" : "", "family" : "Khurana", "given" : "Atika", "non-dropping-particle" : "", "parse-names" : false, "suffix" : "" }, { "dropping-particle" : "", "family" : "Romer", "given" : "Dan", "non-dropping-particle" : "", "parse-names" : false, "suffix" : "" }, { "dropping-particle" : "", "family" : "Betancourt", "given" : "Laura M", "non-dropping-particle" : "", "parse-names" : false, "suffix" : "" }, { "dropping-particle" : "", "family" : "Brodsky", "given" : "Nancy L", "non-dropping-particle" : "", "parse-names" : false, "suffix" : "" }, { "dropping-particle" : "", "family" : "Giannetta", "given" : "Joan M", "non-dropping-particle" : "", "parse-names" : false, "suffix" : "" }, { "dropping-particle" : "", "family" : "Hurt", "given" : "Hallam", "non-dropping-particle" : "", "parse-names" : false, "suffix" : "" } ], "container-title" : "Addiction", "id" : "ITEM-1", "issue" : "3", "issued" : { "date-parts" : [ [ "2013", "3" ] ] }, "language" : "ENG", "page" : "506-515", "publisher-place" : "England", "title" : "Working memory ability predicts trajectories of early alcohol use in adolescents: the mediational role of impulsivity.", "type" : "article-journal", "volume" : "108" }, "uris" : [ "http://www.mendeley.com/documents/?uuid=1dfd9236-36b3-47bd-a6c3-d49a2deddada" ] }, { "id" : "ITEM-2", "itemData" : { "DOI" : "10.1017/S0954579414000765", "ISSN" : "1469-2198 (Electronic)", "PMID" : "25154377", "abstract" : "Based on an emerging neuroscience model of addiction, this study examines how an imbalance between two neurobehavioral systems (reward motivation and executive control) can distinguish between early adolescent progressive drug use and mere experimentation with drugs. Data from four annual assessments of a community cohort (N = 382) of 11- to 13-year-olds were analyzed to model heterogeneity in patterns of early drug use. Baseline assessments of working memory (an indicator of the functional integrity of the executive control system) and three dimensions of impulsivity (characterizing the balance between reward seeking and executive control systems) were used to predict heterogeneous latent classes of drug use trajectories from early to midadolescence. Findings revealed that an imbalance resulting from weak executive control and heightened reward seeking was predictive of early progression in drug use, while heightened reward seeking balanced by a strong control system was predictive of occasional experimentation only. Implications of these results are discussed in terms of preventive interventions that can target underlying weaknesses in executive control during younger years, and potentially enable at-risk adolescents to exercise greater self-restraint in the context of rewarding drug-related cues.", "author" : [ { "dropping-particle" : "", "family" : "Khurana", "given" : "Atika", "non-dropping-particle" : "", "parse-names" : false, "suffix" : "" }, { "dropping-particle" : "", "family" : "Romer", "given" : "Daniel", "non-dropping-particle" : "", "parse-names" : false, "suffix" : "" }, { "dropping-particle" : "", "family" : "Betancourt", "given" : "Laura M", "non-dropping-particle" : "", "parse-names" : false, "suffix" : "" }, { "dropping-particle" : "", "family" : "Brodsky", "given" : "Nancy L", "non-dropping-particle" : "", "parse-names" : false, "suffix" : "" }, { "dropping-particle" : "", "family" : "Giannetta", "given" : "Joan M", "non-dropping-particle" : "", "parse-names" : false, "suffix" : "" }, { "dropping-particle" : "", "family" : "Hurt", "given" : "Hallam", "non-dropping-particle" : "", "parse-names" : false, "suffix" : "" } ], "container-title" : "Development and Psychopathology", "id" : "ITEM-2", "issue" : "3", "issued" : { "date-parts" : [ [ "2015", "8" ] ] }, "language" : "eng", "page" : "901-913", "publisher-place" : "United States", "title" : "Experimentation versus progression in adolescent drug use: A test of an emerging neurobehavioral imbalance model.", "type" : "article-journal", "volume" : "27" }, "uris" : [ "http://www.mendeley.com/documents/?uuid=3c4f4510-8978-4d08-8dbe-2acc50bebadc" ] } ], "mendeley" : { "formattedCitation" : "(Khurana et al. 2013; Khurana et al. 2015)", "plainTextFormattedCitation" : "(Khurana et al. 2013; Khurana et al. 2015)", "previouslyFormattedCitation" : "(Khurana et al. 2013; Khurana et al. 2015)" }, "properties" : { "noteIndex" : 0 }, "schema" : "https://github.com/citation-style-language/schema/raw/master/csl-citation.json" }</w:instrText>
      </w:r>
      <w:r w:rsidR="00681350">
        <w:rPr>
          <w:rFonts w:ascii="Times New Roman" w:hAnsi="Times New Roman" w:cs="Times New Roman"/>
          <w:sz w:val="24"/>
          <w:szCs w:val="24"/>
        </w:rPr>
        <w:fldChar w:fldCharType="separate"/>
      </w:r>
      <w:r w:rsidR="00686293" w:rsidRPr="00686293">
        <w:rPr>
          <w:rFonts w:ascii="Times New Roman" w:hAnsi="Times New Roman" w:cs="Times New Roman"/>
          <w:noProof/>
          <w:sz w:val="24"/>
          <w:szCs w:val="24"/>
        </w:rPr>
        <w:t>(Khurana et al. 2013; Khurana et al. 2015)</w:t>
      </w:r>
      <w:r w:rsidR="00681350">
        <w:rPr>
          <w:rFonts w:ascii="Times New Roman" w:hAnsi="Times New Roman" w:cs="Times New Roman"/>
          <w:sz w:val="24"/>
          <w:szCs w:val="24"/>
        </w:rPr>
        <w:fldChar w:fldCharType="end"/>
      </w:r>
      <w:r w:rsidR="008224D7">
        <w:rPr>
          <w:rFonts w:ascii="Times New Roman" w:hAnsi="Times New Roman" w:cs="Times New Roman"/>
          <w:sz w:val="24"/>
          <w:szCs w:val="24"/>
        </w:rPr>
        <w:t xml:space="preserve"> in adolescents</w:t>
      </w:r>
      <w:r w:rsidR="00CC1C0F">
        <w:rPr>
          <w:rFonts w:ascii="Times New Roman" w:hAnsi="Times New Roman" w:cs="Times New Roman"/>
          <w:sz w:val="24"/>
          <w:szCs w:val="24"/>
        </w:rPr>
        <w:t xml:space="preserve">. </w:t>
      </w:r>
      <w:r w:rsidR="003D228F">
        <w:rPr>
          <w:rFonts w:ascii="Times New Roman" w:hAnsi="Times New Roman" w:cs="Times New Roman"/>
          <w:sz w:val="24"/>
          <w:szCs w:val="24"/>
        </w:rPr>
        <w:t xml:space="preserve">Given the impact that cigarette and cannabis use had on the association between alcohol use and WM, it may be important to include these in future studies. </w:t>
      </w:r>
      <w:r w:rsidR="00DD668B">
        <w:rPr>
          <w:rFonts w:ascii="Times New Roman" w:hAnsi="Times New Roman" w:cs="Times New Roman"/>
          <w:sz w:val="24"/>
          <w:szCs w:val="24"/>
        </w:rPr>
        <w:t xml:space="preserve">Future research should explore possible mechanisms </w:t>
      </w:r>
      <w:r w:rsidR="00980263">
        <w:rPr>
          <w:rFonts w:ascii="Times New Roman" w:hAnsi="Times New Roman" w:cs="Times New Roman"/>
          <w:sz w:val="24"/>
          <w:szCs w:val="24"/>
        </w:rPr>
        <w:t xml:space="preserve">underlying this association </w:t>
      </w:r>
      <w:r w:rsidR="00DD668B">
        <w:rPr>
          <w:rFonts w:ascii="Times New Roman" w:hAnsi="Times New Roman" w:cs="Times New Roman"/>
          <w:sz w:val="24"/>
          <w:szCs w:val="24"/>
        </w:rPr>
        <w:t xml:space="preserve">and examine whether these associations </w:t>
      </w:r>
      <w:r w:rsidR="00E03142">
        <w:rPr>
          <w:rFonts w:ascii="Times New Roman" w:hAnsi="Times New Roman" w:cs="Times New Roman"/>
          <w:sz w:val="24"/>
          <w:szCs w:val="24"/>
        </w:rPr>
        <w:t xml:space="preserve">persist </w:t>
      </w:r>
      <w:r w:rsidR="00DD668B">
        <w:rPr>
          <w:rFonts w:ascii="Times New Roman" w:hAnsi="Times New Roman" w:cs="Times New Roman"/>
          <w:sz w:val="24"/>
          <w:szCs w:val="24"/>
        </w:rPr>
        <w:t xml:space="preserve">into adulthood. </w:t>
      </w:r>
    </w:p>
    <w:p w14:paraId="4CFCF548" w14:textId="64E5A53A" w:rsidR="000C2243" w:rsidRDefault="000C2243" w:rsidP="001A272D">
      <w:pPr>
        <w:pStyle w:val="NormalWeb"/>
        <w:spacing w:line="480" w:lineRule="auto"/>
        <w:ind w:left="480" w:hanging="480"/>
        <w:divId w:val="1957908524"/>
        <w:rPr>
          <w:b/>
        </w:rPr>
      </w:pPr>
    </w:p>
    <w:p w14:paraId="59008247" w14:textId="13297ABB" w:rsidR="00F62A76" w:rsidRDefault="00F62A76" w:rsidP="001A272D">
      <w:pPr>
        <w:pStyle w:val="NormalWeb"/>
        <w:spacing w:line="480" w:lineRule="auto"/>
        <w:ind w:left="480" w:hanging="480"/>
        <w:divId w:val="1957908524"/>
        <w:rPr>
          <w:b/>
        </w:rPr>
      </w:pPr>
    </w:p>
    <w:p w14:paraId="39561F1E" w14:textId="363D753A" w:rsidR="00F62A76" w:rsidRDefault="00F62A76" w:rsidP="001A272D">
      <w:pPr>
        <w:pStyle w:val="NormalWeb"/>
        <w:spacing w:line="480" w:lineRule="auto"/>
        <w:ind w:left="480" w:hanging="480"/>
        <w:divId w:val="1957908524"/>
        <w:rPr>
          <w:b/>
        </w:rPr>
      </w:pPr>
    </w:p>
    <w:p w14:paraId="4746E82A" w14:textId="15EAA076" w:rsidR="00F62A76" w:rsidRDefault="00F62A76" w:rsidP="001A272D">
      <w:pPr>
        <w:pStyle w:val="NormalWeb"/>
        <w:spacing w:line="480" w:lineRule="auto"/>
        <w:ind w:left="480" w:hanging="480"/>
        <w:divId w:val="1957908524"/>
        <w:rPr>
          <w:b/>
        </w:rPr>
      </w:pPr>
    </w:p>
    <w:p w14:paraId="651A991F" w14:textId="12B74D6B" w:rsidR="00DD14E0" w:rsidRDefault="00DD14E0" w:rsidP="001A272D">
      <w:pPr>
        <w:pStyle w:val="NormalWeb"/>
        <w:spacing w:line="480" w:lineRule="auto"/>
        <w:ind w:left="480" w:hanging="480"/>
        <w:divId w:val="1957908524"/>
        <w:rPr>
          <w:b/>
        </w:rPr>
      </w:pPr>
    </w:p>
    <w:p w14:paraId="1D21C828" w14:textId="6DB789F3" w:rsidR="00185DC1" w:rsidRDefault="00185DC1" w:rsidP="001A272D">
      <w:pPr>
        <w:pStyle w:val="NormalWeb"/>
        <w:spacing w:line="480" w:lineRule="auto"/>
        <w:ind w:left="480" w:hanging="480"/>
        <w:divId w:val="1957908524"/>
        <w:rPr>
          <w:b/>
        </w:rPr>
      </w:pPr>
    </w:p>
    <w:p w14:paraId="3534316E" w14:textId="31966F79" w:rsidR="008C4385" w:rsidRDefault="008C4385" w:rsidP="001A272D">
      <w:pPr>
        <w:pStyle w:val="NormalWeb"/>
        <w:spacing w:line="480" w:lineRule="auto"/>
        <w:ind w:left="480" w:hanging="480"/>
        <w:divId w:val="1957908524"/>
        <w:rPr>
          <w:b/>
        </w:rPr>
      </w:pPr>
    </w:p>
    <w:p w14:paraId="733F30F9" w14:textId="4BAAF2F2" w:rsidR="008C4385" w:rsidRDefault="008C4385" w:rsidP="001A272D">
      <w:pPr>
        <w:pStyle w:val="NormalWeb"/>
        <w:spacing w:line="480" w:lineRule="auto"/>
        <w:ind w:left="480" w:hanging="480"/>
        <w:divId w:val="1957908524"/>
        <w:rPr>
          <w:b/>
        </w:rPr>
      </w:pPr>
    </w:p>
    <w:p w14:paraId="78371D08" w14:textId="66F36328" w:rsidR="008C4385" w:rsidRDefault="008C4385" w:rsidP="001A272D">
      <w:pPr>
        <w:pStyle w:val="NormalWeb"/>
        <w:spacing w:line="480" w:lineRule="auto"/>
        <w:ind w:left="480" w:hanging="480"/>
        <w:divId w:val="1957908524"/>
        <w:rPr>
          <w:b/>
        </w:rPr>
      </w:pPr>
    </w:p>
    <w:p w14:paraId="222FD85D" w14:textId="712E06C2" w:rsidR="001A6F69" w:rsidRDefault="001A6F69" w:rsidP="001A272D">
      <w:pPr>
        <w:pStyle w:val="NormalWeb"/>
        <w:spacing w:line="480" w:lineRule="auto"/>
        <w:ind w:left="480" w:hanging="480"/>
        <w:divId w:val="1957908524"/>
        <w:rPr>
          <w:b/>
        </w:rPr>
      </w:pPr>
    </w:p>
    <w:p w14:paraId="0DC627A8" w14:textId="5EE0222B" w:rsidR="001A6F69" w:rsidRDefault="001A6F69" w:rsidP="001A272D">
      <w:pPr>
        <w:pStyle w:val="NormalWeb"/>
        <w:spacing w:line="480" w:lineRule="auto"/>
        <w:ind w:left="480" w:hanging="480"/>
        <w:divId w:val="1957908524"/>
        <w:rPr>
          <w:b/>
        </w:rPr>
      </w:pPr>
    </w:p>
    <w:p w14:paraId="578BBE69" w14:textId="77777777" w:rsidR="001A6F69" w:rsidRDefault="001A6F69" w:rsidP="001A272D">
      <w:pPr>
        <w:pStyle w:val="NormalWeb"/>
        <w:spacing w:line="480" w:lineRule="auto"/>
        <w:ind w:left="480" w:hanging="480"/>
        <w:divId w:val="1957908524"/>
        <w:rPr>
          <w:b/>
        </w:rPr>
      </w:pPr>
    </w:p>
    <w:p w14:paraId="32DA01D4" w14:textId="5717B89D" w:rsidR="008C4385" w:rsidRDefault="008C4385" w:rsidP="001A272D">
      <w:pPr>
        <w:pStyle w:val="NormalWeb"/>
        <w:spacing w:line="480" w:lineRule="auto"/>
        <w:ind w:left="480" w:hanging="480"/>
        <w:divId w:val="1957908524"/>
        <w:rPr>
          <w:b/>
        </w:rPr>
      </w:pPr>
    </w:p>
    <w:p w14:paraId="754C595B" w14:textId="1FF085CA" w:rsidR="009A2C03" w:rsidRDefault="002A7563" w:rsidP="001A272D">
      <w:pPr>
        <w:pStyle w:val="NormalWeb"/>
        <w:spacing w:line="480" w:lineRule="auto"/>
        <w:ind w:left="480" w:hanging="480"/>
        <w:divId w:val="1957908524"/>
        <w:rPr>
          <w:b/>
        </w:rPr>
      </w:pPr>
      <w:r>
        <w:rPr>
          <w:b/>
        </w:rPr>
        <w:lastRenderedPageBreak/>
        <w:t xml:space="preserve">REFERENCES </w:t>
      </w:r>
    </w:p>
    <w:p w14:paraId="3DE99881" w14:textId="6C095358" w:rsidR="00662A69" w:rsidRPr="00662A69" w:rsidRDefault="009A2C03"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Pr>
          <w:b/>
        </w:rPr>
        <w:fldChar w:fldCharType="begin" w:fldLock="1"/>
      </w:r>
      <w:r>
        <w:rPr>
          <w:b/>
        </w:rPr>
        <w:instrText xml:space="preserve">ADDIN Mendeley Bibliography CSL_BIBLIOGRAPHY </w:instrText>
      </w:r>
      <w:r>
        <w:rPr>
          <w:b/>
        </w:rPr>
        <w:fldChar w:fldCharType="separate"/>
      </w:r>
      <w:r w:rsidR="00662A69" w:rsidRPr="00662A69">
        <w:rPr>
          <w:rFonts w:ascii="Times New Roman" w:hAnsi="Times New Roman" w:cs="Times New Roman"/>
          <w:noProof/>
          <w:sz w:val="24"/>
          <w:szCs w:val="24"/>
        </w:rPr>
        <w:t xml:space="preserve">Alloway, T.P., Gathercole, S.E. &amp; Pickering, S.J., 2006. Verbal and visuospatial short-term and working memory in children: Are they separable? </w:t>
      </w:r>
      <w:r w:rsidR="00662A69" w:rsidRPr="00662A69">
        <w:rPr>
          <w:rFonts w:ascii="Times New Roman" w:hAnsi="Times New Roman" w:cs="Times New Roman"/>
          <w:i/>
          <w:iCs/>
          <w:noProof/>
          <w:sz w:val="24"/>
          <w:szCs w:val="24"/>
        </w:rPr>
        <w:t>Child Development</w:t>
      </w:r>
      <w:r w:rsidR="00662A69" w:rsidRPr="00662A69">
        <w:rPr>
          <w:rFonts w:ascii="Times New Roman" w:hAnsi="Times New Roman" w:cs="Times New Roman"/>
          <w:noProof/>
          <w:sz w:val="24"/>
          <w:szCs w:val="24"/>
        </w:rPr>
        <w:t>, 77(6), pp.1698–1716.</w:t>
      </w:r>
    </w:p>
    <w:p w14:paraId="458C5F5C"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Amos, A. et al., 2004. “You can”t go without a fag...you need it for your hash’--a qualitative exploration of smoking, cannabis and young people.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99(1), pp.77–81.</w:t>
      </w:r>
    </w:p>
    <w:p w14:paraId="353325BD"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De Bellis, M.D. et al., 2000. Hippocampal volume in adolescent-onset alcohol use disorders. </w:t>
      </w:r>
      <w:r w:rsidRPr="00662A69">
        <w:rPr>
          <w:rFonts w:ascii="Times New Roman" w:hAnsi="Times New Roman" w:cs="Times New Roman"/>
          <w:i/>
          <w:iCs/>
          <w:noProof/>
          <w:sz w:val="24"/>
          <w:szCs w:val="24"/>
        </w:rPr>
        <w:t>The American Journal of Psychiatry</w:t>
      </w:r>
      <w:r w:rsidRPr="00662A69">
        <w:rPr>
          <w:rFonts w:ascii="Times New Roman" w:hAnsi="Times New Roman" w:cs="Times New Roman"/>
          <w:noProof/>
          <w:sz w:val="24"/>
          <w:szCs w:val="24"/>
        </w:rPr>
        <w:t>, 157(5), pp.737–744.</w:t>
      </w:r>
    </w:p>
    <w:p w14:paraId="063B8AEC"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De Bellis, M.D. et al., 2005. Prefrontal cortex, thalamus, and cerebellar volumes in adolescents and young adults with adolescent-onset alcohol use disorders and comorbid mental disorders. </w:t>
      </w:r>
      <w:r w:rsidRPr="00662A69">
        <w:rPr>
          <w:rFonts w:ascii="Times New Roman" w:hAnsi="Times New Roman" w:cs="Times New Roman"/>
          <w:i/>
          <w:iCs/>
          <w:noProof/>
          <w:sz w:val="24"/>
          <w:szCs w:val="24"/>
        </w:rPr>
        <w:t>Alcoholism, Clinical and Experimental Research</w:t>
      </w:r>
      <w:r w:rsidRPr="00662A69">
        <w:rPr>
          <w:rFonts w:ascii="Times New Roman" w:hAnsi="Times New Roman" w:cs="Times New Roman"/>
          <w:noProof/>
          <w:sz w:val="24"/>
          <w:szCs w:val="24"/>
        </w:rPr>
        <w:t>, 29(9), pp.1590–1600.</w:t>
      </w:r>
    </w:p>
    <w:p w14:paraId="354D293F" w14:textId="1DB2836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Del Boca, F.K. &amp; Darkes, J., 2003. The validity of self-reports of alcohol consumption: state of the science and challenges for research.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xml:space="preserve">, 98, pp.1–12. </w:t>
      </w:r>
    </w:p>
    <w:p w14:paraId="6C34217D"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Boelema, S.R. et al., 2015. Adolescent heavy drinking does not affect maturation of basic executive functioning: Longitudinal findings from the TRAILS study. </w:t>
      </w:r>
      <w:r w:rsidRPr="00662A69">
        <w:rPr>
          <w:rFonts w:ascii="Times New Roman" w:hAnsi="Times New Roman" w:cs="Times New Roman"/>
          <w:i/>
          <w:iCs/>
          <w:noProof/>
          <w:sz w:val="24"/>
          <w:szCs w:val="24"/>
        </w:rPr>
        <w:t>PLoS ONE</w:t>
      </w:r>
      <w:r w:rsidRPr="00662A69">
        <w:rPr>
          <w:rFonts w:ascii="Times New Roman" w:hAnsi="Times New Roman" w:cs="Times New Roman"/>
          <w:noProof/>
          <w:sz w:val="24"/>
          <w:szCs w:val="24"/>
        </w:rPr>
        <w:t>, 10(10), pp.1–15.</w:t>
      </w:r>
    </w:p>
    <w:p w14:paraId="26F59CD1"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Boelema, S.R. et al., 2014. Executive functioning shows differential maturation from early to late adolescence: Longitudinal findings from a TRAILS study. </w:t>
      </w:r>
      <w:r w:rsidRPr="00662A69">
        <w:rPr>
          <w:rFonts w:ascii="Times New Roman" w:hAnsi="Times New Roman" w:cs="Times New Roman"/>
          <w:i/>
          <w:iCs/>
          <w:noProof/>
          <w:sz w:val="24"/>
          <w:szCs w:val="24"/>
        </w:rPr>
        <w:t>Neuropsychology</w:t>
      </w:r>
      <w:r w:rsidRPr="00662A69">
        <w:rPr>
          <w:rFonts w:ascii="Times New Roman" w:hAnsi="Times New Roman" w:cs="Times New Roman"/>
          <w:noProof/>
          <w:sz w:val="24"/>
          <w:szCs w:val="24"/>
        </w:rPr>
        <w:t>, 28(2), pp.177–187.</w:t>
      </w:r>
    </w:p>
    <w:p w14:paraId="378DC0B0"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Boyd, A. et al., 2013. Cohort profile: The “Children of the 90s”-The index offspring of the avon longitudinal study of parents and children. </w:t>
      </w:r>
      <w:r w:rsidRPr="00662A69">
        <w:rPr>
          <w:rFonts w:ascii="Times New Roman" w:hAnsi="Times New Roman" w:cs="Times New Roman"/>
          <w:i/>
          <w:iCs/>
          <w:noProof/>
          <w:sz w:val="24"/>
          <w:szCs w:val="24"/>
        </w:rPr>
        <w:t>International Journal of Epidemiology</w:t>
      </w:r>
      <w:r w:rsidRPr="00662A69">
        <w:rPr>
          <w:rFonts w:ascii="Times New Roman" w:hAnsi="Times New Roman" w:cs="Times New Roman"/>
          <w:noProof/>
          <w:sz w:val="24"/>
          <w:szCs w:val="24"/>
        </w:rPr>
        <w:t>, 42(1), pp.111–127.</w:t>
      </w:r>
    </w:p>
    <w:p w14:paraId="5425F3B5"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lastRenderedPageBreak/>
        <w:t xml:space="preserve">Case, R., Kurland, D.M. &amp; Goldberg, J., 1982. Operational efficiency and the growth of short-term memory span. </w:t>
      </w:r>
      <w:r w:rsidRPr="00662A69">
        <w:rPr>
          <w:rFonts w:ascii="Times New Roman" w:hAnsi="Times New Roman" w:cs="Times New Roman"/>
          <w:i/>
          <w:iCs/>
          <w:noProof/>
          <w:sz w:val="24"/>
          <w:szCs w:val="24"/>
        </w:rPr>
        <w:t>Journal of Experimental Child Psychology</w:t>
      </w:r>
      <w:r w:rsidRPr="00662A69">
        <w:rPr>
          <w:rFonts w:ascii="Times New Roman" w:hAnsi="Times New Roman" w:cs="Times New Roman"/>
          <w:noProof/>
          <w:sz w:val="24"/>
          <w:szCs w:val="24"/>
        </w:rPr>
        <w:t>, 33, pp.386–404.</w:t>
      </w:r>
    </w:p>
    <w:p w14:paraId="4F034371"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Chambers, R.A., Taylor, J.R. &amp; Potenza, M.N., 2003. Developmental neurocircuitry of motivation in adolescence: a critical period of addiction vulnerability. </w:t>
      </w:r>
      <w:r w:rsidRPr="00662A69">
        <w:rPr>
          <w:rFonts w:ascii="Times New Roman" w:hAnsi="Times New Roman" w:cs="Times New Roman"/>
          <w:i/>
          <w:iCs/>
          <w:noProof/>
          <w:sz w:val="24"/>
          <w:szCs w:val="24"/>
        </w:rPr>
        <w:t>The American Journal of Psychiatry</w:t>
      </w:r>
      <w:r w:rsidRPr="00662A69">
        <w:rPr>
          <w:rFonts w:ascii="Times New Roman" w:hAnsi="Times New Roman" w:cs="Times New Roman"/>
          <w:noProof/>
          <w:sz w:val="24"/>
          <w:szCs w:val="24"/>
        </w:rPr>
        <w:t>, 160(6), pp.1041–1052.</w:t>
      </w:r>
    </w:p>
    <w:p w14:paraId="4B3F13FA"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Cohen, J.D. et al., 1997. Temporal dynamics of brain activation during a working memory task. </w:t>
      </w:r>
      <w:r w:rsidRPr="00662A69">
        <w:rPr>
          <w:rFonts w:ascii="Times New Roman" w:hAnsi="Times New Roman" w:cs="Times New Roman"/>
          <w:i/>
          <w:iCs/>
          <w:noProof/>
          <w:sz w:val="24"/>
          <w:szCs w:val="24"/>
        </w:rPr>
        <w:t>Nature</w:t>
      </w:r>
      <w:r w:rsidRPr="00662A69">
        <w:rPr>
          <w:rFonts w:ascii="Times New Roman" w:hAnsi="Times New Roman" w:cs="Times New Roman"/>
          <w:noProof/>
          <w:sz w:val="24"/>
          <w:szCs w:val="24"/>
        </w:rPr>
        <w:t>, 386(6625), pp.604–608.</w:t>
      </w:r>
    </w:p>
    <w:p w14:paraId="4DEE3410"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Crews, F., He, J. &amp; Hodge, C., 2007. Adolescent cortical development: a critical period of vulnerability for addiction. </w:t>
      </w:r>
      <w:r w:rsidRPr="00662A69">
        <w:rPr>
          <w:rFonts w:ascii="Times New Roman" w:hAnsi="Times New Roman" w:cs="Times New Roman"/>
          <w:i/>
          <w:iCs/>
          <w:noProof/>
          <w:sz w:val="24"/>
          <w:szCs w:val="24"/>
        </w:rPr>
        <w:t>Pharmacology, Biochemistry, and Behavior</w:t>
      </w:r>
      <w:r w:rsidRPr="00662A69">
        <w:rPr>
          <w:rFonts w:ascii="Times New Roman" w:hAnsi="Times New Roman" w:cs="Times New Roman"/>
          <w:noProof/>
          <w:sz w:val="24"/>
          <w:szCs w:val="24"/>
        </w:rPr>
        <w:t>, 86(2), pp.189–199.</w:t>
      </w:r>
    </w:p>
    <w:p w14:paraId="46502646"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Crews, F.T. &amp; Boettiger, C.A., 2009. Impulsivity, frontal lobes and risk for addiction. </w:t>
      </w:r>
      <w:r w:rsidRPr="00662A69">
        <w:rPr>
          <w:rFonts w:ascii="Times New Roman" w:hAnsi="Times New Roman" w:cs="Times New Roman"/>
          <w:i/>
          <w:iCs/>
          <w:noProof/>
          <w:sz w:val="24"/>
          <w:szCs w:val="24"/>
        </w:rPr>
        <w:t>Pharmacology, Biochemistry, and Behavior</w:t>
      </w:r>
      <w:r w:rsidRPr="00662A69">
        <w:rPr>
          <w:rFonts w:ascii="Times New Roman" w:hAnsi="Times New Roman" w:cs="Times New Roman"/>
          <w:noProof/>
          <w:sz w:val="24"/>
          <w:szCs w:val="24"/>
        </w:rPr>
        <w:t>, 93(3), pp.237–247.</w:t>
      </w:r>
    </w:p>
    <w:p w14:paraId="0BD92AD1" w14:textId="1B5D5CB4"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Finn, P.R., 2002. Motivation, working memory, and decision making: A cognitive-motivational theory of personality vulnerability to alcoholism. </w:t>
      </w:r>
      <w:r w:rsidRPr="00662A69">
        <w:rPr>
          <w:rFonts w:ascii="Times New Roman" w:hAnsi="Times New Roman" w:cs="Times New Roman"/>
          <w:i/>
          <w:iCs/>
          <w:noProof/>
          <w:sz w:val="24"/>
          <w:szCs w:val="24"/>
        </w:rPr>
        <w:t>Behavioral and Cognitive Neuroscience Reviews</w:t>
      </w:r>
      <w:r w:rsidRPr="00662A69">
        <w:rPr>
          <w:rFonts w:ascii="Times New Roman" w:hAnsi="Times New Roman" w:cs="Times New Roman"/>
          <w:noProof/>
          <w:sz w:val="24"/>
          <w:szCs w:val="24"/>
        </w:rPr>
        <w:t xml:space="preserve">, 1(3), pp.183–205. </w:t>
      </w:r>
    </w:p>
    <w:p w14:paraId="254C502C" w14:textId="7E4D0B21"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Fraser, A. et al., 2013. Cohort Profile: The Avon Longitudinal Study of Parents and Children: ALSPAC mothers cohort. </w:t>
      </w:r>
      <w:r w:rsidRPr="00662A69">
        <w:rPr>
          <w:rFonts w:ascii="Times New Roman" w:hAnsi="Times New Roman" w:cs="Times New Roman"/>
          <w:i/>
          <w:iCs/>
          <w:noProof/>
          <w:sz w:val="24"/>
          <w:szCs w:val="24"/>
        </w:rPr>
        <w:t>International Journal of Epidemiology</w:t>
      </w:r>
      <w:r w:rsidRPr="00662A69">
        <w:rPr>
          <w:rFonts w:ascii="Times New Roman" w:hAnsi="Times New Roman" w:cs="Times New Roman"/>
          <w:noProof/>
          <w:sz w:val="24"/>
          <w:szCs w:val="24"/>
        </w:rPr>
        <w:t xml:space="preserve">, 42(1), pp.97–110. </w:t>
      </w:r>
    </w:p>
    <w:p w14:paraId="7BAC5CF5"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Gathercole, S.E. et al., 2004. Working memory skills and educational attainment: Evidence from national curriculum assessments at 7 and 14 years of age. </w:t>
      </w:r>
      <w:r w:rsidRPr="00662A69">
        <w:rPr>
          <w:rFonts w:ascii="Times New Roman" w:hAnsi="Times New Roman" w:cs="Times New Roman"/>
          <w:i/>
          <w:iCs/>
          <w:noProof/>
          <w:sz w:val="24"/>
          <w:szCs w:val="24"/>
        </w:rPr>
        <w:t>Applied Cognitive Psychology</w:t>
      </w:r>
      <w:r w:rsidRPr="00662A69">
        <w:rPr>
          <w:rFonts w:ascii="Times New Roman" w:hAnsi="Times New Roman" w:cs="Times New Roman"/>
          <w:noProof/>
          <w:sz w:val="24"/>
          <w:szCs w:val="24"/>
        </w:rPr>
        <w:t>, 18(1), pp.1–16.</w:t>
      </w:r>
    </w:p>
    <w:p w14:paraId="1E770CF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Giedd, J.N. et al., 1996. Quantitative magnetic resonance imaging of human brain development: ages 4-18. </w:t>
      </w:r>
      <w:r w:rsidRPr="00662A69">
        <w:rPr>
          <w:rFonts w:ascii="Times New Roman" w:hAnsi="Times New Roman" w:cs="Times New Roman"/>
          <w:i/>
          <w:iCs/>
          <w:noProof/>
          <w:sz w:val="24"/>
          <w:szCs w:val="24"/>
        </w:rPr>
        <w:t>Cerebral Cortex</w:t>
      </w:r>
      <w:r w:rsidRPr="00662A69">
        <w:rPr>
          <w:rFonts w:ascii="Times New Roman" w:hAnsi="Times New Roman" w:cs="Times New Roman"/>
          <w:noProof/>
          <w:sz w:val="24"/>
          <w:szCs w:val="24"/>
        </w:rPr>
        <w:t>, 6(4), pp.551–560.</w:t>
      </w:r>
    </w:p>
    <w:p w14:paraId="5838C07C"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Grenard, J.L. et al., 2008. Working memory capacity moderates the predictive effects of drug-related associations on substance use. </w:t>
      </w:r>
      <w:r w:rsidRPr="00662A69">
        <w:rPr>
          <w:rFonts w:ascii="Times New Roman" w:hAnsi="Times New Roman" w:cs="Times New Roman"/>
          <w:i/>
          <w:iCs/>
          <w:noProof/>
          <w:sz w:val="24"/>
          <w:szCs w:val="24"/>
        </w:rPr>
        <w:t>Psychology of Addictive Behaviors</w:t>
      </w:r>
      <w:r w:rsidRPr="00662A69">
        <w:rPr>
          <w:rFonts w:ascii="Times New Roman" w:hAnsi="Times New Roman" w:cs="Times New Roman"/>
          <w:noProof/>
          <w:sz w:val="24"/>
          <w:szCs w:val="24"/>
        </w:rPr>
        <w:t xml:space="preserve">, 22(3), </w:t>
      </w:r>
      <w:r w:rsidRPr="00662A69">
        <w:rPr>
          <w:rFonts w:ascii="Times New Roman" w:hAnsi="Times New Roman" w:cs="Times New Roman"/>
          <w:noProof/>
          <w:sz w:val="24"/>
          <w:szCs w:val="24"/>
        </w:rPr>
        <w:lastRenderedPageBreak/>
        <w:t>pp.426–432.</w:t>
      </w:r>
    </w:p>
    <w:p w14:paraId="143D38B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Haatveit, B.C. et al., 2010. The validity of d prime as a working memory index: results from the “Bergen n-back task”. </w:t>
      </w:r>
      <w:r w:rsidRPr="00662A69">
        <w:rPr>
          <w:rFonts w:ascii="Times New Roman" w:hAnsi="Times New Roman" w:cs="Times New Roman"/>
          <w:i/>
          <w:iCs/>
          <w:noProof/>
          <w:sz w:val="24"/>
          <w:szCs w:val="24"/>
        </w:rPr>
        <w:t>Journal of Clinical and Experimental Neuropsychology</w:t>
      </w:r>
      <w:r w:rsidRPr="00662A69">
        <w:rPr>
          <w:rFonts w:ascii="Times New Roman" w:hAnsi="Times New Roman" w:cs="Times New Roman"/>
          <w:noProof/>
          <w:sz w:val="24"/>
          <w:szCs w:val="24"/>
        </w:rPr>
        <w:t>, 32(8), pp.871–880.</w:t>
      </w:r>
    </w:p>
    <w:p w14:paraId="0BB51B33"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Hanson, K.L. et al., 2010. Longitudinal study of cognition among adolescent marijuana users over three weeks of abstinence. </w:t>
      </w:r>
      <w:r w:rsidRPr="00662A69">
        <w:rPr>
          <w:rFonts w:ascii="Times New Roman" w:hAnsi="Times New Roman" w:cs="Times New Roman"/>
          <w:i/>
          <w:iCs/>
          <w:noProof/>
          <w:sz w:val="24"/>
          <w:szCs w:val="24"/>
        </w:rPr>
        <w:t>Addictive Behaviors</w:t>
      </w:r>
      <w:r w:rsidRPr="00662A69">
        <w:rPr>
          <w:rFonts w:ascii="Times New Roman" w:hAnsi="Times New Roman" w:cs="Times New Roman"/>
          <w:noProof/>
          <w:sz w:val="24"/>
          <w:szCs w:val="24"/>
        </w:rPr>
        <w:t>, 35(11), pp.970–976.</w:t>
      </w:r>
    </w:p>
    <w:p w14:paraId="3DE123C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Harvey, M.A. et al., 2007. The relationship between non-acute adolescent cannabis use and cognition. </w:t>
      </w:r>
      <w:r w:rsidRPr="00662A69">
        <w:rPr>
          <w:rFonts w:ascii="Times New Roman" w:hAnsi="Times New Roman" w:cs="Times New Roman"/>
          <w:i/>
          <w:iCs/>
          <w:noProof/>
          <w:sz w:val="24"/>
          <w:szCs w:val="24"/>
        </w:rPr>
        <w:t>Drug and Alcohol Review</w:t>
      </w:r>
      <w:r w:rsidRPr="00662A69">
        <w:rPr>
          <w:rFonts w:ascii="Times New Roman" w:hAnsi="Times New Roman" w:cs="Times New Roman"/>
          <w:noProof/>
          <w:sz w:val="24"/>
          <w:szCs w:val="24"/>
        </w:rPr>
        <w:t>, 26(3), pp.309–319.</w:t>
      </w:r>
    </w:p>
    <w:p w14:paraId="0126889A"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Henderson, J. et al., 1999. Pertussis vaccination and wheezing illnesses in young children: prospective cohort study. The Longitudinal Study of Pregnancy and Childhood Team. </w:t>
      </w:r>
      <w:r w:rsidRPr="00662A69">
        <w:rPr>
          <w:rFonts w:ascii="Times New Roman" w:hAnsi="Times New Roman" w:cs="Times New Roman"/>
          <w:i/>
          <w:iCs/>
          <w:noProof/>
          <w:sz w:val="24"/>
          <w:szCs w:val="24"/>
        </w:rPr>
        <w:t>British Medical Journal</w:t>
      </w:r>
      <w:r w:rsidRPr="00662A69">
        <w:rPr>
          <w:rFonts w:ascii="Times New Roman" w:hAnsi="Times New Roman" w:cs="Times New Roman"/>
          <w:noProof/>
          <w:sz w:val="24"/>
          <w:szCs w:val="24"/>
        </w:rPr>
        <w:t>, 318(7192), pp.1173–1176.</w:t>
      </w:r>
    </w:p>
    <w:p w14:paraId="3E53205C"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Ilan, A.B., Smith, M.E. &amp; Gevins, A., 2004. Effects of marijuana on neurophysiological signals of working and episodic memory. </w:t>
      </w:r>
      <w:r w:rsidRPr="00662A69">
        <w:rPr>
          <w:rFonts w:ascii="Times New Roman" w:hAnsi="Times New Roman" w:cs="Times New Roman"/>
          <w:i/>
          <w:iCs/>
          <w:noProof/>
          <w:sz w:val="24"/>
          <w:szCs w:val="24"/>
        </w:rPr>
        <w:t>Psychopharmacology</w:t>
      </w:r>
      <w:r w:rsidRPr="00662A69">
        <w:rPr>
          <w:rFonts w:ascii="Times New Roman" w:hAnsi="Times New Roman" w:cs="Times New Roman"/>
          <w:noProof/>
          <w:sz w:val="24"/>
          <w:szCs w:val="24"/>
        </w:rPr>
        <w:t>, 176(2), pp.214–222.</w:t>
      </w:r>
    </w:p>
    <w:p w14:paraId="160D4DE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Jacobsen, L.K. et al., 2005. Effects of smoking and smoking abstinence on cognition in adolescent tobacco smokers. </w:t>
      </w:r>
      <w:r w:rsidRPr="00662A69">
        <w:rPr>
          <w:rFonts w:ascii="Times New Roman" w:hAnsi="Times New Roman" w:cs="Times New Roman"/>
          <w:i/>
          <w:iCs/>
          <w:noProof/>
          <w:sz w:val="24"/>
          <w:szCs w:val="24"/>
        </w:rPr>
        <w:t>Biological Psychiatry</w:t>
      </w:r>
      <w:r w:rsidRPr="00662A69">
        <w:rPr>
          <w:rFonts w:ascii="Times New Roman" w:hAnsi="Times New Roman" w:cs="Times New Roman"/>
          <w:noProof/>
          <w:sz w:val="24"/>
          <w:szCs w:val="24"/>
        </w:rPr>
        <w:t>, 57(1), pp.56–66.</w:t>
      </w:r>
    </w:p>
    <w:p w14:paraId="17726C1D"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Jacobsen, L.K. et al., 2007. Prenatal and adolescent exposure to tobacco smoke modulates the development of white matter microstructure. </w:t>
      </w:r>
      <w:r w:rsidRPr="00662A69">
        <w:rPr>
          <w:rFonts w:ascii="Times New Roman" w:hAnsi="Times New Roman" w:cs="Times New Roman"/>
          <w:i/>
          <w:iCs/>
          <w:noProof/>
          <w:sz w:val="24"/>
          <w:szCs w:val="24"/>
        </w:rPr>
        <w:t>The Journal of Neuroscience</w:t>
      </w:r>
      <w:r w:rsidRPr="00662A69">
        <w:rPr>
          <w:rFonts w:ascii="Times New Roman" w:hAnsi="Times New Roman" w:cs="Times New Roman"/>
          <w:noProof/>
          <w:sz w:val="24"/>
          <w:szCs w:val="24"/>
        </w:rPr>
        <w:t>, 27(49), pp.13491–13498.</w:t>
      </w:r>
    </w:p>
    <w:p w14:paraId="1BAA5C2B" w14:textId="7C184272"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Jaeggi, S.M. et al., 2010. The relationship between n-back performance and matrix reasoning — implications for training and transfer. </w:t>
      </w:r>
      <w:r w:rsidRPr="00662A69">
        <w:rPr>
          <w:rFonts w:ascii="Times New Roman" w:hAnsi="Times New Roman" w:cs="Times New Roman"/>
          <w:i/>
          <w:iCs/>
          <w:noProof/>
          <w:sz w:val="24"/>
          <w:szCs w:val="24"/>
        </w:rPr>
        <w:t>Intelligence</w:t>
      </w:r>
      <w:r w:rsidRPr="00662A69">
        <w:rPr>
          <w:rFonts w:ascii="Times New Roman" w:hAnsi="Times New Roman" w:cs="Times New Roman"/>
          <w:noProof/>
          <w:sz w:val="24"/>
          <w:szCs w:val="24"/>
        </w:rPr>
        <w:t xml:space="preserve">, 38(6), pp.625–635. </w:t>
      </w:r>
    </w:p>
    <w:p w14:paraId="719EA9F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Kane, M.J. et al., 2007. Working memory, attention control, and the N-back task: a question of construct validity. </w:t>
      </w:r>
      <w:r w:rsidRPr="00662A69">
        <w:rPr>
          <w:rFonts w:ascii="Times New Roman" w:hAnsi="Times New Roman" w:cs="Times New Roman"/>
          <w:i/>
          <w:iCs/>
          <w:noProof/>
          <w:sz w:val="24"/>
          <w:szCs w:val="24"/>
        </w:rPr>
        <w:t>Journal of Experimental Psychology. Learning, Memory, and Cognition</w:t>
      </w:r>
      <w:r w:rsidRPr="00662A69">
        <w:rPr>
          <w:rFonts w:ascii="Times New Roman" w:hAnsi="Times New Roman" w:cs="Times New Roman"/>
          <w:noProof/>
          <w:sz w:val="24"/>
          <w:szCs w:val="24"/>
        </w:rPr>
        <w:t>, 33(3), pp.615–622.</w:t>
      </w:r>
    </w:p>
    <w:p w14:paraId="6EEB92D1"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lastRenderedPageBreak/>
        <w:t xml:space="preserve">Khurana, A. et al., 2015. Experimentation versus progression in adolescent drug use: A test of an emerging neurobehavioral imbalance model. </w:t>
      </w:r>
      <w:r w:rsidRPr="00662A69">
        <w:rPr>
          <w:rFonts w:ascii="Times New Roman" w:hAnsi="Times New Roman" w:cs="Times New Roman"/>
          <w:i/>
          <w:iCs/>
          <w:noProof/>
          <w:sz w:val="24"/>
          <w:szCs w:val="24"/>
        </w:rPr>
        <w:t>Development and Psychopathology</w:t>
      </w:r>
      <w:r w:rsidRPr="00662A69">
        <w:rPr>
          <w:rFonts w:ascii="Times New Roman" w:hAnsi="Times New Roman" w:cs="Times New Roman"/>
          <w:noProof/>
          <w:sz w:val="24"/>
          <w:szCs w:val="24"/>
        </w:rPr>
        <w:t>, 27(3), pp.901–913.</w:t>
      </w:r>
    </w:p>
    <w:p w14:paraId="5E6C425A"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Khurana, A. et al., 2013. Working memory ability predicts trajectories of early alcohol use in adolescents: the mediational role of impulsivity.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108(3), pp.506–515.</w:t>
      </w:r>
    </w:p>
    <w:p w14:paraId="7A3A5C3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Kirchner, W.K., 1958. Age differences in short-term retention of rapidly changing information. </w:t>
      </w:r>
      <w:r w:rsidRPr="00662A69">
        <w:rPr>
          <w:rFonts w:ascii="Times New Roman" w:hAnsi="Times New Roman" w:cs="Times New Roman"/>
          <w:i/>
          <w:iCs/>
          <w:noProof/>
          <w:sz w:val="24"/>
          <w:szCs w:val="24"/>
        </w:rPr>
        <w:t>Journal of Experimental Psychology</w:t>
      </w:r>
      <w:r w:rsidRPr="00662A69">
        <w:rPr>
          <w:rFonts w:ascii="Times New Roman" w:hAnsi="Times New Roman" w:cs="Times New Roman"/>
          <w:noProof/>
          <w:sz w:val="24"/>
          <w:szCs w:val="24"/>
        </w:rPr>
        <w:t>, 55(4), pp.352–358.</w:t>
      </w:r>
    </w:p>
    <w:p w14:paraId="2BF0D545"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Koning, I.M. et al., 2009. Preventing heavy alcohol use in adolescents (PAS): cluster randomized trial of a parent and student intervention offered separately and simultaneously.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104(10), pp.1669–1678.</w:t>
      </w:r>
    </w:p>
    <w:p w14:paraId="5132748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Levin, E.D. et al., 1990. Chronic nicotine and withdrawal effects on radial-arm maze performance in rats. </w:t>
      </w:r>
      <w:r w:rsidRPr="00662A69">
        <w:rPr>
          <w:rFonts w:ascii="Times New Roman" w:hAnsi="Times New Roman" w:cs="Times New Roman"/>
          <w:i/>
          <w:iCs/>
          <w:noProof/>
          <w:sz w:val="24"/>
          <w:szCs w:val="24"/>
        </w:rPr>
        <w:t>Behavioral and Neural Biology</w:t>
      </w:r>
      <w:r w:rsidRPr="00662A69">
        <w:rPr>
          <w:rFonts w:ascii="Times New Roman" w:hAnsi="Times New Roman" w:cs="Times New Roman"/>
          <w:noProof/>
          <w:sz w:val="24"/>
          <w:szCs w:val="24"/>
        </w:rPr>
        <w:t>, 53(2), pp.269–276.</w:t>
      </w:r>
    </w:p>
    <w:p w14:paraId="17AD75A7"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Levin, E.D., McClernon, F.J. &amp; Rezvani, A.H., 2006. Nicotinic effects on cognitive function: behavioral characterization, pharmacological specification, and anatomic localization. </w:t>
      </w:r>
      <w:r w:rsidRPr="00662A69">
        <w:rPr>
          <w:rFonts w:ascii="Times New Roman" w:hAnsi="Times New Roman" w:cs="Times New Roman"/>
          <w:i/>
          <w:iCs/>
          <w:noProof/>
          <w:sz w:val="24"/>
          <w:szCs w:val="24"/>
        </w:rPr>
        <w:t>Psychopharmacology</w:t>
      </w:r>
      <w:r w:rsidRPr="00662A69">
        <w:rPr>
          <w:rFonts w:ascii="Times New Roman" w:hAnsi="Times New Roman" w:cs="Times New Roman"/>
          <w:noProof/>
          <w:sz w:val="24"/>
          <w:szCs w:val="24"/>
        </w:rPr>
        <w:t>, 184(3–4), pp.523–539.</w:t>
      </w:r>
    </w:p>
    <w:p w14:paraId="74873EE3"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Loughead, J. et al., 2009. Effect of abstinence challenge on brain function and cognition in smokers differs by COMT genotype. </w:t>
      </w:r>
      <w:r w:rsidRPr="00662A69">
        <w:rPr>
          <w:rFonts w:ascii="Times New Roman" w:hAnsi="Times New Roman" w:cs="Times New Roman"/>
          <w:i/>
          <w:iCs/>
          <w:noProof/>
          <w:sz w:val="24"/>
          <w:szCs w:val="24"/>
        </w:rPr>
        <w:t>Molecular Psychiatry</w:t>
      </w:r>
      <w:r w:rsidRPr="00662A69">
        <w:rPr>
          <w:rFonts w:ascii="Times New Roman" w:hAnsi="Times New Roman" w:cs="Times New Roman"/>
          <w:noProof/>
          <w:sz w:val="24"/>
          <w:szCs w:val="24"/>
        </w:rPr>
        <w:t>, 14(8), pp.820–826.</w:t>
      </w:r>
    </w:p>
    <w:p w14:paraId="038485A7" w14:textId="5B799180"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De Luca, C.R. et al., 2003. Normative data from the Cantab. I: development of executive function over the lifespan. </w:t>
      </w:r>
      <w:r w:rsidRPr="00662A69">
        <w:rPr>
          <w:rFonts w:ascii="Times New Roman" w:hAnsi="Times New Roman" w:cs="Times New Roman"/>
          <w:i/>
          <w:iCs/>
          <w:noProof/>
          <w:sz w:val="24"/>
          <w:szCs w:val="24"/>
        </w:rPr>
        <w:t>Journal of Clinical and Experimental Neuropsychology</w:t>
      </w:r>
      <w:r w:rsidRPr="00662A69">
        <w:rPr>
          <w:rFonts w:ascii="Times New Roman" w:hAnsi="Times New Roman" w:cs="Times New Roman"/>
          <w:noProof/>
          <w:sz w:val="24"/>
          <w:szCs w:val="24"/>
        </w:rPr>
        <w:t xml:space="preserve">, 25(2), pp.242–254. </w:t>
      </w:r>
    </w:p>
    <w:p w14:paraId="0E07FC76"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Luna, B. et al., 2004. Maturation of cognitive processes from late childhood to adulthood. </w:t>
      </w:r>
      <w:r w:rsidRPr="00662A69">
        <w:rPr>
          <w:rFonts w:ascii="Times New Roman" w:hAnsi="Times New Roman" w:cs="Times New Roman"/>
          <w:i/>
          <w:iCs/>
          <w:noProof/>
          <w:sz w:val="24"/>
          <w:szCs w:val="24"/>
        </w:rPr>
        <w:t>Child Development</w:t>
      </w:r>
      <w:r w:rsidRPr="00662A69">
        <w:rPr>
          <w:rFonts w:ascii="Times New Roman" w:hAnsi="Times New Roman" w:cs="Times New Roman"/>
          <w:noProof/>
          <w:sz w:val="24"/>
          <w:szCs w:val="24"/>
        </w:rPr>
        <w:t>, 75(5), pp.1357–1372.</w:t>
      </w:r>
    </w:p>
    <w:p w14:paraId="636CF576"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Malone, S.M. et al., 2014. Adolescent drinking and motivated decision-making: a cotwin-control investigation with monozygotic twins. </w:t>
      </w:r>
      <w:r w:rsidRPr="00662A69">
        <w:rPr>
          <w:rFonts w:ascii="Times New Roman" w:hAnsi="Times New Roman" w:cs="Times New Roman"/>
          <w:i/>
          <w:iCs/>
          <w:noProof/>
          <w:sz w:val="24"/>
          <w:szCs w:val="24"/>
        </w:rPr>
        <w:t>Behavior Genetics</w:t>
      </w:r>
      <w:r w:rsidRPr="00662A69">
        <w:rPr>
          <w:rFonts w:ascii="Times New Roman" w:hAnsi="Times New Roman" w:cs="Times New Roman"/>
          <w:noProof/>
          <w:sz w:val="24"/>
          <w:szCs w:val="24"/>
        </w:rPr>
        <w:t>, 44(4), pp.407–418.</w:t>
      </w:r>
    </w:p>
    <w:p w14:paraId="66118B5A" w14:textId="7D2389B9"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lastRenderedPageBreak/>
        <w:t xml:space="preserve">Masten, A.S. et al., 2008. Underage drinking: a developmental framework. </w:t>
      </w:r>
      <w:r w:rsidRPr="00662A69">
        <w:rPr>
          <w:rFonts w:ascii="Times New Roman" w:hAnsi="Times New Roman" w:cs="Times New Roman"/>
          <w:i/>
          <w:iCs/>
          <w:noProof/>
          <w:sz w:val="24"/>
          <w:szCs w:val="24"/>
        </w:rPr>
        <w:t>Pediatrics</w:t>
      </w:r>
      <w:r w:rsidRPr="00662A69">
        <w:rPr>
          <w:rFonts w:ascii="Times New Roman" w:hAnsi="Times New Roman" w:cs="Times New Roman"/>
          <w:noProof/>
          <w:sz w:val="24"/>
          <w:szCs w:val="24"/>
        </w:rPr>
        <w:t xml:space="preserve">, 121(4), p.S235 LP-S251. </w:t>
      </w:r>
    </w:p>
    <w:p w14:paraId="4A1BF395"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McNicol, D., 1972. </w:t>
      </w:r>
      <w:r w:rsidRPr="00662A69">
        <w:rPr>
          <w:rFonts w:ascii="Times New Roman" w:hAnsi="Times New Roman" w:cs="Times New Roman"/>
          <w:i/>
          <w:iCs/>
          <w:noProof/>
          <w:sz w:val="24"/>
          <w:szCs w:val="24"/>
        </w:rPr>
        <w:t>A Primer of Signal Detection Theory</w:t>
      </w:r>
      <w:r w:rsidRPr="00662A69">
        <w:rPr>
          <w:rFonts w:ascii="Times New Roman" w:hAnsi="Times New Roman" w:cs="Times New Roman"/>
          <w:noProof/>
          <w:sz w:val="24"/>
          <w:szCs w:val="24"/>
        </w:rPr>
        <w:t>, Norwich: George Allen &amp; Unwin Ltd.</w:t>
      </w:r>
    </w:p>
    <w:p w14:paraId="2D5C6695" w14:textId="22E8A9DF"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Melotti, R. et al., 2013. Early life socio-economic position and later alcohol use: birth cohort study.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xml:space="preserve">, 108(3), pp.516–525. </w:t>
      </w:r>
    </w:p>
    <w:p w14:paraId="4CD8389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Meule, A., 2017. Reporting and interpreting working memory performance in n-back tasks. </w:t>
      </w:r>
      <w:r w:rsidRPr="00662A69">
        <w:rPr>
          <w:rFonts w:ascii="Times New Roman" w:hAnsi="Times New Roman" w:cs="Times New Roman"/>
          <w:i/>
          <w:iCs/>
          <w:noProof/>
          <w:sz w:val="24"/>
          <w:szCs w:val="24"/>
        </w:rPr>
        <w:t>Frontiers in Psychology</w:t>
      </w:r>
      <w:r w:rsidRPr="00662A69">
        <w:rPr>
          <w:rFonts w:ascii="Times New Roman" w:hAnsi="Times New Roman" w:cs="Times New Roman"/>
          <w:noProof/>
          <w:sz w:val="24"/>
          <w:szCs w:val="24"/>
        </w:rPr>
        <w:t>, 8, p.352.</w:t>
      </w:r>
    </w:p>
    <w:p w14:paraId="1E001096"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Miller, E.K. &amp; Cohen, J.D., 2001. An integrative theory of prefrontal cortex function. </w:t>
      </w:r>
      <w:r w:rsidRPr="00662A69">
        <w:rPr>
          <w:rFonts w:ascii="Times New Roman" w:hAnsi="Times New Roman" w:cs="Times New Roman"/>
          <w:i/>
          <w:iCs/>
          <w:noProof/>
          <w:sz w:val="24"/>
          <w:szCs w:val="24"/>
        </w:rPr>
        <w:t>Annual Review of Neuroscience</w:t>
      </w:r>
      <w:r w:rsidRPr="00662A69">
        <w:rPr>
          <w:rFonts w:ascii="Times New Roman" w:hAnsi="Times New Roman" w:cs="Times New Roman"/>
          <w:noProof/>
          <w:sz w:val="24"/>
          <w:szCs w:val="24"/>
        </w:rPr>
        <w:t>, 24, pp.167–202.</w:t>
      </w:r>
    </w:p>
    <w:p w14:paraId="03891D8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Moran, C. &amp; Gillon, G., 2004. Language and memory profiles of adolescents with traumatic brain injury. </w:t>
      </w:r>
      <w:r w:rsidRPr="00662A69">
        <w:rPr>
          <w:rFonts w:ascii="Times New Roman" w:hAnsi="Times New Roman" w:cs="Times New Roman"/>
          <w:i/>
          <w:iCs/>
          <w:noProof/>
          <w:sz w:val="24"/>
          <w:szCs w:val="24"/>
        </w:rPr>
        <w:t>Brain Injury</w:t>
      </w:r>
      <w:r w:rsidRPr="00662A69">
        <w:rPr>
          <w:rFonts w:ascii="Times New Roman" w:hAnsi="Times New Roman" w:cs="Times New Roman"/>
          <w:noProof/>
          <w:sz w:val="24"/>
          <w:szCs w:val="24"/>
        </w:rPr>
        <w:t>, 18(3), pp.273–288.</w:t>
      </w:r>
    </w:p>
    <w:p w14:paraId="3E3E0E52"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Musso, F. et al., 2007. Smoking impacts on prefrontal attentional network function in young adult brains. </w:t>
      </w:r>
      <w:r w:rsidRPr="00662A69">
        <w:rPr>
          <w:rFonts w:ascii="Times New Roman" w:hAnsi="Times New Roman" w:cs="Times New Roman"/>
          <w:i/>
          <w:iCs/>
          <w:noProof/>
          <w:sz w:val="24"/>
          <w:szCs w:val="24"/>
        </w:rPr>
        <w:t>Psychopharmacology</w:t>
      </w:r>
      <w:r w:rsidRPr="00662A69">
        <w:rPr>
          <w:rFonts w:ascii="Times New Roman" w:hAnsi="Times New Roman" w:cs="Times New Roman"/>
          <w:noProof/>
          <w:sz w:val="24"/>
          <w:szCs w:val="24"/>
        </w:rPr>
        <w:t>, 191(1), pp.159–169.</w:t>
      </w:r>
    </w:p>
    <w:p w14:paraId="6DB8308F"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Nagel, B.J. et al., 2005. Reduced hippocampal volume among adolescents with alcohol use disorders without psychiatric comorbidity. </w:t>
      </w:r>
      <w:r w:rsidRPr="00662A69">
        <w:rPr>
          <w:rFonts w:ascii="Times New Roman" w:hAnsi="Times New Roman" w:cs="Times New Roman"/>
          <w:i/>
          <w:iCs/>
          <w:noProof/>
          <w:sz w:val="24"/>
          <w:szCs w:val="24"/>
        </w:rPr>
        <w:t>Psychiatry Research</w:t>
      </w:r>
      <w:r w:rsidRPr="00662A69">
        <w:rPr>
          <w:rFonts w:ascii="Times New Roman" w:hAnsi="Times New Roman" w:cs="Times New Roman"/>
          <w:noProof/>
          <w:sz w:val="24"/>
          <w:szCs w:val="24"/>
        </w:rPr>
        <w:t>, 139(3), pp.181–190.</w:t>
      </w:r>
    </w:p>
    <w:p w14:paraId="4E2BD6CF"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Newsome, M.R. et al., 2007. Working memory brain activation following severe traumatic brain injury. </w:t>
      </w:r>
      <w:r w:rsidRPr="00662A69">
        <w:rPr>
          <w:rFonts w:ascii="Times New Roman" w:hAnsi="Times New Roman" w:cs="Times New Roman"/>
          <w:i/>
          <w:iCs/>
          <w:noProof/>
          <w:sz w:val="24"/>
          <w:szCs w:val="24"/>
        </w:rPr>
        <w:t>Cortex</w:t>
      </w:r>
      <w:r w:rsidRPr="00662A69">
        <w:rPr>
          <w:rFonts w:ascii="Times New Roman" w:hAnsi="Times New Roman" w:cs="Times New Roman"/>
          <w:noProof/>
          <w:sz w:val="24"/>
          <w:szCs w:val="24"/>
        </w:rPr>
        <w:t>, 43(1), pp.95–111.</w:t>
      </w:r>
    </w:p>
    <w:p w14:paraId="02DC9C98"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Peeters, M. et al., 2012. Automatic processes in at-risk adolescents: the role of alcohol-approach tendencies and response inhibition in drinking behavior.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107(11), pp.1939–1946.</w:t>
      </w:r>
    </w:p>
    <w:p w14:paraId="64701B1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Peeters, M. et al., 2015. Weaknesses in executive functioning predict the initiating of adolescents’ alcohol use. </w:t>
      </w:r>
      <w:r w:rsidRPr="00662A69">
        <w:rPr>
          <w:rFonts w:ascii="Times New Roman" w:hAnsi="Times New Roman" w:cs="Times New Roman"/>
          <w:i/>
          <w:iCs/>
          <w:noProof/>
          <w:sz w:val="24"/>
          <w:szCs w:val="24"/>
        </w:rPr>
        <w:t>Developmental Cognitive Neuroscience</w:t>
      </w:r>
      <w:r w:rsidRPr="00662A69">
        <w:rPr>
          <w:rFonts w:ascii="Times New Roman" w:hAnsi="Times New Roman" w:cs="Times New Roman"/>
          <w:noProof/>
          <w:sz w:val="24"/>
          <w:szCs w:val="24"/>
        </w:rPr>
        <w:t>, 16, pp.139–146.</w:t>
      </w:r>
    </w:p>
    <w:p w14:paraId="3BCBC062"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lastRenderedPageBreak/>
        <w:t xml:space="preserve">Peeters, M. et al., 2014. Working memory and alcohol use in at-risk adolescents: a 2-year follow-up. </w:t>
      </w:r>
      <w:r w:rsidRPr="00662A69">
        <w:rPr>
          <w:rFonts w:ascii="Times New Roman" w:hAnsi="Times New Roman" w:cs="Times New Roman"/>
          <w:i/>
          <w:iCs/>
          <w:noProof/>
          <w:sz w:val="24"/>
          <w:szCs w:val="24"/>
        </w:rPr>
        <w:t>Alcoholism, Clinical and Experimental Research</w:t>
      </w:r>
      <w:r w:rsidRPr="00662A69">
        <w:rPr>
          <w:rFonts w:ascii="Times New Roman" w:hAnsi="Times New Roman" w:cs="Times New Roman"/>
          <w:noProof/>
          <w:sz w:val="24"/>
          <w:szCs w:val="24"/>
        </w:rPr>
        <w:t>, 38(4), pp.1176–1183.</w:t>
      </w:r>
    </w:p>
    <w:p w14:paraId="12A05296"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Renard, J. et al., 2014. Long-term consequences of adolescent cannabinoid exposure in adult psychopathology. </w:t>
      </w:r>
      <w:r w:rsidRPr="00662A69">
        <w:rPr>
          <w:rFonts w:ascii="Times New Roman" w:hAnsi="Times New Roman" w:cs="Times New Roman"/>
          <w:i/>
          <w:iCs/>
          <w:noProof/>
          <w:sz w:val="24"/>
          <w:szCs w:val="24"/>
        </w:rPr>
        <w:t>Frontiers in Neuroscience</w:t>
      </w:r>
      <w:r w:rsidRPr="00662A69">
        <w:rPr>
          <w:rFonts w:ascii="Times New Roman" w:hAnsi="Times New Roman" w:cs="Times New Roman"/>
          <w:noProof/>
          <w:sz w:val="24"/>
          <w:szCs w:val="24"/>
        </w:rPr>
        <w:t>, 8, p.361.</w:t>
      </w:r>
    </w:p>
    <w:p w14:paraId="2B8CF5F2"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Risher, M.-L. et al., 2013. Long-term effects of chronic intermittent ethanol exposure in adolescent and adult rats: radial-arm maze performance and operant food reinforced responding. </w:t>
      </w:r>
      <w:r w:rsidRPr="00662A69">
        <w:rPr>
          <w:rFonts w:ascii="Times New Roman" w:hAnsi="Times New Roman" w:cs="Times New Roman"/>
          <w:i/>
          <w:iCs/>
          <w:noProof/>
          <w:sz w:val="24"/>
          <w:szCs w:val="24"/>
        </w:rPr>
        <w:t>PloS ONE</w:t>
      </w:r>
      <w:r w:rsidRPr="00662A69">
        <w:rPr>
          <w:rFonts w:ascii="Times New Roman" w:hAnsi="Times New Roman" w:cs="Times New Roman"/>
          <w:noProof/>
          <w:sz w:val="24"/>
          <w:szCs w:val="24"/>
        </w:rPr>
        <w:t>, 8(5), p.e62940.</w:t>
      </w:r>
    </w:p>
    <w:p w14:paraId="59C41A42" w14:textId="36D7179C"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Rossi, R. et al., 2016. Psychotic experiences and working memory: a population-based study using signal-detection analysis. </w:t>
      </w:r>
      <w:r w:rsidRPr="00662A69">
        <w:rPr>
          <w:rFonts w:ascii="Times New Roman" w:hAnsi="Times New Roman" w:cs="Times New Roman"/>
          <w:i/>
          <w:iCs/>
          <w:noProof/>
          <w:sz w:val="24"/>
          <w:szCs w:val="24"/>
        </w:rPr>
        <w:t>PloS ONE</w:t>
      </w:r>
      <w:r w:rsidRPr="00662A69">
        <w:rPr>
          <w:rFonts w:ascii="Times New Roman" w:hAnsi="Times New Roman" w:cs="Times New Roman"/>
          <w:noProof/>
          <w:sz w:val="24"/>
          <w:szCs w:val="24"/>
        </w:rPr>
        <w:t xml:space="preserve">, 11(4), p.e0153148. </w:t>
      </w:r>
    </w:p>
    <w:p w14:paraId="53302B8B" w14:textId="00F7469A"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Rubino, T. et al., 2009. Changes in hippocampal morphology and neuroplasticity induced by adolescent THC treatment are associated with cognitive impairment in adulthood. </w:t>
      </w:r>
      <w:r w:rsidRPr="00662A69">
        <w:rPr>
          <w:rFonts w:ascii="Times New Roman" w:hAnsi="Times New Roman" w:cs="Times New Roman"/>
          <w:i/>
          <w:iCs/>
          <w:noProof/>
          <w:sz w:val="24"/>
          <w:szCs w:val="24"/>
        </w:rPr>
        <w:t>Hippocampus</w:t>
      </w:r>
      <w:r w:rsidRPr="00662A69">
        <w:rPr>
          <w:rFonts w:ascii="Times New Roman" w:hAnsi="Times New Roman" w:cs="Times New Roman"/>
          <w:noProof/>
          <w:sz w:val="24"/>
          <w:szCs w:val="24"/>
        </w:rPr>
        <w:t xml:space="preserve">, 19(8), pp.763–772. </w:t>
      </w:r>
    </w:p>
    <w:p w14:paraId="7A035DF7"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Schmiedek, F. et al., 2009. Complex span versus updating tasks of working memory: the gap is not that deep. </w:t>
      </w:r>
      <w:r w:rsidRPr="00662A69">
        <w:rPr>
          <w:rFonts w:ascii="Times New Roman" w:hAnsi="Times New Roman" w:cs="Times New Roman"/>
          <w:i/>
          <w:iCs/>
          <w:noProof/>
          <w:sz w:val="24"/>
          <w:szCs w:val="24"/>
        </w:rPr>
        <w:t>Journal of Experimental Psychology. Learning, Memory, and Cognition</w:t>
      </w:r>
      <w:r w:rsidRPr="00662A69">
        <w:rPr>
          <w:rFonts w:ascii="Times New Roman" w:hAnsi="Times New Roman" w:cs="Times New Roman"/>
          <w:noProof/>
          <w:sz w:val="24"/>
          <w:szCs w:val="24"/>
        </w:rPr>
        <w:t>, 35(4), pp.1089–1096.</w:t>
      </w:r>
    </w:p>
    <w:p w14:paraId="6E38D13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Schuster, R.M., Mermelstein, R.J. &amp; Hedeker, D., 2016. Ecological momentary assessment of working memory under conditions of simultaneous marijuana and tobacco use. </w:t>
      </w:r>
      <w:r w:rsidRPr="00662A69">
        <w:rPr>
          <w:rFonts w:ascii="Times New Roman" w:hAnsi="Times New Roman" w:cs="Times New Roman"/>
          <w:i/>
          <w:iCs/>
          <w:noProof/>
          <w:sz w:val="24"/>
          <w:szCs w:val="24"/>
        </w:rPr>
        <w:t>Addiction</w:t>
      </w:r>
      <w:r w:rsidRPr="00662A69">
        <w:rPr>
          <w:rFonts w:ascii="Times New Roman" w:hAnsi="Times New Roman" w:cs="Times New Roman"/>
          <w:noProof/>
          <w:sz w:val="24"/>
          <w:szCs w:val="24"/>
        </w:rPr>
        <w:t>, 111(8), pp.1466–1476.</w:t>
      </w:r>
    </w:p>
    <w:p w14:paraId="14BE9721" w14:textId="6F095A7F"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Seaman, S. &amp; White, I., 2014. Inverse probability weighting with missing predictors of treatment assignment or missingness. </w:t>
      </w:r>
      <w:r w:rsidRPr="00662A69">
        <w:rPr>
          <w:rFonts w:ascii="Times New Roman" w:hAnsi="Times New Roman" w:cs="Times New Roman"/>
          <w:i/>
          <w:iCs/>
          <w:noProof/>
          <w:sz w:val="24"/>
          <w:szCs w:val="24"/>
        </w:rPr>
        <w:t>Communications in Statistics - Theory and Methods</w:t>
      </w:r>
      <w:r w:rsidRPr="00662A69">
        <w:rPr>
          <w:rFonts w:ascii="Times New Roman" w:hAnsi="Times New Roman" w:cs="Times New Roman"/>
          <w:noProof/>
          <w:sz w:val="24"/>
          <w:szCs w:val="24"/>
        </w:rPr>
        <w:t xml:space="preserve">, 43(16), pp.3499–3515. </w:t>
      </w:r>
    </w:p>
    <w:p w14:paraId="6EB87B5E"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Seaman, S.R. et al., 2012. Combining multiple imputation and inverse-probability weighting. </w:t>
      </w:r>
      <w:r w:rsidRPr="00662A69">
        <w:rPr>
          <w:rFonts w:ascii="Times New Roman" w:hAnsi="Times New Roman" w:cs="Times New Roman"/>
          <w:i/>
          <w:iCs/>
          <w:noProof/>
          <w:sz w:val="24"/>
          <w:szCs w:val="24"/>
        </w:rPr>
        <w:t>Biometrics</w:t>
      </w:r>
      <w:r w:rsidRPr="00662A69">
        <w:rPr>
          <w:rFonts w:ascii="Times New Roman" w:hAnsi="Times New Roman" w:cs="Times New Roman"/>
          <w:noProof/>
          <w:sz w:val="24"/>
          <w:szCs w:val="24"/>
        </w:rPr>
        <w:t>, 68(1), pp.129–137.</w:t>
      </w:r>
    </w:p>
    <w:p w14:paraId="3661AFB3"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de Sonneville, L.M.J., 1999. Amsterdam Neuropsychological Tasks: A computer-aided </w:t>
      </w:r>
      <w:r w:rsidRPr="00662A69">
        <w:rPr>
          <w:rFonts w:ascii="Times New Roman" w:hAnsi="Times New Roman" w:cs="Times New Roman"/>
          <w:noProof/>
          <w:sz w:val="24"/>
          <w:szCs w:val="24"/>
        </w:rPr>
        <w:lastRenderedPageBreak/>
        <w:t xml:space="preserve">assessment program. In B. P. L. M. Den Brinker et al., eds. </w:t>
      </w:r>
      <w:r w:rsidRPr="00662A69">
        <w:rPr>
          <w:rFonts w:ascii="Times New Roman" w:hAnsi="Times New Roman" w:cs="Times New Roman"/>
          <w:i/>
          <w:iCs/>
          <w:noProof/>
          <w:sz w:val="24"/>
          <w:szCs w:val="24"/>
        </w:rPr>
        <w:t>Cognitive Ergonomics, Clinical Assessment and Computer-Assisted Learning</w:t>
      </w:r>
      <w:r w:rsidRPr="00662A69">
        <w:rPr>
          <w:rFonts w:ascii="Times New Roman" w:hAnsi="Times New Roman" w:cs="Times New Roman"/>
          <w:noProof/>
          <w:sz w:val="24"/>
          <w:szCs w:val="24"/>
        </w:rPr>
        <w:t>. The Netherlands: Swets &amp; Zeitlinger, pp. 187–203.</w:t>
      </w:r>
    </w:p>
    <w:p w14:paraId="5C9E24E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Squeglia, L.M. et al., 2012. Brain response to working memory over three years of adolescence: influence of initiating heavy drinking. </w:t>
      </w:r>
      <w:r w:rsidRPr="00662A69">
        <w:rPr>
          <w:rFonts w:ascii="Times New Roman" w:hAnsi="Times New Roman" w:cs="Times New Roman"/>
          <w:i/>
          <w:iCs/>
          <w:noProof/>
          <w:sz w:val="24"/>
          <w:szCs w:val="24"/>
        </w:rPr>
        <w:t>Journal of Studies on Alcohol and Drugs</w:t>
      </w:r>
      <w:r w:rsidRPr="00662A69">
        <w:rPr>
          <w:rFonts w:ascii="Times New Roman" w:hAnsi="Times New Roman" w:cs="Times New Roman"/>
          <w:noProof/>
          <w:sz w:val="24"/>
          <w:szCs w:val="24"/>
        </w:rPr>
        <w:t>, 73(5), pp.749–760.</w:t>
      </w:r>
    </w:p>
    <w:p w14:paraId="39FA27E1" w14:textId="1C4A210D"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Squeglia, L.M., Jacobus, J. &amp; Tapert, S.F., 2009. The influence of substance use on adolescent brain development. </w:t>
      </w:r>
      <w:r w:rsidRPr="00662A69">
        <w:rPr>
          <w:rFonts w:ascii="Times New Roman" w:hAnsi="Times New Roman" w:cs="Times New Roman"/>
          <w:i/>
          <w:iCs/>
          <w:noProof/>
          <w:sz w:val="24"/>
          <w:szCs w:val="24"/>
        </w:rPr>
        <w:t>Clinical EEG and Neuroscience</w:t>
      </w:r>
      <w:r w:rsidRPr="00662A69">
        <w:rPr>
          <w:rFonts w:ascii="Times New Roman" w:hAnsi="Times New Roman" w:cs="Times New Roman"/>
          <w:noProof/>
          <w:sz w:val="24"/>
          <w:szCs w:val="24"/>
        </w:rPr>
        <w:t xml:space="preserve">, 40(1), pp.31–8. </w:t>
      </w:r>
    </w:p>
    <w:p w14:paraId="4CD8AF8A" w14:textId="2992DF3E"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Sterne, J.A.C. et al., 2009. Multiple imputation for missing data in epidemiological and clinical research: potential and pitfalls. </w:t>
      </w:r>
      <w:r w:rsidRPr="00662A69">
        <w:rPr>
          <w:rFonts w:ascii="Times New Roman" w:hAnsi="Times New Roman" w:cs="Times New Roman"/>
          <w:i/>
          <w:iCs/>
          <w:noProof/>
          <w:sz w:val="24"/>
          <w:szCs w:val="24"/>
        </w:rPr>
        <w:t>British Medical Journal</w:t>
      </w:r>
      <w:r w:rsidRPr="00662A69">
        <w:rPr>
          <w:rFonts w:ascii="Times New Roman" w:hAnsi="Times New Roman" w:cs="Times New Roman"/>
          <w:noProof/>
          <w:sz w:val="24"/>
          <w:szCs w:val="24"/>
        </w:rPr>
        <w:t xml:space="preserve">, 338, p.b2393. </w:t>
      </w:r>
    </w:p>
    <w:p w14:paraId="2FD321F1" w14:textId="643B179B"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Tanner-Smith, E.E. &amp; Lipsey, M.W., 2015. Brief alcohol interventions for adolescents and young adults: A systematic review and meta-analysis. </w:t>
      </w:r>
      <w:r w:rsidRPr="00662A69">
        <w:rPr>
          <w:rFonts w:ascii="Times New Roman" w:hAnsi="Times New Roman" w:cs="Times New Roman"/>
          <w:i/>
          <w:iCs/>
          <w:noProof/>
          <w:sz w:val="24"/>
          <w:szCs w:val="24"/>
        </w:rPr>
        <w:t>Journal of Substance Abuse Treatment</w:t>
      </w:r>
      <w:r w:rsidRPr="00662A69">
        <w:rPr>
          <w:rFonts w:ascii="Times New Roman" w:hAnsi="Times New Roman" w:cs="Times New Roman"/>
          <w:noProof/>
          <w:sz w:val="24"/>
          <w:szCs w:val="24"/>
        </w:rPr>
        <w:t xml:space="preserve">, 51, pp.1–18. </w:t>
      </w:r>
    </w:p>
    <w:p w14:paraId="51C9E81A"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Tapert, S.F. et al., 2004. Blood oxygen level dependent response and spatial working memory in adolescents with alcohol use disorders. </w:t>
      </w:r>
      <w:r w:rsidRPr="00662A69">
        <w:rPr>
          <w:rFonts w:ascii="Times New Roman" w:hAnsi="Times New Roman" w:cs="Times New Roman"/>
          <w:i/>
          <w:iCs/>
          <w:noProof/>
          <w:sz w:val="24"/>
          <w:szCs w:val="24"/>
        </w:rPr>
        <w:t>Alcoholism, Clinical and Experimental Research</w:t>
      </w:r>
      <w:r w:rsidRPr="00662A69">
        <w:rPr>
          <w:rFonts w:ascii="Times New Roman" w:hAnsi="Times New Roman" w:cs="Times New Roman"/>
          <w:noProof/>
          <w:sz w:val="24"/>
          <w:szCs w:val="24"/>
        </w:rPr>
        <w:t>, 28(10), pp.1577–1586.</w:t>
      </w:r>
    </w:p>
    <w:p w14:paraId="49DA0736"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Unsworth, N., 2010. On the division of working memory and long-term memory and their relation to intelligence: A latent variable approach. </w:t>
      </w:r>
      <w:r w:rsidRPr="00662A69">
        <w:rPr>
          <w:rFonts w:ascii="Times New Roman" w:hAnsi="Times New Roman" w:cs="Times New Roman"/>
          <w:i/>
          <w:iCs/>
          <w:noProof/>
          <w:sz w:val="24"/>
          <w:szCs w:val="24"/>
        </w:rPr>
        <w:t>Acta Psychologica</w:t>
      </w:r>
      <w:r w:rsidRPr="00662A69">
        <w:rPr>
          <w:rFonts w:ascii="Times New Roman" w:hAnsi="Times New Roman" w:cs="Times New Roman"/>
          <w:noProof/>
          <w:sz w:val="24"/>
          <w:szCs w:val="24"/>
        </w:rPr>
        <w:t>, 134(1), pp.16–28.</w:t>
      </w:r>
    </w:p>
    <w:p w14:paraId="4C536D52"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Verrico, C.D. et al., 2014. Repeated Delta9-tetrahydrocannabinol exposure in adolescent monkeys: persistent effects selective for spatial working memory. </w:t>
      </w:r>
      <w:r w:rsidRPr="00662A69">
        <w:rPr>
          <w:rFonts w:ascii="Times New Roman" w:hAnsi="Times New Roman" w:cs="Times New Roman"/>
          <w:i/>
          <w:iCs/>
          <w:noProof/>
          <w:sz w:val="24"/>
          <w:szCs w:val="24"/>
        </w:rPr>
        <w:t>The American Journal of Psychiatry</w:t>
      </w:r>
      <w:r w:rsidRPr="00662A69">
        <w:rPr>
          <w:rFonts w:ascii="Times New Roman" w:hAnsi="Times New Roman" w:cs="Times New Roman"/>
          <w:noProof/>
          <w:sz w:val="24"/>
          <w:szCs w:val="24"/>
        </w:rPr>
        <w:t>, 171(4), pp.416–425.</w:t>
      </w:r>
    </w:p>
    <w:p w14:paraId="3795C04D"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Wardle, M.C. et al., 2013. Lack of association between COMT and working memory in a population-based cohort of healthy young adults. </w:t>
      </w:r>
      <w:r w:rsidRPr="00662A69">
        <w:rPr>
          <w:rFonts w:ascii="Times New Roman" w:hAnsi="Times New Roman" w:cs="Times New Roman"/>
          <w:i/>
          <w:iCs/>
          <w:noProof/>
          <w:sz w:val="24"/>
          <w:szCs w:val="24"/>
        </w:rPr>
        <w:t>Neuropsychopharmacology</w:t>
      </w:r>
      <w:r w:rsidRPr="00662A69">
        <w:rPr>
          <w:rFonts w:ascii="Times New Roman" w:hAnsi="Times New Roman" w:cs="Times New Roman"/>
          <w:noProof/>
          <w:sz w:val="24"/>
          <w:szCs w:val="24"/>
        </w:rPr>
        <w:t xml:space="preserve">, 38(7), </w:t>
      </w:r>
      <w:r w:rsidRPr="00662A69">
        <w:rPr>
          <w:rFonts w:ascii="Times New Roman" w:hAnsi="Times New Roman" w:cs="Times New Roman"/>
          <w:noProof/>
          <w:sz w:val="24"/>
          <w:szCs w:val="24"/>
        </w:rPr>
        <w:lastRenderedPageBreak/>
        <w:t>pp.1253–1263.</w:t>
      </w:r>
    </w:p>
    <w:p w14:paraId="06FF17D4"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White, A.M. et al., 2000. Binge pattern ethanol exposure in adolescent and adult rats: differential impact on subsequent responsiveness to ethanol. </w:t>
      </w:r>
      <w:r w:rsidRPr="00662A69">
        <w:rPr>
          <w:rFonts w:ascii="Times New Roman" w:hAnsi="Times New Roman" w:cs="Times New Roman"/>
          <w:i/>
          <w:iCs/>
          <w:noProof/>
          <w:sz w:val="24"/>
          <w:szCs w:val="24"/>
        </w:rPr>
        <w:t>Alcoholism, Clinical and Experimental Research</w:t>
      </w:r>
      <w:r w:rsidRPr="00662A69">
        <w:rPr>
          <w:rFonts w:ascii="Times New Roman" w:hAnsi="Times New Roman" w:cs="Times New Roman"/>
          <w:noProof/>
          <w:sz w:val="24"/>
          <w:szCs w:val="24"/>
        </w:rPr>
        <w:t>, 24(8), pp.1251–1256.</w:t>
      </w:r>
    </w:p>
    <w:p w14:paraId="0341C8EE" w14:textId="2FFD98E1"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Wilson, S. et al., 2015. Adolescent drinking and brain morphometry: A co-twin control analysis. </w:t>
      </w:r>
      <w:r w:rsidRPr="00662A69">
        <w:rPr>
          <w:rFonts w:ascii="Times New Roman" w:hAnsi="Times New Roman" w:cs="Times New Roman"/>
          <w:i/>
          <w:iCs/>
          <w:noProof/>
          <w:sz w:val="24"/>
          <w:szCs w:val="24"/>
        </w:rPr>
        <w:t>Developmental Cognitive Neuroscience</w:t>
      </w:r>
      <w:r w:rsidRPr="00662A69">
        <w:rPr>
          <w:rFonts w:ascii="Times New Roman" w:hAnsi="Times New Roman" w:cs="Times New Roman"/>
          <w:noProof/>
          <w:sz w:val="24"/>
          <w:szCs w:val="24"/>
        </w:rPr>
        <w:t xml:space="preserve">, 16, pp.130–138. </w:t>
      </w:r>
    </w:p>
    <w:p w14:paraId="0DC60CAF" w14:textId="3E8E68E8"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662A69">
        <w:rPr>
          <w:rFonts w:ascii="Times New Roman" w:hAnsi="Times New Roman" w:cs="Times New Roman"/>
          <w:noProof/>
          <w:sz w:val="24"/>
          <w:szCs w:val="24"/>
        </w:rPr>
        <w:t xml:space="preserve">Wolke, D. et al., 2009. Selective drop-out in longitudinal studies and non-biased prediction of behaviour disorders. </w:t>
      </w:r>
      <w:r w:rsidRPr="00662A69">
        <w:rPr>
          <w:rFonts w:ascii="Times New Roman" w:hAnsi="Times New Roman" w:cs="Times New Roman"/>
          <w:i/>
          <w:iCs/>
          <w:noProof/>
          <w:sz w:val="24"/>
          <w:szCs w:val="24"/>
        </w:rPr>
        <w:t>The British Journal of Psychiatry</w:t>
      </w:r>
      <w:r w:rsidRPr="00662A69">
        <w:rPr>
          <w:rFonts w:ascii="Times New Roman" w:hAnsi="Times New Roman" w:cs="Times New Roman"/>
          <w:noProof/>
          <w:sz w:val="24"/>
          <w:szCs w:val="24"/>
        </w:rPr>
        <w:t xml:space="preserve">, 195(3), pp.249–56. </w:t>
      </w:r>
    </w:p>
    <w:p w14:paraId="01E14E3A" w14:textId="77777777" w:rsidR="00662A69" w:rsidRPr="00662A69" w:rsidRDefault="00662A69" w:rsidP="00662A69">
      <w:pPr>
        <w:widowControl w:val="0"/>
        <w:autoSpaceDE w:val="0"/>
        <w:autoSpaceDN w:val="0"/>
        <w:adjustRightInd w:val="0"/>
        <w:spacing w:before="100" w:after="100" w:line="480" w:lineRule="auto"/>
        <w:ind w:left="480" w:hanging="480"/>
        <w:rPr>
          <w:rFonts w:ascii="Times New Roman" w:hAnsi="Times New Roman" w:cs="Times New Roman"/>
          <w:noProof/>
          <w:sz w:val="24"/>
        </w:rPr>
      </w:pPr>
      <w:r w:rsidRPr="00662A69">
        <w:rPr>
          <w:rFonts w:ascii="Times New Roman" w:hAnsi="Times New Roman" w:cs="Times New Roman"/>
          <w:noProof/>
          <w:sz w:val="24"/>
          <w:szCs w:val="24"/>
        </w:rPr>
        <w:t xml:space="preserve">Zhang, X., Stein, E.A. &amp; Hong, L.E., 2010. Smoking and schizophrenia independently and additively reduce white matter integrity between striatum and frontal cortex. </w:t>
      </w:r>
      <w:r w:rsidRPr="00662A69">
        <w:rPr>
          <w:rFonts w:ascii="Times New Roman" w:hAnsi="Times New Roman" w:cs="Times New Roman"/>
          <w:i/>
          <w:iCs/>
          <w:noProof/>
          <w:sz w:val="24"/>
          <w:szCs w:val="24"/>
        </w:rPr>
        <w:t>Biological Psychiatry</w:t>
      </w:r>
      <w:r w:rsidRPr="00662A69">
        <w:rPr>
          <w:rFonts w:ascii="Times New Roman" w:hAnsi="Times New Roman" w:cs="Times New Roman"/>
          <w:noProof/>
          <w:sz w:val="24"/>
          <w:szCs w:val="24"/>
        </w:rPr>
        <w:t>, 68(7), pp.674–677.</w:t>
      </w:r>
    </w:p>
    <w:p w14:paraId="4B1E63F7" w14:textId="13AAF0E3" w:rsidR="004412A3" w:rsidRDefault="009A2C03" w:rsidP="005325CA">
      <w:pPr>
        <w:pStyle w:val="NormalWeb"/>
        <w:spacing w:line="480" w:lineRule="auto"/>
        <w:ind w:left="480" w:hanging="480"/>
        <w:divId w:val="448934348"/>
        <w:rPr>
          <w:b/>
        </w:rPr>
      </w:pPr>
      <w:r>
        <w:rPr>
          <w:b/>
        </w:rPr>
        <w:fldChar w:fldCharType="end"/>
      </w:r>
    </w:p>
    <w:p w14:paraId="1FE80145" w14:textId="2016E6A4" w:rsidR="005A047C" w:rsidRDefault="005A047C" w:rsidP="005325CA">
      <w:pPr>
        <w:pStyle w:val="NormalWeb"/>
        <w:spacing w:line="480" w:lineRule="auto"/>
        <w:ind w:left="480" w:hanging="480"/>
        <w:divId w:val="448934348"/>
      </w:pPr>
    </w:p>
    <w:p w14:paraId="299AED7B" w14:textId="6CF1CEE4" w:rsidR="005A047C" w:rsidRDefault="005A047C" w:rsidP="005325CA">
      <w:pPr>
        <w:pStyle w:val="NormalWeb"/>
        <w:spacing w:line="480" w:lineRule="auto"/>
        <w:ind w:left="480" w:hanging="480"/>
        <w:divId w:val="448934348"/>
      </w:pPr>
    </w:p>
    <w:p w14:paraId="139AE310" w14:textId="498F4A20" w:rsidR="005A047C" w:rsidRDefault="005A047C" w:rsidP="005325CA">
      <w:pPr>
        <w:pStyle w:val="NormalWeb"/>
        <w:spacing w:line="480" w:lineRule="auto"/>
        <w:ind w:left="480" w:hanging="480"/>
        <w:divId w:val="448934348"/>
      </w:pPr>
    </w:p>
    <w:p w14:paraId="191B87FE" w14:textId="3FEDBDA1" w:rsidR="005A047C" w:rsidRDefault="005A047C" w:rsidP="005325CA">
      <w:pPr>
        <w:pStyle w:val="NormalWeb"/>
        <w:spacing w:line="480" w:lineRule="auto"/>
        <w:ind w:left="480" w:hanging="480"/>
        <w:divId w:val="448934348"/>
      </w:pPr>
    </w:p>
    <w:p w14:paraId="1E90A6DA" w14:textId="64181E8E" w:rsidR="005A047C" w:rsidRDefault="005A047C" w:rsidP="005325CA">
      <w:pPr>
        <w:pStyle w:val="NormalWeb"/>
        <w:spacing w:line="480" w:lineRule="auto"/>
        <w:ind w:left="480" w:hanging="480"/>
        <w:divId w:val="448934348"/>
      </w:pPr>
    </w:p>
    <w:p w14:paraId="0C590DA6" w14:textId="34AA50BF" w:rsidR="005A047C" w:rsidRDefault="005A047C" w:rsidP="005325CA">
      <w:pPr>
        <w:pStyle w:val="NormalWeb"/>
        <w:spacing w:line="480" w:lineRule="auto"/>
        <w:ind w:left="480" w:hanging="480"/>
        <w:divId w:val="448934348"/>
      </w:pPr>
    </w:p>
    <w:p w14:paraId="04E8899B" w14:textId="61AAB5C7" w:rsidR="005A047C" w:rsidRDefault="005A047C" w:rsidP="005325CA">
      <w:pPr>
        <w:pStyle w:val="NormalWeb"/>
        <w:spacing w:line="480" w:lineRule="auto"/>
        <w:ind w:left="480" w:hanging="480"/>
        <w:divId w:val="448934348"/>
      </w:pPr>
    </w:p>
    <w:p w14:paraId="77FB7485" w14:textId="77777777" w:rsidR="005A047C" w:rsidRDefault="005A047C" w:rsidP="005325CA">
      <w:pPr>
        <w:pStyle w:val="NormalWeb"/>
        <w:spacing w:line="480" w:lineRule="auto"/>
        <w:ind w:left="480" w:hanging="480"/>
        <w:divId w:val="448934348"/>
        <w:sectPr w:rsidR="005A047C" w:rsidSect="005325CA">
          <w:footerReference w:type="default" r:id="rId12"/>
          <w:pgSz w:w="11906" w:h="16838"/>
          <w:pgMar w:top="1440" w:right="1440" w:bottom="1440" w:left="1440" w:header="708" w:footer="708" w:gutter="0"/>
          <w:lnNumType w:countBy="1" w:restart="continuous"/>
          <w:cols w:space="708"/>
          <w:docGrid w:linePitch="360"/>
        </w:sectPr>
      </w:pPr>
    </w:p>
    <w:p w14:paraId="2DD67619" w14:textId="77777777" w:rsidR="005A047C" w:rsidRPr="005A047C" w:rsidRDefault="005A047C" w:rsidP="005A047C">
      <w:pPr>
        <w:spacing w:after="0" w:line="256" w:lineRule="auto"/>
        <w:divId w:val="448934348"/>
        <w:rPr>
          <w:rFonts w:ascii="Times New Roman" w:eastAsia="Times New Roman" w:hAnsi="Times New Roman" w:cs="Times New Roman"/>
          <w:b/>
          <w:sz w:val="24"/>
          <w:szCs w:val="24"/>
        </w:rPr>
      </w:pPr>
      <w:r w:rsidRPr="005A047C">
        <w:rPr>
          <w:rFonts w:ascii="Times New Roman" w:eastAsia="Times New Roman" w:hAnsi="Times New Roman" w:cs="Times New Roman"/>
          <w:b/>
          <w:sz w:val="24"/>
          <w:szCs w:val="24"/>
        </w:rPr>
        <w:lastRenderedPageBreak/>
        <w:t xml:space="preserve">Table 1. </w:t>
      </w:r>
      <w:bookmarkStart w:id="2" w:name="_Hlk494801182"/>
      <w:r w:rsidRPr="005A047C">
        <w:rPr>
          <w:rFonts w:ascii="Times New Roman" w:eastAsia="Times New Roman" w:hAnsi="Times New Roman" w:cs="Times New Roman"/>
          <w:b/>
          <w:sz w:val="24"/>
          <w:szCs w:val="24"/>
        </w:rPr>
        <w:t xml:space="preserve">Associations between alcohol use at age 15 years and </w:t>
      </w:r>
      <w:r w:rsidRPr="005A047C">
        <w:rPr>
          <w:rFonts w:ascii="Times New Roman" w:eastAsia="Times New Roman" w:hAnsi="Times New Roman" w:cs="Times New Roman"/>
          <w:b/>
          <w:i/>
          <w:sz w:val="24"/>
          <w:szCs w:val="24"/>
        </w:rPr>
        <w:t xml:space="preserve">d' </w:t>
      </w:r>
      <w:r w:rsidRPr="005A047C">
        <w:rPr>
          <w:rFonts w:ascii="Times New Roman" w:eastAsia="Times New Roman" w:hAnsi="Times New Roman" w:cs="Times New Roman"/>
          <w:b/>
          <w:sz w:val="24"/>
          <w:szCs w:val="24"/>
        </w:rPr>
        <w:t>at age 18 years for the 2-back task (</w:t>
      </w:r>
      <w:r w:rsidRPr="005A047C">
        <w:rPr>
          <w:rFonts w:ascii="Times New Roman" w:eastAsia="Times New Roman" w:hAnsi="Times New Roman" w:cs="Times New Roman"/>
          <w:b/>
          <w:i/>
          <w:sz w:val="24"/>
          <w:szCs w:val="24"/>
        </w:rPr>
        <w:t>n</w:t>
      </w:r>
      <w:r w:rsidRPr="005A047C">
        <w:rPr>
          <w:rFonts w:ascii="Times New Roman" w:eastAsia="Times New Roman" w:hAnsi="Times New Roman" w:cs="Times New Roman"/>
          <w:b/>
          <w:sz w:val="24"/>
          <w:szCs w:val="24"/>
        </w:rPr>
        <w:t>=3,351) in 50 multiply imputed datasets</w:t>
      </w:r>
      <w:bookmarkEnd w:id="2"/>
      <w:r w:rsidRPr="005A047C">
        <w:rPr>
          <w:rFonts w:ascii="Times New Roman" w:eastAsia="Times New Roman" w:hAnsi="Times New Roman" w:cs="Times New Roman"/>
          <w:b/>
          <w:sz w:val="24"/>
          <w:szCs w:val="24"/>
        </w:rPr>
        <w:t xml:space="preserve"> (standardized coefficients)</w:t>
      </w:r>
    </w:p>
    <w:tbl>
      <w:tblPr>
        <w:tblStyle w:val="TableGrid611"/>
        <w:tblW w:w="5000" w:type="pct"/>
        <w:tblInd w:w="0" w:type="dxa"/>
        <w:tblLook w:val="04A0" w:firstRow="1" w:lastRow="0" w:firstColumn="1" w:lastColumn="0" w:noHBand="0" w:noVBand="1"/>
      </w:tblPr>
      <w:tblGrid>
        <w:gridCol w:w="2722"/>
        <w:gridCol w:w="1278"/>
        <w:gridCol w:w="1758"/>
        <w:gridCol w:w="865"/>
        <w:gridCol w:w="2446"/>
        <w:gridCol w:w="1811"/>
        <w:gridCol w:w="791"/>
        <w:gridCol w:w="1721"/>
        <w:gridCol w:w="782"/>
      </w:tblGrid>
      <w:tr w:rsidR="005A047C" w:rsidRPr="005A047C" w14:paraId="214AAE00" w14:textId="77777777" w:rsidTr="005A047C">
        <w:trPr>
          <w:divId w:val="448934348"/>
        </w:trPr>
        <w:tc>
          <w:tcPr>
            <w:tcW w:w="960" w:type="pct"/>
            <w:tcBorders>
              <w:top w:val="double" w:sz="4" w:space="0" w:color="auto"/>
              <w:left w:val="nil"/>
              <w:bottom w:val="nil"/>
              <w:right w:val="single" w:sz="4" w:space="0" w:color="auto"/>
            </w:tcBorders>
          </w:tcPr>
          <w:p w14:paraId="177D5C19" w14:textId="77777777" w:rsidR="005A047C" w:rsidRPr="005A047C" w:rsidRDefault="005A047C" w:rsidP="005A047C">
            <w:pPr>
              <w:spacing w:line="360" w:lineRule="auto"/>
              <w:rPr>
                <w:szCs w:val="24"/>
              </w:rPr>
            </w:pPr>
          </w:p>
        </w:tc>
        <w:tc>
          <w:tcPr>
            <w:tcW w:w="451" w:type="pct"/>
            <w:tcBorders>
              <w:top w:val="double" w:sz="4" w:space="0" w:color="auto"/>
              <w:left w:val="single" w:sz="4" w:space="0" w:color="auto"/>
              <w:bottom w:val="nil"/>
              <w:right w:val="nil"/>
            </w:tcBorders>
          </w:tcPr>
          <w:p w14:paraId="3F42FBB5" w14:textId="77777777" w:rsidR="005A047C" w:rsidRPr="005A047C" w:rsidRDefault="005A047C" w:rsidP="005A047C">
            <w:pPr>
              <w:spacing w:line="360" w:lineRule="auto"/>
              <w:rPr>
                <w:rFonts w:eastAsia="Calibri"/>
                <w:szCs w:val="24"/>
              </w:rPr>
            </w:pPr>
          </w:p>
        </w:tc>
        <w:tc>
          <w:tcPr>
            <w:tcW w:w="925" w:type="pct"/>
            <w:gridSpan w:val="2"/>
            <w:tcBorders>
              <w:top w:val="double" w:sz="4" w:space="0" w:color="auto"/>
              <w:left w:val="nil"/>
              <w:bottom w:val="nil"/>
              <w:right w:val="nil"/>
            </w:tcBorders>
            <w:hideMark/>
          </w:tcPr>
          <w:p w14:paraId="07BF1351" w14:textId="77777777" w:rsidR="005A047C" w:rsidRPr="005A047C" w:rsidRDefault="005A047C" w:rsidP="005A047C">
            <w:pPr>
              <w:spacing w:line="360" w:lineRule="auto"/>
              <w:rPr>
                <w:rFonts w:eastAsia="Calibri"/>
                <w:szCs w:val="24"/>
              </w:rPr>
            </w:pPr>
            <w:r w:rsidRPr="005A047C">
              <w:rPr>
                <w:rFonts w:eastAsia="Calibri"/>
                <w:szCs w:val="24"/>
              </w:rPr>
              <w:t>Model 1</w:t>
            </w:r>
          </w:p>
        </w:tc>
        <w:tc>
          <w:tcPr>
            <w:tcW w:w="863" w:type="pct"/>
            <w:tcBorders>
              <w:top w:val="double" w:sz="4" w:space="0" w:color="auto"/>
              <w:left w:val="nil"/>
              <w:bottom w:val="nil"/>
              <w:right w:val="nil"/>
            </w:tcBorders>
            <w:hideMark/>
          </w:tcPr>
          <w:p w14:paraId="4854C59E" w14:textId="77777777" w:rsidR="005A047C" w:rsidRPr="005A047C" w:rsidRDefault="005A047C" w:rsidP="005A047C">
            <w:pPr>
              <w:spacing w:line="360" w:lineRule="auto"/>
              <w:rPr>
                <w:rFonts w:eastAsia="Calibri"/>
                <w:szCs w:val="24"/>
              </w:rPr>
            </w:pPr>
            <w:r w:rsidRPr="005A047C">
              <w:rPr>
                <w:rFonts w:eastAsia="Calibri"/>
                <w:szCs w:val="24"/>
              </w:rPr>
              <w:t>Model 2</w:t>
            </w:r>
          </w:p>
        </w:tc>
        <w:tc>
          <w:tcPr>
            <w:tcW w:w="918" w:type="pct"/>
            <w:gridSpan w:val="2"/>
            <w:tcBorders>
              <w:top w:val="double" w:sz="4" w:space="0" w:color="auto"/>
              <w:left w:val="nil"/>
              <w:bottom w:val="nil"/>
              <w:right w:val="nil"/>
            </w:tcBorders>
            <w:hideMark/>
          </w:tcPr>
          <w:p w14:paraId="772E2B44" w14:textId="77777777" w:rsidR="005A047C" w:rsidRPr="005A047C" w:rsidRDefault="005A047C" w:rsidP="005A047C">
            <w:pPr>
              <w:spacing w:line="360" w:lineRule="auto"/>
              <w:rPr>
                <w:rFonts w:eastAsia="Calibri"/>
                <w:szCs w:val="24"/>
              </w:rPr>
            </w:pPr>
            <w:r w:rsidRPr="005A047C">
              <w:rPr>
                <w:rFonts w:eastAsia="Calibri"/>
                <w:szCs w:val="24"/>
              </w:rPr>
              <w:t>Model 3</w:t>
            </w:r>
          </w:p>
        </w:tc>
        <w:tc>
          <w:tcPr>
            <w:tcW w:w="883" w:type="pct"/>
            <w:gridSpan w:val="2"/>
            <w:tcBorders>
              <w:top w:val="double" w:sz="4" w:space="0" w:color="auto"/>
              <w:left w:val="nil"/>
              <w:bottom w:val="nil"/>
              <w:right w:val="nil"/>
            </w:tcBorders>
            <w:hideMark/>
          </w:tcPr>
          <w:p w14:paraId="413ECCFC" w14:textId="77777777" w:rsidR="005A047C" w:rsidRPr="005A047C" w:rsidRDefault="005A047C" w:rsidP="005A047C">
            <w:pPr>
              <w:spacing w:line="360" w:lineRule="auto"/>
              <w:rPr>
                <w:rFonts w:eastAsia="Calibri"/>
                <w:szCs w:val="24"/>
              </w:rPr>
            </w:pPr>
            <w:r w:rsidRPr="005A047C">
              <w:rPr>
                <w:rFonts w:eastAsia="Calibri"/>
                <w:szCs w:val="24"/>
              </w:rPr>
              <w:t>Model 4</w:t>
            </w:r>
          </w:p>
        </w:tc>
      </w:tr>
      <w:tr w:rsidR="005A047C" w:rsidRPr="005A047C" w14:paraId="038D7483" w14:textId="77777777" w:rsidTr="005A047C">
        <w:trPr>
          <w:divId w:val="448934348"/>
        </w:trPr>
        <w:tc>
          <w:tcPr>
            <w:tcW w:w="960" w:type="pct"/>
            <w:tcBorders>
              <w:top w:val="nil"/>
              <w:left w:val="nil"/>
              <w:bottom w:val="single" w:sz="4" w:space="0" w:color="auto"/>
              <w:right w:val="single" w:sz="4" w:space="0" w:color="auto"/>
            </w:tcBorders>
          </w:tcPr>
          <w:p w14:paraId="4901F04B" w14:textId="77777777" w:rsidR="005A047C" w:rsidRPr="005A047C" w:rsidRDefault="005A047C" w:rsidP="005A047C">
            <w:pPr>
              <w:spacing w:line="360" w:lineRule="auto"/>
              <w:rPr>
                <w:rFonts w:eastAsia="Calibri"/>
                <w:szCs w:val="24"/>
              </w:rPr>
            </w:pPr>
          </w:p>
        </w:tc>
        <w:tc>
          <w:tcPr>
            <w:tcW w:w="451" w:type="pct"/>
            <w:tcBorders>
              <w:top w:val="nil"/>
              <w:left w:val="single" w:sz="4" w:space="0" w:color="auto"/>
              <w:bottom w:val="single" w:sz="4" w:space="0" w:color="auto"/>
              <w:right w:val="nil"/>
            </w:tcBorders>
            <w:hideMark/>
          </w:tcPr>
          <w:p w14:paraId="6A6C5339" w14:textId="77777777" w:rsidR="005A047C" w:rsidRPr="005A047C" w:rsidRDefault="005A047C" w:rsidP="005A047C">
            <w:pPr>
              <w:spacing w:line="360" w:lineRule="auto"/>
              <w:rPr>
                <w:rFonts w:eastAsia="Calibri"/>
                <w:i/>
                <w:szCs w:val="24"/>
              </w:rPr>
            </w:pPr>
            <w:r w:rsidRPr="005A047C">
              <w:rPr>
                <w:rFonts w:eastAsia="Calibri"/>
                <w:i/>
                <w:szCs w:val="24"/>
              </w:rPr>
              <w:t>n (%)</w:t>
            </w:r>
          </w:p>
        </w:tc>
        <w:tc>
          <w:tcPr>
            <w:tcW w:w="620" w:type="pct"/>
            <w:tcBorders>
              <w:top w:val="nil"/>
              <w:left w:val="nil"/>
              <w:bottom w:val="single" w:sz="4" w:space="0" w:color="auto"/>
              <w:right w:val="nil"/>
            </w:tcBorders>
            <w:hideMark/>
          </w:tcPr>
          <w:p w14:paraId="58C193B6" w14:textId="77777777" w:rsidR="005A047C" w:rsidRPr="005A047C" w:rsidRDefault="005A047C" w:rsidP="005A047C">
            <w:pPr>
              <w:spacing w:line="360" w:lineRule="auto"/>
              <w:rPr>
                <w:rFonts w:eastAsia="Calibri"/>
                <w:szCs w:val="24"/>
              </w:rPr>
            </w:pPr>
            <w:r w:rsidRPr="005A047C">
              <w:rPr>
                <w:rFonts w:eastAsia="Calibri"/>
                <w:i/>
                <w:szCs w:val="24"/>
              </w:rPr>
              <w:t>b</w:t>
            </w:r>
            <w:r w:rsidRPr="005A047C">
              <w:rPr>
                <w:rFonts w:eastAsia="Calibri"/>
                <w:szCs w:val="24"/>
              </w:rPr>
              <w:t xml:space="preserve"> (</w:t>
            </w:r>
            <w:r w:rsidRPr="005A047C">
              <w:rPr>
                <w:rFonts w:eastAsia="Calibri"/>
                <w:i/>
                <w:szCs w:val="24"/>
              </w:rPr>
              <w:t>95% CI)</w:t>
            </w:r>
          </w:p>
        </w:tc>
        <w:tc>
          <w:tcPr>
            <w:tcW w:w="305" w:type="pct"/>
            <w:tcBorders>
              <w:top w:val="nil"/>
              <w:left w:val="nil"/>
              <w:bottom w:val="single" w:sz="4" w:space="0" w:color="auto"/>
              <w:right w:val="nil"/>
            </w:tcBorders>
            <w:hideMark/>
          </w:tcPr>
          <w:p w14:paraId="154C9D70" w14:textId="77777777" w:rsidR="005A047C" w:rsidRPr="005A047C" w:rsidRDefault="005A047C" w:rsidP="005A047C">
            <w:pPr>
              <w:spacing w:line="360" w:lineRule="auto"/>
              <w:rPr>
                <w:rFonts w:eastAsia="Calibri"/>
                <w:i/>
                <w:szCs w:val="24"/>
              </w:rPr>
            </w:pPr>
            <w:r w:rsidRPr="005A047C">
              <w:rPr>
                <w:rFonts w:eastAsia="Calibri"/>
                <w:i/>
                <w:szCs w:val="24"/>
              </w:rPr>
              <w:t>p</w:t>
            </w:r>
          </w:p>
        </w:tc>
        <w:tc>
          <w:tcPr>
            <w:tcW w:w="863" w:type="pct"/>
            <w:tcBorders>
              <w:top w:val="nil"/>
              <w:left w:val="nil"/>
              <w:bottom w:val="single" w:sz="4" w:space="0" w:color="auto"/>
              <w:right w:val="nil"/>
            </w:tcBorders>
            <w:hideMark/>
          </w:tcPr>
          <w:p w14:paraId="37408FE1" w14:textId="77777777" w:rsidR="005A047C" w:rsidRPr="005A047C" w:rsidRDefault="005A047C" w:rsidP="005A047C">
            <w:pPr>
              <w:spacing w:line="360" w:lineRule="auto"/>
              <w:rPr>
                <w:rFonts w:eastAsia="Calibri"/>
                <w:szCs w:val="24"/>
              </w:rPr>
            </w:pPr>
            <w:r w:rsidRPr="005A047C">
              <w:rPr>
                <w:rFonts w:eastAsia="Calibri"/>
                <w:i/>
                <w:szCs w:val="24"/>
              </w:rPr>
              <w:t>b</w:t>
            </w:r>
            <w:r w:rsidRPr="005A047C">
              <w:rPr>
                <w:rFonts w:eastAsia="Calibri"/>
                <w:szCs w:val="24"/>
              </w:rPr>
              <w:t xml:space="preserve"> (</w:t>
            </w:r>
            <w:r w:rsidRPr="005A047C">
              <w:rPr>
                <w:rFonts w:eastAsia="Calibri"/>
                <w:i/>
                <w:szCs w:val="24"/>
              </w:rPr>
              <w:t>95% CI)            p</w:t>
            </w:r>
          </w:p>
        </w:tc>
        <w:tc>
          <w:tcPr>
            <w:tcW w:w="639" w:type="pct"/>
            <w:tcBorders>
              <w:top w:val="nil"/>
              <w:left w:val="nil"/>
              <w:bottom w:val="single" w:sz="4" w:space="0" w:color="auto"/>
              <w:right w:val="nil"/>
            </w:tcBorders>
            <w:hideMark/>
          </w:tcPr>
          <w:p w14:paraId="42DC7B70" w14:textId="77777777" w:rsidR="005A047C" w:rsidRPr="005A047C" w:rsidRDefault="005A047C" w:rsidP="005A047C">
            <w:pPr>
              <w:spacing w:line="360" w:lineRule="auto"/>
              <w:rPr>
                <w:rFonts w:eastAsia="Calibri"/>
                <w:i/>
                <w:szCs w:val="24"/>
              </w:rPr>
            </w:pPr>
            <w:r w:rsidRPr="005A047C">
              <w:rPr>
                <w:rFonts w:eastAsia="Calibri"/>
                <w:i/>
                <w:szCs w:val="24"/>
              </w:rPr>
              <w:t>b</w:t>
            </w:r>
            <w:r w:rsidRPr="005A047C">
              <w:rPr>
                <w:rFonts w:eastAsia="Calibri"/>
                <w:szCs w:val="24"/>
              </w:rPr>
              <w:t xml:space="preserve"> (</w:t>
            </w:r>
            <w:r w:rsidRPr="005A047C">
              <w:rPr>
                <w:rFonts w:eastAsia="Calibri"/>
                <w:i/>
                <w:szCs w:val="24"/>
              </w:rPr>
              <w:t>95% CI)</w:t>
            </w:r>
          </w:p>
        </w:tc>
        <w:tc>
          <w:tcPr>
            <w:tcW w:w="279" w:type="pct"/>
            <w:tcBorders>
              <w:top w:val="nil"/>
              <w:left w:val="nil"/>
              <w:bottom w:val="single" w:sz="4" w:space="0" w:color="auto"/>
              <w:right w:val="nil"/>
            </w:tcBorders>
            <w:hideMark/>
          </w:tcPr>
          <w:p w14:paraId="1F784338" w14:textId="77777777" w:rsidR="005A047C" w:rsidRPr="005A047C" w:rsidRDefault="005A047C" w:rsidP="005A047C">
            <w:pPr>
              <w:spacing w:line="360" w:lineRule="auto"/>
              <w:rPr>
                <w:rFonts w:eastAsia="Calibri"/>
                <w:i/>
                <w:szCs w:val="24"/>
              </w:rPr>
            </w:pPr>
            <w:r w:rsidRPr="005A047C">
              <w:rPr>
                <w:rFonts w:eastAsia="Calibri"/>
                <w:i/>
                <w:szCs w:val="24"/>
              </w:rPr>
              <w:t>p</w:t>
            </w:r>
          </w:p>
        </w:tc>
        <w:tc>
          <w:tcPr>
            <w:tcW w:w="607" w:type="pct"/>
            <w:tcBorders>
              <w:top w:val="nil"/>
              <w:left w:val="nil"/>
              <w:bottom w:val="single" w:sz="4" w:space="0" w:color="auto"/>
              <w:right w:val="nil"/>
            </w:tcBorders>
            <w:hideMark/>
          </w:tcPr>
          <w:p w14:paraId="63B7726A" w14:textId="77777777" w:rsidR="005A047C" w:rsidRPr="005A047C" w:rsidRDefault="005A047C" w:rsidP="005A047C">
            <w:pPr>
              <w:spacing w:line="360" w:lineRule="auto"/>
              <w:rPr>
                <w:rFonts w:eastAsia="Calibri"/>
                <w:szCs w:val="24"/>
              </w:rPr>
            </w:pPr>
            <w:r w:rsidRPr="005A047C">
              <w:rPr>
                <w:rFonts w:eastAsia="Calibri"/>
                <w:i/>
                <w:szCs w:val="24"/>
              </w:rPr>
              <w:t>b</w:t>
            </w:r>
            <w:r w:rsidRPr="005A047C">
              <w:rPr>
                <w:rFonts w:eastAsia="Calibri"/>
                <w:szCs w:val="24"/>
              </w:rPr>
              <w:t xml:space="preserve"> (</w:t>
            </w:r>
            <w:r w:rsidRPr="005A047C">
              <w:rPr>
                <w:rFonts w:eastAsia="Calibri"/>
                <w:i/>
                <w:szCs w:val="24"/>
              </w:rPr>
              <w:t>95% CI)</w:t>
            </w:r>
          </w:p>
        </w:tc>
        <w:tc>
          <w:tcPr>
            <w:tcW w:w="276" w:type="pct"/>
            <w:tcBorders>
              <w:top w:val="nil"/>
              <w:left w:val="nil"/>
              <w:bottom w:val="single" w:sz="4" w:space="0" w:color="auto"/>
              <w:right w:val="nil"/>
            </w:tcBorders>
            <w:hideMark/>
          </w:tcPr>
          <w:p w14:paraId="0FAD39C2" w14:textId="77777777" w:rsidR="005A047C" w:rsidRPr="005A047C" w:rsidRDefault="005A047C" w:rsidP="005A047C">
            <w:pPr>
              <w:spacing w:line="360" w:lineRule="auto"/>
              <w:rPr>
                <w:rFonts w:eastAsia="Calibri"/>
                <w:i/>
                <w:szCs w:val="24"/>
              </w:rPr>
            </w:pPr>
            <w:r w:rsidRPr="005A047C">
              <w:rPr>
                <w:rFonts w:eastAsia="Calibri"/>
                <w:i/>
                <w:szCs w:val="24"/>
              </w:rPr>
              <w:t>p</w:t>
            </w:r>
          </w:p>
        </w:tc>
      </w:tr>
      <w:tr w:rsidR="005A047C" w:rsidRPr="005A047C" w14:paraId="3B8D422B" w14:textId="77777777" w:rsidTr="005A047C">
        <w:trPr>
          <w:divId w:val="448934348"/>
        </w:trPr>
        <w:tc>
          <w:tcPr>
            <w:tcW w:w="960" w:type="pct"/>
            <w:tcBorders>
              <w:top w:val="nil"/>
              <w:left w:val="nil"/>
              <w:bottom w:val="nil"/>
              <w:right w:val="single" w:sz="4" w:space="0" w:color="auto"/>
            </w:tcBorders>
            <w:hideMark/>
          </w:tcPr>
          <w:p w14:paraId="64BB7F6F" w14:textId="77777777" w:rsidR="005A047C" w:rsidRPr="005A047C" w:rsidRDefault="005A047C" w:rsidP="005A047C">
            <w:pPr>
              <w:spacing w:line="360" w:lineRule="auto"/>
              <w:rPr>
                <w:rFonts w:eastAsia="Calibri"/>
                <w:i/>
                <w:szCs w:val="24"/>
              </w:rPr>
            </w:pPr>
            <w:r w:rsidRPr="005A047C">
              <w:rPr>
                <w:rFonts w:eastAsia="Calibri"/>
                <w:i/>
                <w:szCs w:val="24"/>
              </w:rPr>
              <w:t>Low alcohol use</w:t>
            </w:r>
          </w:p>
        </w:tc>
        <w:tc>
          <w:tcPr>
            <w:tcW w:w="451" w:type="pct"/>
            <w:tcBorders>
              <w:top w:val="single" w:sz="4" w:space="0" w:color="auto"/>
              <w:left w:val="single" w:sz="4" w:space="0" w:color="auto"/>
              <w:bottom w:val="nil"/>
              <w:right w:val="nil"/>
            </w:tcBorders>
          </w:tcPr>
          <w:p w14:paraId="0814A7DC" w14:textId="77777777" w:rsidR="005A047C" w:rsidRPr="005A047C" w:rsidRDefault="005A047C" w:rsidP="005A047C">
            <w:pPr>
              <w:spacing w:line="360" w:lineRule="auto"/>
              <w:rPr>
                <w:rFonts w:eastAsia="Calibri"/>
                <w:szCs w:val="24"/>
              </w:rPr>
            </w:pPr>
          </w:p>
        </w:tc>
        <w:tc>
          <w:tcPr>
            <w:tcW w:w="620" w:type="pct"/>
            <w:tcBorders>
              <w:top w:val="single" w:sz="4" w:space="0" w:color="auto"/>
              <w:left w:val="nil"/>
              <w:bottom w:val="nil"/>
              <w:right w:val="nil"/>
            </w:tcBorders>
            <w:hideMark/>
          </w:tcPr>
          <w:p w14:paraId="1B7850EE" w14:textId="77777777" w:rsidR="005A047C" w:rsidRPr="005A047C" w:rsidRDefault="005A047C" w:rsidP="005A047C">
            <w:pPr>
              <w:spacing w:line="360" w:lineRule="auto"/>
              <w:rPr>
                <w:rFonts w:eastAsia="Calibri"/>
                <w:szCs w:val="24"/>
              </w:rPr>
            </w:pPr>
            <w:r w:rsidRPr="005A047C">
              <w:rPr>
                <w:rFonts w:eastAsia="Calibri"/>
                <w:szCs w:val="24"/>
              </w:rPr>
              <w:t>ref</w:t>
            </w:r>
          </w:p>
        </w:tc>
        <w:tc>
          <w:tcPr>
            <w:tcW w:w="305" w:type="pct"/>
            <w:tcBorders>
              <w:top w:val="single" w:sz="4" w:space="0" w:color="auto"/>
              <w:left w:val="nil"/>
              <w:bottom w:val="nil"/>
              <w:right w:val="nil"/>
            </w:tcBorders>
          </w:tcPr>
          <w:p w14:paraId="71C5822A" w14:textId="77777777" w:rsidR="005A047C" w:rsidRPr="005A047C" w:rsidRDefault="005A047C" w:rsidP="005A047C">
            <w:pPr>
              <w:spacing w:line="360" w:lineRule="auto"/>
              <w:rPr>
                <w:rFonts w:eastAsia="Calibri"/>
                <w:szCs w:val="24"/>
              </w:rPr>
            </w:pPr>
          </w:p>
        </w:tc>
        <w:tc>
          <w:tcPr>
            <w:tcW w:w="863" w:type="pct"/>
            <w:tcBorders>
              <w:top w:val="single" w:sz="4" w:space="0" w:color="auto"/>
              <w:left w:val="nil"/>
              <w:bottom w:val="nil"/>
              <w:right w:val="nil"/>
            </w:tcBorders>
            <w:hideMark/>
          </w:tcPr>
          <w:p w14:paraId="411F7EF1" w14:textId="77777777" w:rsidR="005A047C" w:rsidRPr="005A047C" w:rsidRDefault="005A047C" w:rsidP="005A047C">
            <w:pPr>
              <w:spacing w:line="360" w:lineRule="auto"/>
              <w:rPr>
                <w:rFonts w:eastAsia="Calibri"/>
                <w:szCs w:val="24"/>
              </w:rPr>
            </w:pPr>
            <w:r w:rsidRPr="005A047C">
              <w:rPr>
                <w:rFonts w:eastAsia="Calibri"/>
                <w:szCs w:val="24"/>
              </w:rPr>
              <w:t>ref</w:t>
            </w:r>
          </w:p>
        </w:tc>
        <w:tc>
          <w:tcPr>
            <w:tcW w:w="639" w:type="pct"/>
            <w:tcBorders>
              <w:top w:val="single" w:sz="4" w:space="0" w:color="auto"/>
              <w:left w:val="nil"/>
              <w:bottom w:val="nil"/>
              <w:right w:val="nil"/>
            </w:tcBorders>
            <w:hideMark/>
          </w:tcPr>
          <w:p w14:paraId="7055BCCA" w14:textId="77777777" w:rsidR="005A047C" w:rsidRPr="005A047C" w:rsidRDefault="005A047C" w:rsidP="005A047C">
            <w:pPr>
              <w:spacing w:line="360" w:lineRule="auto"/>
              <w:rPr>
                <w:rFonts w:eastAsia="Calibri"/>
                <w:szCs w:val="24"/>
              </w:rPr>
            </w:pPr>
            <w:r w:rsidRPr="005A047C">
              <w:rPr>
                <w:rFonts w:eastAsia="Calibri"/>
                <w:szCs w:val="24"/>
              </w:rPr>
              <w:t>ref</w:t>
            </w:r>
          </w:p>
        </w:tc>
        <w:tc>
          <w:tcPr>
            <w:tcW w:w="279" w:type="pct"/>
            <w:tcBorders>
              <w:top w:val="single" w:sz="4" w:space="0" w:color="auto"/>
              <w:left w:val="nil"/>
              <w:bottom w:val="nil"/>
              <w:right w:val="nil"/>
            </w:tcBorders>
          </w:tcPr>
          <w:p w14:paraId="24387809" w14:textId="77777777" w:rsidR="005A047C" w:rsidRPr="005A047C" w:rsidRDefault="005A047C" w:rsidP="005A047C">
            <w:pPr>
              <w:spacing w:line="360" w:lineRule="auto"/>
              <w:rPr>
                <w:rFonts w:eastAsia="Calibri"/>
                <w:szCs w:val="24"/>
              </w:rPr>
            </w:pPr>
          </w:p>
        </w:tc>
        <w:tc>
          <w:tcPr>
            <w:tcW w:w="607" w:type="pct"/>
            <w:tcBorders>
              <w:top w:val="single" w:sz="4" w:space="0" w:color="auto"/>
              <w:left w:val="nil"/>
              <w:bottom w:val="nil"/>
              <w:right w:val="nil"/>
            </w:tcBorders>
            <w:hideMark/>
          </w:tcPr>
          <w:p w14:paraId="2561C56A" w14:textId="77777777" w:rsidR="005A047C" w:rsidRPr="005A047C" w:rsidRDefault="005A047C" w:rsidP="005A047C">
            <w:pPr>
              <w:spacing w:line="360" w:lineRule="auto"/>
              <w:rPr>
                <w:rFonts w:eastAsia="Calibri"/>
                <w:szCs w:val="24"/>
              </w:rPr>
            </w:pPr>
            <w:r w:rsidRPr="005A047C">
              <w:rPr>
                <w:rFonts w:eastAsia="Calibri"/>
                <w:szCs w:val="24"/>
              </w:rPr>
              <w:t>ref</w:t>
            </w:r>
          </w:p>
        </w:tc>
        <w:tc>
          <w:tcPr>
            <w:tcW w:w="276" w:type="pct"/>
            <w:tcBorders>
              <w:top w:val="single" w:sz="4" w:space="0" w:color="auto"/>
              <w:left w:val="nil"/>
              <w:bottom w:val="nil"/>
              <w:right w:val="nil"/>
            </w:tcBorders>
          </w:tcPr>
          <w:p w14:paraId="32DF4CAC" w14:textId="77777777" w:rsidR="005A047C" w:rsidRPr="005A047C" w:rsidRDefault="005A047C" w:rsidP="005A047C">
            <w:pPr>
              <w:spacing w:line="360" w:lineRule="auto"/>
              <w:rPr>
                <w:rFonts w:eastAsia="Calibri"/>
                <w:szCs w:val="24"/>
              </w:rPr>
            </w:pPr>
          </w:p>
        </w:tc>
      </w:tr>
      <w:tr w:rsidR="005A047C" w:rsidRPr="005A047C" w14:paraId="3A273345" w14:textId="77777777" w:rsidTr="005A047C">
        <w:trPr>
          <w:divId w:val="448934348"/>
        </w:trPr>
        <w:tc>
          <w:tcPr>
            <w:tcW w:w="960" w:type="pct"/>
            <w:tcBorders>
              <w:top w:val="nil"/>
              <w:left w:val="nil"/>
              <w:bottom w:val="nil"/>
              <w:right w:val="single" w:sz="4" w:space="0" w:color="auto"/>
            </w:tcBorders>
            <w:hideMark/>
          </w:tcPr>
          <w:p w14:paraId="353043BD" w14:textId="77777777" w:rsidR="005A047C" w:rsidRPr="005A047C" w:rsidRDefault="005A047C" w:rsidP="005A047C">
            <w:pPr>
              <w:spacing w:line="360" w:lineRule="auto"/>
              <w:rPr>
                <w:rFonts w:eastAsia="Calibri"/>
                <w:i/>
                <w:szCs w:val="24"/>
              </w:rPr>
            </w:pPr>
            <w:r w:rsidRPr="005A047C">
              <w:rPr>
                <w:rFonts w:eastAsia="Calibri"/>
                <w:i/>
                <w:szCs w:val="24"/>
              </w:rPr>
              <w:t>Frequent drinking only</w:t>
            </w:r>
          </w:p>
        </w:tc>
        <w:tc>
          <w:tcPr>
            <w:tcW w:w="451" w:type="pct"/>
            <w:tcBorders>
              <w:top w:val="nil"/>
              <w:left w:val="single" w:sz="4" w:space="0" w:color="auto"/>
              <w:bottom w:val="nil"/>
              <w:right w:val="nil"/>
            </w:tcBorders>
            <w:hideMark/>
          </w:tcPr>
          <w:p w14:paraId="17A37484" w14:textId="77777777" w:rsidR="005A047C" w:rsidRPr="005A047C" w:rsidRDefault="005A047C" w:rsidP="005A047C">
            <w:pPr>
              <w:spacing w:line="360" w:lineRule="auto"/>
              <w:rPr>
                <w:rFonts w:eastAsia="Calibri"/>
                <w:szCs w:val="24"/>
              </w:rPr>
            </w:pPr>
            <w:r w:rsidRPr="005A047C">
              <w:rPr>
                <w:rFonts w:eastAsia="Calibri"/>
                <w:szCs w:val="24"/>
              </w:rPr>
              <w:t>397 (11.7)</w:t>
            </w:r>
          </w:p>
        </w:tc>
        <w:tc>
          <w:tcPr>
            <w:tcW w:w="620" w:type="pct"/>
            <w:tcBorders>
              <w:top w:val="nil"/>
              <w:left w:val="nil"/>
              <w:bottom w:val="nil"/>
              <w:right w:val="nil"/>
            </w:tcBorders>
            <w:hideMark/>
          </w:tcPr>
          <w:p w14:paraId="74B9B109" w14:textId="77777777" w:rsidR="005A047C" w:rsidRPr="005A047C" w:rsidRDefault="005A047C" w:rsidP="005A047C">
            <w:pPr>
              <w:spacing w:line="360" w:lineRule="auto"/>
              <w:rPr>
                <w:rFonts w:eastAsia="Calibri"/>
                <w:szCs w:val="24"/>
              </w:rPr>
            </w:pPr>
            <w:r w:rsidRPr="005A047C">
              <w:rPr>
                <w:rFonts w:eastAsia="Calibri"/>
                <w:szCs w:val="24"/>
              </w:rPr>
              <w:t xml:space="preserve"> -.00 (-.15, .14)</w:t>
            </w:r>
          </w:p>
        </w:tc>
        <w:tc>
          <w:tcPr>
            <w:tcW w:w="305" w:type="pct"/>
            <w:tcBorders>
              <w:top w:val="nil"/>
              <w:left w:val="nil"/>
              <w:bottom w:val="nil"/>
              <w:right w:val="nil"/>
            </w:tcBorders>
            <w:hideMark/>
          </w:tcPr>
          <w:p w14:paraId="12C9923F" w14:textId="77777777" w:rsidR="005A047C" w:rsidRPr="005A047C" w:rsidRDefault="005A047C" w:rsidP="005A047C">
            <w:pPr>
              <w:spacing w:line="360" w:lineRule="auto"/>
              <w:rPr>
                <w:rFonts w:eastAsia="Calibri"/>
                <w:szCs w:val="24"/>
              </w:rPr>
            </w:pPr>
            <w:r w:rsidRPr="005A047C">
              <w:rPr>
                <w:rFonts w:eastAsia="Calibri"/>
                <w:szCs w:val="24"/>
              </w:rPr>
              <w:t>.96</w:t>
            </w:r>
          </w:p>
        </w:tc>
        <w:tc>
          <w:tcPr>
            <w:tcW w:w="863" w:type="pct"/>
            <w:tcBorders>
              <w:top w:val="nil"/>
              <w:left w:val="nil"/>
              <w:bottom w:val="nil"/>
              <w:right w:val="nil"/>
            </w:tcBorders>
            <w:hideMark/>
          </w:tcPr>
          <w:p w14:paraId="59FC249F" w14:textId="77777777" w:rsidR="005A047C" w:rsidRPr="005A047C" w:rsidRDefault="005A047C" w:rsidP="005A047C">
            <w:pPr>
              <w:spacing w:line="360" w:lineRule="auto"/>
              <w:rPr>
                <w:rFonts w:eastAsia="Calibri"/>
                <w:szCs w:val="24"/>
              </w:rPr>
            </w:pPr>
            <w:r w:rsidRPr="005A047C">
              <w:rPr>
                <w:rFonts w:eastAsia="Calibri"/>
                <w:szCs w:val="24"/>
              </w:rPr>
              <w:t>-.03 (-.16, .10)   .76</w:t>
            </w:r>
          </w:p>
        </w:tc>
        <w:tc>
          <w:tcPr>
            <w:tcW w:w="639" w:type="pct"/>
            <w:tcBorders>
              <w:top w:val="nil"/>
              <w:left w:val="nil"/>
              <w:bottom w:val="nil"/>
              <w:right w:val="nil"/>
            </w:tcBorders>
            <w:hideMark/>
          </w:tcPr>
          <w:p w14:paraId="3915C845" w14:textId="77777777" w:rsidR="005A047C" w:rsidRPr="005A047C" w:rsidRDefault="005A047C" w:rsidP="005A047C">
            <w:pPr>
              <w:spacing w:line="360" w:lineRule="auto"/>
              <w:rPr>
                <w:rFonts w:eastAsia="Calibri"/>
                <w:szCs w:val="24"/>
              </w:rPr>
            </w:pPr>
            <w:r w:rsidRPr="005A047C">
              <w:rPr>
                <w:rFonts w:eastAsia="Calibri"/>
                <w:szCs w:val="24"/>
              </w:rPr>
              <w:t>-.02 (-.15, .11)</w:t>
            </w:r>
          </w:p>
        </w:tc>
        <w:tc>
          <w:tcPr>
            <w:tcW w:w="279" w:type="pct"/>
            <w:tcBorders>
              <w:top w:val="nil"/>
              <w:left w:val="nil"/>
              <w:bottom w:val="nil"/>
              <w:right w:val="nil"/>
            </w:tcBorders>
            <w:hideMark/>
          </w:tcPr>
          <w:p w14:paraId="13B0D71C" w14:textId="77777777" w:rsidR="005A047C" w:rsidRPr="005A047C" w:rsidRDefault="005A047C" w:rsidP="005A047C">
            <w:pPr>
              <w:spacing w:line="360" w:lineRule="auto"/>
              <w:rPr>
                <w:rFonts w:eastAsia="Calibri"/>
                <w:szCs w:val="24"/>
              </w:rPr>
            </w:pPr>
            <w:r w:rsidRPr="005A047C">
              <w:rPr>
                <w:rFonts w:eastAsia="Calibri"/>
                <w:szCs w:val="24"/>
              </w:rPr>
              <w:t>.72</w:t>
            </w:r>
          </w:p>
        </w:tc>
        <w:tc>
          <w:tcPr>
            <w:tcW w:w="607" w:type="pct"/>
            <w:tcBorders>
              <w:top w:val="nil"/>
              <w:left w:val="nil"/>
              <w:bottom w:val="nil"/>
              <w:right w:val="nil"/>
            </w:tcBorders>
            <w:hideMark/>
          </w:tcPr>
          <w:p w14:paraId="02391110" w14:textId="77777777" w:rsidR="005A047C" w:rsidRPr="005A047C" w:rsidRDefault="005A047C" w:rsidP="005A047C">
            <w:pPr>
              <w:spacing w:line="360" w:lineRule="auto"/>
              <w:rPr>
                <w:rFonts w:eastAsia="Calibri"/>
                <w:szCs w:val="24"/>
              </w:rPr>
            </w:pPr>
            <w:r w:rsidRPr="005A047C">
              <w:rPr>
                <w:rFonts w:eastAsia="Calibri"/>
                <w:szCs w:val="24"/>
              </w:rPr>
              <w:t xml:space="preserve"> .03 (-.11, .17)</w:t>
            </w:r>
          </w:p>
        </w:tc>
        <w:tc>
          <w:tcPr>
            <w:tcW w:w="276" w:type="pct"/>
            <w:tcBorders>
              <w:top w:val="nil"/>
              <w:left w:val="nil"/>
              <w:bottom w:val="nil"/>
              <w:right w:val="nil"/>
            </w:tcBorders>
            <w:hideMark/>
          </w:tcPr>
          <w:p w14:paraId="625035A7" w14:textId="77777777" w:rsidR="005A047C" w:rsidRPr="005A047C" w:rsidRDefault="005A047C" w:rsidP="005A047C">
            <w:pPr>
              <w:spacing w:line="360" w:lineRule="auto"/>
              <w:rPr>
                <w:rFonts w:eastAsia="Calibri"/>
                <w:szCs w:val="24"/>
              </w:rPr>
            </w:pPr>
            <w:r w:rsidRPr="005A047C">
              <w:rPr>
                <w:rFonts w:eastAsia="Calibri"/>
                <w:szCs w:val="24"/>
              </w:rPr>
              <w:t>.67</w:t>
            </w:r>
          </w:p>
        </w:tc>
      </w:tr>
      <w:tr w:rsidR="005A047C" w:rsidRPr="005A047C" w14:paraId="79CE0BB6" w14:textId="77777777" w:rsidTr="005A047C">
        <w:trPr>
          <w:divId w:val="448934348"/>
        </w:trPr>
        <w:tc>
          <w:tcPr>
            <w:tcW w:w="960" w:type="pct"/>
            <w:tcBorders>
              <w:top w:val="nil"/>
              <w:left w:val="nil"/>
              <w:bottom w:val="double" w:sz="4" w:space="0" w:color="auto"/>
              <w:right w:val="single" w:sz="4" w:space="0" w:color="auto"/>
            </w:tcBorders>
            <w:hideMark/>
          </w:tcPr>
          <w:p w14:paraId="0CE6A241" w14:textId="77777777" w:rsidR="005A047C" w:rsidRPr="005A047C" w:rsidRDefault="005A047C" w:rsidP="005A047C">
            <w:pPr>
              <w:spacing w:line="360" w:lineRule="auto"/>
              <w:rPr>
                <w:rFonts w:eastAsia="Calibri"/>
                <w:i/>
                <w:szCs w:val="24"/>
              </w:rPr>
            </w:pPr>
            <w:r w:rsidRPr="005A047C">
              <w:rPr>
                <w:rFonts w:eastAsia="Calibri"/>
                <w:i/>
                <w:szCs w:val="24"/>
              </w:rPr>
              <w:t>Frequent and binge</w:t>
            </w:r>
          </w:p>
        </w:tc>
        <w:tc>
          <w:tcPr>
            <w:tcW w:w="451" w:type="pct"/>
            <w:tcBorders>
              <w:top w:val="nil"/>
              <w:left w:val="single" w:sz="4" w:space="0" w:color="auto"/>
              <w:bottom w:val="double" w:sz="4" w:space="0" w:color="auto"/>
              <w:right w:val="nil"/>
            </w:tcBorders>
            <w:hideMark/>
          </w:tcPr>
          <w:p w14:paraId="06EB5655" w14:textId="77777777" w:rsidR="005A047C" w:rsidRPr="005A047C" w:rsidRDefault="005A047C" w:rsidP="005A047C">
            <w:pPr>
              <w:spacing w:line="360" w:lineRule="auto"/>
              <w:rPr>
                <w:rFonts w:eastAsia="Calibri"/>
                <w:szCs w:val="24"/>
              </w:rPr>
            </w:pPr>
            <w:r w:rsidRPr="005A047C">
              <w:rPr>
                <w:rFonts w:eastAsia="Calibri"/>
                <w:szCs w:val="24"/>
              </w:rPr>
              <w:t>368 (10.8)</w:t>
            </w:r>
          </w:p>
        </w:tc>
        <w:tc>
          <w:tcPr>
            <w:tcW w:w="620" w:type="pct"/>
            <w:tcBorders>
              <w:top w:val="nil"/>
              <w:left w:val="nil"/>
              <w:bottom w:val="double" w:sz="4" w:space="0" w:color="auto"/>
              <w:right w:val="nil"/>
            </w:tcBorders>
            <w:hideMark/>
          </w:tcPr>
          <w:p w14:paraId="0D5BAFA2" w14:textId="77777777" w:rsidR="005A047C" w:rsidRPr="005A047C" w:rsidRDefault="005A047C" w:rsidP="005A047C">
            <w:pPr>
              <w:spacing w:line="360" w:lineRule="auto"/>
              <w:rPr>
                <w:rFonts w:eastAsia="Calibri"/>
                <w:szCs w:val="24"/>
              </w:rPr>
            </w:pPr>
            <w:r w:rsidRPr="005A047C">
              <w:rPr>
                <w:rFonts w:eastAsia="Calibri"/>
                <w:szCs w:val="24"/>
              </w:rPr>
              <w:t xml:space="preserve"> -.17 (.32, -.03)</w:t>
            </w:r>
          </w:p>
        </w:tc>
        <w:tc>
          <w:tcPr>
            <w:tcW w:w="305" w:type="pct"/>
            <w:tcBorders>
              <w:top w:val="nil"/>
              <w:left w:val="nil"/>
              <w:bottom w:val="double" w:sz="4" w:space="0" w:color="auto"/>
              <w:right w:val="nil"/>
            </w:tcBorders>
            <w:hideMark/>
          </w:tcPr>
          <w:p w14:paraId="116D8889" w14:textId="77777777" w:rsidR="005A047C" w:rsidRPr="005A047C" w:rsidRDefault="005A047C" w:rsidP="005A047C">
            <w:pPr>
              <w:spacing w:line="360" w:lineRule="auto"/>
              <w:rPr>
                <w:rFonts w:eastAsia="Calibri"/>
                <w:szCs w:val="24"/>
              </w:rPr>
            </w:pPr>
            <w:r w:rsidRPr="005A047C">
              <w:rPr>
                <w:rFonts w:eastAsia="Calibri"/>
                <w:szCs w:val="24"/>
              </w:rPr>
              <w:t>.02</w:t>
            </w:r>
          </w:p>
        </w:tc>
        <w:tc>
          <w:tcPr>
            <w:tcW w:w="863" w:type="pct"/>
            <w:tcBorders>
              <w:top w:val="nil"/>
              <w:left w:val="nil"/>
              <w:bottom w:val="double" w:sz="4" w:space="0" w:color="auto"/>
              <w:right w:val="nil"/>
            </w:tcBorders>
            <w:hideMark/>
          </w:tcPr>
          <w:p w14:paraId="321BA977" w14:textId="77777777" w:rsidR="005A047C" w:rsidRPr="005A047C" w:rsidRDefault="005A047C" w:rsidP="005A047C">
            <w:pPr>
              <w:spacing w:line="360" w:lineRule="auto"/>
              <w:rPr>
                <w:rFonts w:eastAsia="Calibri"/>
                <w:szCs w:val="24"/>
              </w:rPr>
            </w:pPr>
            <w:r w:rsidRPr="005A047C">
              <w:rPr>
                <w:rFonts w:eastAsia="Calibri"/>
                <w:szCs w:val="24"/>
              </w:rPr>
              <w:t>-.15 (-.30, .00)   .05</w:t>
            </w:r>
          </w:p>
        </w:tc>
        <w:tc>
          <w:tcPr>
            <w:tcW w:w="639" w:type="pct"/>
            <w:tcBorders>
              <w:top w:val="nil"/>
              <w:left w:val="nil"/>
              <w:bottom w:val="double" w:sz="4" w:space="0" w:color="auto"/>
              <w:right w:val="nil"/>
            </w:tcBorders>
            <w:hideMark/>
          </w:tcPr>
          <w:p w14:paraId="6A410ED2" w14:textId="77777777" w:rsidR="005A047C" w:rsidRPr="005A047C" w:rsidRDefault="005A047C" w:rsidP="005A047C">
            <w:pPr>
              <w:spacing w:line="360" w:lineRule="auto"/>
              <w:rPr>
                <w:rFonts w:eastAsia="Calibri"/>
                <w:szCs w:val="24"/>
              </w:rPr>
            </w:pPr>
            <w:r w:rsidRPr="005A047C">
              <w:rPr>
                <w:rFonts w:eastAsia="Calibri"/>
                <w:szCs w:val="24"/>
              </w:rPr>
              <w:t>-.16 (-.30, -.01)</w:t>
            </w:r>
          </w:p>
        </w:tc>
        <w:tc>
          <w:tcPr>
            <w:tcW w:w="279" w:type="pct"/>
            <w:tcBorders>
              <w:top w:val="nil"/>
              <w:left w:val="nil"/>
              <w:bottom w:val="double" w:sz="4" w:space="0" w:color="auto"/>
              <w:right w:val="nil"/>
            </w:tcBorders>
            <w:hideMark/>
          </w:tcPr>
          <w:p w14:paraId="5CE29143" w14:textId="77777777" w:rsidR="005A047C" w:rsidRPr="005A047C" w:rsidRDefault="005A047C" w:rsidP="005A047C">
            <w:pPr>
              <w:spacing w:line="360" w:lineRule="auto"/>
              <w:rPr>
                <w:rFonts w:eastAsia="Calibri"/>
                <w:szCs w:val="24"/>
              </w:rPr>
            </w:pPr>
            <w:r w:rsidRPr="005A047C">
              <w:rPr>
                <w:rFonts w:eastAsia="Calibri"/>
                <w:szCs w:val="24"/>
              </w:rPr>
              <w:t>.03</w:t>
            </w:r>
          </w:p>
        </w:tc>
        <w:tc>
          <w:tcPr>
            <w:tcW w:w="607" w:type="pct"/>
            <w:tcBorders>
              <w:top w:val="nil"/>
              <w:left w:val="nil"/>
              <w:bottom w:val="double" w:sz="4" w:space="0" w:color="auto"/>
              <w:right w:val="nil"/>
            </w:tcBorders>
            <w:hideMark/>
          </w:tcPr>
          <w:p w14:paraId="7AEBA4A8" w14:textId="77777777" w:rsidR="005A047C" w:rsidRPr="005A047C" w:rsidRDefault="005A047C" w:rsidP="005A047C">
            <w:pPr>
              <w:spacing w:line="360" w:lineRule="auto"/>
              <w:rPr>
                <w:rFonts w:eastAsia="Calibri"/>
                <w:szCs w:val="24"/>
              </w:rPr>
            </w:pPr>
            <w:r w:rsidRPr="005A047C">
              <w:rPr>
                <w:rFonts w:eastAsia="Calibri"/>
                <w:szCs w:val="24"/>
              </w:rPr>
              <w:t>-.05 (-.21, .10)</w:t>
            </w:r>
          </w:p>
        </w:tc>
        <w:tc>
          <w:tcPr>
            <w:tcW w:w="276" w:type="pct"/>
            <w:tcBorders>
              <w:top w:val="nil"/>
              <w:left w:val="nil"/>
              <w:bottom w:val="double" w:sz="4" w:space="0" w:color="auto"/>
              <w:right w:val="nil"/>
            </w:tcBorders>
            <w:hideMark/>
          </w:tcPr>
          <w:p w14:paraId="3D18C1C2" w14:textId="77777777" w:rsidR="005A047C" w:rsidRPr="005A047C" w:rsidRDefault="005A047C" w:rsidP="005A047C">
            <w:pPr>
              <w:spacing w:line="360" w:lineRule="auto"/>
              <w:rPr>
                <w:rFonts w:eastAsia="Calibri"/>
                <w:szCs w:val="24"/>
              </w:rPr>
            </w:pPr>
            <w:r w:rsidRPr="005A047C">
              <w:rPr>
                <w:rFonts w:eastAsia="Calibri"/>
                <w:szCs w:val="24"/>
              </w:rPr>
              <w:t>.50</w:t>
            </w:r>
          </w:p>
        </w:tc>
      </w:tr>
    </w:tbl>
    <w:p w14:paraId="70A435F5" w14:textId="77777777" w:rsidR="005A047C" w:rsidRPr="005A047C" w:rsidRDefault="005A047C" w:rsidP="005A047C">
      <w:pPr>
        <w:spacing w:after="0" w:line="240" w:lineRule="auto"/>
        <w:divId w:val="448934348"/>
        <w:rPr>
          <w:rFonts w:ascii="Times New Roman" w:eastAsia="Times New Roman" w:hAnsi="Times New Roman" w:cs="Times New Roman"/>
          <w:sz w:val="24"/>
          <w:szCs w:val="24"/>
        </w:rPr>
      </w:pPr>
      <w:r w:rsidRPr="005A047C">
        <w:rPr>
          <w:rFonts w:ascii="Times New Roman" w:eastAsia="Times New Roman" w:hAnsi="Times New Roman" w:cs="Times New Roman"/>
          <w:sz w:val="24"/>
          <w:szCs w:val="24"/>
        </w:rPr>
        <w:t xml:space="preserve">Model 1: unadjusted; Model 2: adjusted for sex, income, social economic position, maternal education, housing tenure, parity, and maternal smoking in pregnancy; Model 3: further adjusted for working memory assessed at approximately age 11 years, and </w:t>
      </w:r>
      <w:r w:rsidRPr="005A047C">
        <w:rPr>
          <w:rFonts w:ascii="Times New Roman" w:eastAsia="Calibri" w:hAnsi="Times New Roman" w:cs="Times New Roman"/>
          <w:sz w:val="24"/>
          <w:szCs w:val="24"/>
        </w:rPr>
        <w:t>head injury/unconsciousness up to age 11 years</w:t>
      </w:r>
      <w:r w:rsidRPr="005A047C">
        <w:rPr>
          <w:rFonts w:ascii="Times New Roman" w:eastAsia="Times New Roman" w:hAnsi="Times New Roman" w:cs="Times New Roman"/>
          <w:sz w:val="24"/>
          <w:szCs w:val="24"/>
        </w:rPr>
        <w:t>; Model 4: further adjusted for young person cigarette and cannabis use assessed at age 15 years</w:t>
      </w:r>
    </w:p>
    <w:p w14:paraId="66B6E71F" w14:textId="77777777" w:rsidR="005A047C" w:rsidRPr="005A047C" w:rsidRDefault="005A047C" w:rsidP="005A047C">
      <w:pPr>
        <w:divId w:val="448934348"/>
        <w:rPr>
          <w:rFonts w:ascii="Times New Roman" w:eastAsia="Calibri" w:hAnsi="Times New Roman" w:cs="Times New Roman"/>
          <w:sz w:val="24"/>
        </w:rPr>
      </w:pPr>
    </w:p>
    <w:p w14:paraId="6D0C7EE4" w14:textId="24DE7FD2" w:rsidR="005A047C" w:rsidRDefault="005A047C" w:rsidP="005325CA">
      <w:pPr>
        <w:pStyle w:val="NormalWeb"/>
        <w:spacing w:line="480" w:lineRule="auto"/>
        <w:ind w:left="480" w:hanging="480"/>
        <w:divId w:val="448934348"/>
      </w:pPr>
    </w:p>
    <w:p w14:paraId="06DA55A9" w14:textId="7A9F88D4" w:rsidR="005A047C" w:rsidRDefault="005A047C" w:rsidP="005325CA">
      <w:pPr>
        <w:pStyle w:val="NormalWeb"/>
        <w:spacing w:line="480" w:lineRule="auto"/>
        <w:ind w:left="480" w:hanging="480"/>
        <w:divId w:val="448934348"/>
      </w:pPr>
    </w:p>
    <w:p w14:paraId="555125A6" w14:textId="2D11F4F3" w:rsidR="005A047C" w:rsidRDefault="005A047C" w:rsidP="005325CA">
      <w:pPr>
        <w:pStyle w:val="NormalWeb"/>
        <w:spacing w:line="480" w:lineRule="auto"/>
        <w:ind w:left="480" w:hanging="480"/>
        <w:divId w:val="448934348"/>
      </w:pPr>
    </w:p>
    <w:p w14:paraId="24EECAF9" w14:textId="3B66739F" w:rsidR="005A047C" w:rsidRDefault="005A047C" w:rsidP="005325CA">
      <w:pPr>
        <w:pStyle w:val="NormalWeb"/>
        <w:spacing w:line="480" w:lineRule="auto"/>
        <w:ind w:left="480" w:hanging="480"/>
        <w:divId w:val="448934348"/>
      </w:pPr>
    </w:p>
    <w:p w14:paraId="646E6B4F" w14:textId="5C2951D2" w:rsidR="005A047C" w:rsidRDefault="005A047C" w:rsidP="005325CA">
      <w:pPr>
        <w:pStyle w:val="NormalWeb"/>
        <w:spacing w:line="480" w:lineRule="auto"/>
        <w:ind w:left="480" w:hanging="480"/>
        <w:divId w:val="448934348"/>
      </w:pPr>
    </w:p>
    <w:p w14:paraId="3834BE9B" w14:textId="6D6F058B" w:rsidR="005A047C" w:rsidRDefault="005A047C" w:rsidP="005325CA">
      <w:pPr>
        <w:pStyle w:val="NormalWeb"/>
        <w:spacing w:line="480" w:lineRule="auto"/>
        <w:ind w:left="480" w:hanging="480"/>
        <w:divId w:val="448934348"/>
      </w:pPr>
    </w:p>
    <w:p w14:paraId="19733C5F" w14:textId="77777777" w:rsidR="005A047C" w:rsidRPr="005A047C" w:rsidRDefault="005A047C" w:rsidP="005A047C">
      <w:pPr>
        <w:spacing w:after="0" w:line="276" w:lineRule="auto"/>
        <w:divId w:val="448934348"/>
        <w:rPr>
          <w:rFonts w:ascii="Times New Roman" w:eastAsia="Times New Roman" w:hAnsi="Times New Roman" w:cs="Times New Roman"/>
          <w:b/>
          <w:sz w:val="24"/>
          <w:szCs w:val="24"/>
        </w:rPr>
      </w:pPr>
      <w:r w:rsidRPr="005A047C">
        <w:rPr>
          <w:rFonts w:ascii="Times New Roman" w:eastAsia="Times New Roman" w:hAnsi="Times New Roman" w:cs="Times New Roman"/>
          <w:b/>
          <w:sz w:val="24"/>
          <w:szCs w:val="24"/>
        </w:rPr>
        <w:lastRenderedPageBreak/>
        <w:t xml:space="preserve">Table 2. Associations between alcohol use at age 15 years and </w:t>
      </w:r>
      <w:r w:rsidRPr="005A047C">
        <w:rPr>
          <w:rFonts w:ascii="Times New Roman" w:eastAsia="Times New Roman" w:hAnsi="Times New Roman" w:cs="Times New Roman"/>
          <w:b/>
          <w:i/>
          <w:sz w:val="24"/>
          <w:szCs w:val="24"/>
        </w:rPr>
        <w:t>d'</w:t>
      </w:r>
      <w:r w:rsidRPr="005A047C">
        <w:rPr>
          <w:rFonts w:ascii="Times New Roman" w:eastAsia="Times New Roman" w:hAnsi="Times New Roman" w:cs="Times New Roman"/>
          <w:b/>
          <w:sz w:val="24"/>
          <w:szCs w:val="24"/>
        </w:rPr>
        <w:t xml:space="preserve"> at age 18 years for the 3-back task (</w:t>
      </w:r>
      <w:r w:rsidRPr="005A047C">
        <w:rPr>
          <w:rFonts w:ascii="Times New Roman" w:eastAsia="Times New Roman" w:hAnsi="Times New Roman" w:cs="Times New Roman"/>
          <w:b/>
          <w:i/>
          <w:sz w:val="24"/>
          <w:szCs w:val="24"/>
        </w:rPr>
        <w:t>n</w:t>
      </w:r>
      <w:r w:rsidRPr="005A047C">
        <w:rPr>
          <w:rFonts w:ascii="Times New Roman" w:eastAsia="Times New Roman" w:hAnsi="Times New Roman" w:cs="Times New Roman"/>
          <w:b/>
          <w:sz w:val="24"/>
          <w:szCs w:val="24"/>
        </w:rPr>
        <w:t>=3,319) in 50 multiply imputed datasets (standardized coefficients)</w:t>
      </w:r>
    </w:p>
    <w:tbl>
      <w:tblPr>
        <w:tblStyle w:val="TableGrid1111"/>
        <w:tblW w:w="5000" w:type="pct"/>
        <w:tblInd w:w="0" w:type="dxa"/>
        <w:tblLook w:val="04A0" w:firstRow="1" w:lastRow="0" w:firstColumn="1" w:lastColumn="0" w:noHBand="0" w:noVBand="1"/>
      </w:tblPr>
      <w:tblGrid>
        <w:gridCol w:w="2728"/>
        <w:gridCol w:w="1304"/>
        <w:gridCol w:w="1726"/>
        <w:gridCol w:w="907"/>
        <w:gridCol w:w="2548"/>
        <w:gridCol w:w="1726"/>
        <w:gridCol w:w="717"/>
        <w:gridCol w:w="1724"/>
        <w:gridCol w:w="794"/>
      </w:tblGrid>
      <w:tr w:rsidR="005A047C" w:rsidRPr="005A047C" w14:paraId="29AF7BDF" w14:textId="77777777" w:rsidTr="005A047C">
        <w:trPr>
          <w:divId w:val="448934348"/>
        </w:trPr>
        <w:tc>
          <w:tcPr>
            <w:tcW w:w="962" w:type="pct"/>
            <w:tcBorders>
              <w:top w:val="double" w:sz="4" w:space="0" w:color="auto"/>
              <w:left w:val="nil"/>
              <w:bottom w:val="nil"/>
              <w:right w:val="single" w:sz="4" w:space="0" w:color="auto"/>
            </w:tcBorders>
          </w:tcPr>
          <w:p w14:paraId="74DFD563" w14:textId="77777777" w:rsidR="005A047C" w:rsidRPr="005A047C" w:rsidRDefault="005A047C" w:rsidP="005A047C">
            <w:pPr>
              <w:spacing w:line="360" w:lineRule="auto"/>
              <w:rPr>
                <w:rFonts w:ascii="Times New Roman" w:hAnsi="Times New Roman"/>
                <w:sz w:val="24"/>
                <w:szCs w:val="24"/>
              </w:rPr>
            </w:pPr>
          </w:p>
        </w:tc>
        <w:tc>
          <w:tcPr>
            <w:tcW w:w="460" w:type="pct"/>
            <w:tcBorders>
              <w:top w:val="double" w:sz="4" w:space="0" w:color="auto"/>
              <w:left w:val="single" w:sz="4" w:space="0" w:color="auto"/>
              <w:bottom w:val="nil"/>
              <w:right w:val="nil"/>
            </w:tcBorders>
          </w:tcPr>
          <w:p w14:paraId="4A0A1EBE" w14:textId="77777777" w:rsidR="005A047C" w:rsidRPr="005A047C" w:rsidRDefault="005A047C" w:rsidP="005A047C">
            <w:pPr>
              <w:spacing w:line="360" w:lineRule="auto"/>
              <w:rPr>
                <w:rFonts w:ascii="Times New Roman" w:eastAsia="Calibri" w:hAnsi="Times New Roman"/>
                <w:sz w:val="24"/>
                <w:szCs w:val="24"/>
              </w:rPr>
            </w:pPr>
          </w:p>
        </w:tc>
        <w:tc>
          <w:tcPr>
            <w:tcW w:w="929" w:type="pct"/>
            <w:gridSpan w:val="2"/>
            <w:tcBorders>
              <w:top w:val="double" w:sz="4" w:space="0" w:color="auto"/>
              <w:left w:val="nil"/>
              <w:bottom w:val="nil"/>
              <w:right w:val="nil"/>
            </w:tcBorders>
            <w:hideMark/>
          </w:tcPr>
          <w:p w14:paraId="014A2888"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Model 1</w:t>
            </w:r>
          </w:p>
        </w:tc>
        <w:tc>
          <w:tcPr>
            <w:tcW w:w="899" w:type="pct"/>
            <w:tcBorders>
              <w:top w:val="double" w:sz="4" w:space="0" w:color="auto"/>
              <w:left w:val="nil"/>
              <w:bottom w:val="nil"/>
              <w:right w:val="nil"/>
            </w:tcBorders>
            <w:hideMark/>
          </w:tcPr>
          <w:p w14:paraId="1501A427"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Model 2</w:t>
            </w:r>
          </w:p>
        </w:tc>
        <w:tc>
          <w:tcPr>
            <w:tcW w:w="862" w:type="pct"/>
            <w:gridSpan w:val="2"/>
            <w:tcBorders>
              <w:top w:val="double" w:sz="4" w:space="0" w:color="auto"/>
              <w:left w:val="nil"/>
              <w:bottom w:val="nil"/>
              <w:right w:val="nil"/>
            </w:tcBorders>
            <w:hideMark/>
          </w:tcPr>
          <w:p w14:paraId="7B032F3A"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Model 3</w:t>
            </w:r>
          </w:p>
        </w:tc>
        <w:tc>
          <w:tcPr>
            <w:tcW w:w="888" w:type="pct"/>
            <w:gridSpan w:val="2"/>
            <w:tcBorders>
              <w:top w:val="double" w:sz="4" w:space="0" w:color="auto"/>
              <w:left w:val="nil"/>
              <w:bottom w:val="nil"/>
              <w:right w:val="nil"/>
            </w:tcBorders>
            <w:hideMark/>
          </w:tcPr>
          <w:p w14:paraId="4437BF37"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Model 4</w:t>
            </w:r>
          </w:p>
        </w:tc>
      </w:tr>
      <w:tr w:rsidR="005A047C" w:rsidRPr="005A047C" w14:paraId="7F173058" w14:textId="77777777" w:rsidTr="005A047C">
        <w:trPr>
          <w:divId w:val="448934348"/>
        </w:trPr>
        <w:tc>
          <w:tcPr>
            <w:tcW w:w="962" w:type="pct"/>
            <w:tcBorders>
              <w:top w:val="nil"/>
              <w:left w:val="nil"/>
              <w:bottom w:val="single" w:sz="4" w:space="0" w:color="auto"/>
              <w:right w:val="single" w:sz="4" w:space="0" w:color="auto"/>
            </w:tcBorders>
          </w:tcPr>
          <w:p w14:paraId="4C2FDA26" w14:textId="77777777" w:rsidR="005A047C" w:rsidRPr="005A047C" w:rsidRDefault="005A047C" w:rsidP="005A047C">
            <w:pPr>
              <w:spacing w:line="360" w:lineRule="auto"/>
              <w:rPr>
                <w:rFonts w:ascii="Times New Roman" w:eastAsia="Calibri" w:hAnsi="Times New Roman"/>
                <w:sz w:val="24"/>
                <w:szCs w:val="24"/>
              </w:rPr>
            </w:pPr>
          </w:p>
        </w:tc>
        <w:tc>
          <w:tcPr>
            <w:tcW w:w="460" w:type="pct"/>
            <w:tcBorders>
              <w:top w:val="nil"/>
              <w:left w:val="single" w:sz="4" w:space="0" w:color="auto"/>
              <w:bottom w:val="single" w:sz="4" w:space="0" w:color="auto"/>
              <w:right w:val="nil"/>
            </w:tcBorders>
            <w:hideMark/>
          </w:tcPr>
          <w:p w14:paraId="62D0D039"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n (%)</w:t>
            </w:r>
          </w:p>
        </w:tc>
        <w:tc>
          <w:tcPr>
            <w:tcW w:w="609" w:type="pct"/>
            <w:tcBorders>
              <w:top w:val="nil"/>
              <w:left w:val="nil"/>
              <w:bottom w:val="single" w:sz="4" w:space="0" w:color="auto"/>
              <w:right w:val="nil"/>
            </w:tcBorders>
            <w:hideMark/>
          </w:tcPr>
          <w:p w14:paraId="7FD1148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i/>
                <w:sz w:val="24"/>
                <w:szCs w:val="24"/>
              </w:rPr>
              <w:t>b</w:t>
            </w:r>
            <w:r w:rsidRPr="005A047C">
              <w:rPr>
                <w:rFonts w:ascii="Times New Roman" w:eastAsia="Calibri" w:hAnsi="Times New Roman"/>
                <w:sz w:val="24"/>
                <w:szCs w:val="24"/>
              </w:rPr>
              <w:t xml:space="preserve"> (</w:t>
            </w:r>
            <w:r w:rsidRPr="005A047C">
              <w:rPr>
                <w:rFonts w:ascii="Times New Roman" w:eastAsia="Calibri" w:hAnsi="Times New Roman"/>
                <w:i/>
                <w:sz w:val="24"/>
                <w:szCs w:val="24"/>
              </w:rPr>
              <w:t>95% CI)</w:t>
            </w:r>
          </w:p>
        </w:tc>
        <w:tc>
          <w:tcPr>
            <w:tcW w:w="320" w:type="pct"/>
            <w:tcBorders>
              <w:top w:val="nil"/>
              <w:left w:val="nil"/>
              <w:bottom w:val="single" w:sz="4" w:space="0" w:color="auto"/>
              <w:right w:val="nil"/>
            </w:tcBorders>
            <w:hideMark/>
          </w:tcPr>
          <w:p w14:paraId="130DD950"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P</w:t>
            </w:r>
          </w:p>
        </w:tc>
        <w:tc>
          <w:tcPr>
            <w:tcW w:w="899" w:type="pct"/>
            <w:tcBorders>
              <w:top w:val="nil"/>
              <w:left w:val="nil"/>
              <w:bottom w:val="single" w:sz="4" w:space="0" w:color="auto"/>
              <w:right w:val="nil"/>
            </w:tcBorders>
            <w:hideMark/>
          </w:tcPr>
          <w:p w14:paraId="15568A30"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i/>
                <w:sz w:val="24"/>
                <w:szCs w:val="24"/>
              </w:rPr>
              <w:t>b</w:t>
            </w:r>
            <w:r w:rsidRPr="005A047C">
              <w:rPr>
                <w:rFonts w:ascii="Times New Roman" w:eastAsia="Calibri" w:hAnsi="Times New Roman"/>
                <w:sz w:val="24"/>
                <w:szCs w:val="24"/>
              </w:rPr>
              <w:t xml:space="preserve"> (</w:t>
            </w:r>
            <w:r w:rsidRPr="005A047C">
              <w:rPr>
                <w:rFonts w:ascii="Times New Roman" w:eastAsia="Calibri" w:hAnsi="Times New Roman"/>
                <w:i/>
                <w:sz w:val="24"/>
                <w:szCs w:val="24"/>
              </w:rPr>
              <w:t>95% CI)          p</w:t>
            </w:r>
          </w:p>
        </w:tc>
        <w:tc>
          <w:tcPr>
            <w:tcW w:w="609" w:type="pct"/>
            <w:tcBorders>
              <w:top w:val="nil"/>
              <w:left w:val="nil"/>
              <w:bottom w:val="single" w:sz="4" w:space="0" w:color="auto"/>
              <w:right w:val="nil"/>
            </w:tcBorders>
            <w:hideMark/>
          </w:tcPr>
          <w:p w14:paraId="340008CA"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b</w:t>
            </w:r>
            <w:r w:rsidRPr="005A047C">
              <w:rPr>
                <w:rFonts w:ascii="Times New Roman" w:eastAsia="Calibri" w:hAnsi="Times New Roman"/>
                <w:sz w:val="24"/>
                <w:szCs w:val="24"/>
              </w:rPr>
              <w:t xml:space="preserve"> (</w:t>
            </w:r>
            <w:r w:rsidRPr="005A047C">
              <w:rPr>
                <w:rFonts w:ascii="Times New Roman" w:eastAsia="Calibri" w:hAnsi="Times New Roman"/>
                <w:i/>
                <w:sz w:val="24"/>
                <w:szCs w:val="24"/>
              </w:rPr>
              <w:t>95% CI)</w:t>
            </w:r>
          </w:p>
        </w:tc>
        <w:tc>
          <w:tcPr>
            <w:tcW w:w="253" w:type="pct"/>
            <w:tcBorders>
              <w:top w:val="nil"/>
              <w:left w:val="nil"/>
              <w:bottom w:val="single" w:sz="4" w:space="0" w:color="auto"/>
              <w:right w:val="nil"/>
            </w:tcBorders>
            <w:hideMark/>
          </w:tcPr>
          <w:p w14:paraId="005DED73"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p</w:t>
            </w:r>
          </w:p>
        </w:tc>
        <w:tc>
          <w:tcPr>
            <w:tcW w:w="608" w:type="pct"/>
            <w:tcBorders>
              <w:top w:val="nil"/>
              <w:left w:val="nil"/>
              <w:bottom w:val="single" w:sz="4" w:space="0" w:color="auto"/>
              <w:right w:val="nil"/>
            </w:tcBorders>
            <w:hideMark/>
          </w:tcPr>
          <w:p w14:paraId="2E6B13DE"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i/>
                <w:sz w:val="24"/>
                <w:szCs w:val="24"/>
              </w:rPr>
              <w:t>b</w:t>
            </w:r>
            <w:r w:rsidRPr="005A047C">
              <w:rPr>
                <w:rFonts w:ascii="Times New Roman" w:eastAsia="Calibri" w:hAnsi="Times New Roman"/>
                <w:sz w:val="24"/>
                <w:szCs w:val="24"/>
              </w:rPr>
              <w:t xml:space="preserve"> (</w:t>
            </w:r>
            <w:r w:rsidRPr="005A047C">
              <w:rPr>
                <w:rFonts w:ascii="Times New Roman" w:eastAsia="Calibri" w:hAnsi="Times New Roman"/>
                <w:i/>
                <w:sz w:val="24"/>
                <w:szCs w:val="24"/>
              </w:rPr>
              <w:t>95% CI)</w:t>
            </w:r>
          </w:p>
        </w:tc>
        <w:tc>
          <w:tcPr>
            <w:tcW w:w="280" w:type="pct"/>
            <w:tcBorders>
              <w:top w:val="nil"/>
              <w:left w:val="nil"/>
              <w:bottom w:val="single" w:sz="4" w:space="0" w:color="auto"/>
              <w:right w:val="nil"/>
            </w:tcBorders>
            <w:hideMark/>
          </w:tcPr>
          <w:p w14:paraId="5CE6033D"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p</w:t>
            </w:r>
          </w:p>
        </w:tc>
      </w:tr>
      <w:tr w:rsidR="005A047C" w:rsidRPr="005A047C" w14:paraId="5DE90514" w14:textId="77777777" w:rsidTr="005A047C">
        <w:trPr>
          <w:divId w:val="448934348"/>
        </w:trPr>
        <w:tc>
          <w:tcPr>
            <w:tcW w:w="962" w:type="pct"/>
            <w:tcBorders>
              <w:top w:val="nil"/>
              <w:left w:val="nil"/>
              <w:bottom w:val="nil"/>
              <w:right w:val="single" w:sz="4" w:space="0" w:color="auto"/>
            </w:tcBorders>
            <w:hideMark/>
          </w:tcPr>
          <w:p w14:paraId="37A6A378"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Low alcohol use</w:t>
            </w:r>
          </w:p>
        </w:tc>
        <w:tc>
          <w:tcPr>
            <w:tcW w:w="460" w:type="pct"/>
            <w:tcBorders>
              <w:top w:val="single" w:sz="4" w:space="0" w:color="auto"/>
              <w:left w:val="single" w:sz="4" w:space="0" w:color="auto"/>
              <w:bottom w:val="nil"/>
              <w:right w:val="nil"/>
            </w:tcBorders>
          </w:tcPr>
          <w:p w14:paraId="0EDA040B" w14:textId="77777777" w:rsidR="005A047C" w:rsidRPr="005A047C" w:rsidRDefault="005A047C" w:rsidP="005A047C">
            <w:pPr>
              <w:spacing w:line="360" w:lineRule="auto"/>
              <w:rPr>
                <w:rFonts w:ascii="Times New Roman" w:eastAsia="Calibri" w:hAnsi="Times New Roman"/>
                <w:sz w:val="24"/>
                <w:szCs w:val="24"/>
              </w:rPr>
            </w:pPr>
          </w:p>
        </w:tc>
        <w:tc>
          <w:tcPr>
            <w:tcW w:w="609" w:type="pct"/>
            <w:tcBorders>
              <w:top w:val="single" w:sz="4" w:space="0" w:color="auto"/>
              <w:left w:val="nil"/>
              <w:bottom w:val="nil"/>
              <w:right w:val="nil"/>
            </w:tcBorders>
            <w:hideMark/>
          </w:tcPr>
          <w:p w14:paraId="5CD9DE7B"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ref</w:t>
            </w:r>
          </w:p>
        </w:tc>
        <w:tc>
          <w:tcPr>
            <w:tcW w:w="320" w:type="pct"/>
            <w:tcBorders>
              <w:top w:val="single" w:sz="4" w:space="0" w:color="auto"/>
              <w:left w:val="nil"/>
              <w:bottom w:val="nil"/>
              <w:right w:val="nil"/>
            </w:tcBorders>
          </w:tcPr>
          <w:p w14:paraId="2D38EF46" w14:textId="77777777" w:rsidR="005A047C" w:rsidRPr="005A047C" w:rsidRDefault="005A047C" w:rsidP="005A047C">
            <w:pPr>
              <w:spacing w:line="360" w:lineRule="auto"/>
              <w:rPr>
                <w:rFonts w:ascii="Times New Roman" w:eastAsia="Calibri" w:hAnsi="Times New Roman"/>
                <w:sz w:val="24"/>
                <w:szCs w:val="24"/>
              </w:rPr>
            </w:pPr>
          </w:p>
        </w:tc>
        <w:tc>
          <w:tcPr>
            <w:tcW w:w="899" w:type="pct"/>
            <w:tcBorders>
              <w:top w:val="single" w:sz="4" w:space="0" w:color="auto"/>
              <w:left w:val="nil"/>
              <w:bottom w:val="nil"/>
              <w:right w:val="nil"/>
            </w:tcBorders>
            <w:hideMark/>
          </w:tcPr>
          <w:p w14:paraId="7C401B0E"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ref</w:t>
            </w:r>
          </w:p>
        </w:tc>
        <w:tc>
          <w:tcPr>
            <w:tcW w:w="609" w:type="pct"/>
            <w:tcBorders>
              <w:top w:val="single" w:sz="4" w:space="0" w:color="auto"/>
              <w:left w:val="nil"/>
              <w:bottom w:val="nil"/>
              <w:right w:val="nil"/>
            </w:tcBorders>
            <w:hideMark/>
          </w:tcPr>
          <w:p w14:paraId="425AE4FE"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ref</w:t>
            </w:r>
          </w:p>
        </w:tc>
        <w:tc>
          <w:tcPr>
            <w:tcW w:w="253" w:type="pct"/>
            <w:tcBorders>
              <w:top w:val="single" w:sz="4" w:space="0" w:color="auto"/>
              <w:left w:val="nil"/>
              <w:bottom w:val="nil"/>
              <w:right w:val="nil"/>
            </w:tcBorders>
          </w:tcPr>
          <w:p w14:paraId="340FB652" w14:textId="77777777" w:rsidR="005A047C" w:rsidRPr="005A047C" w:rsidRDefault="005A047C" w:rsidP="005A047C">
            <w:pPr>
              <w:spacing w:line="360" w:lineRule="auto"/>
              <w:rPr>
                <w:rFonts w:ascii="Times New Roman" w:eastAsia="Calibri" w:hAnsi="Times New Roman"/>
                <w:sz w:val="24"/>
                <w:szCs w:val="24"/>
              </w:rPr>
            </w:pPr>
          </w:p>
        </w:tc>
        <w:tc>
          <w:tcPr>
            <w:tcW w:w="608" w:type="pct"/>
            <w:tcBorders>
              <w:top w:val="single" w:sz="4" w:space="0" w:color="auto"/>
              <w:left w:val="nil"/>
              <w:bottom w:val="nil"/>
              <w:right w:val="nil"/>
            </w:tcBorders>
            <w:hideMark/>
          </w:tcPr>
          <w:p w14:paraId="59D23DA8"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ref</w:t>
            </w:r>
          </w:p>
        </w:tc>
        <w:tc>
          <w:tcPr>
            <w:tcW w:w="280" w:type="pct"/>
            <w:tcBorders>
              <w:top w:val="single" w:sz="4" w:space="0" w:color="auto"/>
              <w:left w:val="nil"/>
              <w:bottom w:val="nil"/>
              <w:right w:val="nil"/>
            </w:tcBorders>
          </w:tcPr>
          <w:p w14:paraId="71943603" w14:textId="77777777" w:rsidR="005A047C" w:rsidRPr="005A047C" w:rsidRDefault="005A047C" w:rsidP="005A047C">
            <w:pPr>
              <w:spacing w:line="360" w:lineRule="auto"/>
              <w:rPr>
                <w:rFonts w:ascii="Times New Roman" w:eastAsia="Calibri" w:hAnsi="Times New Roman"/>
                <w:sz w:val="24"/>
                <w:szCs w:val="24"/>
              </w:rPr>
            </w:pPr>
          </w:p>
        </w:tc>
      </w:tr>
      <w:tr w:rsidR="005A047C" w:rsidRPr="005A047C" w14:paraId="087BE79A" w14:textId="77777777" w:rsidTr="005A047C">
        <w:trPr>
          <w:divId w:val="448934348"/>
        </w:trPr>
        <w:tc>
          <w:tcPr>
            <w:tcW w:w="962" w:type="pct"/>
            <w:tcBorders>
              <w:top w:val="nil"/>
              <w:left w:val="nil"/>
              <w:bottom w:val="nil"/>
              <w:right w:val="single" w:sz="4" w:space="0" w:color="auto"/>
            </w:tcBorders>
            <w:hideMark/>
          </w:tcPr>
          <w:p w14:paraId="4F74B0FF"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Frequent drinking only</w:t>
            </w:r>
          </w:p>
        </w:tc>
        <w:tc>
          <w:tcPr>
            <w:tcW w:w="460" w:type="pct"/>
            <w:tcBorders>
              <w:top w:val="nil"/>
              <w:left w:val="single" w:sz="4" w:space="0" w:color="auto"/>
              <w:bottom w:val="nil"/>
              <w:right w:val="nil"/>
            </w:tcBorders>
            <w:hideMark/>
          </w:tcPr>
          <w:p w14:paraId="4AB71395"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399 (11.8)</w:t>
            </w:r>
          </w:p>
        </w:tc>
        <w:tc>
          <w:tcPr>
            <w:tcW w:w="609" w:type="pct"/>
            <w:tcBorders>
              <w:top w:val="nil"/>
              <w:left w:val="nil"/>
              <w:bottom w:val="nil"/>
              <w:right w:val="nil"/>
            </w:tcBorders>
            <w:hideMark/>
          </w:tcPr>
          <w:p w14:paraId="6C771903"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-.02 (-.16, .11)</w:t>
            </w:r>
          </w:p>
        </w:tc>
        <w:tc>
          <w:tcPr>
            <w:tcW w:w="320" w:type="pct"/>
            <w:tcBorders>
              <w:top w:val="nil"/>
              <w:left w:val="nil"/>
              <w:bottom w:val="nil"/>
              <w:right w:val="nil"/>
            </w:tcBorders>
            <w:hideMark/>
          </w:tcPr>
          <w:p w14:paraId="300778C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.74</w:t>
            </w:r>
          </w:p>
        </w:tc>
        <w:tc>
          <w:tcPr>
            <w:tcW w:w="899" w:type="pct"/>
            <w:tcBorders>
              <w:top w:val="nil"/>
              <w:left w:val="nil"/>
              <w:bottom w:val="nil"/>
              <w:right w:val="nil"/>
            </w:tcBorders>
            <w:hideMark/>
          </w:tcPr>
          <w:p w14:paraId="29B171B1"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-.04 (-18, .08)     .50</w:t>
            </w:r>
          </w:p>
        </w:tc>
        <w:tc>
          <w:tcPr>
            <w:tcW w:w="609" w:type="pct"/>
            <w:tcBorders>
              <w:top w:val="nil"/>
              <w:left w:val="nil"/>
              <w:bottom w:val="nil"/>
              <w:right w:val="nil"/>
            </w:tcBorders>
            <w:hideMark/>
          </w:tcPr>
          <w:p w14:paraId="17634F65"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-.04 (-.17, .09)</w:t>
            </w:r>
          </w:p>
        </w:tc>
        <w:tc>
          <w:tcPr>
            <w:tcW w:w="253" w:type="pct"/>
            <w:tcBorders>
              <w:top w:val="nil"/>
              <w:left w:val="nil"/>
              <w:bottom w:val="nil"/>
              <w:right w:val="nil"/>
            </w:tcBorders>
            <w:hideMark/>
          </w:tcPr>
          <w:p w14:paraId="57E9A317"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.57</w:t>
            </w:r>
          </w:p>
        </w:tc>
        <w:tc>
          <w:tcPr>
            <w:tcW w:w="608" w:type="pct"/>
            <w:tcBorders>
              <w:top w:val="nil"/>
              <w:left w:val="nil"/>
              <w:bottom w:val="nil"/>
              <w:right w:val="nil"/>
            </w:tcBorders>
            <w:hideMark/>
          </w:tcPr>
          <w:p w14:paraId="39229B8C"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.02 (-.11, .15)</w:t>
            </w:r>
          </w:p>
        </w:tc>
        <w:tc>
          <w:tcPr>
            <w:tcW w:w="280" w:type="pct"/>
            <w:tcBorders>
              <w:top w:val="nil"/>
              <w:left w:val="nil"/>
              <w:bottom w:val="nil"/>
              <w:right w:val="nil"/>
            </w:tcBorders>
            <w:hideMark/>
          </w:tcPr>
          <w:p w14:paraId="7FB61CCD"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.75</w:t>
            </w:r>
          </w:p>
        </w:tc>
      </w:tr>
      <w:tr w:rsidR="005A047C" w:rsidRPr="005A047C" w14:paraId="23C674FC" w14:textId="77777777" w:rsidTr="005A047C">
        <w:trPr>
          <w:divId w:val="448934348"/>
        </w:trPr>
        <w:tc>
          <w:tcPr>
            <w:tcW w:w="962" w:type="pct"/>
            <w:tcBorders>
              <w:top w:val="nil"/>
              <w:left w:val="nil"/>
              <w:bottom w:val="double" w:sz="4" w:space="0" w:color="auto"/>
              <w:right w:val="single" w:sz="4" w:space="0" w:color="auto"/>
            </w:tcBorders>
            <w:hideMark/>
          </w:tcPr>
          <w:p w14:paraId="1470ADA1"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Frequent and binge</w:t>
            </w:r>
          </w:p>
        </w:tc>
        <w:tc>
          <w:tcPr>
            <w:tcW w:w="460" w:type="pct"/>
            <w:tcBorders>
              <w:top w:val="nil"/>
              <w:left w:val="single" w:sz="4" w:space="0" w:color="auto"/>
              <w:bottom w:val="double" w:sz="4" w:space="0" w:color="auto"/>
              <w:right w:val="nil"/>
            </w:tcBorders>
            <w:hideMark/>
          </w:tcPr>
          <w:p w14:paraId="41C1B32F"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354 (10.5)</w:t>
            </w:r>
          </w:p>
        </w:tc>
        <w:tc>
          <w:tcPr>
            <w:tcW w:w="609" w:type="pct"/>
            <w:tcBorders>
              <w:top w:val="nil"/>
              <w:left w:val="nil"/>
              <w:bottom w:val="double" w:sz="4" w:space="0" w:color="auto"/>
              <w:right w:val="nil"/>
            </w:tcBorders>
            <w:hideMark/>
          </w:tcPr>
          <w:p w14:paraId="3F03E6AB"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-.25 (-.39, -.11)</w:t>
            </w:r>
          </w:p>
        </w:tc>
        <w:tc>
          <w:tcPr>
            <w:tcW w:w="320" w:type="pct"/>
            <w:tcBorders>
              <w:top w:val="nil"/>
              <w:left w:val="nil"/>
              <w:bottom w:val="double" w:sz="4" w:space="0" w:color="auto"/>
              <w:right w:val="nil"/>
            </w:tcBorders>
            <w:hideMark/>
          </w:tcPr>
          <w:p w14:paraId="13B50ABC"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&lt;.001</w:t>
            </w:r>
          </w:p>
        </w:tc>
        <w:tc>
          <w:tcPr>
            <w:tcW w:w="899" w:type="pct"/>
            <w:tcBorders>
              <w:top w:val="nil"/>
              <w:left w:val="nil"/>
              <w:bottom w:val="double" w:sz="4" w:space="0" w:color="auto"/>
              <w:right w:val="nil"/>
            </w:tcBorders>
            <w:hideMark/>
          </w:tcPr>
          <w:p w14:paraId="23699542"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-.22 (-.36, -.08)  .001</w:t>
            </w:r>
          </w:p>
        </w:tc>
        <w:tc>
          <w:tcPr>
            <w:tcW w:w="609" w:type="pct"/>
            <w:tcBorders>
              <w:top w:val="nil"/>
              <w:left w:val="nil"/>
              <w:bottom w:val="double" w:sz="4" w:space="0" w:color="auto"/>
              <w:right w:val="nil"/>
            </w:tcBorders>
            <w:hideMark/>
          </w:tcPr>
          <w:p w14:paraId="248FB8FB"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-.23 (-.37, -.09)</w:t>
            </w:r>
          </w:p>
        </w:tc>
        <w:tc>
          <w:tcPr>
            <w:tcW w:w="253" w:type="pct"/>
            <w:tcBorders>
              <w:top w:val="nil"/>
              <w:left w:val="nil"/>
              <w:bottom w:val="double" w:sz="4" w:space="0" w:color="auto"/>
              <w:right w:val="nil"/>
            </w:tcBorders>
            <w:hideMark/>
          </w:tcPr>
          <w:p w14:paraId="38B82AE8"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.001</w:t>
            </w:r>
          </w:p>
        </w:tc>
        <w:tc>
          <w:tcPr>
            <w:tcW w:w="608" w:type="pct"/>
            <w:tcBorders>
              <w:top w:val="nil"/>
              <w:left w:val="nil"/>
              <w:bottom w:val="double" w:sz="4" w:space="0" w:color="auto"/>
              <w:right w:val="nil"/>
            </w:tcBorders>
            <w:hideMark/>
          </w:tcPr>
          <w:p w14:paraId="0C52E931"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-.12 (-.27, .03)</w:t>
            </w:r>
          </w:p>
        </w:tc>
        <w:tc>
          <w:tcPr>
            <w:tcW w:w="280" w:type="pct"/>
            <w:tcBorders>
              <w:top w:val="nil"/>
              <w:left w:val="nil"/>
              <w:bottom w:val="double" w:sz="4" w:space="0" w:color="auto"/>
              <w:right w:val="nil"/>
            </w:tcBorders>
            <w:hideMark/>
          </w:tcPr>
          <w:p w14:paraId="63C8A74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.11</w:t>
            </w:r>
          </w:p>
        </w:tc>
      </w:tr>
    </w:tbl>
    <w:p w14:paraId="0F82BCBE" w14:textId="77777777" w:rsidR="005A047C" w:rsidRPr="005A047C" w:rsidRDefault="005A047C" w:rsidP="005A047C">
      <w:pPr>
        <w:spacing w:after="0" w:line="240" w:lineRule="auto"/>
        <w:divId w:val="448934348"/>
        <w:rPr>
          <w:rFonts w:ascii="Times New Roman" w:eastAsia="Times New Roman" w:hAnsi="Times New Roman" w:cs="Times New Roman"/>
          <w:sz w:val="24"/>
          <w:szCs w:val="24"/>
        </w:rPr>
      </w:pPr>
      <w:r w:rsidRPr="005A047C">
        <w:rPr>
          <w:rFonts w:ascii="Times New Roman" w:eastAsia="Times New Roman" w:hAnsi="Times New Roman" w:cs="Times New Roman"/>
          <w:sz w:val="24"/>
          <w:szCs w:val="24"/>
        </w:rPr>
        <w:t xml:space="preserve">Model 1: unadjusted; Model 2: adjusted for sex, income, social economic position, maternal education, housing tenure, parity, and maternal smoking in pregnancy; Model 3: further adjusted for working memory assessed at approximately age 11 years, and </w:t>
      </w:r>
      <w:r w:rsidRPr="005A047C">
        <w:rPr>
          <w:rFonts w:ascii="Times New Roman" w:eastAsia="Calibri" w:hAnsi="Times New Roman" w:cs="Times New Roman"/>
          <w:sz w:val="24"/>
          <w:szCs w:val="24"/>
        </w:rPr>
        <w:t>head injury/unconsciousness up to age 11 years</w:t>
      </w:r>
      <w:r w:rsidRPr="005A047C">
        <w:rPr>
          <w:rFonts w:ascii="Times New Roman" w:eastAsia="Times New Roman" w:hAnsi="Times New Roman" w:cs="Times New Roman"/>
          <w:sz w:val="24"/>
          <w:szCs w:val="24"/>
        </w:rPr>
        <w:t>; Model 4: further adjusted for young person cigarette and cannabis use assessed at age 15 years</w:t>
      </w:r>
    </w:p>
    <w:p w14:paraId="258F8CA8" w14:textId="77777777" w:rsidR="005A047C" w:rsidRPr="005A047C" w:rsidRDefault="005A047C" w:rsidP="005A047C">
      <w:pPr>
        <w:divId w:val="448934348"/>
        <w:rPr>
          <w:rFonts w:ascii="Times New Roman" w:eastAsia="Calibri" w:hAnsi="Times New Roman" w:cs="Times New Roman"/>
          <w:sz w:val="24"/>
        </w:rPr>
      </w:pPr>
    </w:p>
    <w:p w14:paraId="34509F07" w14:textId="6BB6E3A3" w:rsidR="005A047C" w:rsidRDefault="005A047C" w:rsidP="005325CA">
      <w:pPr>
        <w:pStyle w:val="NormalWeb"/>
        <w:spacing w:line="480" w:lineRule="auto"/>
        <w:ind w:left="480" w:hanging="480"/>
        <w:divId w:val="448934348"/>
      </w:pPr>
    </w:p>
    <w:p w14:paraId="6247C9D1" w14:textId="7968A616" w:rsidR="005A047C" w:rsidRDefault="005A047C" w:rsidP="005325CA">
      <w:pPr>
        <w:pStyle w:val="NormalWeb"/>
        <w:spacing w:line="480" w:lineRule="auto"/>
        <w:ind w:left="480" w:hanging="480"/>
        <w:divId w:val="448934348"/>
      </w:pPr>
    </w:p>
    <w:p w14:paraId="3EB89C25" w14:textId="6A696A73" w:rsidR="005A047C" w:rsidRDefault="005A047C" w:rsidP="005325CA">
      <w:pPr>
        <w:pStyle w:val="NormalWeb"/>
        <w:spacing w:line="480" w:lineRule="auto"/>
        <w:ind w:left="480" w:hanging="480"/>
        <w:divId w:val="448934348"/>
      </w:pPr>
    </w:p>
    <w:p w14:paraId="6925A600" w14:textId="6E5D7770" w:rsidR="005A047C" w:rsidRDefault="005A047C" w:rsidP="005325CA">
      <w:pPr>
        <w:pStyle w:val="NormalWeb"/>
        <w:spacing w:line="480" w:lineRule="auto"/>
        <w:ind w:left="480" w:hanging="480"/>
        <w:divId w:val="448934348"/>
      </w:pPr>
    </w:p>
    <w:p w14:paraId="12BC0158" w14:textId="0C12922E" w:rsidR="005A047C" w:rsidRDefault="005A047C" w:rsidP="005325CA">
      <w:pPr>
        <w:pStyle w:val="NormalWeb"/>
        <w:spacing w:line="480" w:lineRule="auto"/>
        <w:ind w:left="480" w:hanging="480"/>
        <w:divId w:val="448934348"/>
      </w:pPr>
    </w:p>
    <w:p w14:paraId="3F7EA1F6" w14:textId="5430A556" w:rsidR="005A047C" w:rsidRDefault="005A047C" w:rsidP="005325CA">
      <w:pPr>
        <w:pStyle w:val="NormalWeb"/>
        <w:spacing w:line="480" w:lineRule="auto"/>
        <w:ind w:left="480" w:hanging="480"/>
        <w:divId w:val="448934348"/>
      </w:pPr>
    </w:p>
    <w:p w14:paraId="365D389F" w14:textId="77777777" w:rsidR="005A047C" w:rsidRPr="005A047C" w:rsidRDefault="005A047C" w:rsidP="005A047C">
      <w:pPr>
        <w:spacing w:after="0" w:line="276" w:lineRule="auto"/>
        <w:divId w:val="448934348"/>
        <w:rPr>
          <w:rFonts w:ascii="Times New Roman" w:eastAsia="Times New Roman" w:hAnsi="Times New Roman" w:cs="Times New Roman"/>
          <w:b/>
          <w:sz w:val="24"/>
          <w:szCs w:val="24"/>
        </w:rPr>
      </w:pPr>
      <w:r w:rsidRPr="005A047C">
        <w:rPr>
          <w:rFonts w:ascii="Times New Roman" w:eastAsia="Times New Roman" w:hAnsi="Times New Roman" w:cs="Times New Roman"/>
          <w:b/>
          <w:sz w:val="24"/>
          <w:szCs w:val="24"/>
        </w:rPr>
        <w:lastRenderedPageBreak/>
        <w:t>Table 3. Associations between frequent and binge drinking (compared to low alcohol users) at age 15 years and WM indices at age 18 years for the 3-back task (</w:t>
      </w:r>
      <w:r w:rsidRPr="005A047C">
        <w:rPr>
          <w:rFonts w:ascii="Times New Roman" w:eastAsia="Times New Roman" w:hAnsi="Times New Roman" w:cs="Times New Roman"/>
          <w:b/>
          <w:i/>
          <w:sz w:val="24"/>
          <w:szCs w:val="24"/>
        </w:rPr>
        <w:t>n</w:t>
      </w:r>
      <w:r w:rsidRPr="005A047C">
        <w:rPr>
          <w:rFonts w:ascii="Times New Roman" w:eastAsia="Times New Roman" w:hAnsi="Times New Roman" w:cs="Times New Roman"/>
          <w:b/>
          <w:sz w:val="24"/>
          <w:szCs w:val="24"/>
        </w:rPr>
        <w:t>=3,319) in 50 multiply imputed datasets</w:t>
      </w:r>
    </w:p>
    <w:tbl>
      <w:tblPr>
        <w:tblStyle w:val="TableGrid121"/>
        <w:tblW w:w="13320" w:type="dxa"/>
        <w:tblInd w:w="0" w:type="dxa"/>
        <w:tblLayout w:type="fixed"/>
        <w:tblLook w:val="04A0" w:firstRow="1" w:lastRow="0" w:firstColumn="1" w:lastColumn="0" w:noHBand="0" w:noVBand="1"/>
      </w:tblPr>
      <w:tblGrid>
        <w:gridCol w:w="2976"/>
        <w:gridCol w:w="1844"/>
        <w:gridCol w:w="709"/>
        <w:gridCol w:w="1698"/>
        <w:gridCol w:w="708"/>
        <w:gridCol w:w="1842"/>
        <w:gridCol w:w="709"/>
        <w:gridCol w:w="1842"/>
        <w:gridCol w:w="992"/>
      </w:tblGrid>
      <w:tr w:rsidR="005A047C" w:rsidRPr="005A047C" w14:paraId="3258C48F" w14:textId="77777777" w:rsidTr="005A047C">
        <w:trPr>
          <w:divId w:val="448934348"/>
        </w:trPr>
        <w:tc>
          <w:tcPr>
            <w:tcW w:w="2976" w:type="dxa"/>
            <w:tcBorders>
              <w:top w:val="double" w:sz="4" w:space="0" w:color="auto"/>
              <w:left w:val="nil"/>
              <w:bottom w:val="nil"/>
              <w:right w:val="single" w:sz="4" w:space="0" w:color="auto"/>
            </w:tcBorders>
          </w:tcPr>
          <w:p w14:paraId="3151EE73" w14:textId="77777777" w:rsidR="005A047C" w:rsidRPr="005A047C" w:rsidRDefault="005A047C" w:rsidP="005A047C">
            <w:pPr>
              <w:spacing w:line="360" w:lineRule="auto"/>
              <w:rPr>
                <w:szCs w:val="24"/>
              </w:rPr>
            </w:pPr>
          </w:p>
        </w:tc>
        <w:tc>
          <w:tcPr>
            <w:tcW w:w="2553" w:type="dxa"/>
            <w:gridSpan w:val="2"/>
            <w:tcBorders>
              <w:top w:val="double" w:sz="4" w:space="0" w:color="auto"/>
              <w:left w:val="nil"/>
              <w:bottom w:val="nil"/>
              <w:right w:val="nil"/>
            </w:tcBorders>
            <w:hideMark/>
          </w:tcPr>
          <w:p w14:paraId="2F357E95" w14:textId="77777777" w:rsidR="005A047C" w:rsidRPr="005A047C" w:rsidRDefault="005A047C" w:rsidP="005A047C">
            <w:pPr>
              <w:spacing w:line="360" w:lineRule="auto"/>
              <w:rPr>
                <w:rFonts w:eastAsia="Calibri"/>
                <w:szCs w:val="24"/>
              </w:rPr>
            </w:pPr>
            <w:r w:rsidRPr="005A047C">
              <w:rPr>
                <w:rFonts w:eastAsia="Calibri"/>
                <w:szCs w:val="24"/>
              </w:rPr>
              <w:t>Model 1</w:t>
            </w:r>
          </w:p>
        </w:tc>
        <w:tc>
          <w:tcPr>
            <w:tcW w:w="1698" w:type="dxa"/>
            <w:tcBorders>
              <w:top w:val="double" w:sz="4" w:space="0" w:color="auto"/>
              <w:left w:val="nil"/>
              <w:bottom w:val="nil"/>
              <w:right w:val="nil"/>
            </w:tcBorders>
            <w:hideMark/>
          </w:tcPr>
          <w:p w14:paraId="3245D493" w14:textId="77777777" w:rsidR="005A047C" w:rsidRPr="005A047C" w:rsidRDefault="005A047C" w:rsidP="005A047C">
            <w:pPr>
              <w:spacing w:line="360" w:lineRule="auto"/>
              <w:rPr>
                <w:rFonts w:eastAsia="Calibri"/>
                <w:szCs w:val="24"/>
              </w:rPr>
            </w:pPr>
            <w:r w:rsidRPr="005A047C">
              <w:rPr>
                <w:rFonts w:eastAsia="Calibri"/>
                <w:szCs w:val="24"/>
              </w:rPr>
              <w:t>Model 2</w:t>
            </w:r>
          </w:p>
        </w:tc>
        <w:tc>
          <w:tcPr>
            <w:tcW w:w="708" w:type="dxa"/>
            <w:tcBorders>
              <w:top w:val="double" w:sz="4" w:space="0" w:color="auto"/>
              <w:left w:val="nil"/>
              <w:bottom w:val="nil"/>
              <w:right w:val="nil"/>
            </w:tcBorders>
          </w:tcPr>
          <w:p w14:paraId="3BF8D8F4" w14:textId="77777777" w:rsidR="005A047C" w:rsidRPr="005A047C" w:rsidRDefault="005A047C" w:rsidP="005A047C">
            <w:pPr>
              <w:spacing w:line="360" w:lineRule="auto"/>
              <w:rPr>
                <w:rFonts w:eastAsia="Calibri"/>
                <w:szCs w:val="24"/>
              </w:rPr>
            </w:pPr>
          </w:p>
        </w:tc>
        <w:tc>
          <w:tcPr>
            <w:tcW w:w="2551" w:type="dxa"/>
            <w:gridSpan w:val="2"/>
            <w:tcBorders>
              <w:top w:val="double" w:sz="4" w:space="0" w:color="auto"/>
              <w:left w:val="nil"/>
              <w:bottom w:val="nil"/>
              <w:right w:val="nil"/>
            </w:tcBorders>
            <w:hideMark/>
          </w:tcPr>
          <w:p w14:paraId="54A7E267" w14:textId="77777777" w:rsidR="005A047C" w:rsidRPr="005A047C" w:rsidRDefault="005A047C" w:rsidP="005A047C">
            <w:pPr>
              <w:spacing w:line="360" w:lineRule="auto"/>
              <w:rPr>
                <w:rFonts w:eastAsia="Calibri"/>
                <w:szCs w:val="24"/>
              </w:rPr>
            </w:pPr>
            <w:r w:rsidRPr="005A047C">
              <w:rPr>
                <w:rFonts w:eastAsia="Calibri"/>
                <w:szCs w:val="24"/>
              </w:rPr>
              <w:t>Model 3</w:t>
            </w:r>
          </w:p>
        </w:tc>
        <w:tc>
          <w:tcPr>
            <w:tcW w:w="2834" w:type="dxa"/>
            <w:gridSpan w:val="2"/>
            <w:tcBorders>
              <w:top w:val="double" w:sz="4" w:space="0" w:color="auto"/>
              <w:left w:val="nil"/>
              <w:bottom w:val="nil"/>
              <w:right w:val="nil"/>
            </w:tcBorders>
            <w:hideMark/>
          </w:tcPr>
          <w:p w14:paraId="47A57A7C" w14:textId="77777777" w:rsidR="005A047C" w:rsidRPr="005A047C" w:rsidRDefault="005A047C" w:rsidP="005A047C">
            <w:pPr>
              <w:spacing w:line="360" w:lineRule="auto"/>
              <w:rPr>
                <w:rFonts w:eastAsia="Calibri"/>
                <w:szCs w:val="24"/>
              </w:rPr>
            </w:pPr>
            <w:r w:rsidRPr="005A047C">
              <w:rPr>
                <w:rFonts w:eastAsia="Calibri"/>
                <w:szCs w:val="24"/>
              </w:rPr>
              <w:t>Model 4</w:t>
            </w:r>
          </w:p>
        </w:tc>
      </w:tr>
      <w:tr w:rsidR="005A047C" w:rsidRPr="005A047C" w14:paraId="0EBDEA3F" w14:textId="77777777" w:rsidTr="005A047C">
        <w:trPr>
          <w:divId w:val="448934348"/>
        </w:trPr>
        <w:tc>
          <w:tcPr>
            <w:tcW w:w="2976" w:type="dxa"/>
            <w:tcBorders>
              <w:top w:val="nil"/>
              <w:left w:val="nil"/>
              <w:bottom w:val="single" w:sz="4" w:space="0" w:color="auto"/>
              <w:right w:val="single" w:sz="4" w:space="0" w:color="auto"/>
            </w:tcBorders>
          </w:tcPr>
          <w:p w14:paraId="12796FCE" w14:textId="77777777" w:rsidR="005A047C" w:rsidRPr="005A047C" w:rsidRDefault="005A047C" w:rsidP="005A047C">
            <w:pPr>
              <w:spacing w:line="360" w:lineRule="auto"/>
              <w:rPr>
                <w:rFonts w:eastAsia="Calibri"/>
                <w:szCs w:val="24"/>
              </w:rPr>
            </w:pPr>
          </w:p>
        </w:tc>
        <w:tc>
          <w:tcPr>
            <w:tcW w:w="1844" w:type="dxa"/>
            <w:tcBorders>
              <w:top w:val="nil"/>
              <w:left w:val="nil"/>
              <w:bottom w:val="single" w:sz="4" w:space="0" w:color="auto"/>
              <w:right w:val="nil"/>
            </w:tcBorders>
            <w:hideMark/>
          </w:tcPr>
          <w:p w14:paraId="57C2DABF" w14:textId="77777777" w:rsidR="005A047C" w:rsidRPr="005A047C" w:rsidRDefault="005A047C" w:rsidP="005A047C">
            <w:pPr>
              <w:spacing w:line="360" w:lineRule="auto"/>
              <w:rPr>
                <w:rFonts w:eastAsia="Calibri"/>
                <w:szCs w:val="24"/>
              </w:rPr>
            </w:pPr>
            <w:r w:rsidRPr="005A047C">
              <w:rPr>
                <w:rFonts w:eastAsia="Calibri"/>
                <w:i/>
                <w:szCs w:val="24"/>
              </w:rPr>
              <w:t>b</w:t>
            </w:r>
            <w:r w:rsidRPr="005A047C">
              <w:rPr>
                <w:rFonts w:eastAsia="Calibri"/>
                <w:szCs w:val="24"/>
              </w:rPr>
              <w:t xml:space="preserve"> (</w:t>
            </w:r>
            <w:r w:rsidRPr="005A047C">
              <w:rPr>
                <w:rFonts w:eastAsia="Calibri"/>
                <w:i/>
                <w:szCs w:val="24"/>
              </w:rPr>
              <w:t>95% CI)</w:t>
            </w:r>
          </w:p>
        </w:tc>
        <w:tc>
          <w:tcPr>
            <w:tcW w:w="709" w:type="dxa"/>
            <w:tcBorders>
              <w:top w:val="nil"/>
              <w:left w:val="nil"/>
              <w:bottom w:val="single" w:sz="4" w:space="0" w:color="auto"/>
              <w:right w:val="nil"/>
            </w:tcBorders>
            <w:hideMark/>
          </w:tcPr>
          <w:p w14:paraId="694EB1F8" w14:textId="77777777" w:rsidR="005A047C" w:rsidRPr="005A047C" w:rsidRDefault="005A047C" w:rsidP="005A047C">
            <w:pPr>
              <w:spacing w:line="360" w:lineRule="auto"/>
              <w:rPr>
                <w:rFonts w:eastAsia="Calibri"/>
                <w:i/>
                <w:szCs w:val="24"/>
              </w:rPr>
            </w:pPr>
            <w:r w:rsidRPr="005A047C">
              <w:rPr>
                <w:rFonts w:eastAsia="Calibri"/>
                <w:i/>
                <w:szCs w:val="24"/>
              </w:rPr>
              <w:t>P</w:t>
            </w:r>
          </w:p>
        </w:tc>
        <w:tc>
          <w:tcPr>
            <w:tcW w:w="1698" w:type="dxa"/>
            <w:tcBorders>
              <w:top w:val="nil"/>
              <w:left w:val="nil"/>
              <w:bottom w:val="single" w:sz="4" w:space="0" w:color="auto"/>
              <w:right w:val="nil"/>
            </w:tcBorders>
            <w:hideMark/>
          </w:tcPr>
          <w:p w14:paraId="0B0E561B" w14:textId="77777777" w:rsidR="005A047C" w:rsidRPr="005A047C" w:rsidRDefault="005A047C" w:rsidP="005A047C">
            <w:pPr>
              <w:spacing w:line="360" w:lineRule="auto"/>
              <w:rPr>
                <w:rFonts w:eastAsia="Calibri"/>
                <w:i/>
                <w:szCs w:val="24"/>
              </w:rPr>
            </w:pPr>
            <w:r w:rsidRPr="005A047C">
              <w:rPr>
                <w:rFonts w:eastAsia="Calibri"/>
                <w:i/>
                <w:szCs w:val="24"/>
              </w:rPr>
              <w:t>b</w:t>
            </w:r>
            <w:r w:rsidRPr="005A047C">
              <w:rPr>
                <w:rFonts w:eastAsia="Calibri"/>
                <w:szCs w:val="24"/>
              </w:rPr>
              <w:t xml:space="preserve"> (</w:t>
            </w:r>
            <w:r w:rsidRPr="005A047C">
              <w:rPr>
                <w:rFonts w:eastAsia="Calibri"/>
                <w:i/>
                <w:szCs w:val="24"/>
              </w:rPr>
              <w:t xml:space="preserve">95% CI) </w:t>
            </w:r>
          </w:p>
        </w:tc>
        <w:tc>
          <w:tcPr>
            <w:tcW w:w="708" w:type="dxa"/>
            <w:tcBorders>
              <w:top w:val="nil"/>
              <w:left w:val="nil"/>
              <w:bottom w:val="single" w:sz="4" w:space="0" w:color="auto"/>
              <w:right w:val="nil"/>
            </w:tcBorders>
            <w:hideMark/>
          </w:tcPr>
          <w:p w14:paraId="400A0993" w14:textId="77777777" w:rsidR="005A047C" w:rsidRPr="005A047C" w:rsidRDefault="005A047C" w:rsidP="005A047C">
            <w:pPr>
              <w:spacing w:line="360" w:lineRule="auto"/>
              <w:rPr>
                <w:rFonts w:eastAsia="Calibri"/>
                <w:i/>
                <w:szCs w:val="24"/>
              </w:rPr>
            </w:pPr>
            <w:r w:rsidRPr="005A047C">
              <w:rPr>
                <w:rFonts w:eastAsia="Calibri"/>
                <w:i/>
                <w:szCs w:val="24"/>
              </w:rPr>
              <w:t>p</w:t>
            </w:r>
          </w:p>
        </w:tc>
        <w:tc>
          <w:tcPr>
            <w:tcW w:w="1842" w:type="dxa"/>
            <w:tcBorders>
              <w:top w:val="nil"/>
              <w:left w:val="nil"/>
              <w:bottom w:val="single" w:sz="4" w:space="0" w:color="auto"/>
              <w:right w:val="nil"/>
            </w:tcBorders>
            <w:hideMark/>
          </w:tcPr>
          <w:p w14:paraId="5C1E15FB" w14:textId="77777777" w:rsidR="005A047C" w:rsidRPr="005A047C" w:rsidRDefault="005A047C" w:rsidP="005A047C">
            <w:pPr>
              <w:spacing w:line="360" w:lineRule="auto"/>
              <w:rPr>
                <w:rFonts w:eastAsia="Calibri"/>
                <w:szCs w:val="24"/>
              </w:rPr>
            </w:pPr>
            <w:r w:rsidRPr="005A047C">
              <w:rPr>
                <w:rFonts w:eastAsia="Calibri"/>
                <w:i/>
                <w:szCs w:val="24"/>
              </w:rPr>
              <w:t>b</w:t>
            </w:r>
            <w:r w:rsidRPr="005A047C">
              <w:rPr>
                <w:rFonts w:eastAsia="Calibri"/>
                <w:szCs w:val="24"/>
              </w:rPr>
              <w:t xml:space="preserve"> (</w:t>
            </w:r>
            <w:r w:rsidRPr="005A047C">
              <w:rPr>
                <w:rFonts w:eastAsia="Calibri"/>
                <w:i/>
                <w:szCs w:val="24"/>
              </w:rPr>
              <w:t>95% CI)</w:t>
            </w:r>
          </w:p>
        </w:tc>
        <w:tc>
          <w:tcPr>
            <w:tcW w:w="709" w:type="dxa"/>
            <w:tcBorders>
              <w:top w:val="nil"/>
              <w:left w:val="nil"/>
              <w:bottom w:val="single" w:sz="4" w:space="0" w:color="auto"/>
              <w:right w:val="nil"/>
            </w:tcBorders>
            <w:hideMark/>
          </w:tcPr>
          <w:p w14:paraId="093E2643" w14:textId="77777777" w:rsidR="005A047C" w:rsidRPr="005A047C" w:rsidRDefault="005A047C" w:rsidP="005A047C">
            <w:pPr>
              <w:spacing w:line="360" w:lineRule="auto"/>
              <w:rPr>
                <w:rFonts w:eastAsia="Calibri"/>
                <w:i/>
                <w:szCs w:val="24"/>
              </w:rPr>
            </w:pPr>
            <w:r w:rsidRPr="005A047C">
              <w:rPr>
                <w:rFonts w:eastAsia="Calibri"/>
                <w:i/>
                <w:szCs w:val="24"/>
              </w:rPr>
              <w:t>p</w:t>
            </w:r>
          </w:p>
        </w:tc>
        <w:tc>
          <w:tcPr>
            <w:tcW w:w="1842" w:type="dxa"/>
            <w:tcBorders>
              <w:top w:val="nil"/>
              <w:left w:val="nil"/>
              <w:bottom w:val="single" w:sz="4" w:space="0" w:color="auto"/>
              <w:right w:val="nil"/>
            </w:tcBorders>
            <w:hideMark/>
          </w:tcPr>
          <w:p w14:paraId="304E9748" w14:textId="77777777" w:rsidR="005A047C" w:rsidRPr="005A047C" w:rsidRDefault="005A047C" w:rsidP="005A047C">
            <w:pPr>
              <w:spacing w:line="360" w:lineRule="auto"/>
              <w:rPr>
                <w:rFonts w:eastAsia="Calibri"/>
                <w:szCs w:val="24"/>
              </w:rPr>
            </w:pPr>
            <w:r w:rsidRPr="005A047C">
              <w:rPr>
                <w:rFonts w:eastAsia="Calibri"/>
                <w:i/>
                <w:szCs w:val="24"/>
              </w:rPr>
              <w:t>b</w:t>
            </w:r>
            <w:r w:rsidRPr="005A047C">
              <w:rPr>
                <w:rFonts w:eastAsia="Calibri"/>
                <w:szCs w:val="24"/>
              </w:rPr>
              <w:t xml:space="preserve"> (</w:t>
            </w:r>
            <w:r w:rsidRPr="005A047C">
              <w:rPr>
                <w:rFonts w:eastAsia="Calibri"/>
                <w:i/>
                <w:szCs w:val="24"/>
              </w:rPr>
              <w:t>95% CI)</w:t>
            </w:r>
          </w:p>
        </w:tc>
        <w:tc>
          <w:tcPr>
            <w:tcW w:w="992" w:type="dxa"/>
            <w:tcBorders>
              <w:top w:val="nil"/>
              <w:left w:val="nil"/>
              <w:bottom w:val="single" w:sz="4" w:space="0" w:color="auto"/>
              <w:right w:val="nil"/>
            </w:tcBorders>
            <w:hideMark/>
          </w:tcPr>
          <w:p w14:paraId="520E6ECF" w14:textId="77777777" w:rsidR="005A047C" w:rsidRPr="005A047C" w:rsidRDefault="005A047C" w:rsidP="005A047C">
            <w:pPr>
              <w:spacing w:line="360" w:lineRule="auto"/>
              <w:rPr>
                <w:rFonts w:eastAsia="Calibri"/>
                <w:i/>
                <w:szCs w:val="24"/>
              </w:rPr>
            </w:pPr>
            <w:r w:rsidRPr="005A047C">
              <w:rPr>
                <w:rFonts w:eastAsia="Calibri"/>
                <w:i/>
                <w:szCs w:val="24"/>
              </w:rPr>
              <w:t>p</w:t>
            </w:r>
          </w:p>
        </w:tc>
      </w:tr>
      <w:tr w:rsidR="005A047C" w:rsidRPr="005A047C" w14:paraId="1A0C660D" w14:textId="77777777" w:rsidTr="005A047C">
        <w:trPr>
          <w:divId w:val="448934348"/>
          <w:trHeight w:val="511"/>
        </w:trPr>
        <w:tc>
          <w:tcPr>
            <w:tcW w:w="2976" w:type="dxa"/>
            <w:tcBorders>
              <w:top w:val="single" w:sz="4" w:space="0" w:color="auto"/>
              <w:left w:val="nil"/>
              <w:bottom w:val="nil"/>
              <w:right w:val="single" w:sz="4" w:space="0" w:color="auto"/>
            </w:tcBorders>
            <w:hideMark/>
          </w:tcPr>
          <w:p w14:paraId="26D02DB5"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Number of hits</w:t>
            </w:r>
          </w:p>
        </w:tc>
        <w:tc>
          <w:tcPr>
            <w:tcW w:w="1844" w:type="dxa"/>
            <w:tcBorders>
              <w:top w:val="single" w:sz="4" w:space="0" w:color="auto"/>
              <w:left w:val="nil"/>
              <w:bottom w:val="nil"/>
              <w:right w:val="nil"/>
            </w:tcBorders>
            <w:hideMark/>
          </w:tcPr>
          <w:p w14:paraId="1B7642C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-.15 (-.28, -.01)</w:t>
            </w:r>
          </w:p>
        </w:tc>
        <w:tc>
          <w:tcPr>
            <w:tcW w:w="709" w:type="dxa"/>
            <w:tcBorders>
              <w:top w:val="single" w:sz="4" w:space="0" w:color="auto"/>
              <w:left w:val="nil"/>
              <w:bottom w:val="nil"/>
              <w:right w:val="nil"/>
            </w:tcBorders>
            <w:hideMark/>
          </w:tcPr>
          <w:p w14:paraId="22ECDE2E"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.05</w:t>
            </w:r>
          </w:p>
        </w:tc>
        <w:tc>
          <w:tcPr>
            <w:tcW w:w="1698" w:type="dxa"/>
            <w:tcBorders>
              <w:top w:val="single" w:sz="4" w:space="0" w:color="auto"/>
              <w:left w:val="nil"/>
              <w:bottom w:val="nil"/>
              <w:right w:val="nil"/>
            </w:tcBorders>
            <w:hideMark/>
          </w:tcPr>
          <w:p w14:paraId="7414574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-.13 (-.27, .01)    </w:t>
            </w:r>
          </w:p>
        </w:tc>
        <w:tc>
          <w:tcPr>
            <w:tcW w:w="708" w:type="dxa"/>
            <w:tcBorders>
              <w:top w:val="single" w:sz="4" w:space="0" w:color="auto"/>
              <w:left w:val="nil"/>
              <w:bottom w:val="nil"/>
              <w:right w:val="nil"/>
            </w:tcBorders>
            <w:hideMark/>
          </w:tcPr>
          <w:p w14:paraId="4B657DC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.06</w:t>
            </w:r>
          </w:p>
        </w:tc>
        <w:tc>
          <w:tcPr>
            <w:tcW w:w="1842" w:type="dxa"/>
            <w:tcBorders>
              <w:top w:val="single" w:sz="4" w:space="0" w:color="auto"/>
              <w:left w:val="nil"/>
              <w:bottom w:val="nil"/>
              <w:right w:val="nil"/>
            </w:tcBorders>
            <w:hideMark/>
          </w:tcPr>
          <w:p w14:paraId="0F976203"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-.13 (-.26, .00)</w:t>
            </w:r>
          </w:p>
        </w:tc>
        <w:tc>
          <w:tcPr>
            <w:tcW w:w="709" w:type="dxa"/>
            <w:tcBorders>
              <w:top w:val="single" w:sz="4" w:space="0" w:color="auto"/>
              <w:left w:val="nil"/>
              <w:bottom w:val="nil"/>
              <w:right w:val="nil"/>
            </w:tcBorders>
            <w:hideMark/>
          </w:tcPr>
          <w:p w14:paraId="3D97C656"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.05</w:t>
            </w:r>
          </w:p>
        </w:tc>
        <w:tc>
          <w:tcPr>
            <w:tcW w:w="1842" w:type="dxa"/>
            <w:tcBorders>
              <w:top w:val="single" w:sz="4" w:space="0" w:color="auto"/>
              <w:left w:val="nil"/>
              <w:bottom w:val="nil"/>
              <w:right w:val="nil"/>
            </w:tcBorders>
            <w:hideMark/>
          </w:tcPr>
          <w:p w14:paraId="02A0A265"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-.10 (-.25, .06)</w:t>
            </w:r>
          </w:p>
        </w:tc>
        <w:tc>
          <w:tcPr>
            <w:tcW w:w="992" w:type="dxa"/>
            <w:tcBorders>
              <w:top w:val="single" w:sz="4" w:space="0" w:color="auto"/>
              <w:left w:val="nil"/>
              <w:bottom w:val="nil"/>
              <w:right w:val="nil"/>
            </w:tcBorders>
            <w:hideMark/>
          </w:tcPr>
          <w:p w14:paraId="6782A54D"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.22</w:t>
            </w:r>
          </w:p>
        </w:tc>
      </w:tr>
      <w:tr w:rsidR="005A047C" w:rsidRPr="005A047C" w14:paraId="794ABBCE" w14:textId="77777777" w:rsidTr="005A047C">
        <w:trPr>
          <w:divId w:val="448934348"/>
          <w:trHeight w:val="414"/>
        </w:trPr>
        <w:tc>
          <w:tcPr>
            <w:tcW w:w="2976" w:type="dxa"/>
            <w:tcBorders>
              <w:top w:val="nil"/>
              <w:left w:val="nil"/>
              <w:bottom w:val="nil"/>
              <w:right w:val="single" w:sz="4" w:space="0" w:color="auto"/>
            </w:tcBorders>
            <w:hideMark/>
          </w:tcPr>
          <w:p w14:paraId="68B3BA7D"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Number of false alarms</w:t>
            </w:r>
          </w:p>
        </w:tc>
        <w:tc>
          <w:tcPr>
            <w:tcW w:w="1844" w:type="dxa"/>
            <w:tcBorders>
              <w:top w:val="nil"/>
              <w:left w:val="nil"/>
              <w:bottom w:val="nil"/>
              <w:right w:val="nil"/>
            </w:tcBorders>
            <w:hideMark/>
          </w:tcPr>
          <w:p w14:paraId="52064F56"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-.26 (-.45, -.05)</w:t>
            </w:r>
          </w:p>
        </w:tc>
        <w:tc>
          <w:tcPr>
            <w:tcW w:w="709" w:type="dxa"/>
            <w:tcBorders>
              <w:top w:val="nil"/>
              <w:left w:val="nil"/>
              <w:bottom w:val="nil"/>
              <w:right w:val="nil"/>
            </w:tcBorders>
            <w:hideMark/>
          </w:tcPr>
          <w:p w14:paraId="571E6EBB"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.002</w:t>
            </w:r>
          </w:p>
        </w:tc>
        <w:tc>
          <w:tcPr>
            <w:tcW w:w="1698" w:type="dxa"/>
            <w:tcBorders>
              <w:top w:val="nil"/>
              <w:left w:val="nil"/>
              <w:bottom w:val="nil"/>
              <w:right w:val="nil"/>
            </w:tcBorders>
            <w:hideMark/>
          </w:tcPr>
          <w:p w14:paraId="458AE9A1"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-.23 (-.41, -.04)</w:t>
            </w:r>
          </w:p>
        </w:tc>
        <w:tc>
          <w:tcPr>
            <w:tcW w:w="708" w:type="dxa"/>
            <w:tcBorders>
              <w:top w:val="nil"/>
              <w:left w:val="nil"/>
              <w:bottom w:val="nil"/>
              <w:right w:val="nil"/>
            </w:tcBorders>
            <w:hideMark/>
          </w:tcPr>
          <w:p w14:paraId="7D319C54"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.005</w:t>
            </w:r>
          </w:p>
        </w:tc>
        <w:tc>
          <w:tcPr>
            <w:tcW w:w="1842" w:type="dxa"/>
            <w:tcBorders>
              <w:top w:val="nil"/>
              <w:left w:val="nil"/>
              <w:bottom w:val="nil"/>
              <w:right w:val="nil"/>
            </w:tcBorders>
            <w:hideMark/>
          </w:tcPr>
          <w:p w14:paraId="7347305C"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-.22 (-.40, -.04)</w:t>
            </w:r>
          </w:p>
        </w:tc>
        <w:tc>
          <w:tcPr>
            <w:tcW w:w="709" w:type="dxa"/>
            <w:tcBorders>
              <w:top w:val="nil"/>
              <w:left w:val="nil"/>
              <w:bottom w:val="nil"/>
              <w:right w:val="nil"/>
            </w:tcBorders>
            <w:hideMark/>
          </w:tcPr>
          <w:p w14:paraId="0D171E5B"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.004</w:t>
            </w:r>
          </w:p>
        </w:tc>
        <w:tc>
          <w:tcPr>
            <w:tcW w:w="1842" w:type="dxa"/>
            <w:tcBorders>
              <w:top w:val="nil"/>
              <w:left w:val="nil"/>
              <w:bottom w:val="nil"/>
              <w:right w:val="nil"/>
            </w:tcBorders>
            <w:hideMark/>
          </w:tcPr>
          <w:p w14:paraId="4AF42FF2"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-.09 (-.28, .11)</w:t>
            </w:r>
          </w:p>
        </w:tc>
        <w:tc>
          <w:tcPr>
            <w:tcW w:w="992" w:type="dxa"/>
            <w:tcBorders>
              <w:top w:val="nil"/>
              <w:left w:val="nil"/>
              <w:bottom w:val="nil"/>
              <w:right w:val="nil"/>
            </w:tcBorders>
            <w:hideMark/>
          </w:tcPr>
          <w:p w14:paraId="14E03B2C"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.30</w:t>
            </w:r>
          </w:p>
        </w:tc>
      </w:tr>
      <w:tr w:rsidR="005A047C" w:rsidRPr="005A047C" w14:paraId="5CF40958" w14:textId="77777777" w:rsidTr="005A047C">
        <w:trPr>
          <w:divId w:val="448934348"/>
        </w:trPr>
        <w:tc>
          <w:tcPr>
            <w:tcW w:w="2976" w:type="dxa"/>
            <w:tcBorders>
              <w:top w:val="nil"/>
              <w:left w:val="nil"/>
              <w:bottom w:val="nil"/>
              <w:right w:val="single" w:sz="4" w:space="0" w:color="auto"/>
            </w:tcBorders>
            <w:hideMark/>
          </w:tcPr>
          <w:p w14:paraId="4313D036"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Reaction time-hits</w:t>
            </w:r>
          </w:p>
        </w:tc>
        <w:tc>
          <w:tcPr>
            <w:tcW w:w="1844" w:type="dxa"/>
            <w:tcBorders>
              <w:top w:val="nil"/>
              <w:left w:val="nil"/>
              <w:bottom w:val="nil"/>
              <w:right w:val="nil"/>
            </w:tcBorders>
            <w:hideMark/>
          </w:tcPr>
          <w:p w14:paraId="6A27838D"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-.03 (-.17, .12)</w:t>
            </w:r>
          </w:p>
        </w:tc>
        <w:tc>
          <w:tcPr>
            <w:tcW w:w="709" w:type="dxa"/>
            <w:tcBorders>
              <w:top w:val="nil"/>
              <w:left w:val="nil"/>
              <w:bottom w:val="nil"/>
              <w:right w:val="nil"/>
            </w:tcBorders>
            <w:hideMark/>
          </w:tcPr>
          <w:p w14:paraId="08EEB38F"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.73</w:t>
            </w:r>
          </w:p>
        </w:tc>
        <w:tc>
          <w:tcPr>
            <w:tcW w:w="1698" w:type="dxa"/>
            <w:tcBorders>
              <w:top w:val="nil"/>
              <w:left w:val="nil"/>
              <w:bottom w:val="nil"/>
              <w:right w:val="nil"/>
            </w:tcBorders>
            <w:hideMark/>
          </w:tcPr>
          <w:p w14:paraId="486B27AD"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.00 (-.14, .14) </w:t>
            </w:r>
          </w:p>
        </w:tc>
        <w:tc>
          <w:tcPr>
            <w:tcW w:w="708" w:type="dxa"/>
            <w:tcBorders>
              <w:top w:val="nil"/>
              <w:left w:val="nil"/>
              <w:bottom w:val="nil"/>
              <w:right w:val="nil"/>
            </w:tcBorders>
            <w:hideMark/>
          </w:tcPr>
          <w:p w14:paraId="51DDF090"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.99</w:t>
            </w:r>
          </w:p>
        </w:tc>
        <w:tc>
          <w:tcPr>
            <w:tcW w:w="1842" w:type="dxa"/>
            <w:tcBorders>
              <w:top w:val="nil"/>
              <w:left w:val="nil"/>
              <w:bottom w:val="nil"/>
              <w:right w:val="nil"/>
            </w:tcBorders>
            <w:hideMark/>
          </w:tcPr>
          <w:p w14:paraId="4A62A08D"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-.00 (-.14, .14)</w:t>
            </w:r>
          </w:p>
        </w:tc>
        <w:tc>
          <w:tcPr>
            <w:tcW w:w="709" w:type="dxa"/>
            <w:tcBorders>
              <w:top w:val="nil"/>
              <w:left w:val="nil"/>
              <w:bottom w:val="nil"/>
              <w:right w:val="nil"/>
            </w:tcBorders>
            <w:hideMark/>
          </w:tcPr>
          <w:p w14:paraId="44B60BB4"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.98</w:t>
            </w:r>
          </w:p>
        </w:tc>
        <w:tc>
          <w:tcPr>
            <w:tcW w:w="1842" w:type="dxa"/>
            <w:tcBorders>
              <w:top w:val="nil"/>
              <w:left w:val="nil"/>
              <w:bottom w:val="nil"/>
              <w:right w:val="nil"/>
            </w:tcBorders>
            <w:hideMark/>
          </w:tcPr>
          <w:p w14:paraId="16EBC100"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.07 (-.10, .23)</w:t>
            </w:r>
          </w:p>
        </w:tc>
        <w:tc>
          <w:tcPr>
            <w:tcW w:w="992" w:type="dxa"/>
            <w:tcBorders>
              <w:top w:val="nil"/>
              <w:left w:val="nil"/>
              <w:bottom w:val="nil"/>
              <w:right w:val="nil"/>
            </w:tcBorders>
            <w:hideMark/>
          </w:tcPr>
          <w:p w14:paraId="6D57D0D9"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.42</w:t>
            </w:r>
          </w:p>
        </w:tc>
      </w:tr>
      <w:tr w:rsidR="005A047C" w:rsidRPr="005A047C" w14:paraId="47EA4FCE" w14:textId="77777777" w:rsidTr="005A047C">
        <w:trPr>
          <w:divId w:val="448934348"/>
        </w:trPr>
        <w:tc>
          <w:tcPr>
            <w:tcW w:w="2976" w:type="dxa"/>
            <w:tcBorders>
              <w:top w:val="nil"/>
              <w:left w:val="nil"/>
              <w:bottom w:val="double" w:sz="4" w:space="0" w:color="auto"/>
              <w:right w:val="single" w:sz="4" w:space="0" w:color="auto"/>
            </w:tcBorders>
            <w:hideMark/>
          </w:tcPr>
          <w:p w14:paraId="19176032" w14:textId="77777777" w:rsidR="005A047C" w:rsidRPr="005A047C" w:rsidRDefault="005A047C" w:rsidP="005A047C">
            <w:pPr>
              <w:spacing w:line="360" w:lineRule="auto"/>
              <w:rPr>
                <w:rFonts w:ascii="Times New Roman" w:eastAsia="Calibri" w:hAnsi="Times New Roman"/>
                <w:i/>
                <w:sz w:val="24"/>
                <w:szCs w:val="24"/>
              </w:rPr>
            </w:pPr>
            <w:r w:rsidRPr="005A047C">
              <w:rPr>
                <w:rFonts w:ascii="Times New Roman" w:eastAsia="Calibri" w:hAnsi="Times New Roman"/>
                <w:i/>
                <w:sz w:val="24"/>
                <w:szCs w:val="24"/>
              </w:rPr>
              <w:t>Reaction time-false alarms</w:t>
            </w:r>
          </w:p>
        </w:tc>
        <w:tc>
          <w:tcPr>
            <w:tcW w:w="1844" w:type="dxa"/>
            <w:tcBorders>
              <w:top w:val="nil"/>
              <w:left w:val="nil"/>
              <w:bottom w:val="double" w:sz="4" w:space="0" w:color="auto"/>
              <w:right w:val="nil"/>
            </w:tcBorders>
            <w:hideMark/>
          </w:tcPr>
          <w:p w14:paraId="30D20EDE"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.01 (-.14, .16)</w:t>
            </w:r>
          </w:p>
        </w:tc>
        <w:tc>
          <w:tcPr>
            <w:tcW w:w="709" w:type="dxa"/>
            <w:tcBorders>
              <w:top w:val="nil"/>
              <w:left w:val="nil"/>
              <w:bottom w:val="double" w:sz="4" w:space="0" w:color="auto"/>
              <w:right w:val="nil"/>
            </w:tcBorders>
            <w:hideMark/>
          </w:tcPr>
          <w:p w14:paraId="0591370A"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.91</w:t>
            </w:r>
          </w:p>
        </w:tc>
        <w:tc>
          <w:tcPr>
            <w:tcW w:w="1698" w:type="dxa"/>
            <w:tcBorders>
              <w:top w:val="nil"/>
              <w:left w:val="nil"/>
              <w:bottom w:val="double" w:sz="4" w:space="0" w:color="auto"/>
              <w:right w:val="nil"/>
            </w:tcBorders>
            <w:hideMark/>
          </w:tcPr>
          <w:p w14:paraId="2EF92CB0"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.04 (-.11, .19)</w:t>
            </w:r>
          </w:p>
        </w:tc>
        <w:tc>
          <w:tcPr>
            <w:tcW w:w="708" w:type="dxa"/>
            <w:tcBorders>
              <w:top w:val="nil"/>
              <w:left w:val="nil"/>
              <w:bottom w:val="double" w:sz="4" w:space="0" w:color="auto"/>
              <w:right w:val="nil"/>
            </w:tcBorders>
            <w:hideMark/>
          </w:tcPr>
          <w:p w14:paraId="28341C4D"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.64</w:t>
            </w:r>
          </w:p>
        </w:tc>
        <w:tc>
          <w:tcPr>
            <w:tcW w:w="1842" w:type="dxa"/>
            <w:tcBorders>
              <w:top w:val="nil"/>
              <w:left w:val="nil"/>
              <w:bottom w:val="double" w:sz="4" w:space="0" w:color="auto"/>
              <w:right w:val="nil"/>
            </w:tcBorders>
            <w:hideMark/>
          </w:tcPr>
          <w:p w14:paraId="722E90EF"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.03 (-.12, .18)</w:t>
            </w:r>
          </w:p>
        </w:tc>
        <w:tc>
          <w:tcPr>
            <w:tcW w:w="709" w:type="dxa"/>
            <w:tcBorders>
              <w:top w:val="nil"/>
              <w:left w:val="nil"/>
              <w:bottom w:val="double" w:sz="4" w:space="0" w:color="auto"/>
              <w:right w:val="nil"/>
            </w:tcBorders>
            <w:hideMark/>
          </w:tcPr>
          <w:p w14:paraId="7F7B0E4A"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.68</w:t>
            </w:r>
          </w:p>
        </w:tc>
        <w:tc>
          <w:tcPr>
            <w:tcW w:w="1842" w:type="dxa"/>
            <w:tcBorders>
              <w:top w:val="nil"/>
              <w:left w:val="nil"/>
              <w:bottom w:val="double" w:sz="4" w:space="0" w:color="auto"/>
              <w:right w:val="nil"/>
            </w:tcBorders>
            <w:hideMark/>
          </w:tcPr>
          <w:p w14:paraId="2EE03B9F"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 xml:space="preserve"> .11 (-.06, .27)</w:t>
            </w:r>
          </w:p>
        </w:tc>
        <w:tc>
          <w:tcPr>
            <w:tcW w:w="992" w:type="dxa"/>
            <w:tcBorders>
              <w:top w:val="nil"/>
              <w:left w:val="nil"/>
              <w:bottom w:val="double" w:sz="4" w:space="0" w:color="auto"/>
              <w:right w:val="nil"/>
            </w:tcBorders>
            <w:hideMark/>
          </w:tcPr>
          <w:p w14:paraId="6B5C1DA6" w14:textId="77777777" w:rsidR="005A047C" w:rsidRPr="005A047C" w:rsidRDefault="005A047C" w:rsidP="005A047C">
            <w:pPr>
              <w:spacing w:line="360" w:lineRule="auto"/>
              <w:rPr>
                <w:rFonts w:ascii="Times New Roman" w:eastAsia="Calibri" w:hAnsi="Times New Roman"/>
                <w:sz w:val="24"/>
                <w:szCs w:val="24"/>
              </w:rPr>
            </w:pPr>
            <w:r w:rsidRPr="005A047C">
              <w:rPr>
                <w:rFonts w:ascii="Times New Roman" w:eastAsia="Calibri" w:hAnsi="Times New Roman"/>
                <w:sz w:val="24"/>
                <w:szCs w:val="24"/>
              </w:rPr>
              <w:t>.23</w:t>
            </w:r>
          </w:p>
        </w:tc>
      </w:tr>
    </w:tbl>
    <w:p w14:paraId="03047E43" w14:textId="77777777" w:rsidR="005A047C" w:rsidRPr="005A047C" w:rsidRDefault="005A047C" w:rsidP="005A047C">
      <w:pPr>
        <w:spacing w:after="0" w:line="240" w:lineRule="auto"/>
        <w:divId w:val="448934348"/>
        <w:rPr>
          <w:rFonts w:ascii="Times New Roman" w:eastAsia="Times New Roman" w:hAnsi="Times New Roman" w:cs="Times New Roman"/>
          <w:sz w:val="24"/>
          <w:szCs w:val="24"/>
        </w:rPr>
      </w:pPr>
      <w:r w:rsidRPr="005A047C">
        <w:rPr>
          <w:rFonts w:ascii="Times New Roman" w:eastAsia="Times New Roman" w:hAnsi="Times New Roman" w:cs="Times New Roman"/>
          <w:sz w:val="24"/>
          <w:szCs w:val="24"/>
        </w:rPr>
        <w:t xml:space="preserve">Model 1: unadjusted; Model 2: adjusted for sex, income, social economic position, maternal education, housing tenure, parity, and maternal smoking in pregnancy; Model 3: further adjusted for working memory assessed at approximately age 11 years, and </w:t>
      </w:r>
      <w:r w:rsidRPr="005A047C">
        <w:rPr>
          <w:rFonts w:ascii="Times New Roman" w:eastAsia="Calibri" w:hAnsi="Times New Roman" w:cs="Times New Roman"/>
          <w:sz w:val="24"/>
          <w:szCs w:val="24"/>
        </w:rPr>
        <w:t>head injury/unconsciousness up to age 11 years</w:t>
      </w:r>
      <w:r w:rsidRPr="005A047C">
        <w:rPr>
          <w:rFonts w:ascii="Times New Roman" w:eastAsia="Times New Roman" w:hAnsi="Times New Roman" w:cs="Times New Roman"/>
          <w:sz w:val="24"/>
          <w:szCs w:val="24"/>
        </w:rPr>
        <w:t>; Model 4: further adjusted for young person cigarette and cannabis use assessed at age 15 years</w:t>
      </w:r>
    </w:p>
    <w:p w14:paraId="5E6C7D72" w14:textId="77777777" w:rsidR="005A047C" w:rsidRPr="005A047C" w:rsidRDefault="005A047C" w:rsidP="005A047C">
      <w:pPr>
        <w:spacing w:line="256" w:lineRule="auto"/>
        <w:divId w:val="448934348"/>
        <w:rPr>
          <w:rFonts w:ascii="Times New Roman" w:eastAsia="Calibri" w:hAnsi="Times New Roman" w:cs="Times New Roman"/>
          <w:sz w:val="24"/>
        </w:rPr>
      </w:pPr>
    </w:p>
    <w:p w14:paraId="6943AE74" w14:textId="0350236B" w:rsidR="005A047C" w:rsidRDefault="005A047C" w:rsidP="005325CA">
      <w:pPr>
        <w:pStyle w:val="NormalWeb"/>
        <w:spacing w:line="480" w:lineRule="auto"/>
        <w:ind w:left="480" w:hanging="480"/>
        <w:divId w:val="448934348"/>
      </w:pPr>
    </w:p>
    <w:p w14:paraId="346B8435" w14:textId="76B71F87" w:rsidR="00722A28" w:rsidRDefault="00722A28" w:rsidP="005325CA">
      <w:pPr>
        <w:pStyle w:val="NormalWeb"/>
        <w:spacing w:line="480" w:lineRule="auto"/>
        <w:ind w:left="480" w:hanging="480"/>
        <w:divId w:val="448934348"/>
      </w:pPr>
    </w:p>
    <w:p w14:paraId="6A416CDC" w14:textId="505343AF" w:rsidR="00722A28" w:rsidRDefault="00722A28" w:rsidP="005325CA">
      <w:pPr>
        <w:pStyle w:val="NormalWeb"/>
        <w:spacing w:line="480" w:lineRule="auto"/>
        <w:ind w:left="480" w:hanging="480"/>
        <w:divId w:val="448934348"/>
      </w:pPr>
    </w:p>
    <w:p w14:paraId="25587967" w14:textId="61DCA8A7" w:rsidR="00722A28" w:rsidRDefault="00722A28" w:rsidP="005325CA">
      <w:pPr>
        <w:pStyle w:val="NormalWeb"/>
        <w:spacing w:line="480" w:lineRule="auto"/>
        <w:ind w:left="480" w:hanging="480"/>
        <w:divId w:val="448934348"/>
      </w:pPr>
    </w:p>
    <w:p w14:paraId="0DB83254" w14:textId="77777777" w:rsidR="00722A28" w:rsidRDefault="00722A28" w:rsidP="005325CA">
      <w:pPr>
        <w:pStyle w:val="NormalWeb"/>
        <w:spacing w:line="480" w:lineRule="auto"/>
        <w:ind w:left="480" w:hanging="480"/>
        <w:divId w:val="448934348"/>
        <w:sectPr w:rsidR="00722A28" w:rsidSect="005A047C">
          <w:pgSz w:w="16838" w:h="11906" w:orient="landscape"/>
          <w:pgMar w:top="1440" w:right="1440" w:bottom="1440" w:left="1440" w:header="708" w:footer="708" w:gutter="0"/>
          <w:lnNumType w:countBy="1" w:restart="continuous"/>
          <w:cols w:space="708"/>
          <w:docGrid w:linePitch="360"/>
        </w:sectPr>
      </w:pPr>
    </w:p>
    <w:p w14:paraId="007B2E66" w14:textId="77777777" w:rsidR="00722A28" w:rsidRPr="00722A28" w:rsidRDefault="00722A28" w:rsidP="00722A28">
      <w:pPr>
        <w:spacing w:after="0" w:line="240" w:lineRule="auto"/>
        <w:divId w:val="448934348"/>
        <w:rPr>
          <w:rFonts w:ascii="Times New Roman" w:eastAsia="Calibri" w:hAnsi="Times New Roman" w:cs="Times New Roman"/>
          <w:b/>
          <w:sz w:val="24"/>
        </w:rPr>
      </w:pPr>
    </w:p>
    <w:p w14:paraId="10AFA7AB" w14:textId="77777777" w:rsidR="00722A28" w:rsidRPr="00722A28" w:rsidRDefault="00722A28" w:rsidP="00722A28">
      <w:pPr>
        <w:spacing w:after="0" w:line="240" w:lineRule="auto"/>
        <w:divId w:val="448934348"/>
        <w:rPr>
          <w:rFonts w:ascii="Times New Roman" w:eastAsia="Calibri" w:hAnsi="Times New Roman" w:cs="Times New Roman"/>
          <w:b/>
          <w:sz w:val="24"/>
        </w:rPr>
      </w:pPr>
    </w:p>
    <w:p w14:paraId="3DC00FD5" w14:textId="77777777" w:rsidR="00722A28" w:rsidRPr="00722A28" w:rsidRDefault="00722A28" w:rsidP="00722A28">
      <w:pPr>
        <w:divId w:val="448934348"/>
        <w:rPr>
          <w:rFonts w:ascii="Calibri" w:eastAsia="Calibri" w:hAnsi="Calibri" w:cs="Times New Roman"/>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F0DB01C" wp14:editId="4B2A22E6">
                <wp:simplePos x="0" y="0"/>
                <wp:positionH relativeFrom="margin">
                  <wp:posOffset>1815799</wp:posOffset>
                </wp:positionH>
                <wp:positionV relativeFrom="paragraph">
                  <wp:posOffset>8667</wp:posOffset>
                </wp:positionV>
                <wp:extent cx="2074690" cy="713549"/>
                <wp:effectExtent l="0" t="0" r="20955" b="1079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690" cy="713549"/>
                        </a:xfrm>
                        <a:prstGeom prst="roundRect">
                          <a:avLst/>
                        </a:prstGeom>
                        <a:noFill/>
                        <a:ln w="12700" cap="flat" cmpd="sng" algn="ctr">
                          <a:solidFill>
                            <a:sysClr val="windowText" lastClr="000000"/>
                          </a:solidFill>
                          <a:prstDash val="solid"/>
                          <a:miter lim="800000"/>
                        </a:ln>
                        <a:effectLst/>
                      </wps:spPr>
                      <wps:txbx>
                        <w:txbxContent>
                          <w:p w14:paraId="7908E3AB" w14:textId="77777777" w:rsidR="00722A28" w:rsidRPr="00476EBE" w:rsidRDefault="00722A28" w:rsidP="00722A28">
                            <w:pPr>
                              <w:jc w:val="center"/>
                              <w:rPr>
                                <w:color w:val="000000"/>
                              </w:rPr>
                            </w:pPr>
                            <w:r w:rsidRPr="00476EBE">
                              <w:rPr>
                                <w:color w:val="000000"/>
                              </w:rPr>
                              <w:t>13,954 live born offspring who survived to one year –        47.8%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0DB01C" id="Rounded Rectangle 40" o:spid="_x0000_s1026" style="position:absolute;margin-left:143pt;margin-top:.7pt;width:163.35pt;height:5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" filled="f" strokecolor="windowText" strokeweight="1pt">
                <v:stroke joinstyle="miter"/>
                <v:path arrowok="t"/>
                <v:textbox>
                  <w:txbxContent>
                    <w:p w14:paraId="7908E3AB" w14:textId="77777777" w:rsidR="00722A28" w:rsidRPr="00476EBE" w:rsidRDefault="00722A28" w:rsidP="00722A28">
                      <w:pPr>
                        <w:jc w:val="center"/>
                        <w:rPr>
                          <w:color w:val="000000"/>
                        </w:rPr>
                      </w:pPr>
                      <w:r w:rsidRPr="00476EBE">
                        <w:rPr>
                          <w:color w:val="000000"/>
                        </w:rPr>
                        <w:t>13,954 live born offspring who survived to one year –        47.8% female</w:t>
                      </w:r>
                    </w:p>
                  </w:txbxContent>
                </v:textbox>
                <w10:wrap anchorx="margin"/>
              </v:roundrect>
            </w:pict>
          </mc:Fallback>
        </mc:AlternateContent>
      </w:r>
    </w:p>
    <w:p w14:paraId="0C2C3304" w14:textId="77777777" w:rsidR="00722A28" w:rsidRPr="00722A28" w:rsidRDefault="00722A28" w:rsidP="00722A28">
      <w:pPr>
        <w:divId w:val="448934348"/>
        <w:rPr>
          <w:rFonts w:ascii="Calibri" w:eastAsia="Calibri" w:hAnsi="Calibri" w:cs="Times New Roman"/>
        </w:rPr>
      </w:pPr>
    </w:p>
    <w:p w14:paraId="16ADC6F8" w14:textId="77777777" w:rsidR="00722A28" w:rsidRPr="00722A28" w:rsidRDefault="00722A28" w:rsidP="00722A28">
      <w:pPr>
        <w:divId w:val="448934348"/>
        <w:rPr>
          <w:rFonts w:ascii="Calibri" w:eastAsia="Calibri" w:hAnsi="Calibri" w:cs="Times New Roman"/>
        </w:rPr>
      </w:pPr>
      <w:r w:rsidRPr="00722A28">
        <w:rPr>
          <w:rFonts w:ascii="Calibri" w:eastAsia="Calibri" w:hAnsi="Calibri" w:cs="Times New Roman"/>
          <w:noProof/>
          <w:lang w:val="en-US"/>
        </w:rPr>
        <mc:AlternateContent>
          <mc:Choice Requires="wps">
            <w:drawing>
              <wp:anchor distT="0" distB="0" distL="114299" distR="114299" simplePos="0" relativeHeight="251664384" behindDoc="0" locked="0" layoutInCell="1" allowOverlap="1" wp14:anchorId="2A89ADCB" wp14:editId="7EDD0F39">
                <wp:simplePos x="0" y="0"/>
                <wp:positionH relativeFrom="margin">
                  <wp:posOffset>2854379</wp:posOffset>
                </wp:positionH>
                <wp:positionV relativeFrom="paragraph">
                  <wp:posOffset>155575</wp:posOffset>
                </wp:positionV>
                <wp:extent cx="0" cy="363220"/>
                <wp:effectExtent l="76200" t="0" r="76200" b="5588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05E40" id="_x0000_t32" coordsize="21600,21600" o:spt="32" o:oned="t" path="m,l21600,21600e" filled="f">
                <v:path arrowok="t" fillok="f" o:connecttype="none"/>
                <o:lock v:ext="edit" shapetype="t"/>
              </v:shapetype>
              <v:shape id="Straight Arrow Connector 41" o:spid="_x0000_s1026" type="#_x0000_t32" style="position:absolute;margin-left:224.75pt;margin-top:12.25pt;width:0;height:28.6pt;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" strokecolor="windowText" strokeweight=".5pt">
                <v:stroke endarrow="block" joinstyle="miter"/>
                <o:lock v:ext="edit" shapetype="f"/>
                <w10:wrap anchorx="margin"/>
              </v:shape>
            </w:pict>
          </mc:Fallback>
        </mc:AlternateContent>
      </w:r>
    </w:p>
    <w:p w14:paraId="23B6D982" w14:textId="77777777" w:rsidR="00722A28" w:rsidRPr="00722A28" w:rsidRDefault="00722A28" w:rsidP="00722A28">
      <w:pPr>
        <w:divId w:val="448934348"/>
        <w:rPr>
          <w:rFonts w:ascii="Calibri" w:eastAsia="Calibri" w:hAnsi="Calibri" w:cs="Times New Roman"/>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19DECAE" wp14:editId="228D8323">
                <wp:simplePos x="0" y="0"/>
                <wp:positionH relativeFrom="margin">
                  <wp:posOffset>1824466</wp:posOffset>
                </wp:positionH>
                <wp:positionV relativeFrom="paragraph">
                  <wp:posOffset>252799</wp:posOffset>
                </wp:positionV>
                <wp:extent cx="2066023" cy="702859"/>
                <wp:effectExtent l="0" t="0" r="10795" b="2159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023" cy="702859"/>
                        </a:xfrm>
                        <a:prstGeom prst="roundRect">
                          <a:avLst/>
                        </a:prstGeom>
                        <a:noFill/>
                        <a:ln w="12700" cap="flat" cmpd="sng" algn="ctr">
                          <a:solidFill>
                            <a:sysClr val="windowText" lastClr="000000"/>
                          </a:solidFill>
                          <a:prstDash val="solid"/>
                          <a:miter lim="800000"/>
                        </a:ln>
                        <a:effectLst/>
                      </wps:spPr>
                      <wps:txbx>
                        <w:txbxContent>
                          <w:p w14:paraId="65130843" w14:textId="77777777" w:rsidR="00722A28" w:rsidRPr="00476EBE" w:rsidRDefault="00722A28" w:rsidP="00722A28">
                            <w:pPr>
                              <w:jc w:val="center"/>
                              <w:rPr>
                                <w:color w:val="000000"/>
                              </w:rPr>
                            </w:pPr>
                            <w:r w:rsidRPr="00476EBE">
                              <w:rPr>
                                <w:color w:val="000000"/>
                              </w:rPr>
                              <w:t>9,432 participants invited to clinic (mean age: 17y 10m) – 50.2%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9DECAE" id="Rounded Rectangle 4" o:spid="_x0000_s1027" style="position:absolute;margin-left:143.65pt;margin-top:19.9pt;width:162.7pt;height:5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" filled="f" strokecolor="windowText" strokeweight="1pt">
                <v:stroke joinstyle="miter"/>
                <v:path arrowok="t"/>
                <v:textbox>
                  <w:txbxContent>
                    <w:p w14:paraId="65130843" w14:textId="77777777" w:rsidR="00722A28" w:rsidRPr="00476EBE" w:rsidRDefault="00722A28" w:rsidP="00722A28">
                      <w:pPr>
                        <w:jc w:val="center"/>
                        <w:rPr>
                          <w:color w:val="000000"/>
                        </w:rPr>
                      </w:pPr>
                      <w:r w:rsidRPr="00476EBE">
                        <w:rPr>
                          <w:color w:val="000000"/>
                        </w:rPr>
                        <w:t>9,432 participants invited to clinic (mean age: 17y 10m) – 50.2% female</w:t>
                      </w:r>
                    </w:p>
                  </w:txbxContent>
                </v:textbox>
                <w10:wrap anchorx="margin"/>
              </v:roundrect>
            </w:pict>
          </mc:Fallback>
        </mc:AlternateContent>
      </w:r>
    </w:p>
    <w:p w14:paraId="38C319A8" w14:textId="77777777" w:rsidR="00722A28" w:rsidRPr="00722A28" w:rsidRDefault="00722A28" w:rsidP="00722A28">
      <w:pPr>
        <w:divId w:val="448934348"/>
        <w:rPr>
          <w:rFonts w:ascii="Calibri" w:eastAsia="Calibri" w:hAnsi="Calibri" w:cs="Times New Roman"/>
        </w:rPr>
      </w:pPr>
    </w:p>
    <w:p w14:paraId="2FBC1C2C" w14:textId="77777777" w:rsidR="00722A28" w:rsidRPr="00722A28" w:rsidRDefault="00722A28" w:rsidP="00722A28">
      <w:pPr>
        <w:divId w:val="448934348"/>
        <w:rPr>
          <w:rFonts w:ascii="Calibri" w:eastAsia="Calibri" w:hAnsi="Calibri" w:cs="Times New Roman"/>
        </w:rPr>
      </w:pPr>
    </w:p>
    <w:p w14:paraId="5E918B2A" w14:textId="77777777" w:rsidR="00722A28" w:rsidRPr="00722A28" w:rsidRDefault="00722A28" w:rsidP="00722A28">
      <w:pPr>
        <w:divId w:val="448934348"/>
        <w:rPr>
          <w:rFonts w:ascii="Calibri" w:eastAsia="Calibri" w:hAnsi="Calibri" w:cs="Times New Roman"/>
        </w:rPr>
      </w:pPr>
      <w:r w:rsidRPr="00722A28">
        <w:rPr>
          <w:rFonts w:ascii="Calibri" w:eastAsia="Calibri" w:hAnsi="Calibri" w:cs="Times New Roman"/>
          <w:noProof/>
          <w:lang w:val="en-US"/>
        </w:rPr>
        <mc:AlternateContent>
          <mc:Choice Requires="wps">
            <w:drawing>
              <wp:anchor distT="0" distB="0" distL="114299" distR="114299" simplePos="0" relativeHeight="251662336" behindDoc="0" locked="0" layoutInCell="1" allowOverlap="1" wp14:anchorId="29ECAAD6" wp14:editId="77629FE7">
                <wp:simplePos x="0" y="0"/>
                <wp:positionH relativeFrom="margin">
                  <wp:posOffset>2858581</wp:posOffset>
                </wp:positionH>
                <wp:positionV relativeFrom="paragraph">
                  <wp:posOffset>117475</wp:posOffset>
                </wp:positionV>
                <wp:extent cx="0" cy="363220"/>
                <wp:effectExtent l="76200" t="0" r="76200" b="558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830AF" id="Straight Arrow Connector 32" o:spid="_x0000_s1026" type="#_x0000_t32" style="position:absolute;margin-left:225.1pt;margin-top:9.25pt;width:0;height:28.6pt;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" strokecolor="windowText" strokeweight=".5pt">
                <v:stroke endarrow="block" joinstyle="miter"/>
                <o:lock v:ext="edit" shapetype="f"/>
                <w10:wrap anchorx="margin"/>
              </v:shape>
            </w:pict>
          </mc:Fallback>
        </mc:AlternateContent>
      </w:r>
    </w:p>
    <w:p w14:paraId="1094B988" w14:textId="77777777" w:rsidR="00722A28" w:rsidRPr="00722A28" w:rsidRDefault="00722A28" w:rsidP="00722A28">
      <w:pPr>
        <w:divId w:val="448934348"/>
        <w:rPr>
          <w:rFonts w:ascii="Calibri" w:eastAsia="Calibri" w:hAnsi="Calibri" w:cs="Times New Roman"/>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D9D6668" wp14:editId="3A6E5ADB">
                <wp:simplePos x="0" y="0"/>
                <wp:positionH relativeFrom="margin">
                  <wp:posOffset>1824467</wp:posOffset>
                </wp:positionH>
                <wp:positionV relativeFrom="paragraph">
                  <wp:posOffset>188878</wp:posOffset>
                </wp:positionV>
                <wp:extent cx="2065878" cy="500380"/>
                <wp:effectExtent l="0" t="0" r="10795" b="139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878" cy="500380"/>
                        </a:xfrm>
                        <a:prstGeom prst="roundRect">
                          <a:avLst/>
                        </a:prstGeom>
                        <a:noFill/>
                        <a:ln w="12700" cap="flat" cmpd="sng" algn="ctr">
                          <a:solidFill>
                            <a:sysClr val="windowText" lastClr="000000"/>
                          </a:solidFill>
                          <a:prstDash val="solid"/>
                          <a:miter lim="800000"/>
                        </a:ln>
                        <a:effectLst/>
                      </wps:spPr>
                      <wps:txbx>
                        <w:txbxContent>
                          <w:p w14:paraId="2630D6F8" w14:textId="77777777" w:rsidR="00722A28" w:rsidRPr="00476EBE" w:rsidRDefault="00722A28" w:rsidP="00722A28">
                            <w:pPr>
                              <w:jc w:val="center"/>
                              <w:rPr>
                                <w:color w:val="000000"/>
                              </w:rPr>
                            </w:pPr>
                            <w:r w:rsidRPr="00476EBE">
                              <w:rPr>
                                <w:color w:val="000000"/>
                              </w:rPr>
                              <w:t>4,827 participants attended clinic – 56.1%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9D6668" id="Rounded Rectangle 1" o:spid="_x0000_s1028" style="position:absolute;margin-left:143.65pt;margin-top:14.85pt;width:162.65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" filled="f" strokecolor="windowText" strokeweight="1pt">
                <v:stroke joinstyle="miter"/>
                <v:path arrowok="t"/>
                <v:textbox>
                  <w:txbxContent>
                    <w:p w14:paraId="2630D6F8" w14:textId="77777777" w:rsidR="00722A28" w:rsidRPr="00476EBE" w:rsidRDefault="00722A28" w:rsidP="00722A28">
                      <w:pPr>
                        <w:jc w:val="center"/>
                        <w:rPr>
                          <w:color w:val="000000"/>
                        </w:rPr>
                      </w:pPr>
                      <w:r w:rsidRPr="00476EBE">
                        <w:rPr>
                          <w:color w:val="000000"/>
                        </w:rPr>
                        <w:t>4,827 participants attended clinic – 56.1% female</w:t>
                      </w:r>
                    </w:p>
                  </w:txbxContent>
                </v:textbox>
                <w10:wrap anchorx="margin"/>
              </v:roundrect>
            </w:pict>
          </mc:Fallback>
        </mc:AlternateContent>
      </w:r>
    </w:p>
    <w:p w14:paraId="349E3FC5" w14:textId="77777777" w:rsidR="00722A28" w:rsidRPr="00722A28" w:rsidRDefault="00722A28" w:rsidP="00722A28">
      <w:pPr>
        <w:divId w:val="448934348"/>
        <w:rPr>
          <w:rFonts w:ascii="Calibri" w:eastAsia="Calibri" w:hAnsi="Calibri" w:cs="Times New Roman"/>
        </w:rPr>
      </w:pPr>
    </w:p>
    <w:p w14:paraId="3601263C" w14:textId="77777777" w:rsidR="00722A28" w:rsidRPr="00722A28" w:rsidRDefault="00722A28" w:rsidP="00722A28">
      <w:pPr>
        <w:divId w:val="448934348"/>
        <w:rPr>
          <w:rFonts w:ascii="Calibri" w:eastAsia="Calibri" w:hAnsi="Calibri" w:cs="Times New Roman"/>
        </w:rPr>
      </w:pPr>
      <w:r w:rsidRPr="00722A28">
        <w:rPr>
          <w:rFonts w:ascii="Calibri" w:eastAsia="Calibri" w:hAnsi="Calibri" w:cs="Times New Roman"/>
          <w:noProof/>
          <w:lang w:val="en-US"/>
        </w:rPr>
        <mc:AlternateContent>
          <mc:Choice Requires="wps">
            <w:drawing>
              <wp:anchor distT="0" distB="0" distL="114299" distR="114299" simplePos="0" relativeHeight="251669504" behindDoc="0" locked="0" layoutInCell="1" allowOverlap="1" wp14:anchorId="36A04A71" wp14:editId="3E54A472">
                <wp:simplePos x="0" y="0"/>
                <wp:positionH relativeFrom="margin">
                  <wp:posOffset>2852754</wp:posOffset>
                </wp:positionH>
                <wp:positionV relativeFrom="paragraph">
                  <wp:posOffset>120825</wp:posOffset>
                </wp:positionV>
                <wp:extent cx="0" cy="363220"/>
                <wp:effectExtent l="76200" t="0" r="76200" b="558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87AA6" id="Straight Arrow Connector 46" o:spid="_x0000_s1026" type="#_x0000_t32" style="position:absolute;margin-left:224.65pt;margin-top:9.5pt;width:0;height:28.6pt;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" strokecolor="windowText" strokeweight=".5pt">
                <v:stroke endarrow="block" joinstyle="miter"/>
                <o:lock v:ext="edit" shapetype="f"/>
                <w10:wrap anchorx="margin"/>
              </v:shape>
            </w:pict>
          </mc:Fallback>
        </mc:AlternateContent>
      </w:r>
    </w:p>
    <w:p w14:paraId="65249214" w14:textId="77777777" w:rsidR="00722A28" w:rsidRPr="00722A28" w:rsidRDefault="00722A28" w:rsidP="00722A28">
      <w:pPr>
        <w:divId w:val="448934348"/>
        <w:rPr>
          <w:rFonts w:ascii="Calibri" w:eastAsia="Calibri" w:hAnsi="Calibri" w:cs="Times New Roman"/>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035899F" wp14:editId="30ED7B4B">
                <wp:simplePos x="0" y="0"/>
                <wp:positionH relativeFrom="margin">
                  <wp:posOffset>1824355</wp:posOffset>
                </wp:positionH>
                <wp:positionV relativeFrom="paragraph">
                  <wp:posOffset>198093</wp:posOffset>
                </wp:positionV>
                <wp:extent cx="2065655" cy="500380"/>
                <wp:effectExtent l="0" t="0" r="10795" b="1397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500380"/>
                        </a:xfrm>
                        <a:prstGeom prst="roundRect">
                          <a:avLst/>
                        </a:prstGeom>
                        <a:noFill/>
                        <a:ln w="12700" cap="flat" cmpd="sng" algn="ctr">
                          <a:solidFill>
                            <a:sysClr val="windowText" lastClr="000000"/>
                          </a:solidFill>
                          <a:prstDash val="solid"/>
                          <a:miter lim="800000"/>
                        </a:ln>
                        <a:effectLst/>
                      </wps:spPr>
                      <wps:txbx>
                        <w:txbxContent>
                          <w:p w14:paraId="3AB3BFC3" w14:textId="77777777" w:rsidR="00722A28" w:rsidRPr="00476EBE" w:rsidRDefault="00722A28" w:rsidP="00722A28">
                            <w:pPr>
                              <w:jc w:val="center"/>
                              <w:rPr>
                                <w:color w:val="000000"/>
                              </w:rPr>
                            </w:pPr>
                            <w:r w:rsidRPr="00476EBE">
                              <w:rPr>
                                <w:color w:val="000000"/>
                              </w:rPr>
                              <w:t>3,721 participants had available data – 57.3%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35899F" id="Rounded Rectangle 6" o:spid="_x0000_s1029" style="position:absolute;margin-left:143.65pt;margin-top:15.6pt;width:162.65pt;height:39.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" filled="f" strokecolor="windowText" strokeweight="1pt">
                <v:stroke joinstyle="miter"/>
                <v:path arrowok="t"/>
                <v:textbox>
                  <w:txbxContent>
                    <w:p w14:paraId="3AB3BFC3" w14:textId="77777777" w:rsidR="00722A28" w:rsidRPr="00476EBE" w:rsidRDefault="00722A28" w:rsidP="00722A28">
                      <w:pPr>
                        <w:jc w:val="center"/>
                        <w:rPr>
                          <w:color w:val="000000"/>
                        </w:rPr>
                      </w:pPr>
                      <w:r w:rsidRPr="00476EBE">
                        <w:rPr>
                          <w:color w:val="000000"/>
                        </w:rPr>
                        <w:t>3,721 participants had available data – 57.3% female</w:t>
                      </w:r>
                    </w:p>
                  </w:txbxContent>
                </v:textbox>
                <w10:wrap anchorx="margin"/>
              </v:roundrect>
            </w:pict>
          </mc:Fallback>
        </mc:AlternateContent>
      </w:r>
    </w:p>
    <w:p w14:paraId="4704F1A4" w14:textId="77777777" w:rsidR="00722A28" w:rsidRPr="00722A28" w:rsidRDefault="00722A28" w:rsidP="00722A28">
      <w:pPr>
        <w:divId w:val="448934348"/>
        <w:rPr>
          <w:rFonts w:ascii="Calibri" w:eastAsia="Calibri" w:hAnsi="Calibri" w:cs="Times New Roman"/>
        </w:rPr>
      </w:pPr>
    </w:p>
    <w:p w14:paraId="23B6FB65" w14:textId="77777777" w:rsidR="00722A28" w:rsidRPr="00722A28" w:rsidRDefault="00722A28" w:rsidP="00722A28">
      <w:pPr>
        <w:divId w:val="448934348"/>
        <w:rPr>
          <w:rFonts w:ascii="Calibri" w:eastAsia="Calibri" w:hAnsi="Calibri" w:cs="Times New Roman"/>
        </w:rPr>
      </w:pPr>
      <w:r w:rsidRPr="00722A28">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219FC09E" wp14:editId="08AD351C">
                <wp:simplePos x="0" y="0"/>
                <wp:positionH relativeFrom="column">
                  <wp:posOffset>2873209</wp:posOffset>
                </wp:positionH>
                <wp:positionV relativeFrom="paragraph">
                  <wp:posOffset>134530</wp:posOffset>
                </wp:positionV>
                <wp:extent cx="555791" cy="438240"/>
                <wp:effectExtent l="0" t="0" r="7302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791" cy="438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A3214" id="Straight Arrow Connector 20" o:spid="_x0000_s1026" type="#_x0000_t32" style="position:absolute;margin-left:226.25pt;margin-top:10.6pt;width:43.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" strokecolor="windowText" strokeweight=".5pt">
                <v:stroke endarrow="block" joinstyle="miter"/>
                <o:lock v:ext="edit" shapetype="f"/>
              </v:shape>
            </w:pict>
          </mc:Fallback>
        </mc:AlternateContent>
      </w:r>
      <w:r w:rsidRPr="00722A28">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77DB2020" wp14:editId="2C6C6B3B">
                <wp:simplePos x="0" y="0"/>
                <wp:positionH relativeFrom="margin">
                  <wp:posOffset>2286000</wp:posOffset>
                </wp:positionH>
                <wp:positionV relativeFrom="paragraph">
                  <wp:posOffset>125862</wp:posOffset>
                </wp:positionV>
                <wp:extent cx="576207" cy="446908"/>
                <wp:effectExtent l="38100" t="0" r="33655" b="488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6207" cy="4469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7243D" id="Straight Arrow Connector 13" o:spid="_x0000_s1026" type="#_x0000_t32" style="position:absolute;margin-left:180pt;margin-top:9.9pt;width:45.35pt;height:35.2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" strokecolor="windowText" strokeweight=".5pt">
                <v:stroke endarrow="block" joinstyle="miter"/>
                <o:lock v:ext="edit" shapetype="f"/>
                <w10:wrap anchorx="margin"/>
              </v:shape>
            </w:pict>
          </mc:Fallback>
        </mc:AlternateContent>
      </w:r>
    </w:p>
    <w:p w14:paraId="3DD70ADD" w14:textId="77777777" w:rsidR="00722A28" w:rsidRPr="00722A28" w:rsidRDefault="00722A28" w:rsidP="00722A28">
      <w:pPr>
        <w:divId w:val="448934348"/>
        <w:rPr>
          <w:rFonts w:ascii="Calibri" w:eastAsia="Calibri" w:hAnsi="Calibri" w:cs="Times New Roman"/>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65A76CC" wp14:editId="678C4B12">
                <wp:simplePos x="0" y="0"/>
                <wp:positionH relativeFrom="margin">
                  <wp:posOffset>3345577</wp:posOffset>
                </wp:positionH>
                <wp:positionV relativeFrom="paragraph">
                  <wp:posOffset>286478</wp:posOffset>
                </wp:positionV>
                <wp:extent cx="2140823" cy="948055"/>
                <wp:effectExtent l="0" t="0" r="12065" b="2349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0823" cy="948055"/>
                        </a:xfrm>
                        <a:prstGeom prst="roundRect">
                          <a:avLst/>
                        </a:prstGeom>
                        <a:noFill/>
                        <a:ln w="12700" cap="flat" cmpd="sng" algn="ctr">
                          <a:solidFill>
                            <a:sysClr val="windowText" lastClr="000000"/>
                          </a:solidFill>
                          <a:prstDash val="solid"/>
                          <a:miter lim="800000"/>
                        </a:ln>
                        <a:effectLst/>
                      </wps:spPr>
                      <wps:txbx>
                        <w:txbxContent>
                          <w:p w14:paraId="1CD06340" w14:textId="77777777" w:rsidR="00722A28" w:rsidRPr="00476EBE" w:rsidRDefault="00722A28" w:rsidP="00722A28">
                            <w:pPr>
                              <w:jc w:val="center"/>
                              <w:rPr>
                                <w:color w:val="000000"/>
                              </w:rPr>
                            </w:pPr>
                            <w:r w:rsidRPr="00476EBE">
                              <w:rPr>
                                <w:color w:val="000000"/>
                              </w:rPr>
                              <w:t>3,319 participants had available data for the 3-back task –    56.4% female                            (</w:t>
                            </w:r>
                            <w:r w:rsidRPr="001A59BD">
                              <w:rPr>
                                <w:b/>
                                <w:color w:val="000000"/>
                              </w:rPr>
                              <w:t>sample used in analyses</w:t>
                            </w:r>
                            <w:r w:rsidRPr="00476EBE">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5A76CC" id="Rounded Rectangle 14" o:spid="_x0000_s1030" style="position:absolute;margin-left:263.45pt;margin-top:22.55pt;width:168.55pt;height:7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" filled="f" strokecolor="windowText" strokeweight="1pt">
                <v:stroke joinstyle="miter"/>
                <v:path arrowok="t"/>
                <v:textbox>
                  <w:txbxContent>
                    <w:p w14:paraId="1CD06340" w14:textId="77777777" w:rsidR="00722A28" w:rsidRPr="00476EBE" w:rsidRDefault="00722A28" w:rsidP="00722A28">
                      <w:pPr>
                        <w:jc w:val="center"/>
                        <w:rPr>
                          <w:color w:val="000000"/>
                        </w:rPr>
                      </w:pPr>
                      <w:r w:rsidRPr="00476EBE">
                        <w:rPr>
                          <w:color w:val="000000"/>
                        </w:rPr>
                        <w:t>3,319 participants had available data for the 3-back task –    56.4% female                            (</w:t>
                      </w:r>
                      <w:r w:rsidRPr="001A59BD">
                        <w:rPr>
                          <w:b/>
                          <w:color w:val="000000"/>
                        </w:rPr>
                        <w:t>sample used in analyses</w:t>
                      </w:r>
                      <w:r w:rsidRPr="00476EBE">
                        <w:rPr>
                          <w:color w:val="000000"/>
                        </w:rPr>
                        <w:t>)</w:t>
                      </w:r>
                    </w:p>
                  </w:txbxContent>
                </v:textbox>
                <w10:wrap anchorx="margin"/>
              </v:roundrect>
            </w:pict>
          </mc:Fallback>
        </mc:AlternateContent>
      </w: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C28DF03" wp14:editId="17003808">
                <wp:simplePos x="0" y="0"/>
                <wp:positionH relativeFrom="margin">
                  <wp:posOffset>271780</wp:posOffset>
                </wp:positionH>
                <wp:positionV relativeFrom="paragraph">
                  <wp:posOffset>286385</wp:posOffset>
                </wp:positionV>
                <wp:extent cx="2171065" cy="941070"/>
                <wp:effectExtent l="0" t="0" r="19685" b="1143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065" cy="941070"/>
                        </a:xfrm>
                        <a:prstGeom prst="roundRect">
                          <a:avLst/>
                        </a:prstGeom>
                        <a:noFill/>
                        <a:ln w="12700" cap="flat" cmpd="sng" algn="ctr">
                          <a:solidFill>
                            <a:sysClr val="windowText" lastClr="000000"/>
                          </a:solidFill>
                          <a:prstDash val="solid"/>
                          <a:miter lim="800000"/>
                        </a:ln>
                        <a:effectLst/>
                      </wps:spPr>
                      <wps:txbx>
                        <w:txbxContent>
                          <w:p w14:paraId="017C45B3" w14:textId="77777777" w:rsidR="00722A28" w:rsidRPr="00476EBE" w:rsidRDefault="00722A28" w:rsidP="00722A28">
                            <w:pPr>
                              <w:jc w:val="center"/>
                              <w:rPr>
                                <w:color w:val="000000"/>
                              </w:rPr>
                            </w:pPr>
                            <w:r w:rsidRPr="00476EBE">
                              <w:rPr>
                                <w:color w:val="000000"/>
                              </w:rPr>
                              <w:t>3,351 participants had available data for the 2-back task –     56.9% female                                          (</w:t>
                            </w:r>
                            <w:r w:rsidRPr="001A59BD">
                              <w:rPr>
                                <w:b/>
                                <w:color w:val="000000"/>
                              </w:rPr>
                              <w:t>sample used in analyses</w:t>
                            </w:r>
                            <w:r w:rsidRPr="00476EBE">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28DF03" id="Rounded Rectangle 19" o:spid="_x0000_s1031" style="position:absolute;margin-left:21.4pt;margin-top:22.55pt;width:170.95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" filled="f" strokecolor="windowText" strokeweight="1pt">
                <v:stroke joinstyle="miter"/>
                <v:path arrowok="t"/>
                <v:textbox>
                  <w:txbxContent>
                    <w:p w14:paraId="017C45B3" w14:textId="77777777" w:rsidR="00722A28" w:rsidRPr="00476EBE" w:rsidRDefault="00722A28" w:rsidP="00722A28">
                      <w:pPr>
                        <w:jc w:val="center"/>
                        <w:rPr>
                          <w:color w:val="000000"/>
                        </w:rPr>
                      </w:pPr>
                      <w:r w:rsidRPr="00476EBE">
                        <w:rPr>
                          <w:color w:val="000000"/>
                        </w:rPr>
                        <w:t>3,351 participants had available data for the 2-back task –     56.9% female                                          (</w:t>
                      </w:r>
                      <w:r w:rsidRPr="001A59BD">
                        <w:rPr>
                          <w:b/>
                          <w:color w:val="000000"/>
                        </w:rPr>
                        <w:t>sample used in analyses</w:t>
                      </w:r>
                      <w:r w:rsidRPr="00476EBE">
                        <w:rPr>
                          <w:color w:val="000000"/>
                        </w:rPr>
                        <w:t>)</w:t>
                      </w:r>
                    </w:p>
                  </w:txbxContent>
                </v:textbox>
                <w10:wrap anchorx="margin"/>
              </v:roundrect>
            </w:pict>
          </mc:Fallback>
        </mc:AlternateContent>
      </w:r>
    </w:p>
    <w:p w14:paraId="7DC88A76" w14:textId="77777777" w:rsidR="00722A28" w:rsidRPr="00722A28" w:rsidRDefault="00722A28" w:rsidP="00722A28">
      <w:pPr>
        <w:divId w:val="448934348"/>
        <w:rPr>
          <w:rFonts w:ascii="Calibri" w:eastAsia="Calibri" w:hAnsi="Calibri" w:cs="Times New Roman"/>
        </w:rPr>
      </w:pPr>
    </w:p>
    <w:p w14:paraId="1174CA54" w14:textId="77777777" w:rsidR="00722A28" w:rsidRPr="00722A28" w:rsidRDefault="00722A28" w:rsidP="00722A28">
      <w:pPr>
        <w:divId w:val="448934348"/>
        <w:rPr>
          <w:rFonts w:ascii="Calibri" w:eastAsia="Calibri" w:hAnsi="Calibri" w:cs="Times New Roman"/>
        </w:rPr>
      </w:pPr>
    </w:p>
    <w:p w14:paraId="4882BCED" w14:textId="77777777" w:rsidR="00722A28" w:rsidRPr="00722A28" w:rsidRDefault="00722A28" w:rsidP="00722A28">
      <w:pPr>
        <w:divId w:val="448934348"/>
        <w:rPr>
          <w:rFonts w:ascii="Calibri" w:eastAsia="Calibri" w:hAnsi="Calibri" w:cs="Times New Roman"/>
          <w:i/>
        </w:rPr>
      </w:pPr>
    </w:p>
    <w:p w14:paraId="5A96A3B7" w14:textId="77777777" w:rsidR="00722A28" w:rsidRPr="00722A28" w:rsidRDefault="00722A28" w:rsidP="00722A28">
      <w:pPr>
        <w:divId w:val="448934348"/>
        <w:rPr>
          <w:rFonts w:ascii="Calibri" w:eastAsia="Calibri" w:hAnsi="Calibri" w:cs="Times New Roman"/>
          <w:i/>
        </w:rPr>
      </w:pPr>
      <w:r w:rsidRPr="00722A28">
        <w:rPr>
          <w:rFonts w:ascii="Calibri" w:eastAsia="Calibri" w:hAnsi="Calibri" w:cs="Times New Roman"/>
          <w:noProof/>
          <w:lang w:val="en-US"/>
        </w:rPr>
        <mc:AlternateContent>
          <mc:Choice Requires="wps">
            <w:drawing>
              <wp:anchor distT="0" distB="0" distL="114299" distR="114299" simplePos="0" relativeHeight="251677696" behindDoc="0" locked="0" layoutInCell="1" allowOverlap="1" wp14:anchorId="7E723862" wp14:editId="7EEA119E">
                <wp:simplePos x="0" y="0"/>
                <wp:positionH relativeFrom="margin">
                  <wp:posOffset>4454480</wp:posOffset>
                </wp:positionH>
                <wp:positionV relativeFrom="paragraph">
                  <wp:posOffset>91575</wp:posOffset>
                </wp:positionV>
                <wp:extent cx="0" cy="363220"/>
                <wp:effectExtent l="76200" t="0" r="76200" b="558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9FCC9" id="Straight Arrow Connector 43" o:spid="_x0000_s1026" type="#_x0000_t32" style="position:absolute;margin-left:350.75pt;margin-top:7.2pt;width:0;height:28.6pt;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" strokecolor="windowText" strokeweight=".5pt">
                <v:stroke endarrow="block" joinstyle="miter"/>
                <o:lock v:ext="edit" shapetype="f"/>
                <w10:wrap anchorx="margin"/>
              </v:shape>
            </w:pict>
          </mc:Fallback>
        </mc:AlternateContent>
      </w:r>
      <w:r w:rsidRPr="00722A28">
        <w:rPr>
          <w:rFonts w:ascii="Calibri" w:eastAsia="Calibri" w:hAnsi="Calibri" w:cs="Times New Roman"/>
          <w:noProof/>
          <w:lang w:val="en-US"/>
        </w:rPr>
        <mc:AlternateContent>
          <mc:Choice Requires="wps">
            <w:drawing>
              <wp:anchor distT="0" distB="0" distL="114299" distR="114299" simplePos="0" relativeHeight="251668480" behindDoc="0" locked="0" layoutInCell="1" allowOverlap="1" wp14:anchorId="74B2CAB7" wp14:editId="0A17B31D">
                <wp:simplePos x="0" y="0"/>
                <wp:positionH relativeFrom="margin">
                  <wp:posOffset>1368687</wp:posOffset>
                </wp:positionH>
                <wp:positionV relativeFrom="paragraph">
                  <wp:posOffset>89535</wp:posOffset>
                </wp:positionV>
                <wp:extent cx="0" cy="363220"/>
                <wp:effectExtent l="76200" t="0" r="76200" b="558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1CEC0" id="Straight Arrow Connector 21" o:spid="_x0000_s1026" type="#_x0000_t32" style="position:absolute;margin-left:107.75pt;margin-top:7.05pt;width:0;height:28.6pt;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" strokecolor="windowText" strokeweight=".5pt">
                <v:stroke endarrow="block" joinstyle="miter"/>
                <o:lock v:ext="edit" shapetype="f"/>
                <w10:wrap anchorx="margin"/>
              </v:shape>
            </w:pict>
          </mc:Fallback>
        </mc:AlternateContent>
      </w:r>
    </w:p>
    <w:p w14:paraId="60139897" w14:textId="77777777" w:rsidR="00722A28" w:rsidRPr="00722A28" w:rsidRDefault="00722A28" w:rsidP="00722A28">
      <w:pPr>
        <w:divId w:val="448934348"/>
        <w:rPr>
          <w:rFonts w:ascii="Calibri" w:eastAsia="Calibri" w:hAnsi="Calibri" w:cs="Times New Roman"/>
          <w:i/>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A3F10EA" wp14:editId="7078AF61">
                <wp:simplePos x="0" y="0"/>
                <wp:positionH relativeFrom="margin">
                  <wp:posOffset>3390141</wp:posOffset>
                </wp:positionH>
                <wp:positionV relativeFrom="paragraph">
                  <wp:posOffset>168317</wp:posOffset>
                </wp:positionV>
                <wp:extent cx="2176780" cy="921224"/>
                <wp:effectExtent l="0" t="0" r="13970" b="1270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921224"/>
                        </a:xfrm>
                        <a:prstGeom prst="roundRect">
                          <a:avLst/>
                        </a:prstGeom>
                        <a:noFill/>
                        <a:ln w="12700" cap="flat" cmpd="sng" algn="ctr">
                          <a:solidFill>
                            <a:sysClr val="windowText" lastClr="000000"/>
                          </a:solidFill>
                          <a:prstDash val="solid"/>
                          <a:miter lim="800000"/>
                        </a:ln>
                        <a:effectLst/>
                      </wps:spPr>
                      <wps:txbx>
                        <w:txbxContent>
                          <w:p w14:paraId="178AA764" w14:textId="77777777" w:rsidR="00722A28" w:rsidRPr="00476EBE" w:rsidRDefault="00722A28" w:rsidP="00722A28">
                            <w:pPr>
                              <w:jc w:val="center"/>
                              <w:rPr>
                                <w:color w:val="000000"/>
                              </w:rPr>
                            </w:pPr>
                            <w:r>
                              <w:rPr>
                                <w:color w:val="000000"/>
                              </w:rPr>
                              <w:t>2,632</w:t>
                            </w:r>
                            <w:r w:rsidRPr="00476EBE">
                              <w:rPr>
                                <w:color w:val="000000"/>
                              </w:rPr>
                              <w:t xml:space="preserve"> participants had available data for the 3-back task and alcohol measures – 56.6%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3F10EA" id="Rounded Rectangle 22" o:spid="_x0000_s1032" style="position:absolute;margin-left:266.95pt;margin-top:13.25pt;width:171.4pt;height:7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" filled="f" strokecolor="windowText" strokeweight="1pt">
                <v:stroke joinstyle="miter"/>
                <v:path arrowok="t"/>
                <v:textbox>
                  <w:txbxContent>
                    <w:p w14:paraId="178AA764" w14:textId="77777777" w:rsidR="00722A28" w:rsidRPr="00476EBE" w:rsidRDefault="00722A28" w:rsidP="00722A28">
                      <w:pPr>
                        <w:jc w:val="center"/>
                        <w:rPr>
                          <w:color w:val="000000"/>
                        </w:rPr>
                      </w:pPr>
                      <w:r>
                        <w:rPr>
                          <w:color w:val="000000"/>
                        </w:rPr>
                        <w:t>2,632</w:t>
                      </w:r>
                      <w:r w:rsidRPr="00476EBE">
                        <w:rPr>
                          <w:color w:val="000000"/>
                        </w:rPr>
                        <w:t xml:space="preserve"> participants had available data for the 3-back task and alcohol measures – 56.6% female</w:t>
                      </w:r>
                    </w:p>
                  </w:txbxContent>
                </v:textbox>
                <w10:wrap anchorx="margin"/>
              </v:roundrect>
            </w:pict>
          </mc:Fallback>
        </mc:AlternateContent>
      </w: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0ED1C4A" wp14:editId="03632D0F">
                <wp:simplePos x="0" y="0"/>
                <wp:positionH relativeFrom="margin">
                  <wp:posOffset>278991</wp:posOffset>
                </wp:positionH>
                <wp:positionV relativeFrom="paragraph">
                  <wp:posOffset>165106</wp:posOffset>
                </wp:positionV>
                <wp:extent cx="2176780" cy="893929"/>
                <wp:effectExtent l="0" t="0" r="13970" b="209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893929"/>
                        </a:xfrm>
                        <a:prstGeom prst="roundRect">
                          <a:avLst/>
                        </a:prstGeom>
                        <a:noFill/>
                        <a:ln w="12700" cap="flat" cmpd="sng" algn="ctr">
                          <a:solidFill>
                            <a:sysClr val="windowText" lastClr="000000"/>
                          </a:solidFill>
                          <a:prstDash val="solid"/>
                          <a:miter lim="800000"/>
                        </a:ln>
                        <a:effectLst/>
                      </wps:spPr>
                      <wps:txbx>
                        <w:txbxContent>
                          <w:p w14:paraId="3D44661F" w14:textId="77777777" w:rsidR="00722A28" w:rsidRPr="00476EBE" w:rsidRDefault="00722A28" w:rsidP="00722A28">
                            <w:pPr>
                              <w:jc w:val="center"/>
                              <w:rPr>
                                <w:color w:val="000000"/>
                              </w:rPr>
                            </w:pPr>
                            <w:r>
                              <w:rPr>
                                <w:color w:val="000000"/>
                              </w:rPr>
                              <w:t>2,677</w:t>
                            </w:r>
                            <w:r w:rsidRPr="00476EBE">
                              <w:rPr>
                                <w:color w:val="000000"/>
                              </w:rPr>
                              <w:t xml:space="preserve"> participants had available data for the 2-back task and alcohol measures – 56.5%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ED1C4A" id="Rounded Rectangle 12" o:spid="_x0000_s1033" style="position:absolute;margin-left:21.95pt;margin-top:13pt;width:171.4pt;height:7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" filled="f" strokecolor="windowText" strokeweight="1pt">
                <v:stroke joinstyle="miter"/>
                <v:path arrowok="t"/>
                <v:textbox>
                  <w:txbxContent>
                    <w:p w14:paraId="3D44661F" w14:textId="77777777" w:rsidR="00722A28" w:rsidRPr="00476EBE" w:rsidRDefault="00722A28" w:rsidP="00722A28">
                      <w:pPr>
                        <w:jc w:val="center"/>
                        <w:rPr>
                          <w:color w:val="000000"/>
                        </w:rPr>
                      </w:pPr>
                      <w:r>
                        <w:rPr>
                          <w:color w:val="000000"/>
                        </w:rPr>
                        <w:t>2,677</w:t>
                      </w:r>
                      <w:r w:rsidRPr="00476EBE">
                        <w:rPr>
                          <w:color w:val="000000"/>
                        </w:rPr>
                        <w:t xml:space="preserve"> participants had available data for the 2-back task and alcohol measures – 56.5% female</w:t>
                      </w:r>
                    </w:p>
                  </w:txbxContent>
                </v:textbox>
                <w10:wrap anchorx="margin"/>
              </v:roundrect>
            </w:pict>
          </mc:Fallback>
        </mc:AlternateContent>
      </w:r>
    </w:p>
    <w:p w14:paraId="6AD1D562" w14:textId="77777777" w:rsidR="00722A28" w:rsidRPr="00722A28" w:rsidRDefault="00722A28" w:rsidP="00722A28">
      <w:pPr>
        <w:divId w:val="448934348"/>
        <w:rPr>
          <w:rFonts w:ascii="Calibri" w:eastAsia="Calibri" w:hAnsi="Calibri" w:cs="Times New Roman"/>
          <w:i/>
        </w:rPr>
      </w:pPr>
    </w:p>
    <w:p w14:paraId="0EF40C76" w14:textId="77777777" w:rsidR="00722A28" w:rsidRPr="00722A28" w:rsidRDefault="00722A28" w:rsidP="00722A28">
      <w:pPr>
        <w:divId w:val="448934348"/>
        <w:rPr>
          <w:rFonts w:ascii="Calibri" w:eastAsia="Calibri" w:hAnsi="Calibri" w:cs="Times New Roman"/>
          <w:i/>
        </w:rPr>
      </w:pPr>
    </w:p>
    <w:p w14:paraId="438EC815" w14:textId="77777777" w:rsidR="00722A28" w:rsidRPr="00722A28" w:rsidRDefault="00722A28" w:rsidP="00722A28">
      <w:pPr>
        <w:divId w:val="448934348"/>
        <w:rPr>
          <w:rFonts w:ascii="Calibri" w:eastAsia="Calibri" w:hAnsi="Calibri" w:cs="Times New Roman"/>
          <w:i/>
        </w:rPr>
      </w:pPr>
      <w:r w:rsidRPr="00722A28">
        <w:rPr>
          <w:rFonts w:ascii="Calibri" w:eastAsia="Calibri" w:hAnsi="Calibri" w:cs="Times New Roman"/>
          <w:noProof/>
          <w:lang w:val="en-US"/>
        </w:rPr>
        <mc:AlternateContent>
          <mc:Choice Requires="wps">
            <w:drawing>
              <wp:anchor distT="0" distB="0" distL="114299" distR="114299" simplePos="0" relativeHeight="251676672" behindDoc="0" locked="0" layoutInCell="1" allowOverlap="1" wp14:anchorId="0EC45AB0" wp14:editId="1DD7DB4B">
                <wp:simplePos x="0" y="0"/>
                <wp:positionH relativeFrom="margin">
                  <wp:posOffset>4455672</wp:posOffset>
                </wp:positionH>
                <wp:positionV relativeFrom="paragraph">
                  <wp:posOffset>233258</wp:posOffset>
                </wp:positionV>
                <wp:extent cx="0" cy="363220"/>
                <wp:effectExtent l="76200" t="0" r="76200" b="558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A3C2B" id="Straight Arrow Connector 38" o:spid="_x0000_s1026" type="#_x0000_t32" style="position:absolute;margin-left:350.85pt;margin-top:18.35pt;width:0;height:28.6pt;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" strokecolor="windowText" strokeweight=".5pt">
                <v:stroke endarrow="block" joinstyle="miter"/>
                <o:lock v:ext="edit" shapetype="f"/>
                <w10:wrap anchorx="margin"/>
              </v:shape>
            </w:pict>
          </mc:Fallback>
        </mc:AlternateContent>
      </w:r>
      <w:r w:rsidRPr="00722A28">
        <w:rPr>
          <w:rFonts w:ascii="Calibri" w:eastAsia="Calibri" w:hAnsi="Calibri" w:cs="Times New Roman"/>
          <w:noProof/>
          <w:lang w:val="en-US"/>
        </w:rPr>
        <mc:AlternateContent>
          <mc:Choice Requires="wps">
            <w:drawing>
              <wp:anchor distT="0" distB="0" distL="114299" distR="114299" simplePos="0" relativeHeight="251675648" behindDoc="0" locked="0" layoutInCell="1" allowOverlap="1" wp14:anchorId="7D049F6A" wp14:editId="3564972D">
                <wp:simplePos x="0" y="0"/>
                <wp:positionH relativeFrom="margin">
                  <wp:posOffset>1371076</wp:posOffset>
                </wp:positionH>
                <wp:positionV relativeFrom="paragraph">
                  <wp:posOffset>200161</wp:posOffset>
                </wp:positionV>
                <wp:extent cx="0" cy="363220"/>
                <wp:effectExtent l="76200" t="0" r="76200" b="558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60D4C" id="Straight Arrow Connector 37" o:spid="_x0000_s1026" type="#_x0000_t32" style="position:absolute;margin-left:107.95pt;margin-top:15.75pt;width:0;height:28.6pt;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" strokecolor="windowText" strokeweight=".5pt">
                <v:stroke endarrow="block" joinstyle="miter"/>
                <o:lock v:ext="edit" shapetype="f"/>
                <w10:wrap anchorx="margin"/>
              </v:shape>
            </w:pict>
          </mc:Fallback>
        </mc:AlternateContent>
      </w:r>
    </w:p>
    <w:p w14:paraId="579EB6D4" w14:textId="77777777" w:rsidR="00722A28" w:rsidRPr="00722A28" w:rsidRDefault="00722A28" w:rsidP="00722A28">
      <w:pPr>
        <w:divId w:val="448934348"/>
        <w:rPr>
          <w:rFonts w:ascii="Calibri" w:eastAsia="Calibri" w:hAnsi="Calibri" w:cs="Times New Roman"/>
          <w:i/>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F0861F3" wp14:editId="2FA2A7DB">
                <wp:simplePos x="0" y="0"/>
                <wp:positionH relativeFrom="margin">
                  <wp:posOffset>277495</wp:posOffset>
                </wp:positionH>
                <wp:positionV relativeFrom="paragraph">
                  <wp:posOffset>274320</wp:posOffset>
                </wp:positionV>
                <wp:extent cx="2176780" cy="927735"/>
                <wp:effectExtent l="0" t="0" r="13970" b="2476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927735"/>
                        </a:xfrm>
                        <a:prstGeom prst="roundRect">
                          <a:avLst/>
                        </a:prstGeom>
                        <a:noFill/>
                        <a:ln w="12700" cap="flat" cmpd="sng" algn="ctr">
                          <a:solidFill>
                            <a:sysClr val="windowText" lastClr="000000"/>
                          </a:solidFill>
                          <a:prstDash val="solid"/>
                          <a:miter lim="800000"/>
                        </a:ln>
                        <a:effectLst/>
                      </wps:spPr>
                      <wps:txbx>
                        <w:txbxContent>
                          <w:p w14:paraId="040E7A7C" w14:textId="77777777" w:rsidR="00722A28" w:rsidRPr="00476EBE" w:rsidRDefault="00722A28" w:rsidP="00722A28">
                            <w:pPr>
                              <w:jc w:val="center"/>
                              <w:rPr>
                                <w:color w:val="000000"/>
                              </w:rPr>
                            </w:pPr>
                            <w:r>
                              <w:rPr>
                                <w:color w:val="000000"/>
                              </w:rPr>
                              <w:t>1,919</w:t>
                            </w:r>
                            <w:r w:rsidRPr="00476EBE">
                              <w:rPr>
                                <w:color w:val="000000"/>
                              </w:rPr>
                              <w:t xml:space="preserve"> participants had complete data on outcome, exposures and confounders – 56.3%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0861F3" id="Rounded Rectangle 35" o:spid="_x0000_s1034" style="position:absolute;margin-left:21.85pt;margin-top:21.6pt;width:171.4pt;height:73.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" filled="f" strokecolor="windowText" strokeweight="1pt">
                <v:stroke joinstyle="miter"/>
                <v:path arrowok="t"/>
                <v:textbox>
                  <w:txbxContent>
                    <w:p w14:paraId="040E7A7C" w14:textId="77777777" w:rsidR="00722A28" w:rsidRPr="00476EBE" w:rsidRDefault="00722A28" w:rsidP="00722A28">
                      <w:pPr>
                        <w:jc w:val="center"/>
                        <w:rPr>
                          <w:color w:val="000000"/>
                        </w:rPr>
                      </w:pPr>
                      <w:r>
                        <w:rPr>
                          <w:color w:val="000000"/>
                        </w:rPr>
                        <w:t>1,919</w:t>
                      </w:r>
                      <w:r w:rsidRPr="00476EBE">
                        <w:rPr>
                          <w:color w:val="000000"/>
                        </w:rPr>
                        <w:t xml:space="preserve"> participants had complete data on outcome, exposures and confounders – 56.3% female</w:t>
                      </w:r>
                    </w:p>
                  </w:txbxContent>
                </v:textbox>
                <w10:wrap anchorx="margin"/>
              </v:roundrect>
            </w:pict>
          </mc:Fallback>
        </mc:AlternateContent>
      </w:r>
    </w:p>
    <w:p w14:paraId="7ED8BDC0" w14:textId="77777777" w:rsidR="00722A28" w:rsidRPr="00722A28" w:rsidRDefault="00722A28" w:rsidP="00722A28">
      <w:pPr>
        <w:divId w:val="448934348"/>
        <w:rPr>
          <w:rFonts w:ascii="Calibri" w:eastAsia="Calibri" w:hAnsi="Calibri" w:cs="Times New Roman"/>
          <w:i/>
        </w:rPr>
      </w:pPr>
      <w:r w:rsidRPr="00722A28">
        <w:rPr>
          <w:rFonts w:ascii="Times New Roman" w:eastAsia="Calibri"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E0E4AB6" wp14:editId="5554ECE6">
                <wp:simplePos x="0" y="0"/>
                <wp:positionH relativeFrom="margin">
                  <wp:posOffset>3369121</wp:posOffset>
                </wp:positionH>
                <wp:positionV relativeFrom="paragraph">
                  <wp:posOffset>24862</wp:posOffset>
                </wp:positionV>
                <wp:extent cx="2176780" cy="955343"/>
                <wp:effectExtent l="0" t="0" r="13970" b="1651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955343"/>
                        </a:xfrm>
                        <a:prstGeom prst="roundRect">
                          <a:avLst/>
                        </a:prstGeom>
                        <a:noFill/>
                        <a:ln w="12700" cap="flat" cmpd="sng" algn="ctr">
                          <a:solidFill>
                            <a:sysClr val="windowText" lastClr="000000"/>
                          </a:solidFill>
                          <a:prstDash val="solid"/>
                          <a:miter lim="800000"/>
                        </a:ln>
                        <a:effectLst/>
                      </wps:spPr>
                      <wps:txbx>
                        <w:txbxContent>
                          <w:p w14:paraId="3A7DA04B" w14:textId="77777777" w:rsidR="00722A28" w:rsidRPr="00476EBE" w:rsidRDefault="00722A28" w:rsidP="00722A28">
                            <w:pPr>
                              <w:jc w:val="center"/>
                              <w:rPr>
                                <w:color w:val="000000"/>
                              </w:rPr>
                            </w:pPr>
                            <w:r>
                              <w:rPr>
                                <w:color w:val="000000"/>
                              </w:rPr>
                              <w:t>1,896</w:t>
                            </w:r>
                            <w:r w:rsidRPr="00476EBE">
                              <w:rPr>
                                <w:color w:val="000000"/>
                              </w:rPr>
                              <w:t xml:space="preserve"> participants had complete data on outcome, exposures and confounders – 56.3% 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0E4AB6" id="Rounded Rectangle 28" o:spid="_x0000_s1035" style="position:absolute;margin-left:265.3pt;margin-top:1.95pt;width:171.4pt;height:7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" filled="f" strokecolor="windowText" strokeweight="1pt">
                <v:stroke joinstyle="miter"/>
                <v:path arrowok="t"/>
                <v:textbox>
                  <w:txbxContent>
                    <w:p w14:paraId="3A7DA04B" w14:textId="77777777" w:rsidR="00722A28" w:rsidRPr="00476EBE" w:rsidRDefault="00722A28" w:rsidP="00722A28">
                      <w:pPr>
                        <w:jc w:val="center"/>
                        <w:rPr>
                          <w:color w:val="000000"/>
                        </w:rPr>
                      </w:pPr>
                      <w:r>
                        <w:rPr>
                          <w:color w:val="000000"/>
                        </w:rPr>
                        <w:t>1,896</w:t>
                      </w:r>
                      <w:r w:rsidRPr="00476EBE">
                        <w:rPr>
                          <w:color w:val="000000"/>
                        </w:rPr>
                        <w:t xml:space="preserve"> participants had complete data on outcome, exposures and confounders – 56.3% female</w:t>
                      </w:r>
                    </w:p>
                  </w:txbxContent>
                </v:textbox>
                <w10:wrap anchorx="margin"/>
              </v:roundrect>
            </w:pict>
          </mc:Fallback>
        </mc:AlternateContent>
      </w:r>
    </w:p>
    <w:p w14:paraId="5BF46DAD" w14:textId="77777777" w:rsidR="00722A28" w:rsidRPr="00722A28" w:rsidRDefault="00722A28" w:rsidP="00722A28">
      <w:pPr>
        <w:divId w:val="448934348"/>
        <w:rPr>
          <w:rFonts w:ascii="Calibri" w:eastAsia="Calibri" w:hAnsi="Calibri" w:cs="Times New Roman"/>
          <w:i/>
        </w:rPr>
      </w:pPr>
    </w:p>
    <w:p w14:paraId="4B207AA9" w14:textId="77777777" w:rsidR="00722A28" w:rsidRPr="00722A28" w:rsidRDefault="00722A28" w:rsidP="00722A28">
      <w:pPr>
        <w:divId w:val="448934348"/>
        <w:rPr>
          <w:rFonts w:ascii="Calibri" w:eastAsia="Calibri" w:hAnsi="Calibri" w:cs="Times New Roman"/>
          <w:i/>
        </w:rPr>
      </w:pPr>
    </w:p>
    <w:p w14:paraId="380E860E" w14:textId="77777777" w:rsidR="00722A28" w:rsidRPr="00722A28" w:rsidRDefault="00722A28" w:rsidP="00722A28">
      <w:pPr>
        <w:divId w:val="448934348"/>
        <w:rPr>
          <w:rFonts w:ascii="Calibri" w:eastAsia="Calibri" w:hAnsi="Calibri" w:cs="Times New Roman"/>
          <w:i/>
        </w:rPr>
      </w:pPr>
    </w:p>
    <w:p w14:paraId="203986B4" w14:textId="77777777" w:rsidR="00722A28" w:rsidRPr="00722A28" w:rsidRDefault="00722A28" w:rsidP="00722A28">
      <w:pPr>
        <w:divId w:val="448934348"/>
        <w:rPr>
          <w:rFonts w:ascii="Times New Roman" w:eastAsia="Calibri" w:hAnsi="Times New Roman" w:cs="Times New Roman"/>
          <w:b/>
          <w:sz w:val="24"/>
          <w:szCs w:val="24"/>
        </w:rPr>
      </w:pPr>
      <w:r w:rsidRPr="00722A28">
        <w:rPr>
          <w:rFonts w:ascii="Times New Roman" w:eastAsia="Calibri" w:hAnsi="Times New Roman" w:cs="Times New Roman"/>
          <w:sz w:val="24"/>
          <w:szCs w:val="24"/>
        </w:rPr>
        <w:t>Figure S1. Sample attrition in ALSPAC</w:t>
      </w:r>
    </w:p>
    <w:p w14:paraId="59F16308" w14:textId="77777777" w:rsidR="00722A28" w:rsidRPr="00722A28" w:rsidRDefault="00722A28" w:rsidP="00722A28">
      <w:pPr>
        <w:spacing w:after="0" w:line="240" w:lineRule="auto"/>
        <w:divId w:val="448934348"/>
        <w:rPr>
          <w:rFonts w:ascii="Times New Roman" w:eastAsia="Calibri" w:hAnsi="Times New Roman" w:cs="Times New Roman"/>
          <w:b/>
          <w:sz w:val="24"/>
        </w:rPr>
      </w:pPr>
    </w:p>
    <w:p w14:paraId="1C711A3A" w14:textId="77777777" w:rsidR="00722A28" w:rsidRPr="00722A28" w:rsidRDefault="00722A28" w:rsidP="00722A28">
      <w:pPr>
        <w:spacing w:after="0" w:line="240" w:lineRule="auto"/>
        <w:divId w:val="448934348"/>
        <w:rPr>
          <w:rFonts w:ascii="Times New Roman" w:eastAsia="Calibri" w:hAnsi="Times New Roman" w:cs="Times New Roman"/>
          <w:b/>
          <w:sz w:val="24"/>
        </w:rPr>
      </w:pPr>
    </w:p>
    <w:p w14:paraId="3A07E143" w14:textId="77777777" w:rsidR="00722A28" w:rsidRPr="00722A28" w:rsidRDefault="00722A28" w:rsidP="00722A28">
      <w:pPr>
        <w:spacing w:after="0" w:line="240" w:lineRule="auto"/>
        <w:divId w:val="448934348"/>
        <w:rPr>
          <w:rFonts w:ascii="Times New Roman" w:eastAsia="Calibri" w:hAnsi="Times New Roman" w:cs="Times New Roman"/>
          <w:b/>
          <w:sz w:val="24"/>
        </w:rPr>
      </w:pPr>
    </w:p>
    <w:p w14:paraId="5B599809" w14:textId="77777777" w:rsidR="00722A28" w:rsidRPr="00722A28" w:rsidRDefault="00722A28" w:rsidP="00722A28">
      <w:pPr>
        <w:spacing w:after="0" w:line="240" w:lineRule="auto"/>
        <w:divId w:val="448934348"/>
        <w:rPr>
          <w:rFonts w:ascii="Times New Roman" w:eastAsia="Calibri" w:hAnsi="Times New Roman" w:cs="Times New Roman"/>
          <w:b/>
          <w:sz w:val="24"/>
        </w:rPr>
      </w:pPr>
    </w:p>
    <w:p w14:paraId="172A832A"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54F69954"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r w:rsidRPr="00722A28">
        <w:rPr>
          <w:rFonts w:ascii="Calibri" w:eastAsia="Calibri" w:hAnsi="Calibri" w:cs="Times New Roman"/>
          <w:noProof/>
          <w:lang w:val="en-US"/>
        </w:rPr>
        <w:drawing>
          <wp:inline distT="0" distB="0" distL="0" distR="0" wp14:anchorId="36112A04" wp14:editId="4B85BBF6">
            <wp:extent cx="6101080" cy="265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080" cy="2655570"/>
                    </a:xfrm>
                    <a:prstGeom prst="rect">
                      <a:avLst/>
                    </a:prstGeom>
                    <a:noFill/>
                    <a:ln>
                      <a:noFill/>
                    </a:ln>
                  </pic:spPr>
                </pic:pic>
              </a:graphicData>
            </a:graphic>
          </wp:inline>
        </w:drawing>
      </w:r>
    </w:p>
    <w:p w14:paraId="136518C4"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2873C43D"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7C3C1200"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278B92E5"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308F2FA3"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00234EE5"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65965006"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5288F628"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6B584E0C"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35B70351"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49071610"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2FE64346"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2FAF97A4"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7E5945CB"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41D76712"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7F99EDC9"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4F442677"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0484732F"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p>
    <w:p w14:paraId="68437E48" w14:textId="77777777" w:rsidR="00722A28" w:rsidRPr="00722A28" w:rsidRDefault="00722A28" w:rsidP="00722A28">
      <w:pPr>
        <w:spacing w:before="240" w:after="0" w:line="240" w:lineRule="auto"/>
        <w:divId w:val="448934348"/>
        <w:rPr>
          <w:rFonts w:ascii="Times New Roman" w:eastAsia="Calibri" w:hAnsi="Times New Roman" w:cs="Times New Roman"/>
          <w:b/>
          <w:sz w:val="24"/>
        </w:rPr>
      </w:pPr>
      <w:r w:rsidRPr="00722A28">
        <w:rPr>
          <w:rFonts w:ascii="Times New Roman" w:eastAsia="Calibri" w:hAnsi="Times New Roman" w:cs="Times New Roman"/>
          <w:b/>
          <w:sz w:val="24"/>
        </w:rPr>
        <w:lastRenderedPageBreak/>
        <w:t>Working memory – N-back task</w:t>
      </w:r>
    </w:p>
    <w:p w14:paraId="00507071"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Participants continuously monitored a series of numbers presented on a computer screen, and pressed ‘1’ if the number was the same as the number presented N numbers ago, or ‘2’ if it was not. Stimuli were numbers 0–9, presented in black on white background with a random spatial jitter of 180 pixels in y-axis and 200 pixels in x-axis. Each target was presented for 500 ms, followed by a 3,000 ms response window. The practice block consisted of 12 trials containing two targets. Each experimental block was randomized and consisted of 48 trials, containing eight targets, with a single block for each of the 2- and 3-back conditions. In the 2-back condition, the target was the number that was identical to the one presented 2 trials back; while in the 3-back condition was identical to the one presented 3 trials back.  </w:t>
      </w:r>
    </w:p>
    <w:p w14:paraId="28F66230"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0F219BB1"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175E8568"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2030B1C9"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07213F0B"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217C465D"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37A42E8F"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309AF672"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43ED4CBB"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01A56932"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41C14CAD"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2FA75474" w14:textId="77777777" w:rsidR="00722A28" w:rsidRPr="00722A28" w:rsidRDefault="00722A28" w:rsidP="00722A28">
      <w:pPr>
        <w:spacing w:after="0" w:line="480" w:lineRule="auto"/>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lastRenderedPageBreak/>
        <w:t>Working memory – counting span task</w:t>
      </w:r>
    </w:p>
    <w:p w14:paraId="415FAFA5" w14:textId="77777777" w:rsidR="00722A28" w:rsidRPr="00722A28" w:rsidRDefault="00722A28" w:rsidP="00722A28">
      <w:pPr>
        <w:spacing w:after="0" w:line="480" w:lineRule="auto"/>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Children were presented with a number of red and blue dots on a white screen and asked to count the red dots out loud. The child was asked to recall the number of red dots seen on each screen with that set in the order they were presented. There were two practice sets and three sets with displays ranging from 2 to 5 screens. A total of 12 blocks were completed with three per load level.</w:t>
      </w:r>
    </w:p>
    <w:p w14:paraId="0EE22E0D" w14:textId="77777777" w:rsidR="00722A28" w:rsidRPr="00722A28" w:rsidRDefault="00722A28" w:rsidP="00722A28">
      <w:pPr>
        <w:spacing w:before="240" w:after="0" w:line="480" w:lineRule="auto"/>
        <w:divId w:val="448934348"/>
        <w:rPr>
          <w:rFonts w:ascii="Times New Roman" w:eastAsia="Calibri" w:hAnsi="Times New Roman" w:cs="Times New Roman"/>
          <w:sz w:val="24"/>
          <w:szCs w:val="24"/>
        </w:rPr>
      </w:pPr>
    </w:p>
    <w:p w14:paraId="160D6BC9"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1BECC74D"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65A6A12C"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44820AC6"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4BE41616"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083020C3"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3965995B"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09B8FA99"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18727E73"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7B69C476"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23A2D609"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38F9D1CA"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62F206E6"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79FFA18F"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p>
    <w:p w14:paraId="5EE5DC64" w14:textId="77777777" w:rsidR="00722A28" w:rsidRPr="00722A28" w:rsidRDefault="00722A28" w:rsidP="00722A28">
      <w:pPr>
        <w:spacing w:before="240" w:after="0" w:line="480" w:lineRule="auto"/>
        <w:divId w:val="448934348"/>
        <w:rPr>
          <w:rFonts w:ascii="Times New Roman" w:eastAsia="Calibri" w:hAnsi="Times New Roman" w:cs="Times New Roman"/>
          <w:b/>
          <w:sz w:val="24"/>
        </w:rPr>
      </w:pPr>
      <w:r w:rsidRPr="00722A28">
        <w:rPr>
          <w:rFonts w:ascii="Times New Roman" w:eastAsia="Calibri" w:hAnsi="Times New Roman" w:cs="Times New Roman"/>
          <w:b/>
          <w:sz w:val="24"/>
        </w:rPr>
        <w:lastRenderedPageBreak/>
        <w:t>Inverse probability weighting</w:t>
      </w:r>
    </w:p>
    <w:p w14:paraId="3344C278" w14:textId="77777777" w:rsidR="00722A28" w:rsidRPr="00722A28" w:rsidRDefault="00722A28" w:rsidP="00722A28">
      <w:pPr>
        <w:spacing w:after="0" w:line="480" w:lineRule="auto"/>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Weights were derived from logistic regression models using variables associated with nonresponse, including maternal age, grandmother having a history of severe depression, maternal alcohol use in pregnancy, financial problems, maternal cannabis use and affordability problems. There was evidence of an association between all of the early-life exposures to adversity and loss to follow-up comparing complete cases and WM outcome data for all participants (</w:t>
      </w:r>
      <w:r w:rsidRPr="00722A28">
        <w:rPr>
          <w:rFonts w:ascii="Times New Roman" w:eastAsia="Calibri" w:hAnsi="Times New Roman" w:cs="Times New Roman"/>
          <w:i/>
          <w:sz w:val="24"/>
          <w:szCs w:val="24"/>
        </w:rPr>
        <w:t>n</w:t>
      </w:r>
      <w:r w:rsidRPr="00722A28">
        <w:rPr>
          <w:rFonts w:ascii="Times New Roman" w:eastAsia="Calibri" w:hAnsi="Times New Roman" w:cs="Times New Roman"/>
          <w:sz w:val="24"/>
          <w:szCs w:val="24"/>
        </w:rPr>
        <w:t>=9,432) invited to the clinic. We weighted the included respondents by the inverse of the probability of attending and used t</w:t>
      </w:r>
      <w:r w:rsidRPr="00722A28">
        <w:rPr>
          <w:rFonts w:ascii="Times New Roman" w:eastAsia="Calibri" w:hAnsi="Times New Roman" w:cs="Times New Roman"/>
          <w:color w:val="000000"/>
          <w:sz w:val="24"/>
          <w:szCs w:val="24"/>
          <w:shd w:val="clear" w:color="auto" w:fill="FFFFFF"/>
        </w:rPr>
        <w:t>he Hosmer-Lemeshow test to assess model fit.</w:t>
      </w:r>
      <w:r w:rsidRPr="00722A28">
        <w:rPr>
          <w:rFonts w:ascii="Times New Roman" w:eastAsia="Calibri" w:hAnsi="Times New Roman" w:cs="Times New Roman"/>
          <w:sz w:val="24"/>
          <w:szCs w:val="24"/>
        </w:rPr>
        <w:t xml:space="preserve"> </w:t>
      </w:r>
    </w:p>
    <w:p w14:paraId="6FE53CC6" w14:textId="77777777" w:rsidR="00722A28" w:rsidRPr="00722A28" w:rsidRDefault="00722A28" w:rsidP="00722A28">
      <w:pPr>
        <w:spacing w:before="240" w:after="0" w:line="480" w:lineRule="auto"/>
        <w:divId w:val="448934348"/>
        <w:rPr>
          <w:rFonts w:ascii="Times New Roman" w:eastAsia="Calibri" w:hAnsi="Times New Roman" w:cs="Times New Roman"/>
          <w:b/>
          <w:sz w:val="24"/>
        </w:rPr>
        <w:sectPr w:rsidR="00722A28" w:rsidRPr="00722A28" w:rsidSect="00476EBE">
          <w:footerReference w:type="default" r:id="rId14"/>
          <w:pgSz w:w="11906" w:h="16838"/>
          <w:pgMar w:top="1134" w:right="1134" w:bottom="1134" w:left="1134" w:header="708" w:footer="708" w:gutter="0"/>
          <w:cols w:space="708"/>
          <w:docGrid w:linePitch="360"/>
        </w:sectPr>
      </w:pPr>
    </w:p>
    <w:p w14:paraId="48596733" w14:textId="77777777" w:rsidR="00722A28" w:rsidRPr="00722A28" w:rsidRDefault="00722A28" w:rsidP="00722A28">
      <w:pPr>
        <w:spacing w:after="0" w:line="240" w:lineRule="auto"/>
        <w:divId w:val="448934348"/>
        <w:rPr>
          <w:rFonts w:ascii="Times New Roman" w:eastAsia="Calibri" w:hAnsi="Times New Roman" w:cs="Times New Roman"/>
          <w:b/>
          <w:sz w:val="24"/>
        </w:rPr>
      </w:pPr>
      <w:r w:rsidRPr="00722A28">
        <w:rPr>
          <w:rFonts w:ascii="Times New Roman" w:eastAsia="Calibri" w:hAnsi="Times New Roman" w:cs="Times New Roman"/>
          <w:b/>
          <w:sz w:val="24"/>
        </w:rPr>
        <w:lastRenderedPageBreak/>
        <w:t>Table S1. Selective attrition for working memory performance at age 18 years</w:t>
      </w:r>
    </w:p>
    <w:tbl>
      <w:tblPr>
        <w:tblStyle w:val="TableGrid12"/>
        <w:tblpPr w:leftFromText="180" w:rightFromText="180" w:vertAnchor="page" w:horzAnchor="margin" w:tblpY="1451"/>
        <w:tblW w:w="0" w:type="auto"/>
        <w:tblLook w:val="04A0" w:firstRow="1" w:lastRow="0" w:firstColumn="1" w:lastColumn="0" w:noHBand="0" w:noVBand="1"/>
      </w:tblPr>
      <w:tblGrid>
        <w:gridCol w:w="3029"/>
        <w:gridCol w:w="1808"/>
        <w:gridCol w:w="1988"/>
        <w:gridCol w:w="1942"/>
        <w:gridCol w:w="1727"/>
        <w:gridCol w:w="1563"/>
        <w:gridCol w:w="1891"/>
      </w:tblGrid>
      <w:tr w:rsidR="00722A28" w:rsidRPr="00722A28" w14:paraId="168AD06C" w14:textId="77777777" w:rsidTr="00722A28">
        <w:trPr>
          <w:divId w:val="448934348"/>
        </w:trPr>
        <w:tc>
          <w:tcPr>
            <w:tcW w:w="3029" w:type="dxa"/>
            <w:tcBorders>
              <w:top w:val="double" w:sz="4" w:space="0" w:color="auto"/>
              <w:left w:val="nil"/>
              <w:bottom w:val="single" w:sz="4" w:space="0" w:color="auto"/>
              <w:right w:val="nil"/>
            </w:tcBorders>
          </w:tcPr>
          <w:p w14:paraId="28D8DF54" w14:textId="77777777" w:rsidR="00722A28" w:rsidRPr="00722A28" w:rsidRDefault="00722A28" w:rsidP="00722A28">
            <w:pPr>
              <w:rPr>
                <w:rFonts w:ascii="Times New Roman" w:hAnsi="Times New Roman"/>
                <w:sz w:val="24"/>
                <w:szCs w:val="24"/>
              </w:rPr>
            </w:pPr>
          </w:p>
        </w:tc>
        <w:tc>
          <w:tcPr>
            <w:tcW w:w="1808" w:type="dxa"/>
            <w:tcBorders>
              <w:top w:val="double" w:sz="4" w:space="0" w:color="auto"/>
              <w:left w:val="nil"/>
              <w:bottom w:val="nil"/>
              <w:right w:val="nil"/>
            </w:tcBorders>
          </w:tcPr>
          <w:p w14:paraId="22FC5E27" w14:textId="77777777" w:rsidR="00722A28" w:rsidRPr="00722A28" w:rsidRDefault="00722A28" w:rsidP="00722A28">
            <w:pPr>
              <w:rPr>
                <w:rFonts w:ascii="Times New Roman" w:hAnsi="Times New Roman"/>
                <w:sz w:val="24"/>
                <w:szCs w:val="24"/>
              </w:rPr>
            </w:pPr>
          </w:p>
        </w:tc>
        <w:tc>
          <w:tcPr>
            <w:tcW w:w="1988" w:type="dxa"/>
            <w:tcBorders>
              <w:top w:val="double" w:sz="4" w:space="0" w:color="auto"/>
              <w:left w:val="nil"/>
              <w:bottom w:val="nil"/>
              <w:right w:val="nil"/>
            </w:tcBorders>
          </w:tcPr>
          <w:p w14:paraId="46B4C054"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2-back</w:t>
            </w:r>
          </w:p>
        </w:tc>
        <w:tc>
          <w:tcPr>
            <w:tcW w:w="1942" w:type="dxa"/>
            <w:tcBorders>
              <w:top w:val="double" w:sz="4" w:space="0" w:color="auto"/>
              <w:left w:val="nil"/>
              <w:bottom w:val="nil"/>
              <w:right w:val="nil"/>
            </w:tcBorders>
          </w:tcPr>
          <w:p w14:paraId="1F433F45" w14:textId="77777777" w:rsidR="00722A28" w:rsidRPr="00722A28" w:rsidRDefault="00722A28" w:rsidP="00722A28">
            <w:pPr>
              <w:rPr>
                <w:rFonts w:ascii="Times New Roman" w:hAnsi="Times New Roman"/>
                <w:sz w:val="24"/>
                <w:szCs w:val="24"/>
              </w:rPr>
            </w:pPr>
          </w:p>
        </w:tc>
        <w:tc>
          <w:tcPr>
            <w:tcW w:w="1727" w:type="dxa"/>
            <w:tcBorders>
              <w:top w:val="double" w:sz="4" w:space="0" w:color="auto"/>
              <w:left w:val="nil"/>
              <w:bottom w:val="nil"/>
              <w:right w:val="nil"/>
            </w:tcBorders>
          </w:tcPr>
          <w:p w14:paraId="71DEEAFE" w14:textId="77777777" w:rsidR="00722A28" w:rsidRPr="00722A28" w:rsidRDefault="00722A28" w:rsidP="00722A28">
            <w:pPr>
              <w:rPr>
                <w:rFonts w:ascii="Times New Roman" w:hAnsi="Times New Roman"/>
                <w:sz w:val="24"/>
                <w:szCs w:val="24"/>
              </w:rPr>
            </w:pPr>
          </w:p>
        </w:tc>
        <w:tc>
          <w:tcPr>
            <w:tcW w:w="1563" w:type="dxa"/>
            <w:tcBorders>
              <w:top w:val="double" w:sz="4" w:space="0" w:color="auto"/>
              <w:left w:val="nil"/>
              <w:bottom w:val="nil"/>
              <w:right w:val="nil"/>
            </w:tcBorders>
          </w:tcPr>
          <w:p w14:paraId="0FEA0391"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3-back</w:t>
            </w:r>
          </w:p>
        </w:tc>
        <w:tc>
          <w:tcPr>
            <w:tcW w:w="1891" w:type="dxa"/>
            <w:tcBorders>
              <w:top w:val="double" w:sz="4" w:space="0" w:color="auto"/>
              <w:left w:val="nil"/>
              <w:bottom w:val="nil"/>
              <w:right w:val="nil"/>
            </w:tcBorders>
          </w:tcPr>
          <w:p w14:paraId="1F979DBB" w14:textId="77777777" w:rsidR="00722A28" w:rsidRPr="00722A28" w:rsidRDefault="00722A28" w:rsidP="00722A28">
            <w:pPr>
              <w:rPr>
                <w:rFonts w:ascii="Times New Roman" w:hAnsi="Times New Roman"/>
                <w:sz w:val="24"/>
                <w:szCs w:val="24"/>
              </w:rPr>
            </w:pPr>
          </w:p>
        </w:tc>
      </w:tr>
      <w:tr w:rsidR="00722A28" w:rsidRPr="00722A28" w14:paraId="48B47CA7" w14:textId="77777777" w:rsidTr="00722A28">
        <w:trPr>
          <w:divId w:val="448934348"/>
        </w:trPr>
        <w:tc>
          <w:tcPr>
            <w:tcW w:w="3029" w:type="dxa"/>
            <w:tcBorders>
              <w:top w:val="single" w:sz="4" w:space="0" w:color="auto"/>
              <w:left w:val="nil"/>
              <w:bottom w:val="nil"/>
              <w:right w:val="nil"/>
            </w:tcBorders>
          </w:tcPr>
          <w:p w14:paraId="666A8FA1" w14:textId="77777777" w:rsidR="00722A28" w:rsidRPr="00722A28" w:rsidRDefault="00722A28" w:rsidP="00722A28">
            <w:pPr>
              <w:rPr>
                <w:rFonts w:ascii="Times New Roman" w:hAnsi="Times New Roman"/>
                <w:sz w:val="24"/>
                <w:szCs w:val="24"/>
              </w:rPr>
            </w:pPr>
          </w:p>
        </w:tc>
        <w:tc>
          <w:tcPr>
            <w:tcW w:w="1808" w:type="dxa"/>
            <w:tcBorders>
              <w:left w:val="nil"/>
              <w:bottom w:val="nil"/>
              <w:right w:val="nil"/>
            </w:tcBorders>
          </w:tcPr>
          <w:p w14:paraId="21150FD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Available</w:t>
            </w:r>
          </w:p>
        </w:tc>
        <w:tc>
          <w:tcPr>
            <w:tcW w:w="1988" w:type="dxa"/>
            <w:tcBorders>
              <w:left w:val="nil"/>
              <w:bottom w:val="nil"/>
              <w:right w:val="nil"/>
            </w:tcBorders>
          </w:tcPr>
          <w:p w14:paraId="400EA59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Not available</w:t>
            </w:r>
          </w:p>
        </w:tc>
        <w:tc>
          <w:tcPr>
            <w:tcW w:w="1942" w:type="dxa"/>
            <w:tcBorders>
              <w:left w:val="nil"/>
              <w:bottom w:val="nil"/>
              <w:right w:val="nil"/>
            </w:tcBorders>
          </w:tcPr>
          <w:p w14:paraId="0CF2976D" w14:textId="77777777" w:rsidR="00722A28" w:rsidRPr="00722A28" w:rsidRDefault="00722A28" w:rsidP="00722A28">
            <w:pPr>
              <w:rPr>
                <w:rFonts w:ascii="Times New Roman" w:hAnsi="Times New Roman"/>
                <w:sz w:val="24"/>
                <w:szCs w:val="24"/>
              </w:rPr>
            </w:pPr>
          </w:p>
        </w:tc>
        <w:tc>
          <w:tcPr>
            <w:tcW w:w="1727" w:type="dxa"/>
            <w:tcBorders>
              <w:left w:val="nil"/>
              <w:bottom w:val="nil"/>
              <w:right w:val="nil"/>
            </w:tcBorders>
          </w:tcPr>
          <w:p w14:paraId="51A7EBB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Available</w:t>
            </w:r>
          </w:p>
        </w:tc>
        <w:tc>
          <w:tcPr>
            <w:tcW w:w="1563" w:type="dxa"/>
            <w:tcBorders>
              <w:left w:val="nil"/>
              <w:bottom w:val="nil"/>
              <w:right w:val="nil"/>
            </w:tcBorders>
          </w:tcPr>
          <w:p w14:paraId="320AB16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Not available</w:t>
            </w:r>
          </w:p>
        </w:tc>
        <w:tc>
          <w:tcPr>
            <w:tcW w:w="1891" w:type="dxa"/>
            <w:tcBorders>
              <w:left w:val="nil"/>
              <w:bottom w:val="nil"/>
              <w:right w:val="nil"/>
            </w:tcBorders>
          </w:tcPr>
          <w:p w14:paraId="5F43D7A3" w14:textId="77777777" w:rsidR="00722A28" w:rsidRPr="00722A28" w:rsidRDefault="00722A28" w:rsidP="00722A28">
            <w:pPr>
              <w:rPr>
                <w:rFonts w:ascii="Times New Roman" w:hAnsi="Times New Roman"/>
                <w:sz w:val="24"/>
                <w:szCs w:val="24"/>
              </w:rPr>
            </w:pPr>
          </w:p>
        </w:tc>
      </w:tr>
      <w:tr w:rsidR="00722A28" w:rsidRPr="00722A28" w14:paraId="7289C0D3" w14:textId="77777777" w:rsidTr="00722A28">
        <w:trPr>
          <w:divId w:val="448934348"/>
        </w:trPr>
        <w:tc>
          <w:tcPr>
            <w:tcW w:w="3029" w:type="dxa"/>
            <w:tcBorders>
              <w:top w:val="nil"/>
              <w:left w:val="nil"/>
              <w:bottom w:val="nil"/>
              <w:right w:val="nil"/>
            </w:tcBorders>
          </w:tcPr>
          <w:p w14:paraId="4F1EF6D9" w14:textId="77777777" w:rsidR="00722A28" w:rsidRPr="00722A28" w:rsidRDefault="00722A28" w:rsidP="00722A28">
            <w:pPr>
              <w:rPr>
                <w:rFonts w:ascii="Times New Roman" w:hAnsi="Times New Roman"/>
                <w:sz w:val="24"/>
                <w:szCs w:val="24"/>
              </w:rPr>
            </w:pPr>
          </w:p>
        </w:tc>
        <w:tc>
          <w:tcPr>
            <w:tcW w:w="1808" w:type="dxa"/>
            <w:tcBorders>
              <w:left w:val="nil"/>
              <w:bottom w:val="nil"/>
              <w:right w:val="nil"/>
            </w:tcBorders>
          </w:tcPr>
          <w:p w14:paraId="71F0B70C" w14:textId="77777777" w:rsidR="00722A28" w:rsidRPr="00722A28" w:rsidRDefault="00722A28" w:rsidP="00722A28">
            <w:pPr>
              <w:rPr>
                <w:rFonts w:ascii="Times New Roman" w:hAnsi="Times New Roman"/>
                <w:i/>
                <w:sz w:val="24"/>
                <w:szCs w:val="24"/>
              </w:rPr>
            </w:pPr>
            <w:r w:rsidRPr="00722A28">
              <w:rPr>
                <w:rFonts w:ascii="Times New Roman" w:hAnsi="Times New Roman"/>
                <w:i/>
                <w:sz w:val="24"/>
                <w:szCs w:val="24"/>
              </w:rPr>
              <w:t>n</w:t>
            </w:r>
            <w:r w:rsidRPr="00722A28">
              <w:rPr>
                <w:rFonts w:ascii="Times New Roman" w:hAnsi="Times New Roman"/>
                <w:sz w:val="24"/>
                <w:szCs w:val="24"/>
              </w:rPr>
              <w:t xml:space="preserve"> (%)</w:t>
            </w:r>
          </w:p>
        </w:tc>
        <w:tc>
          <w:tcPr>
            <w:tcW w:w="1988" w:type="dxa"/>
            <w:tcBorders>
              <w:left w:val="nil"/>
              <w:bottom w:val="nil"/>
              <w:right w:val="nil"/>
            </w:tcBorders>
          </w:tcPr>
          <w:p w14:paraId="3AAB4DDB" w14:textId="77777777" w:rsidR="00722A28" w:rsidRPr="00722A28" w:rsidRDefault="00722A28" w:rsidP="00722A28">
            <w:pPr>
              <w:rPr>
                <w:rFonts w:ascii="Times New Roman" w:hAnsi="Times New Roman"/>
                <w:i/>
                <w:sz w:val="24"/>
                <w:szCs w:val="24"/>
              </w:rPr>
            </w:pPr>
            <w:r w:rsidRPr="00722A28">
              <w:rPr>
                <w:rFonts w:ascii="Times New Roman" w:hAnsi="Times New Roman"/>
                <w:i/>
                <w:sz w:val="24"/>
                <w:szCs w:val="24"/>
              </w:rPr>
              <w:t>n</w:t>
            </w:r>
            <w:r w:rsidRPr="00722A28">
              <w:rPr>
                <w:rFonts w:ascii="Times New Roman" w:hAnsi="Times New Roman"/>
                <w:sz w:val="24"/>
                <w:szCs w:val="24"/>
              </w:rPr>
              <w:t xml:space="preserve"> (%)</w:t>
            </w:r>
          </w:p>
        </w:tc>
        <w:tc>
          <w:tcPr>
            <w:tcW w:w="1942" w:type="dxa"/>
            <w:tcBorders>
              <w:left w:val="nil"/>
              <w:bottom w:val="nil"/>
              <w:right w:val="nil"/>
            </w:tcBorders>
          </w:tcPr>
          <w:p w14:paraId="58D6A63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OR (95% CI)</w:t>
            </w:r>
          </w:p>
        </w:tc>
        <w:tc>
          <w:tcPr>
            <w:tcW w:w="1727" w:type="dxa"/>
            <w:tcBorders>
              <w:left w:val="nil"/>
              <w:bottom w:val="nil"/>
              <w:right w:val="nil"/>
            </w:tcBorders>
          </w:tcPr>
          <w:p w14:paraId="3DB2ABA0" w14:textId="77777777" w:rsidR="00722A28" w:rsidRPr="00722A28" w:rsidRDefault="00722A28" w:rsidP="00722A28">
            <w:pPr>
              <w:rPr>
                <w:rFonts w:ascii="Times New Roman" w:hAnsi="Times New Roman"/>
                <w:i/>
                <w:sz w:val="24"/>
                <w:szCs w:val="24"/>
              </w:rPr>
            </w:pPr>
            <w:r w:rsidRPr="00722A28">
              <w:rPr>
                <w:rFonts w:ascii="Times New Roman" w:hAnsi="Times New Roman"/>
                <w:i/>
                <w:sz w:val="24"/>
                <w:szCs w:val="24"/>
              </w:rPr>
              <w:t>n</w:t>
            </w:r>
            <w:r w:rsidRPr="00722A28">
              <w:rPr>
                <w:rFonts w:ascii="Times New Roman" w:hAnsi="Times New Roman"/>
                <w:sz w:val="24"/>
                <w:szCs w:val="24"/>
              </w:rPr>
              <w:t xml:space="preserve"> (%)</w:t>
            </w:r>
          </w:p>
        </w:tc>
        <w:tc>
          <w:tcPr>
            <w:tcW w:w="1563" w:type="dxa"/>
            <w:tcBorders>
              <w:left w:val="nil"/>
              <w:bottom w:val="nil"/>
              <w:right w:val="nil"/>
            </w:tcBorders>
          </w:tcPr>
          <w:p w14:paraId="0A6EDC57" w14:textId="77777777" w:rsidR="00722A28" w:rsidRPr="00722A28" w:rsidRDefault="00722A28" w:rsidP="00722A28">
            <w:pPr>
              <w:rPr>
                <w:rFonts w:ascii="Times New Roman" w:hAnsi="Times New Roman"/>
                <w:i/>
                <w:sz w:val="24"/>
                <w:szCs w:val="24"/>
              </w:rPr>
            </w:pPr>
            <w:r w:rsidRPr="00722A28">
              <w:rPr>
                <w:rFonts w:ascii="Times New Roman" w:hAnsi="Times New Roman"/>
                <w:i/>
                <w:sz w:val="24"/>
                <w:szCs w:val="24"/>
              </w:rPr>
              <w:t>n</w:t>
            </w:r>
            <w:r w:rsidRPr="00722A28">
              <w:rPr>
                <w:rFonts w:ascii="Times New Roman" w:hAnsi="Times New Roman"/>
                <w:sz w:val="24"/>
                <w:szCs w:val="24"/>
              </w:rPr>
              <w:t xml:space="preserve"> (%)</w:t>
            </w:r>
          </w:p>
        </w:tc>
        <w:tc>
          <w:tcPr>
            <w:tcW w:w="1891" w:type="dxa"/>
            <w:tcBorders>
              <w:left w:val="nil"/>
              <w:bottom w:val="nil"/>
              <w:right w:val="nil"/>
            </w:tcBorders>
          </w:tcPr>
          <w:p w14:paraId="5A07A67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OR (95% CI)</w:t>
            </w:r>
          </w:p>
        </w:tc>
      </w:tr>
      <w:tr w:rsidR="00722A28" w:rsidRPr="00722A28" w14:paraId="1097A649" w14:textId="77777777" w:rsidTr="00722A28">
        <w:trPr>
          <w:divId w:val="448934348"/>
        </w:trPr>
        <w:tc>
          <w:tcPr>
            <w:tcW w:w="3029" w:type="dxa"/>
            <w:tcBorders>
              <w:top w:val="nil"/>
              <w:left w:val="nil"/>
              <w:bottom w:val="nil"/>
              <w:right w:val="nil"/>
            </w:tcBorders>
          </w:tcPr>
          <w:p w14:paraId="29B75531"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Gender:</w:t>
            </w:r>
          </w:p>
        </w:tc>
        <w:tc>
          <w:tcPr>
            <w:tcW w:w="1808" w:type="dxa"/>
            <w:tcBorders>
              <w:left w:val="nil"/>
              <w:bottom w:val="nil"/>
              <w:right w:val="nil"/>
            </w:tcBorders>
          </w:tcPr>
          <w:p w14:paraId="794BFA0F" w14:textId="77777777" w:rsidR="00722A28" w:rsidRPr="00722A28" w:rsidRDefault="00722A28" w:rsidP="00722A28">
            <w:pPr>
              <w:rPr>
                <w:rFonts w:ascii="Times New Roman" w:hAnsi="Times New Roman"/>
                <w:i/>
                <w:sz w:val="24"/>
                <w:szCs w:val="24"/>
              </w:rPr>
            </w:pPr>
          </w:p>
        </w:tc>
        <w:tc>
          <w:tcPr>
            <w:tcW w:w="1988" w:type="dxa"/>
            <w:tcBorders>
              <w:left w:val="nil"/>
              <w:bottom w:val="nil"/>
              <w:right w:val="nil"/>
            </w:tcBorders>
          </w:tcPr>
          <w:p w14:paraId="72C519AB" w14:textId="77777777" w:rsidR="00722A28" w:rsidRPr="00722A28" w:rsidRDefault="00722A28" w:rsidP="00722A28">
            <w:pPr>
              <w:rPr>
                <w:rFonts w:ascii="Times New Roman" w:hAnsi="Times New Roman"/>
                <w:i/>
                <w:sz w:val="24"/>
                <w:szCs w:val="24"/>
              </w:rPr>
            </w:pPr>
          </w:p>
        </w:tc>
        <w:tc>
          <w:tcPr>
            <w:tcW w:w="1942" w:type="dxa"/>
            <w:tcBorders>
              <w:left w:val="nil"/>
              <w:bottom w:val="nil"/>
              <w:right w:val="nil"/>
            </w:tcBorders>
          </w:tcPr>
          <w:p w14:paraId="0E7697A8" w14:textId="77777777" w:rsidR="00722A28" w:rsidRPr="00722A28" w:rsidRDefault="00722A28" w:rsidP="00722A28">
            <w:pPr>
              <w:rPr>
                <w:rFonts w:ascii="Times New Roman" w:hAnsi="Times New Roman"/>
                <w:sz w:val="24"/>
                <w:szCs w:val="24"/>
              </w:rPr>
            </w:pPr>
          </w:p>
        </w:tc>
        <w:tc>
          <w:tcPr>
            <w:tcW w:w="1727" w:type="dxa"/>
            <w:tcBorders>
              <w:left w:val="nil"/>
              <w:bottom w:val="nil"/>
              <w:right w:val="nil"/>
            </w:tcBorders>
          </w:tcPr>
          <w:p w14:paraId="76A4B61C" w14:textId="77777777" w:rsidR="00722A28" w:rsidRPr="00722A28" w:rsidRDefault="00722A28" w:rsidP="00722A28">
            <w:pPr>
              <w:rPr>
                <w:rFonts w:ascii="Times New Roman" w:hAnsi="Times New Roman"/>
                <w:i/>
                <w:sz w:val="24"/>
                <w:szCs w:val="24"/>
              </w:rPr>
            </w:pPr>
          </w:p>
        </w:tc>
        <w:tc>
          <w:tcPr>
            <w:tcW w:w="1563" w:type="dxa"/>
            <w:tcBorders>
              <w:left w:val="nil"/>
              <w:bottom w:val="nil"/>
              <w:right w:val="nil"/>
            </w:tcBorders>
          </w:tcPr>
          <w:p w14:paraId="27EB4536" w14:textId="77777777" w:rsidR="00722A28" w:rsidRPr="00722A28" w:rsidRDefault="00722A28" w:rsidP="00722A28">
            <w:pPr>
              <w:rPr>
                <w:rFonts w:ascii="Times New Roman" w:hAnsi="Times New Roman"/>
                <w:i/>
                <w:sz w:val="24"/>
                <w:szCs w:val="24"/>
              </w:rPr>
            </w:pPr>
          </w:p>
        </w:tc>
        <w:tc>
          <w:tcPr>
            <w:tcW w:w="1891" w:type="dxa"/>
            <w:tcBorders>
              <w:left w:val="nil"/>
              <w:bottom w:val="nil"/>
              <w:right w:val="nil"/>
            </w:tcBorders>
          </w:tcPr>
          <w:p w14:paraId="07CAF7F8" w14:textId="77777777" w:rsidR="00722A28" w:rsidRPr="00722A28" w:rsidRDefault="00722A28" w:rsidP="00722A28">
            <w:pPr>
              <w:rPr>
                <w:rFonts w:ascii="Times New Roman" w:hAnsi="Times New Roman"/>
                <w:sz w:val="24"/>
                <w:szCs w:val="24"/>
              </w:rPr>
            </w:pPr>
          </w:p>
        </w:tc>
      </w:tr>
      <w:tr w:rsidR="00722A28" w:rsidRPr="00722A28" w14:paraId="578D9723" w14:textId="77777777" w:rsidTr="00722A28">
        <w:trPr>
          <w:divId w:val="448934348"/>
        </w:trPr>
        <w:tc>
          <w:tcPr>
            <w:tcW w:w="3029" w:type="dxa"/>
            <w:tcBorders>
              <w:top w:val="nil"/>
              <w:left w:val="nil"/>
              <w:bottom w:val="nil"/>
              <w:right w:val="nil"/>
            </w:tcBorders>
          </w:tcPr>
          <w:p w14:paraId="24D2F30C" w14:textId="77777777" w:rsidR="00722A28" w:rsidRPr="00722A28" w:rsidRDefault="00722A28" w:rsidP="00722A28">
            <w:pPr>
              <w:jc w:val="right"/>
              <w:rPr>
                <w:rFonts w:ascii="Times New Roman" w:hAnsi="Times New Roman"/>
                <w:b/>
                <w:sz w:val="24"/>
                <w:szCs w:val="24"/>
              </w:rPr>
            </w:pPr>
            <w:r w:rsidRPr="00722A28">
              <w:rPr>
                <w:rFonts w:ascii="Times New Roman" w:hAnsi="Times New Roman"/>
                <w:sz w:val="24"/>
                <w:szCs w:val="24"/>
              </w:rPr>
              <w:t>Males</w:t>
            </w:r>
            <w:r w:rsidRPr="00722A28">
              <w:rPr>
                <w:rFonts w:ascii="Times New Roman" w:hAnsi="Times New Roman"/>
                <w:b/>
                <w:sz w:val="24"/>
                <w:szCs w:val="24"/>
              </w:rPr>
              <w:t xml:space="preserve"> </w:t>
            </w:r>
          </w:p>
        </w:tc>
        <w:tc>
          <w:tcPr>
            <w:tcW w:w="1808" w:type="dxa"/>
            <w:tcBorders>
              <w:top w:val="nil"/>
              <w:left w:val="nil"/>
              <w:bottom w:val="nil"/>
              <w:right w:val="nil"/>
            </w:tcBorders>
          </w:tcPr>
          <w:p w14:paraId="4BC2D37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1,408 (43.7)</w:t>
            </w:r>
          </w:p>
        </w:tc>
        <w:tc>
          <w:tcPr>
            <w:tcW w:w="1988" w:type="dxa"/>
            <w:tcBorders>
              <w:top w:val="nil"/>
              <w:left w:val="nil"/>
              <w:bottom w:val="nil"/>
              <w:right w:val="nil"/>
            </w:tcBorders>
          </w:tcPr>
          <w:p w14:paraId="0C389B9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3,163 (54.4)</w:t>
            </w:r>
          </w:p>
        </w:tc>
        <w:tc>
          <w:tcPr>
            <w:tcW w:w="1942" w:type="dxa"/>
            <w:tcBorders>
              <w:top w:val="nil"/>
              <w:left w:val="nil"/>
              <w:bottom w:val="nil"/>
              <w:right w:val="nil"/>
            </w:tcBorders>
          </w:tcPr>
          <w:p w14:paraId="72B4906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0.65 (.60, .71)</w:t>
            </w:r>
          </w:p>
        </w:tc>
        <w:tc>
          <w:tcPr>
            <w:tcW w:w="1727" w:type="dxa"/>
            <w:tcBorders>
              <w:top w:val="nil"/>
              <w:left w:val="nil"/>
              <w:bottom w:val="nil"/>
              <w:right w:val="nil"/>
            </w:tcBorders>
          </w:tcPr>
          <w:p w14:paraId="1415400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1,384 (43.7)</w:t>
            </w:r>
          </w:p>
        </w:tc>
        <w:tc>
          <w:tcPr>
            <w:tcW w:w="1563" w:type="dxa"/>
            <w:tcBorders>
              <w:top w:val="nil"/>
              <w:left w:val="nil"/>
              <w:bottom w:val="nil"/>
              <w:right w:val="nil"/>
            </w:tcBorders>
          </w:tcPr>
          <w:p w14:paraId="0E46EAD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3,187 (54.4)</w:t>
            </w:r>
          </w:p>
        </w:tc>
        <w:tc>
          <w:tcPr>
            <w:tcW w:w="1891" w:type="dxa"/>
            <w:tcBorders>
              <w:top w:val="nil"/>
              <w:left w:val="nil"/>
              <w:bottom w:val="nil"/>
              <w:right w:val="nil"/>
            </w:tcBorders>
          </w:tcPr>
          <w:p w14:paraId="51AC3C2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0.65 (.60, .71)</w:t>
            </w:r>
          </w:p>
        </w:tc>
      </w:tr>
      <w:tr w:rsidR="00722A28" w:rsidRPr="00722A28" w14:paraId="6E57F00A" w14:textId="77777777" w:rsidTr="00722A28">
        <w:trPr>
          <w:divId w:val="448934348"/>
        </w:trPr>
        <w:tc>
          <w:tcPr>
            <w:tcW w:w="3029" w:type="dxa"/>
            <w:tcBorders>
              <w:top w:val="nil"/>
              <w:left w:val="nil"/>
              <w:bottom w:val="nil"/>
              <w:right w:val="nil"/>
            </w:tcBorders>
          </w:tcPr>
          <w:p w14:paraId="6DEBFF2A"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Income:</w:t>
            </w:r>
          </w:p>
        </w:tc>
        <w:tc>
          <w:tcPr>
            <w:tcW w:w="1808" w:type="dxa"/>
            <w:tcBorders>
              <w:top w:val="nil"/>
              <w:left w:val="nil"/>
              <w:bottom w:val="nil"/>
              <w:right w:val="nil"/>
            </w:tcBorders>
          </w:tcPr>
          <w:p w14:paraId="11A8EC37"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187ABA7F"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37515CAD"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475D17B6" w14:textId="77777777" w:rsidR="00722A28" w:rsidRPr="00722A28" w:rsidRDefault="00722A28" w:rsidP="00722A28">
            <w:pPr>
              <w:rPr>
                <w:rFonts w:ascii="Times New Roman" w:hAnsi="Times New Roman"/>
                <w:sz w:val="24"/>
                <w:szCs w:val="24"/>
              </w:rPr>
            </w:pPr>
          </w:p>
        </w:tc>
        <w:tc>
          <w:tcPr>
            <w:tcW w:w="1563" w:type="dxa"/>
            <w:tcBorders>
              <w:top w:val="nil"/>
              <w:left w:val="nil"/>
              <w:bottom w:val="nil"/>
              <w:right w:val="nil"/>
            </w:tcBorders>
          </w:tcPr>
          <w:p w14:paraId="59638A2A"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5AB8606C" w14:textId="77777777" w:rsidR="00722A28" w:rsidRPr="00722A28" w:rsidRDefault="00722A28" w:rsidP="00722A28">
            <w:pPr>
              <w:rPr>
                <w:rFonts w:ascii="Times New Roman" w:hAnsi="Times New Roman"/>
                <w:sz w:val="24"/>
                <w:szCs w:val="24"/>
              </w:rPr>
            </w:pPr>
          </w:p>
        </w:tc>
      </w:tr>
      <w:tr w:rsidR="00722A28" w:rsidRPr="00722A28" w14:paraId="296B9CBA" w14:textId="77777777" w:rsidTr="00722A28">
        <w:trPr>
          <w:divId w:val="448934348"/>
        </w:trPr>
        <w:tc>
          <w:tcPr>
            <w:tcW w:w="3029" w:type="dxa"/>
            <w:tcBorders>
              <w:top w:val="nil"/>
              <w:left w:val="nil"/>
              <w:bottom w:val="nil"/>
              <w:right w:val="nil"/>
            </w:tcBorders>
          </w:tcPr>
          <w:p w14:paraId="3EA0A38C"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Low 20%</w:t>
            </w:r>
          </w:p>
        </w:tc>
        <w:tc>
          <w:tcPr>
            <w:tcW w:w="1808" w:type="dxa"/>
            <w:tcBorders>
              <w:top w:val="nil"/>
              <w:left w:val="nil"/>
              <w:bottom w:val="nil"/>
              <w:right w:val="nil"/>
            </w:tcBorders>
          </w:tcPr>
          <w:p w14:paraId="33AF0BB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351 (12.3)</w:t>
            </w:r>
          </w:p>
        </w:tc>
        <w:tc>
          <w:tcPr>
            <w:tcW w:w="1988" w:type="dxa"/>
            <w:tcBorders>
              <w:top w:val="nil"/>
              <w:left w:val="nil"/>
              <w:bottom w:val="nil"/>
              <w:right w:val="nil"/>
            </w:tcBorders>
          </w:tcPr>
          <w:p w14:paraId="5D60A3B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933 (21.8)</w:t>
            </w:r>
          </w:p>
        </w:tc>
        <w:tc>
          <w:tcPr>
            <w:tcW w:w="1942" w:type="dxa"/>
            <w:tcBorders>
              <w:top w:val="nil"/>
              <w:left w:val="nil"/>
              <w:bottom w:val="nil"/>
              <w:right w:val="nil"/>
            </w:tcBorders>
          </w:tcPr>
          <w:p w14:paraId="5F74E36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c>
          <w:tcPr>
            <w:tcW w:w="1727" w:type="dxa"/>
            <w:tcBorders>
              <w:top w:val="nil"/>
              <w:left w:val="nil"/>
              <w:bottom w:val="nil"/>
              <w:right w:val="nil"/>
            </w:tcBorders>
          </w:tcPr>
          <w:p w14:paraId="22454E1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349 (12.4)</w:t>
            </w:r>
          </w:p>
        </w:tc>
        <w:tc>
          <w:tcPr>
            <w:tcW w:w="1563" w:type="dxa"/>
            <w:tcBorders>
              <w:top w:val="nil"/>
              <w:left w:val="nil"/>
              <w:bottom w:val="nil"/>
              <w:right w:val="nil"/>
            </w:tcBorders>
          </w:tcPr>
          <w:p w14:paraId="57D1E0D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935 (21.6)</w:t>
            </w:r>
          </w:p>
        </w:tc>
        <w:tc>
          <w:tcPr>
            <w:tcW w:w="1891" w:type="dxa"/>
            <w:tcBorders>
              <w:top w:val="nil"/>
              <w:left w:val="nil"/>
              <w:bottom w:val="nil"/>
              <w:right w:val="nil"/>
            </w:tcBorders>
          </w:tcPr>
          <w:p w14:paraId="29AB3DB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r>
      <w:tr w:rsidR="00722A28" w:rsidRPr="00722A28" w14:paraId="713F40AE" w14:textId="77777777" w:rsidTr="00722A28">
        <w:trPr>
          <w:divId w:val="448934348"/>
        </w:trPr>
        <w:tc>
          <w:tcPr>
            <w:tcW w:w="3029" w:type="dxa"/>
            <w:tcBorders>
              <w:top w:val="nil"/>
              <w:left w:val="nil"/>
              <w:bottom w:val="nil"/>
              <w:right w:val="nil"/>
            </w:tcBorders>
          </w:tcPr>
          <w:p w14:paraId="20686017"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40%</w:t>
            </w:r>
          </w:p>
        </w:tc>
        <w:tc>
          <w:tcPr>
            <w:tcW w:w="1808" w:type="dxa"/>
            <w:tcBorders>
              <w:top w:val="nil"/>
              <w:left w:val="nil"/>
              <w:bottom w:val="nil"/>
              <w:right w:val="nil"/>
            </w:tcBorders>
          </w:tcPr>
          <w:p w14:paraId="5F3B27F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512 (17.9)</w:t>
            </w:r>
          </w:p>
        </w:tc>
        <w:tc>
          <w:tcPr>
            <w:tcW w:w="1988" w:type="dxa"/>
            <w:tcBorders>
              <w:top w:val="nil"/>
              <w:left w:val="nil"/>
              <w:bottom w:val="nil"/>
              <w:right w:val="nil"/>
            </w:tcBorders>
          </w:tcPr>
          <w:p w14:paraId="7B7A531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884 (20.6)</w:t>
            </w:r>
          </w:p>
        </w:tc>
        <w:tc>
          <w:tcPr>
            <w:tcW w:w="1942" w:type="dxa"/>
            <w:tcBorders>
              <w:top w:val="nil"/>
              <w:left w:val="nil"/>
              <w:bottom w:val="nil"/>
              <w:right w:val="nil"/>
            </w:tcBorders>
          </w:tcPr>
          <w:p w14:paraId="1ED2004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0.65 (.55, .77)</w:t>
            </w:r>
          </w:p>
        </w:tc>
        <w:tc>
          <w:tcPr>
            <w:tcW w:w="1727" w:type="dxa"/>
            <w:tcBorders>
              <w:top w:val="nil"/>
              <w:left w:val="nil"/>
              <w:bottom w:val="nil"/>
              <w:right w:val="nil"/>
            </w:tcBorders>
          </w:tcPr>
          <w:p w14:paraId="79609D4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506 (17.9)</w:t>
            </w:r>
          </w:p>
        </w:tc>
        <w:tc>
          <w:tcPr>
            <w:tcW w:w="1563" w:type="dxa"/>
            <w:tcBorders>
              <w:top w:val="nil"/>
              <w:left w:val="nil"/>
              <w:bottom w:val="nil"/>
              <w:right w:val="nil"/>
            </w:tcBorders>
          </w:tcPr>
          <w:p w14:paraId="0A7F44B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890 (20.6)</w:t>
            </w:r>
          </w:p>
        </w:tc>
        <w:tc>
          <w:tcPr>
            <w:tcW w:w="1891" w:type="dxa"/>
            <w:tcBorders>
              <w:top w:val="nil"/>
              <w:left w:val="nil"/>
              <w:bottom w:val="nil"/>
              <w:right w:val="nil"/>
            </w:tcBorders>
          </w:tcPr>
          <w:p w14:paraId="4F7C5E6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0.65 (.56, .77)</w:t>
            </w:r>
          </w:p>
        </w:tc>
      </w:tr>
      <w:tr w:rsidR="00722A28" w:rsidRPr="00722A28" w14:paraId="79761A04" w14:textId="77777777" w:rsidTr="00722A28">
        <w:trPr>
          <w:divId w:val="448934348"/>
        </w:trPr>
        <w:tc>
          <w:tcPr>
            <w:tcW w:w="3029" w:type="dxa"/>
            <w:tcBorders>
              <w:top w:val="nil"/>
              <w:left w:val="nil"/>
              <w:bottom w:val="nil"/>
              <w:right w:val="nil"/>
            </w:tcBorders>
          </w:tcPr>
          <w:p w14:paraId="22A13F2F"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60%</w:t>
            </w:r>
          </w:p>
        </w:tc>
        <w:tc>
          <w:tcPr>
            <w:tcW w:w="1808" w:type="dxa"/>
            <w:tcBorders>
              <w:top w:val="nil"/>
              <w:left w:val="nil"/>
              <w:bottom w:val="nil"/>
              <w:right w:val="nil"/>
            </w:tcBorders>
          </w:tcPr>
          <w:p w14:paraId="1F01BE2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559 (19.5)</w:t>
            </w:r>
          </w:p>
        </w:tc>
        <w:tc>
          <w:tcPr>
            <w:tcW w:w="1988" w:type="dxa"/>
            <w:tcBorders>
              <w:top w:val="nil"/>
              <w:left w:val="nil"/>
              <w:bottom w:val="nil"/>
              <w:right w:val="nil"/>
            </w:tcBorders>
          </w:tcPr>
          <w:p w14:paraId="20E97E7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836 (19.5)</w:t>
            </w:r>
          </w:p>
        </w:tc>
        <w:tc>
          <w:tcPr>
            <w:tcW w:w="1942" w:type="dxa"/>
            <w:tcBorders>
              <w:top w:val="nil"/>
              <w:left w:val="nil"/>
              <w:bottom w:val="nil"/>
              <w:right w:val="nil"/>
            </w:tcBorders>
          </w:tcPr>
          <w:p w14:paraId="38A67FD1"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0.56 (.48, .66)</w:t>
            </w:r>
          </w:p>
        </w:tc>
        <w:tc>
          <w:tcPr>
            <w:tcW w:w="1727" w:type="dxa"/>
            <w:tcBorders>
              <w:top w:val="nil"/>
              <w:left w:val="nil"/>
              <w:bottom w:val="nil"/>
              <w:right w:val="nil"/>
            </w:tcBorders>
          </w:tcPr>
          <w:p w14:paraId="668238C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553 (19.6)</w:t>
            </w:r>
          </w:p>
        </w:tc>
        <w:tc>
          <w:tcPr>
            <w:tcW w:w="1563" w:type="dxa"/>
            <w:tcBorders>
              <w:top w:val="nil"/>
              <w:left w:val="nil"/>
              <w:bottom w:val="nil"/>
              <w:right w:val="nil"/>
            </w:tcBorders>
          </w:tcPr>
          <w:p w14:paraId="2CCA4CC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842 (19.5)</w:t>
            </w:r>
          </w:p>
        </w:tc>
        <w:tc>
          <w:tcPr>
            <w:tcW w:w="1891" w:type="dxa"/>
            <w:tcBorders>
              <w:top w:val="nil"/>
              <w:left w:val="nil"/>
              <w:bottom w:val="nil"/>
              <w:right w:val="nil"/>
            </w:tcBorders>
          </w:tcPr>
          <w:p w14:paraId="67EFE6C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0.57 (.48, .67)</w:t>
            </w:r>
          </w:p>
        </w:tc>
      </w:tr>
      <w:tr w:rsidR="00722A28" w:rsidRPr="00722A28" w14:paraId="6016B007" w14:textId="77777777" w:rsidTr="00722A28">
        <w:trPr>
          <w:divId w:val="448934348"/>
        </w:trPr>
        <w:tc>
          <w:tcPr>
            <w:tcW w:w="3029" w:type="dxa"/>
            <w:tcBorders>
              <w:top w:val="nil"/>
              <w:left w:val="nil"/>
              <w:bottom w:val="nil"/>
              <w:right w:val="nil"/>
            </w:tcBorders>
          </w:tcPr>
          <w:p w14:paraId="42D0F999"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80%</w:t>
            </w:r>
          </w:p>
        </w:tc>
        <w:tc>
          <w:tcPr>
            <w:tcW w:w="1808" w:type="dxa"/>
            <w:tcBorders>
              <w:top w:val="nil"/>
              <w:left w:val="nil"/>
              <w:bottom w:val="nil"/>
              <w:right w:val="nil"/>
            </w:tcBorders>
          </w:tcPr>
          <w:p w14:paraId="66043D0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679 (23.7)</w:t>
            </w:r>
          </w:p>
        </w:tc>
        <w:tc>
          <w:tcPr>
            <w:tcW w:w="1988" w:type="dxa"/>
            <w:tcBorders>
              <w:top w:val="nil"/>
              <w:left w:val="nil"/>
              <w:bottom w:val="nil"/>
              <w:right w:val="nil"/>
            </w:tcBorders>
          </w:tcPr>
          <w:p w14:paraId="4BA5CBD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834 (19.5)</w:t>
            </w:r>
          </w:p>
        </w:tc>
        <w:tc>
          <w:tcPr>
            <w:tcW w:w="1942" w:type="dxa"/>
            <w:tcBorders>
              <w:top w:val="nil"/>
              <w:left w:val="nil"/>
              <w:bottom w:val="nil"/>
              <w:right w:val="nil"/>
            </w:tcBorders>
          </w:tcPr>
          <w:p w14:paraId="328B08C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0.46 (.39, .54)</w:t>
            </w:r>
          </w:p>
        </w:tc>
        <w:tc>
          <w:tcPr>
            <w:tcW w:w="1727" w:type="dxa"/>
            <w:tcBorders>
              <w:top w:val="nil"/>
              <w:left w:val="nil"/>
              <w:bottom w:val="nil"/>
              <w:right w:val="nil"/>
            </w:tcBorders>
          </w:tcPr>
          <w:p w14:paraId="1ADD4B56"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665 (23.5)</w:t>
            </w:r>
          </w:p>
        </w:tc>
        <w:tc>
          <w:tcPr>
            <w:tcW w:w="1563" w:type="dxa"/>
            <w:tcBorders>
              <w:top w:val="nil"/>
              <w:left w:val="nil"/>
              <w:bottom w:val="nil"/>
              <w:right w:val="nil"/>
            </w:tcBorders>
          </w:tcPr>
          <w:p w14:paraId="369FD1D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848 (19.6)</w:t>
            </w:r>
          </w:p>
        </w:tc>
        <w:tc>
          <w:tcPr>
            <w:tcW w:w="1891" w:type="dxa"/>
            <w:tcBorders>
              <w:top w:val="nil"/>
              <w:left w:val="nil"/>
              <w:bottom w:val="nil"/>
              <w:right w:val="nil"/>
            </w:tcBorders>
          </w:tcPr>
          <w:p w14:paraId="2C414C3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0.47 (.41, .56)</w:t>
            </w:r>
          </w:p>
        </w:tc>
      </w:tr>
      <w:tr w:rsidR="00722A28" w:rsidRPr="00722A28" w14:paraId="6765B53C" w14:textId="77777777" w:rsidTr="00722A28">
        <w:trPr>
          <w:divId w:val="448934348"/>
        </w:trPr>
        <w:tc>
          <w:tcPr>
            <w:tcW w:w="3029" w:type="dxa"/>
            <w:tcBorders>
              <w:top w:val="nil"/>
              <w:left w:val="nil"/>
              <w:bottom w:val="nil"/>
              <w:right w:val="nil"/>
            </w:tcBorders>
          </w:tcPr>
          <w:p w14:paraId="616BDDA6"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Highest %</w:t>
            </w:r>
          </w:p>
        </w:tc>
        <w:tc>
          <w:tcPr>
            <w:tcW w:w="1808" w:type="dxa"/>
            <w:tcBorders>
              <w:top w:val="nil"/>
              <w:left w:val="nil"/>
              <w:bottom w:val="nil"/>
              <w:right w:val="nil"/>
            </w:tcBorders>
          </w:tcPr>
          <w:p w14:paraId="022312B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764 (26.7)</w:t>
            </w:r>
          </w:p>
        </w:tc>
        <w:tc>
          <w:tcPr>
            <w:tcW w:w="1988" w:type="dxa"/>
            <w:tcBorders>
              <w:top w:val="nil"/>
              <w:left w:val="nil"/>
              <w:bottom w:val="nil"/>
              <w:right w:val="nil"/>
            </w:tcBorders>
          </w:tcPr>
          <w:p w14:paraId="1692593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798 (18.6)</w:t>
            </w:r>
          </w:p>
        </w:tc>
        <w:tc>
          <w:tcPr>
            <w:tcW w:w="1942" w:type="dxa"/>
            <w:tcBorders>
              <w:top w:val="nil"/>
              <w:left w:val="nil"/>
              <w:bottom w:val="nil"/>
              <w:right w:val="nil"/>
            </w:tcBorders>
          </w:tcPr>
          <w:p w14:paraId="07755F3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0.39 (.34, .46)</w:t>
            </w:r>
          </w:p>
        </w:tc>
        <w:tc>
          <w:tcPr>
            <w:tcW w:w="1727" w:type="dxa"/>
            <w:tcBorders>
              <w:top w:val="nil"/>
              <w:left w:val="nil"/>
              <w:bottom w:val="nil"/>
              <w:right w:val="nil"/>
            </w:tcBorders>
          </w:tcPr>
          <w:p w14:paraId="3CD1748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752 (26.6)</w:t>
            </w:r>
          </w:p>
        </w:tc>
        <w:tc>
          <w:tcPr>
            <w:tcW w:w="1563" w:type="dxa"/>
            <w:tcBorders>
              <w:top w:val="nil"/>
              <w:left w:val="nil"/>
              <w:bottom w:val="nil"/>
              <w:right w:val="nil"/>
            </w:tcBorders>
          </w:tcPr>
          <w:p w14:paraId="4A6F37F4"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810 (18.7)</w:t>
            </w:r>
          </w:p>
        </w:tc>
        <w:tc>
          <w:tcPr>
            <w:tcW w:w="1891" w:type="dxa"/>
            <w:tcBorders>
              <w:top w:val="nil"/>
              <w:left w:val="nil"/>
              <w:bottom w:val="nil"/>
              <w:right w:val="nil"/>
            </w:tcBorders>
          </w:tcPr>
          <w:p w14:paraId="27C2633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0.40 (.34, .47)</w:t>
            </w:r>
          </w:p>
        </w:tc>
      </w:tr>
      <w:tr w:rsidR="00722A28" w:rsidRPr="00722A28" w14:paraId="23E271ED" w14:textId="77777777" w:rsidTr="00722A28">
        <w:trPr>
          <w:divId w:val="448934348"/>
        </w:trPr>
        <w:tc>
          <w:tcPr>
            <w:tcW w:w="3029" w:type="dxa"/>
            <w:tcBorders>
              <w:top w:val="nil"/>
              <w:left w:val="nil"/>
              <w:bottom w:val="nil"/>
              <w:right w:val="nil"/>
            </w:tcBorders>
          </w:tcPr>
          <w:p w14:paraId="43E6A0BA" w14:textId="77777777" w:rsidR="00722A28" w:rsidRPr="00722A28" w:rsidRDefault="00722A28" w:rsidP="00722A28">
            <w:pPr>
              <w:rPr>
                <w:rFonts w:ascii="Times New Roman" w:hAnsi="Times New Roman"/>
                <w:sz w:val="24"/>
                <w:szCs w:val="24"/>
              </w:rPr>
            </w:pPr>
            <w:r w:rsidRPr="00722A28">
              <w:rPr>
                <w:rFonts w:ascii="Times New Roman" w:hAnsi="Times New Roman"/>
                <w:b/>
                <w:sz w:val="24"/>
                <w:szCs w:val="24"/>
              </w:rPr>
              <w:t>Maternal education:</w:t>
            </w:r>
          </w:p>
        </w:tc>
        <w:tc>
          <w:tcPr>
            <w:tcW w:w="1808" w:type="dxa"/>
            <w:tcBorders>
              <w:top w:val="nil"/>
              <w:left w:val="nil"/>
              <w:bottom w:val="nil"/>
              <w:right w:val="nil"/>
            </w:tcBorders>
          </w:tcPr>
          <w:p w14:paraId="01B0E8EC"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7AE4680B"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277864B0"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50BB73B3" w14:textId="77777777" w:rsidR="00722A28" w:rsidRPr="00722A28" w:rsidRDefault="00722A28" w:rsidP="00722A28">
            <w:pPr>
              <w:rPr>
                <w:rFonts w:ascii="Times New Roman" w:hAnsi="Times New Roman"/>
                <w:sz w:val="24"/>
                <w:szCs w:val="24"/>
              </w:rPr>
            </w:pPr>
          </w:p>
        </w:tc>
        <w:tc>
          <w:tcPr>
            <w:tcW w:w="1563" w:type="dxa"/>
            <w:tcBorders>
              <w:top w:val="nil"/>
              <w:left w:val="nil"/>
              <w:bottom w:val="nil"/>
              <w:right w:val="nil"/>
            </w:tcBorders>
          </w:tcPr>
          <w:p w14:paraId="425289F8"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7383D72B" w14:textId="77777777" w:rsidR="00722A28" w:rsidRPr="00722A28" w:rsidRDefault="00722A28" w:rsidP="00722A28">
            <w:pPr>
              <w:rPr>
                <w:rFonts w:ascii="Times New Roman" w:hAnsi="Times New Roman"/>
                <w:sz w:val="24"/>
                <w:szCs w:val="24"/>
              </w:rPr>
            </w:pPr>
          </w:p>
        </w:tc>
      </w:tr>
      <w:tr w:rsidR="00722A28" w:rsidRPr="00722A28" w14:paraId="7E6C1BC6" w14:textId="77777777" w:rsidTr="00722A28">
        <w:trPr>
          <w:divId w:val="448934348"/>
        </w:trPr>
        <w:tc>
          <w:tcPr>
            <w:tcW w:w="3029" w:type="dxa"/>
            <w:tcBorders>
              <w:top w:val="nil"/>
              <w:left w:val="nil"/>
              <w:bottom w:val="nil"/>
              <w:right w:val="nil"/>
            </w:tcBorders>
          </w:tcPr>
          <w:p w14:paraId="41395AC1"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&lt;O level</w:t>
            </w:r>
          </w:p>
        </w:tc>
        <w:tc>
          <w:tcPr>
            <w:tcW w:w="1808" w:type="dxa"/>
            <w:tcBorders>
              <w:top w:val="nil"/>
              <w:left w:val="nil"/>
              <w:bottom w:val="nil"/>
              <w:right w:val="nil"/>
            </w:tcBorders>
          </w:tcPr>
          <w:p w14:paraId="505B66C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1,567 (50.1)</w:t>
            </w:r>
          </w:p>
        </w:tc>
        <w:tc>
          <w:tcPr>
            <w:tcW w:w="1988" w:type="dxa"/>
            <w:tcBorders>
              <w:top w:val="nil"/>
              <w:left w:val="nil"/>
              <w:bottom w:val="nil"/>
              <w:right w:val="nil"/>
            </w:tcBorders>
          </w:tcPr>
          <w:p w14:paraId="5D835AE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1,726 (33.2)</w:t>
            </w:r>
          </w:p>
        </w:tc>
        <w:tc>
          <w:tcPr>
            <w:tcW w:w="1942" w:type="dxa"/>
            <w:tcBorders>
              <w:top w:val="nil"/>
              <w:left w:val="nil"/>
              <w:bottom w:val="nil"/>
              <w:right w:val="nil"/>
            </w:tcBorders>
          </w:tcPr>
          <w:p w14:paraId="1344267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c>
          <w:tcPr>
            <w:tcW w:w="1727" w:type="dxa"/>
            <w:tcBorders>
              <w:top w:val="nil"/>
              <w:left w:val="nil"/>
              <w:bottom w:val="nil"/>
              <w:right w:val="nil"/>
            </w:tcBorders>
          </w:tcPr>
          <w:p w14:paraId="388574E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1,543 (50.1)</w:t>
            </w:r>
          </w:p>
        </w:tc>
        <w:tc>
          <w:tcPr>
            <w:tcW w:w="1563" w:type="dxa"/>
            <w:tcBorders>
              <w:top w:val="nil"/>
              <w:left w:val="nil"/>
              <w:bottom w:val="nil"/>
              <w:right w:val="nil"/>
            </w:tcBorders>
          </w:tcPr>
          <w:p w14:paraId="72E3C166"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1,750 (33.4)</w:t>
            </w:r>
          </w:p>
        </w:tc>
        <w:tc>
          <w:tcPr>
            <w:tcW w:w="1891" w:type="dxa"/>
            <w:tcBorders>
              <w:top w:val="nil"/>
              <w:left w:val="nil"/>
              <w:bottom w:val="nil"/>
              <w:right w:val="nil"/>
            </w:tcBorders>
          </w:tcPr>
          <w:p w14:paraId="267F585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r>
      <w:tr w:rsidR="00722A28" w:rsidRPr="00722A28" w14:paraId="720AC86C" w14:textId="77777777" w:rsidTr="00722A28">
        <w:trPr>
          <w:divId w:val="448934348"/>
        </w:trPr>
        <w:tc>
          <w:tcPr>
            <w:tcW w:w="3029" w:type="dxa"/>
            <w:tcBorders>
              <w:top w:val="nil"/>
              <w:left w:val="nil"/>
              <w:bottom w:val="nil"/>
              <w:right w:val="nil"/>
            </w:tcBorders>
          </w:tcPr>
          <w:p w14:paraId="147280E8"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O level</w:t>
            </w:r>
          </w:p>
        </w:tc>
        <w:tc>
          <w:tcPr>
            <w:tcW w:w="1808" w:type="dxa"/>
            <w:tcBorders>
              <w:top w:val="nil"/>
              <w:left w:val="nil"/>
              <w:bottom w:val="nil"/>
              <w:right w:val="nil"/>
            </w:tcBorders>
          </w:tcPr>
          <w:p w14:paraId="07C7EF1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1,048 (33.5)</w:t>
            </w:r>
          </w:p>
        </w:tc>
        <w:tc>
          <w:tcPr>
            <w:tcW w:w="1988" w:type="dxa"/>
            <w:tcBorders>
              <w:top w:val="nil"/>
              <w:left w:val="nil"/>
              <w:bottom w:val="nil"/>
              <w:right w:val="nil"/>
            </w:tcBorders>
          </w:tcPr>
          <w:p w14:paraId="1C2B2E2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1,826 (35.1)</w:t>
            </w:r>
          </w:p>
        </w:tc>
        <w:tc>
          <w:tcPr>
            <w:tcW w:w="1942" w:type="dxa"/>
            <w:tcBorders>
              <w:top w:val="nil"/>
              <w:left w:val="nil"/>
              <w:bottom w:val="nil"/>
              <w:right w:val="nil"/>
            </w:tcBorders>
          </w:tcPr>
          <w:p w14:paraId="3F9652E1"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1.58 (1.42, 1.75)</w:t>
            </w:r>
          </w:p>
        </w:tc>
        <w:tc>
          <w:tcPr>
            <w:tcW w:w="1727" w:type="dxa"/>
            <w:tcBorders>
              <w:top w:val="nil"/>
              <w:left w:val="nil"/>
              <w:bottom w:val="nil"/>
              <w:right w:val="nil"/>
            </w:tcBorders>
          </w:tcPr>
          <w:p w14:paraId="04F64AD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1,035 (33.6)</w:t>
            </w:r>
          </w:p>
        </w:tc>
        <w:tc>
          <w:tcPr>
            <w:tcW w:w="1563" w:type="dxa"/>
            <w:tcBorders>
              <w:top w:val="nil"/>
              <w:left w:val="nil"/>
              <w:bottom w:val="nil"/>
              <w:right w:val="nil"/>
            </w:tcBorders>
          </w:tcPr>
          <w:p w14:paraId="77A30B46"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1,839 (35.1)</w:t>
            </w:r>
          </w:p>
        </w:tc>
        <w:tc>
          <w:tcPr>
            <w:tcW w:w="1891" w:type="dxa"/>
            <w:tcBorders>
              <w:top w:val="nil"/>
              <w:left w:val="nil"/>
              <w:bottom w:val="nil"/>
              <w:right w:val="nil"/>
            </w:tcBorders>
          </w:tcPr>
          <w:p w14:paraId="44F47A76"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1.57 (1.41, 1.74)</w:t>
            </w:r>
          </w:p>
        </w:tc>
      </w:tr>
      <w:tr w:rsidR="00722A28" w:rsidRPr="00722A28" w14:paraId="0E3430A3" w14:textId="77777777" w:rsidTr="00722A28">
        <w:trPr>
          <w:divId w:val="448934348"/>
        </w:trPr>
        <w:tc>
          <w:tcPr>
            <w:tcW w:w="3029" w:type="dxa"/>
            <w:tcBorders>
              <w:top w:val="nil"/>
              <w:left w:val="nil"/>
              <w:bottom w:val="nil"/>
              <w:right w:val="nil"/>
            </w:tcBorders>
          </w:tcPr>
          <w:p w14:paraId="22B7C2FC"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&gt;O level</w:t>
            </w:r>
          </w:p>
        </w:tc>
        <w:tc>
          <w:tcPr>
            <w:tcW w:w="1808" w:type="dxa"/>
            <w:tcBorders>
              <w:top w:val="nil"/>
              <w:left w:val="nil"/>
              <w:bottom w:val="nil"/>
              <w:right w:val="nil"/>
            </w:tcBorders>
          </w:tcPr>
          <w:p w14:paraId="7EBFF8D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513 (16.4)</w:t>
            </w:r>
          </w:p>
        </w:tc>
        <w:tc>
          <w:tcPr>
            <w:tcW w:w="1988" w:type="dxa"/>
            <w:tcBorders>
              <w:top w:val="nil"/>
              <w:left w:val="nil"/>
              <w:bottom w:val="nil"/>
              <w:right w:val="nil"/>
            </w:tcBorders>
          </w:tcPr>
          <w:p w14:paraId="25B9376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1,646 (31.7)</w:t>
            </w:r>
          </w:p>
        </w:tc>
        <w:tc>
          <w:tcPr>
            <w:tcW w:w="1942" w:type="dxa"/>
            <w:tcBorders>
              <w:top w:val="nil"/>
              <w:left w:val="nil"/>
              <w:bottom w:val="nil"/>
              <w:right w:val="nil"/>
            </w:tcBorders>
          </w:tcPr>
          <w:p w14:paraId="4D8F3D5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2.91 (2.58, 3.29)</w:t>
            </w:r>
          </w:p>
        </w:tc>
        <w:tc>
          <w:tcPr>
            <w:tcW w:w="1727" w:type="dxa"/>
            <w:tcBorders>
              <w:top w:val="nil"/>
              <w:left w:val="nil"/>
              <w:bottom w:val="nil"/>
              <w:right w:val="nil"/>
            </w:tcBorders>
          </w:tcPr>
          <w:p w14:paraId="0B31F58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505 (16.4)</w:t>
            </w:r>
          </w:p>
        </w:tc>
        <w:tc>
          <w:tcPr>
            <w:tcW w:w="1563" w:type="dxa"/>
            <w:tcBorders>
              <w:top w:val="nil"/>
              <w:left w:val="nil"/>
              <w:bottom w:val="nil"/>
              <w:right w:val="nil"/>
            </w:tcBorders>
          </w:tcPr>
          <w:p w14:paraId="16A5D0C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1,654 (31.6)</w:t>
            </w:r>
          </w:p>
        </w:tc>
        <w:tc>
          <w:tcPr>
            <w:tcW w:w="1891" w:type="dxa"/>
            <w:tcBorders>
              <w:top w:val="nil"/>
              <w:left w:val="nil"/>
              <w:bottom w:val="nil"/>
              <w:right w:val="nil"/>
            </w:tcBorders>
          </w:tcPr>
          <w:p w14:paraId="72464E3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2.89 (2.56, 3.25)</w:t>
            </w:r>
          </w:p>
        </w:tc>
      </w:tr>
      <w:tr w:rsidR="00722A28" w:rsidRPr="00722A28" w14:paraId="0A7DDB0F" w14:textId="77777777" w:rsidTr="00722A28">
        <w:trPr>
          <w:divId w:val="448934348"/>
        </w:trPr>
        <w:tc>
          <w:tcPr>
            <w:tcW w:w="3029" w:type="dxa"/>
            <w:tcBorders>
              <w:top w:val="nil"/>
              <w:left w:val="nil"/>
              <w:bottom w:val="nil"/>
              <w:right w:val="nil"/>
            </w:tcBorders>
          </w:tcPr>
          <w:p w14:paraId="033A92CB" w14:textId="77777777" w:rsidR="00722A28" w:rsidRPr="00722A28" w:rsidRDefault="00722A28" w:rsidP="00722A28">
            <w:pPr>
              <w:rPr>
                <w:rFonts w:ascii="Times New Roman" w:hAnsi="Times New Roman"/>
                <w:sz w:val="24"/>
                <w:szCs w:val="24"/>
              </w:rPr>
            </w:pPr>
            <w:r w:rsidRPr="00722A28">
              <w:rPr>
                <w:rFonts w:ascii="Times New Roman" w:hAnsi="Times New Roman"/>
                <w:b/>
                <w:sz w:val="24"/>
                <w:szCs w:val="24"/>
              </w:rPr>
              <w:t>Social</w:t>
            </w:r>
            <w:r w:rsidRPr="00722A28">
              <w:rPr>
                <w:rFonts w:ascii="Times New Roman" w:hAnsi="Times New Roman"/>
                <w:sz w:val="24"/>
                <w:szCs w:val="24"/>
              </w:rPr>
              <w:t>:</w:t>
            </w:r>
          </w:p>
        </w:tc>
        <w:tc>
          <w:tcPr>
            <w:tcW w:w="1808" w:type="dxa"/>
            <w:tcBorders>
              <w:top w:val="nil"/>
              <w:left w:val="nil"/>
              <w:bottom w:val="nil"/>
              <w:right w:val="nil"/>
            </w:tcBorders>
          </w:tcPr>
          <w:p w14:paraId="791E2459"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146569CA"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119833BE"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1705ACD5" w14:textId="77777777" w:rsidR="00722A28" w:rsidRPr="00722A28" w:rsidRDefault="00722A28" w:rsidP="00722A28">
            <w:pPr>
              <w:rPr>
                <w:rFonts w:ascii="Times New Roman" w:hAnsi="Times New Roman"/>
                <w:sz w:val="24"/>
                <w:szCs w:val="24"/>
              </w:rPr>
            </w:pPr>
          </w:p>
        </w:tc>
        <w:tc>
          <w:tcPr>
            <w:tcW w:w="1563" w:type="dxa"/>
            <w:tcBorders>
              <w:top w:val="nil"/>
              <w:left w:val="nil"/>
              <w:bottom w:val="nil"/>
              <w:right w:val="nil"/>
            </w:tcBorders>
          </w:tcPr>
          <w:p w14:paraId="4FC432AE"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34D92C1B" w14:textId="77777777" w:rsidR="00722A28" w:rsidRPr="00722A28" w:rsidRDefault="00722A28" w:rsidP="00722A28">
            <w:pPr>
              <w:rPr>
                <w:rFonts w:ascii="Times New Roman" w:hAnsi="Times New Roman"/>
                <w:sz w:val="24"/>
                <w:szCs w:val="24"/>
              </w:rPr>
            </w:pPr>
          </w:p>
        </w:tc>
      </w:tr>
      <w:tr w:rsidR="00722A28" w:rsidRPr="00722A28" w14:paraId="6A60BF9D" w14:textId="77777777" w:rsidTr="00722A28">
        <w:trPr>
          <w:divId w:val="448934348"/>
        </w:trPr>
        <w:tc>
          <w:tcPr>
            <w:tcW w:w="3029" w:type="dxa"/>
            <w:tcBorders>
              <w:top w:val="nil"/>
              <w:left w:val="nil"/>
              <w:bottom w:val="nil"/>
              <w:right w:val="nil"/>
            </w:tcBorders>
          </w:tcPr>
          <w:p w14:paraId="19497A5C"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iv-v</w:t>
            </w:r>
          </w:p>
        </w:tc>
        <w:tc>
          <w:tcPr>
            <w:tcW w:w="1808" w:type="dxa"/>
            <w:tcBorders>
              <w:top w:val="nil"/>
              <w:left w:val="nil"/>
              <w:bottom w:val="nil"/>
              <w:right w:val="nil"/>
            </w:tcBorders>
          </w:tcPr>
          <w:p w14:paraId="32E7DFD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102 (3.4)</w:t>
            </w:r>
          </w:p>
        </w:tc>
        <w:tc>
          <w:tcPr>
            <w:tcW w:w="1988" w:type="dxa"/>
            <w:tcBorders>
              <w:top w:val="nil"/>
              <w:left w:val="nil"/>
              <w:bottom w:val="nil"/>
              <w:right w:val="nil"/>
            </w:tcBorders>
          </w:tcPr>
          <w:p w14:paraId="0482C201"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301 (6.3)</w:t>
            </w:r>
          </w:p>
        </w:tc>
        <w:tc>
          <w:tcPr>
            <w:tcW w:w="1942" w:type="dxa"/>
            <w:tcBorders>
              <w:top w:val="nil"/>
              <w:left w:val="nil"/>
              <w:bottom w:val="nil"/>
              <w:right w:val="nil"/>
            </w:tcBorders>
          </w:tcPr>
          <w:p w14:paraId="275948C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c>
          <w:tcPr>
            <w:tcW w:w="1727" w:type="dxa"/>
            <w:tcBorders>
              <w:top w:val="nil"/>
              <w:left w:val="nil"/>
              <w:bottom w:val="nil"/>
              <w:right w:val="nil"/>
            </w:tcBorders>
          </w:tcPr>
          <w:p w14:paraId="2748C3E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102 (3.4)</w:t>
            </w:r>
          </w:p>
        </w:tc>
        <w:tc>
          <w:tcPr>
            <w:tcW w:w="1563" w:type="dxa"/>
            <w:tcBorders>
              <w:top w:val="nil"/>
              <w:left w:val="nil"/>
              <w:bottom w:val="nil"/>
              <w:right w:val="nil"/>
            </w:tcBorders>
          </w:tcPr>
          <w:p w14:paraId="2D90E3D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301 (6.2)</w:t>
            </w:r>
          </w:p>
        </w:tc>
        <w:tc>
          <w:tcPr>
            <w:tcW w:w="1891" w:type="dxa"/>
            <w:tcBorders>
              <w:top w:val="nil"/>
              <w:left w:val="nil"/>
              <w:bottom w:val="nil"/>
              <w:right w:val="nil"/>
            </w:tcBorders>
          </w:tcPr>
          <w:p w14:paraId="2A8278C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r>
      <w:tr w:rsidR="00722A28" w:rsidRPr="00722A28" w14:paraId="31EBA0A1" w14:textId="77777777" w:rsidTr="00722A28">
        <w:trPr>
          <w:divId w:val="448934348"/>
        </w:trPr>
        <w:tc>
          <w:tcPr>
            <w:tcW w:w="3029" w:type="dxa"/>
            <w:tcBorders>
              <w:top w:val="nil"/>
              <w:left w:val="nil"/>
              <w:bottom w:val="nil"/>
              <w:right w:val="nil"/>
            </w:tcBorders>
          </w:tcPr>
          <w:p w14:paraId="1CA3C8E6"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iii</w:t>
            </w:r>
          </w:p>
        </w:tc>
        <w:tc>
          <w:tcPr>
            <w:tcW w:w="1808" w:type="dxa"/>
            <w:tcBorders>
              <w:top w:val="nil"/>
              <w:left w:val="nil"/>
              <w:bottom w:val="nil"/>
              <w:right w:val="nil"/>
            </w:tcBorders>
          </w:tcPr>
          <w:p w14:paraId="525ED16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890 (29.5)</w:t>
            </w:r>
          </w:p>
        </w:tc>
        <w:tc>
          <w:tcPr>
            <w:tcW w:w="1988" w:type="dxa"/>
            <w:tcBorders>
              <w:top w:val="nil"/>
              <w:left w:val="nil"/>
              <w:bottom w:val="nil"/>
              <w:right w:val="nil"/>
            </w:tcBorders>
          </w:tcPr>
          <w:p w14:paraId="1A936E6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1,935 (40.4)</w:t>
            </w:r>
          </w:p>
        </w:tc>
        <w:tc>
          <w:tcPr>
            <w:tcW w:w="1942" w:type="dxa"/>
            <w:tcBorders>
              <w:top w:val="nil"/>
              <w:left w:val="nil"/>
              <w:bottom w:val="nil"/>
              <w:right w:val="nil"/>
            </w:tcBorders>
          </w:tcPr>
          <w:p w14:paraId="25000C9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0.74 (.58, .93)</w:t>
            </w:r>
          </w:p>
        </w:tc>
        <w:tc>
          <w:tcPr>
            <w:tcW w:w="1727" w:type="dxa"/>
            <w:tcBorders>
              <w:top w:val="nil"/>
              <w:left w:val="nil"/>
              <w:bottom w:val="nil"/>
              <w:right w:val="nil"/>
            </w:tcBorders>
          </w:tcPr>
          <w:p w14:paraId="0DEEB64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871 (29.3) </w:t>
            </w:r>
          </w:p>
        </w:tc>
        <w:tc>
          <w:tcPr>
            <w:tcW w:w="1563" w:type="dxa"/>
            <w:tcBorders>
              <w:top w:val="nil"/>
              <w:left w:val="nil"/>
              <w:bottom w:val="nil"/>
              <w:right w:val="nil"/>
            </w:tcBorders>
          </w:tcPr>
          <w:p w14:paraId="19D44E1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1,954 (40.4)</w:t>
            </w:r>
          </w:p>
        </w:tc>
        <w:tc>
          <w:tcPr>
            <w:tcW w:w="1891" w:type="dxa"/>
            <w:tcBorders>
              <w:top w:val="nil"/>
              <w:left w:val="nil"/>
              <w:bottom w:val="nil"/>
              <w:right w:val="nil"/>
            </w:tcBorders>
          </w:tcPr>
          <w:p w14:paraId="00C5737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0.76 (.60, .97)</w:t>
            </w:r>
          </w:p>
        </w:tc>
      </w:tr>
      <w:tr w:rsidR="00722A28" w:rsidRPr="00722A28" w14:paraId="14D03FDC" w14:textId="77777777" w:rsidTr="00722A28">
        <w:trPr>
          <w:divId w:val="448934348"/>
        </w:trPr>
        <w:tc>
          <w:tcPr>
            <w:tcW w:w="3029" w:type="dxa"/>
            <w:tcBorders>
              <w:top w:val="nil"/>
              <w:left w:val="nil"/>
              <w:bottom w:val="nil"/>
              <w:right w:val="nil"/>
            </w:tcBorders>
          </w:tcPr>
          <w:p w14:paraId="377E18C1"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ii</w:t>
            </w:r>
          </w:p>
        </w:tc>
        <w:tc>
          <w:tcPr>
            <w:tcW w:w="1808" w:type="dxa"/>
            <w:tcBorders>
              <w:top w:val="nil"/>
              <w:left w:val="nil"/>
              <w:bottom w:val="nil"/>
              <w:right w:val="nil"/>
            </w:tcBorders>
          </w:tcPr>
          <w:p w14:paraId="7B88886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1,420 (47.1)</w:t>
            </w:r>
          </w:p>
        </w:tc>
        <w:tc>
          <w:tcPr>
            <w:tcW w:w="1988" w:type="dxa"/>
            <w:tcBorders>
              <w:top w:val="nil"/>
              <w:left w:val="nil"/>
              <w:bottom w:val="nil"/>
              <w:right w:val="nil"/>
            </w:tcBorders>
          </w:tcPr>
          <w:p w14:paraId="3FE5C94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1,995 (41.6)</w:t>
            </w:r>
          </w:p>
        </w:tc>
        <w:tc>
          <w:tcPr>
            <w:tcW w:w="1942" w:type="dxa"/>
            <w:tcBorders>
              <w:top w:val="nil"/>
              <w:left w:val="nil"/>
              <w:bottom w:val="nil"/>
              <w:right w:val="nil"/>
            </w:tcBorders>
          </w:tcPr>
          <w:p w14:paraId="6D68B92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0.48 (.38, .60)</w:t>
            </w:r>
          </w:p>
        </w:tc>
        <w:tc>
          <w:tcPr>
            <w:tcW w:w="1727" w:type="dxa"/>
            <w:tcBorders>
              <w:top w:val="nil"/>
              <w:left w:val="nil"/>
              <w:bottom w:val="nil"/>
              <w:right w:val="nil"/>
            </w:tcBorders>
          </w:tcPr>
          <w:p w14:paraId="65933A9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1,403 (47.2)</w:t>
            </w:r>
          </w:p>
        </w:tc>
        <w:tc>
          <w:tcPr>
            <w:tcW w:w="1563" w:type="dxa"/>
            <w:tcBorders>
              <w:top w:val="nil"/>
              <w:left w:val="nil"/>
              <w:bottom w:val="nil"/>
              <w:right w:val="nil"/>
            </w:tcBorders>
          </w:tcPr>
          <w:p w14:paraId="5C3BD32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2.012 (41.6)</w:t>
            </w:r>
          </w:p>
        </w:tc>
        <w:tc>
          <w:tcPr>
            <w:tcW w:w="1891" w:type="dxa"/>
            <w:tcBorders>
              <w:top w:val="nil"/>
              <w:left w:val="nil"/>
              <w:bottom w:val="nil"/>
              <w:right w:val="nil"/>
            </w:tcBorders>
          </w:tcPr>
          <w:p w14:paraId="7E1F60C4"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0.49 (.38, .61)</w:t>
            </w:r>
          </w:p>
        </w:tc>
      </w:tr>
      <w:tr w:rsidR="00722A28" w:rsidRPr="00722A28" w14:paraId="292DDE6F" w14:textId="77777777" w:rsidTr="00722A28">
        <w:trPr>
          <w:divId w:val="448934348"/>
        </w:trPr>
        <w:tc>
          <w:tcPr>
            <w:tcW w:w="3029" w:type="dxa"/>
            <w:tcBorders>
              <w:top w:val="nil"/>
              <w:left w:val="nil"/>
              <w:bottom w:val="nil"/>
              <w:right w:val="nil"/>
            </w:tcBorders>
          </w:tcPr>
          <w:p w14:paraId="142E89C1"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Professional</w:t>
            </w:r>
          </w:p>
        </w:tc>
        <w:tc>
          <w:tcPr>
            <w:tcW w:w="1808" w:type="dxa"/>
            <w:tcBorders>
              <w:top w:val="nil"/>
              <w:left w:val="nil"/>
              <w:bottom w:val="nil"/>
              <w:right w:val="nil"/>
            </w:tcBorders>
          </w:tcPr>
          <w:p w14:paraId="586778B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601 (20.0)</w:t>
            </w:r>
          </w:p>
        </w:tc>
        <w:tc>
          <w:tcPr>
            <w:tcW w:w="1988" w:type="dxa"/>
            <w:tcBorders>
              <w:top w:val="nil"/>
              <w:left w:val="nil"/>
              <w:bottom w:val="nil"/>
              <w:right w:val="nil"/>
            </w:tcBorders>
          </w:tcPr>
          <w:p w14:paraId="149003B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564 (11.8)</w:t>
            </w:r>
          </w:p>
        </w:tc>
        <w:tc>
          <w:tcPr>
            <w:tcW w:w="1942" w:type="dxa"/>
            <w:tcBorders>
              <w:top w:val="nil"/>
              <w:left w:val="nil"/>
              <w:bottom w:val="nil"/>
              <w:right w:val="nil"/>
            </w:tcBorders>
          </w:tcPr>
          <w:p w14:paraId="73EC470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0.31 (.25, .41)</w:t>
            </w:r>
          </w:p>
        </w:tc>
        <w:tc>
          <w:tcPr>
            <w:tcW w:w="1727" w:type="dxa"/>
            <w:tcBorders>
              <w:top w:val="nil"/>
              <w:left w:val="nil"/>
              <w:bottom w:val="nil"/>
              <w:right w:val="nil"/>
            </w:tcBorders>
          </w:tcPr>
          <w:p w14:paraId="4A6D711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596 (20.1)</w:t>
            </w:r>
          </w:p>
        </w:tc>
        <w:tc>
          <w:tcPr>
            <w:tcW w:w="1563" w:type="dxa"/>
            <w:tcBorders>
              <w:top w:val="nil"/>
              <w:left w:val="nil"/>
              <w:bottom w:val="nil"/>
              <w:right w:val="nil"/>
            </w:tcBorders>
          </w:tcPr>
          <w:p w14:paraId="63987D4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569 (11.8)</w:t>
            </w:r>
          </w:p>
        </w:tc>
        <w:tc>
          <w:tcPr>
            <w:tcW w:w="1891" w:type="dxa"/>
            <w:tcBorders>
              <w:top w:val="nil"/>
              <w:left w:val="nil"/>
              <w:bottom w:val="nil"/>
              <w:right w:val="nil"/>
            </w:tcBorders>
          </w:tcPr>
          <w:p w14:paraId="6C0C268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0.32 (.25, .42)</w:t>
            </w:r>
          </w:p>
        </w:tc>
      </w:tr>
      <w:tr w:rsidR="00722A28" w:rsidRPr="00722A28" w14:paraId="203D57F9" w14:textId="77777777" w:rsidTr="00722A28">
        <w:trPr>
          <w:divId w:val="448934348"/>
        </w:trPr>
        <w:tc>
          <w:tcPr>
            <w:tcW w:w="3029" w:type="dxa"/>
            <w:tcBorders>
              <w:top w:val="nil"/>
              <w:left w:val="nil"/>
              <w:bottom w:val="nil"/>
              <w:right w:val="nil"/>
            </w:tcBorders>
          </w:tcPr>
          <w:p w14:paraId="5FBB0B62" w14:textId="77777777" w:rsidR="00722A28" w:rsidRPr="00722A28" w:rsidRDefault="00722A28" w:rsidP="00722A28">
            <w:pPr>
              <w:rPr>
                <w:rFonts w:ascii="Times New Roman" w:hAnsi="Times New Roman"/>
                <w:sz w:val="24"/>
                <w:szCs w:val="24"/>
              </w:rPr>
            </w:pPr>
            <w:r w:rsidRPr="00722A28">
              <w:rPr>
                <w:rFonts w:ascii="Times New Roman" w:hAnsi="Times New Roman"/>
                <w:b/>
                <w:sz w:val="24"/>
                <w:szCs w:val="24"/>
              </w:rPr>
              <w:t>Parity:</w:t>
            </w:r>
            <w:r w:rsidRPr="00722A28">
              <w:rPr>
                <w:rFonts w:ascii="Times New Roman" w:hAnsi="Times New Roman"/>
                <w:sz w:val="24"/>
                <w:szCs w:val="24"/>
              </w:rPr>
              <w:t xml:space="preserve"> </w:t>
            </w:r>
          </w:p>
        </w:tc>
        <w:tc>
          <w:tcPr>
            <w:tcW w:w="1808" w:type="dxa"/>
            <w:tcBorders>
              <w:top w:val="nil"/>
              <w:left w:val="nil"/>
              <w:bottom w:val="nil"/>
              <w:right w:val="nil"/>
            </w:tcBorders>
          </w:tcPr>
          <w:p w14:paraId="25B09E3F"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03B3A318" w14:textId="77777777" w:rsidR="00722A28" w:rsidRPr="00722A28" w:rsidRDefault="00722A28" w:rsidP="00722A28">
            <w:pPr>
              <w:jc w:val="both"/>
              <w:rPr>
                <w:rFonts w:ascii="Times New Roman" w:hAnsi="Times New Roman"/>
                <w:sz w:val="24"/>
                <w:szCs w:val="24"/>
              </w:rPr>
            </w:pPr>
          </w:p>
        </w:tc>
        <w:tc>
          <w:tcPr>
            <w:tcW w:w="1942" w:type="dxa"/>
            <w:tcBorders>
              <w:top w:val="nil"/>
              <w:left w:val="nil"/>
              <w:bottom w:val="nil"/>
              <w:right w:val="nil"/>
            </w:tcBorders>
          </w:tcPr>
          <w:p w14:paraId="1D8478C8"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7E1A58CF" w14:textId="77777777" w:rsidR="00722A28" w:rsidRPr="00722A28" w:rsidRDefault="00722A28" w:rsidP="00722A28">
            <w:pPr>
              <w:rPr>
                <w:rFonts w:ascii="Times New Roman" w:hAnsi="Times New Roman"/>
                <w:sz w:val="24"/>
                <w:szCs w:val="24"/>
              </w:rPr>
            </w:pPr>
          </w:p>
        </w:tc>
        <w:tc>
          <w:tcPr>
            <w:tcW w:w="1563" w:type="dxa"/>
            <w:tcBorders>
              <w:top w:val="nil"/>
              <w:left w:val="nil"/>
              <w:bottom w:val="nil"/>
              <w:right w:val="nil"/>
            </w:tcBorders>
          </w:tcPr>
          <w:p w14:paraId="53CDFA54"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20094F8B" w14:textId="77777777" w:rsidR="00722A28" w:rsidRPr="00722A28" w:rsidRDefault="00722A28" w:rsidP="00722A28">
            <w:pPr>
              <w:rPr>
                <w:rFonts w:ascii="Times New Roman" w:hAnsi="Times New Roman"/>
                <w:sz w:val="24"/>
                <w:szCs w:val="24"/>
              </w:rPr>
            </w:pPr>
          </w:p>
        </w:tc>
      </w:tr>
      <w:tr w:rsidR="00722A28" w:rsidRPr="00722A28" w14:paraId="60F30E05" w14:textId="77777777" w:rsidTr="00722A28">
        <w:trPr>
          <w:divId w:val="448934348"/>
        </w:trPr>
        <w:tc>
          <w:tcPr>
            <w:tcW w:w="3029" w:type="dxa"/>
            <w:tcBorders>
              <w:top w:val="nil"/>
              <w:left w:val="nil"/>
              <w:bottom w:val="nil"/>
              <w:right w:val="nil"/>
            </w:tcBorders>
          </w:tcPr>
          <w:p w14:paraId="6C64A214"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First</w:t>
            </w:r>
          </w:p>
        </w:tc>
        <w:tc>
          <w:tcPr>
            <w:tcW w:w="1808" w:type="dxa"/>
            <w:tcBorders>
              <w:top w:val="nil"/>
              <w:left w:val="nil"/>
              <w:bottom w:val="nil"/>
              <w:right w:val="nil"/>
            </w:tcBorders>
          </w:tcPr>
          <w:p w14:paraId="6BAAC31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1,518 (48.5)</w:t>
            </w:r>
          </w:p>
        </w:tc>
        <w:tc>
          <w:tcPr>
            <w:tcW w:w="1988" w:type="dxa"/>
            <w:tcBorders>
              <w:top w:val="nil"/>
              <w:left w:val="nil"/>
              <w:bottom w:val="nil"/>
              <w:right w:val="nil"/>
            </w:tcBorders>
          </w:tcPr>
          <w:p w14:paraId="110A28F0" w14:textId="77777777" w:rsidR="00722A28" w:rsidRPr="00722A28" w:rsidRDefault="00722A28" w:rsidP="00722A28">
            <w:pPr>
              <w:jc w:val="both"/>
              <w:rPr>
                <w:rFonts w:ascii="Times New Roman" w:hAnsi="Times New Roman"/>
                <w:sz w:val="24"/>
                <w:szCs w:val="24"/>
              </w:rPr>
            </w:pPr>
            <w:r w:rsidRPr="00722A28">
              <w:rPr>
                <w:rFonts w:ascii="Times New Roman" w:hAnsi="Times New Roman"/>
                <w:sz w:val="24"/>
                <w:szCs w:val="24"/>
              </w:rPr>
              <w:t>2,339 (43.4)</w:t>
            </w:r>
          </w:p>
        </w:tc>
        <w:tc>
          <w:tcPr>
            <w:tcW w:w="1942" w:type="dxa"/>
            <w:tcBorders>
              <w:top w:val="nil"/>
              <w:left w:val="nil"/>
              <w:bottom w:val="nil"/>
              <w:right w:val="nil"/>
            </w:tcBorders>
          </w:tcPr>
          <w:p w14:paraId="4DD136D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c>
          <w:tcPr>
            <w:tcW w:w="1727" w:type="dxa"/>
            <w:tcBorders>
              <w:top w:val="nil"/>
              <w:left w:val="nil"/>
              <w:bottom w:val="nil"/>
              <w:right w:val="nil"/>
            </w:tcBorders>
          </w:tcPr>
          <w:p w14:paraId="6E326E2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1,496 (48.5)</w:t>
            </w:r>
          </w:p>
        </w:tc>
        <w:tc>
          <w:tcPr>
            <w:tcW w:w="1563" w:type="dxa"/>
            <w:tcBorders>
              <w:top w:val="nil"/>
              <w:left w:val="nil"/>
              <w:bottom w:val="nil"/>
              <w:right w:val="nil"/>
            </w:tcBorders>
          </w:tcPr>
          <w:p w14:paraId="1FBA003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2,361 (43.4)</w:t>
            </w:r>
          </w:p>
        </w:tc>
        <w:tc>
          <w:tcPr>
            <w:tcW w:w="1891" w:type="dxa"/>
            <w:tcBorders>
              <w:top w:val="nil"/>
              <w:left w:val="nil"/>
              <w:bottom w:val="nil"/>
              <w:right w:val="nil"/>
            </w:tcBorders>
          </w:tcPr>
          <w:p w14:paraId="3DA7945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r>
      <w:tr w:rsidR="00722A28" w:rsidRPr="00722A28" w14:paraId="77F9FBB7" w14:textId="77777777" w:rsidTr="00722A28">
        <w:trPr>
          <w:divId w:val="448934348"/>
        </w:trPr>
        <w:tc>
          <w:tcPr>
            <w:tcW w:w="3029" w:type="dxa"/>
            <w:tcBorders>
              <w:top w:val="nil"/>
              <w:left w:val="nil"/>
              <w:bottom w:val="nil"/>
              <w:right w:val="nil"/>
            </w:tcBorders>
          </w:tcPr>
          <w:p w14:paraId="676DC109"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Second</w:t>
            </w:r>
          </w:p>
        </w:tc>
        <w:tc>
          <w:tcPr>
            <w:tcW w:w="1808" w:type="dxa"/>
            <w:tcBorders>
              <w:top w:val="nil"/>
              <w:left w:val="nil"/>
              <w:bottom w:val="nil"/>
              <w:right w:val="nil"/>
            </w:tcBorders>
          </w:tcPr>
          <w:p w14:paraId="789373B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1,113 (35.6)</w:t>
            </w:r>
          </w:p>
        </w:tc>
        <w:tc>
          <w:tcPr>
            <w:tcW w:w="1988" w:type="dxa"/>
            <w:tcBorders>
              <w:top w:val="nil"/>
              <w:left w:val="nil"/>
              <w:bottom w:val="nil"/>
              <w:right w:val="nil"/>
            </w:tcBorders>
          </w:tcPr>
          <w:p w14:paraId="4BCA766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1,910 (35.4)</w:t>
            </w:r>
          </w:p>
        </w:tc>
        <w:tc>
          <w:tcPr>
            <w:tcW w:w="1942" w:type="dxa"/>
            <w:tcBorders>
              <w:top w:val="nil"/>
              <w:left w:val="nil"/>
              <w:bottom w:val="nil"/>
              <w:right w:val="nil"/>
            </w:tcBorders>
          </w:tcPr>
          <w:p w14:paraId="312D990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1.11 (1.01, 1.22)</w:t>
            </w:r>
          </w:p>
        </w:tc>
        <w:tc>
          <w:tcPr>
            <w:tcW w:w="1727" w:type="dxa"/>
            <w:tcBorders>
              <w:top w:val="nil"/>
              <w:left w:val="nil"/>
              <w:bottom w:val="nil"/>
              <w:right w:val="nil"/>
            </w:tcBorders>
          </w:tcPr>
          <w:p w14:paraId="3D535C5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1,099 (35.7)</w:t>
            </w:r>
          </w:p>
        </w:tc>
        <w:tc>
          <w:tcPr>
            <w:tcW w:w="1563" w:type="dxa"/>
            <w:tcBorders>
              <w:top w:val="nil"/>
              <w:left w:val="nil"/>
              <w:bottom w:val="nil"/>
              <w:right w:val="nil"/>
            </w:tcBorders>
          </w:tcPr>
          <w:p w14:paraId="4209FFB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1,924 (35.4)</w:t>
            </w:r>
          </w:p>
        </w:tc>
        <w:tc>
          <w:tcPr>
            <w:tcW w:w="1891" w:type="dxa"/>
            <w:tcBorders>
              <w:top w:val="nil"/>
              <w:left w:val="nil"/>
              <w:bottom w:val="nil"/>
              <w:right w:val="nil"/>
            </w:tcBorders>
          </w:tcPr>
          <w:p w14:paraId="14A423B1"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1.11 (1.01, 1.22)</w:t>
            </w:r>
          </w:p>
        </w:tc>
      </w:tr>
      <w:tr w:rsidR="00722A28" w:rsidRPr="00722A28" w14:paraId="05D1B6AC" w14:textId="77777777" w:rsidTr="00722A28">
        <w:trPr>
          <w:divId w:val="448934348"/>
        </w:trPr>
        <w:tc>
          <w:tcPr>
            <w:tcW w:w="3029" w:type="dxa"/>
            <w:tcBorders>
              <w:top w:val="nil"/>
              <w:left w:val="nil"/>
              <w:bottom w:val="nil"/>
              <w:right w:val="nil"/>
            </w:tcBorders>
          </w:tcPr>
          <w:p w14:paraId="4C3A8115"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Third+</w:t>
            </w:r>
          </w:p>
        </w:tc>
        <w:tc>
          <w:tcPr>
            <w:tcW w:w="1808" w:type="dxa"/>
            <w:tcBorders>
              <w:top w:val="nil"/>
              <w:left w:val="nil"/>
              <w:bottom w:val="nil"/>
              <w:right w:val="nil"/>
            </w:tcBorders>
          </w:tcPr>
          <w:p w14:paraId="7B76E82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497 (15.9)</w:t>
            </w:r>
          </w:p>
        </w:tc>
        <w:tc>
          <w:tcPr>
            <w:tcW w:w="1988" w:type="dxa"/>
            <w:tcBorders>
              <w:top w:val="nil"/>
              <w:left w:val="nil"/>
              <w:bottom w:val="nil"/>
              <w:right w:val="nil"/>
            </w:tcBorders>
          </w:tcPr>
          <w:p w14:paraId="1BB5251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1,147 (21.3)</w:t>
            </w:r>
          </w:p>
        </w:tc>
        <w:tc>
          <w:tcPr>
            <w:tcW w:w="1942" w:type="dxa"/>
            <w:tcBorders>
              <w:top w:val="nil"/>
              <w:left w:val="nil"/>
              <w:bottom w:val="nil"/>
              <w:right w:val="nil"/>
            </w:tcBorders>
          </w:tcPr>
          <w:p w14:paraId="0F5CC63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1.50 (1.32, 1.69)</w:t>
            </w:r>
          </w:p>
        </w:tc>
        <w:tc>
          <w:tcPr>
            <w:tcW w:w="1727" w:type="dxa"/>
            <w:tcBorders>
              <w:top w:val="nil"/>
              <w:left w:val="nil"/>
              <w:bottom w:val="nil"/>
              <w:right w:val="nil"/>
            </w:tcBorders>
          </w:tcPr>
          <w:p w14:paraId="752BE95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488 (15.8)</w:t>
            </w:r>
          </w:p>
        </w:tc>
        <w:tc>
          <w:tcPr>
            <w:tcW w:w="1563" w:type="dxa"/>
            <w:tcBorders>
              <w:top w:val="nil"/>
              <w:left w:val="nil"/>
              <w:bottom w:val="nil"/>
              <w:right w:val="nil"/>
            </w:tcBorders>
          </w:tcPr>
          <w:p w14:paraId="30A2A60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1,156 (21.3)</w:t>
            </w:r>
          </w:p>
        </w:tc>
        <w:tc>
          <w:tcPr>
            <w:tcW w:w="1891" w:type="dxa"/>
            <w:tcBorders>
              <w:top w:val="nil"/>
              <w:left w:val="nil"/>
              <w:bottom w:val="nil"/>
              <w:right w:val="nil"/>
            </w:tcBorders>
          </w:tcPr>
          <w:p w14:paraId="6AC795F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1.50 (1.33, 1.70)</w:t>
            </w:r>
          </w:p>
        </w:tc>
      </w:tr>
      <w:tr w:rsidR="00722A28" w:rsidRPr="00722A28" w14:paraId="6FA19395" w14:textId="77777777" w:rsidTr="00722A28">
        <w:trPr>
          <w:divId w:val="448934348"/>
        </w:trPr>
        <w:tc>
          <w:tcPr>
            <w:tcW w:w="3029" w:type="dxa"/>
            <w:tcBorders>
              <w:top w:val="nil"/>
              <w:left w:val="nil"/>
              <w:bottom w:val="nil"/>
              <w:right w:val="nil"/>
            </w:tcBorders>
          </w:tcPr>
          <w:p w14:paraId="59599AF5" w14:textId="77777777" w:rsidR="00722A28" w:rsidRPr="00722A28" w:rsidRDefault="00722A28" w:rsidP="00722A28">
            <w:pPr>
              <w:rPr>
                <w:rFonts w:ascii="Times New Roman" w:hAnsi="Times New Roman"/>
                <w:sz w:val="24"/>
                <w:szCs w:val="24"/>
              </w:rPr>
            </w:pPr>
            <w:r w:rsidRPr="00722A28">
              <w:rPr>
                <w:rFonts w:ascii="Times New Roman" w:hAnsi="Times New Roman"/>
                <w:b/>
                <w:sz w:val="24"/>
                <w:szCs w:val="24"/>
              </w:rPr>
              <w:t>Tenure:</w:t>
            </w:r>
          </w:p>
        </w:tc>
        <w:tc>
          <w:tcPr>
            <w:tcW w:w="1808" w:type="dxa"/>
            <w:tcBorders>
              <w:top w:val="nil"/>
              <w:left w:val="nil"/>
              <w:bottom w:val="nil"/>
              <w:right w:val="nil"/>
            </w:tcBorders>
          </w:tcPr>
          <w:p w14:paraId="5D9A84DD"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0BE806A7"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5F53EB84"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317EFF4B" w14:textId="77777777" w:rsidR="00722A28" w:rsidRPr="00722A28" w:rsidRDefault="00722A28" w:rsidP="00722A28">
            <w:pPr>
              <w:rPr>
                <w:rFonts w:ascii="Times New Roman" w:hAnsi="Times New Roman"/>
                <w:sz w:val="24"/>
                <w:szCs w:val="24"/>
              </w:rPr>
            </w:pPr>
          </w:p>
        </w:tc>
        <w:tc>
          <w:tcPr>
            <w:tcW w:w="1563" w:type="dxa"/>
            <w:tcBorders>
              <w:top w:val="nil"/>
              <w:left w:val="nil"/>
              <w:bottom w:val="nil"/>
              <w:right w:val="nil"/>
            </w:tcBorders>
          </w:tcPr>
          <w:p w14:paraId="7014C000"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6716C572" w14:textId="77777777" w:rsidR="00722A28" w:rsidRPr="00722A28" w:rsidRDefault="00722A28" w:rsidP="00722A28">
            <w:pPr>
              <w:rPr>
                <w:rFonts w:ascii="Times New Roman" w:hAnsi="Times New Roman"/>
                <w:sz w:val="24"/>
                <w:szCs w:val="24"/>
              </w:rPr>
            </w:pPr>
          </w:p>
        </w:tc>
      </w:tr>
      <w:tr w:rsidR="00722A28" w:rsidRPr="00722A28" w14:paraId="6A0EBD03" w14:textId="77777777" w:rsidTr="00722A28">
        <w:trPr>
          <w:divId w:val="448934348"/>
        </w:trPr>
        <w:tc>
          <w:tcPr>
            <w:tcW w:w="3029" w:type="dxa"/>
            <w:tcBorders>
              <w:top w:val="nil"/>
              <w:left w:val="nil"/>
              <w:bottom w:val="nil"/>
              <w:right w:val="nil"/>
            </w:tcBorders>
          </w:tcPr>
          <w:p w14:paraId="24A7ADEC"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Mortgaged</w:t>
            </w:r>
          </w:p>
        </w:tc>
        <w:tc>
          <w:tcPr>
            <w:tcW w:w="1808" w:type="dxa"/>
            <w:tcBorders>
              <w:top w:val="nil"/>
              <w:left w:val="nil"/>
              <w:bottom w:val="nil"/>
              <w:right w:val="nil"/>
            </w:tcBorders>
          </w:tcPr>
          <w:p w14:paraId="4FC7F4B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2,719 (86.7)</w:t>
            </w:r>
          </w:p>
        </w:tc>
        <w:tc>
          <w:tcPr>
            <w:tcW w:w="1988" w:type="dxa"/>
            <w:tcBorders>
              <w:top w:val="nil"/>
              <w:left w:val="nil"/>
              <w:bottom w:val="nil"/>
              <w:right w:val="nil"/>
            </w:tcBorders>
          </w:tcPr>
          <w:p w14:paraId="4503592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3,903 (72.0)</w:t>
            </w:r>
          </w:p>
        </w:tc>
        <w:tc>
          <w:tcPr>
            <w:tcW w:w="1942" w:type="dxa"/>
            <w:tcBorders>
              <w:top w:val="nil"/>
              <w:left w:val="nil"/>
              <w:bottom w:val="nil"/>
              <w:right w:val="nil"/>
            </w:tcBorders>
          </w:tcPr>
          <w:p w14:paraId="2C8137F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c>
          <w:tcPr>
            <w:tcW w:w="1727" w:type="dxa"/>
            <w:tcBorders>
              <w:top w:val="nil"/>
              <w:left w:val="nil"/>
              <w:bottom w:val="nil"/>
              <w:right w:val="nil"/>
            </w:tcBorders>
          </w:tcPr>
          <w:p w14:paraId="744CDB0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2,679 (86.8)</w:t>
            </w:r>
          </w:p>
        </w:tc>
        <w:tc>
          <w:tcPr>
            <w:tcW w:w="1563" w:type="dxa"/>
            <w:tcBorders>
              <w:top w:val="nil"/>
              <w:left w:val="nil"/>
              <w:bottom w:val="nil"/>
              <w:right w:val="nil"/>
            </w:tcBorders>
          </w:tcPr>
          <w:p w14:paraId="437C0671"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3,943 (72.1)</w:t>
            </w:r>
          </w:p>
        </w:tc>
        <w:tc>
          <w:tcPr>
            <w:tcW w:w="1891" w:type="dxa"/>
            <w:tcBorders>
              <w:top w:val="nil"/>
              <w:left w:val="nil"/>
              <w:bottom w:val="nil"/>
              <w:right w:val="nil"/>
            </w:tcBorders>
          </w:tcPr>
          <w:p w14:paraId="081007F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r>
      <w:tr w:rsidR="00722A28" w:rsidRPr="00722A28" w14:paraId="130F69DD" w14:textId="77777777" w:rsidTr="00722A28">
        <w:trPr>
          <w:divId w:val="448934348"/>
        </w:trPr>
        <w:tc>
          <w:tcPr>
            <w:tcW w:w="3029" w:type="dxa"/>
            <w:tcBorders>
              <w:top w:val="nil"/>
              <w:left w:val="nil"/>
              <w:bottom w:val="nil"/>
              <w:right w:val="nil"/>
            </w:tcBorders>
          </w:tcPr>
          <w:p w14:paraId="527608F6"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Private rent</w:t>
            </w:r>
          </w:p>
        </w:tc>
        <w:tc>
          <w:tcPr>
            <w:tcW w:w="1808" w:type="dxa"/>
            <w:tcBorders>
              <w:top w:val="nil"/>
              <w:left w:val="nil"/>
              <w:bottom w:val="nil"/>
              <w:right w:val="nil"/>
            </w:tcBorders>
          </w:tcPr>
          <w:p w14:paraId="15429C4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215 (6.9)</w:t>
            </w:r>
          </w:p>
        </w:tc>
        <w:tc>
          <w:tcPr>
            <w:tcW w:w="1988" w:type="dxa"/>
            <w:tcBorders>
              <w:top w:val="nil"/>
              <w:left w:val="nil"/>
              <w:bottom w:val="nil"/>
              <w:right w:val="nil"/>
            </w:tcBorders>
          </w:tcPr>
          <w:p w14:paraId="37726AF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589 (10.9)</w:t>
            </w:r>
          </w:p>
        </w:tc>
        <w:tc>
          <w:tcPr>
            <w:tcW w:w="1942" w:type="dxa"/>
            <w:tcBorders>
              <w:top w:val="nil"/>
              <w:left w:val="nil"/>
              <w:bottom w:val="nil"/>
              <w:right w:val="nil"/>
            </w:tcBorders>
          </w:tcPr>
          <w:p w14:paraId="3B7E8CC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1.91 (1.62, 2.25)</w:t>
            </w:r>
          </w:p>
        </w:tc>
        <w:tc>
          <w:tcPr>
            <w:tcW w:w="1727" w:type="dxa"/>
            <w:tcBorders>
              <w:top w:val="nil"/>
              <w:left w:val="nil"/>
              <w:bottom w:val="nil"/>
              <w:right w:val="nil"/>
            </w:tcBorders>
          </w:tcPr>
          <w:p w14:paraId="00EA87B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212 (6.9)</w:t>
            </w:r>
          </w:p>
        </w:tc>
        <w:tc>
          <w:tcPr>
            <w:tcW w:w="1563" w:type="dxa"/>
            <w:tcBorders>
              <w:top w:val="nil"/>
              <w:left w:val="nil"/>
              <w:bottom w:val="nil"/>
              <w:right w:val="nil"/>
            </w:tcBorders>
          </w:tcPr>
          <w:p w14:paraId="4065CC94"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592 (10.8)</w:t>
            </w:r>
          </w:p>
        </w:tc>
        <w:tc>
          <w:tcPr>
            <w:tcW w:w="1891" w:type="dxa"/>
            <w:tcBorders>
              <w:top w:val="nil"/>
              <w:left w:val="nil"/>
              <w:bottom w:val="nil"/>
              <w:right w:val="nil"/>
            </w:tcBorders>
          </w:tcPr>
          <w:p w14:paraId="1C6613B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1.90 (1.61, 2.23)</w:t>
            </w:r>
          </w:p>
        </w:tc>
      </w:tr>
      <w:tr w:rsidR="00722A28" w:rsidRPr="00722A28" w14:paraId="4D8AC1A4" w14:textId="77777777" w:rsidTr="00722A28">
        <w:trPr>
          <w:divId w:val="448934348"/>
        </w:trPr>
        <w:tc>
          <w:tcPr>
            <w:tcW w:w="3029" w:type="dxa"/>
            <w:tcBorders>
              <w:top w:val="nil"/>
              <w:left w:val="nil"/>
              <w:bottom w:val="nil"/>
              <w:right w:val="nil"/>
            </w:tcBorders>
          </w:tcPr>
          <w:p w14:paraId="515D0BF7"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Sub rent</w:t>
            </w:r>
          </w:p>
        </w:tc>
        <w:tc>
          <w:tcPr>
            <w:tcW w:w="1808" w:type="dxa"/>
            <w:tcBorders>
              <w:top w:val="nil"/>
              <w:left w:val="nil"/>
              <w:bottom w:val="nil"/>
              <w:right w:val="nil"/>
            </w:tcBorders>
          </w:tcPr>
          <w:p w14:paraId="79A0E3E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201 (6.4)</w:t>
            </w:r>
          </w:p>
        </w:tc>
        <w:tc>
          <w:tcPr>
            <w:tcW w:w="1988" w:type="dxa"/>
            <w:tcBorders>
              <w:top w:val="nil"/>
              <w:left w:val="nil"/>
              <w:bottom w:val="nil"/>
              <w:right w:val="nil"/>
            </w:tcBorders>
          </w:tcPr>
          <w:p w14:paraId="2C54520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928 (17.1)</w:t>
            </w:r>
          </w:p>
        </w:tc>
        <w:tc>
          <w:tcPr>
            <w:tcW w:w="1942" w:type="dxa"/>
            <w:tcBorders>
              <w:top w:val="nil"/>
              <w:left w:val="nil"/>
              <w:bottom w:val="nil"/>
              <w:right w:val="nil"/>
            </w:tcBorders>
          </w:tcPr>
          <w:p w14:paraId="39DC0EC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3.21 (2.74, 3.78)</w:t>
            </w:r>
          </w:p>
        </w:tc>
        <w:tc>
          <w:tcPr>
            <w:tcW w:w="1727" w:type="dxa"/>
            <w:tcBorders>
              <w:top w:val="nil"/>
              <w:left w:val="nil"/>
              <w:bottom w:val="nil"/>
              <w:right w:val="nil"/>
            </w:tcBorders>
          </w:tcPr>
          <w:p w14:paraId="4A304E5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196 (6.4)</w:t>
            </w:r>
          </w:p>
        </w:tc>
        <w:tc>
          <w:tcPr>
            <w:tcW w:w="1563" w:type="dxa"/>
            <w:tcBorders>
              <w:top w:val="nil"/>
              <w:left w:val="nil"/>
              <w:bottom w:val="nil"/>
              <w:right w:val="nil"/>
            </w:tcBorders>
          </w:tcPr>
          <w:p w14:paraId="3A39920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933 (17.1)</w:t>
            </w:r>
          </w:p>
        </w:tc>
        <w:tc>
          <w:tcPr>
            <w:tcW w:w="1891" w:type="dxa"/>
            <w:tcBorders>
              <w:top w:val="nil"/>
              <w:left w:val="nil"/>
              <w:bottom w:val="nil"/>
              <w:right w:val="nil"/>
            </w:tcBorders>
          </w:tcPr>
          <w:p w14:paraId="4DA4FD00"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3.23 (2.75, 3.80)</w:t>
            </w:r>
          </w:p>
        </w:tc>
      </w:tr>
      <w:tr w:rsidR="00722A28" w:rsidRPr="00722A28" w14:paraId="06A558E1" w14:textId="77777777" w:rsidTr="00722A28">
        <w:trPr>
          <w:divId w:val="448934348"/>
        </w:trPr>
        <w:tc>
          <w:tcPr>
            <w:tcW w:w="3029" w:type="dxa"/>
            <w:tcBorders>
              <w:top w:val="nil"/>
              <w:left w:val="nil"/>
              <w:bottom w:val="nil"/>
              <w:right w:val="nil"/>
            </w:tcBorders>
          </w:tcPr>
          <w:p w14:paraId="5F3385D8"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Maternal smoking:</w:t>
            </w:r>
          </w:p>
        </w:tc>
        <w:tc>
          <w:tcPr>
            <w:tcW w:w="1808" w:type="dxa"/>
            <w:tcBorders>
              <w:top w:val="nil"/>
              <w:left w:val="nil"/>
              <w:bottom w:val="nil"/>
              <w:right w:val="nil"/>
            </w:tcBorders>
          </w:tcPr>
          <w:p w14:paraId="56A2A46E"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388AFE8E"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47546B52"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0CA60B8C" w14:textId="77777777" w:rsidR="00722A28" w:rsidRPr="00722A28" w:rsidRDefault="00722A28" w:rsidP="00722A28">
            <w:pPr>
              <w:jc w:val="center"/>
              <w:rPr>
                <w:rFonts w:ascii="Times New Roman" w:hAnsi="Times New Roman"/>
                <w:sz w:val="24"/>
                <w:szCs w:val="24"/>
              </w:rPr>
            </w:pPr>
          </w:p>
        </w:tc>
        <w:tc>
          <w:tcPr>
            <w:tcW w:w="1563" w:type="dxa"/>
            <w:tcBorders>
              <w:top w:val="nil"/>
              <w:left w:val="nil"/>
              <w:bottom w:val="nil"/>
              <w:right w:val="nil"/>
            </w:tcBorders>
          </w:tcPr>
          <w:p w14:paraId="5915BCC5"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31F7B346" w14:textId="77777777" w:rsidR="00722A28" w:rsidRPr="00722A28" w:rsidRDefault="00722A28" w:rsidP="00722A28">
            <w:pPr>
              <w:rPr>
                <w:rFonts w:ascii="Times New Roman" w:hAnsi="Times New Roman"/>
                <w:sz w:val="24"/>
                <w:szCs w:val="24"/>
              </w:rPr>
            </w:pPr>
          </w:p>
        </w:tc>
      </w:tr>
      <w:tr w:rsidR="00722A28" w:rsidRPr="00722A28" w14:paraId="6A71A45F" w14:textId="77777777" w:rsidTr="00722A28">
        <w:trPr>
          <w:divId w:val="448934348"/>
        </w:trPr>
        <w:tc>
          <w:tcPr>
            <w:tcW w:w="3029" w:type="dxa"/>
            <w:tcBorders>
              <w:top w:val="nil"/>
              <w:left w:val="nil"/>
              <w:bottom w:val="nil"/>
              <w:right w:val="nil"/>
            </w:tcBorders>
          </w:tcPr>
          <w:p w14:paraId="104F580E"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Yes</w:t>
            </w:r>
          </w:p>
        </w:tc>
        <w:tc>
          <w:tcPr>
            <w:tcW w:w="1808" w:type="dxa"/>
            <w:tcBorders>
              <w:top w:val="nil"/>
              <w:left w:val="nil"/>
              <w:bottom w:val="nil"/>
              <w:right w:val="nil"/>
            </w:tcBorders>
          </w:tcPr>
          <w:p w14:paraId="4EF1B9EC"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341 (11.4)</w:t>
            </w:r>
          </w:p>
        </w:tc>
        <w:tc>
          <w:tcPr>
            <w:tcW w:w="1988" w:type="dxa"/>
            <w:tcBorders>
              <w:top w:val="nil"/>
              <w:left w:val="nil"/>
              <w:bottom w:val="nil"/>
              <w:right w:val="nil"/>
            </w:tcBorders>
          </w:tcPr>
          <w:p w14:paraId="2A766C5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1,116 (22.0)</w:t>
            </w:r>
          </w:p>
        </w:tc>
        <w:tc>
          <w:tcPr>
            <w:tcW w:w="1942" w:type="dxa"/>
            <w:tcBorders>
              <w:top w:val="nil"/>
              <w:left w:val="nil"/>
              <w:bottom w:val="nil"/>
              <w:right w:val="nil"/>
            </w:tcBorders>
          </w:tcPr>
          <w:p w14:paraId="1C27757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2.19 (1.92, 2.49)</w:t>
            </w:r>
          </w:p>
        </w:tc>
        <w:tc>
          <w:tcPr>
            <w:tcW w:w="1727" w:type="dxa"/>
            <w:tcBorders>
              <w:top w:val="nil"/>
              <w:left w:val="nil"/>
              <w:bottom w:val="nil"/>
              <w:right w:val="nil"/>
            </w:tcBorders>
          </w:tcPr>
          <w:p w14:paraId="30D2159F"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336 (11.4)</w:t>
            </w:r>
          </w:p>
        </w:tc>
        <w:tc>
          <w:tcPr>
            <w:tcW w:w="1563" w:type="dxa"/>
            <w:tcBorders>
              <w:top w:val="nil"/>
              <w:left w:val="nil"/>
              <w:bottom w:val="nil"/>
              <w:right w:val="nil"/>
            </w:tcBorders>
          </w:tcPr>
          <w:p w14:paraId="069441D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1,121 (21.9)</w:t>
            </w:r>
          </w:p>
        </w:tc>
        <w:tc>
          <w:tcPr>
            <w:tcW w:w="1891" w:type="dxa"/>
            <w:tcBorders>
              <w:top w:val="nil"/>
              <w:left w:val="nil"/>
              <w:bottom w:val="nil"/>
              <w:right w:val="nil"/>
            </w:tcBorders>
          </w:tcPr>
          <w:p w14:paraId="00AF919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2.17 (1.90, 2.48)</w:t>
            </w:r>
          </w:p>
        </w:tc>
      </w:tr>
      <w:tr w:rsidR="00722A28" w:rsidRPr="00722A28" w14:paraId="1ED172AA" w14:textId="77777777" w:rsidTr="00722A28">
        <w:trPr>
          <w:divId w:val="448934348"/>
        </w:trPr>
        <w:tc>
          <w:tcPr>
            <w:tcW w:w="3029" w:type="dxa"/>
            <w:tcBorders>
              <w:top w:val="nil"/>
              <w:left w:val="nil"/>
              <w:bottom w:val="nil"/>
              <w:right w:val="nil"/>
            </w:tcBorders>
          </w:tcPr>
          <w:p w14:paraId="24BBD224"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WM at age 11:</w:t>
            </w:r>
          </w:p>
        </w:tc>
        <w:tc>
          <w:tcPr>
            <w:tcW w:w="1808" w:type="dxa"/>
            <w:tcBorders>
              <w:top w:val="nil"/>
              <w:left w:val="nil"/>
              <w:bottom w:val="nil"/>
              <w:right w:val="nil"/>
            </w:tcBorders>
          </w:tcPr>
          <w:p w14:paraId="54797729"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52DD2FB1"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0A7B844D"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3F8F4022" w14:textId="77777777" w:rsidR="00722A28" w:rsidRPr="00722A28" w:rsidRDefault="00722A28" w:rsidP="00722A28">
            <w:pPr>
              <w:jc w:val="center"/>
              <w:rPr>
                <w:rFonts w:ascii="Times New Roman" w:hAnsi="Times New Roman"/>
                <w:sz w:val="24"/>
                <w:szCs w:val="24"/>
              </w:rPr>
            </w:pPr>
          </w:p>
        </w:tc>
        <w:tc>
          <w:tcPr>
            <w:tcW w:w="1563" w:type="dxa"/>
            <w:tcBorders>
              <w:top w:val="nil"/>
              <w:left w:val="nil"/>
              <w:bottom w:val="nil"/>
              <w:right w:val="nil"/>
            </w:tcBorders>
          </w:tcPr>
          <w:p w14:paraId="759C4119"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067A59BE" w14:textId="77777777" w:rsidR="00722A28" w:rsidRPr="00722A28" w:rsidRDefault="00722A28" w:rsidP="00722A28">
            <w:pPr>
              <w:rPr>
                <w:rFonts w:ascii="Times New Roman" w:hAnsi="Times New Roman"/>
                <w:sz w:val="24"/>
                <w:szCs w:val="24"/>
              </w:rPr>
            </w:pPr>
          </w:p>
        </w:tc>
      </w:tr>
      <w:tr w:rsidR="00722A28" w:rsidRPr="00722A28" w14:paraId="42B77A1B" w14:textId="77777777" w:rsidTr="00722A28">
        <w:trPr>
          <w:divId w:val="448934348"/>
        </w:trPr>
        <w:tc>
          <w:tcPr>
            <w:tcW w:w="3029" w:type="dxa"/>
            <w:tcBorders>
              <w:top w:val="nil"/>
              <w:left w:val="nil"/>
              <w:bottom w:val="nil"/>
              <w:right w:val="nil"/>
            </w:tcBorders>
          </w:tcPr>
          <w:p w14:paraId="6428B6C7"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Linear term</w:t>
            </w:r>
          </w:p>
        </w:tc>
        <w:tc>
          <w:tcPr>
            <w:tcW w:w="1808" w:type="dxa"/>
            <w:tcBorders>
              <w:top w:val="nil"/>
              <w:left w:val="nil"/>
              <w:bottom w:val="nil"/>
              <w:right w:val="nil"/>
            </w:tcBorders>
          </w:tcPr>
          <w:p w14:paraId="08F8D407" w14:textId="77777777" w:rsidR="00722A28" w:rsidRPr="00722A28" w:rsidRDefault="00722A28" w:rsidP="00722A28">
            <w:pPr>
              <w:rPr>
                <w:rFonts w:ascii="Times New Roman" w:hAnsi="Times New Roman"/>
                <w:strike/>
                <w:sz w:val="24"/>
                <w:szCs w:val="24"/>
              </w:rPr>
            </w:pPr>
            <w:r w:rsidRPr="00722A28">
              <w:rPr>
                <w:rFonts w:ascii="Times New Roman" w:hAnsi="Times New Roman"/>
                <w:sz w:val="24"/>
                <w:szCs w:val="24"/>
              </w:rPr>
              <w:t xml:space="preserve">   3.51 (0.83)</w:t>
            </w:r>
          </w:p>
        </w:tc>
        <w:tc>
          <w:tcPr>
            <w:tcW w:w="1988" w:type="dxa"/>
            <w:tcBorders>
              <w:top w:val="nil"/>
              <w:left w:val="nil"/>
              <w:bottom w:val="nil"/>
              <w:right w:val="nil"/>
            </w:tcBorders>
          </w:tcPr>
          <w:p w14:paraId="4CEABAF4" w14:textId="77777777" w:rsidR="00722A28" w:rsidRPr="00722A28" w:rsidRDefault="00722A28" w:rsidP="00722A28">
            <w:pPr>
              <w:rPr>
                <w:rFonts w:ascii="Times New Roman" w:hAnsi="Times New Roman"/>
                <w:strike/>
                <w:sz w:val="24"/>
                <w:szCs w:val="24"/>
              </w:rPr>
            </w:pPr>
            <w:r w:rsidRPr="00722A28">
              <w:rPr>
                <w:rFonts w:ascii="Times New Roman" w:hAnsi="Times New Roman"/>
                <w:sz w:val="24"/>
                <w:szCs w:val="24"/>
              </w:rPr>
              <w:t xml:space="preserve">   3.36 (0.86)</w:t>
            </w:r>
          </w:p>
        </w:tc>
        <w:tc>
          <w:tcPr>
            <w:tcW w:w="1942" w:type="dxa"/>
            <w:tcBorders>
              <w:top w:val="nil"/>
              <w:left w:val="nil"/>
              <w:bottom w:val="nil"/>
              <w:right w:val="nil"/>
            </w:tcBorders>
          </w:tcPr>
          <w:p w14:paraId="6412F52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1.23 (1.16, 1.31)</w:t>
            </w:r>
          </w:p>
        </w:tc>
        <w:tc>
          <w:tcPr>
            <w:tcW w:w="1727" w:type="dxa"/>
            <w:tcBorders>
              <w:top w:val="nil"/>
              <w:left w:val="nil"/>
              <w:bottom w:val="nil"/>
              <w:right w:val="nil"/>
            </w:tcBorders>
          </w:tcPr>
          <w:p w14:paraId="46531908"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3.51 (0.84)</w:t>
            </w:r>
          </w:p>
        </w:tc>
        <w:tc>
          <w:tcPr>
            <w:tcW w:w="1563" w:type="dxa"/>
            <w:tcBorders>
              <w:top w:val="nil"/>
              <w:left w:val="nil"/>
              <w:bottom w:val="nil"/>
              <w:right w:val="nil"/>
            </w:tcBorders>
          </w:tcPr>
          <w:p w14:paraId="7CF40F2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3.35 (0.85)</w:t>
            </w:r>
          </w:p>
        </w:tc>
        <w:tc>
          <w:tcPr>
            <w:tcW w:w="1891" w:type="dxa"/>
            <w:tcBorders>
              <w:top w:val="nil"/>
              <w:left w:val="nil"/>
              <w:bottom w:val="nil"/>
              <w:right w:val="nil"/>
            </w:tcBorders>
          </w:tcPr>
          <w:p w14:paraId="39F68E2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1.23 (1.17, 1.31)</w:t>
            </w:r>
          </w:p>
        </w:tc>
      </w:tr>
      <w:tr w:rsidR="00722A28" w:rsidRPr="00722A28" w14:paraId="22310140" w14:textId="77777777" w:rsidTr="00722A28">
        <w:trPr>
          <w:divId w:val="448934348"/>
        </w:trPr>
        <w:tc>
          <w:tcPr>
            <w:tcW w:w="3029" w:type="dxa"/>
            <w:tcBorders>
              <w:top w:val="nil"/>
              <w:left w:val="nil"/>
              <w:bottom w:val="nil"/>
              <w:right w:val="nil"/>
            </w:tcBorders>
          </w:tcPr>
          <w:p w14:paraId="13D429CA"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Head injury:</w:t>
            </w:r>
          </w:p>
        </w:tc>
        <w:tc>
          <w:tcPr>
            <w:tcW w:w="1808" w:type="dxa"/>
            <w:tcBorders>
              <w:top w:val="nil"/>
              <w:left w:val="nil"/>
              <w:bottom w:val="nil"/>
              <w:right w:val="nil"/>
            </w:tcBorders>
          </w:tcPr>
          <w:p w14:paraId="4D53E4E7"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26814670"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48780C55"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407DE3F5" w14:textId="77777777" w:rsidR="00722A28" w:rsidRPr="00722A28" w:rsidRDefault="00722A28" w:rsidP="00722A28">
            <w:pPr>
              <w:jc w:val="center"/>
              <w:rPr>
                <w:rFonts w:ascii="Times New Roman" w:hAnsi="Times New Roman"/>
                <w:sz w:val="24"/>
                <w:szCs w:val="24"/>
              </w:rPr>
            </w:pPr>
          </w:p>
        </w:tc>
        <w:tc>
          <w:tcPr>
            <w:tcW w:w="1563" w:type="dxa"/>
            <w:tcBorders>
              <w:top w:val="nil"/>
              <w:left w:val="nil"/>
              <w:bottom w:val="nil"/>
              <w:right w:val="nil"/>
            </w:tcBorders>
          </w:tcPr>
          <w:p w14:paraId="389F07FE"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48027AE2" w14:textId="77777777" w:rsidR="00722A28" w:rsidRPr="00722A28" w:rsidRDefault="00722A28" w:rsidP="00722A28">
            <w:pPr>
              <w:rPr>
                <w:rFonts w:ascii="Times New Roman" w:hAnsi="Times New Roman"/>
                <w:sz w:val="24"/>
                <w:szCs w:val="24"/>
              </w:rPr>
            </w:pPr>
          </w:p>
        </w:tc>
      </w:tr>
      <w:tr w:rsidR="00722A28" w:rsidRPr="00722A28" w14:paraId="68F63C71" w14:textId="77777777" w:rsidTr="00722A28">
        <w:trPr>
          <w:divId w:val="448934348"/>
        </w:trPr>
        <w:tc>
          <w:tcPr>
            <w:tcW w:w="3029" w:type="dxa"/>
            <w:tcBorders>
              <w:top w:val="nil"/>
              <w:left w:val="nil"/>
              <w:bottom w:val="nil"/>
              <w:right w:val="nil"/>
            </w:tcBorders>
          </w:tcPr>
          <w:p w14:paraId="4D09C339"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lastRenderedPageBreak/>
              <w:t xml:space="preserve">Yes </w:t>
            </w:r>
          </w:p>
        </w:tc>
        <w:tc>
          <w:tcPr>
            <w:tcW w:w="1808" w:type="dxa"/>
            <w:tcBorders>
              <w:top w:val="nil"/>
              <w:left w:val="nil"/>
              <w:bottom w:val="nil"/>
              <w:right w:val="nil"/>
            </w:tcBorders>
          </w:tcPr>
          <w:p w14:paraId="0A934CC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121 (3.4)</w:t>
            </w:r>
          </w:p>
        </w:tc>
        <w:tc>
          <w:tcPr>
            <w:tcW w:w="1988" w:type="dxa"/>
            <w:tcBorders>
              <w:top w:val="nil"/>
              <w:left w:val="nil"/>
              <w:bottom w:val="nil"/>
              <w:right w:val="nil"/>
            </w:tcBorders>
          </w:tcPr>
          <w:p w14:paraId="4FF55DC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217 (3.3)</w:t>
            </w:r>
          </w:p>
        </w:tc>
        <w:tc>
          <w:tcPr>
            <w:tcW w:w="1942" w:type="dxa"/>
            <w:tcBorders>
              <w:top w:val="nil"/>
              <w:left w:val="nil"/>
              <w:bottom w:val="nil"/>
              <w:right w:val="nil"/>
            </w:tcBorders>
          </w:tcPr>
          <w:p w14:paraId="131BCCA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1.01 (.80, 1.27)</w:t>
            </w:r>
          </w:p>
        </w:tc>
        <w:tc>
          <w:tcPr>
            <w:tcW w:w="1727" w:type="dxa"/>
            <w:tcBorders>
              <w:top w:val="nil"/>
              <w:left w:val="nil"/>
              <w:bottom w:val="nil"/>
              <w:right w:val="nil"/>
            </w:tcBorders>
          </w:tcPr>
          <w:p w14:paraId="2C86D3F9"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118 (3.3)</w:t>
            </w:r>
          </w:p>
        </w:tc>
        <w:tc>
          <w:tcPr>
            <w:tcW w:w="1563" w:type="dxa"/>
            <w:tcBorders>
              <w:top w:val="nil"/>
              <w:left w:val="nil"/>
              <w:bottom w:val="nil"/>
              <w:right w:val="nil"/>
            </w:tcBorders>
          </w:tcPr>
          <w:p w14:paraId="4B7EBED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220 (3.4)</w:t>
            </w:r>
          </w:p>
        </w:tc>
        <w:tc>
          <w:tcPr>
            <w:tcW w:w="1891" w:type="dxa"/>
            <w:tcBorders>
              <w:top w:val="nil"/>
              <w:left w:val="nil"/>
              <w:bottom w:val="nil"/>
              <w:right w:val="nil"/>
            </w:tcBorders>
          </w:tcPr>
          <w:p w14:paraId="586D021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0.99 (.79, 1.24)</w:t>
            </w:r>
          </w:p>
        </w:tc>
      </w:tr>
      <w:tr w:rsidR="00722A28" w:rsidRPr="00722A28" w14:paraId="221ABF80" w14:textId="77777777" w:rsidTr="00722A28">
        <w:trPr>
          <w:divId w:val="448934348"/>
        </w:trPr>
        <w:tc>
          <w:tcPr>
            <w:tcW w:w="3029" w:type="dxa"/>
            <w:tcBorders>
              <w:top w:val="nil"/>
              <w:left w:val="nil"/>
              <w:bottom w:val="nil"/>
              <w:right w:val="nil"/>
            </w:tcBorders>
          </w:tcPr>
          <w:p w14:paraId="4979A034"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Cigarette smoking:</w:t>
            </w:r>
          </w:p>
        </w:tc>
        <w:tc>
          <w:tcPr>
            <w:tcW w:w="1808" w:type="dxa"/>
            <w:tcBorders>
              <w:top w:val="nil"/>
              <w:left w:val="nil"/>
              <w:bottom w:val="nil"/>
              <w:right w:val="nil"/>
            </w:tcBorders>
          </w:tcPr>
          <w:p w14:paraId="5A03CCF8"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5EDB3D61"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1BCE92AC"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5EDDA18E" w14:textId="77777777" w:rsidR="00722A28" w:rsidRPr="00722A28" w:rsidRDefault="00722A28" w:rsidP="00722A28">
            <w:pPr>
              <w:jc w:val="center"/>
              <w:rPr>
                <w:rFonts w:ascii="Times New Roman" w:hAnsi="Times New Roman"/>
                <w:sz w:val="24"/>
                <w:szCs w:val="24"/>
              </w:rPr>
            </w:pPr>
          </w:p>
        </w:tc>
        <w:tc>
          <w:tcPr>
            <w:tcW w:w="1563" w:type="dxa"/>
            <w:tcBorders>
              <w:top w:val="nil"/>
              <w:left w:val="nil"/>
              <w:bottom w:val="nil"/>
              <w:right w:val="nil"/>
            </w:tcBorders>
          </w:tcPr>
          <w:p w14:paraId="778BB2F4"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455D29D6" w14:textId="77777777" w:rsidR="00722A28" w:rsidRPr="00722A28" w:rsidRDefault="00722A28" w:rsidP="00722A28">
            <w:pPr>
              <w:rPr>
                <w:rFonts w:ascii="Times New Roman" w:hAnsi="Times New Roman"/>
                <w:sz w:val="24"/>
                <w:szCs w:val="24"/>
              </w:rPr>
            </w:pPr>
          </w:p>
        </w:tc>
      </w:tr>
      <w:tr w:rsidR="00722A28" w:rsidRPr="00722A28" w14:paraId="255C4323" w14:textId="77777777" w:rsidTr="00722A28">
        <w:trPr>
          <w:divId w:val="448934348"/>
        </w:trPr>
        <w:tc>
          <w:tcPr>
            <w:tcW w:w="3029" w:type="dxa"/>
            <w:tcBorders>
              <w:top w:val="nil"/>
              <w:left w:val="nil"/>
              <w:bottom w:val="nil"/>
              <w:right w:val="nil"/>
            </w:tcBorders>
          </w:tcPr>
          <w:p w14:paraId="77315349"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 xml:space="preserve">Yes </w:t>
            </w:r>
          </w:p>
        </w:tc>
        <w:tc>
          <w:tcPr>
            <w:tcW w:w="1808" w:type="dxa"/>
            <w:tcBorders>
              <w:top w:val="nil"/>
              <w:left w:val="nil"/>
              <w:bottom w:val="nil"/>
              <w:right w:val="nil"/>
            </w:tcBorders>
          </w:tcPr>
          <w:p w14:paraId="3A5503C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187 (6.9)</w:t>
            </w:r>
          </w:p>
        </w:tc>
        <w:tc>
          <w:tcPr>
            <w:tcW w:w="1988" w:type="dxa"/>
            <w:tcBorders>
              <w:top w:val="nil"/>
              <w:left w:val="nil"/>
              <w:bottom w:val="nil"/>
              <w:right w:val="nil"/>
            </w:tcBorders>
          </w:tcPr>
          <w:p w14:paraId="6A7F485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277 (15.0)</w:t>
            </w:r>
          </w:p>
        </w:tc>
        <w:tc>
          <w:tcPr>
            <w:tcW w:w="1942" w:type="dxa"/>
            <w:tcBorders>
              <w:top w:val="nil"/>
              <w:left w:val="nil"/>
              <w:bottom w:val="nil"/>
              <w:right w:val="nil"/>
            </w:tcBorders>
          </w:tcPr>
          <w:p w14:paraId="30079B1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0.42 (.35, .51)</w:t>
            </w:r>
          </w:p>
        </w:tc>
        <w:tc>
          <w:tcPr>
            <w:tcW w:w="1727" w:type="dxa"/>
            <w:tcBorders>
              <w:top w:val="nil"/>
              <w:left w:val="nil"/>
              <w:bottom w:val="nil"/>
              <w:right w:val="nil"/>
            </w:tcBorders>
          </w:tcPr>
          <w:p w14:paraId="2ED54E2B"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181 (6.8)</w:t>
            </w:r>
          </w:p>
        </w:tc>
        <w:tc>
          <w:tcPr>
            <w:tcW w:w="1563" w:type="dxa"/>
            <w:tcBorders>
              <w:top w:val="nil"/>
              <w:left w:val="nil"/>
              <w:bottom w:val="nil"/>
              <w:right w:val="nil"/>
            </w:tcBorders>
          </w:tcPr>
          <w:p w14:paraId="4824A3C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283 (14.9)</w:t>
            </w:r>
          </w:p>
        </w:tc>
        <w:tc>
          <w:tcPr>
            <w:tcW w:w="1891" w:type="dxa"/>
            <w:tcBorders>
              <w:top w:val="nil"/>
              <w:left w:val="nil"/>
              <w:bottom w:val="nil"/>
              <w:right w:val="nil"/>
            </w:tcBorders>
          </w:tcPr>
          <w:p w14:paraId="40AC198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0.42 (.34, .51)</w:t>
            </w:r>
          </w:p>
        </w:tc>
      </w:tr>
      <w:tr w:rsidR="00722A28" w:rsidRPr="00722A28" w14:paraId="30344D6D" w14:textId="77777777" w:rsidTr="00722A28">
        <w:trPr>
          <w:divId w:val="448934348"/>
        </w:trPr>
        <w:tc>
          <w:tcPr>
            <w:tcW w:w="3029" w:type="dxa"/>
            <w:tcBorders>
              <w:top w:val="nil"/>
              <w:left w:val="nil"/>
              <w:bottom w:val="nil"/>
              <w:right w:val="nil"/>
            </w:tcBorders>
          </w:tcPr>
          <w:p w14:paraId="5F884930" w14:textId="77777777" w:rsidR="00722A28" w:rsidRPr="00722A28" w:rsidRDefault="00722A28" w:rsidP="00722A28">
            <w:pPr>
              <w:rPr>
                <w:rFonts w:ascii="Times New Roman" w:hAnsi="Times New Roman"/>
                <w:b/>
                <w:sz w:val="24"/>
                <w:szCs w:val="24"/>
              </w:rPr>
            </w:pPr>
            <w:r w:rsidRPr="00722A28">
              <w:rPr>
                <w:rFonts w:ascii="Times New Roman" w:hAnsi="Times New Roman"/>
                <w:b/>
                <w:sz w:val="24"/>
                <w:szCs w:val="24"/>
              </w:rPr>
              <w:t>Cannabis use:</w:t>
            </w:r>
          </w:p>
        </w:tc>
        <w:tc>
          <w:tcPr>
            <w:tcW w:w="1808" w:type="dxa"/>
            <w:tcBorders>
              <w:top w:val="nil"/>
              <w:left w:val="nil"/>
              <w:bottom w:val="nil"/>
              <w:right w:val="nil"/>
            </w:tcBorders>
          </w:tcPr>
          <w:p w14:paraId="0A6CAE7A"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066E315A"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4C67F18F"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4AAAC6B4" w14:textId="77777777" w:rsidR="00722A28" w:rsidRPr="00722A28" w:rsidRDefault="00722A28" w:rsidP="00722A28">
            <w:pPr>
              <w:jc w:val="center"/>
              <w:rPr>
                <w:rFonts w:ascii="Times New Roman" w:hAnsi="Times New Roman"/>
                <w:sz w:val="24"/>
                <w:szCs w:val="24"/>
              </w:rPr>
            </w:pPr>
          </w:p>
        </w:tc>
        <w:tc>
          <w:tcPr>
            <w:tcW w:w="1563" w:type="dxa"/>
            <w:tcBorders>
              <w:top w:val="nil"/>
              <w:left w:val="nil"/>
              <w:bottom w:val="nil"/>
              <w:right w:val="nil"/>
            </w:tcBorders>
          </w:tcPr>
          <w:p w14:paraId="1495B35F"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4E0EFE08" w14:textId="77777777" w:rsidR="00722A28" w:rsidRPr="00722A28" w:rsidRDefault="00722A28" w:rsidP="00722A28">
            <w:pPr>
              <w:rPr>
                <w:rFonts w:ascii="Times New Roman" w:hAnsi="Times New Roman"/>
                <w:sz w:val="24"/>
                <w:szCs w:val="24"/>
              </w:rPr>
            </w:pPr>
          </w:p>
        </w:tc>
      </w:tr>
      <w:tr w:rsidR="00722A28" w:rsidRPr="00722A28" w14:paraId="08673AFA" w14:textId="77777777" w:rsidTr="00722A28">
        <w:trPr>
          <w:divId w:val="448934348"/>
        </w:trPr>
        <w:tc>
          <w:tcPr>
            <w:tcW w:w="3029" w:type="dxa"/>
            <w:tcBorders>
              <w:top w:val="nil"/>
              <w:left w:val="nil"/>
              <w:bottom w:val="nil"/>
              <w:right w:val="nil"/>
            </w:tcBorders>
          </w:tcPr>
          <w:p w14:paraId="618B243D"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 xml:space="preserve">Yes </w:t>
            </w:r>
          </w:p>
        </w:tc>
        <w:tc>
          <w:tcPr>
            <w:tcW w:w="1808" w:type="dxa"/>
            <w:tcBorders>
              <w:top w:val="nil"/>
              <w:left w:val="nil"/>
              <w:bottom w:val="nil"/>
              <w:right w:val="nil"/>
            </w:tcBorders>
          </w:tcPr>
          <w:p w14:paraId="31FA299A"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66 (2.5)</w:t>
            </w:r>
          </w:p>
        </w:tc>
        <w:tc>
          <w:tcPr>
            <w:tcW w:w="1988" w:type="dxa"/>
            <w:tcBorders>
              <w:top w:val="nil"/>
              <w:left w:val="nil"/>
              <w:bottom w:val="nil"/>
              <w:right w:val="nil"/>
            </w:tcBorders>
          </w:tcPr>
          <w:p w14:paraId="651AD2E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97 (5.4)</w:t>
            </w:r>
          </w:p>
        </w:tc>
        <w:tc>
          <w:tcPr>
            <w:tcW w:w="1942" w:type="dxa"/>
            <w:tcBorders>
              <w:top w:val="nil"/>
              <w:left w:val="nil"/>
              <w:bottom w:val="nil"/>
              <w:right w:val="nil"/>
            </w:tcBorders>
          </w:tcPr>
          <w:p w14:paraId="511AFA6F"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0.44 (.32, .61)</w:t>
            </w:r>
          </w:p>
        </w:tc>
        <w:tc>
          <w:tcPr>
            <w:tcW w:w="1727" w:type="dxa"/>
            <w:tcBorders>
              <w:top w:val="nil"/>
              <w:left w:val="nil"/>
              <w:bottom w:val="nil"/>
              <w:right w:val="nil"/>
            </w:tcBorders>
          </w:tcPr>
          <w:p w14:paraId="1306457A"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63 (2.4)</w:t>
            </w:r>
          </w:p>
        </w:tc>
        <w:tc>
          <w:tcPr>
            <w:tcW w:w="1563" w:type="dxa"/>
            <w:tcBorders>
              <w:top w:val="nil"/>
              <w:left w:val="nil"/>
              <w:bottom w:val="nil"/>
              <w:right w:val="nil"/>
            </w:tcBorders>
          </w:tcPr>
          <w:p w14:paraId="72A401E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100 (5.4)</w:t>
            </w:r>
          </w:p>
        </w:tc>
        <w:tc>
          <w:tcPr>
            <w:tcW w:w="1891" w:type="dxa"/>
            <w:tcBorders>
              <w:top w:val="nil"/>
              <w:left w:val="nil"/>
              <w:bottom w:val="nil"/>
              <w:right w:val="nil"/>
            </w:tcBorders>
          </w:tcPr>
          <w:p w14:paraId="18EAF28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0.43 (.31, .59)</w:t>
            </w:r>
          </w:p>
        </w:tc>
      </w:tr>
      <w:tr w:rsidR="00722A28" w:rsidRPr="00722A28" w14:paraId="3A788DBA" w14:textId="77777777" w:rsidTr="00722A28">
        <w:trPr>
          <w:divId w:val="448934348"/>
        </w:trPr>
        <w:tc>
          <w:tcPr>
            <w:tcW w:w="3029" w:type="dxa"/>
            <w:tcBorders>
              <w:top w:val="nil"/>
              <w:left w:val="nil"/>
              <w:bottom w:val="nil"/>
              <w:right w:val="nil"/>
            </w:tcBorders>
          </w:tcPr>
          <w:p w14:paraId="7B4E4E0D" w14:textId="77777777" w:rsidR="00722A28" w:rsidRPr="00722A28" w:rsidRDefault="00722A28" w:rsidP="00722A28">
            <w:pPr>
              <w:rPr>
                <w:rFonts w:ascii="Times New Roman" w:hAnsi="Times New Roman"/>
                <w:sz w:val="24"/>
                <w:szCs w:val="24"/>
              </w:rPr>
            </w:pPr>
            <w:r w:rsidRPr="00722A28">
              <w:rPr>
                <w:rFonts w:ascii="Times New Roman" w:hAnsi="Times New Roman"/>
                <w:b/>
                <w:sz w:val="24"/>
                <w:szCs w:val="24"/>
              </w:rPr>
              <w:t>Adolescent alcohol use:</w:t>
            </w:r>
          </w:p>
        </w:tc>
        <w:tc>
          <w:tcPr>
            <w:tcW w:w="1808" w:type="dxa"/>
            <w:tcBorders>
              <w:top w:val="nil"/>
              <w:left w:val="nil"/>
              <w:bottom w:val="nil"/>
              <w:right w:val="nil"/>
            </w:tcBorders>
          </w:tcPr>
          <w:p w14:paraId="061542A3" w14:textId="77777777" w:rsidR="00722A28" w:rsidRPr="00722A28" w:rsidRDefault="00722A28" w:rsidP="00722A28">
            <w:pPr>
              <w:rPr>
                <w:rFonts w:ascii="Times New Roman" w:hAnsi="Times New Roman"/>
                <w:sz w:val="24"/>
                <w:szCs w:val="24"/>
              </w:rPr>
            </w:pPr>
          </w:p>
        </w:tc>
        <w:tc>
          <w:tcPr>
            <w:tcW w:w="1988" w:type="dxa"/>
            <w:tcBorders>
              <w:top w:val="nil"/>
              <w:left w:val="nil"/>
              <w:bottom w:val="nil"/>
              <w:right w:val="nil"/>
            </w:tcBorders>
          </w:tcPr>
          <w:p w14:paraId="78AA08B4" w14:textId="77777777" w:rsidR="00722A28" w:rsidRPr="00722A28" w:rsidRDefault="00722A28" w:rsidP="00722A28">
            <w:pPr>
              <w:rPr>
                <w:rFonts w:ascii="Times New Roman" w:hAnsi="Times New Roman"/>
                <w:sz w:val="24"/>
                <w:szCs w:val="24"/>
              </w:rPr>
            </w:pPr>
          </w:p>
        </w:tc>
        <w:tc>
          <w:tcPr>
            <w:tcW w:w="1942" w:type="dxa"/>
            <w:tcBorders>
              <w:top w:val="nil"/>
              <w:left w:val="nil"/>
              <w:bottom w:val="nil"/>
              <w:right w:val="nil"/>
            </w:tcBorders>
          </w:tcPr>
          <w:p w14:paraId="2E1CE903" w14:textId="77777777" w:rsidR="00722A28" w:rsidRPr="00722A28" w:rsidRDefault="00722A28" w:rsidP="00722A28">
            <w:pPr>
              <w:rPr>
                <w:rFonts w:ascii="Times New Roman" w:hAnsi="Times New Roman"/>
                <w:sz w:val="24"/>
                <w:szCs w:val="24"/>
              </w:rPr>
            </w:pPr>
          </w:p>
        </w:tc>
        <w:tc>
          <w:tcPr>
            <w:tcW w:w="1727" w:type="dxa"/>
            <w:tcBorders>
              <w:top w:val="nil"/>
              <w:left w:val="nil"/>
              <w:bottom w:val="nil"/>
              <w:right w:val="nil"/>
            </w:tcBorders>
          </w:tcPr>
          <w:p w14:paraId="2623E93D" w14:textId="77777777" w:rsidR="00722A28" w:rsidRPr="00722A28" w:rsidRDefault="00722A28" w:rsidP="00722A28">
            <w:pPr>
              <w:jc w:val="center"/>
              <w:rPr>
                <w:rFonts w:ascii="Times New Roman" w:hAnsi="Times New Roman"/>
                <w:sz w:val="24"/>
                <w:szCs w:val="24"/>
              </w:rPr>
            </w:pPr>
          </w:p>
        </w:tc>
        <w:tc>
          <w:tcPr>
            <w:tcW w:w="1563" w:type="dxa"/>
            <w:tcBorders>
              <w:top w:val="nil"/>
              <w:left w:val="nil"/>
              <w:bottom w:val="nil"/>
              <w:right w:val="nil"/>
            </w:tcBorders>
          </w:tcPr>
          <w:p w14:paraId="4AB79822" w14:textId="77777777" w:rsidR="00722A28" w:rsidRPr="00722A28" w:rsidRDefault="00722A28" w:rsidP="00722A28">
            <w:pPr>
              <w:rPr>
                <w:rFonts w:ascii="Times New Roman" w:hAnsi="Times New Roman"/>
                <w:sz w:val="24"/>
                <w:szCs w:val="24"/>
              </w:rPr>
            </w:pPr>
          </w:p>
        </w:tc>
        <w:tc>
          <w:tcPr>
            <w:tcW w:w="1891" w:type="dxa"/>
            <w:tcBorders>
              <w:top w:val="nil"/>
              <w:left w:val="nil"/>
              <w:bottom w:val="nil"/>
              <w:right w:val="nil"/>
            </w:tcBorders>
          </w:tcPr>
          <w:p w14:paraId="00543B6E" w14:textId="77777777" w:rsidR="00722A28" w:rsidRPr="00722A28" w:rsidRDefault="00722A28" w:rsidP="00722A28">
            <w:pPr>
              <w:rPr>
                <w:rFonts w:ascii="Times New Roman" w:hAnsi="Times New Roman"/>
                <w:sz w:val="24"/>
                <w:szCs w:val="24"/>
              </w:rPr>
            </w:pPr>
          </w:p>
        </w:tc>
      </w:tr>
      <w:tr w:rsidR="00722A28" w:rsidRPr="00722A28" w14:paraId="3528D99A" w14:textId="77777777" w:rsidTr="00722A28">
        <w:trPr>
          <w:divId w:val="448934348"/>
        </w:trPr>
        <w:tc>
          <w:tcPr>
            <w:tcW w:w="3029" w:type="dxa"/>
            <w:tcBorders>
              <w:top w:val="nil"/>
              <w:left w:val="nil"/>
              <w:bottom w:val="nil"/>
              <w:right w:val="nil"/>
            </w:tcBorders>
          </w:tcPr>
          <w:p w14:paraId="3DE1FD33"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Low alcohol use</w:t>
            </w:r>
          </w:p>
        </w:tc>
        <w:tc>
          <w:tcPr>
            <w:tcW w:w="1808" w:type="dxa"/>
            <w:tcBorders>
              <w:top w:val="nil"/>
              <w:left w:val="nil"/>
              <w:bottom w:val="nil"/>
              <w:right w:val="nil"/>
            </w:tcBorders>
          </w:tcPr>
          <w:p w14:paraId="21BB739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2,191 (81.9)</w:t>
            </w:r>
          </w:p>
        </w:tc>
        <w:tc>
          <w:tcPr>
            <w:tcW w:w="1988" w:type="dxa"/>
            <w:tcBorders>
              <w:top w:val="nil"/>
              <w:left w:val="nil"/>
              <w:bottom w:val="nil"/>
              <w:right w:val="nil"/>
            </w:tcBorders>
          </w:tcPr>
          <w:p w14:paraId="2F4DDDB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1,334 (74.6)</w:t>
            </w:r>
          </w:p>
        </w:tc>
        <w:tc>
          <w:tcPr>
            <w:tcW w:w="1942" w:type="dxa"/>
            <w:tcBorders>
              <w:top w:val="nil"/>
              <w:left w:val="nil"/>
              <w:bottom w:val="nil"/>
              <w:right w:val="nil"/>
            </w:tcBorders>
          </w:tcPr>
          <w:p w14:paraId="594087DB"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c>
          <w:tcPr>
            <w:tcW w:w="1727" w:type="dxa"/>
            <w:tcBorders>
              <w:top w:val="nil"/>
              <w:left w:val="nil"/>
              <w:bottom w:val="nil"/>
              <w:right w:val="nil"/>
            </w:tcBorders>
          </w:tcPr>
          <w:p w14:paraId="1BA8C17D"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2,160 (82.1)</w:t>
            </w:r>
          </w:p>
        </w:tc>
        <w:tc>
          <w:tcPr>
            <w:tcW w:w="1563" w:type="dxa"/>
            <w:tcBorders>
              <w:top w:val="nil"/>
              <w:left w:val="nil"/>
              <w:bottom w:val="nil"/>
              <w:right w:val="nil"/>
            </w:tcBorders>
          </w:tcPr>
          <w:p w14:paraId="3413A596"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1,365 (74.4)</w:t>
            </w:r>
          </w:p>
        </w:tc>
        <w:tc>
          <w:tcPr>
            <w:tcW w:w="1891" w:type="dxa"/>
            <w:tcBorders>
              <w:top w:val="nil"/>
              <w:left w:val="nil"/>
              <w:bottom w:val="nil"/>
              <w:right w:val="nil"/>
            </w:tcBorders>
          </w:tcPr>
          <w:p w14:paraId="70C448C6"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ref</w:t>
            </w:r>
          </w:p>
        </w:tc>
      </w:tr>
      <w:tr w:rsidR="00722A28" w:rsidRPr="00722A28" w14:paraId="30D0EAF0" w14:textId="77777777" w:rsidTr="00722A28">
        <w:trPr>
          <w:divId w:val="448934348"/>
          <w:trHeight w:val="438"/>
        </w:trPr>
        <w:tc>
          <w:tcPr>
            <w:tcW w:w="3029" w:type="dxa"/>
            <w:tcBorders>
              <w:top w:val="nil"/>
              <w:left w:val="nil"/>
              <w:bottom w:val="nil"/>
              <w:right w:val="nil"/>
            </w:tcBorders>
          </w:tcPr>
          <w:p w14:paraId="7B30C494"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Frequent drinking only</w:t>
            </w:r>
          </w:p>
        </w:tc>
        <w:tc>
          <w:tcPr>
            <w:tcW w:w="1808" w:type="dxa"/>
            <w:tcBorders>
              <w:top w:val="nil"/>
              <w:left w:val="nil"/>
              <w:bottom w:val="nil"/>
              <w:right w:val="nil"/>
            </w:tcBorders>
          </w:tcPr>
          <w:p w14:paraId="18F2679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283 (10.6)</w:t>
            </w:r>
          </w:p>
        </w:tc>
        <w:tc>
          <w:tcPr>
            <w:tcW w:w="1988" w:type="dxa"/>
            <w:tcBorders>
              <w:top w:val="nil"/>
              <w:left w:val="nil"/>
              <w:bottom w:val="nil"/>
              <w:right w:val="nil"/>
            </w:tcBorders>
          </w:tcPr>
          <w:p w14:paraId="267CCF3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197 (11.0)</w:t>
            </w:r>
          </w:p>
        </w:tc>
        <w:tc>
          <w:tcPr>
            <w:tcW w:w="1942" w:type="dxa"/>
            <w:tcBorders>
              <w:top w:val="nil"/>
              <w:left w:val="nil"/>
              <w:bottom w:val="nil"/>
              <w:right w:val="nil"/>
            </w:tcBorders>
          </w:tcPr>
          <w:p w14:paraId="1D265623"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0.88 (.72,1.06)</w:t>
            </w:r>
          </w:p>
        </w:tc>
        <w:tc>
          <w:tcPr>
            <w:tcW w:w="1727" w:type="dxa"/>
            <w:tcBorders>
              <w:top w:val="nil"/>
              <w:left w:val="nil"/>
              <w:bottom w:val="nil"/>
              <w:right w:val="nil"/>
            </w:tcBorders>
          </w:tcPr>
          <w:p w14:paraId="62C3386E"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 xml:space="preserve">   280 (10.6)</w:t>
            </w:r>
          </w:p>
        </w:tc>
        <w:tc>
          <w:tcPr>
            <w:tcW w:w="1563" w:type="dxa"/>
            <w:tcBorders>
              <w:top w:val="nil"/>
              <w:left w:val="nil"/>
              <w:bottom w:val="nil"/>
              <w:right w:val="nil"/>
            </w:tcBorders>
          </w:tcPr>
          <w:p w14:paraId="7658CB3E"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200 (10.9)</w:t>
            </w:r>
          </w:p>
        </w:tc>
        <w:tc>
          <w:tcPr>
            <w:tcW w:w="1891" w:type="dxa"/>
            <w:tcBorders>
              <w:top w:val="nil"/>
              <w:left w:val="nil"/>
              <w:bottom w:val="nil"/>
              <w:right w:val="nil"/>
            </w:tcBorders>
          </w:tcPr>
          <w:p w14:paraId="477A1052"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0.88 (.73, 1.07)</w:t>
            </w:r>
          </w:p>
        </w:tc>
      </w:tr>
      <w:tr w:rsidR="00722A28" w:rsidRPr="00722A28" w14:paraId="16E4B422" w14:textId="77777777" w:rsidTr="00722A28">
        <w:trPr>
          <w:divId w:val="448934348"/>
        </w:trPr>
        <w:tc>
          <w:tcPr>
            <w:tcW w:w="3029" w:type="dxa"/>
            <w:tcBorders>
              <w:top w:val="nil"/>
              <w:left w:val="nil"/>
              <w:bottom w:val="double" w:sz="4" w:space="0" w:color="auto"/>
              <w:right w:val="nil"/>
            </w:tcBorders>
          </w:tcPr>
          <w:p w14:paraId="59D1C829" w14:textId="77777777" w:rsidR="00722A28" w:rsidRPr="00722A28" w:rsidRDefault="00722A28" w:rsidP="00722A28">
            <w:pPr>
              <w:jc w:val="right"/>
              <w:rPr>
                <w:rFonts w:ascii="Times New Roman" w:hAnsi="Times New Roman"/>
                <w:sz w:val="24"/>
                <w:szCs w:val="24"/>
              </w:rPr>
            </w:pPr>
            <w:r w:rsidRPr="00722A28">
              <w:rPr>
                <w:rFonts w:ascii="Times New Roman" w:hAnsi="Times New Roman"/>
                <w:sz w:val="24"/>
                <w:szCs w:val="24"/>
              </w:rPr>
              <w:t>Frequent and binge</w:t>
            </w:r>
          </w:p>
        </w:tc>
        <w:tc>
          <w:tcPr>
            <w:tcW w:w="1808" w:type="dxa"/>
            <w:tcBorders>
              <w:top w:val="nil"/>
              <w:left w:val="nil"/>
              <w:bottom w:val="double" w:sz="4" w:space="0" w:color="auto"/>
              <w:right w:val="nil"/>
            </w:tcBorders>
          </w:tcPr>
          <w:p w14:paraId="5FF8B7F7"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203 (7.6)</w:t>
            </w:r>
          </w:p>
        </w:tc>
        <w:tc>
          <w:tcPr>
            <w:tcW w:w="1988" w:type="dxa"/>
            <w:tcBorders>
              <w:top w:val="nil"/>
              <w:left w:val="nil"/>
              <w:bottom w:val="double" w:sz="4" w:space="0" w:color="auto"/>
              <w:right w:val="nil"/>
            </w:tcBorders>
          </w:tcPr>
          <w:p w14:paraId="63B66E39"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258 (14.4)</w:t>
            </w:r>
          </w:p>
        </w:tc>
        <w:tc>
          <w:tcPr>
            <w:tcW w:w="1942" w:type="dxa"/>
            <w:tcBorders>
              <w:top w:val="nil"/>
              <w:left w:val="nil"/>
              <w:bottom w:val="double" w:sz="4" w:space="0" w:color="auto"/>
              <w:right w:val="nil"/>
            </w:tcBorders>
          </w:tcPr>
          <w:p w14:paraId="68AF6555"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0.48 (.39, .58)</w:t>
            </w:r>
          </w:p>
        </w:tc>
        <w:tc>
          <w:tcPr>
            <w:tcW w:w="1727" w:type="dxa"/>
            <w:tcBorders>
              <w:top w:val="nil"/>
              <w:left w:val="nil"/>
              <w:bottom w:val="double" w:sz="4" w:space="0" w:color="auto"/>
              <w:right w:val="nil"/>
            </w:tcBorders>
          </w:tcPr>
          <w:p w14:paraId="2BCF6BE9" w14:textId="77777777" w:rsidR="00722A28" w:rsidRPr="00722A28" w:rsidRDefault="00722A28" w:rsidP="00722A28">
            <w:pPr>
              <w:jc w:val="center"/>
              <w:rPr>
                <w:rFonts w:ascii="Times New Roman" w:hAnsi="Times New Roman"/>
                <w:sz w:val="24"/>
                <w:szCs w:val="24"/>
              </w:rPr>
            </w:pPr>
            <w:r w:rsidRPr="00722A28">
              <w:rPr>
                <w:rFonts w:ascii="Times New Roman" w:hAnsi="Times New Roman"/>
                <w:sz w:val="24"/>
                <w:szCs w:val="24"/>
              </w:rPr>
              <w:t>192 (7.3)</w:t>
            </w:r>
          </w:p>
        </w:tc>
        <w:tc>
          <w:tcPr>
            <w:tcW w:w="1563" w:type="dxa"/>
            <w:tcBorders>
              <w:top w:val="nil"/>
              <w:left w:val="nil"/>
              <w:bottom w:val="double" w:sz="4" w:space="0" w:color="auto"/>
              <w:right w:val="nil"/>
            </w:tcBorders>
          </w:tcPr>
          <w:p w14:paraId="4F6B910D"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 xml:space="preserve">   269 (14.7)</w:t>
            </w:r>
          </w:p>
        </w:tc>
        <w:tc>
          <w:tcPr>
            <w:tcW w:w="1891" w:type="dxa"/>
            <w:tcBorders>
              <w:top w:val="nil"/>
              <w:left w:val="nil"/>
              <w:bottom w:val="double" w:sz="4" w:space="0" w:color="auto"/>
              <w:right w:val="nil"/>
            </w:tcBorders>
          </w:tcPr>
          <w:p w14:paraId="6CA87D88" w14:textId="77777777" w:rsidR="00722A28" w:rsidRPr="00722A28" w:rsidRDefault="00722A28" w:rsidP="00722A28">
            <w:pPr>
              <w:rPr>
                <w:rFonts w:ascii="Times New Roman" w:hAnsi="Times New Roman"/>
                <w:sz w:val="24"/>
                <w:szCs w:val="24"/>
              </w:rPr>
            </w:pPr>
            <w:r w:rsidRPr="00722A28">
              <w:rPr>
                <w:rFonts w:ascii="Times New Roman" w:hAnsi="Times New Roman"/>
                <w:sz w:val="24"/>
                <w:szCs w:val="24"/>
              </w:rPr>
              <w:t>0.45 (.37, .55)</w:t>
            </w:r>
          </w:p>
        </w:tc>
      </w:tr>
    </w:tbl>
    <w:p w14:paraId="5EDF3B37" w14:textId="77777777" w:rsidR="00722A28" w:rsidRPr="00722A28" w:rsidRDefault="00722A28" w:rsidP="00722A28">
      <w:pPr>
        <w:spacing w:after="0" w:line="240" w:lineRule="auto"/>
        <w:divId w:val="448934348"/>
        <w:rPr>
          <w:rFonts w:ascii="Arial" w:eastAsia="Times New Roman" w:hAnsi="Arial" w:cs="Arial"/>
        </w:rPr>
      </w:pPr>
    </w:p>
    <w:p w14:paraId="34EF9608" w14:textId="77777777" w:rsidR="00722A28" w:rsidRPr="00722A28" w:rsidRDefault="00722A28" w:rsidP="00722A28">
      <w:pPr>
        <w:spacing w:after="0" w:line="240" w:lineRule="auto"/>
        <w:divId w:val="448934348"/>
        <w:rPr>
          <w:rFonts w:ascii="Arial" w:eastAsia="Times New Roman" w:hAnsi="Arial" w:cs="Arial"/>
        </w:rPr>
      </w:pPr>
    </w:p>
    <w:p w14:paraId="665B7DB5"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5EF2698F"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14C886DE"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6BEAA60C"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23F10B6E"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7150322E"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2CA209E5"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5F626158"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0EC7F679" w14:textId="77777777" w:rsidR="00722A28" w:rsidRPr="00722A28" w:rsidRDefault="00722A28" w:rsidP="00722A28">
      <w:pPr>
        <w:spacing w:after="0"/>
        <w:divId w:val="448934348"/>
        <w:rPr>
          <w:rFonts w:ascii="Times New Roman" w:eastAsia="Times New Roman" w:hAnsi="Times New Roman" w:cs="Times New Roman"/>
          <w:sz w:val="24"/>
          <w:szCs w:val="24"/>
        </w:rPr>
      </w:pPr>
      <w:r w:rsidRPr="00722A28">
        <w:rPr>
          <w:rFonts w:ascii="Times New Roman" w:eastAsia="Times New Roman" w:hAnsi="Times New Roman" w:cs="Times New Roman"/>
          <w:sz w:val="24"/>
          <w:szCs w:val="24"/>
        </w:rPr>
        <w:t>Note: Maternal education: &lt;O level</w:t>
      </w:r>
      <w:r w:rsidRPr="00722A28">
        <w:rPr>
          <w:rFonts w:ascii="Times New Roman" w:eastAsia="Calibri" w:hAnsi="Times New Roman" w:cs="Times New Roman"/>
          <w:sz w:val="24"/>
          <w:szCs w:val="24"/>
        </w:rPr>
        <w:t xml:space="preserve"> indicating no qualification; O level: indicating completion of school examinations at age 16; and &gt;O level: indicating completion of college or university education at or after age 18; </w:t>
      </w:r>
      <w:r w:rsidRPr="00722A28">
        <w:rPr>
          <w:rFonts w:ascii="Times New Roman" w:eastAsia="Times New Roman" w:hAnsi="Times New Roman" w:cs="Times New Roman"/>
          <w:sz w:val="24"/>
          <w:szCs w:val="24"/>
        </w:rPr>
        <w:t>SEP grouped into 4 categories: iv-v: unskilled or semiskilled manual; iii: skilled manual or nonmanual; ii: managerial and technical; and i: professional</w:t>
      </w:r>
    </w:p>
    <w:p w14:paraId="28472BDE" w14:textId="77777777" w:rsidR="00722A28" w:rsidRPr="00722A28" w:rsidRDefault="00722A28" w:rsidP="00722A28">
      <w:pPr>
        <w:spacing w:after="0"/>
        <w:divId w:val="448934348"/>
        <w:rPr>
          <w:rFonts w:ascii="Times New Roman" w:eastAsia="Times New Roman" w:hAnsi="Times New Roman" w:cs="Times New Roman"/>
          <w:sz w:val="24"/>
          <w:szCs w:val="24"/>
        </w:rPr>
      </w:pPr>
    </w:p>
    <w:p w14:paraId="2C167932"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49EB16D2"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6198533"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F740A39"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65DDD9AF"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0D371F95"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68D21EC"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9443BA2"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58EB032"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56E72169"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04337E3"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8D4EEE4"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2376E81"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2197089"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5D48EEA"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3D102A8"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46A88305"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448A0568"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7192C6D"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4D6AA80F" w14:textId="506468E6" w:rsidR="00722A28" w:rsidRPr="00722A28" w:rsidRDefault="00722A28" w:rsidP="00722A28">
      <w:pPr>
        <w:spacing w:after="0" w:line="240" w:lineRule="auto"/>
        <w:divId w:val="448934348"/>
        <w:rPr>
          <w:rFonts w:ascii="Times New Roman" w:eastAsia="Calibri" w:hAnsi="Times New Roman" w:cs="Times New Roman"/>
          <w:b/>
          <w:sz w:val="24"/>
        </w:rPr>
      </w:pPr>
      <w:r w:rsidRPr="00722A28">
        <w:rPr>
          <w:rFonts w:ascii="Times New Roman" w:eastAsia="Calibri" w:hAnsi="Times New Roman" w:cs="Times New Roman"/>
          <w:b/>
          <w:sz w:val="24"/>
          <w:szCs w:val="24"/>
        </w:rPr>
        <w:lastRenderedPageBreak/>
        <w:t xml:space="preserve">Table S2. </w:t>
      </w:r>
      <w:r w:rsidRPr="00722A28">
        <w:rPr>
          <w:rFonts w:ascii="Times New Roman" w:eastAsia="Calibri" w:hAnsi="Times New Roman" w:cs="Times New Roman"/>
          <w:b/>
          <w:sz w:val="24"/>
        </w:rPr>
        <w:t>Selective attrition for alcohol use at age 15 years and WM at age 18 years</w:t>
      </w:r>
    </w:p>
    <w:p w14:paraId="0FBE1B13" w14:textId="77777777" w:rsidR="00722A28" w:rsidRPr="00722A28" w:rsidRDefault="00722A28" w:rsidP="00722A28">
      <w:pPr>
        <w:spacing w:after="0" w:line="240" w:lineRule="auto"/>
        <w:divId w:val="448934348"/>
        <w:rPr>
          <w:rFonts w:ascii="Times New Roman" w:eastAsia="Calibri" w:hAnsi="Times New Roman" w:cs="Times New Roman"/>
          <w:b/>
          <w:sz w:val="24"/>
        </w:rPr>
      </w:pPr>
    </w:p>
    <w:tbl>
      <w:tblPr>
        <w:tblStyle w:val="TableGrid1"/>
        <w:tblW w:w="5000" w:type="pct"/>
        <w:tblLook w:val="04A0" w:firstRow="1" w:lastRow="0" w:firstColumn="1" w:lastColumn="0" w:noHBand="0" w:noVBand="1"/>
      </w:tblPr>
      <w:tblGrid>
        <w:gridCol w:w="3143"/>
        <w:gridCol w:w="1730"/>
        <w:gridCol w:w="1733"/>
        <w:gridCol w:w="2046"/>
        <w:gridCol w:w="1730"/>
        <w:gridCol w:w="1887"/>
        <w:gridCol w:w="2517"/>
      </w:tblGrid>
      <w:tr w:rsidR="00722A28" w:rsidRPr="00722A28" w14:paraId="120C6E7D" w14:textId="77777777" w:rsidTr="00722A28">
        <w:trPr>
          <w:divId w:val="448934348"/>
        </w:trPr>
        <w:tc>
          <w:tcPr>
            <w:tcW w:w="1063" w:type="pct"/>
            <w:tcBorders>
              <w:top w:val="double" w:sz="4" w:space="0" w:color="auto"/>
              <w:left w:val="nil"/>
              <w:bottom w:val="nil"/>
            </w:tcBorders>
          </w:tcPr>
          <w:p w14:paraId="0B21504B" w14:textId="77777777" w:rsidR="00722A28" w:rsidRPr="00722A28" w:rsidRDefault="00722A28" w:rsidP="00722A28">
            <w:pPr>
              <w:spacing w:line="360" w:lineRule="auto"/>
              <w:rPr>
                <w:rFonts w:ascii="Times New Roman" w:eastAsia="Calibri" w:hAnsi="Times New Roman" w:cs="Times New Roman"/>
                <w:sz w:val="24"/>
                <w:szCs w:val="24"/>
              </w:rPr>
            </w:pPr>
          </w:p>
        </w:tc>
        <w:tc>
          <w:tcPr>
            <w:tcW w:w="1863" w:type="pct"/>
            <w:gridSpan w:val="3"/>
            <w:tcBorders>
              <w:top w:val="double" w:sz="4" w:space="0" w:color="auto"/>
              <w:bottom w:val="nil"/>
              <w:right w:val="nil"/>
            </w:tcBorders>
          </w:tcPr>
          <w:p w14:paraId="1811FD0E" w14:textId="77777777" w:rsidR="00722A28" w:rsidRPr="00722A28" w:rsidRDefault="00722A28" w:rsidP="00722A28">
            <w:pPr>
              <w:spacing w:line="360" w:lineRule="auto"/>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2-back task</w:t>
            </w:r>
          </w:p>
        </w:tc>
        <w:tc>
          <w:tcPr>
            <w:tcW w:w="2074" w:type="pct"/>
            <w:gridSpan w:val="3"/>
            <w:tcBorders>
              <w:top w:val="double" w:sz="4" w:space="0" w:color="auto"/>
              <w:left w:val="nil"/>
              <w:right w:val="nil"/>
            </w:tcBorders>
          </w:tcPr>
          <w:p w14:paraId="0525B138" w14:textId="77777777" w:rsidR="00722A28" w:rsidRPr="00722A28" w:rsidRDefault="00722A28" w:rsidP="00722A28">
            <w:pPr>
              <w:spacing w:line="360" w:lineRule="auto"/>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3-back task</w:t>
            </w:r>
          </w:p>
        </w:tc>
      </w:tr>
      <w:tr w:rsidR="00722A28" w:rsidRPr="00722A28" w14:paraId="22D705FB" w14:textId="77777777" w:rsidTr="00722A28">
        <w:trPr>
          <w:divId w:val="448934348"/>
        </w:trPr>
        <w:tc>
          <w:tcPr>
            <w:tcW w:w="1063" w:type="pct"/>
            <w:tcBorders>
              <w:top w:val="nil"/>
              <w:left w:val="nil"/>
              <w:bottom w:val="nil"/>
            </w:tcBorders>
          </w:tcPr>
          <w:p w14:paraId="01F76D48" w14:textId="77777777" w:rsidR="00722A28" w:rsidRPr="00722A28" w:rsidRDefault="00722A28" w:rsidP="00722A28">
            <w:pPr>
              <w:spacing w:line="360" w:lineRule="auto"/>
              <w:rPr>
                <w:rFonts w:ascii="Times New Roman" w:eastAsia="Calibri" w:hAnsi="Times New Roman" w:cs="Times New Roman"/>
                <w:sz w:val="24"/>
                <w:szCs w:val="24"/>
              </w:rPr>
            </w:pPr>
          </w:p>
        </w:tc>
        <w:tc>
          <w:tcPr>
            <w:tcW w:w="585" w:type="pct"/>
            <w:tcBorders>
              <w:top w:val="single" w:sz="4" w:space="0" w:color="auto"/>
              <w:bottom w:val="nil"/>
              <w:right w:val="nil"/>
            </w:tcBorders>
          </w:tcPr>
          <w:p w14:paraId="0C281BA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Available </w:t>
            </w:r>
          </w:p>
        </w:tc>
        <w:tc>
          <w:tcPr>
            <w:tcW w:w="586" w:type="pct"/>
            <w:tcBorders>
              <w:top w:val="single" w:sz="4" w:space="0" w:color="auto"/>
              <w:left w:val="nil"/>
              <w:bottom w:val="nil"/>
              <w:right w:val="nil"/>
            </w:tcBorders>
          </w:tcPr>
          <w:p w14:paraId="79B9ADDC"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Not available</w:t>
            </w:r>
          </w:p>
        </w:tc>
        <w:tc>
          <w:tcPr>
            <w:tcW w:w="692" w:type="pct"/>
            <w:tcBorders>
              <w:left w:val="nil"/>
              <w:bottom w:val="nil"/>
              <w:right w:val="single" w:sz="4" w:space="0" w:color="auto"/>
            </w:tcBorders>
          </w:tcPr>
          <w:p w14:paraId="634FB9BC"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OR (95% CI)</w:t>
            </w:r>
          </w:p>
        </w:tc>
        <w:tc>
          <w:tcPr>
            <w:tcW w:w="585" w:type="pct"/>
            <w:tcBorders>
              <w:left w:val="single" w:sz="4" w:space="0" w:color="auto"/>
              <w:bottom w:val="nil"/>
              <w:right w:val="nil"/>
            </w:tcBorders>
          </w:tcPr>
          <w:p w14:paraId="049556B7"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Available</w:t>
            </w:r>
          </w:p>
        </w:tc>
        <w:tc>
          <w:tcPr>
            <w:tcW w:w="638" w:type="pct"/>
            <w:tcBorders>
              <w:left w:val="nil"/>
              <w:bottom w:val="nil"/>
              <w:right w:val="nil"/>
            </w:tcBorders>
          </w:tcPr>
          <w:p w14:paraId="702C4FCB"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Not available </w:t>
            </w:r>
          </w:p>
        </w:tc>
        <w:tc>
          <w:tcPr>
            <w:tcW w:w="851" w:type="pct"/>
            <w:tcBorders>
              <w:left w:val="nil"/>
              <w:bottom w:val="nil"/>
              <w:right w:val="nil"/>
            </w:tcBorders>
          </w:tcPr>
          <w:p w14:paraId="6EFE0A1E"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OR (95% CI)</w:t>
            </w:r>
          </w:p>
        </w:tc>
      </w:tr>
      <w:tr w:rsidR="00722A28" w:rsidRPr="00722A28" w14:paraId="5B013FE2" w14:textId="77777777" w:rsidTr="00722A28">
        <w:trPr>
          <w:divId w:val="448934348"/>
        </w:trPr>
        <w:tc>
          <w:tcPr>
            <w:tcW w:w="1063" w:type="pct"/>
            <w:tcBorders>
              <w:top w:val="nil"/>
              <w:left w:val="nil"/>
            </w:tcBorders>
          </w:tcPr>
          <w:p w14:paraId="2E0D2302" w14:textId="77777777" w:rsidR="00722A28" w:rsidRPr="00722A28" w:rsidRDefault="00722A28" w:rsidP="00722A28">
            <w:pPr>
              <w:spacing w:line="360" w:lineRule="auto"/>
              <w:rPr>
                <w:rFonts w:ascii="Times New Roman" w:eastAsia="Calibri" w:hAnsi="Times New Roman" w:cs="Times New Roman"/>
                <w:sz w:val="24"/>
                <w:szCs w:val="24"/>
              </w:rPr>
            </w:pPr>
          </w:p>
        </w:tc>
        <w:tc>
          <w:tcPr>
            <w:tcW w:w="585" w:type="pct"/>
            <w:tcBorders>
              <w:top w:val="nil"/>
              <w:right w:val="nil"/>
            </w:tcBorders>
          </w:tcPr>
          <w:p w14:paraId="4904DFBD"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n</w:t>
            </w:r>
            <w:r w:rsidRPr="00722A28">
              <w:rPr>
                <w:rFonts w:ascii="Times New Roman" w:eastAsia="Calibri" w:hAnsi="Times New Roman" w:cs="Times New Roman"/>
                <w:sz w:val="24"/>
                <w:szCs w:val="24"/>
              </w:rPr>
              <w:t xml:space="preserve"> (%)</w:t>
            </w:r>
          </w:p>
        </w:tc>
        <w:tc>
          <w:tcPr>
            <w:tcW w:w="586" w:type="pct"/>
            <w:tcBorders>
              <w:top w:val="nil"/>
              <w:left w:val="nil"/>
              <w:right w:val="nil"/>
            </w:tcBorders>
          </w:tcPr>
          <w:p w14:paraId="5B083199"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n</w:t>
            </w:r>
            <w:r w:rsidRPr="00722A28">
              <w:rPr>
                <w:rFonts w:ascii="Times New Roman" w:eastAsia="Calibri" w:hAnsi="Times New Roman" w:cs="Times New Roman"/>
                <w:sz w:val="24"/>
                <w:szCs w:val="24"/>
              </w:rPr>
              <w:t xml:space="preserve"> (%)</w:t>
            </w:r>
          </w:p>
        </w:tc>
        <w:tc>
          <w:tcPr>
            <w:tcW w:w="692" w:type="pct"/>
            <w:tcBorders>
              <w:top w:val="nil"/>
              <w:left w:val="nil"/>
              <w:right w:val="single" w:sz="4" w:space="0" w:color="auto"/>
            </w:tcBorders>
          </w:tcPr>
          <w:p w14:paraId="64638F8C" w14:textId="77777777" w:rsidR="00722A28" w:rsidRPr="00722A28" w:rsidRDefault="00722A28" w:rsidP="00722A28">
            <w:pPr>
              <w:spacing w:line="360" w:lineRule="auto"/>
              <w:rPr>
                <w:rFonts w:ascii="Times New Roman" w:eastAsia="Calibri" w:hAnsi="Times New Roman" w:cs="Times New Roman"/>
                <w:sz w:val="24"/>
                <w:szCs w:val="24"/>
              </w:rPr>
            </w:pPr>
          </w:p>
        </w:tc>
        <w:tc>
          <w:tcPr>
            <w:tcW w:w="585" w:type="pct"/>
            <w:tcBorders>
              <w:top w:val="nil"/>
              <w:left w:val="single" w:sz="4" w:space="0" w:color="auto"/>
              <w:right w:val="nil"/>
            </w:tcBorders>
          </w:tcPr>
          <w:p w14:paraId="5A86ED50"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n</w:t>
            </w:r>
            <w:r w:rsidRPr="00722A28">
              <w:rPr>
                <w:rFonts w:ascii="Times New Roman" w:eastAsia="Calibri" w:hAnsi="Times New Roman" w:cs="Times New Roman"/>
                <w:sz w:val="24"/>
                <w:szCs w:val="24"/>
              </w:rPr>
              <w:t xml:space="preserve"> (%)</w:t>
            </w:r>
          </w:p>
        </w:tc>
        <w:tc>
          <w:tcPr>
            <w:tcW w:w="638" w:type="pct"/>
            <w:tcBorders>
              <w:top w:val="nil"/>
              <w:left w:val="nil"/>
              <w:right w:val="nil"/>
            </w:tcBorders>
          </w:tcPr>
          <w:p w14:paraId="054AEEC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n</w:t>
            </w:r>
            <w:r w:rsidRPr="00722A28">
              <w:rPr>
                <w:rFonts w:ascii="Times New Roman" w:eastAsia="Calibri" w:hAnsi="Times New Roman" w:cs="Times New Roman"/>
                <w:sz w:val="24"/>
                <w:szCs w:val="24"/>
              </w:rPr>
              <w:t xml:space="preserve"> (%)</w:t>
            </w:r>
          </w:p>
        </w:tc>
        <w:tc>
          <w:tcPr>
            <w:tcW w:w="851" w:type="pct"/>
            <w:tcBorders>
              <w:top w:val="nil"/>
              <w:left w:val="nil"/>
              <w:right w:val="nil"/>
            </w:tcBorders>
          </w:tcPr>
          <w:p w14:paraId="26B72488" w14:textId="77777777" w:rsidR="00722A28" w:rsidRPr="00722A28" w:rsidRDefault="00722A28" w:rsidP="00722A28">
            <w:pPr>
              <w:spacing w:line="360" w:lineRule="auto"/>
              <w:rPr>
                <w:rFonts w:ascii="Times New Roman" w:eastAsia="Calibri" w:hAnsi="Times New Roman" w:cs="Times New Roman"/>
                <w:sz w:val="24"/>
                <w:szCs w:val="24"/>
              </w:rPr>
            </w:pPr>
          </w:p>
        </w:tc>
      </w:tr>
      <w:tr w:rsidR="00722A28" w:rsidRPr="00722A28" w14:paraId="703DBE90" w14:textId="77777777" w:rsidTr="00722A28">
        <w:trPr>
          <w:divId w:val="448934348"/>
        </w:trPr>
        <w:tc>
          <w:tcPr>
            <w:tcW w:w="1063" w:type="pct"/>
            <w:tcBorders>
              <w:left w:val="nil"/>
              <w:bottom w:val="nil"/>
            </w:tcBorders>
          </w:tcPr>
          <w:p w14:paraId="59FCB012"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Low alcohol use</w:t>
            </w:r>
          </w:p>
        </w:tc>
        <w:tc>
          <w:tcPr>
            <w:tcW w:w="585" w:type="pct"/>
            <w:tcBorders>
              <w:bottom w:val="nil"/>
              <w:right w:val="nil"/>
            </w:tcBorders>
          </w:tcPr>
          <w:p w14:paraId="4DFB7CC1"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2,191 (81.9)</w:t>
            </w:r>
          </w:p>
        </w:tc>
        <w:tc>
          <w:tcPr>
            <w:tcW w:w="586" w:type="pct"/>
            <w:tcBorders>
              <w:left w:val="nil"/>
              <w:bottom w:val="nil"/>
              <w:right w:val="nil"/>
            </w:tcBorders>
          </w:tcPr>
          <w:p w14:paraId="43EDC643"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556 (76.3)</w:t>
            </w:r>
          </w:p>
        </w:tc>
        <w:tc>
          <w:tcPr>
            <w:tcW w:w="692" w:type="pct"/>
            <w:tcBorders>
              <w:left w:val="nil"/>
              <w:bottom w:val="nil"/>
              <w:right w:val="single" w:sz="4" w:space="0" w:color="auto"/>
            </w:tcBorders>
          </w:tcPr>
          <w:p w14:paraId="13DBE37E"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585" w:type="pct"/>
            <w:tcBorders>
              <w:left w:val="single" w:sz="4" w:space="0" w:color="auto"/>
              <w:bottom w:val="nil"/>
              <w:right w:val="nil"/>
            </w:tcBorders>
          </w:tcPr>
          <w:p w14:paraId="75B30281"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2,160 (82.1)</w:t>
            </w:r>
          </w:p>
        </w:tc>
        <w:tc>
          <w:tcPr>
            <w:tcW w:w="638" w:type="pct"/>
            <w:tcBorders>
              <w:left w:val="nil"/>
              <w:bottom w:val="nil"/>
              <w:right w:val="nil"/>
            </w:tcBorders>
          </w:tcPr>
          <w:p w14:paraId="6F7415BB"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587 (75.6)</w:t>
            </w:r>
          </w:p>
        </w:tc>
        <w:tc>
          <w:tcPr>
            <w:tcW w:w="851" w:type="pct"/>
            <w:tcBorders>
              <w:left w:val="nil"/>
              <w:bottom w:val="nil"/>
              <w:right w:val="nil"/>
            </w:tcBorders>
          </w:tcPr>
          <w:p w14:paraId="5372A556"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r>
      <w:tr w:rsidR="00722A28" w:rsidRPr="00722A28" w14:paraId="0605D356" w14:textId="77777777" w:rsidTr="00722A28">
        <w:trPr>
          <w:divId w:val="448934348"/>
        </w:trPr>
        <w:tc>
          <w:tcPr>
            <w:tcW w:w="1063" w:type="pct"/>
            <w:tcBorders>
              <w:top w:val="nil"/>
              <w:left w:val="nil"/>
              <w:bottom w:val="nil"/>
            </w:tcBorders>
          </w:tcPr>
          <w:p w14:paraId="0BC490DA"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Frequent drinking only</w:t>
            </w:r>
          </w:p>
        </w:tc>
        <w:tc>
          <w:tcPr>
            <w:tcW w:w="585" w:type="pct"/>
            <w:tcBorders>
              <w:top w:val="nil"/>
              <w:bottom w:val="nil"/>
              <w:right w:val="nil"/>
            </w:tcBorders>
          </w:tcPr>
          <w:p w14:paraId="0EF5BC76"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283 (10.6)</w:t>
            </w:r>
          </w:p>
        </w:tc>
        <w:tc>
          <w:tcPr>
            <w:tcW w:w="586" w:type="pct"/>
            <w:tcBorders>
              <w:top w:val="nil"/>
              <w:left w:val="nil"/>
              <w:bottom w:val="nil"/>
              <w:right w:val="nil"/>
            </w:tcBorders>
          </w:tcPr>
          <w:p w14:paraId="044BB65D"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76 (10.4)</w:t>
            </w:r>
          </w:p>
        </w:tc>
        <w:tc>
          <w:tcPr>
            <w:tcW w:w="692" w:type="pct"/>
            <w:tcBorders>
              <w:top w:val="nil"/>
              <w:left w:val="nil"/>
              <w:bottom w:val="nil"/>
              <w:right w:val="single" w:sz="4" w:space="0" w:color="auto"/>
            </w:tcBorders>
          </w:tcPr>
          <w:p w14:paraId="679FC9CD"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1.06 (.80, 1.39)</w:t>
            </w:r>
          </w:p>
        </w:tc>
        <w:tc>
          <w:tcPr>
            <w:tcW w:w="585" w:type="pct"/>
            <w:tcBorders>
              <w:top w:val="nil"/>
              <w:left w:val="single" w:sz="4" w:space="0" w:color="auto"/>
              <w:bottom w:val="nil"/>
              <w:right w:val="nil"/>
            </w:tcBorders>
          </w:tcPr>
          <w:p w14:paraId="780DAA44"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280 (10.6)</w:t>
            </w:r>
          </w:p>
        </w:tc>
        <w:tc>
          <w:tcPr>
            <w:tcW w:w="638" w:type="pct"/>
            <w:tcBorders>
              <w:top w:val="nil"/>
              <w:left w:val="nil"/>
              <w:bottom w:val="nil"/>
              <w:right w:val="nil"/>
            </w:tcBorders>
          </w:tcPr>
          <w:p w14:paraId="3F49E904"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79 (10.2)</w:t>
            </w:r>
          </w:p>
        </w:tc>
        <w:tc>
          <w:tcPr>
            <w:tcW w:w="851" w:type="pct"/>
            <w:tcBorders>
              <w:top w:val="nil"/>
              <w:left w:val="nil"/>
              <w:bottom w:val="nil"/>
              <w:right w:val="nil"/>
            </w:tcBorders>
          </w:tcPr>
          <w:p w14:paraId="117D111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1.04 (.80, 1.35)</w:t>
            </w:r>
          </w:p>
        </w:tc>
      </w:tr>
      <w:tr w:rsidR="00722A28" w:rsidRPr="00722A28" w14:paraId="0944AC11" w14:textId="77777777" w:rsidTr="00722A28">
        <w:trPr>
          <w:divId w:val="448934348"/>
        </w:trPr>
        <w:tc>
          <w:tcPr>
            <w:tcW w:w="1063" w:type="pct"/>
            <w:tcBorders>
              <w:top w:val="nil"/>
              <w:left w:val="nil"/>
              <w:bottom w:val="double" w:sz="4" w:space="0" w:color="auto"/>
            </w:tcBorders>
          </w:tcPr>
          <w:p w14:paraId="28894942"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Frequent and binge</w:t>
            </w:r>
          </w:p>
        </w:tc>
        <w:tc>
          <w:tcPr>
            <w:tcW w:w="585" w:type="pct"/>
            <w:tcBorders>
              <w:top w:val="nil"/>
              <w:bottom w:val="double" w:sz="4" w:space="0" w:color="auto"/>
              <w:right w:val="nil"/>
            </w:tcBorders>
          </w:tcPr>
          <w:p w14:paraId="35CC399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203 (7.6)</w:t>
            </w:r>
          </w:p>
        </w:tc>
        <w:tc>
          <w:tcPr>
            <w:tcW w:w="586" w:type="pct"/>
            <w:tcBorders>
              <w:top w:val="nil"/>
              <w:left w:val="nil"/>
              <w:bottom w:val="double" w:sz="4" w:space="0" w:color="auto"/>
              <w:right w:val="nil"/>
            </w:tcBorders>
          </w:tcPr>
          <w:p w14:paraId="76CA8D80"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99 (13.4)</w:t>
            </w:r>
          </w:p>
        </w:tc>
        <w:tc>
          <w:tcPr>
            <w:tcW w:w="692" w:type="pct"/>
            <w:tcBorders>
              <w:top w:val="nil"/>
              <w:left w:val="nil"/>
              <w:bottom w:val="double" w:sz="4" w:space="0" w:color="auto"/>
              <w:right w:val="single" w:sz="4" w:space="0" w:color="auto"/>
            </w:tcBorders>
          </w:tcPr>
          <w:p w14:paraId="53A36F6B"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1.92 (1.49, 2.49)</w:t>
            </w:r>
          </w:p>
        </w:tc>
        <w:tc>
          <w:tcPr>
            <w:tcW w:w="585" w:type="pct"/>
            <w:tcBorders>
              <w:top w:val="nil"/>
              <w:left w:val="single" w:sz="4" w:space="0" w:color="auto"/>
              <w:bottom w:val="double" w:sz="4" w:space="0" w:color="auto"/>
              <w:right w:val="nil"/>
            </w:tcBorders>
          </w:tcPr>
          <w:p w14:paraId="3FF648E4"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192 (7.3)</w:t>
            </w:r>
          </w:p>
        </w:tc>
        <w:tc>
          <w:tcPr>
            <w:tcW w:w="638" w:type="pct"/>
            <w:tcBorders>
              <w:top w:val="nil"/>
              <w:left w:val="nil"/>
              <w:bottom w:val="double" w:sz="4" w:space="0" w:color="auto"/>
              <w:right w:val="nil"/>
            </w:tcBorders>
          </w:tcPr>
          <w:p w14:paraId="665737AE"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110 (14.1)</w:t>
            </w:r>
          </w:p>
        </w:tc>
        <w:tc>
          <w:tcPr>
            <w:tcW w:w="851" w:type="pct"/>
            <w:tcBorders>
              <w:top w:val="nil"/>
              <w:left w:val="nil"/>
              <w:bottom w:val="double" w:sz="4" w:space="0" w:color="auto"/>
              <w:right w:val="nil"/>
            </w:tcBorders>
          </w:tcPr>
          <w:p w14:paraId="3AFFFAC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2.11 (1.64, 2.71)</w:t>
            </w:r>
          </w:p>
        </w:tc>
      </w:tr>
    </w:tbl>
    <w:p w14:paraId="2A89C0C0" w14:textId="77777777" w:rsidR="00722A28" w:rsidRPr="00722A28" w:rsidRDefault="00722A28" w:rsidP="00722A28">
      <w:pPr>
        <w:divId w:val="448934348"/>
        <w:rPr>
          <w:rFonts w:ascii="Times New Roman" w:eastAsia="Calibri" w:hAnsi="Times New Roman" w:cs="Times New Roman"/>
          <w:b/>
          <w:sz w:val="24"/>
          <w:szCs w:val="24"/>
        </w:rPr>
      </w:pPr>
    </w:p>
    <w:p w14:paraId="01B43E8D" w14:textId="77777777" w:rsidR="00722A28" w:rsidRPr="00722A28" w:rsidRDefault="00722A28" w:rsidP="00722A28">
      <w:pPr>
        <w:divId w:val="448934348"/>
        <w:rPr>
          <w:rFonts w:ascii="Times New Roman" w:eastAsia="Calibri" w:hAnsi="Times New Roman" w:cs="Times New Roman"/>
          <w:b/>
          <w:sz w:val="24"/>
          <w:szCs w:val="24"/>
        </w:rPr>
      </w:pPr>
    </w:p>
    <w:p w14:paraId="7AD04E8F" w14:textId="77777777" w:rsidR="00722A28" w:rsidRPr="00722A28" w:rsidRDefault="00722A28" w:rsidP="00722A28">
      <w:pPr>
        <w:divId w:val="448934348"/>
        <w:rPr>
          <w:rFonts w:ascii="Times New Roman" w:eastAsia="Calibri" w:hAnsi="Times New Roman" w:cs="Times New Roman"/>
          <w:b/>
          <w:sz w:val="24"/>
          <w:szCs w:val="24"/>
        </w:rPr>
      </w:pPr>
    </w:p>
    <w:p w14:paraId="2462ABA8" w14:textId="77777777" w:rsidR="00722A28" w:rsidRPr="00722A28" w:rsidRDefault="00722A28" w:rsidP="00722A28">
      <w:pPr>
        <w:divId w:val="448934348"/>
        <w:rPr>
          <w:rFonts w:ascii="Times New Roman" w:eastAsia="Calibri" w:hAnsi="Times New Roman" w:cs="Times New Roman"/>
          <w:b/>
          <w:sz w:val="24"/>
          <w:szCs w:val="24"/>
        </w:rPr>
      </w:pPr>
    </w:p>
    <w:p w14:paraId="785FFF34" w14:textId="77777777" w:rsidR="00722A28" w:rsidRPr="00722A28" w:rsidRDefault="00722A28" w:rsidP="00722A28">
      <w:pPr>
        <w:divId w:val="448934348"/>
        <w:rPr>
          <w:rFonts w:ascii="Times New Roman" w:eastAsia="Calibri" w:hAnsi="Times New Roman" w:cs="Times New Roman"/>
          <w:b/>
          <w:sz w:val="24"/>
          <w:szCs w:val="24"/>
        </w:rPr>
      </w:pPr>
    </w:p>
    <w:p w14:paraId="15CE706B" w14:textId="77777777" w:rsidR="00722A28" w:rsidRPr="00722A28" w:rsidRDefault="00722A28" w:rsidP="00722A28">
      <w:pPr>
        <w:divId w:val="448934348"/>
        <w:rPr>
          <w:rFonts w:ascii="Times New Roman" w:eastAsia="Calibri" w:hAnsi="Times New Roman" w:cs="Times New Roman"/>
          <w:b/>
          <w:sz w:val="24"/>
          <w:szCs w:val="24"/>
        </w:rPr>
      </w:pPr>
    </w:p>
    <w:p w14:paraId="2BBB7C88" w14:textId="77777777" w:rsidR="00722A28" w:rsidRPr="00722A28" w:rsidRDefault="00722A28" w:rsidP="00722A28">
      <w:pPr>
        <w:divId w:val="448934348"/>
        <w:rPr>
          <w:rFonts w:ascii="Times New Roman" w:eastAsia="Calibri" w:hAnsi="Times New Roman" w:cs="Times New Roman"/>
          <w:b/>
          <w:sz w:val="24"/>
          <w:szCs w:val="24"/>
        </w:rPr>
      </w:pPr>
    </w:p>
    <w:p w14:paraId="52A54812" w14:textId="77777777" w:rsidR="00722A28" w:rsidRPr="00722A28" w:rsidRDefault="00722A28" w:rsidP="00722A28">
      <w:pPr>
        <w:divId w:val="448934348"/>
        <w:rPr>
          <w:rFonts w:ascii="Times New Roman" w:eastAsia="Calibri" w:hAnsi="Times New Roman" w:cs="Times New Roman"/>
          <w:b/>
          <w:sz w:val="24"/>
          <w:szCs w:val="24"/>
        </w:rPr>
      </w:pPr>
    </w:p>
    <w:p w14:paraId="29CAAC23" w14:textId="77777777" w:rsidR="00722A28" w:rsidRPr="00722A28" w:rsidRDefault="00722A28" w:rsidP="00722A28">
      <w:pPr>
        <w:divId w:val="448934348"/>
        <w:rPr>
          <w:rFonts w:ascii="Times New Roman" w:eastAsia="Calibri" w:hAnsi="Times New Roman" w:cs="Times New Roman"/>
          <w:b/>
          <w:sz w:val="24"/>
          <w:szCs w:val="24"/>
        </w:rPr>
      </w:pPr>
    </w:p>
    <w:p w14:paraId="5F3A8D22" w14:textId="77777777" w:rsidR="00722A28" w:rsidRPr="00722A28" w:rsidRDefault="00722A28" w:rsidP="00722A28">
      <w:pPr>
        <w:divId w:val="448934348"/>
        <w:rPr>
          <w:rFonts w:ascii="Times New Roman" w:eastAsia="Calibri" w:hAnsi="Times New Roman" w:cs="Times New Roman"/>
          <w:b/>
          <w:sz w:val="24"/>
          <w:szCs w:val="24"/>
        </w:rPr>
      </w:pPr>
    </w:p>
    <w:p w14:paraId="64454A0F" w14:textId="77777777" w:rsidR="00722A28" w:rsidRPr="00722A28" w:rsidRDefault="00722A28" w:rsidP="00722A28">
      <w:pPr>
        <w:divId w:val="448934348"/>
        <w:rPr>
          <w:rFonts w:ascii="Times New Roman" w:eastAsia="Calibri" w:hAnsi="Times New Roman" w:cs="Times New Roman"/>
          <w:b/>
          <w:sz w:val="24"/>
          <w:szCs w:val="24"/>
        </w:rPr>
      </w:pPr>
    </w:p>
    <w:p w14:paraId="51371331" w14:textId="77777777" w:rsidR="00722A28" w:rsidRPr="00722A28" w:rsidRDefault="00722A28" w:rsidP="00722A28">
      <w:pPr>
        <w:divId w:val="448934348"/>
        <w:rPr>
          <w:rFonts w:ascii="Times New Roman" w:eastAsia="Calibri" w:hAnsi="Times New Roman" w:cs="Times New Roman"/>
          <w:b/>
          <w:sz w:val="24"/>
          <w:szCs w:val="24"/>
        </w:rPr>
      </w:pPr>
    </w:p>
    <w:p w14:paraId="48E80E4D" w14:textId="77777777" w:rsidR="00722A28" w:rsidRPr="00722A28" w:rsidRDefault="00722A28" w:rsidP="00722A28">
      <w:pPr>
        <w:divId w:val="448934348"/>
        <w:rPr>
          <w:rFonts w:ascii="Times New Roman" w:eastAsia="Calibri" w:hAnsi="Times New Roman" w:cs="Times New Roman"/>
          <w:b/>
          <w:sz w:val="24"/>
          <w:szCs w:val="24"/>
        </w:rPr>
      </w:pPr>
    </w:p>
    <w:p w14:paraId="09796F1A" w14:textId="77777777" w:rsidR="00722A28" w:rsidRPr="00722A28" w:rsidRDefault="00722A28" w:rsidP="00722A28">
      <w:pPr>
        <w:divId w:val="448934348"/>
        <w:rPr>
          <w:rFonts w:ascii="Times New Roman" w:eastAsia="Calibri" w:hAnsi="Times New Roman" w:cs="Times New Roman"/>
          <w:b/>
          <w:sz w:val="24"/>
          <w:szCs w:val="24"/>
        </w:rPr>
      </w:pPr>
    </w:p>
    <w:p w14:paraId="12A7E4BB" w14:textId="77777777" w:rsidR="00722A28" w:rsidRPr="00722A28" w:rsidRDefault="00722A28" w:rsidP="00722A28">
      <w:pPr>
        <w:divId w:val="448934348"/>
        <w:rPr>
          <w:rFonts w:ascii="Times New Roman" w:eastAsia="Calibri" w:hAnsi="Times New Roman" w:cs="Times New Roman"/>
          <w:b/>
          <w:sz w:val="24"/>
          <w:szCs w:val="24"/>
        </w:rPr>
        <w:sectPr w:rsidR="00722A28" w:rsidRPr="00722A28" w:rsidSect="000F4398">
          <w:pgSz w:w="16838" w:h="11906" w:orient="landscape"/>
          <w:pgMar w:top="1134" w:right="1134" w:bottom="1134" w:left="1134" w:header="708" w:footer="708" w:gutter="0"/>
          <w:cols w:space="708"/>
          <w:docGrid w:linePitch="360"/>
        </w:sectPr>
      </w:pPr>
    </w:p>
    <w:p w14:paraId="4DFE9AD2" w14:textId="77777777" w:rsidR="00722A28" w:rsidRPr="00722A28" w:rsidRDefault="00722A28" w:rsidP="00722A28">
      <w:pPr>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lastRenderedPageBreak/>
        <w:t>Working memory performance at age 18 years</w:t>
      </w:r>
    </w:p>
    <w:p w14:paraId="3B864FAB" w14:textId="77777777" w:rsidR="00722A28" w:rsidRPr="00722A28" w:rsidRDefault="00722A28" w:rsidP="00722A28">
      <w:pPr>
        <w:spacing w:after="0" w:line="480" w:lineRule="auto"/>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Overall, participants performed better on the 2-back task compared to the 3-back task using all four metrics: indicated by higher </w:t>
      </w:r>
      <w:r w:rsidRPr="00722A28">
        <w:rPr>
          <w:rFonts w:ascii="Times New Roman" w:eastAsia="Calibri" w:hAnsi="Times New Roman" w:cs="Times New Roman"/>
          <w:i/>
          <w:sz w:val="24"/>
          <w:szCs w:val="24"/>
        </w:rPr>
        <w:t>d´</w:t>
      </w:r>
      <w:r w:rsidRPr="00722A28">
        <w:rPr>
          <w:rFonts w:ascii="Times New Roman" w:eastAsia="Calibri" w:hAnsi="Times New Roman" w:cs="Times New Roman"/>
          <w:sz w:val="24"/>
          <w:szCs w:val="24"/>
        </w:rPr>
        <w:t xml:space="preserve"> scores on the 2-back version (M=1.78, SD=1.25) compared to the 3-back version (M=1.16, SD=1.03); recording more correct hits: 2-back version (M=0.72, SD=0.21) compared to the 3-back version (M=0.27, SD=0.22); fewer false alarms: 2-back version (M=0.80, SD=0.22) compared to the 3-back version (M=0.79, SD=0.17), whilst also recording quicker reaction times for hits: 2-back version (M=706.2, SD=236.3) compared to the 3-back version (M=744.2, SD=303.2); and false alarms: 2-back version (M=677.1, SD=211.9) compared to the 3-back version (M=702.7, SD=264.3).</w:t>
      </w:r>
    </w:p>
    <w:p w14:paraId="2AAB23BF" w14:textId="77777777" w:rsidR="00722A28" w:rsidRPr="00722A28" w:rsidRDefault="00722A28" w:rsidP="00722A28">
      <w:pPr>
        <w:divId w:val="448934348"/>
        <w:rPr>
          <w:rFonts w:ascii="Times New Roman" w:eastAsia="Calibri" w:hAnsi="Times New Roman" w:cs="Times New Roman"/>
          <w:sz w:val="24"/>
          <w:szCs w:val="24"/>
        </w:rPr>
      </w:pPr>
    </w:p>
    <w:p w14:paraId="02871AF3" w14:textId="77777777" w:rsidR="00722A28" w:rsidRPr="00722A28" w:rsidRDefault="00722A28" w:rsidP="00722A28">
      <w:pPr>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t>Cognitive measure: digit span task</w:t>
      </w:r>
    </w:p>
    <w:p w14:paraId="14219779" w14:textId="77777777" w:rsidR="00722A28" w:rsidRPr="00722A28" w:rsidRDefault="00722A28" w:rsidP="00722A28">
      <w:pPr>
        <w:spacing w:after="0" w:line="480" w:lineRule="auto"/>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To assess backwards digit span, the fieldworker gave a series of numbers out loud and asked the participant to recall them backwards with no time for pause. There were two practise items and seven test items (each item having two trials). Each item had one more number to recall than the preceding item (item 1 had two digits, item 7 had eight digits). The test was discontinued if a participant scored 0 on both trials of any item. For each item, the child gets 1 point for each number sequence correctly recalled resulting in a range from 0 to 7.</w:t>
      </w:r>
    </w:p>
    <w:p w14:paraId="67BCC377" w14:textId="77777777" w:rsidR="00722A28" w:rsidRPr="00722A28" w:rsidRDefault="00722A28" w:rsidP="00722A28">
      <w:pPr>
        <w:divId w:val="448934348"/>
        <w:rPr>
          <w:rFonts w:ascii="Times New Roman" w:eastAsia="Calibri" w:hAnsi="Times New Roman" w:cs="Times New Roman"/>
          <w:sz w:val="24"/>
          <w:szCs w:val="24"/>
        </w:rPr>
      </w:pPr>
    </w:p>
    <w:p w14:paraId="4FA39A26" w14:textId="77777777" w:rsidR="00722A28" w:rsidRPr="00722A28" w:rsidRDefault="00722A28" w:rsidP="00722A28">
      <w:pPr>
        <w:divId w:val="448934348"/>
        <w:rPr>
          <w:rFonts w:ascii="Times New Roman" w:eastAsia="Calibri" w:hAnsi="Times New Roman" w:cs="Times New Roman"/>
          <w:sz w:val="24"/>
          <w:szCs w:val="24"/>
        </w:rPr>
      </w:pPr>
    </w:p>
    <w:p w14:paraId="525D8F8D" w14:textId="77777777" w:rsidR="00722A28" w:rsidRPr="00722A28" w:rsidRDefault="00722A28" w:rsidP="00722A28">
      <w:pPr>
        <w:divId w:val="448934348"/>
        <w:rPr>
          <w:rFonts w:ascii="Times New Roman" w:eastAsia="Calibri" w:hAnsi="Times New Roman" w:cs="Times New Roman"/>
          <w:sz w:val="24"/>
          <w:szCs w:val="24"/>
        </w:rPr>
      </w:pPr>
    </w:p>
    <w:p w14:paraId="6A58F5B4" w14:textId="77777777" w:rsidR="00722A28" w:rsidRPr="00722A28" w:rsidRDefault="00722A28" w:rsidP="00722A28">
      <w:pPr>
        <w:divId w:val="448934348"/>
        <w:rPr>
          <w:rFonts w:ascii="Times New Roman" w:eastAsia="Calibri" w:hAnsi="Times New Roman" w:cs="Times New Roman"/>
          <w:sz w:val="24"/>
          <w:szCs w:val="24"/>
        </w:rPr>
      </w:pPr>
    </w:p>
    <w:p w14:paraId="71D6E04A" w14:textId="77777777" w:rsidR="00722A28" w:rsidRPr="00722A28" w:rsidRDefault="00722A28" w:rsidP="00722A28">
      <w:pPr>
        <w:divId w:val="448934348"/>
        <w:rPr>
          <w:rFonts w:ascii="Times New Roman" w:eastAsia="Calibri" w:hAnsi="Times New Roman" w:cs="Times New Roman"/>
          <w:sz w:val="24"/>
          <w:szCs w:val="24"/>
        </w:rPr>
      </w:pPr>
    </w:p>
    <w:p w14:paraId="5B677848" w14:textId="77777777" w:rsidR="00722A28" w:rsidRPr="00722A28" w:rsidRDefault="00722A28" w:rsidP="00722A28">
      <w:pPr>
        <w:divId w:val="448934348"/>
        <w:rPr>
          <w:rFonts w:ascii="Times New Roman" w:eastAsia="Calibri" w:hAnsi="Times New Roman" w:cs="Times New Roman"/>
          <w:sz w:val="24"/>
          <w:szCs w:val="24"/>
        </w:rPr>
      </w:pPr>
    </w:p>
    <w:p w14:paraId="2B7E56AC" w14:textId="77777777" w:rsidR="00722A28" w:rsidRPr="00722A28" w:rsidRDefault="00722A28" w:rsidP="00722A28">
      <w:pPr>
        <w:divId w:val="448934348"/>
        <w:rPr>
          <w:rFonts w:ascii="Times New Roman" w:eastAsia="Calibri" w:hAnsi="Times New Roman" w:cs="Times New Roman"/>
          <w:sz w:val="24"/>
          <w:szCs w:val="24"/>
        </w:rPr>
      </w:pPr>
    </w:p>
    <w:p w14:paraId="28CFC945" w14:textId="77777777" w:rsidR="00722A28" w:rsidRPr="00722A28" w:rsidRDefault="00722A28" w:rsidP="00722A28">
      <w:pPr>
        <w:divId w:val="448934348"/>
        <w:rPr>
          <w:rFonts w:ascii="Times New Roman" w:eastAsia="Calibri" w:hAnsi="Times New Roman" w:cs="Times New Roman"/>
          <w:sz w:val="24"/>
          <w:szCs w:val="24"/>
        </w:rPr>
      </w:pPr>
    </w:p>
    <w:p w14:paraId="46692C2A" w14:textId="77777777" w:rsidR="00722A28" w:rsidRPr="00722A28" w:rsidRDefault="00722A28" w:rsidP="00722A28">
      <w:pPr>
        <w:divId w:val="448934348"/>
        <w:rPr>
          <w:rFonts w:ascii="Times New Roman" w:eastAsia="Calibri" w:hAnsi="Times New Roman" w:cs="Times New Roman"/>
          <w:sz w:val="24"/>
          <w:szCs w:val="24"/>
        </w:rPr>
      </w:pPr>
    </w:p>
    <w:p w14:paraId="4BD027C4" w14:textId="77777777" w:rsidR="00722A28" w:rsidRPr="00722A28" w:rsidRDefault="00722A28" w:rsidP="00722A28">
      <w:pPr>
        <w:divId w:val="448934348"/>
        <w:rPr>
          <w:rFonts w:ascii="Times New Roman" w:eastAsia="Calibri" w:hAnsi="Times New Roman" w:cs="Times New Roman"/>
          <w:sz w:val="24"/>
          <w:szCs w:val="24"/>
        </w:rPr>
      </w:pPr>
    </w:p>
    <w:p w14:paraId="0B92623F" w14:textId="77777777" w:rsidR="00722A28" w:rsidRPr="00722A28" w:rsidRDefault="00722A28" w:rsidP="00722A28">
      <w:pPr>
        <w:divId w:val="448934348"/>
        <w:rPr>
          <w:rFonts w:ascii="Times New Roman" w:eastAsia="Calibri" w:hAnsi="Times New Roman" w:cs="Times New Roman"/>
          <w:sz w:val="24"/>
          <w:szCs w:val="24"/>
        </w:rPr>
      </w:pPr>
    </w:p>
    <w:p w14:paraId="09CFCEC6" w14:textId="77777777" w:rsidR="00722A28" w:rsidRPr="00722A28" w:rsidRDefault="00722A28" w:rsidP="00722A28">
      <w:pPr>
        <w:divId w:val="448934348"/>
        <w:rPr>
          <w:rFonts w:ascii="Times New Roman" w:eastAsia="Calibri" w:hAnsi="Times New Roman" w:cs="Times New Roman"/>
          <w:sz w:val="24"/>
          <w:szCs w:val="24"/>
        </w:rPr>
      </w:pPr>
    </w:p>
    <w:p w14:paraId="043C4B23" w14:textId="77777777" w:rsidR="00722A28" w:rsidRPr="00722A28" w:rsidRDefault="00722A28" w:rsidP="00722A28">
      <w:pPr>
        <w:ind w:firstLine="720"/>
        <w:divId w:val="448934348"/>
        <w:rPr>
          <w:rFonts w:ascii="Times New Roman" w:eastAsia="Calibri" w:hAnsi="Times New Roman" w:cs="Times New Roman"/>
          <w:sz w:val="24"/>
          <w:szCs w:val="24"/>
        </w:rPr>
        <w:sectPr w:rsidR="00722A28" w:rsidRPr="00722A28" w:rsidSect="00733061">
          <w:pgSz w:w="11906" w:h="16838"/>
          <w:pgMar w:top="1134" w:right="1134" w:bottom="1134" w:left="1134" w:header="708" w:footer="708" w:gutter="0"/>
          <w:cols w:space="708"/>
          <w:docGrid w:linePitch="360"/>
        </w:sectPr>
      </w:pPr>
    </w:p>
    <w:p w14:paraId="181B42F4" w14:textId="77777777" w:rsidR="00722A28" w:rsidRPr="00722A28" w:rsidRDefault="00722A28" w:rsidP="00722A28">
      <w:pPr>
        <w:spacing w:after="0"/>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lastRenderedPageBreak/>
        <w:t>Table S3.</w:t>
      </w:r>
      <w:r w:rsidRPr="00722A28">
        <w:rPr>
          <w:rFonts w:ascii="Times New Roman" w:eastAsia="Calibri" w:hAnsi="Times New Roman" w:cs="Times New Roman"/>
          <w:sz w:val="24"/>
          <w:szCs w:val="24"/>
        </w:rPr>
        <w:t xml:space="preserve"> </w:t>
      </w:r>
      <w:r w:rsidRPr="00722A28">
        <w:rPr>
          <w:rFonts w:ascii="Times New Roman" w:eastAsia="Calibri" w:hAnsi="Times New Roman" w:cs="Times New Roman"/>
          <w:b/>
          <w:sz w:val="24"/>
          <w:szCs w:val="24"/>
        </w:rPr>
        <w:t xml:space="preserve">Associations between alcohol consumption at age 15 years and potential confounding variables </w:t>
      </w:r>
    </w:p>
    <w:p w14:paraId="68E437D2" w14:textId="77777777" w:rsidR="00722A28" w:rsidRPr="00722A28" w:rsidRDefault="00722A28" w:rsidP="00722A28">
      <w:pPr>
        <w:spacing w:after="0"/>
        <w:divId w:val="448934348"/>
        <w:rPr>
          <w:rFonts w:ascii="Times New Roman" w:eastAsia="Calibri" w:hAnsi="Times New Roman" w:cs="Times New Roman"/>
          <w:sz w:val="24"/>
          <w:szCs w:val="24"/>
        </w:rPr>
      </w:pPr>
      <w:r w:rsidRPr="00722A28">
        <w:rPr>
          <w:rFonts w:ascii="Times New Roman" w:eastAsia="Calibri" w:hAnsi="Times New Roman" w:cs="Times New Roman"/>
          <w:b/>
          <w:sz w:val="24"/>
          <w:szCs w:val="24"/>
        </w:rPr>
        <w:t>(multivariable analysis)</w:t>
      </w:r>
    </w:p>
    <w:tbl>
      <w:tblPr>
        <w:tblStyle w:val="TableGrid11"/>
        <w:tblW w:w="4041" w:type="pct"/>
        <w:tblLook w:val="04A0" w:firstRow="1" w:lastRow="0" w:firstColumn="1" w:lastColumn="0" w:noHBand="0" w:noVBand="1"/>
      </w:tblPr>
      <w:tblGrid>
        <w:gridCol w:w="2135"/>
        <w:gridCol w:w="1148"/>
        <w:gridCol w:w="1143"/>
        <w:gridCol w:w="813"/>
        <w:gridCol w:w="1407"/>
        <w:gridCol w:w="1077"/>
        <w:gridCol w:w="740"/>
        <w:gridCol w:w="9"/>
        <w:gridCol w:w="1324"/>
        <w:gridCol w:w="1434"/>
        <w:gridCol w:w="225"/>
      </w:tblGrid>
      <w:tr w:rsidR="00722A28" w:rsidRPr="00722A28" w14:paraId="38D99128" w14:textId="77777777" w:rsidTr="00722A28">
        <w:trPr>
          <w:gridAfter w:val="1"/>
          <w:divId w:val="448934348"/>
          <w:wAfter w:w="98" w:type="pct"/>
        </w:trPr>
        <w:tc>
          <w:tcPr>
            <w:tcW w:w="932" w:type="pct"/>
            <w:tcBorders>
              <w:top w:val="double" w:sz="4" w:space="0" w:color="auto"/>
              <w:left w:val="nil"/>
            </w:tcBorders>
          </w:tcPr>
          <w:p w14:paraId="163E6170" w14:textId="77777777" w:rsidR="00722A28" w:rsidRPr="00722A28" w:rsidRDefault="00722A28" w:rsidP="00722A28">
            <w:pPr>
              <w:rPr>
                <w:rFonts w:ascii="Times New Roman" w:eastAsia="Calibri" w:hAnsi="Times New Roman" w:cs="Times New Roman"/>
                <w:sz w:val="24"/>
                <w:szCs w:val="24"/>
              </w:rPr>
            </w:pPr>
          </w:p>
        </w:tc>
        <w:tc>
          <w:tcPr>
            <w:tcW w:w="3970" w:type="pct"/>
            <w:gridSpan w:val="9"/>
            <w:tcBorders>
              <w:top w:val="double" w:sz="4" w:space="0" w:color="auto"/>
              <w:right w:val="nil"/>
            </w:tcBorders>
          </w:tcPr>
          <w:p w14:paraId="722CB99C" w14:textId="77777777" w:rsidR="00722A28" w:rsidRPr="00722A28" w:rsidRDefault="00722A28" w:rsidP="00722A28">
            <w:pPr>
              <w:jc w:val="both"/>
              <w:rPr>
                <w:rFonts w:ascii="Times New Roman" w:eastAsia="Calibri" w:hAnsi="Times New Roman" w:cs="Times New Roman"/>
                <w:i/>
                <w:sz w:val="24"/>
                <w:szCs w:val="24"/>
              </w:rPr>
            </w:pPr>
            <w:r w:rsidRPr="00722A28">
              <w:rPr>
                <w:rFonts w:ascii="Times New Roman" w:eastAsia="Calibri" w:hAnsi="Times New Roman" w:cs="Times New Roman"/>
                <w:i/>
                <w:sz w:val="24"/>
                <w:szCs w:val="24"/>
              </w:rPr>
              <w:t xml:space="preserve">  Low alcohol use               Frequent drinking only                       Frequent and binge drinking</w:t>
            </w:r>
          </w:p>
        </w:tc>
      </w:tr>
      <w:tr w:rsidR="00722A28" w:rsidRPr="00722A28" w14:paraId="06E2311B" w14:textId="77777777" w:rsidTr="00722A28">
        <w:trPr>
          <w:gridAfter w:val="1"/>
          <w:divId w:val="448934348"/>
          <w:wAfter w:w="98" w:type="pct"/>
        </w:trPr>
        <w:tc>
          <w:tcPr>
            <w:tcW w:w="932" w:type="pct"/>
            <w:tcBorders>
              <w:left w:val="nil"/>
            </w:tcBorders>
          </w:tcPr>
          <w:p w14:paraId="0DA26C33" w14:textId="77777777" w:rsidR="00722A28" w:rsidRPr="00722A28" w:rsidRDefault="00722A28" w:rsidP="00722A28">
            <w:pPr>
              <w:rPr>
                <w:rFonts w:ascii="Times New Roman" w:eastAsia="Calibri" w:hAnsi="Times New Roman" w:cs="Times New Roman"/>
                <w:sz w:val="24"/>
                <w:szCs w:val="24"/>
              </w:rPr>
            </w:pPr>
          </w:p>
        </w:tc>
        <w:tc>
          <w:tcPr>
            <w:tcW w:w="1000" w:type="pct"/>
            <w:gridSpan w:val="2"/>
            <w:tcBorders>
              <w:right w:val="nil"/>
            </w:tcBorders>
          </w:tcPr>
          <w:p w14:paraId="2B1D8AA3"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Reference group</w:t>
            </w:r>
          </w:p>
        </w:tc>
        <w:tc>
          <w:tcPr>
            <w:tcW w:w="355" w:type="pct"/>
            <w:tcBorders>
              <w:left w:val="nil"/>
              <w:right w:val="nil"/>
            </w:tcBorders>
          </w:tcPr>
          <w:p w14:paraId="275C6C34"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OR</w:t>
            </w:r>
          </w:p>
        </w:tc>
        <w:tc>
          <w:tcPr>
            <w:tcW w:w="614" w:type="pct"/>
            <w:tcBorders>
              <w:left w:val="nil"/>
              <w:right w:val="nil"/>
            </w:tcBorders>
          </w:tcPr>
          <w:p w14:paraId="1FAFCA54"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95% CI</w:t>
            </w:r>
          </w:p>
        </w:tc>
        <w:tc>
          <w:tcPr>
            <w:tcW w:w="470" w:type="pct"/>
            <w:tcBorders>
              <w:left w:val="nil"/>
              <w:right w:val="nil"/>
            </w:tcBorders>
          </w:tcPr>
          <w:p w14:paraId="35F1BE46"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Wald/ p</w:t>
            </w:r>
          </w:p>
        </w:tc>
        <w:tc>
          <w:tcPr>
            <w:tcW w:w="327" w:type="pct"/>
            <w:gridSpan w:val="2"/>
            <w:tcBorders>
              <w:left w:val="nil"/>
              <w:right w:val="nil"/>
            </w:tcBorders>
          </w:tcPr>
          <w:p w14:paraId="161D6165"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OR</w:t>
            </w:r>
          </w:p>
        </w:tc>
        <w:tc>
          <w:tcPr>
            <w:tcW w:w="578" w:type="pct"/>
            <w:tcBorders>
              <w:left w:val="nil"/>
              <w:right w:val="nil"/>
            </w:tcBorders>
          </w:tcPr>
          <w:p w14:paraId="002E0AA1"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95% CI</w:t>
            </w:r>
          </w:p>
        </w:tc>
        <w:tc>
          <w:tcPr>
            <w:tcW w:w="626" w:type="pct"/>
            <w:tcBorders>
              <w:left w:val="nil"/>
              <w:right w:val="nil"/>
            </w:tcBorders>
          </w:tcPr>
          <w:p w14:paraId="015A790A"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Wald/ p</w:t>
            </w:r>
          </w:p>
        </w:tc>
      </w:tr>
      <w:tr w:rsidR="00722A28" w:rsidRPr="00722A28" w14:paraId="50782B9A" w14:textId="77777777" w:rsidTr="00722A28">
        <w:trPr>
          <w:gridAfter w:val="1"/>
          <w:divId w:val="448934348"/>
          <w:wAfter w:w="98" w:type="pct"/>
        </w:trPr>
        <w:tc>
          <w:tcPr>
            <w:tcW w:w="932" w:type="pct"/>
            <w:tcBorders>
              <w:left w:val="nil"/>
              <w:bottom w:val="nil"/>
            </w:tcBorders>
          </w:tcPr>
          <w:p w14:paraId="2E828AB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Gender:</w:t>
            </w:r>
          </w:p>
        </w:tc>
        <w:tc>
          <w:tcPr>
            <w:tcW w:w="501" w:type="pct"/>
            <w:tcBorders>
              <w:bottom w:val="nil"/>
              <w:right w:val="nil"/>
            </w:tcBorders>
          </w:tcPr>
          <w:p w14:paraId="610FC26D" w14:textId="77777777" w:rsidR="00722A28" w:rsidRPr="00722A28" w:rsidRDefault="00722A28" w:rsidP="00722A28">
            <w:pPr>
              <w:rPr>
                <w:rFonts w:ascii="Times New Roman" w:eastAsia="Calibri" w:hAnsi="Times New Roman" w:cs="Times New Roman"/>
                <w:sz w:val="24"/>
                <w:szCs w:val="24"/>
              </w:rPr>
            </w:pPr>
          </w:p>
        </w:tc>
        <w:tc>
          <w:tcPr>
            <w:tcW w:w="499" w:type="pct"/>
            <w:tcBorders>
              <w:left w:val="nil"/>
              <w:bottom w:val="nil"/>
              <w:right w:val="nil"/>
            </w:tcBorders>
          </w:tcPr>
          <w:p w14:paraId="34A2C1CA" w14:textId="77777777" w:rsidR="00722A28" w:rsidRPr="00722A28" w:rsidRDefault="00722A28" w:rsidP="00722A28">
            <w:pPr>
              <w:rPr>
                <w:rFonts w:ascii="Times New Roman" w:eastAsia="Calibri" w:hAnsi="Times New Roman" w:cs="Times New Roman"/>
                <w:sz w:val="24"/>
                <w:szCs w:val="24"/>
              </w:rPr>
            </w:pPr>
          </w:p>
        </w:tc>
        <w:tc>
          <w:tcPr>
            <w:tcW w:w="355" w:type="pct"/>
            <w:tcBorders>
              <w:left w:val="nil"/>
              <w:bottom w:val="nil"/>
              <w:right w:val="nil"/>
            </w:tcBorders>
          </w:tcPr>
          <w:p w14:paraId="62F13554" w14:textId="77777777" w:rsidR="00722A28" w:rsidRPr="00722A28" w:rsidRDefault="00722A28" w:rsidP="00722A28">
            <w:pPr>
              <w:rPr>
                <w:rFonts w:ascii="Times New Roman" w:eastAsia="Calibri" w:hAnsi="Times New Roman" w:cs="Times New Roman"/>
                <w:sz w:val="24"/>
                <w:szCs w:val="24"/>
              </w:rPr>
            </w:pPr>
          </w:p>
        </w:tc>
        <w:tc>
          <w:tcPr>
            <w:tcW w:w="614" w:type="pct"/>
            <w:tcBorders>
              <w:left w:val="nil"/>
              <w:bottom w:val="nil"/>
              <w:right w:val="nil"/>
            </w:tcBorders>
          </w:tcPr>
          <w:p w14:paraId="5A97B447" w14:textId="77777777" w:rsidR="00722A28" w:rsidRPr="00722A28" w:rsidRDefault="00722A28" w:rsidP="00722A28">
            <w:pPr>
              <w:rPr>
                <w:rFonts w:ascii="Times New Roman" w:eastAsia="Calibri" w:hAnsi="Times New Roman" w:cs="Times New Roman"/>
                <w:sz w:val="24"/>
                <w:szCs w:val="24"/>
              </w:rPr>
            </w:pPr>
          </w:p>
        </w:tc>
        <w:tc>
          <w:tcPr>
            <w:tcW w:w="470" w:type="pct"/>
            <w:tcBorders>
              <w:left w:val="nil"/>
              <w:bottom w:val="nil"/>
              <w:right w:val="nil"/>
            </w:tcBorders>
          </w:tcPr>
          <w:p w14:paraId="08EBDCB1"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left w:val="nil"/>
              <w:bottom w:val="nil"/>
              <w:right w:val="nil"/>
            </w:tcBorders>
          </w:tcPr>
          <w:p w14:paraId="5B7E1E0F" w14:textId="77777777" w:rsidR="00722A28" w:rsidRPr="00722A28" w:rsidRDefault="00722A28" w:rsidP="00722A28">
            <w:pPr>
              <w:rPr>
                <w:rFonts w:ascii="Times New Roman" w:eastAsia="Calibri" w:hAnsi="Times New Roman" w:cs="Times New Roman"/>
                <w:sz w:val="24"/>
                <w:szCs w:val="24"/>
              </w:rPr>
            </w:pPr>
          </w:p>
        </w:tc>
        <w:tc>
          <w:tcPr>
            <w:tcW w:w="578" w:type="pct"/>
            <w:tcBorders>
              <w:left w:val="nil"/>
              <w:bottom w:val="nil"/>
              <w:right w:val="nil"/>
            </w:tcBorders>
          </w:tcPr>
          <w:p w14:paraId="1054024A" w14:textId="77777777" w:rsidR="00722A28" w:rsidRPr="00722A28" w:rsidRDefault="00722A28" w:rsidP="00722A28">
            <w:pPr>
              <w:rPr>
                <w:rFonts w:ascii="Times New Roman" w:eastAsia="Calibri" w:hAnsi="Times New Roman" w:cs="Times New Roman"/>
                <w:sz w:val="24"/>
                <w:szCs w:val="24"/>
              </w:rPr>
            </w:pPr>
          </w:p>
        </w:tc>
        <w:tc>
          <w:tcPr>
            <w:tcW w:w="626" w:type="pct"/>
            <w:tcBorders>
              <w:left w:val="nil"/>
              <w:bottom w:val="nil"/>
              <w:right w:val="nil"/>
            </w:tcBorders>
          </w:tcPr>
          <w:p w14:paraId="01E88663" w14:textId="77777777" w:rsidR="00722A28" w:rsidRPr="00722A28" w:rsidRDefault="00722A28" w:rsidP="00722A28">
            <w:pPr>
              <w:rPr>
                <w:rFonts w:ascii="Times New Roman" w:eastAsia="Calibri" w:hAnsi="Times New Roman" w:cs="Times New Roman"/>
                <w:sz w:val="24"/>
                <w:szCs w:val="24"/>
              </w:rPr>
            </w:pPr>
          </w:p>
        </w:tc>
      </w:tr>
      <w:tr w:rsidR="00722A28" w:rsidRPr="00722A28" w14:paraId="73BA0056" w14:textId="77777777" w:rsidTr="00722A28">
        <w:trPr>
          <w:gridAfter w:val="1"/>
          <w:divId w:val="448934348"/>
          <w:wAfter w:w="98" w:type="pct"/>
        </w:trPr>
        <w:tc>
          <w:tcPr>
            <w:tcW w:w="932" w:type="pct"/>
            <w:tcBorders>
              <w:top w:val="nil"/>
              <w:left w:val="nil"/>
              <w:bottom w:val="nil"/>
            </w:tcBorders>
          </w:tcPr>
          <w:p w14:paraId="2D2D9029"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Males</w:t>
            </w:r>
          </w:p>
        </w:tc>
        <w:tc>
          <w:tcPr>
            <w:tcW w:w="1000" w:type="pct"/>
            <w:gridSpan w:val="2"/>
            <w:vMerge w:val="restart"/>
            <w:tcBorders>
              <w:top w:val="nil"/>
              <w:right w:val="nil"/>
            </w:tcBorders>
          </w:tcPr>
          <w:p w14:paraId="48003DE0"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4C529111"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16941916"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4A9327A6"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0A64F029"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5D5E1B1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1.32</w:t>
            </w:r>
          </w:p>
        </w:tc>
        <w:tc>
          <w:tcPr>
            <w:tcW w:w="614" w:type="pct"/>
            <w:tcBorders>
              <w:top w:val="nil"/>
              <w:left w:val="nil"/>
              <w:bottom w:val="nil"/>
              <w:right w:val="nil"/>
            </w:tcBorders>
          </w:tcPr>
          <w:p w14:paraId="7E4295D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0.99, 1.78</w:t>
            </w:r>
          </w:p>
        </w:tc>
        <w:tc>
          <w:tcPr>
            <w:tcW w:w="470" w:type="pct"/>
            <w:tcBorders>
              <w:top w:val="nil"/>
              <w:left w:val="nil"/>
              <w:bottom w:val="nil"/>
              <w:right w:val="nil"/>
            </w:tcBorders>
          </w:tcPr>
          <w:p w14:paraId="5B7BAB2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w:t>
            </w:r>
          </w:p>
        </w:tc>
        <w:tc>
          <w:tcPr>
            <w:tcW w:w="327" w:type="pct"/>
            <w:gridSpan w:val="2"/>
            <w:tcBorders>
              <w:top w:val="nil"/>
              <w:left w:val="nil"/>
              <w:bottom w:val="nil"/>
              <w:right w:val="nil"/>
            </w:tcBorders>
          </w:tcPr>
          <w:p w14:paraId="3260F03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0.96</w:t>
            </w:r>
          </w:p>
        </w:tc>
        <w:tc>
          <w:tcPr>
            <w:tcW w:w="578" w:type="pct"/>
            <w:tcBorders>
              <w:top w:val="nil"/>
              <w:left w:val="nil"/>
              <w:bottom w:val="nil"/>
              <w:right w:val="nil"/>
            </w:tcBorders>
          </w:tcPr>
          <w:p w14:paraId="4BEC8F6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0.64, 1.42</w:t>
            </w:r>
          </w:p>
        </w:tc>
        <w:tc>
          <w:tcPr>
            <w:tcW w:w="626" w:type="pct"/>
            <w:tcBorders>
              <w:top w:val="nil"/>
              <w:left w:val="nil"/>
              <w:bottom w:val="nil"/>
              <w:right w:val="nil"/>
            </w:tcBorders>
          </w:tcPr>
          <w:p w14:paraId="4D45397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.70</w:t>
            </w:r>
          </w:p>
        </w:tc>
      </w:tr>
      <w:tr w:rsidR="00722A28" w:rsidRPr="00722A28" w14:paraId="23E5F76E" w14:textId="77777777" w:rsidTr="00722A28">
        <w:trPr>
          <w:gridAfter w:val="1"/>
          <w:divId w:val="448934348"/>
          <w:wAfter w:w="98" w:type="pct"/>
        </w:trPr>
        <w:tc>
          <w:tcPr>
            <w:tcW w:w="932" w:type="pct"/>
            <w:tcBorders>
              <w:top w:val="nil"/>
              <w:left w:val="nil"/>
              <w:bottom w:val="nil"/>
            </w:tcBorders>
          </w:tcPr>
          <w:p w14:paraId="41ABE45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Income:</w:t>
            </w:r>
          </w:p>
        </w:tc>
        <w:tc>
          <w:tcPr>
            <w:tcW w:w="1000" w:type="pct"/>
            <w:gridSpan w:val="2"/>
            <w:vMerge/>
            <w:tcBorders>
              <w:right w:val="nil"/>
            </w:tcBorders>
          </w:tcPr>
          <w:p w14:paraId="7A63DC9B"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641321F0"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4D09E94D"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10480525"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35FA0B92"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549AC38B"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504C8DBA" w14:textId="77777777" w:rsidR="00722A28" w:rsidRPr="00722A28" w:rsidRDefault="00722A28" w:rsidP="00722A28">
            <w:pPr>
              <w:rPr>
                <w:rFonts w:ascii="Times New Roman" w:eastAsia="Calibri" w:hAnsi="Times New Roman" w:cs="Times New Roman"/>
                <w:sz w:val="24"/>
                <w:szCs w:val="24"/>
              </w:rPr>
            </w:pPr>
          </w:p>
        </w:tc>
      </w:tr>
      <w:tr w:rsidR="00722A28" w:rsidRPr="00722A28" w14:paraId="3A1D8DF3" w14:textId="77777777" w:rsidTr="00722A28">
        <w:trPr>
          <w:gridAfter w:val="1"/>
          <w:divId w:val="448934348"/>
          <w:wAfter w:w="98" w:type="pct"/>
        </w:trPr>
        <w:tc>
          <w:tcPr>
            <w:tcW w:w="932" w:type="pct"/>
            <w:tcBorders>
              <w:top w:val="nil"/>
              <w:left w:val="nil"/>
              <w:bottom w:val="nil"/>
            </w:tcBorders>
          </w:tcPr>
          <w:p w14:paraId="48520F27"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Low 20%</w:t>
            </w:r>
          </w:p>
        </w:tc>
        <w:tc>
          <w:tcPr>
            <w:tcW w:w="1000" w:type="pct"/>
            <w:gridSpan w:val="2"/>
            <w:vMerge/>
            <w:tcBorders>
              <w:right w:val="nil"/>
            </w:tcBorders>
          </w:tcPr>
          <w:p w14:paraId="0F1C1CFE"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4490FD3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0.88</w:t>
            </w:r>
          </w:p>
        </w:tc>
        <w:tc>
          <w:tcPr>
            <w:tcW w:w="614" w:type="pct"/>
            <w:tcBorders>
              <w:top w:val="nil"/>
              <w:left w:val="nil"/>
              <w:bottom w:val="nil"/>
              <w:right w:val="nil"/>
            </w:tcBorders>
          </w:tcPr>
          <w:p w14:paraId="094FD32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0.47, 1.67</w:t>
            </w:r>
          </w:p>
        </w:tc>
        <w:tc>
          <w:tcPr>
            <w:tcW w:w="470" w:type="pct"/>
            <w:tcBorders>
              <w:top w:val="nil"/>
              <w:left w:val="nil"/>
              <w:bottom w:val="nil"/>
              <w:right w:val="nil"/>
            </w:tcBorders>
          </w:tcPr>
          <w:p w14:paraId="5663FEF1"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55384ED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0.89</w:t>
            </w:r>
          </w:p>
        </w:tc>
        <w:tc>
          <w:tcPr>
            <w:tcW w:w="578" w:type="pct"/>
            <w:tcBorders>
              <w:top w:val="nil"/>
              <w:left w:val="nil"/>
              <w:bottom w:val="nil"/>
              <w:right w:val="nil"/>
            </w:tcBorders>
          </w:tcPr>
          <w:p w14:paraId="6C35B8D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0.43, 1.84</w:t>
            </w:r>
          </w:p>
        </w:tc>
        <w:tc>
          <w:tcPr>
            <w:tcW w:w="626" w:type="pct"/>
            <w:tcBorders>
              <w:top w:val="nil"/>
              <w:left w:val="nil"/>
              <w:bottom w:val="nil"/>
              <w:right w:val="nil"/>
            </w:tcBorders>
          </w:tcPr>
          <w:p w14:paraId="6401F4E9" w14:textId="77777777" w:rsidR="00722A28" w:rsidRPr="00722A28" w:rsidRDefault="00722A28" w:rsidP="00722A28">
            <w:pPr>
              <w:rPr>
                <w:rFonts w:ascii="Times New Roman" w:eastAsia="Calibri" w:hAnsi="Times New Roman" w:cs="Times New Roman"/>
                <w:sz w:val="24"/>
                <w:szCs w:val="24"/>
              </w:rPr>
            </w:pPr>
          </w:p>
        </w:tc>
      </w:tr>
      <w:tr w:rsidR="00722A28" w:rsidRPr="00722A28" w14:paraId="042356EF" w14:textId="77777777" w:rsidTr="00722A28">
        <w:trPr>
          <w:gridAfter w:val="1"/>
          <w:divId w:val="448934348"/>
          <w:wAfter w:w="98" w:type="pct"/>
        </w:trPr>
        <w:tc>
          <w:tcPr>
            <w:tcW w:w="932" w:type="pct"/>
            <w:tcBorders>
              <w:top w:val="nil"/>
              <w:left w:val="nil"/>
              <w:bottom w:val="nil"/>
            </w:tcBorders>
          </w:tcPr>
          <w:p w14:paraId="1ADB6E0F"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40%</w:t>
            </w:r>
          </w:p>
        </w:tc>
        <w:tc>
          <w:tcPr>
            <w:tcW w:w="1000" w:type="pct"/>
            <w:gridSpan w:val="2"/>
            <w:vMerge/>
            <w:tcBorders>
              <w:right w:val="nil"/>
            </w:tcBorders>
          </w:tcPr>
          <w:p w14:paraId="6F19F390"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51A1CB6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1.19</w:t>
            </w:r>
          </w:p>
        </w:tc>
        <w:tc>
          <w:tcPr>
            <w:tcW w:w="614" w:type="pct"/>
            <w:tcBorders>
              <w:top w:val="nil"/>
              <w:left w:val="nil"/>
              <w:bottom w:val="nil"/>
              <w:right w:val="nil"/>
            </w:tcBorders>
          </w:tcPr>
          <w:p w14:paraId="4705246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0.65, 2.19</w:t>
            </w:r>
          </w:p>
        </w:tc>
        <w:tc>
          <w:tcPr>
            <w:tcW w:w="470" w:type="pct"/>
            <w:tcBorders>
              <w:top w:val="nil"/>
              <w:left w:val="nil"/>
              <w:bottom w:val="nil"/>
              <w:right w:val="nil"/>
            </w:tcBorders>
          </w:tcPr>
          <w:p w14:paraId="2B536D06"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3A8A499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0.82</w:t>
            </w:r>
          </w:p>
        </w:tc>
        <w:tc>
          <w:tcPr>
            <w:tcW w:w="578" w:type="pct"/>
            <w:tcBorders>
              <w:top w:val="nil"/>
              <w:left w:val="nil"/>
              <w:bottom w:val="nil"/>
              <w:right w:val="nil"/>
            </w:tcBorders>
          </w:tcPr>
          <w:p w14:paraId="6635C12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0.39, 1.72</w:t>
            </w:r>
          </w:p>
        </w:tc>
        <w:tc>
          <w:tcPr>
            <w:tcW w:w="626" w:type="pct"/>
            <w:tcBorders>
              <w:top w:val="nil"/>
              <w:left w:val="nil"/>
              <w:bottom w:val="nil"/>
              <w:right w:val="nil"/>
            </w:tcBorders>
          </w:tcPr>
          <w:p w14:paraId="373EED53" w14:textId="77777777" w:rsidR="00722A28" w:rsidRPr="00722A28" w:rsidRDefault="00722A28" w:rsidP="00722A28">
            <w:pPr>
              <w:rPr>
                <w:rFonts w:ascii="Times New Roman" w:eastAsia="Calibri" w:hAnsi="Times New Roman" w:cs="Times New Roman"/>
                <w:sz w:val="24"/>
                <w:szCs w:val="24"/>
              </w:rPr>
            </w:pPr>
          </w:p>
        </w:tc>
      </w:tr>
      <w:tr w:rsidR="00722A28" w:rsidRPr="00722A28" w14:paraId="202964D4" w14:textId="77777777" w:rsidTr="00722A28">
        <w:trPr>
          <w:gridAfter w:val="1"/>
          <w:divId w:val="448934348"/>
          <w:wAfter w:w="98" w:type="pct"/>
        </w:trPr>
        <w:tc>
          <w:tcPr>
            <w:tcW w:w="932" w:type="pct"/>
            <w:tcBorders>
              <w:top w:val="nil"/>
              <w:left w:val="nil"/>
              <w:bottom w:val="nil"/>
            </w:tcBorders>
          </w:tcPr>
          <w:p w14:paraId="5ACAB0C4"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60%</w:t>
            </w:r>
          </w:p>
        </w:tc>
        <w:tc>
          <w:tcPr>
            <w:tcW w:w="1000" w:type="pct"/>
            <w:gridSpan w:val="2"/>
            <w:vMerge/>
            <w:tcBorders>
              <w:right w:val="nil"/>
            </w:tcBorders>
          </w:tcPr>
          <w:p w14:paraId="2CEC33E9"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7C9029E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1.22</w:t>
            </w:r>
          </w:p>
        </w:tc>
        <w:tc>
          <w:tcPr>
            <w:tcW w:w="614" w:type="pct"/>
            <w:tcBorders>
              <w:top w:val="nil"/>
              <w:left w:val="nil"/>
              <w:bottom w:val="nil"/>
              <w:right w:val="nil"/>
            </w:tcBorders>
          </w:tcPr>
          <w:p w14:paraId="41A4DFA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0.67, 2.23</w:t>
            </w:r>
          </w:p>
        </w:tc>
        <w:tc>
          <w:tcPr>
            <w:tcW w:w="470" w:type="pct"/>
            <w:tcBorders>
              <w:top w:val="nil"/>
              <w:left w:val="nil"/>
              <w:bottom w:val="nil"/>
              <w:right w:val="nil"/>
            </w:tcBorders>
          </w:tcPr>
          <w:p w14:paraId="6D250E5D"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41A4F9E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0.94</w:t>
            </w:r>
          </w:p>
        </w:tc>
        <w:tc>
          <w:tcPr>
            <w:tcW w:w="578" w:type="pct"/>
            <w:tcBorders>
              <w:top w:val="nil"/>
              <w:left w:val="nil"/>
              <w:bottom w:val="nil"/>
              <w:right w:val="nil"/>
            </w:tcBorders>
          </w:tcPr>
          <w:p w14:paraId="7114C18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0.45, 1.96</w:t>
            </w:r>
          </w:p>
        </w:tc>
        <w:tc>
          <w:tcPr>
            <w:tcW w:w="626" w:type="pct"/>
            <w:tcBorders>
              <w:top w:val="nil"/>
              <w:left w:val="nil"/>
              <w:bottom w:val="nil"/>
              <w:right w:val="nil"/>
            </w:tcBorders>
          </w:tcPr>
          <w:p w14:paraId="445230DD" w14:textId="77777777" w:rsidR="00722A28" w:rsidRPr="00722A28" w:rsidRDefault="00722A28" w:rsidP="00722A28">
            <w:pPr>
              <w:rPr>
                <w:rFonts w:ascii="Times New Roman" w:eastAsia="Calibri" w:hAnsi="Times New Roman" w:cs="Times New Roman"/>
                <w:sz w:val="24"/>
                <w:szCs w:val="24"/>
              </w:rPr>
            </w:pPr>
          </w:p>
        </w:tc>
      </w:tr>
      <w:tr w:rsidR="00722A28" w:rsidRPr="00722A28" w14:paraId="6C6981A1" w14:textId="77777777" w:rsidTr="00722A28">
        <w:trPr>
          <w:gridAfter w:val="1"/>
          <w:divId w:val="448934348"/>
          <w:wAfter w:w="98" w:type="pct"/>
        </w:trPr>
        <w:tc>
          <w:tcPr>
            <w:tcW w:w="932" w:type="pct"/>
            <w:tcBorders>
              <w:top w:val="nil"/>
              <w:left w:val="nil"/>
              <w:bottom w:val="nil"/>
            </w:tcBorders>
          </w:tcPr>
          <w:p w14:paraId="6F0DEAFC"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80%</w:t>
            </w:r>
          </w:p>
        </w:tc>
        <w:tc>
          <w:tcPr>
            <w:tcW w:w="1000" w:type="pct"/>
            <w:gridSpan w:val="2"/>
            <w:vMerge/>
            <w:tcBorders>
              <w:bottom w:val="nil"/>
              <w:right w:val="nil"/>
            </w:tcBorders>
          </w:tcPr>
          <w:p w14:paraId="03FCBAD0"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11977B6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1.36</w:t>
            </w:r>
          </w:p>
        </w:tc>
        <w:tc>
          <w:tcPr>
            <w:tcW w:w="614" w:type="pct"/>
            <w:tcBorders>
              <w:top w:val="nil"/>
              <w:left w:val="nil"/>
              <w:bottom w:val="nil"/>
              <w:right w:val="nil"/>
            </w:tcBorders>
          </w:tcPr>
          <w:p w14:paraId="7B650C7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0.73, 2.53</w:t>
            </w:r>
          </w:p>
        </w:tc>
        <w:tc>
          <w:tcPr>
            <w:tcW w:w="470" w:type="pct"/>
            <w:tcBorders>
              <w:top w:val="nil"/>
              <w:left w:val="nil"/>
              <w:bottom w:val="nil"/>
              <w:right w:val="nil"/>
            </w:tcBorders>
          </w:tcPr>
          <w:p w14:paraId="6E9BC4A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.19</w:t>
            </w:r>
          </w:p>
        </w:tc>
        <w:tc>
          <w:tcPr>
            <w:tcW w:w="327" w:type="pct"/>
            <w:gridSpan w:val="2"/>
            <w:tcBorders>
              <w:top w:val="nil"/>
              <w:left w:val="nil"/>
              <w:bottom w:val="nil"/>
              <w:right w:val="nil"/>
            </w:tcBorders>
          </w:tcPr>
          <w:p w14:paraId="68D37CD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1.37</w:t>
            </w:r>
          </w:p>
        </w:tc>
        <w:tc>
          <w:tcPr>
            <w:tcW w:w="578" w:type="pct"/>
            <w:tcBorders>
              <w:top w:val="nil"/>
              <w:left w:val="nil"/>
              <w:bottom w:val="nil"/>
              <w:right w:val="nil"/>
            </w:tcBorders>
          </w:tcPr>
          <w:p w14:paraId="146996B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0.65, 2.90</w:t>
            </w:r>
          </w:p>
        </w:tc>
        <w:tc>
          <w:tcPr>
            <w:tcW w:w="626" w:type="pct"/>
            <w:tcBorders>
              <w:top w:val="nil"/>
              <w:left w:val="nil"/>
              <w:bottom w:val="nil"/>
              <w:right w:val="nil"/>
            </w:tcBorders>
          </w:tcPr>
          <w:p w14:paraId="31C84E1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.31</w:t>
            </w:r>
          </w:p>
        </w:tc>
      </w:tr>
      <w:tr w:rsidR="00722A28" w:rsidRPr="00722A28" w14:paraId="2031BEFF" w14:textId="77777777" w:rsidTr="00722A28">
        <w:trPr>
          <w:divId w:val="448934348"/>
        </w:trPr>
        <w:tc>
          <w:tcPr>
            <w:tcW w:w="932" w:type="pct"/>
            <w:tcBorders>
              <w:top w:val="nil"/>
              <w:left w:val="nil"/>
              <w:bottom w:val="nil"/>
            </w:tcBorders>
          </w:tcPr>
          <w:p w14:paraId="269EE830"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Highest %</w:t>
            </w:r>
          </w:p>
        </w:tc>
        <w:tc>
          <w:tcPr>
            <w:tcW w:w="1000" w:type="pct"/>
            <w:gridSpan w:val="2"/>
            <w:tcBorders>
              <w:top w:val="nil"/>
              <w:bottom w:val="nil"/>
              <w:right w:val="nil"/>
            </w:tcBorders>
          </w:tcPr>
          <w:p w14:paraId="393E4617"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2513B33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084" w:type="pct"/>
            <w:gridSpan w:val="2"/>
            <w:tcBorders>
              <w:top w:val="nil"/>
              <w:left w:val="nil"/>
              <w:bottom w:val="nil"/>
              <w:right w:val="nil"/>
            </w:tcBorders>
          </w:tcPr>
          <w:p w14:paraId="7FCF8DDC" w14:textId="77777777" w:rsidR="00722A28" w:rsidRPr="00722A28" w:rsidRDefault="00722A28" w:rsidP="00722A28">
            <w:pPr>
              <w:jc w:val="center"/>
              <w:rPr>
                <w:rFonts w:ascii="Times New Roman" w:eastAsia="Calibri" w:hAnsi="Times New Roman" w:cs="Times New Roman"/>
                <w:sz w:val="24"/>
                <w:szCs w:val="24"/>
              </w:rPr>
            </w:pPr>
          </w:p>
        </w:tc>
        <w:tc>
          <w:tcPr>
            <w:tcW w:w="323" w:type="pct"/>
            <w:tcBorders>
              <w:top w:val="nil"/>
              <w:left w:val="nil"/>
              <w:bottom w:val="nil"/>
              <w:right w:val="nil"/>
            </w:tcBorders>
          </w:tcPr>
          <w:p w14:paraId="5882304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208" w:type="pct"/>
            <w:gridSpan w:val="3"/>
            <w:tcBorders>
              <w:top w:val="nil"/>
              <w:left w:val="nil"/>
              <w:bottom w:val="nil"/>
              <w:right w:val="nil"/>
            </w:tcBorders>
          </w:tcPr>
          <w:p w14:paraId="1583CBB9" w14:textId="77777777" w:rsidR="00722A28" w:rsidRPr="00722A28" w:rsidRDefault="00722A28" w:rsidP="00722A28">
            <w:pPr>
              <w:jc w:val="center"/>
              <w:rPr>
                <w:rFonts w:ascii="Times New Roman" w:eastAsia="Calibri" w:hAnsi="Times New Roman" w:cs="Times New Roman"/>
                <w:sz w:val="24"/>
                <w:szCs w:val="24"/>
              </w:rPr>
            </w:pPr>
          </w:p>
        </w:tc>
        <w:tc>
          <w:tcPr>
            <w:tcW w:w="98" w:type="pct"/>
            <w:tcBorders>
              <w:top w:val="nil"/>
              <w:left w:val="nil"/>
              <w:bottom w:val="nil"/>
              <w:right w:val="nil"/>
            </w:tcBorders>
          </w:tcPr>
          <w:p w14:paraId="7C2B3233" w14:textId="77777777" w:rsidR="00722A28" w:rsidRPr="00722A28" w:rsidRDefault="00722A28" w:rsidP="00722A28">
            <w:pPr>
              <w:rPr>
                <w:rFonts w:ascii="Times New Roman" w:eastAsia="Calibri" w:hAnsi="Times New Roman" w:cs="Times New Roman"/>
                <w:sz w:val="24"/>
                <w:szCs w:val="24"/>
              </w:rPr>
            </w:pPr>
          </w:p>
        </w:tc>
      </w:tr>
      <w:tr w:rsidR="00722A28" w:rsidRPr="00722A28" w14:paraId="40115FB9" w14:textId="77777777" w:rsidTr="00722A28">
        <w:trPr>
          <w:gridAfter w:val="1"/>
          <w:divId w:val="448934348"/>
          <w:wAfter w:w="98" w:type="pct"/>
        </w:trPr>
        <w:tc>
          <w:tcPr>
            <w:tcW w:w="932" w:type="pct"/>
            <w:tcBorders>
              <w:top w:val="nil"/>
              <w:left w:val="nil"/>
              <w:bottom w:val="nil"/>
            </w:tcBorders>
          </w:tcPr>
          <w:p w14:paraId="2F7908D7"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b/>
                <w:sz w:val="24"/>
                <w:szCs w:val="24"/>
              </w:rPr>
              <w:t>Maternal education:</w:t>
            </w:r>
          </w:p>
        </w:tc>
        <w:tc>
          <w:tcPr>
            <w:tcW w:w="501" w:type="pct"/>
            <w:tcBorders>
              <w:top w:val="nil"/>
              <w:bottom w:val="nil"/>
              <w:right w:val="nil"/>
            </w:tcBorders>
          </w:tcPr>
          <w:p w14:paraId="5154EF87"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4275FC90"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4366F714"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6021A124"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052FCAFB"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158ABE0D"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06A9BB6A"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388777F2" w14:textId="77777777" w:rsidR="00722A28" w:rsidRPr="00722A28" w:rsidRDefault="00722A28" w:rsidP="00722A28">
            <w:pPr>
              <w:rPr>
                <w:rFonts w:ascii="Times New Roman" w:eastAsia="Calibri" w:hAnsi="Times New Roman" w:cs="Times New Roman"/>
                <w:sz w:val="24"/>
                <w:szCs w:val="24"/>
              </w:rPr>
            </w:pPr>
          </w:p>
        </w:tc>
      </w:tr>
      <w:tr w:rsidR="00722A28" w:rsidRPr="00722A28" w14:paraId="13735492" w14:textId="77777777" w:rsidTr="00722A28">
        <w:trPr>
          <w:gridAfter w:val="1"/>
          <w:divId w:val="448934348"/>
          <w:wAfter w:w="98" w:type="pct"/>
        </w:trPr>
        <w:tc>
          <w:tcPr>
            <w:tcW w:w="932" w:type="pct"/>
            <w:tcBorders>
              <w:top w:val="nil"/>
              <w:left w:val="nil"/>
              <w:bottom w:val="nil"/>
            </w:tcBorders>
          </w:tcPr>
          <w:p w14:paraId="759209C1"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&lt;0 level</w:t>
            </w:r>
          </w:p>
        </w:tc>
        <w:tc>
          <w:tcPr>
            <w:tcW w:w="1000" w:type="pct"/>
            <w:gridSpan w:val="2"/>
            <w:vMerge w:val="restart"/>
            <w:tcBorders>
              <w:top w:val="nil"/>
              <w:right w:val="nil"/>
            </w:tcBorders>
          </w:tcPr>
          <w:p w14:paraId="7E8D313D"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09A6E261"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6247686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0.99</w:t>
            </w:r>
          </w:p>
        </w:tc>
        <w:tc>
          <w:tcPr>
            <w:tcW w:w="614" w:type="pct"/>
            <w:tcBorders>
              <w:top w:val="nil"/>
              <w:left w:val="nil"/>
              <w:bottom w:val="nil"/>
              <w:right w:val="nil"/>
            </w:tcBorders>
          </w:tcPr>
          <w:p w14:paraId="687CDDA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0.68, 1.44</w:t>
            </w:r>
          </w:p>
        </w:tc>
        <w:tc>
          <w:tcPr>
            <w:tcW w:w="470" w:type="pct"/>
            <w:tcBorders>
              <w:top w:val="nil"/>
              <w:left w:val="nil"/>
              <w:bottom w:val="nil"/>
              <w:right w:val="nil"/>
            </w:tcBorders>
          </w:tcPr>
          <w:p w14:paraId="194F5BC2"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147FD50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1.10</w:t>
            </w:r>
          </w:p>
        </w:tc>
        <w:tc>
          <w:tcPr>
            <w:tcW w:w="578" w:type="pct"/>
            <w:tcBorders>
              <w:top w:val="nil"/>
              <w:left w:val="nil"/>
              <w:bottom w:val="nil"/>
              <w:right w:val="nil"/>
            </w:tcBorders>
          </w:tcPr>
          <w:p w14:paraId="071C463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0.67, 1.78</w:t>
            </w:r>
          </w:p>
        </w:tc>
        <w:tc>
          <w:tcPr>
            <w:tcW w:w="626" w:type="pct"/>
            <w:tcBorders>
              <w:top w:val="nil"/>
              <w:left w:val="nil"/>
              <w:bottom w:val="nil"/>
              <w:right w:val="nil"/>
            </w:tcBorders>
          </w:tcPr>
          <w:p w14:paraId="62BD4E57" w14:textId="77777777" w:rsidR="00722A28" w:rsidRPr="00722A28" w:rsidRDefault="00722A28" w:rsidP="00722A28">
            <w:pPr>
              <w:rPr>
                <w:rFonts w:ascii="Times New Roman" w:eastAsia="Calibri" w:hAnsi="Times New Roman" w:cs="Times New Roman"/>
                <w:sz w:val="24"/>
                <w:szCs w:val="24"/>
              </w:rPr>
            </w:pPr>
          </w:p>
        </w:tc>
      </w:tr>
      <w:tr w:rsidR="00722A28" w:rsidRPr="00722A28" w14:paraId="3BB7F52E" w14:textId="77777777" w:rsidTr="00722A28">
        <w:trPr>
          <w:gridAfter w:val="1"/>
          <w:divId w:val="448934348"/>
          <w:wAfter w:w="98" w:type="pct"/>
        </w:trPr>
        <w:tc>
          <w:tcPr>
            <w:tcW w:w="932" w:type="pct"/>
            <w:tcBorders>
              <w:top w:val="nil"/>
              <w:left w:val="nil"/>
              <w:bottom w:val="nil"/>
            </w:tcBorders>
          </w:tcPr>
          <w:p w14:paraId="4A802D45"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0 level</w:t>
            </w:r>
          </w:p>
        </w:tc>
        <w:tc>
          <w:tcPr>
            <w:tcW w:w="1000" w:type="pct"/>
            <w:gridSpan w:val="2"/>
            <w:vMerge/>
            <w:tcBorders>
              <w:bottom w:val="nil"/>
              <w:right w:val="nil"/>
            </w:tcBorders>
          </w:tcPr>
          <w:p w14:paraId="32558DCE" w14:textId="77777777" w:rsidR="00722A28" w:rsidRPr="00722A28" w:rsidRDefault="00722A28" w:rsidP="00722A28">
            <w:pPr>
              <w:jc w:val="center"/>
              <w:rPr>
                <w:rFonts w:ascii="Times New Roman" w:eastAsia="Calibri" w:hAnsi="Times New Roman" w:cs="Times New Roman"/>
                <w:sz w:val="24"/>
                <w:szCs w:val="24"/>
              </w:rPr>
            </w:pPr>
          </w:p>
        </w:tc>
        <w:tc>
          <w:tcPr>
            <w:tcW w:w="355" w:type="pct"/>
            <w:tcBorders>
              <w:top w:val="nil"/>
              <w:left w:val="nil"/>
              <w:bottom w:val="nil"/>
              <w:right w:val="nil"/>
            </w:tcBorders>
          </w:tcPr>
          <w:p w14:paraId="172DD43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0.88</w:t>
            </w:r>
          </w:p>
        </w:tc>
        <w:tc>
          <w:tcPr>
            <w:tcW w:w="614" w:type="pct"/>
            <w:tcBorders>
              <w:top w:val="nil"/>
              <w:left w:val="nil"/>
              <w:bottom w:val="nil"/>
              <w:right w:val="nil"/>
            </w:tcBorders>
          </w:tcPr>
          <w:p w14:paraId="54339E5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0.50, 1.55</w:t>
            </w:r>
          </w:p>
        </w:tc>
        <w:tc>
          <w:tcPr>
            <w:tcW w:w="470" w:type="pct"/>
            <w:tcBorders>
              <w:top w:val="nil"/>
              <w:left w:val="nil"/>
              <w:bottom w:val="nil"/>
              <w:right w:val="nil"/>
            </w:tcBorders>
          </w:tcPr>
          <w:p w14:paraId="5B4E77A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.57</w:t>
            </w:r>
          </w:p>
        </w:tc>
        <w:tc>
          <w:tcPr>
            <w:tcW w:w="327" w:type="pct"/>
            <w:gridSpan w:val="2"/>
            <w:tcBorders>
              <w:top w:val="nil"/>
              <w:left w:val="nil"/>
              <w:bottom w:val="nil"/>
              <w:right w:val="nil"/>
            </w:tcBorders>
          </w:tcPr>
          <w:p w14:paraId="6C51FC4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0.82</w:t>
            </w:r>
          </w:p>
        </w:tc>
        <w:tc>
          <w:tcPr>
            <w:tcW w:w="578" w:type="pct"/>
            <w:tcBorders>
              <w:top w:val="nil"/>
              <w:left w:val="nil"/>
              <w:bottom w:val="nil"/>
              <w:right w:val="nil"/>
            </w:tcBorders>
          </w:tcPr>
          <w:p w14:paraId="204897E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0.42, 1.67</w:t>
            </w:r>
          </w:p>
        </w:tc>
        <w:tc>
          <w:tcPr>
            <w:tcW w:w="626" w:type="pct"/>
            <w:tcBorders>
              <w:top w:val="nil"/>
              <w:left w:val="nil"/>
              <w:bottom w:val="nil"/>
              <w:right w:val="nil"/>
            </w:tcBorders>
          </w:tcPr>
          <w:p w14:paraId="1BF9081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.55</w:t>
            </w:r>
          </w:p>
        </w:tc>
      </w:tr>
      <w:tr w:rsidR="00722A28" w:rsidRPr="00722A28" w14:paraId="19B97C4E" w14:textId="77777777" w:rsidTr="00722A28">
        <w:trPr>
          <w:divId w:val="448934348"/>
        </w:trPr>
        <w:tc>
          <w:tcPr>
            <w:tcW w:w="932" w:type="pct"/>
            <w:tcBorders>
              <w:top w:val="nil"/>
              <w:left w:val="nil"/>
              <w:bottom w:val="nil"/>
            </w:tcBorders>
          </w:tcPr>
          <w:p w14:paraId="1B45C09A"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&gt;0 level</w:t>
            </w:r>
          </w:p>
        </w:tc>
        <w:tc>
          <w:tcPr>
            <w:tcW w:w="1000" w:type="pct"/>
            <w:gridSpan w:val="2"/>
            <w:tcBorders>
              <w:top w:val="nil"/>
              <w:bottom w:val="nil"/>
              <w:right w:val="nil"/>
            </w:tcBorders>
          </w:tcPr>
          <w:p w14:paraId="5DFA9415"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710FD60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084" w:type="pct"/>
            <w:gridSpan w:val="2"/>
            <w:tcBorders>
              <w:top w:val="nil"/>
              <w:left w:val="nil"/>
              <w:bottom w:val="nil"/>
              <w:right w:val="nil"/>
            </w:tcBorders>
          </w:tcPr>
          <w:p w14:paraId="07938432" w14:textId="77777777" w:rsidR="00722A28" w:rsidRPr="00722A28" w:rsidRDefault="00722A28" w:rsidP="00722A28">
            <w:pPr>
              <w:jc w:val="center"/>
              <w:rPr>
                <w:rFonts w:ascii="Times New Roman" w:eastAsia="Calibri" w:hAnsi="Times New Roman" w:cs="Times New Roman"/>
                <w:sz w:val="24"/>
                <w:szCs w:val="24"/>
              </w:rPr>
            </w:pPr>
          </w:p>
        </w:tc>
        <w:tc>
          <w:tcPr>
            <w:tcW w:w="323" w:type="pct"/>
            <w:tcBorders>
              <w:top w:val="nil"/>
              <w:left w:val="nil"/>
              <w:bottom w:val="nil"/>
              <w:right w:val="nil"/>
            </w:tcBorders>
          </w:tcPr>
          <w:p w14:paraId="4143332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208" w:type="pct"/>
            <w:gridSpan w:val="3"/>
            <w:tcBorders>
              <w:top w:val="nil"/>
              <w:left w:val="nil"/>
              <w:bottom w:val="nil"/>
              <w:right w:val="nil"/>
            </w:tcBorders>
          </w:tcPr>
          <w:p w14:paraId="4A0D3EF9" w14:textId="77777777" w:rsidR="00722A28" w:rsidRPr="00722A28" w:rsidRDefault="00722A28" w:rsidP="00722A28">
            <w:pPr>
              <w:jc w:val="center"/>
              <w:rPr>
                <w:rFonts w:ascii="Times New Roman" w:eastAsia="Calibri" w:hAnsi="Times New Roman" w:cs="Times New Roman"/>
                <w:sz w:val="24"/>
                <w:szCs w:val="24"/>
              </w:rPr>
            </w:pPr>
          </w:p>
        </w:tc>
        <w:tc>
          <w:tcPr>
            <w:tcW w:w="98" w:type="pct"/>
            <w:tcBorders>
              <w:top w:val="nil"/>
              <w:left w:val="nil"/>
              <w:bottom w:val="nil"/>
              <w:right w:val="nil"/>
            </w:tcBorders>
          </w:tcPr>
          <w:p w14:paraId="7935A2F5" w14:textId="77777777" w:rsidR="00722A28" w:rsidRPr="00722A28" w:rsidRDefault="00722A28" w:rsidP="00722A28">
            <w:pPr>
              <w:rPr>
                <w:rFonts w:ascii="Times New Roman" w:eastAsia="Calibri" w:hAnsi="Times New Roman" w:cs="Times New Roman"/>
                <w:sz w:val="24"/>
                <w:szCs w:val="24"/>
              </w:rPr>
            </w:pPr>
          </w:p>
        </w:tc>
      </w:tr>
      <w:tr w:rsidR="00722A28" w:rsidRPr="00722A28" w14:paraId="063681B6" w14:textId="77777777" w:rsidTr="00722A28">
        <w:trPr>
          <w:gridAfter w:val="1"/>
          <w:divId w:val="448934348"/>
          <w:wAfter w:w="98" w:type="pct"/>
        </w:trPr>
        <w:tc>
          <w:tcPr>
            <w:tcW w:w="932" w:type="pct"/>
            <w:tcBorders>
              <w:top w:val="nil"/>
              <w:left w:val="nil"/>
              <w:bottom w:val="nil"/>
            </w:tcBorders>
          </w:tcPr>
          <w:p w14:paraId="7BE2740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Social</w:t>
            </w:r>
            <w:r w:rsidRPr="00722A28">
              <w:rPr>
                <w:rFonts w:ascii="Times New Roman" w:eastAsia="Calibri" w:hAnsi="Times New Roman" w:cs="Times New Roman"/>
                <w:sz w:val="24"/>
                <w:szCs w:val="24"/>
              </w:rPr>
              <w:t>:</w:t>
            </w:r>
          </w:p>
        </w:tc>
        <w:tc>
          <w:tcPr>
            <w:tcW w:w="501" w:type="pct"/>
            <w:tcBorders>
              <w:top w:val="nil"/>
              <w:bottom w:val="nil"/>
              <w:right w:val="nil"/>
            </w:tcBorders>
          </w:tcPr>
          <w:p w14:paraId="398948FE"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62C21136"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4A1B35C2"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10EA37F5"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04717BBD"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10A4AAF3"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183EE2FA"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3F965B39" w14:textId="77777777" w:rsidR="00722A28" w:rsidRPr="00722A28" w:rsidRDefault="00722A28" w:rsidP="00722A28">
            <w:pPr>
              <w:rPr>
                <w:rFonts w:ascii="Times New Roman" w:eastAsia="Calibri" w:hAnsi="Times New Roman" w:cs="Times New Roman"/>
                <w:sz w:val="24"/>
                <w:szCs w:val="24"/>
              </w:rPr>
            </w:pPr>
          </w:p>
        </w:tc>
      </w:tr>
      <w:tr w:rsidR="00722A28" w:rsidRPr="00722A28" w14:paraId="26CB3B94" w14:textId="77777777" w:rsidTr="00722A28">
        <w:trPr>
          <w:gridAfter w:val="1"/>
          <w:divId w:val="448934348"/>
          <w:wAfter w:w="98" w:type="pct"/>
        </w:trPr>
        <w:tc>
          <w:tcPr>
            <w:tcW w:w="932" w:type="pct"/>
            <w:tcBorders>
              <w:top w:val="nil"/>
              <w:left w:val="nil"/>
              <w:bottom w:val="nil"/>
            </w:tcBorders>
          </w:tcPr>
          <w:p w14:paraId="741ADB16"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iv-v</w:t>
            </w:r>
          </w:p>
        </w:tc>
        <w:tc>
          <w:tcPr>
            <w:tcW w:w="1000" w:type="pct"/>
            <w:gridSpan w:val="2"/>
            <w:vMerge w:val="restart"/>
            <w:tcBorders>
              <w:top w:val="nil"/>
              <w:right w:val="nil"/>
            </w:tcBorders>
          </w:tcPr>
          <w:p w14:paraId="4553CF22"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3B3E13CF"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578AB87A"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7FD3F6B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2.51</w:t>
            </w:r>
          </w:p>
        </w:tc>
        <w:tc>
          <w:tcPr>
            <w:tcW w:w="614" w:type="pct"/>
            <w:tcBorders>
              <w:top w:val="nil"/>
              <w:left w:val="nil"/>
              <w:bottom w:val="nil"/>
              <w:right w:val="nil"/>
            </w:tcBorders>
          </w:tcPr>
          <w:p w14:paraId="01AC8E8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0.58, 10.82</w:t>
            </w:r>
          </w:p>
        </w:tc>
        <w:tc>
          <w:tcPr>
            <w:tcW w:w="470" w:type="pct"/>
            <w:tcBorders>
              <w:top w:val="nil"/>
              <w:left w:val="nil"/>
              <w:bottom w:val="nil"/>
              <w:right w:val="nil"/>
            </w:tcBorders>
          </w:tcPr>
          <w:p w14:paraId="53E43518"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74D5BD1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0.58</w:t>
            </w:r>
          </w:p>
        </w:tc>
        <w:tc>
          <w:tcPr>
            <w:tcW w:w="578" w:type="pct"/>
            <w:tcBorders>
              <w:top w:val="nil"/>
              <w:left w:val="nil"/>
              <w:bottom w:val="nil"/>
              <w:right w:val="nil"/>
            </w:tcBorders>
          </w:tcPr>
          <w:p w14:paraId="46C36D3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0.19, 1.74</w:t>
            </w:r>
          </w:p>
        </w:tc>
        <w:tc>
          <w:tcPr>
            <w:tcW w:w="626" w:type="pct"/>
            <w:tcBorders>
              <w:top w:val="nil"/>
              <w:left w:val="nil"/>
              <w:bottom w:val="nil"/>
              <w:right w:val="nil"/>
            </w:tcBorders>
          </w:tcPr>
          <w:p w14:paraId="52411B90" w14:textId="77777777" w:rsidR="00722A28" w:rsidRPr="00722A28" w:rsidRDefault="00722A28" w:rsidP="00722A28">
            <w:pPr>
              <w:rPr>
                <w:rFonts w:ascii="Times New Roman" w:eastAsia="Calibri" w:hAnsi="Times New Roman" w:cs="Times New Roman"/>
                <w:sz w:val="24"/>
                <w:szCs w:val="24"/>
              </w:rPr>
            </w:pPr>
          </w:p>
        </w:tc>
      </w:tr>
      <w:tr w:rsidR="00722A28" w:rsidRPr="00722A28" w14:paraId="078F92BD" w14:textId="77777777" w:rsidTr="00722A28">
        <w:trPr>
          <w:gridAfter w:val="1"/>
          <w:divId w:val="448934348"/>
          <w:wAfter w:w="98" w:type="pct"/>
        </w:trPr>
        <w:tc>
          <w:tcPr>
            <w:tcW w:w="932" w:type="pct"/>
            <w:tcBorders>
              <w:top w:val="nil"/>
              <w:left w:val="nil"/>
              <w:bottom w:val="nil"/>
            </w:tcBorders>
          </w:tcPr>
          <w:p w14:paraId="5DB9758E"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iii</w:t>
            </w:r>
          </w:p>
        </w:tc>
        <w:tc>
          <w:tcPr>
            <w:tcW w:w="1000" w:type="pct"/>
            <w:gridSpan w:val="2"/>
            <w:vMerge/>
            <w:tcBorders>
              <w:right w:val="nil"/>
            </w:tcBorders>
          </w:tcPr>
          <w:p w14:paraId="2EDFABCB"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55CE511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2.42</w:t>
            </w:r>
          </w:p>
        </w:tc>
        <w:tc>
          <w:tcPr>
            <w:tcW w:w="614" w:type="pct"/>
            <w:tcBorders>
              <w:top w:val="nil"/>
              <w:left w:val="nil"/>
              <w:bottom w:val="nil"/>
              <w:right w:val="nil"/>
            </w:tcBorders>
          </w:tcPr>
          <w:p w14:paraId="670A41C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0.55, 10.51</w:t>
            </w:r>
          </w:p>
        </w:tc>
        <w:tc>
          <w:tcPr>
            <w:tcW w:w="470" w:type="pct"/>
            <w:tcBorders>
              <w:top w:val="nil"/>
              <w:left w:val="nil"/>
              <w:bottom w:val="nil"/>
              <w:right w:val="nil"/>
            </w:tcBorders>
          </w:tcPr>
          <w:p w14:paraId="0F8AB914"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57EAEDC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0.74</w:t>
            </w:r>
          </w:p>
        </w:tc>
        <w:tc>
          <w:tcPr>
            <w:tcW w:w="578" w:type="pct"/>
            <w:tcBorders>
              <w:top w:val="nil"/>
              <w:left w:val="nil"/>
              <w:bottom w:val="nil"/>
              <w:right w:val="nil"/>
            </w:tcBorders>
          </w:tcPr>
          <w:p w14:paraId="6AB20B3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0.24, 2.25</w:t>
            </w:r>
          </w:p>
        </w:tc>
        <w:tc>
          <w:tcPr>
            <w:tcW w:w="626" w:type="pct"/>
            <w:tcBorders>
              <w:top w:val="nil"/>
              <w:left w:val="nil"/>
              <w:bottom w:val="nil"/>
              <w:right w:val="nil"/>
            </w:tcBorders>
          </w:tcPr>
          <w:p w14:paraId="4B654832" w14:textId="77777777" w:rsidR="00722A28" w:rsidRPr="00722A28" w:rsidRDefault="00722A28" w:rsidP="00722A28">
            <w:pPr>
              <w:rPr>
                <w:rFonts w:ascii="Times New Roman" w:eastAsia="Calibri" w:hAnsi="Times New Roman" w:cs="Times New Roman"/>
                <w:sz w:val="24"/>
                <w:szCs w:val="24"/>
              </w:rPr>
            </w:pPr>
          </w:p>
        </w:tc>
      </w:tr>
      <w:tr w:rsidR="00722A28" w:rsidRPr="00722A28" w14:paraId="626DA1D4" w14:textId="77777777" w:rsidTr="00722A28">
        <w:trPr>
          <w:gridAfter w:val="1"/>
          <w:divId w:val="448934348"/>
          <w:wAfter w:w="98" w:type="pct"/>
        </w:trPr>
        <w:tc>
          <w:tcPr>
            <w:tcW w:w="932" w:type="pct"/>
            <w:tcBorders>
              <w:top w:val="nil"/>
              <w:left w:val="nil"/>
              <w:bottom w:val="nil"/>
            </w:tcBorders>
          </w:tcPr>
          <w:p w14:paraId="29FD17B5"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ii</w:t>
            </w:r>
          </w:p>
        </w:tc>
        <w:tc>
          <w:tcPr>
            <w:tcW w:w="1000" w:type="pct"/>
            <w:gridSpan w:val="2"/>
            <w:vMerge/>
            <w:tcBorders>
              <w:bottom w:val="nil"/>
              <w:right w:val="nil"/>
            </w:tcBorders>
          </w:tcPr>
          <w:p w14:paraId="6D833353"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5D54D64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2.29</w:t>
            </w:r>
          </w:p>
        </w:tc>
        <w:tc>
          <w:tcPr>
            <w:tcW w:w="614" w:type="pct"/>
            <w:tcBorders>
              <w:top w:val="nil"/>
              <w:left w:val="nil"/>
              <w:bottom w:val="nil"/>
              <w:right w:val="nil"/>
            </w:tcBorders>
          </w:tcPr>
          <w:p w14:paraId="1AAE88E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0.51, 10.28</w:t>
            </w:r>
          </w:p>
        </w:tc>
        <w:tc>
          <w:tcPr>
            <w:tcW w:w="470" w:type="pct"/>
            <w:tcBorders>
              <w:top w:val="nil"/>
              <w:left w:val="nil"/>
              <w:bottom w:val="nil"/>
              <w:right w:val="nil"/>
            </w:tcBorders>
          </w:tcPr>
          <w:p w14:paraId="34C7484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.93</w:t>
            </w:r>
          </w:p>
        </w:tc>
        <w:tc>
          <w:tcPr>
            <w:tcW w:w="327" w:type="pct"/>
            <w:gridSpan w:val="2"/>
            <w:tcBorders>
              <w:top w:val="nil"/>
              <w:left w:val="nil"/>
              <w:bottom w:val="nil"/>
              <w:right w:val="nil"/>
            </w:tcBorders>
          </w:tcPr>
          <w:p w14:paraId="5C2CD2B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0.46</w:t>
            </w:r>
          </w:p>
        </w:tc>
        <w:tc>
          <w:tcPr>
            <w:tcW w:w="578" w:type="pct"/>
            <w:tcBorders>
              <w:top w:val="nil"/>
              <w:left w:val="nil"/>
              <w:bottom w:val="nil"/>
              <w:right w:val="nil"/>
            </w:tcBorders>
          </w:tcPr>
          <w:p w14:paraId="3E9D7BA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0.13, 1.56</w:t>
            </w:r>
          </w:p>
        </w:tc>
        <w:tc>
          <w:tcPr>
            <w:tcW w:w="626" w:type="pct"/>
            <w:tcBorders>
              <w:top w:val="nil"/>
              <w:left w:val="nil"/>
              <w:bottom w:val="nil"/>
              <w:right w:val="nil"/>
            </w:tcBorders>
          </w:tcPr>
          <w:p w14:paraId="3A9E354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.51</w:t>
            </w:r>
          </w:p>
        </w:tc>
      </w:tr>
      <w:tr w:rsidR="00722A28" w:rsidRPr="00722A28" w14:paraId="52B90DE9" w14:textId="77777777" w:rsidTr="00722A28">
        <w:trPr>
          <w:divId w:val="448934348"/>
        </w:trPr>
        <w:tc>
          <w:tcPr>
            <w:tcW w:w="932" w:type="pct"/>
            <w:tcBorders>
              <w:top w:val="nil"/>
              <w:left w:val="nil"/>
              <w:bottom w:val="nil"/>
            </w:tcBorders>
          </w:tcPr>
          <w:p w14:paraId="22E62A18"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Professional</w:t>
            </w:r>
          </w:p>
        </w:tc>
        <w:tc>
          <w:tcPr>
            <w:tcW w:w="1000" w:type="pct"/>
            <w:gridSpan w:val="2"/>
            <w:tcBorders>
              <w:top w:val="nil"/>
              <w:bottom w:val="nil"/>
              <w:right w:val="nil"/>
            </w:tcBorders>
          </w:tcPr>
          <w:p w14:paraId="72E999A8"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06B8B20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084" w:type="pct"/>
            <w:gridSpan w:val="2"/>
            <w:tcBorders>
              <w:top w:val="nil"/>
              <w:left w:val="nil"/>
              <w:bottom w:val="nil"/>
              <w:right w:val="nil"/>
            </w:tcBorders>
          </w:tcPr>
          <w:p w14:paraId="7693657A" w14:textId="77777777" w:rsidR="00722A28" w:rsidRPr="00722A28" w:rsidRDefault="00722A28" w:rsidP="00722A28">
            <w:pPr>
              <w:jc w:val="center"/>
              <w:rPr>
                <w:rFonts w:ascii="Times New Roman" w:eastAsia="Calibri" w:hAnsi="Times New Roman" w:cs="Times New Roman"/>
                <w:sz w:val="24"/>
                <w:szCs w:val="24"/>
              </w:rPr>
            </w:pPr>
          </w:p>
        </w:tc>
        <w:tc>
          <w:tcPr>
            <w:tcW w:w="323" w:type="pct"/>
            <w:tcBorders>
              <w:top w:val="nil"/>
              <w:left w:val="nil"/>
              <w:bottom w:val="nil"/>
              <w:right w:val="nil"/>
            </w:tcBorders>
          </w:tcPr>
          <w:p w14:paraId="0FA8E17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208" w:type="pct"/>
            <w:gridSpan w:val="3"/>
            <w:tcBorders>
              <w:top w:val="nil"/>
              <w:left w:val="nil"/>
              <w:bottom w:val="nil"/>
              <w:right w:val="nil"/>
            </w:tcBorders>
          </w:tcPr>
          <w:p w14:paraId="5CDEA503" w14:textId="77777777" w:rsidR="00722A28" w:rsidRPr="00722A28" w:rsidRDefault="00722A28" w:rsidP="00722A28">
            <w:pPr>
              <w:jc w:val="center"/>
              <w:rPr>
                <w:rFonts w:ascii="Times New Roman" w:eastAsia="Calibri" w:hAnsi="Times New Roman" w:cs="Times New Roman"/>
                <w:sz w:val="24"/>
                <w:szCs w:val="24"/>
              </w:rPr>
            </w:pPr>
          </w:p>
        </w:tc>
        <w:tc>
          <w:tcPr>
            <w:tcW w:w="98" w:type="pct"/>
            <w:tcBorders>
              <w:top w:val="nil"/>
              <w:left w:val="nil"/>
              <w:bottom w:val="nil"/>
              <w:right w:val="nil"/>
            </w:tcBorders>
          </w:tcPr>
          <w:p w14:paraId="646D5DEC" w14:textId="77777777" w:rsidR="00722A28" w:rsidRPr="00722A28" w:rsidRDefault="00722A28" w:rsidP="00722A28">
            <w:pPr>
              <w:rPr>
                <w:rFonts w:ascii="Times New Roman" w:eastAsia="Calibri" w:hAnsi="Times New Roman" w:cs="Times New Roman"/>
                <w:sz w:val="24"/>
                <w:szCs w:val="24"/>
              </w:rPr>
            </w:pPr>
          </w:p>
        </w:tc>
      </w:tr>
      <w:tr w:rsidR="00722A28" w:rsidRPr="00722A28" w14:paraId="140BF33A" w14:textId="77777777" w:rsidTr="00722A28">
        <w:trPr>
          <w:gridAfter w:val="1"/>
          <w:divId w:val="448934348"/>
          <w:wAfter w:w="98" w:type="pct"/>
        </w:trPr>
        <w:tc>
          <w:tcPr>
            <w:tcW w:w="932" w:type="pct"/>
            <w:tcBorders>
              <w:top w:val="nil"/>
              <w:left w:val="nil"/>
              <w:bottom w:val="nil"/>
            </w:tcBorders>
          </w:tcPr>
          <w:p w14:paraId="2057820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Parity:</w:t>
            </w:r>
            <w:r w:rsidRPr="00722A28">
              <w:rPr>
                <w:rFonts w:ascii="Times New Roman" w:eastAsia="Calibri" w:hAnsi="Times New Roman" w:cs="Times New Roman"/>
                <w:sz w:val="24"/>
                <w:szCs w:val="24"/>
              </w:rPr>
              <w:t xml:space="preserve"> </w:t>
            </w:r>
          </w:p>
        </w:tc>
        <w:tc>
          <w:tcPr>
            <w:tcW w:w="501" w:type="pct"/>
            <w:tcBorders>
              <w:top w:val="nil"/>
              <w:bottom w:val="nil"/>
              <w:right w:val="nil"/>
            </w:tcBorders>
          </w:tcPr>
          <w:p w14:paraId="582527D4"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2475DA91"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584EAB64"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5D11F671"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15282219"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3FB0D2C7"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7D92F0E2"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09301114" w14:textId="77777777" w:rsidR="00722A28" w:rsidRPr="00722A28" w:rsidRDefault="00722A28" w:rsidP="00722A28">
            <w:pPr>
              <w:rPr>
                <w:rFonts w:ascii="Times New Roman" w:eastAsia="Calibri" w:hAnsi="Times New Roman" w:cs="Times New Roman"/>
                <w:sz w:val="24"/>
                <w:szCs w:val="24"/>
              </w:rPr>
            </w:pPr>
          </w:p>
        </w:tc>
      </w:tr>
      <w:tr w:rsidR="00722A28" w:rsidRPr="00722A28" w14:paraId="17B50E4D" w14:textId="77777777" w:rsidTr="00722A28">
        <w:trPr>
          <w:divId w:val="448934348"/>
        </w:trPr>
        <w:tc>
          <w:tcPr>
            <w:tcW w:w="932" w:type="pct"/>
            <w:tcBorders>
              <w:top w:val="nil"/>
              <w:left w:val="nil"/>
              <w:bottom w:val="nil"/>
            </w:tcBorders>
          </w:tcPr>
          <w:p w14:paraId="297EAC12"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First</w:t>
            </w:r>
          </w:p>
        </w:tc>
        <w:tc>
          <w:tcPr>
            <w:tcW w:w="1000" w:type="pct"/>
            <w:gridSpan w:val="2"/>
            <w:tcBorders>
              <w:top w:val="nil"/>
              <w:bottom w:val="nil"/>
              <w:right w:val="nil"/>
            </w:tcBorders>
          </w:tcPr>
          <w:p w14:paraId="7B9C0A9F"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2C507F0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084" w:type="pct"/>
            <w:gridSpan w:val="2"/>
            <w:tcBorders>
              <w:top w:val="nil"/>
              <w:left w:val="nil"/>
              <w:bottom w:val="nil"/>
              <w:right w:val="nil"/>
            </w:tcBorders>
          </w:tcPr>
          <w:p w14:paraId="272626C1" w14:textId="77777777" w:rsidR="00722A28" w:rsidRPr="00722A28" w:rsidRDefault="00722A28" w:rsidP="00722A28">
            <w:pPr>
              <w:jc w:val="center"/>
              <w:rPr>
                <w:rFonts w:ascii="Times New Roman" w:eastAsia="Calibri" w:hAnsi="Times New Roman" w:cs="Times New Roman"/>
                <w:sz w:val="24"/>
                <w:szCs w:val="24"/>
              </w:rPr>
            </w:pPr>
          </w:p>
        </w:tc>
        <w:tc>
          <w:tcPr>
            <w:tcW w:w="323" w:type="pct"/>
            <w:tcBorders>
              <w:top w:val="nil"/>
              <w:left w:val="nil"/>
              <w:bottom w:val="nil"/>
              <w:right w:val="nil"/>
            </w:tcBorders>
          </w:tcPr>
          <w:p w14:paraId="7DA9939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208" w:type="pct"/>
            <w:gridSpan w:val="3"/>
            <w:tcBorders>
              <w:top w:val="nil"/>
              <w:left w:val="nil"/>
              <w:bottom w:val="nil"/>
              <w:right w:val="nil"/>
            </w:tcBorders>
          </w:tcPr>
          <w:p w14:paraId="6D8F69F5" w14:textId="77777777" w:rsidR="00722A28" w:rsidRPr="00722A28" w:rsidRDefault="00722A28" w:rsidP="00722A28">
            <w:pPr>
              <w:jc w:val="center"/>
              <w:rPr>
                <w:rFonts w:ascii="Times New Roman" w:eastAsia="Calibri" w:hAnsi="Times New Roman" w:cs="Times New Roman"/>
                <w:sz w:val="24"/>
                <w:szCs w:val="24"/>
              </w:rPr>
            </w:pPr>
          </w:p>
        </w:tc>
        <w:tc>
          <w:tcPr>
            <w:tcW w:w="98" w:type="pct"/>
            <w:tcBorders>
              <w:top w:val="nil"/>
              <w:left w:val="nil"/>
              <w:bottom w:val="nil"/>
              <w:right w:val="nil"/>
            </w:tcBorders>
          </w:tcPr>
          <w:p w14:paraId="31E0CA13" w14:textId="77777777" w:rsidR="00722A28" w:rsidRPr="00722A28" w:rsidRDefault="00722A28" w:rsidP="00722A28">
            <w:pPr>
              <w:rPr>
                <w:rFonts w:ascii="Times New Roman" w:eastAsia="Calibri" w:hAnsi="Times New Roman" w:cs="Times New Roman"/>
                <w:sz w:val="24"/>
                <w:szCs w:val="24"/>
              </w:rPr>
            </w:pPr>
          </w:p>
        </w:tc>
      </w:tr>
      <w:tr w:rsidR="00722A28" w:rsidRPr="00722A28" w14:paraId="4CB61405" w14:textId="77777777" w:rsidTr="00722A28">
        <w:trPr>
          <w:gridAfter w:val="1"/>
          <w:divId w:val="448934348"/>
          <w:wAfter w:w="98" w:type="pct"/>
        </w:trPr>
        <w:tc>
          <w:tcPr>
            <w:tcW w:w="932" w:type="pct"/>
            <w:tcBorders>
              <w:top w:val="nil"/>
              <w:left w:val="nil"/>
              <w:bottom w:val="nil"/>
            </w:tcBorders>
          </w:tcPr>
          <w:p w14:paraId="17F259D2"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Second</w:t>
            </w:r>
          </w:p>
        </w:tc>
        <w:tc>
          <w:tcPr>
            <w:tcW w:w="1000" w:type="pct"/>
            <w:gridSpan w:val="2"/>
            <w:vMerge w:val="restart"/>
            <w:tcBorders>
              <w:top w:val="nil"/>
              <w:right w:val="nil"/>
            </w:tcBorders>
          </w:tcPr>
          <w:p w14:paraId="476C8975"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29E221E0"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633A5614"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sz w:val="24"/>
                <w:szCs w:val="24"/>
              </w:rPr>
              <w:t>1.44</w:t>
            </w:r>
          </w:p>
        </w:tc>
        <w:tc>
          <w:tcPr>
            <w:tcW w:w="614" w:type="pct"/>
            <w:tcBorders>
              <w:top w:val="nil"/>
              <w:left w:val="nil"/>
              <w:bottom w:val="nil"/>
              <w:right w:val="nil"/>
            </w:tcBorders>
          </w:tcPr>
          <w:p w14:paraId="500536F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1.04, 1.99</w:t>
            </w:r>
          </w:p>
        </w:tc>
        <w:tc>
          <w:tcPr>
            <w:tcW w:w="470" w:type="pct"/>
            <w:tcBorders>
              <w:top w:val="nil"/>
              <w:left w:val="nil"/>
              <w:bottom w:val="nil"/>
              <w:right w:val="nil"/>
            </w:tcBorders>
          </w:tcPr>
          <w:p w14:paraId="7319E184"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42ED6B9B"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sz w:val="24"/>
                <w:szCs w:val="24"/>
              </w:rPr>
              <w:t>1.62</w:t>
            </w:r>
          </w:p>
        </w:tc>
        <w:tc>
          <w:tcPr>
            <w:tcW w:w="578" w:type="pct"/>
            <w:tcBorders>
              <w:top w:val="nil"/>
              <w:left w:val="nil"/>
              <w:bottom w:val="nil"/>
              <w:right w:val="nil"/>
            </w:tcBorders>
          </w:tcPr>
          <w:p w14:paraId="2945ED7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1.06, 2.47</w:t>
            </w:r>
          </w:p>
        </w:tc>
        <w:tc>
          <w:tcPr>
            <w:tcW w:w="626" w:type="pct"/>
            <w:tcBorders>
              <w:top w:val="nil"/>
              <w:left w:val="nil"/>
              <w:bottom w:val="nil"/>
              <w:right w:val="nil"/>
            </w:tcBorders>
          </w:tcPr>
          <w:p w14:paraId="7AB3544D" w14:textId="77777777" w:rsidR="00722A28" w:rsidRPr="00722A28" w:rsidRDefault="00722A28" w:rsidP="00722A28">
            <w:pPr>
              <w:rPr>
                <w:rFonts w:ascii="Times New Roman" w:eastAsia="Calibri" w:hAnsi="Times New Roman" w:cs="Times New Roman"/>
                <w:sz w:val="24"/>
                <w:szCs w:val="24"/>
              </w:rPr>
            </w:pPr>
          </w:p>
        </w:tc>
      </w:tr>
      <w:tr w:rsidR="00722A28" w:rsidRPr="00722A28" w14:paraId="049B4098" w14:textId="77777777" w:rsidTr="00722A28">
        <w:trPr>
          <w:gridAfter w:val="1"/>
          <w:divId w:val="448934348"/>
          <w:wAfter w:w="98" w:type="pct"/>
        </w:trPr>
        <w:tc>
          <w:tcPr>
            <w:tcW w:w="932" w:type="pct"/>
            <w:tcBorders>
              <w:top w:val="nil"/>
              <w:left w:val="nil"/>
              <w:bottom w:val="nil"/>
            </w:tcBorders>
          </w:tcPr>
          <w:p w14:paraId="002ADC03"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Third+</w:t>
            </w:r>
          </w:p>
        </w:tc>
        <w:tc>
          <w:tcPr>
            <w:tcW w:w="1000" w:type="pct"/>
            <w:gridSpan w:val="2"/>
            <w:vMerge/>
            <w:tcBorders>
              <w:bottom w:val="nil"/>
              <w:right w:val="nil"/>
            </w:tcBorders>
          </w:tcPr>
          <w:p w14:paraId="07470A8D"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4B6C843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1.17</w:t>
            </w:r>
          </w:p>
        </w:tc>
        <w:tc>
          <w:tcPr>
            <w:tcW w:w="614" w:type="pct"/>
            <w:tcBorders>
              <w:top w:val="nil"/>
              <w:left w:val="nil"/>
              <w:bottom w:val="nil"/>
              <w:right w:val="nil"/>
            </w:tcBorders>
          </w:tcPr>
          <w:p w14:paraId="1D17F9C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0.73, 1.85</w:t>
            </w:r>
          </w:p>
        </w:tc>
        <w:tc>
          <w:tcPr>
            <w:tcW w:w="470" w:type="pct"/>
            <w:tcBorders>
              <w:top w:val="nil"/>
              <w:left w:val="nil"/>
              <w:bottom w:val="nil"/>
              <w:right w:val="nil"/>
            </w:tcBorders>
          </w:tcPr>
          <w:p w14:paraId="3BD6E5E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.31</w:t>
            </w:r>
          </w:p>
        </w:tc>
        <w:tc>
          <w:tcPr>
            <w:tcW w:w="327" w:type="pct"/>
            <w:gridSpan w:val="2"/>
            <w:tcBorders>
              <w:top w:val="nil"/>
              <w:left w:val="nil"/>
              <w:bottom w:val="nil"/>
              <w:right w:val="nil"/>
            </w:tcBorders>
          </w:tcPr>
          <w:p w14:paraId="3E3E536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1.07</w:t>
            </w:r>
          </w:p>
        </w:tc>
        <w:tc>
          <w:tcPr>
            <w:tcW w:w="578" w:type="pct"/>
            <w:tcBorders>
              <w:top w:val="nil"/>
              <w:left w:val="nil"/>
              <w:bottom w:val="nil"/>
              <w:right w:val="nil"/>
            </w:tcBorders>
          </w:tcPr>
          <w:p w14:paraId="7812DF7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0.59, 1.99</w:t>
            </w:r>
          </w:p>
        </w:tc>
        <w:tc>
          <w:tcPr>
            <w:tcW w:w="626" w:type="pct"/>
            <w:tcBorders>
              <w:top w:val="nil"/>
              <w:left w:val="nil"/>
              <w:bottom w:val="nil"/>
              <w:right w:val="nil"/>
            </w:tcBorders>
          </w:tcPr>
          <w:p w14:paraId="071325B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.39</w:t>
            </w:r>
          </w:p>
        </w:tc>
      </w:tr>
      <w:tr w:rsidR="00722A28" w:rsidRPr="00722A28" w14:paraId="1A432498" w14:textId="77777777" w:rsidTr="00722A28">
        <w:trPr>
          <w:gridAfter w:val="1"/>
          <w:divId w:val="448934348"/>
          <w:wAfter w:w="98" w:type="pct"/>
        </w:trPr>
        <w:tc>
          <w:tcPr>
            <w:tcW w:w="932" w:type="pct"/>
            <w:tcBorders>
              <w:top w:val="nil"/>
              <w:left w:val="nil"/>
              <w:bottom w:val="nil"/>
            </w:tcBorders>
          </w:tcPr>
          <w:p w14:paraId="5309A98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Tenure:</w:t>
            </w:r>
          </w:p>
        </w:tc>
        <w:tc>
          <w:tcPr>
            <w:tcW w:w="501" w:type="pct"/>
            <w:tcBorders>
              <w:top w:val="nil"/>
              <w:bottom w:val="nil"/>
              <w:right w:val="nil"/>
            </w:tcBorders>
          </w:tcPr>
          <w:p w14:paraId="34B9CDF4"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571ED3AB"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54AB32A4"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46C2B085"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35FAAA38"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6C610041"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6053BC9D"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0777CEBF" w14:textId="77777777" w:rsidR="00722A28" w:rsidRPr="00722A28" w:rsidRDefault="00722A28" w:rsidP="00722A28">
            <w:pPr>
              <w:rPr>
                <w:rFonts w:ascii="Times New Roman" w:eastAsia="Calibri" w:hAnsi="Times New Roman" w:cs="Times New Roman"/>
                <w:sz w:val="24"/>
                <w:szCs w:val="24"/>
              </w:rPr>
            </w:pPr>
          </w:p>
        </w:tc>
      </w:tr>
      <w:tr w:rsidR="00722A28" w:rsidRPr="00722A28" w14:paraId="27E7C4F0" w14:textId="77777777" w:rsidTr="00722A28">
        <w:trPr>
          <w:divId w:val="448934348"/>
        </w:trPr>
        <w:tc>
          <w:tcPr>
            <w:tcW w:w="932" w:type="pct"/>
            <w:tcBorders>
              <w:top w:val="nil"/>
              <w:left w:val="nil"/>
              <w:bottom w:val="nil"/>
            </w:tcBorders>
          </w:tcPr>
          <w:p w14:paraId="1CDF9F55"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Mortgaged</w:t>
            </w:r>
          </w:p>
        </w:tc>
        <w:tc>
          <w:tcPr>
            <w:tcW w:w="1000" w:type="pct"/>
            <w:gridSpan w:val="2"/>
            <w:tcBorders>
              <w:top w:val="nil"/>
              <w:bottom w:val="nil"/>
              <w:right w:val="nil"/>
            </w:tcBorders>
          </w:tcPr>
          <w:p w14:paraId="49F037A0"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1F92D45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084" w:type="pct"/>
            <w:gridSpan w:val="2"/>
            <w:tcBorders>
              <w:top w:val="nil"/>
              <w:left w:val="nil"/>
              <w:bottom w:val="nil"/>
              <w:right w:val="nil"/>
            </w:tcBorders>
          </w:tcPr>
          <w:p w14:paraId="5EE9A217" w14:textId="77777777" w:rsidR="00722A28" w:rsidRPr="00722A28" w:rsidRDefault="00722A28" w:rsidP="00722A28">
            <w:pPr>
              <w:jc w:val="center"/>
              <w:rPr>
                <w:rFonts w:ascii="Times New Roman" w:eastAsia="Calibri" w:hAnsi="Times New Roman" w:cs="Times New Roman"/>
                <w:sz w:val="24"/>
                <w:szCs w:val="24"/>
              </w:rPr>
            </w:pPr>
          </w:p>
        </w:tc>
        <w:tc>
          <w:tcPr>
            <w:tcW w:w="323" w:type="pct"/>
            <w:tcBorders>
              <w:top w:val="nil"/>
              <w:left w:val="nil"/>
              <w:bottom w:val="nil"/>
              <w:right w:val="nil"/>
            </w:tcBorders>
          </w:tcPr>
          <w:p w14:paraId="43FC2FE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1208" w:type="pct"/>
            <w:gridSpan w:val="3"/>
            <w:tcBorders>
              <w:top w:val="nil"/>
              <w:left w:val="nil"/>
              <w:bottom w:val="nil"/>
              <w:right w:val="nil"/>
            </w:tcBorders>
          </w:tcPr>
          <w:p w14:paraId="3CC7CD06" w14:textId="77777777" w:rsidR="00722A28" w:rsidRPr="00722A28" w:rsidRDefault="00722A28" w:rsidP="00722A28">
            <w:pPr>
              <w:jc w:val="center"/>
              <w:rPr>
                <w:rFonts w:ascii="Times New Roman" w:eastAsia="Calibri" w:hAnsi="Times New Roman" w:cs="Times New Roman"/>
                <w:sz w:val="24"/>
                <w:szCs w:val="24"/>
              </w:rPr>
            </w:pPr>
          </w:p>
        </w:tc>
        <w:tc>
          <w:tcPr>
            <w:tcW w:w="98" w:type="pct"/>
            <w:tcBorders>
              <w:top w:val="nil"/>
              <w:left w:val="nil"/>
              <w:bottom w:val="nil"/>
              <w:right w:val="nil"/>
            </w:tcBorders>
          </w:tcPr>
          <w:p w14:paraId="581139EB" w14:textId="77777777" w:rsidR="00722A28" w:rsidRPr="00722A28" w:rsidRDefault="00722A28" w:rsidP="00722A28">
            <w:pPr>
              <w:rPr>
                <w:rFonts w:ascii="Times New Roman" w:eastAsia="Calibri" w:hAnsi="Times New Roman" w:cs="Times New Roman"/>
                <w:sz w:val="24"/>
                <w:szCs w:val="24"/>
              </w:rPr>
            </w:pPr>
          </w:p>
        </w:tc>
      </w:tr>
      <w:tr w:rsidR="00722A28" w:rsidRPr="00722A28" w14:paraId="08287641" w14:textId="77777777" w:rsidTr="00722A28">
        <w:trPr>
          <w:gridAfter w:val="1"/>
          <w:divId w:val="448934348"/>
          <w:wAfter w:w="98" w:type="pct"/>
        </w:trPr>
        <w:tc>
          <w:tcPr>
            <w:tcW w:w="932" w:type="pct"/>
            <w:tcBorders>
              <w:top w:val="nil"/>
              <w:left w:val="nil"/>
              <w:bottom w:val="nil"/>
            </w:tcBorders>
          </w:tcPr>
          <w:p w14:paraId="017AF97E"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Private rent</w:t>
            </w:r>
          </w:p>
        </w:tc>
        <w:tc>
          <w:tcPr>
            <w:tcW w:w="1000" w:type="pct"/>
            <w:gridSpan w:val="2"/>
            <w:vMerge w:val="restart"/>
            <w:tcBorders>
              <w:top w:val="nil"/>
              <w:right w:val="nil"/>
            </w:tcBorders>
          </w:tcPr>
          <w:p w14:paraId="65C20321"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p w14:paraId="5EFEF735"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765E98F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1.85</w:t>
            </w:r>
          </w:p>
        </w:tc>
        <w:tc>
          <w:tcPr>
            <w:tcW w:w="614" w:type="pct"/>
            <w:tcBorders>
              <w:top w:val="nil"/>
              <w:left w:val="nil"/>
              <w:bottom w:val="nil"/>
              <w:right w:val="nil"/>
            </w:tcBorders>
          </w:tcPr>
          <w:p w14:paraId="261F77C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1.03, 3.32</w:t>
            </w:r>
          </w:p>
        </w:tc>
        <w:tc>
          <w:tcPr>
            <w:tcW w:w="470" w:type="pct"/>
            <w:tcBorders>
              <w:top w:val="nil"/>
              <w:left w:val="nil"/>
              <w:bottom w:val="nil"/>
              <w:right w:val="nil"/>
            </w:tcBorders>
          </w:tcPr>
          <w:p w14:paraId="2043CA51"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63B54CE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1.44</w:t>
            </w:r>
          </w:p>
        </w:tc>
        <w:tc>
          <w:tcPr>
            <w:tcW w:w="578" w:type="pct"/>
            <w:tcBorders>
              <w:top w:val="nil"/>
              <w:left w:val="nil"/>
              <w:bottom w:val="nil"/>
              <w:right w:val="nil"/>
            </w:tcBorders>
          </w:tcPr>
          <w:p w14:paraId="3D54450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0.66, 3.13</w:t>
            </w:r>
          </w:p>
        </w:tc>
        <w:tc>
          <w:tcPr>
            <w:tcW w:w="626" w:type="pct"/>
            <w:tcBorders>
              <w:top w:val="nil"/>
              <w:left w:val="nil"/>
              <w:bottom w:val="nil"/>
              <w:right w:val="nil"/>
            </w:tcBorders>
          </w:tcPr>
          <w:p w14:paraId="64EA360D" w14:textId="77777777" w:rsidR="00722A28" w:rsidRPr="00722A28" w:rsidRDefault="00722A28" w:rsidP="00722A28">
            <w:pPr>
              <w:rPr>
                <w:rFonts w:ascii="Times New Roman" w:eastAsia="Calibri" w:hAnsi="Times New Roman" w:cs="Times New Roman"/>
                <w:sz w:val="24"/>
                <w:szCs w:val="24"/>
              </w:rPr>
            </w:pPr>
          </w:p>
        </w:tc>
      </w:tr>
      <w:tr w:rsidR="00722A28" w:rsidRPr="00722A28" w14:paraId="13407728" w14:textId="77777777" w:rsidTr="00722A28">
        <w:trPr>
          <w:gridAfter w:val="1"/>
          <w:divId w:val="448934348"/>
          <w:wAfter w:w="98" w:type="pct"/>
        </w:trPr>
        <w:tc>
          <w:tcPr>
            <w:tcW w:w="932" w:type="pct"/>
            <w:tcBorders>
              <w:top w:val="nil"/>
              <w:left w:val="nil"/>
              <w:bottom w:val="nil"/>
            </w:tcBorders>
          </w:tcPr>
          <w:p w14:paraId="134D53D0"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Sub rent</w:t>
            </w:r>
          </w:p>
        </w:tc>
        <w:tc>
          <w:tcPr>
            <w:tcW w:w="1000" w:type="pct"/>
            <w:gridSpan w:val="2"/>
            <w:vMerge/>
            <w:tcBorders>
              <w:bottom w:val="nil"/>
              <w:right w:val="nil"/>
            </w:tcBorders>
          </w:tcPr>
          <w:p w14:paraId="18950EE2"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2968B00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0.67</w:t>
            </w:r>
          </w:p>
        </w:tc>
        <w:tc>
          <w:tcPr>
            <w:tcW w:w="614" w:type="pct"/>
            <w:tcBorders>
              <w:top w:val="nil"/>
              <w:left w:val="nil"/>
              <w:bottom w:val="nil"/>
              <w:right w:val="nil"/>
            </w:tcBorders>
          </w:tcPr>
          <w:p w14:paraId="30367BD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0.27, 1.71</w:t>
            </w:r>
          </w:p>
        </w:tc>
        <w:tc>
          <w:tcPr>
            <w:tcW w:w="470" w:type="pct"/>
            <w:tcBorders>
              <w:top w:val="nil"/>
              <w:left w:val="nil"/>
              <w:bottom w:val="nil"/>
              <w:right w:val="nil"/>
            </w:tcBorders>
          </w:tcPr>
          <w:p w14:paraId="353921B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.94</w:t>
            </w:r>
          </w:p>
        </w:tc>
        <w:tc>
          <w:tcPr>
            <w:tcW w:w="327" w:type="pct"/>
            <w:gridSpan w:val="2"/>
            <w:tcBorders>
              <w:top w:val="nil"/>
              <w:left w:val="nil"/>
              <w:bottom w:val="nil"/>
              <w:right w:val="nil"/>
            </w:tcBorders>
          </w:tcPr>
          <w:p w14:paraId="6BCF886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0.94</w:t>
            </w:r>
          </w:p>
        </w:tc>
        <w:tc>
          <w:tcPr>
            <w:tcW w:w="578" w:type="pct"/>
            <w:tcBorders>
              <w:top w:val="nil"/>
              <w:left w:val="nil"/>
              <w:bottom w:val="nil"/>
              <w:right w:val="nil"/>
            </w:tcBorders>
          </w:tcPr>
          <w:p w14:paraId="13B0BB3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0.38, 2.30</w:t>
            </w:r>
          </w:p>
        </w:tc>
        <w:tc>
          <w:tcPr>
            <w:tcW w:w="626" w:type="pct"/>
            <w:tcBorders>
              <w:top w:val="nil"/>
              <w:left w:val="nil"/>
              <w:bottom w:val="nil"/>
              <w:right w:val="nil"/>
            </w:tcBorders>
          </w:tcPr>
          <w:p w14:paraId="7E0B517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.73</w:t>
            </w:r>
          </w:p>
        </w:tc>
      </w:tr>
      <w:tr w:rsidR="00722A28" w:rsidRPr="00722A28" w14:paraId="57EC3EA7" w14:textId="77777777" w:rsidTr="00722A28">
        <w:trPr>
          <w:gridAfter w:val="1"/>
          <w:divId w:val="448934348"/>
          <w:wAfter w:w="98" w:type="pct"/>
        </w:trPr>
        <w:tc>
          <w:tcPr>
            <w:tcW w:w="932" w:type="pct"/>
            <w:tcBorders>
              <w:top w:val="nil"/>
              <w:left w:val="nil"/>
              <w:bottom w:val="nil"/>
            </w:tcBorders>
          </w:tcPr>
          <w:p w14:paraId="2B27ED02" w14:textId="77777777" w:rsidR="00722A28" w:rsidRPr="00722A28" w:rsidRDefault="00722A28" w:rsidP="00722A28">
            <w:pPr>
              <w:rPr>
                <w:rFonts w:ascii="Times New Roman" w:eastAsia="Calibri" w:hAnsi="Times New Roman" w:cs="Times New Roman"/>
                <w:sz w:val="24"/>
                <w:szCs w:val="24"/>
              </w:rPr>
            </w:pPr>
          </w:p>
        </w:tc>
        <w:tc>
          <w:tcPr>
            <w:tcW w:w="501" w:type="pct"/>
            <w:tcBorders>
              <w:top w:val="nil"/>
              <w:bottom w:val="nil"/>
              <w:right w:val="nil"/>
            </w:tcBorders>
          </w:tcPr>
          <w:p w14:paraId="35BC3766"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10A61D73"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4FC46CA3"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3D889B55"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3CBBD7DB"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0D54CD72"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095A3C93"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65D282AE" w14:textId="77777777" w:rsidR="00722A28" w:rsidRPr="00722A28" w:rsidRDefault="00722A28" w:rsidP="00722A28">
            <w:pPr>
              <w:rPr>
                <w:rFonts w:ascii="Times New Roman" w:eastAsia="Calibri" w:hAnsi="Times New Roman" w:cs="Times New Roman"/>
                <w:sz w:val="24"/>
                <w:szCs w:val="24"/>
              </w:rPr>
            </w:pPr>
          </w:p>
        </w:tc>
      </w:tr>
      <w:tr w:rsidR="00722A28" w:rsidRPr="00722A28" w14:paraId="4C772B1A" w14:textId="77777777" w:rsidTr="00722A28">
        <w:trPr>
          <w:gridAfter w:val="1"/>
          <w:divId w:val="448934348"/>
          <w:wAfter w:w="98" w:type="pct"/>
        </w:trPr>
        <w:tc>
          <w:tcPr>
            <w:tcW w:w="932" w:type="pct"/>
            <w:tcBorders>
              <w:top w:val="nil"/>
              <w:left w:val="nil"/>
              <w:bottom w:val="nil"/>
            </w:tcBorders>
          </w:tcPr>
          <w:p w14:paraId="1D2C66A9" w14:textId="77777777" w:rsidR="00722A28" w:rsidRPr="00722A28" w:rsidRDefault="00722A28" w:rsidP="00722A28">
            <w:pPr>
              <w:jc w:val="right"/>
              <w:rPr>
                <w:rFonts w:ascii="Times New Roman" w:eastAsia="Calibri" w:hAnsi="Times New Roman" w:cs="Times New Roman"/>
                <w:sz w:val="24"/>
                <w:szCs w:val="24"/>
              </w:rPr>
            </w:pPr>
          </w:p>
        </w:tc>
        <w:tc>
          <w:tcPr>
            <w:tcW w:w="501" w:type="pct"/>
            <w:tcBorders>
              <w:top w:val="nil"/>
              <w:bottom w:val="nil"/>
              <w:right w:val="nil"/>
            </w:tcBorders>
          </w:tcPr>
          <w:p w14:paraId="4B6B1AA4"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66E9D6B9"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33DF6C8C"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1D53FB92"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39E6D92B"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68262B3F"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1B560DEB"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4F60B7C7" w14:textId="77777777" w:rsidR="00722A28" w:rsidRPr="00722A28" w:rsidRDefault="00722A28" w:rsidP="00722A28">
            <w:pPr>
              <w:rPr>
                <w:rFonts w:ascii="Times New Roman" w:eastAsia="Calibri" w:hAnsi="Times New Roman" w:cs="Times New Roman"/>
                <w:sz w:val="24"/>
                <w:szCs w:val="24"/>
              </w:rPr>
            </w:pPr>
          </w:p>
        </w:tc>
      </w:tr>
      <w:tr w:rsidR="00722A28" w:rsidRPr="00722A28" w14:paraId="7000193A" w14:textId="77777777" w:rsidTr="00722A28">
        <w:trPr>
          <w:gridAfter w:val="1"/>
          <w:divId w:val="448934348"/>
          <w:wAfter w:w="98" w:type="pct"/>
        </w:trPr>
        <w:tc>
          <w:tcPr>
            <w:tcW w:w="932" w:type="pct"/>
            <w:tcBorders>
              <w:top w:val="nil"/>
              <w:left w:val="nil"/>
              <w:bottom w:val="nil"/>
            </w:tcBorders>
          </w:tcPr>
          <w:p w14:paraId="12BD6E2C"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b/>
                <w:sz w:val="24"/>
                <w:szCs w:val="24"/>
              </w:rPr>
              <w:t>Maternal smoking:</w:t>
            </w:r>
          </w:p>
        </w:tc>
        <w:tc>
          <w:tcPr>
            <w:tcW w:w="501" w:type="pct"/>
            <w:tcBorders>
              <w:top w:val="nil"/>
              <w:bottom w:val="nil"/>
              <w:right w:val="nil"/>
            </w:tcBorders>
          </w:tcPr>
          <w:p w14:paraId="08384CC7"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72E62A02"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02E68604"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60B00185"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5B3742C1"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7208C51F"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557F1C63"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0870F1FD" w14:textId="77777777" w:rsidR="00722A28" w:rsidRPr="00722A28" w:rsidRDefault="00722A28" w:rsidP="00722A28">
            <w:pPr>
              <w:rPr>
                <w:rFonts w:ascii="Times New Roman" w:eastAsia="Calibri" w:hAnsi="Times New Roman" w:cs="Times New Roman"/>
                <w:sz w:val="24"/>
                <w:szCs w:val="24"/>
              </w:rPr>
            </w:pPr>
          </w:p>
        </w:tc>
      </w:tr>
      <w:tr w:rsidR="00722A28" w:rsidRPr="00722A28" w14:paraId="56509312" w14:textId="77777777" w:rsidTr="00722A28">
        <w:trPr>
          <w:gridAfter w:val="1"/>
          <w:divId w:val="448934348"/>
          <w:wAfter w:w="98" w:type="pct"/>
        </w:trPr>
        <w:tc>
          <w:tcPr>
            <w:tcW w:w="932" w:type="pct"/>
            <w:tcBorders>
              <w:top w:val="nil"/>
              <w:left w:val="nil"/>
              <w:bottom w:val="nil"/>
            </w:tcBorders>
          </w:tcPr>
          <w:p w14:paraId="4ED4A740"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Yes</w:t>
            </w:r>
          </w:p>
        </w:tc>
        <w:tc>
          <w:tcPr>
            <w:tcW w:w="1000" w:type="pct"/>
            <w:gridSpan w:val="2"/>
            <w:tcBorders>
              <w:top w:val="nil"/>
              <w:bottom w:val="nil"/>
              <w:right w:val="nil"/>
            </w:tcBorders>
          </w:tcPr>
          <w:p w14:paraId="4F2132B7"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47A388F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0.74</w:t>
            </w:r>
          </w:p>
        </w:tc>
        <w:tc>
          <w:tcPr>
            <w:tcW w:w="614" w:type="pct"/>
            <w:tcBorders>
              <w:top w:val="nil"/>
              <w:left w:val="nil"/>
              <w:bottom w:val="nil"/>
              <w:right w:val="nil"/>
            </w:tcBorders>
          </w:tcPr>
          <w:p w14:paraId="67CA80E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0.42, 1.32</w:t>
            </w:r>
          </w:p>
        </w:tc>
        <w:tc>
          <w:tcPr>
            <w:tcW w:w="470" w:type="pct"/>
            <w:tcBorders>
              <w:top w:val="nil"/>
              <w:left w:val="nil"/>
              <w:bottom w:val="nil"/>
              <w:right w:val="nil"/>
            </w:tcBorders>
          </w:tcPr>
          <w:p w14:paraId="5EC05D4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.26</w:t>
            </w:r>
          </w:p>
        </w:tc>
        <w:tc>
          <w:tcPr>
            <w:tcW w:w="327" w:type="pct"/>
            <w:gridSpan w:val="2"/>
            <w:tcBorders>
              <w:top w:val="nil"/>
              <w:left w:val="nil"/>
              <w:bottom w:val="nil"/>
              <w:right w:val="nil"/>
            </w:tcBorders>
          </w:tcPr>
          <w:p w14:paraId="14C78FE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1.69</w:t>
            </w:r>
          </w:p>
        </w:tc>
        <w:tc>
          <w:tcPr>
            <w:tcW w:w="578" w:type="pct"/>
            <w:tcBorders>
              <w:top w:val="nil"/>
              <w:left w:val="nil"/>
              <w:bottom w:val="nil"/>
              <w:right w:val="nil"/>
            </w:tcBorders>
          </w:tcPr>
          <w:p w14:paraId="46E8C80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0.96, 3.01</w:t>
            </w:r>
          </w:p>
        </w:tc>
        <w:tc>
          <w:tcPr>
            <w:tcW w:w="626" w:type="pct"/>
            <w:tcBorders>
              <w:top w:val="nil"/>
              <w:left w:val="nil"/>
              <w:bottom w:val="nil"/>
              <w:right w:val="nil"/>
            </w:tcBorders>
          </w:tcPr>
          <w:p w14:paraId="6B4F252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w:t>
            </w:r>
          </w:p>
        </w:tc>
      </w:tr>
      <w:tr w:rsidR="00722A28" w:rsidRPr="00722A28" w14:paraId="45AA208B" w14:textId="77777777" w:rsidTr="00722A28">
        <w:trPr>
          <w:gridAfter w:val="1"/>
          <w:divId w:val="448934348"/>
          <w:wAfter w:w="98" w:type="pct"/>
        </w:trPr>
        <w:tc>
          <w:tcPr>
            <w:tcW w:w="932" w:type="pct"/>
            <w:tcBorders>
              <w:top w:val="nil"/>
              <w:left w:val="nil"/>
              <w:bottom w:val="nil"/>
            </w:tcBorders>
          </w:tcPr>
          <w:p w14:paraId="6C26EDF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WM at age 11:</w:t>
            </w:r>
          </w:p>
        </w:tc>
        <w:tc>
          <w:tcPr>
            <w:tcW w:w="501" w:type="pct"/>
            <w:tcBorders>
              <w:top w:val="nil"/>
              <w:bottom w:val="nil"/>
              <w:right w:val="nil"/>
            </w:tcBorders>
          </w:tcPr>
          <w:p w14:paraId="2C84AB39"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78A9790E"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1895F5A4"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4BFD4941"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4EF010B0"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6ABD141D"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72B9971D"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54E73A08" w14:textId="77777777" w:rsidR="00722A28" w:rsidRPr="00722A28" w:rsidRDefault="00722A28" w:rsidP="00722A28">
            <w:pPr>
              <w:rPr>
                <w:rFonts w:ascii="Times New Roman" w:eastAsia="Calibri" w:hAnsi="Times New Roman" w:cs="Times New Roman"/>
                <w:sz w:val="24"/>
                <w:szCs w:val="24"/>
              </w:rPr>
            </w:pPr>
          </w:p>
        </w:tc>
      </w:tr>
      <w:tr w:rsidR="00722A28" w:rsidRPr="00722A28" w14:paraId="67C7553C" w14:textId="77777777" w:rsidTr="00722A28">
        <w:trPr>
          <w:gridAfter w:val="1"/>
          <w:divId w:val="448934348"/>
          <w:wAfter w:w="98" w:type="pct"/>
        </w:trPr>
        <w:tc>
          <w:tcPr>
            <w:tcW w:w="932" w:type="pct"/>
            <w:tcBorders>
              <w:top w:val="nil"/>
              <w:left w:val="nil"/>
              <w:bottom w:val="nil"/>
            </w:tcBorders>
          </w:tcPr>
          <w:p w14:paraId="2AAF53F5"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Linear term</w:t>
            </w:r>
          </w:p>
        </w:tc>
        <w:tc>
          <w:tcPr>
            <w:tcW w:w="1000" w:type="pct"/>
            <w:gridSpan w:val="2"/>
            <w:tcBorders>
              <w:top w:val="nil"/>
              <w:bottom w:val="nil"/>
              <w:right w:val="nil"/>
            </w:tcBorders>
          </w:tcPr>
          <w:p w14:paraId="2334A137"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3519923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1.09</w:t>
            </w:r>
          </w:p>
        </w:tc>
        <w:tc>
          <w:tcPr>
            <w:tcW w:w="614" w:type="pct"/>
            <w:tcBorders>
              <w:top w:val="nil"/>
              <w:left w:val="nil"/>
              <w:bottom w:val="nil"/>
              <w:right w:val="nil"/>
            </w:tcBorders>
          </w:tcPr>
          <w:p w14:paraId="310A727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0.90, 1.33</w:t>
            </w:r>
          </w:p>
        </w:tc>
        <w:tc>
          <w:tcPr>
            <w:tcW w:w="470" w:type="pct"/>
            <w:tcBorders>
              <w:top w:val="nil"/>
              <w:left w:val="nil"/>
              <w:bottom w:val="nil"/>
              <w:right w:val="nil"/>
            </w:tcBorders>
          </w:tcPr>
          <w:p w14:paraId="78D6F59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.32</w:t>
            </w:r>
          </w:p>
        </w:tc>
        <w:tc>
          <w:tcPr>
            <w:tcW w:w="327" w:type="pct"/>
            <w:gridSpan w:val="2"/>
            <w:tcBorders>
              <w:top w:val="nil"/>
              <w:left w:val="nil"/>
              <w:bottom w:val="nil"/>
              <w:right w:val="nil"/>
            </w:tcBorders>
          </w:tcPr>
          <w:p w14:paraId="69983C9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1.24</w:t>
            </w:r>
          </w:p>
        </w:tc>
        <w:tc>
          <w:tcPr>
            <w:tcW w:w="578" w:type="pct"/>
            <w:tcBorders>
              <w:top w:val="nil"/>
              <w:left w:val="nil"/>
              <w:bottom w:val="nil"/>
              <w:right w:val="nil"/>
            </w:tcBorders>
          </w:tcPr>
          <w:p w14:paraId="1059DA4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0.97, 1.61</w:t>
            </w:r>
          </w:p>
        </w:tc>
        <w:tc>
          <w:tcPr>
            <w:tcW w:w="626" w:type="pct"/>
            <w:tcBorders>
              <w:top w:val="nil"/>
              <w:left w:val="nil"/>
              <w:bottom w:val="nil"/>
              <w:right w:val="nil"/>
            </w:tcBorders>
          </w:tcPr>
          <w:p w14:paraId="6218AD9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.08</w:t>
            </w:r>
          </w:p>
        </w:tc>
      </w:tr>
      <w:tr w:rsidR="00722A28" w:rsidRPr="00722A28" w14:paraId="482D1EE5" w14:textId="77777777" w:rsidTr="00722A28">
        <w:trPr>
          <w:gridAfter w:val="1"/>
          <w:divId w:val="448934348"/>
          <w:wAfter w:w="98" w:type="pct"/>
        </w:trPr>
        <w:tc>
          <w:tcPr>
            <w:tcW w:w="932" w:type="pct"/>
            <w:tcBorders>
              <w:top w:val="nil"/>
              <w:left w:val="nil"/>
              <w:bottom w:val="nil"/>
            </w:tcBorders>
          </w:tcPr>
          <w:p w14:paraId="651DDC8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Head injury:</w:t>
            </w:r>
          </w:p>
        </w:tc>
        <w:tc>
          <w:tcPr>
            <w:tcW w:w="501" w:type="pct"/>
            <w:tcBorders>
              <w:top w:val="nil"/>
              <w:bottom w:val="nil"/>
              <w:right w:val="nil"/>
            </w:tcBorders>
          </w:tcPr>
          <w:p w14:paraId="45A1F8F1"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71D7FD7B"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06243FEA"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37B49A99"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269BA7F7"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3C87740A"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337B7E26"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23A33B78" w14:textId="77777777" w:rsidR="00722A28" w:rsidRPr="00722A28" w:rsidRDefault="00722A28" w:rsidP="00722A28">
            <w:pPr>
              <w:rPr>
                <w:rFonts w:ascii="Times New Roman" w:eastAsia="Calibri" w:hAnsi="Times New Roman" w:cs="Times New Roman"/>
                <w:sz w:val="24"/>
                <w:szCs w:val="24"/>
              </w:rPr>
            </w:pPr>
          </w:p>
        </w:tc>
      </w:tr>
      <w:tr w:rsidR="00722A28" w:rsidRPr="00722A28" w14:paraId="0C4B36CB" w14:textId="77777777" w:rsidTr="00722A28">
        <w:trPr>
          <w:gridAfter w:val="1"/>
          <w:divId w:val="448934348"/>
          <w:wAfter w:w="98" w:type="pct"/>
        </w:trPr>
        <w:tc>
          <w:tcPr>
            <w:tcW w:w="932" w:type="pct"/>
            <w:tcBorders>
              <w:top w:val="nil"/>
              <w:left w:val="nil"/>
              <w:bottom w:val="nil"/>
            </w:tcBorders>
          </w:tcPr>
          <w:p w14:paraId="060708CB" w14:textId="77777777" w:rsidR="00722A28" w:rsidRPr="00722A28" w:rsidRDefault="00722A28" w:rsidP="00722A28">
            <w:pPr>
              <w:jc w:val="right"/>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Yes </w:t>
            </w:r>
          </w:p>
        </w:tc>
        <w:tc>
          <w:tcPr>
            <w:tcW w:w="1000" w:type="pct"/>
            <w:gridSpan w:val="2"/>
            <w:tcBorders>
              <w:top w:val="nil"/>
              <w:bottom w:val="nil"/>
              <w:right w:val="nil"/>
            </w:tcBorders>
          </w:tcPr>
          <w:p w14:paraId="56E8FFCE"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43AA542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1.15</w:t>
            </w:r>
          </w:p>
        </w:tc>
        <w:tc>
          <w:tcPr>
            <w:tcW w:w="614" w:type="pct"/>
            <w:tcBorders>
              <w:top w:val="nil"/>
              <w:left w:val="nil"/>
              <w:bottom w:val="nil"/>
              <w:right w:val="nil"/>
            </w:tcBorders>
          </w:tcPr>
          <w:p w14:paraId="786C5A7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0.64, 2.07</w:t>
            </w:r>
          </w:p>
        </w:tc>
        <w:tc>
          <w:tcPr>
            <w:tcW w:w="470" w:type="pct"/>
            <w:tcBorders>
              <w:top w:val="nil"/>
              <w:left w:val="nil"/>
              <w:bottom w:val="nil"/>
              <w:right w:val="nil"/>
            </w:tcBorders>
          </w:tcPr>
          <w:p w14:paraId="6FD6E3A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.68</w:t>
            </w:r>
          </w:p>
        </w:tc>
        <w:tc>
          <w:tcPr>
            <w:tcW w:w="327" w:type="pct"/>
            <w:gridSpan w:val="2"/>
            <w:tcBorders>
              <w:top w:val="nil"/>
              <w:left w:val="nil"/>
              <w:bottom w:val="nil"/>
              <w:right w:val="nil"/>
            </w:tcBorders>
          </w:tcPr>
          <w:p w14:paraId="21E7D9C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0.69</w:t>
            </w:r>
          </w:p>
        </w:tc>
        <w:tc>
          <w:tcPr>
            <w:tcW w:w="578" w:type="pct"/>
            <w:tcBorders>
              <w:top w:val="nil"/>
              <w:left w:val="nil"/>
              <w:bottom w:val="nil"/>
              <w:right w:val="nil"/>
            </w:tcBorders>
          </w:tcPr>
          <w:p w14:paraId="569A80F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0.25, 1.86</w:t>
            </w:r>
          </w:p>
        </w:tc>
        <w:tc>
          <w:tcPr>
            <w:tcW w:w="626" w:type="pct"/>
            <w:tcBorders>
              <w:top w:val="nil"/>
              <w:left w:val="nil"/>
              <w:bottom w:val="nil"/>
              <w:right w:val="nil"/>
            </w:tcBorders>
          </w:tcPr>
          <w:p w14:paraId="0053074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.51</w:t>
            </w:r>
          </w:p>
        </w:tc>
      </w:tr>
      <w:tr w:rsidR="00722A28" w:rsidRPr="00722A28" w14:paraId="18D4A2AE" w14:textId="77777777" w:rsidTr="00722A28">
        <w:trPr>
          <w:gridAfter w:val="1"/>
          <w:divId w:val="448934348"/>
          <w:wAfter w:w="98" w:type="pct"/>
        </w:trPr>
        <w:tc>
          <w:tcPr>
            <w:tcW w:w="932" w:type="pct"/>
            <w:tcBorders>
              <w:top w:val="nil"/>
              <w:left w:val="nil"/>
              <w:bottom w:val="nil"/>
            </w:tcBorders>
          </w:tcPr>
          <w:p w14:paraId="3C81B0D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Cigarette smoking:</w:t>
            </w:r>
          </w:p>
        </w:tc>
        <w:tc>
          <w:tcPr>
            <w:tcW w:w="501" w:type="pct"/>
            <w:tcBorders>
              <w:top w:val="nil"/>
              <w:bottom w:val="nil"/>
              <w:right w:val="nil"/>
            </w:tcBorders>
          </w:tcPr>
          <w:p w14:paraId="566AC918"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59B17ED3"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095B4E15"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0ECF1E8C"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3AD3AD10"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65A30E3C"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3B660251"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5373B431" w14:textId="77777777" w:rsidR="00722A28" w:rsidRPr="00722A28" w:rsidRDefault="00722A28" w:rsidP="00722A28">
            <w:pPr>
              <w:rPr>
                <w:rFonts w:ascii="Times New Roman" w:eastAsia="Calibri" w:hAnsi="Times New Roman" w:cs="Times New Roman"/>
                <w:sz w:val="24"/>
                <w:szCs w:val="24"/>
              </w:rPr>
            </w:pPr>
          </w:p>
        </w:tc>
      </w:tr>
      <w:tr w:rsidR="00722A28" w:rsidRPr="00722A28" w14:paraId="1335C07A" w14:textId="77777777" w:rsidTr="00722A28">
        <w:trPr>
          <w:gridAfter w:val="1"/>
          <w:divId w:val="448934348"/>
          <w:wAfter w:w="98" w:type="pct"/>
        </w:trPr>
        <w:tc>
          <w:tcPr>
            <w:tcW w:w="932" w:type="pct"/>
            <w:tcBorders>
              <w:top w:val="nil"/>
              <w:left w:val="nil"/>
              <w:bottom w:val="nil"/>
            </w:tcBorders>
          </w:tcPr>
          <w:p w14:paraId="3071AFC0" w14:textId="77777777" w:rsidR="00722A28" w:rsidRPr="00722A28" w:rsidRDefault="00722A28" w:rsidP="00722A28">
            <w:pPr>
              <w:jc w:val="right"/>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Yes </w:t>
            </w:r>
          </w:p>
        </w:tc>
        <w:tc>
          <w:tcPr>
            <w:tcW w:w="1000" w:type="pct"/>
            <w:gridSpan w:val="2"/>
            <w:tcBorders>
              <w:top w:val="nil"/>
              <w:bottom w:val="nil"/>
              <w:right w:val="nil"/>
            </w:tcBorders>
          </w:tcPr>
          <w:p w14:paraId="1470179E"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nil"/>
              <w:right w:val="nil"/>
            </w:tcBorders>
          </w:tcPr>
          <w:p w14:paraId="2B46CB1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2.33</w:t>
            </w:r>
          </w:p>
        </w:tc>
        <w:tc>
          <w:tcPr>
            <w:tcW w:w="614" w:type="pct"/>
            <w:tcBorders>
              <w:top w:val="nil"/>
              <w:left w:val="nil"/>
              <w:bottom w:val="nil"/>
              <w:right w:val="nil"/>
            </w:tcBorders>
          </w:tcPr>
          <w:p w14:paraId="55E9D7C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1.45, 3.74</w:t>
            </w:r>
          </w:p>
        </w:tc>
        <w:tc>
          <w:tcPr>
            <w:tcW w:w="470" w:type="pct"/>
            <w:tcBorders>
              <w:top w:val="nil"/>
              <w:left w:val="nil"/>
              <w:bottom w:val="nil"/>
              <w:right w:val="nil"/>
            </w:tcBorders>
          </w:tcPr>
          <w:p w14:paraId="0708678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c>
          <w:tcPr>
            <w:tcW w:w="327" w:type="pct"/>
            <w:gridSpan w:val="2"/>
            <w:tcBorders>
              <w:top w:val="nil"/>
              <w:left w:val="nil"/>
              <w:bottom w:val="nil"/>
              <w:right w:val="nil"/>
            </w:tcBorders>
          </w:tcPr>
          <w:p w14:paraId="6879802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3.54</w:t>
            </w:r>
          </w:p>
        </w:tc>
        <w:tc>
          <w:tcPr>
            <w:tcW w:w="578" w:type="pct"/>
            <w:tcBorders>
              <w:top w:val="nil"/>
              <w:left w:val="nil"/>
              <w:bottom w:val="nil"/>
              <w:right w:val="nil"/>
            </w:tcBorders>
          </w:tcPr>
          <w:p w14:paraId="1835987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2.17, 5.79</w:t>
            </w:r>
          </w:p>
        </w:tc>
        <w:tc>
          <w:tcPr>
            <w:tcW w:w="626" w:type="pct"/>
            <w:tcBorders>
              <w:top w:val="nil"/>
              <w:left w:val="nil"/>
              <w:bottom w:val="nil"/>
              <w:right w:val="nil"/>
            </w:tcBorders>
          </w:tcPr>
          <w:p w14:paraId="5B27716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r>
      <w:tr w:rsidR="00722A28" w:rsidRPr="00722A28" w14:paraId="1D094EA2" w14:textId="77777777" w:rsidTr="00722A28">
        <w:trPr>
          <w:gridAfter w:val="1"/>
          <w:divId w:val="448934348"/>
          <w:wAfter w:w="98" w:type="pct"/>
        </w:trPr>
        <w:tc>
          <w:tcPr>
            <w:tcW w:w="932" w:type="pct"/>
            <w:tcBorders>
              <w:top w:val="nil"/>
              <w:left w:val="nil"/>
              <w:bottom w:val="nil"/>
            </w:tcBorders>
          </w:tcPr>
          <w:p w14:paraId="1025D62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Cannabis use:</w:t>
            </w:r>
          </w:p>
        </w:tc>
        <w:tc>
          <w:tcPr>
            <w:tcW w:w="501" w:type="pct"/>
            <w:tcBorders>
              <w:top w:val="nil"/>
              <w:bottom w:val="nil"/>
              <w:right w:val="nil"/>
            </w:tcBorders>
          </w:tcPr>
          <w:p w14:paraId="16962543" w14:textId="77777777" w:rsidR="00722A28" w:rsidRPr="00722A28" w:rsidRDefault="00722A28" w:rsidP="00722A28">
            <w:pPr>
              <w:jc w:val="center"/>
              <w:rPr>
                <w:rFonts w:ascii="Times New Roman" w:eastAsia="Calibri" w:hAnsi="Times New Roman" w:cs="Times New Roman"/>
                <w:sz w:val="24"/>
                <w:szCs w:val="24"/>
              </w:rPr>
            </w:pPr>
          </w:p>
        </w:tc>
        <w:tc>
          <w:tcPr>
            <w:tcW w:w="499" w:type="pct"/>
            <w:tcBorders>
              <w:top w:val="nil"/>
              <w:left w:val="nil"/>
              <w:bottom w:val="nil"/>
              <w:right w:val="nil"/>
            </w:tcBorders>
          </w:tcPr>
          <w:p w14:paraId="19203590" w14:textId="77777777" w:rsidR="00722A28" w:rsidRPr="00722A28" w:rsidRDefault="00722A28" w:rsidP="00722A28">
            <w:pPr>
              <w:rPr>
                <w:rFonts w:ascii="Times New Roman" w:eastAsia="Calibri" w:hAnsi="Times New Roman" w:cs="Times New Roman"/>
                <w:sz w:val="24"/>
                <w:szCs w:val="24"/>
              </w:rPr>
            </w:pPr>
          </w:p>
        </w:tc>
        <w:tc>
          <w:tcPr>
            <w:tcW w:w="355" w:type="pct"/>
            <w:tcBorders>
              <w:top w:val="nil"/>
              <w:left w:val="nil"/>
              <w:bottom w:val="nil"/>
              <w:right w:val="nil"/>
            </w:tcBorders>
          </w:tcPr>
          <w:p w14:paraId="03B38DF6" w14:textId="77777777" w:rsidR="00722A28" w:rsidRPr="00722A28" w:rsidRDefault="00722A28" w:rsidP="00722A28">
            <w:pPr>
              <w:rPr>
                <w:rFonts w:ascii="Times New Roman" w:eastAsia="Calibri" w:hAnsi="Times New Roman" w:cs="Times New Roman"/>
                <w:sz w:val="24"/>
                <w:szCs w:val="24"/>
              </w:rPr>
            </w:pPr>
          </w:p>
        </w:tc>
        <w:tc>
          <w:tcPr>
            <w:tcW w:w="614" w:type="pct"/>
            <w:tcBorders>
              <w:top w:val="nil"/>
              <w:left w:val="nil"/>
              <w:bottom w:val="nil"/>
              <w:right w:val="nil"/>
            </w:tcBorders>
          </w:tcPr>
          <w:p w14:paraId="1A59D622" w14:textId="77777777" w:rsidR="00722A28" w:rsidRPr="00722A28" w:rsidRDefault="00722A28" w:rsidP="00722A28">
            <w:pPr>
              <w:rPr>
                <w:rFonts w:ascii="Times New Roman" w:eastAsia="Calibri" w:hAnsi="Times New Roman" w:cs="Times New Roman"/>
                <w:sz w:val="24"/>
                <w:szCs w:val="24"/>
              </w:rPr>
            </w:pPr>
          </w:p>
        </w:tc>
        <w:tc>
          <w:tcPr>
            <w:tcW w:w="470" w:type="pct"/>
            <w:tcBorders>
              <w:top w:val="nil"/>
              <w:left w:val="nil"/>
              <w:bottom w:val="nil"/>
              <w:right w:val="nil"/>
            </w:tcBorders>
          </w:tcPr>
          <w:p w14:paraId="03789FEF" w14:textId="77777777" w:rsidR="00722A28" w:rsidRPr="00722A28" w:rsidRDefault="00722A28" w:rsidP="00722A28">
            <w:pPr>
              <w:rPr>
                <w:rFonts w:ascii="Times New Roman" w:eastAsia="Calibri" w:hAnsi="Times New Roman" w:cs="Times New Roman"/>
                <w:sz w:val="24"/>
                <w:szCs w:val="24"/>
              </w:rPr>
            </w:pPr>
          </w:p>
        </w:tc>
        <w:tc>
          <w:tcPr>
            <w:tcW w:w="327" w:type="pct"/>
            <w:gridSpan w:val="2"/>
            <w:tcBorders>
              <w:top w:val="nil"/>
              <w:left w:val="nil"/>
              <w:bottom w:val="nil"/>
              <w:right w:val="nil"/>
            </w:tcBorders>
          </w:tcPr>
          <w:p w14:paraId="459C5589" w14:textId="77777777" w:rsidR="00722A28" w:rsidRPr="00722A28" w:rsidRDefault="00722A28" w:rsidP="00722A28">
            <w:pPr>
              <w:rPr>
                <w:rFonts w:ascii="Times New Roman" w:eastAsia="Calibri" w:hAnsi="Times New Roman" w:cs="Times New Roman"/>
                <w:sz w:val="24"/>
                <w:szCs w:val="24"/>
              </w:rPr>
            </w:pPr>
          </w:p>
        </w:tc>
        <w:tc>
          <w:tcPr>
            <w:tcW w:w="578" w:type="pct"/>
            <w:tcBorders>
              <w:top w:val="nil"/>
              <w:left w:val="nil"/>
              <w:bottom w:val="nil"/>
              <w:right w:val="nil"/>
            </w:tcBorders>
          </w:tcPr>
          <w:p w14:paraId="198A4E13" w14:textId="77777777" w:rsidR="00722A28" w:rsidRPr="00722A28" w:rsidRDefault="00722A28" w:rsidP="00722A28">
            <w:pPr>
              <w:rPr>
                <w:rFonts w:ascii="Times New Roman" w:eastAsia="Calibri" w:hAnsi="Times New Roman" w:cs="Times New Roman"/>
                <w:sz w:val="24"/>
                <w:szCs w:val="24"/>
              </w:rPr>
            </w:pPr>
          </w:p>
        </w:tc>
        <w:tc>
          <w:tcPr>
            <w:tcW w:w="626" w:type="pct"/>
            <w:tcBorders>
              <w:top w:val="nil"/>
              <w:left w:val="nil"/>
              <w:bottom w:val="nil"/>
              <w:right w:val="nil"/>
            </w:tcBorders>
          </w:tcPr>
          <w:p w14:paraId="69E1F88E" w14:textId="77777777" w:rsidR="00722A28" w:rsidRPr="00722A28" w:rsidRDefault="00722A28" w:rsidP="00722A28">
            <w:pPr>
              <w:rPr>
                <w:rFonts w:ascii="Times New Roman" w:eastAsia="Calibri" w:hAnsi="Times New Roman" w:cs="Times New Roman"/>
                <w:sz w:val="24"/>
                <w:szCs w:val="24"/>
              </w:rPr>
            </w:pPr>
          </w:p>
        </w:tc>
      </w:tr>
      <w:tr w:rsidR="00722A28" w:rsidRPr="00722A28" w14:paraId="4B6E71A4" w14:textId="77777777" w:rsidTr="00722A28">
        <w:trPr>
          <w:gridAfter w:val="1"/>
          <w:divId w:val="448934348"/>
          <w:wAfter w:w="98" w:type="pct"/>
        </w:trPr>
        <w:tc>
          <w:tcPr>
            <w:tcW w:w="932" w:type="pct"/>
            <w:tcBorders>
              <w:top w:val="nil"/>
              <w:left w:val="nil"/>
              <w:bottom w:val="double" w:sz="4" w:space="0" w:color="auto"/>
            </w:tcBorders>
          </w:tcPr>
          <w:p w14:paraId="091A57AD" w14:textId="77777777" w:rsidR="00722A28" w:rsidRPr="00722A28" w:rsidRDefault="00722A28" w:rsidP="00722A28">
            <w:pPr>
              <w:jc w:val="right"/>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Yes </w:t>
            </w:r>
          </w:p>
        </w:tc>
        <w:tc>
          <w:tcPr>
            <w:tcW w:w="1000" w:type="pct"/>
            <w:gridSpan w:val="2"/>
            <w:tcBorders>
              <w:top w:val="nil"/>
              <w:bottom w:val="double" w:sz="4" w:space="0" w:color="auto"/>
              <w:right w:val="nil"/>
            </w:tcBorders>
          </w:tcPr>
          <w:p w14:paraId="52A22B83"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355" w:type="pct"/>
            <w:tcBorders>
              <w:top w:val="nil"/>
              <w:left w:val="nil"/>
              <w:bottom w:val="double" w:sz="4" w:space="0" w:color="auto"/>
              <w:right w:val="nil"/>
            </w:tcBorders>
          </w:tcPr>
          <w:p w14:paraId="326C2C1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3.06</w:t>
            </w:r>
          </w:p>
        </w:tc>
        <w:tc>
          <w:tcPr>
            <w:tcW w:w="614" w:type="pct"/>
            <w:tcBorders>
              <w:top w:val="nil"/>
              <w:left w:val="nil"/>
              <w:bottom w:val="double" w:sz="4" w:space="0" w:color="auto"/>
              <w:right w:val="nil"/>
            </w:tcBorders>
          </w:tcPr>
          <w:p w14:paraId="7AE5211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2.15, 4.36</w:t>
            </w:r>
          </w:p>
        </w:tc>
        <w:tc>
          <w:tcPr>
            <w:tcW w:w="470" w:type="pct"/>
            <w:tcBorders>
              <w:top w:val="nil"/>
              <w:left w:val="nil"/>
              <w:bottom w:val="double" w:sz="4" w:space="0" w:color="auto"/>
              <w:right w:val="nil"/>
            </w:tcBorders>
          </w:tcPr>
          <w:p w14:paraId="4334217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c>
          <w:tcPr>
            <w:tcW w:w="327" w:type="pct"/>
            <w:gridSpan w:val="2"/>
            <w:tcBorders>
              <w:top w:val="nil"/>
              <w:left w:val="nil"/>
              <w:bottom w:val="double" w:sz="4" w:space="0" w:color="auto"/>
              <w:right w:val="nil"/>
            </w:tcBorders>
          </w:tcPr>
          <w:p w14:paraId="41F39FA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7.09</w:t>
            </w:r>
          </w:p>
        </w:tc>
        <w:tc>
          <w:tcPr>
            <w:tcW w:w="578" w:type="pct"/>
            <w:tcBorders>
              <w:top w:val="nil"/>
              <w:left w:val="nil"/>
              <w:bottom w:val="double" w:sz="4" w:space="0" w:color="auto"/>
              <w:right w:val="nil"/>
            </w:tcBorders>
          </w:tcPr>
          <w:p w14:paraId="3A418F7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4.62, 10.86</w:t>
            </w:r>
          </w:p>
        </w:tc>
        <w:tc>
          <w:tcPr>
            <w:tcW w:w="626" w:type="pct"/>
            <w:tcBorders>
              <w:top w:val="nil"/>
              <w:left w:val="nil"/>
              <w:bottom w:val="double" w:sz="4" w:space="0" w:color="auto"/>
              <w:right w:val="nil"/>
            </w:tcBorders>
          </w:tcPr>
          <w:p w14:paraId="00294CA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r>
    </w:tbl>
    <w:p w14:paraId="670A8BA6" w14:textId="77777777" w:rsidR="00722A28" w:rsidRPr="00722A28" w:rsidRDefault="00722A28" w:rsidP="00722A28">
      <w:pPr>
        <w:spacing w:after="0"/>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Note: </w:t>
      </w:r>
      <w:r w:rsidRPr="00722A28">
        <w:rPr>
          <w:rFonts w:ascii="Times New Roman" w:eastAsia="Times New Roman" w:hAnsi="Times New Roman" w:cs="Times New Roman"/>
          <w:sz w:val="24"/>
          <w:szCs w:val="24"/>
        </w:rPr>
        <w:t>Maternal education: &lt;O level</w:t>
      </w:r>
      <w:r w:rsidRPr="00722A28">
        <w:rPr>
          <w:rFonts w:ascii="Times New Roman" w:eastAsia="Calibri" w:hAnsi="Times New Roman" w:cs="Times New Roman"/>
          <w:sz w:val="24"/>
          <w:szCs w:val="24"/>
        </w:rPr>
        <w:t xml:space="preserve"> indicating no qualification; O level: indicating completion of school examinations at </w:t>
      </w:r>
    </w:p>
    <w:p w14:paraId="1A9C5D30" w14:textId="77777777" w:rsidR="00722A28" w:rsidRPr="00722A28" w:rsidRDefault="00722A28" w:rsidP="00722A28">
      <w:pPr>
        <w:spacing w:after="0"/>
        <w:divId w:val="448934348"/>
        <w:rPr>
          <w:rFonts w:ascii="Times New Roman" w:eastAsia="Times New Roman" w:hAnsi="Times New Roman" w:cs="Times New Roman"/>
          <w:sz w:val="24"/>
          <w:szCs w:val="24"/>
        </w:rPr>
      </w:pPr>
      <w:r w:rsidRPr="00722A28">
        <w:rPr>
          <w:rFonts w:ascii="Times New Roman" w:eastAsia="Calibri" w:hAnsi="Times New Roman" w:cs="Times New Roman"/>
          <w:sz w:val="24"/>
          <w:szCs w:val="24"/>
        </w:rPr>
        <w:t xml:space="preserve">age 16; and &gt;O level: indicating completion of college or university education at or after age 18; </w:t>
      </w:r>
      <w:r w:rsidRPr="00722A28">
        <w:rPr>
          <w:rFonts w:ascii="Times New Roman" w:eastAsia="Times New Roman" w:hAnsi="Times New Roman" w:cs="Times New Roman"/>
          <w:sz w:val="24"/>
          <w:szCs w:val="24"/>
        </w:rPr>
        <w:t xml:space="preserve">SEP grouped into 4 </w:t>
      </w:r>
    </w:p>
    <w:p w14:paraId="7BAFB3E7" w14:textId="77777777" w:rsidR="00722A28" w:rsidRPr="00722A28" w:rsidRDefault="00722A28" w:rsidP="00722A28">
      <w:pPr>
        <w:spacing w:after="0"/>
        <w:divId w:val="448934348"/>
        <w:rPr>
          <w:rFonts w:ascii="Times New Roman" w:eastAsia="Times New Roman" w:hAnsi="Times New Roman" w:cs="Times New Roman"/>
          <w:sz w:val="24"/>
          <w:szCs w:val="24"/>
        </w:rPr>
      </w:pPr>
      <w:r w:rsidRPr="00722A28">
        <w:rPr>
          <w:rFonts w:ascii="Times New Roman" w:eastAsia="Times New Roman" w:hAnsi="Times New Roman" w:cs="Times New Roman"/>
          <w:sz w:val="24"/>
          <w:szCs w:val="24"/>
        </w:rPr>
        <w:t xml:space="preserve">categories: iv-v: unskilled or semiskilled manual; iii: skilled manual or nonmanual; ii: managerial and technical; and i: </w:t>
      </w:r>
    </w:p>
    <w:p w14:paraId="1E95B156" w14:textId="77777777" w:rsidR="00722A28" w:rsidRPr="00722A28" w:rsidRDefault="00722A28" w:rsidP="00722A28">
      <w:pPr>
        <w:spacing w:after="0"/>
        <w:divId w:val="448934348"/>
        <w:rPr>
          <w:rFonts w:ascii="Times New Roman" w:eastAsia="Calibri" w:hAnsi="Times New Roman" w:cs="Times New Roman"/>
          <w:sz w:val="24"/>
          <w:szCs w:val="24"/>
        </w:rPr>
      </w:pPr>
      <w:r w:rsidRPr="00722A28">
        <w:rPr>
          <w:rFonts w:ascii="Times New Roman" w:eastAsia="Times New Roman" w:hAnsi="Times New Roman" w:cs="Times New Roman"/>
          <w:sz w:val="24"/>
          <w:szCs w:val="24"/>
        </w:rPr>
        <w:t>professional</w:t>
      </w:r>
    </w:p>
    <w:p w14:paraId="6FC0F300"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58374122"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5ACA9230"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2857174D"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3025B2F9"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314FD7AB"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5F119376"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4052F5A0"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49A5DA35"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7AB11059"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75CD1227"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573E4AB1"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0BC45121"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056916E4"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2B9FC946"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2BF94EDC"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6E7BBF55" w14:textId="77777777" w:rsidR="00722A28" w:rsidRPr="00722A28" w:rsidRDefault="00722A28" w:rsidP="00722A28">
      <w:pPr>
        <w:spacing w:after="0"/>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t xml:space="preserve">Table S4. </w:t>
      </w:r>
      <w:r w:rsidRPr="00722A28">
        <w:rPr>
          <w:rFonts w:ascii="Times New Roman" w:eastAsia="Times New Roman" w:hAnsi="Times New Roman" w:cs="Times New Roman"/>
          <w:b/>
          <w:sz w:val="24"/>
          <w:szCs w:val="24"/>
        </w:rPr>
        <w:t xml:space="preserve">Associations between alcohol use at age 15 years and </w:t>
      </w:r>
      <w:r w:rsidRPr="00722A28">
        <w:rPr>
          <w:rFonts w:ascii="Times New Roman" w:eastAsia="Times New Roman" w:hAnsi="Times New Roman" w:cs="Times New Roman"/>
          <w:b/>
          <w:i/>
          <w:sz w:val="24"/>
          <w:szCs w:val="24"/>
        </w:rPr>
        <w:t>d'</w:t>
      </w:r>
      <w:r w:rsidRPr="00722A28">
        <w:rPr>
          <w:rFonts w:ascii="Times New Roman" w:eastAsia="Times New Roman" w:hAnsi="Times New Roman" w:cs="Times New Roman"/>
          <w:b/>
          <w:sz w:val="24"/>
          <w:szCs w:val="24"/>
        </w:rPr>
        <w:t xml:space="preserve"> at age 18 years for the 3-back task (</w:t>
      </w:r>
      <w:r w:rsidRPr="00722A28">
        <w:rPr>
          <w:rFonts w:ascii="Times New Roman" w:eastAsia="Times New Roman" w:hAnsi="Times New Roman" w:cs="Times New Roman"/>
          <w:b/>
          <w:i/>
          <w:sz w:val="24"/>
          <w:szCs w:val="24"/>
        </w:rPr>
        <w:t>n</w:t>
      </w:r>
      <w:r w:rsidRPr="00722A28">
        <w:rPr>
          <w:rFonts w:ascii="Times New Roman" w:eastAsia="Times New Roman" w:hAnsi="Times New Roman" w:cs="Times New Roman"/>
          <w:b/>
          <w:sz w:val="24"/>
          <w:szCs w:val="24"/>
        </w:rPr>
        <w:t xml:space="preserve">=3,319) in 50 multiply imputed datasets </w:t>
      </w:r>
      <w:r w:rsidRPr="00722A28">
        <w:rPr>
          <w:rFonts w:ascii="Times New Roman" w:eastAsia="Calibri" w:hAnsi="Times New Roman" w:cs="Times New Roman"/>
          <w:b/>
          <w:sz w:val="24"/>
          <w:szCs w:val="24"/>
        </w:rPr>
        <w:t>including covariates</w:t>
      </w:r>
    </w:p>
    <w:tbl>
      <w:tblPr>
        <w:tblStyle w:val="TableGrid11"/>
        <w:tblW w:w="5000" w:type="pct"/>
        <w:tblLook w:val="04A0" w:firstRow="1" w:lastRow="0" w:firstColumn="1" w:lastColumn="0" w:noHBand="0" w:noVBand="1"/>
      </w:tblPr>
      <w:tblGrid>
        <w:gridCol w:w="2484"/>
        <w:gridCol w:w="1930"/>
        <w:gridCol w:w="1381"/>
        <w:gridCol w:w="2069"/>
        <w:gridCol w:w="1284"/>
        <w:gridCol w:w="1474"/>
        <w:gridCol w:w="2344"/>
        <w:gridCol w:w="1208"/>
      </w:tblGrid>
      <w:tr w:rsidR="00722A28" w:rsidRPr="00722A28" w14:paraId="00F3ACBD" w14:textId="77777777" w:rsidTr="00722A28">
        <w:trPr>
          <w:divId w:val="448934348"/>
        </w:trPr>
        <w:tc>
          <w:tcPr>
            <w:tcW w:w="876" w:type="pct"/>
            <w:tcBorders>
              <w:top w:val="double" w:sz="4" w:space="0" w:color="auto"/>
              <w:left w:val="nil"/>
              <w:bottom w:val="nil"/>
            </w:tcBorders>
          </w:tcPr>
          <w:p w14:paraId="1C6820D5" w14:textId="77777777" w:rsidR="00722A28" w:rsidRPr="00722A28" w:rsidRDefault="00722A28" w:rsidP="00722A28">
            <w:pPr>
              <w:rPr>
                <w:rFonts w:ascii="Times New Roman" w:eastAsia="Calibri" w:hAnsi="Times New Roman" w:cs="Times New Roman"/>
                <w:sz w:val="24"/>
                <w:szCs w:val="24"/>
              </w:rPr>
            </w:pPr>
          </w:p>
        </w:tc>
        <w:tc>
          <w:tcPr>
            <w:tcW w:w="681" w:type="pct"/>
            <w:tcBorders>
              <w:top w:val="double" w:sz="4" w:space="0" w:color="auto"/>
              <w:bottom w:val="nil"/>
              <w:right w:val="nil"/>
            </w:tcBorders>
          </w:tcPr>
          <w:p w14:paraId="61C05615"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 xml:space="preserve">Low alcohol use </w:t>
            </w:r>
          </w:p>
        </w:tc>
        <w:tc>
          <w:tcPr>
            <w:tcW w:w="1670" w:type="pct"/>
            <w:gridSpan w:val="3"/>
            <w:tcBorders>
              <w:top w:val="double" w:sz="4" w:space="0" w:color="auto"/>
              <w:left w:val="nil"/>
              <w:bottom w:val="nil"/>
              <w:right w:val="nil"/>
            </w:tcBorders>
          </w:tcPr>
          <w:p w14:paraId="2AB34124" w14:textId="77777777" w:rsidR="00722A28" w:rsidRPr="00722A28" w:rsidRDefault="00722A28" w:rsidP="00722A28">
            <w:pPr>
              <w:jc w:val="center"/>
              <w:rPr>
                <w:rFonts w:ascii="Times New Roman" w:eastAsia="Calibri" w:hAnsi="Times New Roman" w:cs="Times New Roman"/>
                <w:i/>
                <w:sz w:val="24"/>
                <w:szCs w:val="24"/>
              </w:rPr>
            </w:pPr>
            <w:r w:rsidRPr="00722A28">
              <w:rPr>
                <w:rFonts w:ascii="Times New Roman" w:eastAsia="Calibri" w:hAnsi="Times New Roman" w:cs="Times New Roman"/>
                <w:i/>
                <w:sz w:val="24"/>
                <w:szCs w:val="24"/>
              </w:rPr>
              <w:t>Frequent drinking only</w:t>
            </w:r>
          </w:p>
        </w:tc>
        <w:tc>
          <w:tcPr>
            <w:tcW w:w="1773" w:type="pct"/>
            <w:gridSpan w:val="3"/>
            <w:tcBorders>
              <w:top w:val="double" w:sz="4" w:space="0" w:color="auto"/>
              <w:left w:val="nil"/>
              <w:bottom w:val="nil"/>
              <w:right w:val="nil"/>
            </w:tcBorders>
          </w:tcPr>
          <w:p w14:paraId="39D6CFEE" w14:textId="77777777" w:rsidR="00722A28" w:rsidRPr="00722A28" w:rsidRDefault="00722A28" w:rsidP="00722A28">
            <w:pPr>
              <w:jc w:val="center"/>
              <w:rPr>
                <w:rFonts w:ascii="Times New Roman" w:eastAsia="Calibri" w:hAnsi="Times New Roman" w:cs="Times New Roman"/>
                <w:i/>
                <w:sz w:val="24"/>
                <w:szCs w:val="24"/>
              </w:rPr>
            </w:pPr>
            <w:r w:rsidRPr="00722A28">
              <w:rPr>
                <w:rFonts w:ascii="Times New Roman" w:eastAsia="Calibri" w:hAnsi="Times New Roman" w:cs="Times New Roman"/>
                <w:i/>
                <w:sz w:val="24"/>
                <w:szCs w:val="24"/>
              </w:rPr>
              <w:t>Frequent and binge drinking</w:t>
            </w:r>
          </w:p>
        </w:tc>
      </w:tr>
      <w:tr w:rsidR="00722A28" w:rsidRPr="00722A28" w14:paraId="1BD4D7B3" w14:textId="77777777" w:rsidTr="00722A28">
        <w:trPr>
          <w:divId w:val="448934348"/>
        </w:trPr>
        <w:tc>
          <w:tcPr>
            <w:tcW w:w="876" w:type="pct"/>
            <w:tcBorders>
              <w:top w:val="nil"/>
              <w:left w:val="nil"/>
            </w:tcBorders>
          </w:tcPr>
          <w:p w14:paraId="1F3688E2" w14:textId="77777777" w:rsidR="00722A28" w:rsidRPr="00722A28" w:rsidRDefault="00722A28" w:rsidP="00722A28">
            <w:pPr>
              <w:rPr>
                <w:rFonts w:ascii="Times New Roman" w:eastAsia="Calibri" w:hAnsi="Times New Roman" w:cs="Times New Roman"/>
                <w:sz w:val="24"/>
                <w:szCs w:val="24"/>
              </w:rPr>
            </w:pPr>
          </w:p>
        </w:tc>
        <w:tc>
          <w:tcPr>
            <w:tcW w:w="681" w:type="pct"/>
            <w:tcBorders>
              <w:top w:val="nil"/>
              <w:right w:val="nil"/>
            </w:tcBorders>
          </w:tcPr>
          <w:p w14:paraId="0A2DFEC1" w14:textId="77777777" w:rsidR="00722A28" w:rsidRPr="00722A28" w:rsidRDefault="00722A28" w:rsidP="00722A28">
            <w:pPr>
              <w:rPr>
                <w:rFonts w:ascii="Times New Roman" w:eastAsia="Calibri" w:hAnsi="Times New Roman" w:cs="Times New Roman"/>
                <w:i/>
                <w:sz w:val="24"/>
                <w:szCs w:val="24"/>
              </w:rPr>
            </w:pPr>
          </w:p>
        </w:tc>
        <w:tc>
          <w:tcPr>
            <w:tcW w:w="1670" w:type="pct"/>
            <w:gridSpan w:val="3"/>
            <w:tcBorders>
              <w:top w:val="nil"/>
              <w:left w:val="nil"/>
              <w:right w:val="nil"/>
            </w:tcBorders>
          </w:tcPr>
          <w:p w14:paraId="2192D705" w14:textId="77777777" w:rsidR="00722A28" w:rsidRPr="00722A28" w:rsidRDefault="00722A28" w:rsidP="00722A28">
            <w:pPr>
              <w:jc w:val="center"/>
              <w:rPr>
                <w:rFonts w:ascii="Times New Roman" w:eastAsia="Calibri" w:hAnsi="Times New Roman" w:cs="Times New Roman"/>
                <w:i/>
                <w:sz w:val="24"/>
                <w:szCs w:val="24"/>
              </w:rPr>
            </w:pPr>
            <w:r w:rsidRPr="00722A28">
              <w:rPr>
                <w:rFonts w:ascii="Times New Roman" w:eastAsia="Calibri" w:hAnsi="Times New Roman" w:cs="Times New Roman"/>
                <w:i/>
                <w:sz w:val="24"/>
                <w:szCs w:val="24"/>
              </w:rPr>
              <w:t>3-back d’</w:t>
            </w:r>
          </w:p>
        </w:tc>
        <w:tc>
          <w:tcPr>
            <w:tcW w:w="1773" w:type="pct"/>
            <w:gridSpan w:val="3"/>
            <w:tcBorders>
              <w:top w:val="nil"/>
              <w:left w:val="nil"/>
              <w:right w:val="nil"/>
            </w:tcBorders>
          </w:tcPr>
          <w:p w14:paraId="194F8CAF" w14:textId="77777777" w:rsidR="00722A28" w:rsidRPr="00722A28" w:rsidRDefault="00722A28" w:rsidP="00722A28">
            <w:pPr>
              <w:jc w:val="center"/>
              <w:rPr>
                <w:rFonts w:ascii="Times New Roman" w:eastAsia="Calibri" w:hAnsi="Times New Roman" w:cs="Times New Roman"/>
                <w:i/>
                <w:sz w:val="24"/>
                <w:szCs w:val="24"/>
              </w:rPr>
            </w:pPr>
            <w:r w:rsidRPr="00722A28">
              <w:rPr>
                <w:rFonts w:ascii="Times New Roman" w:eastAsia="Calibri" w:hAnsi="Times New Roman" w:cs="Times New Roman"/>
                <w:i/>
                <w:sz w:val="24"/>
                <w:szCs w:val="24"/>
              </w:rPr>
              <w:t>3-back d’</w:t>
            </w:r>
          </w:p>
        </w:tc>
      </w:tr>
      <w:tr w:rsidR="00722A28" w:rsidRPr="00722A28" w14:paraId="4E983F1E" w14:textId="77777777" w:rsidTr="00722A28">
        <w:trPr>
          <w:divId w:val="448934348"/>
        </w:trPr>
        <w:tc>
          <w:tcPr>
            <w:tcW w:w="876" w:type="pct"/>
            <w:tcBorders>
              <w:left w:val="nil"/>
            </w:tcBorders>
          </w:tcPr>
          <w:p w14:paraId="4F63C01C" w14:textId="77777777" w:rsidR="00722A28" w:rsidRPr="00722A28" w:rsidRDefault="00722A28" w:rsidP="00722A28">
            <w:pPr>
              <w:rPr>
                <w:rFonts w:ascii="Times New Roman" w:eastAsia="Calibri" w:hAnsi="Times New Roman" w:cs="Times New Roman"/>
                <w:sz w:val="24"/>
                <w:szCs w:val="24"/>
              </w:rPr>
            </w:pPr>
          </w:p>
        </w:tc>
        <w:tc>
          <w:tcPr>
            <w:tcW w:w="681" w:type="pct"/>
            <w:tcBorders>
              <w:right w:val="nil"/>
            </w:tcBorders>
          </w:tcPr>
          <w:p w14:paraId="40CDDEB5"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Reference</w:t>
            </w:r>
          </w:p>
        </w:tc>
        <w:tc>
          <w:tcPr>
            <w:tcW w:w="487" w:type="pct"/>
            <w:tcBorders>
              <w:left w:val="nil"/>
              <w:right w:val="nil"/>
            </w:tcBorders>
          </w:tcPr>
          <w:p w14:paraId="34E59089"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β</w:t>
            </w:r>
          </w:p>
        </w:tc>
        <w:tc>
          <w:tcPr>
            <w:tcW w:w="730" w:type="pct"/>
            <w:tcBorders>
              <w:left w:val="nil"/>
              <w:right w:val="nil"/>
            </w:tcBorders>
          </w:tcPr>
          <w:p w14:paraId="65E695E2"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95% CI</w:t>
            </w:r>
          </w:p>
        </w:tc>
        <w:tc>
          <w:tcPr>
            <w:tcW w:w="453" w:type="pct"/>
            <w:tcBorders>
              <w:left w:val="nil"/>
              <w:right w:val="nil"/>
            </w:tcBorders>
          </w:tcPr>
          <w:p w14:paraId="5A10EF31"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520" w:type="pct"/>
            <w:tcBorders>
              <w:left w:val="nil"/>
              <w:right w:val="nil"/>
            </w:tcBorders>
          </w:tcPr>
          <w:p w14:paraId="56B520D0"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β</w:t>
            </w:r>
          </w:p>
        </w:tc>
        <w:tc>
          <w:tcPr>
            <w:tcW w:w="827" w:type="pct"/>
            <w:tcBorders>
              <w:left w:val="nil"/>
              <w:right w:val="nil"/>
            </w:tcBorders>
          </w:tcPr>
          <w:p w14:paraId="7DB8A89F"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95% CI</w:t>
            </w:r>
          </w:p>
        </w:tc>
        <w:tc>
          <w:tcPr>
            <w:tcW w:w="426" w:type="pct"/>
            <w:tcBorders>
              <w:left w:val="nil"/>
              <w:right w:val="nil"/>
            </w:tcBorders>
          </w:tcPr>
          <w:p w14:paraId="3029CC88" w14:textId="77777777" w:rsidR="00722A28" w:rsidRPr="00722A28" w:rsidRDefault="00722A28" w:rsidP="00722A28">
            <w:pPr>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r>
      <w:tr w:rsidR="00722A28" w:rsidRPr="00722A28" w14:paraId="1DCC255C" w14:textId="77777777" w:rsidTr="00722A28">
        <w:trPr>
          <w:divId w:val="448934348"/>
        </w:trPr>
        <w:tc>
          <w:tcPr>
            <w:tcW w:w="876" w:type="pct"/>
            <w:tcBorders>
              <w:left w:val="nil"/>
              <w:bottom w:val="nil"/>
            </w:tcBorders>
          </w:tcPr>
          <w:p w14:paraId="41BA4734"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b/>
                <w:sz w:val="24"/>
                <w:szCs w:val="24"/>
              </w:rPr>
              <w:t>Alcohol use:</w:t>
            </w:r>
          </w:p>
        </w:tc>
        <w:tc>
          <w:tcPr>
            <w:tcW w:w="681" w:type="pct"/>
            <w:tcBorders>
              <w:bottom w:val="nil"/>
              <w:right w:val="nil"/>
            </w:tcBorders>
          </w:tcPr>
          <w:p w14:paraId="224A5F8C" w14:textId="77777777" w:rsidR="00722A28" w:rsidRPr="00722A28" w:rsidRDefault="00722A28" w:rsidP="00722A28">
            <w:pPr>
              <w:rPr>
                <w:rFonts w:ascii="Times New Roman" w:eastAsia="Calibri" w:hAnsi="Times New Roman" w:cs="Times New Roman"/>
                <w:sz w:val="24"/>
                <w:szCs w:val="24"/>
              </w:rPr>
            </w:pPr>
          </w:p>
        </w:tc>
        <w:tc>
          <w:tcPr>
            <w:tcW w:w="487" w:type="pct"/>
            <w:tcBorders>
              <w:left w:val="nil"/>
              <w:bottom w:val="nil"/>
              <w:right w:val="nil"/>
            </w:tcBorders>
          </w:tcPr>
          <w:p w14:paraId="1A40468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0.02</w:t>
            </w:r>
          </w:p>
        </w:tc>
        <w:tc>
          <w:tcPr>
            <w:tcW w:w="730" w:type="pct"/>
            <w:tcBorders>
              <w:left w:val="nil"/>
              <w:bottom w:val="nil"/>
              <w:right w:val="nil"/>
            </w:tcBorders>
          </w:tcPr>
          <w:p w14:paraId="2EDEFD5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 .15</w:t>
            </w:r>
          </w:p>
        </w:tc>
        <w:tc>
          <w:tcPr>
            <w:tcW w:w="453" w:type="pct"/>
            <w:tcBorders>
              <w:left w:val="nil"/>
              <w:bottom w:val="nil"/>
              <w:right w:val="nil"/>
            </w:tcBorders>
          </w:tcPr>
          <w:p w14:paraId="3BA8D67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.75</w:t>
            </w:r>
          </w:p>
        </w:tc>
        <w:tc>
          <w:tcPr>
            <w:tcW w:w="520" w:type="pct"/>
            <w:tcBorders>
              <w:left w:val="nil"/>
              <w:bottom w:val="nil"/>
              <w:right w:val="nil"/>
            </w:tcBorders>
          </w:tcPr>
          <w:p w14:paraId="57380BA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-0.12</w:t>
            </w:r>
          </w:p>
        </w:tc>
        <w:tc>
          <w:tcPr>
            <w:tcW w:w="827" w:type="pct"/>
            <w:tcBorders>
              <w:left w:val="nil"/>
              <w:bottom w:val="nil"/>
              <w:right w:val="nil"/>
            </w:tcBorders>
          </w:tcPr>
          <w:p w14:paraId="1C24455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-.27, .03</w:t>
            </w:r>
          </w:p>
        </w:tc>
        <w:tc>
          <w:tcPr>
            <w:tcW w:w="426" w:type="pct"/>
            <w:tcBorders>
              <w:left w:val="nil"/>
              <w:bottom w:val="nil"/>
              <w:right w:val="nil"/>
            </w:tcBorders>
          </w:tcPr>
          <w:p w14:paraId="3684C02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.11</w:t>
            </w:r>
          </w:p>
        </w:tc>
      </w:tr>
      <w:tr w:rsidR="00722A28" w:rsidRPr="00722A28" w14:paraId="2CE3154F" w14:textId="77777777" w:rsidTr="00722A28">
        <w:trPr>
          <w:divId w:val="448934348"/>
        </w:trPr>
        <w:tc>
          <w:tcPr>
            <w:tcW w:w="876" w:type="pct"/>
            <w:tcBorders>
              <w:top w:val="nil"/>
              <w:left w:val="nil"/>
              <w:bottom w:val="nil"/>
            </w:tcBorders>
          </w:tcPr>
          <w:p w14:paraId="3BC1ECB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Gender:</w:t>
            </w:r>
          </w:p>
        </w:tc>
        <w:tc>
          <w:tcPr>
            <w:tcW w:w="681" w:type="pct"/>
            <w:tcBorders>
              <w:top w:val="nil"/>
              <w:bottom w:val="nil"/>
              <w:right w:val="nil"/>
            </w:tcBorders>
          </w:tcPr>
          <w:p w14:paraId="19A2644C" w14:textId="77777777" w:rsidR="00722A28" w:rsidRPr="00722A28" w:rsidRDefault="00722A28" w:rsidP="00722A28">
            <w:pPr>
              <w:rPr>
                <w:rFonts w:ascii="Times New Roman" w:eastAsia="Calibri" w:hAnsi="Times New Roman" w:cs="Times New Roman"/>
                <w:sz w:val="24"/>
                <w:szCs w:val="24"/>
              </w:rPr>
            </w:pPr>
          </w:p>
        </w:tc>
        <w:tc>
          <w:tcPr>
            <w:tcW w:w="487" w:type="pct"/>
            <w:tcBorders>
              <w:top w:val="nil"/>
              <w:left w:val="nil"/>
              <w:bottom w:val="nil"/>
              <w:right w:val="nil"/>
            </w:tcBorders>
          </w:tcPr>
          <w:p w14:paraId="05EE8637"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2A9F8DDA"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46119B91"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2C89EC6F"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4240213C"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3147DC81" w14:textId="77777777" w:rsidR="00722A28" w:rsidRPr="00722A28" w:rsidRDefault="00722A28" w:rsidP="00722A28">
            <w:pPr>
              <w:rPr>
                <w:rFonts w:ascii="Times New Roman" w:eastAsia="Calibri" w:hAnsi="Times New Roman" w:cs="Times New Roman"/>
                <w:sz w:val="24"/>
                <w:szCs w:val="24"/>
              </w:rPr>
            </w:pPr>
          </w:p>
        </w:tc>
      </w:tr>
      <w:tr w:rsidR="00722A28" w:rsidRPr="00722A28" w14:paraId="1BC7BC57" w14:textId="77777777" w:rsidTr="00722A28">
        <w:trPr>
          <w:divId w:val="448934348"/>
        </w:trPr>
        <w:tc>
          <w:tcPr>
            <w:tcW w:w="876" w:type="pct"/>
            <w:tcBorders>
              <w:top w:val="nil"/>
              <w:left w:val="nil"/>
              <w:bottom w:val="nil"/>
            </w:tcBorders>
          </w:tcPr>
          <w:p w14:paraId="1EB54660"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Males</w:t>
            </w:r>
          </w:p>
        </w:tc>
        <w:tc>
          <w:tcPr>
            <w:tcW w:w="681" w:type="pct"/>
            <w:tcBorders>
              <w:top w:val="nil"/>
              <w:bottom w:val="nil"/>
              <w:right w:val="nil"/>
            </w:tcBorders>
          </w:tcPr>
          <w:p w14:paraId="2B59A013"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285ED28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0.46</w:t>
            </w:r>
          </w:p>
        </w:tc>
        <w:tc>
          <w:tcPr>
            <w:tcW w:w="730" w:type="pct"/>
            <w:tcBorders>
              <w:top w:val="nil"/>
              <w:left w:val="nil"/>
              <w:bottom w:val="nil"/>
              <w:right w:val="nil"/>
            </w:tcBorders>
          </w:tcPr>
          <w:p w14:paraId="58BEF51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 .11</w:t>
            </w:r>
          </w:p>
        </w:tc>
        <w:tc>
          <w:tcPr>
            <w:tcW w:w="453" w:type="pct"/>
            <w:tcBorders>
              <w:top w:val="nil"/>
              <w:left w:val="nil"/>
              <w:bottom w:val="nil"/>
              <w:right w:val="nil"/>
            </w:tcBorders>
          </w:tcPr>
          <w:p w14:paraId="30CD0C6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.16</w:t>
            </w:r>
          </w:p>
        </w:tc>
        <w:tc>
          <w:tcPr>
            <w:tcW w:w="520" w:type="pct"/>
            <w:tcBorders>
              <w:top w:val="nil"/>
              <w:left w:val="nil"/>
              <w:bottom w:val="nil"/>
              <w:right w:val="nil"/>
            </w:tcBorders>
          </w:tcPr>
          <w:p w14:paraId="4560D8B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w:t>
            </w:r>
          </w:p>
        </w:tc>
        <w:tc>
          <w:tcPr>
            <w:tcW w:w="827" w:type="pct"/>
            <w:tcBorders>
              <w:top w:val="nil"/>
              <w:left w:val="nil"/>
              <w:bottom w:val="nil"/>
              <w:right w:val="nil"/>
            </w:tcBorders>
          </w:tcPr>
          <w:p w14:paraId="2F6647B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 .11</w:t>
            </w:r>
          </w:p>
        </w:tc>
        <w:tc>
          <w:tcPr>
            <w:tcW w:w="426" w:type="pct"/>
            <w:tcBorders>
              <w:top w:val="nil"/>
              <w:left w:val="nil"/>
              <w:bottom w:val="nil"/>
              <w:right w:val="nil"/>
            </w:tcBorders>
          </w:tcPr>
          <w:p w14:paraId="01D9CE3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.15</w:t>
            </w:r>
          </w:p>
        </w:tc>
      </w:tr>
      <w:tr w:rsidR="00722A28" w:rsidRPr="00722A28" w14:paraId="544A155C" w14:textId="77777777" w:rsidTr="00722A28">
        <w:trPr>
          <w:divId w:val="448934348"/>
        </w:trPr>
        <w:tc>
          <w:tcPr>
            <w:tcW w:w="876" w:type="pct"/>
            <w:tcBorders>
              <w:top w:val="nil"/>
              <w:left w:val="nil"/>
              <w:bottom w:val="nil"/>
            </w:tcBorders>
          </w:tcPr>
          <w:p w14:paraId="5891123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Income:</w:t>
            </w:r>
          </w:p>
        </w:tc>
        <w:tc>
          <w:tcPr>
            <w:tcW w:w="681" w:type="pct"/>
            <w:tcBorders>
              <w:top w:val="nil"/>
              <w:bottom w:val="nil"/>
              <w:right w:val="nil"/>
            </w:tcBorders>
          </w:tcPr>
          <w:p w14:paraId="50750386"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34151E52"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2939062F"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0BAEFD1D"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5330F250"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17CCCA6C"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267E3F2B" w14:textId="77777777" w:rsidR="00722A28" w:rsidRPr="00722A28" w:rsidRDefault="00722A28" w:rsidP="00722A28">
            <w:pPr>
              <w:rPr>
                <w:rFonts w:ascii="Times New Roman" w:eastAsia="Calibri" w:hAnsi="Times New Roman" w:cs="Times New Roman"/>
                <w:sz w:val="24"/>
                <w:szCs w:val="24"/>
              </w:rPr>
            </w:pPr>
          </w:p>
        </w:tc>
      </w:tr>
      <w:tr w:rsidR="00722A28" w:rsidRPr="00722A28" w14:paraId="61E59B4E" w14:textId="77777777" w:rsidTr="00722A28">
        <w:trPr>
          <w:divId w:val="448934348"/>
        </w:trPr>
        <w:tc>
          <w:tcPr>
            <w:tcW w:w="876" w:type="pct"/>
            <w:tcBorders>
              <w:top w:val="nil"/>
              <w:left w:val="nil"/>
              <w:bottom w:val="nil"/>
            </w:tcBorders>
          </w:tcPr>
          <w:p w14:paraId="392241DD"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Low 20%</w:t>
            </w:r>
          </w:p>
        </w:tc>
        <w:tc>
          <w:tcPr>
            <w:tcW w:w="681" w:type="pct"/>
            <w:tcBorders>
              <w:top w:val="nil"/>
              <w:bottom w:val="nil"/>
              <w:right w:val="nil"/>
            </w:tcBorders>
          </w:tcPr>
          <w:p w14:paraId="72459426"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72515FF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730" w:type="pct"/>
            <w:tcBorders>
              <w:top w:val="nil"/>
              <w:left w:val="nil"/>
              <w:bottom w:val="nil"/>
              <w:right w:val="nil"/>
            </w:tcBorders>
          </w:tcPr>
          <w:p w14:paraId="36DBE27F"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2C8CF289"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364147C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827" w:type="pct"/>
            <w:tcBorders>
              <w:top w:val="nil"/>
              <w:left w:val="nil"/>
              <w:bottom w:val="nil"/>
              <w:right w:val="nil"/>
            </w:tcBorders>
          </w:tcPr>
          <w:p w14:paraId="016BD7F2"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2147FDF0" w14:textId="77777777" w:rsidR="00722A28" w:rsidRPr="00722A28" w:rsidRDefault="00722A28" w:rsidP="00722A28">
            <w:pPr>
              <w:rPr>
                <w:rFonts w:ascii="Times New Roman" w:eastAsia="Calibri" w:hAnsi="Times New Roman" w:cs="Times New Roman"/>
                <w:sz w:val="24"/>
                <w:szCs w:val="24"/>
              </w:rPr>
            </w:pPr>
          </w:p>
        </w:tc>
      </w:tr>
      <w:tr w:rsidR="00722A28" w:rsidRPr="00722A28" w14:paraId="3C71CAAE" w14:textId="77777777" w:rsidTr="00722A28">
        <w:trPr>
          <w:divId w:val="448934348"/>
        </w:trPr>
        <w:tc>
          <w:tcPr>
            <w:tcW w:w="876" w:type="pct"/>
            <w:tcBorders>
              <w:top w:val="nil"/>
              <w:left w:val="nil"/>
              <w:bottom w:val="nil"/>
            </w:tcBorders>
          </w:tcPr>
          <w:p w14:paraId="4083F0BD"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40%</w:t>
            </w:r>
          </w:p>
        </w:tc>
        <w:tc>
          <w:tcPr>
            <w:tcW w:w="681" w:type="pct"/>
            <w:tcBorders>
              <w:top w:val="nil"/>
              <w:bottom w:val="nil"/>
              <w:right w:val="nil"/>
            </w:tcBorders>
          </w:tcPr>
          <w:p w14:paraId="20B76C50"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37C2F0E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0.07</w:t>
            </w:r>
          </w:p>
        </w:tc>
        <w:tc>
          <w:tcPr>
            <w:tcW w:w="730" w:type="pct"/>
            <w:tcBorders>
              <w:top w:val="nil"/>
              <w:left w:val="nil"/>
              <w:bottom w:val="nil"/>
              <w:right w:val="nil"/>
            </w:tcBorders>
          </w:tcPr>
          <w:p w14:paraId="4C9FF44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 .19</w:t>
            </w:r>
          </w:p>
        </w:tc>
        <w:tc>
          <w:tcPr>
            <w:tcW w:w="453" w:type="pct"/>
            <w:tcBorders>
              <w:top w:val="nil"/>
              <w:left w:val="nil"/>
              <w:bottom w:val="nil"/>
              <w:right w:val="nil"/>
            </w:tcBorders>
          </w:tcPr>
          <w:p w14:paraId="2F6C24E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.27</w:t>
            </w:r>
          </w:p>
        </w:tc>
        <w:tc>
          <w:tcPr>
            <w:tcW w:w="520" w:type="pct"/>
            <w:tcBorders>
              <w:top w:val="nil"/>
              <w:left w:val="nil"/>
              <w:bottom w:val="nil"/>
              <w:right w:val="nil"/>
            </w:tcBorders>
          </w:tcPr>
          <w:p w14:paraId="62CFD60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c>
          <w:tcPr>
            <w:tcW w:w="827" w:type="pct"/>
            <w:tcBorders>
              <w:top w:val="nil"/>
              <w:left w:val="nil"/>
              <w:bottom w:val="nil"/>
              <w:right w:val="nil"/>
            </w:tcBorders>
          </w:tcPr>
          <w:p w14:paraId="5A53BCC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 .19</w:t>
            </w:r>
          </w:p>
        </w:tc>
        <w:tc>
          <w:tcPr>
            <w:tcW w:w="426" w:type="pct"/>
            <w:tcBorders>
              <w:top w:val="nil"/>
              <w:left w:val="nil"/>
              <w:bottom w:val="nil"/>
              <w:right w:val="nil"/>
            </w:tcBorders>
          </w:tcPr>
          <w:p w14:paraId="597D715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.26</w:t>
            </w:r>
          </w:p>
        </w:tc>
      </w:tr>
      <w:tr w:rsidR="00722A28" w:rsidRPr="00722A28" w14:paraId="0FAADFCC" w14:textId="77777777" w:rsidTr="00722A28">
        <w:trPr>
          <w:divId w:val="448934348"/>
        </w:trPr>
        <w:tc>
          <w:tcPr>
            <w:tcW w:w="876" w:type="pct"/>
            <w:tcBorders>
              <w:top w:val="nil"/>
              <w:left w:val="nil"/>
              <w:bottom w:val="nil"/>
            </w:tcBorders>
          </w:tcPr>
          <w:p w14:paraId="74795843"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60%</w:t>
            </w:r>
          </w:p>
        </w:tc>
        <w:tc>
          <w:tcPr>
            <w:tcW w:w="681" w:type="pct"/>
            <w:tcBorders>
              <w:top w:val="nil"/>
              <w:bottom w:val="nil"/>
              <w:right w:val="nil"/>
            </w:tcBorders>
          </w:tcPr>
          <w:p w14:paraId="6E3C077C"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0FF817B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0.11</w:t>
            </w:r>
          </w:p>
        </w:tc>
        <w:tc>
          <w:tcPr>
            <w:tcW w:w="730" w:type="pct"/>
            <w:tcBorders>
              <w:top w:val="nil"/>
              <w:left w:val="nil"/>
              <w:bottom w:val="nil"/>
              <w:right w:val="nil"/>
            </w:tcBorders>
          </w:tcPr>
          <w:p w14:paraId="3BB257B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 .23</w:t>
            </w:r>
          </w:p>
        </w:tc>
        <w:tc>
          <w:tcPr>
            <w:tcW w:w="453" w:type="pct"/>
            <w:tcBorders>
              <w:top w:val="nil"/>
              <w:left w:val="nil"/>
              <w:bottom w:val="nil"/>
              <w:right w:val="nil"/>
            </w:tcBorders>
          </w:tcPr>
          <w:p w14:paraId="43DCD77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c>
          <w:tcPr>
            <w:tcW w:w="520" w:type="pct"/>
            <w:tcBorders>
              <w:top w:val="nil"/>
              <w:left w:val="nil"/>
              <w:bottom w:val="nil"/>
              <w:right w:val="nil"/>
            </w:tcBorders>
          </w:tcPr>
          <w:p w14:paraId="0A428FA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0.11</w:t>
            </w:r>
          </w:p>
        </w:tc>
        <w:tc>
          <w:tcPr>
            <w:tcW w:w="827" w:type="pct"/>
            <w:tcBorders>
              <w:top w:val="nil"/>
              <w:left w:val="nil"/>
              <w:bottom w:val="nil"/>
              <w:right w:val="nil"/>
            </w:tcBorders>
          </w:tcPr>
          <w:p w14:paraId="368CCB1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 .23</w:t>
            </w:r>
          </w:p>
        </w:tc>
        <w:tc>
          <w:tcPr>
            <w:tcW w:w="426" w:type="pct"/>
            <w:tcBorders>
              <w:top w:val="nil"/>
              <w:left w:val="nil"/>
              <w:bottom w:val="nil"/>
              <w:right w:val="nil"/>
            </w:tcBorders>
          </w:tcPr>
          <w:p w14:paraId="5257DC4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r>
      <w:tr w:rsidR="00722A28" w:rsidRPr="00722A28" w14:paraId="1A0D8649" w14:textId="77777777" w:rsidTr="00722A28">
        <w:trPr>
          <w:divId w:val="448934348"/>
        </w:trPr>
        <w:tc>
          <w:tcPr>
            <w:tcW w:w="876" w:type="pct"/>
            <w:tcBorders>
              <w:top w:val="nil"/>
              <w:left w:val="nil"/>
              <w:bottom w:val="nil"/>
            </w:tcBorders>
          </w:tcPr>
          <w:p w14:paraId="29585194"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80%</w:t>
            </w:r>
          </w:p>
        </w:tc>
        <w:tc>
          <w:tcPr>
            <w:tcW w:w="681" w:type="pct"/>
            <w:tcBorders>
              <w:top w:val="nil"/>
              <w:bottom w:val="nil"/>
              <w:right w:val="nil"/>
            </w:tcBorders>
          </w:tcPr>
          <w:p w14:paraId="3C3E64A5"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40A7EB8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0.12</w:t>
            </w:r>
          </w:p>
        </w:tc>
        <w:tc>
          <w:tcPr>
            <w:tcW w:w="730" w:type="pct"/>
            <w:tcBorders>
              <w:top w:val="nil"/>
              <w:left w:val="nil"/>
              <w:bottom w:val="nil"/>
              <w:right w:val="nil"/>
            </w:tcBorders>
          </w:tcPr>
          <w:p w14:paraId="05036ED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 .25</w:t>
            </w:r>
          </w:p>
        </w:tc>
        <w:tc>
          <w:tcPr>
            <w:tcW w:w="453" w:type="pct"/>
            <w:tcBorders>
              <w:top w:val="nil"/>
              <w:left w:val="nil"/>
              <w:bottom w:val="nil"/>
              <w:right w:val="nil"/>
            </w:tcBorders>
          </w:tcPr>
          <w:p w14:paraId="6FC0DF7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w:t>
            </w:r>
          </w:p>
        </w:tc>
        <w:tc>
          <w:tcPr>
            <w:tcW w:w="520" w:type="pct"/>
            <w:tcBorders>
              <w:top w:val="nil"/>
              <w:left w:val="nil"/>
              <w:bottom w:val="nil"/>
              <w:right w:val="nil"/>
            </w:tcBorders>
          </w:tcPr>
          <w:p w14:paraId="5548ACA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0.13</w:t>
            </w:r>
          </w:p>
        </w:tc>
        <w:tc>
          <w:tcPr>
            <w:tcW w:w="827" w:type="pct"/>
            <w:tcBorders>
              <w:top w:val="nil"/>
              <w:left w:val="nil"/>
              <w:bottom w:val="nil"/>
              <w:right w:val="nil"/>
            </w:tcBorders>
          </w:tcPr>
          <w:p w14:paraId="6014119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 .25</w:t>
            </w:r>
          </w:p>
        </w:tc>
        <w:tc>
          <w:tcPr>
            <w:tcW w:w="426" w:type="pct"/>
            <w:tcBorders>
              <w:top w:val="nil"/>
              <w:left w:val="nil"/>
              <w:bottom w:val="nil"/>
              <w:right w:val="nil"/>
            </w:tcBorders>
          </w:tcPr>
          <w:p w14:paraId="7CF33A3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w:t>
            </w:r>
          </w:p>
        </w:tc>
      </w:tr>
      <w:tr w:rsidR="00722A28" w:rsidRPr="00722A28" w14:paraId="180F48E0" w14:textId="77777777" w:rsidTr="00722A28">
        <w:trPr>
          <w:divId w:val="448934348"/>
        </w:trPr>
        <w:tc>
          <w:tcPr>
            <w:tcW w:w="876" w:type="pct"/>
            <w:tcBorders>
              <w:top w:val="nil"/>
              <w:left w:val="nil"/>
              <w:bottom w:val="nil"/>
            </w:tcBorders>
          </w:tcPr>
          <w:p w14:paraId="13E54F73"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Highest %</w:t>
            </w:r>
          </w:p>
        </w:tc>
        <w:tc>
          <w:tcPr>
            <w:tcW w:w="681" w:type="pct"/>
            <w:tcBorders>
              <w:top w:val="nil"/>
              <w:bottom w:val="nil"/>
              <w:right w:val="nil"/>
            </w:tcBorders>
          </w:tcPr>
          <w:p w14:paraId="5F25B9B4"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455220C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0.14</w:t>
            </w:r>
          </w:p>
        </w:tc>
        <w:tc>
          <w:tcPr>
            <w:tcW w:w="730" w:type="pct"/>
            <w:tcBorders>
              <w:top w:val="nil"/>
              <w:left w:val="nil"/>
              <w:bottom w:val="nil"/>
              <w:right w:val="nil"/>
            </w:tcBorders>
          </w:tcPr>
          <w:p w14:paraId="7AC166A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 .27</w:t>
            </w:r>
          </w:p>
        </w:tc>
        <w:tc>
          <w:tcPr>
            <w:tcW w:w="453" w:type="pct"/>
            <w:tcBorders>
              <w:top w:val="nil"/>
              <w:left w:val="nil"/>
              <w:bottom w:val="nil"/>
              <w:right w:val="nil"/>
            </w:tcBorders>
          </w:tcPr>
          <w:p w14:paraId="688D3E5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w:t>
            </w:r>
          </w:p>
        </w:tc>
        <w:tc>
          <w:tcPr>
            <w:tcW w:w="520" w:type="pct"/>
            <w:tcBorders>
              <w:top w:val="nil"/>
              <w:left w:val="nil"/>
              <w:bottom w:val="nil"/>
              <w:right w:val="nil"/>
            </w:tcBorders>
          </w:tcPr>
          <w:p w14:paraId="0D9D3F5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0.14</w:t>
            </w:r>
          </w:p>
        </w:tc>
        <w:tc>
          <w:tcPr>
            <w:tcW w:w="827" w:type="pct"/>
            <w:tcBorders>
              <w:top w:val="nil"/>
              <w:left w:val="nil"/>
              <w:bottom w:val="nil"/>
              <w:right w:val="nil"/>
            </w:tcBorders>
          </w:tcPr>
          <w:p w14:paraId="649394C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 .27</w:t>
            </w:r>
          </w:p>
        </w:tc>
        <w:tc>
          <w:tcPr>
            <w:tcW w:w="426" w:type="pct"/>
            <w:tcBorders>
              <w:top w:val="nil"/>
              <w:left w:val="nil"/>
              <w:bottom w:val="nil"/>
              <w:right w:val="nil"/>
            </w:tcBorders>
          </w:tcPr>
          <w:p w14:paraId="0CBF0AD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w:t>
            </w:r>
          </w:p>
        </w:tc>
      </w:tr>
      <w:tr w:rsidR="00722A28" w:rsidRPr="00722A28" w14:paraId="299A7E7B" w14:textId="77777777" w:rsidTr="00722A28">
        <w:trPr>
          <w:divId w:val="448934348"/>
        </w:trPr>
        <w:tc>
          <w:tcPr>
            <w:tcW w:w="876" w:type="pct"/>
            <w:tcBorders>
              <w:top w:val="nil"/>
              <w:left w:val="nil"/>
              <w:bottom w:val="nil"/>
            </w:tcBorders>
          </w:tcPr>
          <w:p w14:paraId="1D6B7565"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b/>
                <w:sz w:val="24"/>
                <w:szCs w:val="24"/>
              </w:rPr>
              <w:t>Maternal education:</w:t>
            </w:r>
          </w:p>
        </w:tc>
        <w:tc>
          <w:tcPr>
            <w:tcW w:w="681" w:type="pct"/>
            <w:tcBorders>
              <w:top w:val="nil"/>
              <w:bottom w:val="nil"/>
              <w:right w:val="nil"/>
            </w:tcBorders>
          </w:tcPr>
          <w:p w14:paraId="3E836A20"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528B1D93"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3DFA62F9"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49B3CABD"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11759E2A"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68415B24"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2E526286" w14:textId="77777777" w:rsidR="00722A28" w:rsidRPr="00722A28" w:rsidRDefault="00722A28" w:rsidP="00722A28">
            <w:pPr>
              <w:rPr>
                <w:rFonts w:ascii="Times New Roman" w:eastAsia="Calibri" w:hAnsi="Times New Roman" w:cs="Times New Roman"/>
                <w:sz w:val="24"/>
                <w:szCs w:val="24"/>
              </w:rPr>
            </w:pPr>
          </w:p>
        </w:tc>
      </w:tr>
      <w:tr w:rsidR="00722A28" w:rsidRPr="00722A28" w14:paraId="590BEDE9" w14:textId="77777777" w:rsidTr="00722A28">
        <w:trPr>
          <w:divId w:val="448934348"/>
        </w:trPr>
        <w:tc>
          <w:tcPr>
            <w:tcW w:w="876" w:type="pct"/>
            <w:tcBorders>
              <w:top w:val="nil"/>
              <w:left w:val="nil"/>
              <w:bottom w:val="nil"/>
            </w:tcBorders>
          </w:tcPr>
          <w:p w14:paraId="26F2F952"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&lt;0 level</w:t>
            </w:r>
          </w:p>
        </w:tc>
        <w:tc>
          <w:tcPr>
            <w:tcW w:w="681" w:type="pct"/>
            <w:tcBorders>
              <w:top w:val="nil"/>
              <w:bottom w:val="nil"/>
              <w:right w:val="nil"/>
            </w:tcBorders>
          </w:tcPr>
          <w:p w14:paraId="525380F3"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6886D30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730" w:type="pct"/>
            <w:tcBorders>
              <w:top w:val="nil"/>
              <w:left w:val="nil"/>
              <w:bottom w:val="nil"/>
              <w:right w:val="nil"/>
            </w:tcBorders>
          </w:tcPr>
          <w:p w14:paraId="175A8AD6"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078CFEAD"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4712D88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827" w:type="pct"/>
            <w:tcBorders>
              <w:top w:val="nil"/>
              <w:left w:val="nil"/>
              <w:bottom w:val="nil"/>
              <w:right w:val="nil"/>
            </w:tcBorders>
          </w:tcPr>
          <w:p w14:paraId="3909E79F"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4C078F29" w14:textId="77777777" w:rsidR="00722A28" w:rsidRPr="00722A28" w:rsidRDefault="00722A28" w:rsidP="00722A28">
            <w:pPr>
              <w:rPr>
                <w:rFonts w:ascii="Times New Roman" w:eastAsia="Calibri" w:hAnsi="Times New Roman" w:cs="Times New Roman"/>
                <w:sz w:val="24"/>
                <w:szCs w:val="24"/>
              </w:rPr>
            </w:pPr>
          </w:p>
        </w:tc>
      </w:tr>
      <w:tr w:rsidR="00722A28" w:rsidRPr="00722A28" w14:paraId="27C82119" w14:textId="77777777" w:rsidTr="00722A28">
        <w:trPr>
          <w:divId w:val="448934348"/>
        </w:trPr>
        <w:tc>
          <w:tcPr>
            <w:tcW w:w="876" w:type="pct"/>
            <w:tcBorders>
              <w:top w:val="nil"/>
              <w:left w:val="nil"/>
              <w:bottom w:val="nil"/>
            </w:tcBorders>
          </w:tcPr>
          <w:p w14:paraId="39B2F191"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0 level</w:t>
            </w:r>
          </w:p>
        </w:tc>
        <w:tc>
          <w:tcPr>
            <w:tcW w:w="681" w:type="pct"/>
            <w:tcBorders>
              <w:top w:val="nil"/>
              <w:bottom w:val="nil"/>
              <w:right w:val="nil"/>
            </w:tcBorders>
          </w:tcPr>
          <w:p w14:paraId="20EA0D10"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4E03D9E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-0.18</w:t>
            </w:r>
          </w:p>
        </w:tc>
        <w:tc>
          <w:tcPr>
            <w:tcW w:w="730" w:type="pct"/>
            <w:tcBorders>
              <w:top w:val="nil"/>
              <w:left w:val="nil"/>
              <w:bottom w:val="nil"/>
              <w:right w:val="nil"/>
            </w:tcBorders>
          </w:tcPr>
          <w:p w14:paraId="04CC655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-.26, -.10</w:t>
            </w:r>
          </w:p>
        </w:tc>
        <w:tc>
          <w:tcPr>
            <w:tcW w:w="453" w:type="pct"/>
            <w:tcBorders>
              <w:top w:val="nil"/>
              <w:left w:val="nil"/>
              <w:bottom w:val="nil"/>
              <w:right w:val="nil"/>
            </w:tcBorders>
          </w:tcPr>
          <w:p w14:paraId="30597BD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c>
          <w:tcPr>
            <w:tcW w:w="520" w:type="pct"/>
            <w:tcBorders>
              <w:top w:val="nil"/>
              <w:left w:val="nil"/>
              <w:bottom w:val="nil"/>
              <w:right w:val="nil"/>
            </w:tcBorders>
          </w:tcPr>
          <w:p w14:paraId="73F01BB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-0.18</w:t>
            </w:r>
          </w:p>
        </w:tc>
        <w:tc>
          <w:tcPr>
            <w:tcW w:w="827" w:type="pct"/>
            <w:tcBorders>
              <w:top w:val="nil"/>
              <w:left w:val="nil"/>
              <w:bottom w:val="nil"/>
              <w:right w:val="nil"/>
            </w:tcBorders>
          </w:tcPr>
          <w:p w14:paraId="5D6492B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-.26, -.10</w:t>
            </w:r>
          </w:p>
        </w:tc>
        <w:tc>
          <w:tcPr>
            <w:tcW w:w="426" w:type="pct"/>
            <w:tcBorders>
              <w:top w:val="nil"/>
              <w:left w:val="nil"/>
              <w:bottom w:val="nil"/>
              <w:right w:val="nil"/>
            </w:tcBorders>
          </w:tcPr>
          <w:p w14:paraId="765EA40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r>
      <w:tr w:rsidR="00722A28" w:rsidRPr="00722A28" w14:paraId="074AE9D2" w14:textId="77777777" w:rsidTr="00722A28">
        <w:trPr>
          <w:divId w:val="448934348"/>
        </w:trPr>
        <w:tc>
          <w:tcPr>
            <w:tcW w:w="876" w:type="pct"/>
            <w:tcBorders>
              <w:top w:val="nil"/>
              <w:left w:val="nil"/>
              <w:bottom w:val="nil"/>
            </w:tcBorders>
          </w:tcPr>
          <w:p w14:paraId="43AA9386"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&gt;0 level</w:t>
            </w:r>
          </w:p>
        </w:tc>
        <w:tc>
          <w:tcPr>
            <w:tcW w:w="681" w:type="pct"/>
            <w:tcBorders>
              <w:top w:val="nil"/>
              <w:bottom w:val="nil"/>
              <w:right w:val="nil"/>
            </w:tcBorders>
          </w:tcPr>
          <w:p w14:paraId="01EA548C"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15BA42A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-0.23</w:t>
            </w:r>
          </w:p>
        </w:tc>
        <w:tc>
          <w:tcPr>
            <w:tcW w:w="730" w:type="pct"/>
            <w:tcBorders>
              <w:top w:val="nil"/>
              <w:left w:val="nil"/>
              <w:bottom w:val="nil"/>
              <w:right w:val="nil"/>
            </w:tcBorders>
          </w:tcPr>
          <w:p w14:paraId="259C82B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-.34, -.13</w:t>
            </w:r>
          </w:p>
        </w:tc>
        <w:tc>
          <w:tcPr>
            <w:tcW w:w="453" w:type="pct"/>
            <w:tcBorders>
              <w:top w:val="nil"/>
              <w:left w:val="nil"/>
              <w:bottom w:val="nil"/>
              <w:right w:val="nil"/>
            </w:tcBorders>
          </w:tcPr>
          <w:p w14:paraId="004FD39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c>
          <w:tcPr>
            <w:tcW w:w="520" w:type="pct"/>
            <w:tcBorders>
              <w:top w:val="nil"/>
              <w:left w:val="nil"/>
              <w:bottom w:val="nil"/>
              <w:right w:val="nil"/>
            </w:tcBorders>
          </w:tcPr>
          <w:p w14:paraId="11742BC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-0.23</w:t>
            </w:r>
          </w:p>
        </w:tc>
        <w:tc>
          <w:tcPr>
            <w:tcW w:w="827" w:type="pct"/>
            <w:tcBorders>
              <w:top w:val="nil"/>
              <w:left w:val="nil"/>
              <w:bottom w:val="nil"/>
              <w:right w:val="nil"/>
            </w:tcBorders>
          </w:tcPr>
          <w:p w14:paraId="30C063C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-.34, -.14</w:t>
            </w:r>
          </w:p>
        </w:tc>
        <w:tc>
          <w:tcPr>
            <w:tcW w:w="426" w:type="pct"/>
            <w:tcBorders>
              <w:top w:val="nil"/>
              <w:left w:val="nil"/>
              <w:bottom w:val="nil"/>
              <w:right w:val="nil"/>
            </w:tcBorders>
          </w:tcPr>
          <w:p w14:paraId="5FC0ECD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r>
      <w:tr w:rsidR="00722A28" w:rsidRPr="00722A28" w14:paraId="7437B4B1" w14:textId="77777777" w:rsidTr="00722A28">
        <w:trPr>
          <w:divId w:val="448934348"/>
        </w:trPr>
        <w:tc>
          <w:tcPr>
            <w:tcW w:w="876" w:type="pct"/>
            <w:tcBorders>
              <w:top w:val="nil"/>
              <w:left w:val="nil"/>
              <w:bottom w:val="nil"/>
            </w:tcBorders>
          </w:tcPr>
          <w:p w14:paraId="5FF8DE7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Social</w:t>
            </w:r>
            <w:r w:rsidRPr="00722A28">
              <w:rPr>
                <w:rFonts w:ascii="Times New Roman" w:eastAsia="Calibri" w:hAnsi="Times New Roman" w:cs="Times New Roman"/>
                <w:sz w:val="24"/>
                <w:szCs w:val="24"/>
              </w:rPr>
              <w:t>:</w:t>
            </w:r>
          </w:p>
        </w:tc>
        <w:tc>
          <w:tcPr>
            <w:tcW w:w="681" w:type="pct"/>
            <w:tcBorders>
              <w:top w:val="nil"/>
              <w:bottom w:val="nil"/>
              <w:right w:val="nil"/>
            </w:tcBorders>
          </w:tcPr>
          <w:p w14:paraId="697BC935"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4CE2DCC1"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363BC489"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2DEF8F3E"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5A56FE56"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566807A7"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6FFA6669" w14:textId="77777777" w:rsidR="00722A28" w:rsidRPr="00722A28" w:rsidRDefault="00722A28" w:rsidP="00722A28">
            <w:pPr>
              <w:rPr>
                <w:rFonts w:ascii="Times New Roman" w:eastAsia="Calibri" w:hAnsi="Times New Roman" w:cs="Times New Roman"/>
                <w:sz w:val="24"/>
                <w:szCs w:val="24"/>
              </w:rPr>
            </w:pPr>
          </w:p>
        </w:tc>
      </w:tr>
      <w:tr w:rsidR="00722A28" w:rsidRPr="00722A28" w14:paraId="64882312" w14:textId="77777777" w:rsidTr="00722A28">
        <w:trPr>
          <w:divId w:val="448934348"/>
        </w:trPr>
        <w:tc>
          <w:tcPr>
            <w:tcW w:w="876" w:type="pct"/>
            <w:tcBorders>
              <w:top w:val="nil"/>
              <w:left w:val="nil"/>
              <w:bottom w:val="nil"/>
            </w:tcBorders>
          </w:tcPr>
          <w:p w14:paraId="181BCF88"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iv-v</w:t>
            </w:r>
          </w:p>
        </w:tc>
        <w:tc>
          <w:tcPr>
            <w:tcW w:w="681" w:type="pct"/>
            <w:tcBorders>
              <w:top w:val="nil"/>
              <w:bottom w:val="nil"/>
              <w:right w:val="nil"/>
            </w:tcBorders>
          </w:tcPr>
          <w:p w14:paraId="7DF5572A"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481DE06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730" w:type="pct"/>
            <w:tcBorders>
              <w:top w:val="nil"/>
              <w:left w:val="nil"/>
              <w:bottom w:val="nil"/>
              <w:right w:val="nil"/>
            </w:tcBorders>
          </w:tcPr>
          <w:p w14:paraId="3D36392A"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643BDC1E"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67785F4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827" w:type="pct"/>
            <w:tcBorders>
              <w:top w:val="nil"/>
              <w:left w:val="nil"/>
              <w:bottom w:val="nil"/>
              <w:right w:val="nil"/>
            </w:tcBorders>
          </w:tcPr>
          <w:p w14:paraId="0FEB6A8E"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55637B90" w14:textId="77777777" w:rsidR="00722A28" w:rsidRPr="00722A28" w:rsidRDefault="00722A28" w:rsidP="00722A28">
            <w:pPr>
              <w:rPr>
                <w:rFonts w:ascii="Times New Roman" w:eastAsia="Calibri" w:hAnsi="Times New Roman" w:cs="Times New Roman"/>
                <w:sz w:val="24"/>
                <w:szCs w:val="24"/>
              </w:rPr>
            </w:pPr>
          </w:p>
        </w:tc>
      </w:tr>
      <w:tr w:rsidR="00722A28" w:rsidRPr="00722A28" w14:paraId="566F6A6A" w14:textId="77777777" w:rsidTr="00722A28">
        <w:trPr>
          <w:divId w:val="448934348"/>
        </w:trPr>
        <w:tc>
          <w:tcPr>
            <w:tcW w:w="876" w:type="pct"/>
            <w:tcBorders>
              <w:top w:val="nil"/>
              <w:left w:val="nil"/>
              <w:bottom w:val="nil"/>
            </w:tcBorders>
          </w:tcPr>
          <w:p w14:paraId="55B6489F"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iii</w:t>
            </w:r>
          </w:p>
        </w:tc>
        <w:tc>
          <w:tcPr>
            <w:tcW w:w="681" w:type="pct"/>
            <w:tcBorders>
              <w:top w:val="nil"/>
              <w:bottom w:val="nil"/>
              <w:right w:val="nil"/>
            </w:tcBorders>
          </w:tcPr>
          <w:p w14:paraId="4D0CE8DB"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034E056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-0.03</w:t>
            </w:r>
          </w:p>
        </w:tc>
        <w:tc>
          <w:tcPr>
            <w:tcW w:w="730" w:type="pct"/>
            <w:tcBorders>
              <w:top w:val="nil"/>
              <w:left w:val="nil"/>
              <w:bottom w:val="nil"/>
              <w:right w:val="nil"/>
            </w:tcBorders>
          </w:tcPr>
          <w:p w14:paraId="633142B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-.21, .16</w:t>
            </w:r>
          </w:p>
        </w:tc>
        <w:tc>
          <w:tcPr>
            <w:tcW w:w="453" w:type="pct"/>
            <w:tcBorders>
              <w:top w:val="nil"/>
              <w:left w:val="nil"/>
              <w:bottom w:val="nil"/>
              <w:right w:val="nil"/>
            </w:tcBorders>
          </w:tcPr>
          <w:p w14:paraId="73D83BB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.77</w:t>
            </w:r>
          </w:p>
        </w:tc>
        <w:tc>
          <w:tcPr>
            <w:tcW w:w="520" w:type="pct"/>
            <w:tcBorders>
              <w:top w:val="nil"/>
              <w:left w:val="nil"/>
              <w:bottom w:val="nil"/>
              <w:right w:val="nil"/>
            </w:tcBorders>
          </w:tcPr>
          <w:p w14:paraId="4977F44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w:t>
            </w:r>
          </w:p>
        </w:tc>
        <w:tc>
          <w:tcPr>
            <w:tcW w:w="827" w:type="pct"/>
            <w:tcBorders>
              <w:top w:val="nil"/>
              <w:left w:val="nil"/>
              <w:bottom w:val="nil"/>
              <w:right w:val="nil"/>
            </w:tcBorders>
          </w:tcPr>
          <w:p w14:paraId="19E26FE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-.21, .16</w:t>
            </w:r>
          </w:p>
        </w:tc>
        <w:tc>
          <w:tcPr>
            <w:tcW w:w="426" w:type="pct"/>
            <w:tcBorders>
              <w:top w:val="nil"/>
              <w:left w:val="nil"/>
              <w:bottom w:val="nil"/>
              <w:right w:val="nil"/>
            </w:tcBorders>
          </w:tcPr>
          <w:p w14:paraId="1EEBC84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.76</w:t>
            </w:r>
          </w:p>
        </w:tc>
      </w:tr>
      <w:tr w:rsidR="00722A28" w:rsidRPr="00722A28" w14:paraId="712DA704" w14:textId="77777777" w:rsidTr="00722A28">
        <w:trPr>
          <w:divId w:val="448934348"/>
        </w:trPr>
        <w:tc>
          <w:tcPr>
            <w:tcW w:w="876" w:type="pct"/>
            <w:tcBorders>
              <w:top w:val="nil"/>
              <w:left w:val="nil"/>
              <w:bottom w:val="nil"/>
            </w:tcBorders>
          </w:tcPr>
          <w:p w14:paraId="0B5252CE"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ii</w:t>
            </w:r>
          </w:p>
        </w:tc>
        <w:tc>
          <w:tcPr>
            <w:tcW w:w="681" w:type="pct"/>
            <w:tcBorders>
              <w:top w:val="nil"/>
              <w:bottom w:val="nil"/>
              <w:right w:val="nil"/>
            </w:tcBorders>
          </w:tcPr>
          <w:p w14:paraId="703F6AB2"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4BED21E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-0.00</w:t>
            </w:r>
          </w:p>
        </w:tc>
        <w:tc>
          <w:tcPr>
            <w:tcW w:w="730" w:type="pct"/>
            <w:tcBorders>
              <w:top w:val="nil"/>
              <w:left w:val="nil"/>
              <w:bottom w:val="nil"/>
              <w:right w:val="nil"/>
            </w:tcBorders>
          </w:tcPr>
          <w:p w14:paraId="633A82D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-.19, .18</w:t>
            </w:r>
          </w:p>
        </w:tc>
        <w:tc>
          <w:tcPr>
            <w:tcW w:w="453" w:type="pct"/>
            <w:tcBorders>
              <w:top w:val="nil"/>
              <w:left w:val="nil"/>
              <w:bottom w:val="nil"/>
              <w:right w:val="nil"/>
            </w:tcBorders>
          </w:tcPr>
          <w:p w14:paraId="56BA6FD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.97</w:t>
            </w:r>
          </w:p>
        </w:tc>
        <w:tc>
          <w:tcPr>
            <w:tcW w:w="520" w:type="pct"/>
            <w:tcBorders>
              <w:top w:val="nil"/>
              <w:left w:val="nil"/>
              <w:bottom w:val="nil"/>
              <w:right w:val="nil"/>
            </w:tcBorders>
          </w:tcPr>
          <w:p w14:paraId="496136A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w:t>
            </w:r>
          </w:p>
        </w:tc>
        <w:tc>
          <w:tcPr>
            <w:tcW w:w="827" w:type="pct"/>
            <w:tcBorders>
              <w:top w:val="nil"/>
              <w:left w:val="nil"/>
              <w:bottom w:val="nil"/>
              <w:right w:val="nil"/>
            </w:tcBorders>
          </w:tcPr>
          <w:p w14:paraId="3179F98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-.19, .18</w:t>
            </w:r>
          </w:p>
        </w:tc>
        <w:tc>
          <w:tcPr>
            <w:tcW w:w="426" w:type="pct"/>
            <w:tcBorders>
              <w:top w:val="nil"/>
              <w:left w:val="nil"/>
              <w:bottom w:val="nil"/>
              <w:right w:val="nil"/>
            </w:tcBorders>
          </w:tcPr>
          <w:p w14:paraId="2F65D87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.95</w:t>
            </w:r>
          </w:p>
        </w:tc>
      </w:tr>
      <w:tr w:rsidR="00722A28" w:rsidRPr="00722A28" w14:paraId="39F07D12" w14:textId="77777777" w:rsidTr="00722A28">
        <w:trPr>
          <w:divId w:val="448934348"/>
        </w:trPr>
        <w:tc>
          <w:tcPr>
            <w:tcW w:w="876" w:type="pct"/>
            <w:tcBorders>
              <w:top w:val="nil"/>
              <w:left w:val="nil"/>
              <w:bottom w:val="nil"/>
            </w:tcBorders>
          </w:tcPr>
          <w:p w14:paraId="7F6D2C3A"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Professional</w:t>
            </w:r>
          </w:p>
        </w:tc>
        <w:tc>
          <w:tcPr>
            <w:tcW w:w="681" w:type="pct"/>
            <w:tcBorders>
              <w:top w:val="nil"/>
              <w:bottom w:val="nil"/>
              <w:right w:val="nil"/>
            </w:tcBorders>
          </w:tcPr>
          <w:p w14:paraId="1A469CF1"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21FF845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0.11</w:t>
            </w:r>
          </w:p>
        </w:tc>
        <w:tc>
          <w:tcPr>
            <w:tcW w:w="730" w:type="pct"/>
            <w:tcBorders>
              <w:top w:val="nil"/>
              <w:left w:val="nil"/>
              <w:bottom w:val="nil"/>
              <w:right w:val="nil"/>
            </w:tcBorders>
          </w:tcPr>
          <w:p w14:paraId="6285FA8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-.09, .31</w:t>
            </w:r>
          </w:p>
        </w:tc>
        <w:tc>
          <w:tcPr>
            <w:tcW w:w="453" w:type="pct"/>
            <w:tcBorders>
              <w:top w:val="nil"/>
              <w:left w:val="nil"/>
              <w:bottom w:val="nil"/>
              <w:right w:val="nil"/>
            </w:tcBorders>
          </w:tcPr>
          <w:p w14:paraId="48E96BA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.30</w:t>
            </w:r>
          </w:p>
        </w:tc>
        <w:tc>
          <w:tcPr>
            <w:tcW w:w="520" w:type="pct"/>
            <w:tcBorders>
              <w:top w:val="nil"/>
              <w:left w:val="nil"/>
              <w:bottom w:val="nil"/>
              <w:right w:val="nil"/>
            </w:tcBorders>
          </w:tcPr>
          <w:p w14:paraId="3DD3D89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w:t>
            </w:r>
          </w:p>
        </w:tc>
        <w:tc>
          <w:tcPr>
            <w:tcW w:w="827" w:type="pct"/>
            <w:tcBorders>
              <w:top w:val="nil"/>
              <w:left w:val="nil"/>
              <w:bottom w:val="nil"/>
              <w:right w:val="nil"/>
            </w:tcBorders>
          </w:tcPr>
          <w:p w14:paraId="0329A49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 .31</w:t>
            </w:r>
          </w:p>
        </w:tc>
        <w:tc>
          <w:tcPr>
            <w:tcW w:w="426" w:type="pct"/>
            <w:tcBorders>
              <w:top w:val="nil"/>
              <w:left w:val="nil"/>
              <w:bottom w:val="nil"/>
              <w:right w:val="nil"/>
            </w:tcBorders>
          </w:tcPr>
          <w:p w14:paraId="6F9B755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.31</w:t>
            </w:r>
          </w:p>
        </w:tc>
      </w:tr>
      <w:tr w:rsidR="00722A28" w:rsidRPr="00722A28" w14:paraId="011B2836" w14:textId="77777777" w:rsidTr="00722A28">
        <w:trPr>
          <w:divId w:val="448934348"/>
        </w:trPr>
        <w:tc>
          <w:tcPr>
            <w:tcW w:w="876" w:type="pct"/>
            <w:tcBorders>
              <w:top w:val="nil"/>
              <w:left w:val="nil"/>
              <w:bottom w:val="nil"/>
            </w:tcBorders>
          </w:tcPr>
          <w:p w14:paraId="59FAE17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Parity:</w:t>
            </w:r>
            <w:r w:rsidRPr="00722A28">
              <w:rPr>
                <w:rFonts w:ascii="Times New Roman" w:eastAsia="Calibri" w:hAnsi="Times New Roman" w:cs="Times New Roman"/>
                <w:sz w:val="24"/>
                <w:szCs w:val="24"/>
              </w:rPr>
              <w:t xml:space="preserve"> </w:t>
            </w:r>
          </w:p>
        </w:tc>
        <w:tc>
          <w:tcPr>
            <w:tcW w:w="681" w:type="pct"/>
            <w:tcBorders>
              <w:top w:val="nil"/>
              <w:bottom w:val="nil"/>
              <w:right w:val="nil"/>
            </w:tcBorders>
          </w:tcPr>
          <w:p w14:paraId="08A7BE51"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263CCC1F"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056F7890"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2070E1BD"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2590D6B2"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408925A2"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68758FD1" w14:textId="77777777" w:rsidR="00722A28" w:rsidRPr="00722A28" w:rsidRDefault="00722A28" w:rsidP="00722A28">
            <w:pPr>
              <w:rPr>
                <w:rFonts w:ascii="Times New Roman" w:eastAsia="Calibri" w:hAnsi="Times New Roman" w:cs="Times New Roman"/>
                <w:sz w:val="24"/>
                <w:szCs w:val="24"/>
              </w:rPr>
            </w:pPr>
          </w:p>
        </w:tc>
      </w:tr>
      <w:tr w:rsidR="00722A28" w:rsidRPr="00722A28" w14:paraId="2AF9748A" w14:textId="77777777" w:rsidTr="00722A28">
        <w:trPr>
          <w:divId w:val="448934348"/>
        </w:trPr>
        <w:tc>
          <w:tcPr>
            <w:tcW w:w="876" w:type="pct"/>
            <w:tcBorders>
              <w:top w:val="nil"/>
              <w:left w:val="nil"/>
              <w:bottom w:val="nil"/>
            </w:tcBorders>
          </w:tcPr>
          <w:p w14:paraId="09E24695"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First</w:t>
            </w:r>
          </w:p>
        </w:tc>
        <w:tc>
          <w:tcPr>
            <w:tcW w:w="681" w:type="pct"/>
            <w:tcBorders>
              <w:top w:val="nil"/>
              <w:bottom w:val="nil"/>
              <w:right w:val="nil"/>
            </w:tcBorders>
          </w:tcPr>
          <w:p w14:paraId="48BA86FD"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36D97A7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730" w:type="pct"/>
            <w:tcBorders>
              <w:top w:val="nil"/>
              <w:left w:val="nil"/>
              <w:bottom w:val="nil"/>
              <w:right w:val="nil"/>
            </w:tcBorders>
          </w:tcPr>
          <w:p w14:paraId="503C8551"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3CD35CF4"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13A1BF08"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827" w:type="pct"/>
            <w:tcBorders>
              <w:top w:val="nil"/>
              <w:left w:val="nil"/>
              <w:bottom w:val="nil"/>
              <w:right w:val="nil"/>
            </w:tcBorders>
          </w:tcPr>
          <w:p w14:paraId="3F2A46D6"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53EC4AAB" w14:textId="77777777" w:rsidR="00722A28" w:rsidRPr="00722A28" w:rsidRDefault="00722A28" w:rsidP="00722A28">
            <w:pPr>
              <w:rPr>
                <w:rFonts w:ascii="Times New Roman" w:eastAsia="Calibri" w:hAnsi="Times New Roman" w:cs="Times New Roman"/>
                <w:sz w:val="24"/>
                <w:szCs w:val="24"/>
              </w:rPr>
            </w:pPr>
          </w:p>
        </w:tc>
      </w:tr>
      <w:tr w:rsidR="00722A28" w:rsidRPr="00722A28" w14:paraId="4A73917D" w14:textId="77777777" w:rsidTr="00722A28">
        <w:trPr>
          <w:divId w:val="448934348"/>
        </w:trPr>
        <w:tc>
          <w:tcPr>
            <w:tcW w:w="876" w:type="pct"/>
            <w:tcBorders>
              <w:top w:val="nil"/>
              <w:left w:val="nil"/>
              <w:bottom w:val="nil"/>
            </w:tcBorders>
          </w:tcPr>
          <w:p w14:paraId="3EF8939F"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Second</w:t>
            </w:r>
          </w:p>
        </w:tc>
        <w:tc>
          <w:tcPr>
            <w:tcW w:w="681" w:type="pct"/>
            <w:tcBorders>
              <w:top w:val="nil"/>
              <w:bottom w:val="nil"/>
              <w:right w:val="nil"/>
            </w:tcBorders>
          </w:tcPr>
          <w:p w14:paraId="61440B28"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0A6CF9E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0.07</w:t>
            </w:r>
          </w:p>
        </w:tc>
        <w:tc>
          <w:tcPr>
            <w:tcW w:w="730" w:type="pct"/>
            <w:tcBorders>
              <w:top w:val="nil"/>
              <w:left w:val="nil"/>
              <w:bottom w:val="nil"/>
              <w:right w:val="nil"/>
            </w:tcBorders>
          </w:tcPr>
          <w:p w14:paraId="11BC4D9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 .14</w:t>
            </w:r>
          </w:p>
        </w:tc>
        <w:tc>
          <w:tcPr>
            <w:tcW w:w="453" w:type="pct"/>
            <w:tcBorders>
              <w:top w:val="nil"/>
              <w:left w:val="nil"/>
              <w:bottom w:val="nil"/>
              <w:right w:val="nil"/>
            </w:tcBorders>
          </w:tcPr>
          <w:p w14:paraId="7FF8790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c>
          <w:tcPr>
            <w:tcW w:w="520" w:type="pct"/>
            <w:tcBorders>
              <w:top w:val="nil"/>
              <w:left w:val="nil"/>
              <w:bottom w:val="nil"/>
              <w:right w:val="nil"/>
            </w:tcBorders>
          </w:tcPr>
          <w:p w14:paraId="7A4915E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c>
          <w:tcPr>
            <w:tcW w:w="827" w:type="pct"/>
            <w:tcBorders>
              <w:top w:val="nil"/>
              <w:left w:val="nil"/>
              <w:bottom w:val="nil"/>
              <w:right w:val="nil"/>
            </w:tcBorders>
          </w:tcPr>
          <w:p w14:paraId="60DB317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 .14</w:t>
            </w:r>
          </w:p>
        </w:tc>
        <w:tc>
          <w:tcPr>
            <w:tcW w:w="426" w:type="pct"/>
            <w:tcBorders>
              <w:top w:val="nil"/>
              <w:left w:val="nil"/>
              <w:bottom w:val="nil"/>
              <w:right w:val="nil"/>
            </w:tcBorders>
          </w:tcPr>
          <w:p w14:paraId="540477C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w:t>
            </w:r>
          </w:p>
        </w:tc>
      </w:tr>
      <w:tr w:rsidR="00722A28" w:rsidRPr="00722A28" w14:paraId="198A6CE3" w14:textId="77777777" w:rsidTr="00722A28">
        <w:trPr>
          <w:divId w:val="448934348"/>
        </w:trPr>
        <w:tc>
          <w:tcPr>
            <w:tcW w:w="876" w:type="pct"/>
            <w:tcBorders>
              <w:top w:val="nil"/>
              <w:left w:val="nil"/>
              <w:bottom w:val="nil"/>
            </w:tcBorders>
          </w:tcPr>
          <w:p w14:paraId="4EA148D8"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Third+</w:t>
            </w:r>
          </w:p>
        </w:tc>
        <w:tc>
          <w:tcPr>
            <w:tcW w:w="681" w:type="pct"/>
            <w:tcBorders>
              <w:top w:val="nil"/>
              <w:bottom w:val="nil"/>
              <w:right w:val="nil"/>
            </w:tcBorders>
          </w:tcPr>
          <w:p w14:paraId="1C74578B"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364F378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0.07</w:t>
            </w:r>
          </w:p>
        </w:tc>
        <w:tc>
          <w:tcPr>
            <w:tcW w:w="730" w:type="pct"/>
            <w:tcBorders>
              <w:top w:val="nil"/>
              <w:left w:val="nil"/>
              <w:bottom w:val="nil"/>
              <w:right w:val="nil"/>
            </w:tcBorders>
          </w:tcPr>
          <w:p w14:paraId="181118B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 .16</w:t>
            </w:r>
          </w:p>
        </w:tc>
        <w:tc>
          <w:tcPr>
            <w:tcW w:w="453" w:type="pct"/>
            <w:tcBorders>
              <w:top w:val="nil"/>
              <w:left w:val="nil"/>
              <w:bottom w:val="nil"/>
              <w:right w:val="nil"/>
            </w:tcBorders>
          </w:tcPr>
          <w:p w14:paraId="62ED2D6B"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.15</w:t>
            </w:r>
          </w:p>
        </w:tc>
        <w:tc>
          <w:tcPr>
            <w:tcW w:w="520" w:type="pct"/>
            <w:tcBorders>
              <w:top w:val="nil"/>
              <w:left w:val="nil"/>
              <w:bottom w:val="nil"/>
              <w:right w:val="nil"/>
            </w:tcBorders>
          </w:tcPr>
          <w:p w14:paraId="3FF44A0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c>
          <w:tcPr>
            <w:tcW w:w="827" w:type="pct"/>
            <w:tcBorders>
              <w:top w:val="nil"/>
              <w:left w:val="nil"/>
              <w:bottom w:val="nil"/>
              <w:right w:val="nil"/>
            </w:tcBorders>
          </w:tcPr>
          <w:p w14:paraId="19C88E1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 .17</w:t>
            </w:r>
          </w:p>
        </w:tc>
        <w:tc>
          <w:tcPr>
            <w:tcW w:w="426" w:type="pct"/>
            <w:tcBorders>
              <w:top w:val="nil"/>
              <w:left w:val="nil"/>
              <w:bottom w:val="nil"/>
              <w:right w:val="nil"/>
            </w:tcBorders>
          </w:tcPr>
          <w:p w14:paraId="3DFFCDE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.13</w:t>
            </w:r>
          </w:p>
        </w:tc>
      </w:tr>
      <w:tr w:rsidR="00722A28" w:rsidRPr="00722A28" w14:paraId="39025F0A" w14:textId="77777777" w:rsidTr="00722A28">
        <w:trPr>
          <w:divId w:val="448934348"/>
        </w:trPr>
        <w:tc>
          <w:tcPr>
            <w:tcW w:w="876" w:type="pct"/>
            <w:tcBorders>
              <w:top w:val="nil"/>
              <w:left w:val="nil"/>
              <w:bottom w:val="nil"/>
            </w:tcBorders>
          </w:tcPr>
          <w:p w14:paraId="6E7FF7C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Tenure:</w:t>
            </w:r>
          </w:p>
        </w:tc>
        <w:tc>
          <w:tcPr>
            <w:tcW w:w="681" w:type="pct"/>
            <w:tcBorders>
              <w:top w:val="nil"/>
              <w:bottom w:val="nil"/>
              <w:right w:val="nil"/>
            </w:tcBorders>
          </w:tcPr>
          <w:p w14:paraId="3E50CFA1"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3D3A1A99"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791B2184"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20E1BF2A"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0F6F6BA1"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4080A9E6"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2302AF0E" w14:textId="77777777" w:rsidR="00722A28" w:rsidRPr="00722A28" w:rsidRDefault="00722A28" w:rsidP="00722A28">
            <w:pPr>
              <w:rPr>
                <w:rFonts w:ascii="Times New Roman" w:eastAsia="Calibri" w:hAnsi="Times New Roman" w:cs="Times New Roman"/>
                <w:sz w:val="24"/>
                <w:szCs w:val="24"/>
              </w:rPr>
            </w:pPr>
          </w:p>
        </w:tc>
      </w:tr>
      <w:tr w:rsidR="00722A28" w:rsidRPr="00722A28" w14:paraId="7FDE9374" w14:textId="77777777" w:rsidTr="00722A28">
        <w:trPr>
          <w:divId w:val="448934348"/>
        </w:trPr>
        <w:tc>
          <w:tcPr>
            <w:tcW w:w="876" w:type="pct"/>
            <w:tcBorders>
              <w:top w:val="nil"/>
              <w:left w:val="nil"/>
              <w:bottom w:val="nil"/>
            </w:tcBorders>
          </w:tcPr>
          <w:p w14:paraId="2B04C9E4"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Mortgaged</w:t>
            </w:r>
          </w:p>
        </w:tc>
        <w:tc>
          <w:tcPr>
            <w:tcW w:w="681" w:type="pct"/>
            <w:tcBorders>
              <w:top w:val="nil"/>
              <w:bottom w:val="nil"/>
              <w:right w:val="nil"/>
            </w:tcBorders>
          </w:tcPr>
          <w:p w14:paraId="71C1FFB3"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3A7B67F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730" w:type="pct"/>
            <w:tcBorders>
              <w:top w:val="nil"/>
              <w:left w:val="nil"/>
              <w:bottom w:val="nil"/>
              <w:right w:val="nil"/>
            </w:tcBorders>
          </w:tcPr>
          <w:p w14:paraId="2B515FC1"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6BD338D7"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2138861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827" w:type="pct"/>
            <w:tcBorders>
              <w:top w:val="nil"/>
              <w:left w:val="nil"/>
              <w:bottom w:val="nil"/>
              <w:right w:val="nil"/>
            </w:tcBorders>
          </w:tcPr>
          <w:p w14:paraId="107E0A0A"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4E53CCA4" w14:textId="77777777" w:rsidR="00722A28" w:rsidRPr="00722A28" w:rsidRDefault="00722A28" w:rsidP="00722A28">
            <w:pPr>
              <w:rPr>
                <w:rFonts w:ascii="Times New Roman" w:eastAsia="Calibri" w:hAnsi="Times New Roman" w:cs="Times New Roman"/>
                <w:sz w:val="24"/>
                <w:szCs w:val="24"/>
              </w:rPr>
            </w:pPr>
          </w:p>
        </w:tc>
      </w:tr>
      <w:tr w:rsidR="00722A28" w:rsidRPr="00722A28" w14:paraId="4F44FDA0" w14:textId="77777777" w:rsidTr="00722A28">
        <w:trPr>
          <w:divId w:val="448934348"/>
        </w:trPr>
        <w:tc>
          <w:tcPr>
            <w:tcW w:w="876" w:type="pct"/>
            <w:tcBorders>
              <w:top w:val="nil"/>
              <w:left w:val="nil"/>
              <w:bottom w:val="nil"/>
            </w:tcBorders>
          </w:tcPr>
          <w:p w14:paraId="18CBCE37"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Private rent</w:t>
            </w:r>
          </w:p>
        </w:tc>
        <w:tc>
          <w:tcPr>
            <w:tcW w:w="681" w:type="pct"/>
            <w:tcBorders>
              <w:top w:val="nil"/>
              <w:bottom w:val="nil"/>
              <w:right w:val="nil"/>
            </w:tcBorders>
          </w:tcPr>
          <w:p w14:paraId="5DB2DE3C"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32047DD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0.07</w:t>
            </w:r>
          </w:p>
        </w:tc>
        <w:tc>
          <w:tcPr>
            <w:tcW w:w="730" w:type="pct"/>
            <w:tcBorders>
              <w:top w:val="nil"/>
              <w:left w:val="nil"/>
              <w:bottom w:val="nil"/>
              <w:right w:val="nil"/>
            </w:tcBorders>
          </w:tcPr>
          <w:p w14:paraId="715D477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 .20</w:t>
            </w:r>
          </w:p>
        </w:tc>
        <w:tc>
          <w:tcPr>
            <w:tcW w:w="453" w:type="pct"/>
            <w:tcBorders>
              <w:top w:val="nil"/>
              <w:left w:val="nil"/>
              <w:bottom w:val="nil"/>
              <w:right w:val="nil"/>
            </w:tcBorders>
          </w:tcPr>
          <w:p w14:paraId="228CC68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.31</w:t>
            </w:r>
          </w:p>
        </w:tc>
        <w:tc>
          <w:tcPr>
            <w:tcW w:w="520" w:type="pct"/>
            <w:tcBorders>
              <w:top w:val="nil"/>
              <w:left w:val="nil"/>
              <w:bottom w:val="nil"/>
              <w:right w:val="nil"/>
            </w:tcBorders>
          </w:tcPr>
          <w:p w14:paraId="0DA8F86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w:t>
            </w:r>
          </w:p>
        </w:tc>
        <w:tc>
          <w:tcPr>
            <w:tcW w:w="827" w:type="pct"/>
            <w:tcBorders>
              <w:top w:val="nil"/>
              <w:left w:val="nil"/>
              <w:bottom w:val="nil"/>
              <w:right w:val="nil"/>
            </w:tcBorders>
          </w:tcPr>
          <w:p w14:paraId="264DFBE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 .20</w:t>
            </w:r>
          </w:p>
        </w:tc>
        <w:tc>
          <w:tcPr>
            <w:tcW w:w="426" w:type="pct"/>
            <w:tcBorders>
              <w:top w:val="nil"/>
              <w:left w:val="nil"/>
              <w:bottom w:val="nil"/>
              <w:right w:val="nil"/>
            </w:tcBorders>
          </w:tcPr>
          <w:p w14:paraId="18C4C1A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.28</w:t>
            </w:r>
          </w:p>
        </w:tc>
      </w:tr>
      <w:tr w:rsidR="00722A28" w:rsidRPr="00722A28" w14:paraId="10D1A1A1" w14:textId="77777777" w:rsidTr="00722A28">
        <w:trPr>
          <w:divId w:val="448934348"/>
        </w:trPr>
        <w:tc>
          <w:tcPr>
            <w:tcW w:w="876" w:type="pct"/>
            <w:tcBorders>
              <w:top w:val="nil"/>
              <w:left w:val="nil"/>
              <w:bottom w:val="nil"/>
            </w:tcBorders>
          </w:tcPr>
          <w:p w14:paraId="24C2CF8C"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Sub rent</w:t>
            </w:r>
          </w:p>
        </w:tc>
        <w:tc>
          <w:tcPr>
            <w:tcW w:w="681" w:type="pct"/>
            <w:tcBorders>
              <w:top w:val="nil"/>
              <w:bottom w:val="nil"/>
              <w:right w:val="nil"/>
            </w:tcBorders>
          </w:tcPr>
          <w:p w14:paraId="60A10154"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1BBCDAB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-0.14</w:t>
            </w:r>
          </w:p>
        </w:tc>
        <w:tc>
          <w:tcPr>
            <w:tcW w:w="730" w:type="pct"/>
            <w:tcBorders>
              <w:top w:val="nil"/>
              <w:left w:val="nil"/>
              <w:bottom w:val="nil"/>
              <w:right w:val="nil"/>
            </w:tcBorders>
          </w:tcPr>
          <w:p w14:paraId="371E96B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-.29, .00</w:t>
            </w:r>
          </w:p>
        </w:tc>
        <w:tc>
          <w:tcPr>
            <w:tcW w:w="453" w:type="pct"/>
            <w:tcBorders>
              <w:top w:val="nil"/>
              <w:left w:val="nil"/>
              <w:bottom w:val="nil"/>
              <w:right w:val="nil"/>
            </w:tcBorders>
          </w:tcPr>
          <w:p w14:paraId="2B8898DD"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.05</w:t>
            </w:r>
          </w:p>
        </w:tc>
        <w:tc>
          <w:tcPr>
            <w:tcW w:w="520" w:type="pct"/>
            <w:tcBorders>
              <w:top w:val="nil"/>
              <w:left w:val="nil"/>
              <w:bottom w:val="nil"/>
              <w:right w:val="nil"/>
            </w:tcBorders>
          </w:tcPr>
          <w:p w14:paraId="325D1A7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-.15</w:t>
            </w:r>
          </w:p>
        </w:tc>
        <w:tc>
          <w:tcPr>
            <w:tcW w:w="827" w:type="pct"/>
            <w:tcBorders>
              <w:top w:val="nil"/>
              <w:left w:val="nil"/>
              <w:bottom w:val="nil"/>
              <w:right w:val="nil"/>
            </w:tcBorders>
          </w:tcPr>
          <w:p w14:paraId="38CD52A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-.30, -.01</w:t>
            </w:r>
          </w:p>
        </w:tc>
        <w:tc>
          <w:tcPr>
            <w:tcW w:w="426" w:type="pct"/>
            <w:tcBorders>
              <w:top w:val="nil"/>
              <w:left w:val="nil"/>
              <w:bottom w:val="nil"/>
              <w:right w:val="nil"/>
            </w:tcBorders>
          </w:tcPr>
          <w:p w14:paraId="37E96B9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.04</w:t>
            </w:r>
          </w:p>
        </w:tc>
      </w:tr>
      <w:tr w:rsidR="00722A28" w:rsidRPr="00722A28" w14:paraId="6BFD98FB" w14:textId="77777777" w:rsidTr="00722A28">
        <w:trPr>
          <w:divId w:val="448934348"/>
        </w:trPr>
        <w:tc>
          <w:tcPr>
            <w:tcW w:w="876" w:type="pct"/>
            <w:tcBorders>
              <w:top w:val="nil"/>
              <w:left w:val="nil"/>
              <w:bottom w:val="nil"/>
            </w:tcBorders>
          </w:tcPr>
          <w:p w14:paraId="5532572F" w14:textId="77777777" w:rsidR="00722A28" w:rsidRPr="00722A28" w:rsidRDefault="00722A28" w:rsidP="00722A28">
            <w:pPr>
              <w:rPr>
                <w:rFonts w:ascii="Times New Roman" w:eastAsia="Calibri" w:hAnsi="Times New Roman" w:cs="Times New Roman"/>
                <w:sz w:val="24"/>
                <w:szCs w:val="24"/>
              </w:rPr>
            </w:pPr>
          </w:p>
        </w:tc>
        <w:tc>
          <w:tcPr>
            <w:tcW w:w="681" w:type="pct"/>
            <w:tcBorders>
              <w:top w:val="nil"/>
              <w:bottom w:val="nil"/>
              <w:right w:val="nil"/>
            </w:tcBorders>
          </w:tcPr>
          <w:p w14:paraId="07477AAC"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5C39CEBB"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30BCC941"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55819CFA"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686FFEE8"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2B92ED30"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3EA21B49" w14:textId="77777777" w:rsidR="00722A28" w:rsidRPr="00722A28" w:rsidRDefault="00722A28" w:rsidP="00722A28">
            <w:pPr>
              <w:rPr>
                <w:rFonts w:ascii="Times New Roman" w:eastAsia="Calibri" w:hAnsi="Times New Roman" w:cs="Times New Roman"/>
                <w:sz w:val="24"/>
                <w:szCs w:val="24"/>
              </w:rPr>
            </w:pPr>
          </w:p>
        </w:tc>
      </w:tr>
      <w:tr w:rsidR="00722A28" w:rsidRPr="00722A28" w14:paraId="26CE454D" w14:textId="77777777" w:rsidTr="00722A28">
        <w:trPr>
          <w:divId w:val="448934348"/>
        </w:trPr>
        <w:tc>
          <w:tcPr>
            <w:tcW w:w="876" w:type="pct"/>
            <w:tcBorders>
              <w:top w:val="nil"/>
              <w:left w:val="nil"/>
              <w:bottom w:val="nil"/>
            </w:tcBorders>
          </w:tcPr>
          <w:p w14:paraId="7AE2D0BD" w14:textId="77777777" w:rsidR="00722A28" w:rsidRPr="00722A28" w:rsidRDefault="00722A28" w:rsidP="00722A28">
            <w:pPr>
              <w:jc w:val="right"/>
              <w:rPr>
                <w:rFonts w:ascii="Times New Roman" w:eastAsia="Calibri" w:hAnsi="Times New Roman" w:cs="Times New Roman"/>
                <w:sz w:val="24"/>
                <w:szCs w:val="24"/>
              </w:rPr>
            </w:pPr>
          </w:p>
        </w:tc>
        <w:tc>
          <w:tcPr>
            <w:tcW w:w="681" w:type="pct"/>
            <w:tcBorders>
              <w:top w:val="nil"/>
              <w:bottom w:val="nil"/>
              <w:right w:val="nil"/>
            </w:tcBorders>
          </w:tcPr>
          <w:p w14:paraId="6A6ED0BA"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384A6954"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19B79BBA"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33DDEABD"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63832907"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39C9DF9D"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10945D5C" w14:textId="77777777" w:rsidR="00722A28" w:rsidRPr="00722A28" w:rsidRDefault="00722A28" w:rsidP="00722A28">
            <w:pPr>
              <w:rPr>
                <w:rFonts w:ascii="Times New Roman" w:eastAsia="Calibri" w:hAnsi="Times New Roman" w:cs="Times New Roman"/>
                <w:sz w:val="24"/>
                <w:szCs w:val="24"/>
              </w:rPr>
            </w:pPr>
          </w:p>
        </w:tc>
      </w:tr>
      <w:tr w:rsidR="00722A28" w:rsidRPr="00722A28" w14:paraId="0D210C12" w14:textId="77777777" w:rsidTr="00722A28">
        <w:trPr>
          <w:divId w:val="448934348"/>
        </w:trPr>
        <w:tc>
          <w:tcPr>
            <w:tcW w:w="876" w:type="pct"/>
            <w:tcBorders>
              <w:top w:val="nil"/>
              <w:left w:val="nil"/>
              <w:bottom w:val="nil"/>
            </w:tcBorders>
          </w:tcPr>
          <w:p w14:paraId="52455B43" w14:textId="77777777" w:rsidR="00722A28" w:rsidRPr="00722A28" w:rsidRDefault="00722A28" w:rsidP="00722A28">
            <w:pPr>
              <w:rPr>
                <w:rFonts w:ascii="Times New Roman" w:eastAsia="Calibri" w:hAnsi="Times New Roman" w:cs="Times New Roman"/>
                <w:b/>
                <w:sz w:val="24"/>
                <w:szCs w:val="24"/>
              </w:rPr>
            </w:pPr>
            <w:r w:rsidRPr="00722A28">
              <w:rPr>
                <w:rFonts w:ascii="Times New Roman" w:eastAsia="Calibri" w:hAnsi="Times New Roman" w:cs="Times New Roman"/>
                <w:b/>
                <w:sz w:val="24"/>
                <w:szCs w:val="24"/>
              </w:rPr>
              <w:t>Maternal smoking:</w:t>
            </w:r>
          </w:p>
        </w:tc>
        <w:tc>
          <w:tcPr>
            <w:tcW w:w="681" w:type="pct"/>
            <w:tcBorders>
              <w:top w:val="nil"/>
              <w:bottom w:val="nil"/>
              <w:right w:val="nil"/>
            </w:tcBorders>
          </w:tcPr>
          <w:p w14:paraId="49CAED56"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08FFC779"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57942E85"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6AC97BAE"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4E9ABA78"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20F07BF7"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44D07B90" w14:textId="77777777" w:rsidR="00722A28" w:rsidRPr="00722A28" w:rsidRDefault="00722A28" w:rsidP="00722A28">
            <w:pPr>
              <w:rPr>
                <w:rFonts w:ascii="Times New Roman" w:eastAsia="Calibri" w:hAnsi="Times New Roman" w:cs="Times New Roman"/>
                <w:sz w:val="24"/>
                <w:szCs w:val="24"/>
              </w:rPr>
            </w:pPr>
          </w:p>
        </w:tc>
      </w:tr>
      <w:tr w:rsidR="00722A28" w:rsidRPr="00722A28" w14:paraId="1DC39C54" w14:textId="77777777" w:rsidTr="00722A28">
        <w:trPr>
          <w:divId w:val="448934348"/>
        </w:trPr>
        <w:tc>
          <w:tcPr>
            <w:tcW w:w="876" w:type="pct"/>
            <w:tcBorders>
              <w:top w:val="nil"/>
              <w:left w:val="nil"/>
              <w:bottom w:val="nil"/>
            </w:tcBorders>
          </w:tcPr>
          <w:p w14:paraId="47D8D053"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Yes</w:t>
            </w:r>
          </w:p>
        </w:tc>
        <w:tc>
          <w:tcPr>
            <w:tcW w:w="681" w:type="pct"/>
            <w:tcBorders>
              <w:top w:val="nil"/>
              <w:bottom w:val="nil"/>
              <w:right w:val="nil"/>
            </w:tcBorders>
          </w:tcPr>
          <w:p w14:paraId="63BCEC6C"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61C6D72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-0.07 </w:t>
            </w:r>
          </w:p>
        </w:tc>
        <w:tc>
          <w:tcPr>
            <w:tcW w:w="730" w:type="pct"/>
            <w:tcBorders>
              <w:top w:val="nil"/>
              <w:left w:val="nil"/>
              <w:bottom w:val="nil"/>
              <w:right w:val="nil"/>
            </w:tcBorders>
          </w:tcPr>
          <w:p w14:paraId="2437FC6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-.17, .04</w:t>
            </w:r>
          </w:p>
        </w:tc>
        <w:tc>
          <w:tcPr>
            <w:tcW w:w="453" w:type="pct"/>
            <w:tcBorders>
              <w:top w:val="nil"/>
              <w:left w:val="nil"/>
              <w:bottom w:val="nil"/>
              <w:right w:val="nil"/>
            </w:tcBorders>
          </w:tcPr>
          <w:p w14:paraId="12DAFF7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.21</w:t>
            </w:r>
          </w:p>
        </w:tc>
        <w:tc>
          <w:tcPr>
            <w:tcW w:w="520" w:type="pct"/>
            <w:tcBorders>
              <w:top w:val="nil"/>
              <w:left w:val="nil"/>
              <w:bottom w:val="nil"/>
              <w:right w:val="nil"/>
            </w:tcBorders>
          </w:tcPr>
          <w:p w14:paraId="76866DD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-.06</w:t>
            </w:r>
          </w:p>
        </w:tc>
        <w:tc>
          <w:tcPr>
            <w:tcW w:w="827" w:type="pct"/>
            <w:tcBorders>
              <w:top w:val="nil"/>
              <w:left w:val="nil"/>
              <w:bottom w:val="nil"/>
              <w:right w:val="nil"/>
            </w:tcBorders>
          </w:tcPr>
          <w:p w14:paraId="1E30982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-.17, .04</w:t>
            </w:r>
          </w:p>
        </w:tc>
        <w:tc>
          <w:tcPr>
            <w:tcW w:w="426" w:type="pct"/>
            <w:tcBorders>
              <w:top w:val="nil"/>
              <w:left w:val="nil"/>
              <w:bottom w:val="nil"/>
              <w:right w:val="nil"/>
            </w:tcBorders>
          </w:tcPr>
          <w:p w14:paraId="4949580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.24</w:t>
            </w:r>
          </w:p>
        </w:tc>
      </w:tr>
      <w:tr w:rsidR="00722A28" w:rsidRPr="00722A28" w14:paraId="298AE3B2" w14:textId="77777777" w:rsidTr="00722A28">
        <w:trPr>
          <w:divId w:val="448934348"/>
        </w:trPr>
        <w:tc>
          <w:tcPr>
            <w:tcW w:w="876" w:type="pct"/>
            <w:tcBorders>
              <w:top w:val="nil"/>
              <w:left w:val="nil"/>
              <w:bottom w:val="nil"/>
            </w:tcBorders>
          </w:tcPr>
          <w:p w14:paraId="7450FF6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b/>
                <w:sz w:val="24"/>
                <w:szCs w:val="24"/>
              </w:rPr>
              <w:t>WM at age 11:</w:t>
            </w:r>
          </w:p>
        </w:tc>
        <w:tc>
          <w:tcPr>
            <w:tcW w:w="681" w:type="pct"/>
            <w:tcBorders>
              <w:top w:val="nil"/>
              <w:bottom w:val="nil"/>
              <w:right w:val="nil"/>
            </w:tcBorders>
          </w:tcPr>
          <w:p w14:paraId="626412A6"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342C5587"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23D9F31D"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7B50558E"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53EF275D"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18C60184"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7F34D98D" w14:textId="77777777" w:rsidR="00722A28" w:rsidRPr="00722A28" w:rsidRDefault="00722A28" w:rsidP="00722A28">
            <w:pPr>
              <w:rPr>
                <w:rFonts w:ascii="Times New Roman" w:eastAsia="Calibri" w:hAnsi="Times New Roman" w:cs="Times New Roman"/>
                <w:sz w:val="24"/>
                <w:szCs w:val="24"/>
              </w:rPr>
            </w:pPr>
          </w:p>
        </w:tc>
      </w:tr>
      <w:tr w:rsidR="00722A28" w:rsidRPr="00722A28" w14:paraId="3A6F96FF" w14:textId="77777777" w:rsidTr="00722A28">
        <w:trPr>
          <w:divId w:val="448934348"/>
        </w:trPr>
        <w:tc>
          <w:tcPr>
            <w:tcW w:w="876" w:type="pct"/>
            <w:tcBorders>
              <w:top w:val="nil"/>
              <w:left w:val="nil"/>
              <w:bottom w:val="nil"/>
            </w:tcBorders>
          </w:tcPr>
          <w:p w14:paraId="504DE5AD"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sz w:val="24"/>
                <w:szCs w:val="24"/>
              </w:rPr>
              <w:t>Linear term</w:t>
            </w:r>
          </w:p>
        </w:tc>
        <w:tc>
          <w:tcPr>
            <w:tcW w:w="681" w:type="pct"/>
            <w:tcBorders>
              <w:top w:val="nil"/>
              <w:bottom w:val="nil"/>
              <w:right w:val="nil"/>
            </w:tcBorders>
          </w:tcPr>
          <w:p w14:paraId="5770F8A9"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24004AE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0.13</w:t>
            </w:r>
          </w:p>
        </w:tc>
        <w:tc>
          <w:tcPr>
            <w:tcW w:w="730" w:type="pct"/>
            <w:tcBorders>
              <w:top w:val="nil"/>
              <w:left w:val="nil"/>
              <w:bottom w:val="nil"/>
              <w:right w:val="nil"/>
            </w:tcBorders>
          </w:tcPr>
          <w:p w14:paraId="3A4756A4"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 .16</w:t>
            </w:r>
          </w:p>
        </w:tc>
        <w:tc>
          <w:tcPr>
            <w:tcW w:w="453" w:type="pct"/>
            <w:tcBorders>
              <w:top w:val="nil"/>
              <w:left w:val="nil"/>
              <w:bottom w:val="nil"/>
              <w:right w:val="nil"/>
            </w:tcBorders>
          </w:tcPr>
          <w:p w14:paraId="5DD3A4A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c>
          <w:tcPr>
            <w:tcW w:w="520" w:type="pct"/>
            <w:tcBorders>
              <w:top w:val="nil"/>
              <w:left w:val="nil"/>
              <w:bottom w:val="nil"/>
              <w:right w:val="nil"/>
            </w:tcBorders>
          </w:tcPr>
          <w:p w14:paraId="1B61452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.13</w:t>
            </w:r>
          </w:p>
        </w:tc>
        <w:tc>
          <w:tcPr>
            <w:tcW w:w="827" w:type="pct"/>
            <w:tcBorders>
              <w:top w:val="nil"/>
              <w:left w:val="nil"/>
              <w:bottom w:val="nil"/>
              <w:right w:val="nil"/>
            </w:tcBorders>
          </w:tcPr>
          <w:p w14:paraId="7DA7E8B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 .16</w:t>
            </w:r>
          </w:p>
        </w:tc>
        <w:tc>
          <w:tcPr>
            <w:tcW w:w="426" w:type="pct"/>
            <w:tcBorders>
              <w:top w:val="nil"/>
              <w:left w:val="nil"/>
              <w:bottom w:val="nil"/>
              <w:right w:val="nil"/>
            </w:tcBorders>
          </w:tcPr>
          <w:p w14:paraId="2D97FA7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r>
      <w:tr w:rsidR="00722A28" w:rsidRPr="00722A28" w14:paraId="48BACD48" w14:textId="77777777" w:rsidTr="00722A28">
        <w:trPr>
          <w:divId w:val="448934348"/>
        </w:trPr>
        <w:tc>
          <w:tcPr>
            <w:tcW w:w="876" w:type="pct"/>
            <w:tcBorders>
              <w:top w:val="nil"/>
              <w:left w:val="nil"/>
              <w:bottom w:val="nil"/>
            </w:tcBorders>
          </w:tcPr>
          <w:p w14:paraId="66007539"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b/>
                <w:sz w:val="24"/>
                <w:szCs w:val="24"/>
              </w:rPr>
              <w:t>Head injury:</w:t>
            </w:r>
          </w:p>
        </w:tc>
        <w:tc>
          <w:tcPr>
            <w:tcW w:w="681" w:type="pct"/>
            <w:tcBorders>
              <w:top w:val="nil"/>
              <w:bottom w:val="nil"/>
              <w:right w:val="nil"/>
            </w:tcBorders>
          </w:tcPr>
          <w:p w14:paraId="3A9DFB93"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59C91782"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1297BFA7"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62A032F2"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36CF607B"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4CB51E1B"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5B50E054" w14:textId="77777777" w:rsidR="00722A28" w:rsidRPr="00722A28" w:rsidRDefault="00722A28" w:rsidP="00722A28">
            <w:pPr>
              <w:rPr>
                <w:rFonts w:ascii="Times New Roman" w:eastAsia="Calibri" w:hAnsi="Times New Roman" w:cs="Times New Roman"/>
                <w:sz w:val="24"/>
                <w:szCs w:val="24"/>
              </w:rPr>
            </w:pPr>
          </w:p>
        </w:tc>
      </w:tr>
      <w:tr w:rsidR="00722A28" w:rsidRPr="00722A28" w14:paraId="22679C87" w14:textId="77777777" w:rsidTr="00722A28">
        <w:trPr>
          <w:divId w:val="448934348"/>
        </w:trPr>
        <w:tc>
          <w:tcPr>
            <w:tcW w:w="876" w:type="pct"/>
            <w:tcBorders>
              <w:top w:val="nil"/>
              <w:left w:val="nil"/>
              <w:bottom w:val="nil"/>
            </w:tcBorders>
          </w:tcPr>
          <w:p w14:paraId="41622A08" w14:textId="77777777" w:rsidR="00722A28" w:rsidRPr="00722A28" w:rsidRDefault="00722A28" w:rsidP="00722A28">
            <w:pPr>
              <w:jc w:val="right"/>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Yes </w:t>
            </w:r>
          </w:p>
        </w:tc>
        <w:tc>
          <w:tcPr>
            <w:tcW w:w="681" w:type="pct"/>
            <w:tcBorders>
              <w:top w:val="nil"/>
              <w:bottom w:val="nil"/>
              <w:right w:val="nil"/>
            </w:tcBorders>
          </w:tcPr>
          <w:p w14:paraId="6DF35DCE"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2C628D1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0.08</w:t>
            </w:r>
          </w:p>
        </w:tc>
        <w:tc>
          <w:tcPr>
            <w:tcW w:w="730" w:type="pct"/>
            <w:tcBorders>
              <w:top w:val="nil"/>
              <w:left w:val="nil"/>
              <w:bottom w:val="nil"/>
              <w:right w:val="nil"/>
            </w:tcBorders>
          </w:tcPr>
          <w:p w14:paraId="5BCA87E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 .22</w:t>
            </w:r>
          </w:p>
        </w:tc>
        <w:tc>
          <w:tcPr>
            <w:tcW w:w="453" w:type="pct"/>
            <w:tcBorders>
              <w:top w:val="nil"/>
              <w:left w:val="nil"/>
              <w:bottom w:val="nil"/>
              <w:right w:val="nil"/>
            </w:tcBorders>
          </w:tcPr>
          <w:p w14:paraId="03CDD5F6"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.31</w:t>
            </w:r>
          </w:p>
        </w:tc>
        <w:tc>
          <w:tcPr>
            <w:tcW w:w="520" w:type="pct"/>
            <w:tcBorders>
              <w:top w:val="nil"/>
              <w:left w:val="nil"/>
              <w:bottom w:val="nil"/>
              <w:right w:val="nil"/>
            </w:tcBorders>
          </w:tcPr>
          <w:p w14:paraId="0A95F4B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0.07</w:t>
            </w:r>
          </w:p>
        </w:tc>
        <w:tc>
          <w:tcPr>
            <w:tcW w:w="827" w:type="pct"/>
            <w:tcBorders>
              <w:top w:val="nil"/>
              <w:left w:val="nil"/>
              <w:bottom w:val="nil"/>
              <w:right w:val="nil"/>
            </w:tcBorders>
          </w:tcPr>
          <w:p w14:paraId="35D8F83A"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-.07, .22</w:t>
            </w:r>
          </w:p>
        </w:tc>
        <w:tc>
          <w:tcPr>
            <w:tcW w:w="426" w:type="pct"/>
            <w:tcBorders>
              <w:top w:val="nil"/>
              <w:left w:val="nil"/>
              <w:bottom w:val="nil"/>
              <w:right w:val="nil"/>
            </w:tcBorders>
          </w:tcPr>
          <w:p w14:paraId="5FB79F50"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.32</w:t>
            </w:r>
          </w:p>
        </w:tc>
      </w:tr>
      <w:tr w:rsidR="00722A28" w:rsidRPr="00722A28" w14:paraId="5E4F971B" w14:textId="77777777" w:rsidTr="00722A28">
        <w:trPr>
          <w:divId w:val="448934348"/>
        </w:trPr>
        <w:tc>
          <w:tcPr>
            <w:tcW w:w="876" w:type="pct"/>
            <w:tcBorders>
              <w:top w:val="nil"/>
              <w:left w:val="nil"/>
              <w:bottom w:val="nil"/>
            </w:tcBorders>
          </w:tcPr>
          <w:p w14:paraId="7BECA00F"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b/>
                <w:sz w:val="24"/>
                <w:szCs w:val="24"/>
              </w:rPr>
              <w:t>Cigarette smoking:</w:t>
            </w:r>
          </w:p>
        </w:tc>
        <w:tc>
          <w:tcPr>
            <w:tcW w:w="681" w:type="pct"/>
            <w:tcBorders>
              <w:top w:val="nil"/>
              <w:bottom w:val="nil"/>
              <w:right w:val="nil"/>
            </w:tcBorders>
          </w:tcPr>
          <w:p w14:paraId="3FC5686B"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1343AC36"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26325734"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74483995"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11D60537"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5A92BAAA"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4A0FE1A0" w14:textId="77777777" w:rsidR="00722A28" w:rsidRPr="00722A28" w:rsidRDefault="00722A28" w:rsidP="00722A28">
            <w:pPr>
              <w:rPr>
                <w:rFonts w:ascii="Times New Roman" w:eastAsia="Calibri" w:hAnsi="Times New Roman" w:cs="Times New Roman"/>
                <w:sz w:val="24"/>
                <w:szCs w:val="24"/>
              </w:rPr>
            </w:pPr>
          </w:p>
        </w:tc>
      </w:tr>
      <w:tr w:rsidR="00722A28" w:rsidRPr="00722A28" w14:paraId="7FBF8150" w14:textId="77777777" w:rsidTr="00722A28">
        <w:trPr>
          <w:divId w:val="448934348"/>
        </w:trPr>
        <w:tc>
          <w:tcPr>
            <w:tcW w:w="876" w:type="pct"/>
            <w:tcBorders>
              <w:top w:val="nil"/>
              <w:left w:val="nil"/>
              <w:bottom w:val="nil"/>
            </w:tcBorders>
          </w:tcPr>
          <w:p w14:paraId="2E64DACD" w14:textId="77777777" w:rsidR="00722A28" w:rsidRPr="00722A28" w:rsidRDefault="00722A28" w:rsidP="00722A28">
            <w:pPr>
              <w:jc w:val="right"/>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Yes </w:t>
            </w:r>
          </w:p>
        </w:tc>
        <w:tc>
          <w:tcPr>
            <w:tcW w:w="681" w:type="pct"/>
            <w:tcBorders>
              <w:top w:val="nil"/>
              <w:bottom w:val="nil"/>
              <w:right w:val="nil"/>
            </w:tcBorders>
          </w:tcPr>
          <w:p w14:paraId="6E2AA4D7"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nil"/>
              <w:right w:val="nil"/>
            </w:tcBorders>
          </w:tcPr>
          <w:p w14:paraId="7502B90C"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-0.37</w:t>
            </w:r>
          </w:p>
        </w:tc>
        <w:tc>
          <w:tcPr>
            <w:tcW w:w="730" w:type="pct"/>
            <w:tcBorders>
              <w:top w:val="nil"/>
              <w:left w:val="nil"/>
              <w:bottom w:val="nil"/>
              <w:right w:val="nil"/>
            </w:tcBorders>
          </w:tcPr>
          <w:p w14:paraId="048205C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-.49, -.25</w:t>
            </w:r>
          </w:p>
        </w:tc>
        <w:tc>
          <w:tcPr>
            <w:tcW w:w="453" w:type="pct"/>
            <w:tcBorders>
              <w:top w:val="nil"/>
              <w:left w:val="nil"/>
              <w:bottom w:val="nil"/>
              <w:right w:val="nil"/>
            </w:tcBorders>
          </w:tcPr>
          <w:p w14:paraId="0B23BBD2"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c>
          <w:tcPr>
            <w:tcW w:w="520" w:type="pct"/>
            <w:tcBorders>
              <w:top w:val="nil"/>
              <w:left w:val="nil"/>
              <w:bottom w:val="nil"/>
              <w:right w:val="nil"/>
            </w:tcBorders>
          </w:tcPr>
          <w:p w14:paraId="74E920A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-0.34</w:t>
            </w:r>
          </w:p>
        </w:tc>
        <w:tc>
          <w:tcPr>
            <w:tcW w:w="827" w:type="pct"/>
            <w:tcBorders>
              <w:top w:val="nil"/>
              <w:left w:val="nil"/>
              <w:bottom w:val="nil"/>
              <w:right w:val="nil"/>
            </w:tcBorders>
          </w:tcPr>
          <w:p w14:paraId="2E97B8A9"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-.47, -.22</w:t>
            </w:r>
          </w:p>
        </w:tc>
        <w:tc>
          <w:tcPr>
            <w:tcW w:w="426" w:type="pct"/>
            <w:tcBorders>
              <w:top w:val="nil"/>
              <w:left w:val="nil"/>
              <w:bottom w:val="nil"/>
              <w:right w:val="nil"/>
            </w:tcBorders>
          </w:tcPr>
          <w:p w14:paraId="0D93F235"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&lt;.001</w:t>
            </w:r>
          </w:p>
        </w:tc>
      </w:tr>
      <w:tr w:rsidR="00722A28" w:rsidRPr="00722A28" w14:paraId="502661D5" w14:textId="77777777" w:rsidTr="00722A28">
        <w:trPr>
          <w:divId w:val="448934348"/>
        </w:trPr>
        <w:tc>
          <w:tcPr>
            <w:tcW w:w="876" w:type="pct"/>
            <w:tcBorders>
              <w:top w:val="nil"/>
              <w:left w:val="nil"/>
              <w:bottom w:val="nil"/>
            </w:tcBorders>
          </w:tcPr>
          <w:p w14:paraId="70D0E4C1" w14:textId="77777777" w:rsidR="00722A28" w:rsidRPr="00722A28" w:rsidRDefault="00722A28" w:rsidP="00722A28">
            <w:pPr>
              <w:jc w:val="right"/>
              <w:rPr>
                <w:rFonts w:ascii="Times New Roman" w:eastAsia="Calibri" w:hAnsi="Times New Roman" w:cs="Times New Roman"/>
                <w:sz w:val="24"/>
                <w:szCs w:val="24"/>
              </w:rPr>
            </w:pPr>
            <w:r w:rsidRPr="00722A28">
              <w:rPr>
                <w:rFonts w:ascii="Times New Roman" w:eastAsia="Calibri" w:hAnsi="Times New Roman" w:cs="Times New Roman"/>
                <w:b/>
                <w:sz w:val="24"/>
                <w:szCs w:val="24"/>
              </w:rPr>
              <w:t>Cannabis use:</w:t>
            </w:r>
          </w:p>
        </w:tc>
        <w:tc>
          <w:tcPr>
            <w:tcW w:w="681" w:type="pct"/>
            <w:tcBorders>
              <w:top w:val="nil"/>
              <w:bottom w:val="nil"/>
              <w:right w:val="nil"/>
            </w:tcBorders>
          </w:tcPr>
          <w:p w14:paraId="18E4A259" w14:textId="77777777" w:rsidR="00722A28" w:rsidRPr="00722A28" w:rsidRDefault="00722A28" w:rsidP="00722A28">
            <w:pPr>
              <w:jc w:val="center"/>
              <w:rPr>
                <w:rFonts w:ascii="Times New Roman" w:eastAsia="Calibri" w:hAnsi="Times New Roman" w:cs="Times New Roman"/>
                <w:sz w:val="24"/>
                <w:szCs w:val="24"/>
              </w:rPr>
            </w:pPr>
          </w:p>
        </w:tc>
        <w:tc>
          <w:tcPr>
            <w:tcW w:w="487" w:type="pct"/>
            <w:tcBorders>
              <w:top w:val="nil"/>
              <w:left w:val="nil"/>
              <w:bottom w:val="nil"/>
              <w:right w:val="nil"/>
            </w:tcBorders>
          </w:tcPr>
          <w:p w14:paraId="1634E8E8" w14:textId="77777777" w:rsidR="00722A28" w:rsidRPr="00722A28" w:rsidRDefault="00722A28" w:rsidP="00722A28">
            <w:pPr>
              <w:rPr>
                <w:rFonts w:ascii="Times New Roman" w:eastAsia="Calibri" w:hAnsi="Times New Roman" w:cs="Times New Roman"/>
                <w:sz w:val="24"/>
                <w:szCs w:val="24"/>
              </w:rPr>
            </w:pPr>
          </w:p>
        </w:tc>
        <w:tc>
          <w:tcPr>
            <w:tcW w:w="730" w:type="pct"/>
            <w:tcBorders>
              <w:top w:val="nil"/>
              <w:left w:val="nil"/>
              <w:bottom w:val="nil"/>
              <w:right w:val="nil"/>
            </w:tcBorders>
          </w:tcPr>
          <w:p w14:paraId="06D7C515" w14:textId="77777777" w:rsidR="00722A28" w:rsidRPr="00722A28" w:rsidRDefault="00722A28" w:rsidP="00722A28">
            <w:pPr>
              <w:rPr>
                <w:rFonts w:ascii="Times New Roman" w:eastAsia="Calibri" w:hAnsi="Times New Roman" w:cs="Times New Roman"/>
                <w:sz w:val="24"/>
                <w:szCs w:val="24"/>
              </w:rPr>
            </w:pPr>
          </w:p>
        </w:tc>
        <w:tc>
          <w:tcPr>
            <w:tcW w:w="453" w:type="pct"/>
            <w:tcBorders>
              <w:top w:val="nil"/>
              <w:left w:val="nil"/>
              <w:bottom w:val="nil"/>
              <w:right w:val="nil"/>
            </w:tcBorders>
          </w:tcPr>
          <w:p w14:paraId="1EB05DF8" w14:textId="77777777" w:rsidR="00722A28" w:rsidRPr="00722A28" w:rsidRDefault="00722A28" w:rsidP="00722A28">
            <w:pPr>
              <w:rPr>
                <w:rFonts w:ascii="Times New Roman" w:eastAsia="Calibri" w:hAnsi="Times New Roman" w:cs="Times New Roman"/>
                <w:sz w:val="24"/>
                <w:szCs w:val="24"/>
              </w:rPr>
            </w:pPr>
          </w:p>
        </w:tc>
        <w:tc>
          <w:tcPr>
            <w:tcW w:w="520" w:type="pct"/>
            <w:tcBorders>
              <w:top w:val="nil"/>
              <w:left w:val="nil"/>
              <w:bottom w:val="nil"/>
              <w:right w:val="nil"/>
            </w:tcBorders>
          </w:tcPr>
          <w:p w14:paraId="6F11B46E" w14:textId="77777777" w:rsidR="00722A28" w:rsidRPr="00722A28" w:rsidRDefault="00722A28" w:rsidP="00722A28">
            <w:pPr>
              <w:rPr>
                <w:rFonts w:ascii="Times New Roman" w:eastAsia="Calibri" w:hAnsi="Times New Roman" w:cs="Times New Roman"/>
                <w:sz w:val="24"/>
                <w:szCs w:val="24"/>
              </w:rPr>
            </w:pPr>
          </w:p>
        </w:tc>
        <w:tc>
          <w:tcPr>
            <w:tcW w:w="827" w:type="pct"/>
            <w:tcBorders>
              <w:top w:val="nil"/>
              <w:left w:val="nil"/>
              <w:bottom w:val="nil"/>
              <w:right w:val="nil"/>
            </w:tcBorders>
          </w:tcPr>
          <w:p w14:paraId="1543C8CA" w14:textId="77777777" w:rsidR="00722A28" w:rsidRPr="00722A28" w:rsidRDefault="00722A28" w:rsidP="00722A28">
            <w:pPr>
              <w:rPr>
                <w:rFonts w:ascii="Times New Roman" w:eastAsia="Calibri" w:hAnsi="Times New Roman" w:cs="Times New Roman"/>
                <w:sz w:val="24"/>
                <w:szCs w:val="24"/>
              </w:rPr>
            </w:pPr>
          </w:p>
        </w:tc>
        <w:tc>
          <w:tcPr>
            <w:tcW w:w="426" w:type="pct"/>
            <w:tcBorders>
              <w:top w:val="nil"/>
              <w:left w:val="nil"/>
              <w:bottom w:val="nil"/>
              <w:right w:val="nil"/>
            </w:tcBorders>
          </w:tcPr>
          <w:p w14:paraId="647AA55A" w14:textId="77777777" w:rsidR="00722A28" w:rsidRPr="00722A28" w:rsidRDefault="00722A28" w:rsidP="00722A28">
            <w:pPr>
              <w:rPr>
                <w:rFonts w:ascii="Times New Roman" w:eastAsia="Calibri" w:hAnsi="Times New Roman" w:cs="Times New Roman"/>
                <w:sz w:val="24"/>
                <w:szCs w:val="24"/>
              </w:rPr>
            </w:pPr>
          </w:p>
        </w:tc>
      </w:tr>
      <w:tr w:rsidR="00722A28" w:rsidRPr="00722A28" w14:paraId="7048F570" w14:textId="77777777" w:rsidTr="00722A28">
        <w:trPr>
          <w:divId w:val="448934348"/>
        </w:trPr>
        <w:tc>
          <w:tcPr>
            <w:tcW w:w="876" w:type="pct"/>
            <w:tcBorders>
              <w:top w:val="nil"/>
              <w:left w:val="nil"/>
              <w:bottom w:val="double" w:sz="4" w:space="0" w:color="auto"/>
            </w:tcBorders>
          </w:tcPr>
          <w:p w14:paraId="6B84170C" w14:textId="77777777" w:rsidR="00722A28" w:rsidRPr="00722A28" w:rsidRDefault="00722A28" w:rsidP="00722A28">
            <w:pPr>
              <w:jc w:val="right"/>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Yes </w:t>
            </w:r>
          </w:p>
        </w:tc>
        <w:tc>
          <w:tcPr>
            <w:tcW w:w="681" w:type="pct"/>
            <w:tcBorders>
              <w:top w:val="nil"/>
              <w:bottom w:val="double" w:sz="4" w:space="0" w:color="auto"/>
              <w:right w:val="nil"/>
            </w:tcBorders>
          </w:tcPr>
          <w:p w14:paraId="45750C10" w14:textId="77777777" w:rsidR="00722A28" w:rsidRPr="00722A28" w:rsidRDefault="00722A28" w:rsidP="00722A28">
            <w:pPr>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w:t>
            </w:r>
          </w:p>
        </w:tc>
        <w:tc>
          <w:tcPr>
            <w:tcW w:w="487" w:type="pct"/>
            <w:tcBorders>
              <w:top w:val="nil"/>
              <w:left w:val="nil"/>
              <w:bottom w:val="double" w:sz="4" w:space="0" w:color="auto"/>
              <w:right w:val="nil"/>
            </w:tcBorders>
          </w:tcPr>
          <w:p w14:paraId="365CA073"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0.07</w:t>
            </w:r>
          </w:p>
        </w:tc>
        <w:tc>
          <w:tcPr>
            <w:tcW w:w="730" w:type="pct"/>
            <w:tcBorders>
              <w:top w:val="nil"/>
              <w:left w:val="nil"/>
              <w:bottom w:val="double" w:sz="4" w:space="0" w:color="auto"/>
              <w:right w:val="nil"/>
            </w:tcBorders>
          </w:tcPr>
          <w:p w14:paraId="1A841F11"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-.02, .16</w:t>
            </w:r>
          </w:p>
        </w:tc>
        <w:tc>
          <w:tcPr>
            <w:tcW w:w="453" w:type="pct"/>
            <w:tcBorders>
              <w:top w:val="nil"/>
              <w:left w:val="nil"/>
              <w:bottom w:val="double" w:sz="4" w:space="0" w:color="auto"/>
              <w:right w:val="nil"/>
            </w:tcBorders>
          </w:tcPr>
          <w:p w14:paraId="59A886FF"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.12</w:t>
            </w:r>
          </w:p>
        </w:tc>
        <w:tc>
          <w:tcPr>
            <w:tcW w:w="520" w:type="pct"/>
            <w:tcBorders>
              <w:top w:val="nil"/>
              <w:left w:val="nil"/>
              <w:bottom w:val="double" w:sz="4" w:space="0" w:color="auto"/>
              <w:right w:val="nil"/>
            </w:tcBorders>
          </w:tcPr>
          <w:p w14:paraId="314FCAD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.10</w:t>
            </w:r>
          </w:p>
        </w:tc>
        <w:tc>
          <w:tcPr>
            <w:tcW w:w="827" w:type="pct"/>
            <w:tcBorders>
              <w:top w:val="nil"/>
              <w:left w:val="nil"/>
              <w:bottom w:val="double" w:sz="4" w:space="0" w:color="auto"/>
              <w:right w:val="nil"/>
            </w:tcBorders>
          </w:tcPr>
          <w:p w14:paraId="5D256AA7"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.01, .19</w:t>
            </w:r>
          </w:p>
        </w:tc>
        <w:tc>
          <w:tcPr>
            <w:tcW w:w="426" w:type="pct"/>
            <w:tcBorders>
              <w:top w:val="nil"/>
              <w:left w:val="nil"/>
              <w:bottom w:val="double" w:sz="4" w:space="0" w:color="auto"/>
              <w:right w:val="nil"/>
            </w:tcBorders>
          </w:tcPr>
          <w:p w14:paraId="7F796C9E" w14:textId="77777777" w:rsidR="00722A28" w:rsidRPr="00722A28" w:rsidRDefault="00722A28" w:rsidP="00722A28">
            <w:pPr>
              <w:rPr>
                <w:rFonts w:ascii="Times New Roman" w:eastAsia="Calibri" w:hAnsi="Times New Roman" w:cs="Times New Roman"/>
                <w:sz w:val="24"/>
                <w:szCs w:val="24"/>
              </w:rPr>
            </w:pPr>
            <w:r w:rsidRPr="00722A28">
              <w:rPr>
                <w:rFonts w:ascii="Times New Roman" w:eastAsia="Calibri" w:hAnsi="Times New Roman" w:cs="Times New Roman"/>
                <w:sz w:val="24"/>
                <w:szCs w:val="24"/>
              </w:rPr>
              <w:t>.03</w:t>
            </w:r>
          </w:p>
        </w:tc>
      </w:tr>
    </w:tbl>
    <w:p w14:paraId="39FCB642" w14:textId="77777777" w:rsidR="00722A28" w:rsidRPr="00722A28" w:rsidRDefault="00722A28" w:rsidP="00722A28">
      <w:pPr>
        <w:spacing w:after="0"/>
        <w:divId w:val="448934348"/>
        <w:rPr>
          <w:rFonts w:ascii="Times New Roman" w:eastAsia="Calibri" w:hAnsi="Times New Roman" w:cs="Times New Roman"/>
          <w:b/>
          <w:sz w:val="24"/>
          <w:szCs w:val="24"/>
        </w:rPr>
      </w:pPr>
      <w:r w:rsidRPr="00722A28">
        <w:rPr>
          <w:rFonts w:ascii="Times New Roman" w:eastAsia="Calibri" w:hAnsi="Times New Roman" w:cs="Times New Roman"/>
          <w:sz w:val="24"/>
          <w:szCs w:val="24"/>
        </w:rPr>
        <w:t>Note:</w:t>
      </w:r>
      <w:r w:rsidRPr="00722A28">
        <w:rPr>
          <w:rFonts w:ascii="Times New Roman" w:eastAsia="Calibri" w:hAnsi="Times New Roman" w:cs="Times New Roman"/>
          <w:b/>
          <w:sz w:val="24"/>
          <w:szCs w:val="24"/>
        </w:rPr>
        <w:t xml:space="preserve"> </w:t>
      </w:r>
      <w:r w:rsidRPr="00722A28">
        <w:rPr>
          <w:rFonts w:ascii="Times New Roman" w:eastAsia="Times New Roman" w:hAnsi="Times New Roman" w:cs="Times New Roman"/>
          <w:sz w:val="24"/>
          <w:szCs w:val="24"/>
        </w:rPr>
        <w:t>Maternal education: &lt;O level</w:t>
      </w:r>
      <w:r w:rsidRPr="00722A28">
        <w:rPr>
          <w:rFonts w:ascii="Times New Roman" w:eastAsia="Calibri" w:hAnsi="Times New Roman" w:cs="Times New Roman"/>
          <w:sz w:val="24"/>
          <w:szCs w:val="24"/>
        </w:rPr>
        <w:t xml:space="preserve"> indicating no qualification; O level: indicating completion of school examinations at age 16; and &gt;O level: indicating completion of college or university education at or after age 18; </w:t>
      </w:r>
      <w:r w:rsidRPr="00722A28">
        <w:rPr>
          <w:rFonts w:ascii="Times New Roman" w:eastAsia="Times New Roman" w:hAnsi="Times New Roman" w:cs="Times New Roman"/>
          <w:sz w:val="24"/>
          <w:szCs w:val="24"/>
        </w:rPr>
        <w:t>SEP grouped into 4 categories: iv-v: unskilled or semiskilled manual; iii: skilled manual or nonmanual; ii: managerial and technical; and i: professional</w:t>
      </w:r>
    </w:p>
    <w:p w14:paraId="2EE8E376" w14:textId="77777777" w:rsidR="00722A28" w:rsidRPr="00722A28" w:rsidRDefault="00722A28" w:rsidP="00722A28">
      <w:pPr>
        <w:spacing w:after="0"/>
        <w:divId w:val="448934348"/>
        <w:rPr>
          <w:rFonts w:ascii="Times New Roman" w:eastAsia="Calibri" w:hAnsi="Times New Roman" w:cs="Times New Roman"/>
          <w:b/>
          <w:sz w:val="24"/>
          <w:szCs w:val="24"/>
        </w:rPr>
      </w:pPr>
    </w:p>
    <w:p w14:paraId="376AE568" w14:textId="77777777" w:rsidR="00722A28" w:rsidRPr="00722A28" w:rsidRDefault="00722A28" w:rsidP="00722A28">
      <w:pPr>
        <w:spacing w:after="0"/>
        <w:divId w:val="448934348"/>
        <w:rPr>
          <w:rFonts w:ascii="Times New Roman" w:eastAsia="Calibri" w:hAnsi="Times New Roman" w:cs="Times New Roman"/>
          <w:b/>
          <w:sz w:val="24"/>
          <w:szCs w:val="24"/>
        </w:rPr>
      </w:pPr>
    </w:p>
    <w:p w14:paraId="1AEFA1D2" w14:textId="77777777" w:rsidR="00722A28" w:rsidRPr="00722A28" w:rsidRDefault="00722A28" w:rsidP="00722A28">
      <w:pPr>
        <w:spacing w:after="0"/>
        <w:divId w:val="448934348"/>
        <w:rPr>
          <w:rFonts w:ascii="Times New Roman" w:eastAsia="Calibri" w:hAnsi="Times New Roman" w:cs="Times New Roman"/>
          <w:b/>
          <w:sz w:val="24"/>
          <w:szCs w:val="24"/>
        </w:rPr>
      </w:pPr>
    </w:p>
    <w:p w14:paraId="761FC35D" w14:textId="77777777" w:rsidR="00722A28" w:rsidRPr="00722A28" w:rsidRDefault="00722A28" w:rsidP="00722A28">
      <w:pPr>
        <w:spacing w:after="0"/>
        <w:divId w:val="448934348"/>
        <w:rPr>
          <w:rFonts w:ascii="Times New Roman" w:eastAsia="Calibri" w:hAnsi="Times New Roman" w:cs="Times New Roman"/>
          <w:b/>
          <w:sz w:val="24"/>
          <w:szCs w:val="24"/>
        </w:rPr>
      </w:pPr>
    </w:p>
    <w:p w14:paraId="3B96AAF7" w14:textId="77777777" w:rsidR="00722A28" w:rsidRPr="00722A28" w:rsidRDefault="00722A28" w:rsidP="00722A28">
      <w:pPr>
        <w:spacing w:after="0"/>
        <w:divId w:val="448934348"/>
        <w:rPr>
          <w:rFonts w:ascii="Times New Roman" w:eastAsia="Calibri" w:hAnsi="Times New Roman" w:cs="Times New Roman"/>
          <w:b/>
          <w:sz w:val="24"/>
          <w:szCs w:val="24"/>
        </w:rPr>
      </w:pPr>
    </w:p>
    <w:p w14:paraId="1E299A07" w14:textId="77777777" w:rsidR="00722A28" w:rsidRPr="00722A28" w:rsidRDefault="00722A28" w:rsidP="00722A28">
      <w:pPr>
        <w:spacing w:after="0"/>
        <w:divId w:val="448934348"/>
        <w:rPr>
          <w:rFonts w:ascii="Times New Roman" w:eastAsia="Calibri" w:hAnsi="Times New Roman" w:cs="Times New Roman"/>
          <w:b/>
          <w:sz w:val="24"/>
          <w:szCs w:val="24"/>
        </w:rPr>
      </w:pPr>
    </w:p>
    <w:p w14:paraId="3D06BF48" w14:textId="77777777" w:rsidR="00722A28" w:rsidRPr="00722A28" w:rsidRDefault="00722A28" w:rsidP="00722A28">
      <w:pPr>
        <w:spacing w:after="0"/>
        <w:divId w:val="448934348"/>
        <w:rPr>
          <w:rFonts w:ascii="Times New Roman" w:eastAsia="Calibri" w:hAnsi="Times New Roman" w:cs="Times New Roman"/>
          <w:b/>
          <w:sz w:val="24"/>
          <w:szCs w:val="24"/>
        </w:rPr>
      </w:pPr>
    </w:p>
    <w:p w14:paraId="46E50499" w14:textId="77777777" w:rsidR="00722A28" w:rsidRPr="00722A28" w:rsidRDefault="00722A28" w:rsidP="00722A28">
      <w:pPr>
        <w:spacing w:after="0"/>
        <w:divId w:val="448934348"/>
        <w:rPr>
          <w:rFonts w:ascii="Times New Roman" w:eastAsia="Calibri" w:hAnsi="Times New Roman" w:cs="Times New Roman"/>
          <w:b/>
          <w:sz w:val="24"/>
          <w:szCs w:val="24"/>
        </w:rPr>
      </w:pPr>
    </w:p>
    <w:p w14:paraId="5AEE3A72" w14:textId="77777777" w:rsidR="00722A28" w:rsidRPr="00722A28" w:rsidRDefault="00722A28" w:rsidP="00722A28">
      <w:pPr>
        <w:spacing w:after="0"/>
        <w:divId w:val="448934348"/>
        <w:rPr>
          <w:rFonts w:ascii="Times New Roman" w:eastAsia="Calibri" w:hAnsi="Times New Roman" w:cs="Times New Roman"/>
          <w:b/>
          <w:sz w:val="24"/>
          <w:szCs w:val="24"/>
        </w:rPr>
      </w:pPr>
    </w:p>
    <w:p w14:paraId="00451197" w14:textId="77777777" w:rsidR="00722A28" w:rsidRPr="00722A28" w:rsidRDefault="00722A28" w:rsidP="00722A28">
      <w:pPr>
        <w:spacing w:after="0"/>
        <w:divId w:val="448934348"/>
        <w:rPr>
          <w:rFonts w:ascii="Times New Roman" w:eastAsia="Calibri" w:hAnsi="Times New Roman" w:cs="Times New Roman"/>
          <w:b/>
          <w:sz w:val="24"/>
          <w:szCs w:val="24"/>
        </w:rPr>
      </w:pPr>
    </w:p>
    <w:p w14:paraId="74C09017" w14:textId="77777777" w:rsidR="00722A28" w:rsidRPr="00722A28" w:rsidRDefault="00722A28" w:rsidP="00722A28">
      <w:pPr>
        <w:spacing w:after="0"/>
        <w:divId w:val="448934348"/>
        <w:rPr>
          <w:rFonts w:ascii="Times New Roman" w:eastAsia="Calibri" w:hAnsi="Times New Roman" w:cs="Times New Roman"/>
          <w:b/>
          <w:sz w:val="24"/>
          <w:szCs w:val="24"/>
        </w:rPr>
      </w:pPr>
    </w:p>
    <w:p w14:paraId="1A64B214" w14:textId="77777777" w:rsidR="00722A28" w:rsidRPr="00722A28" w:rsidRDefault="00722A28" w:rsidP="00722A28">
      <w:pPr>
        <w:spacing w:after="0"/>
        <w:divId w:val="448934348"/>
        <w:rPr>
          <w:rFonts w:ascii="Times New Roman" w:eastAsia="Calibri" w:hAnsi="Times New Roman" w:cs="Times New Roman"/>
          <w:b/>
          <w:sz w:val="24"/>
          <w:szCs w:val="24"/>
        </w:rPr>
      </w:pPr>
    </w:p>
    <w:p w14:paraId="24106489" w14:textId="77777777" w:rsidR="00722A28" w:rsidRPr="00722A28" w:rsidRDefault="00722A28" w:rsidP="00722A28">
      <w:pPr>
        <w:spacing w:after="0"/>
        <w:divId w:val="448934348"/>
        <w:rPr>
          <w:rFonts w:ascii="Times New Roman" w:eastAsia="Calibri" w:hAnsi="Times New Roman" w:cs="Times New Roman"/>
          <w:b/>
          <w:sz w:val="24"/>
          <w:szCs w:val="24"/>
        </w:rPr>
      </w:pPr>
    </w:p>
    <w:p w14:paraId="23EDA93F" w14:textId="77777777" w:rsidR="00722A28" w:rsidRPr="00722A28" w:rsidRDefault="00722A28" w:rsidP="00722A28">
      <w:pPr>
        <w:spacing w:after="0"/>
        <w:divId w:val="448934348"/>
        <w:rPr>
          <w:rFonts w:ascii="Times New Roman" w:eastAsia="Calibri" w:hAnsi="Times New Roman" w:cs="Times New Roman"/>
          <w:b/>
          <w:sz w:val="24"/>
          <w:szCs w:val="24"/>
        </w:rPr>
      </w:pPr>
    </w:p>
    <w:p w14:paraId="6F82A8AE" w14:textId="77777777" w:rsidR="00722A28" w:rsidRPr="00722A28" w:rsidRDefault="00722A28" w:rsidP="00722A28">
      <w:pPr>
        <w:spacing w:after="0"/>
        <w:divId w:val="448934348"/>
        <w:rPr>
          <w:rFonts w:ascii="Times New Roman" w:eastAsia="Calibri" w:hAnsi="Times New Roman" w:cs="Times New Roman"/>
          <w:b/>
          <w:sz w:val="24"/>
          <w:szCs w:val="24"/>
        </w:rPr>
      </w:pPr>
    </w:p>
    <w:p w14:paraId="028E1067" w14:textId="77777777" w:rsidR="00722A28" w:rsidRPr="00722A28" w:rsidRDefault="00722A28" w:rsidP="00722A28">
      <w:pPr>
        <w:spacing w:after="0"/>
        <w:divId w:val="448934348"/>
        <w:rPr>
          <w:rFonts w:ascii="Times New Roman" w:eastAsia="Calibri" w:hAnsi="Times New Roman" w:cs="Times New Roman"/>
          <w:b/>
          <w:sz w:val="24"/>
          <w:szCs w:val="24"/>
        </w:rPr>
      </w:pPr>
    </w:p>
    <w:p w14:paraId="1F17F631" w14:textId="77777777" w:rsidR="00722A28" w:rsidRPr="00722A28" w:rsidRDefault="00722A28" w:rsidP="00722A28">
      <w:pPr>
        <w:spacing w:after="0"/>
        <w:divId w:val="448934348"/>
        <w:rPr>
          <w:rFonts w:ascii="Times New Roman" w:eastAsia="Calibri" w:hAnsi="Times New Roman" w:cs="Times New Roman"/>
          <w:b/>
          <w:sz w:val="24"/>
          <w:szCs w:val="24"/>
        </w:rPr>
      </w:pPr>
    </w:p>
    <w:p w14:paraId="4ED1BF53" w14:textId="77777777" w:rsidR="00722A28" w:rsidRPr="00722A28" w:rsidRDefault="00722A28" w:rsidP="00722A28">
      <w:pPr>
        <w:spacing w:after="0" w:line="276" w:lineRule="auto"/>
        <w:divId w:val="448934348"/>
        <w:rPr>
          <w:rFonts w:ascii="Times New Roman" w:eastAsia="Times New Roman" w:hAnsi="Times New Roman" w:cs="Times New Roman"/>
          <w:b/>
          <w:sz w:val="24"/>
          <w:szCs w:val="24"/>
        </w:rPr>
      </w:pPr>
      <w:r w:rsidRPr="00722A28">
        <w:rPr>
          <w:rFonts w:ascii="Times New Roman" w:eastAsia="Times New Roman" w:hAnsi="Times New Roman" w:cs="Times New Roman"/>
          <w:b/>
          <w:sz w:val="24"/>
          <w:szCs w:val="24"/>
        </w:rPr>
        <w:t>Table S5. Associations between frequent and binge drinking (compared to low alcohol users) at age 15 years and WM indices at age 18 years for the 2-back task (</w:t>
      </w:r>
      <w:r w:rsidRPr="00722A28">
        <w:rPr>
          <w:rFonts w:ascii="Times New Roman" w:eastAsia="Times New Roman" w:hAnsi="Times New Roman" w:cs="Times New Roman"/>
          <w:b/>
          <w:i/>
          <w:sz w:val="24"/>
          <w:szCs w:val="24"/>
        </w:rPr>
        <w:t>n</w:t>
      </w:r>
      <w:r w:rsidRPr="00722A28">
        <w:rPr>
          <w:rFonts w:ascii="Times New Roman" w:eastAsia="Times New Roman" w:hAnsi="Times New Roman" w:cs="Times New Roman"/>
          <w:b/>
          <w:sz w:val="24"/>
          <w:szCs w:val="24"/>
        </w:rPr>
        <w:t>=3,319) in 50 multiply imputed datasets</w:t>
      </w:r>
    </w:p>
    <w:tbl>
      <w:tblPr>
        <w:tblStyle w:val="TableGrid121"/>
        <w:tblW w:w="13320" w:type="dxa"/>
        <w:tblInd w:w="0" w:type="dxa"/>
        <w:tblLayout w:type="fixed"/>
        <w:tblLook w:val="04A0" w:firstRow="1" w:lastRow="0" w:firstColumn="1" w:lastColumn="0" w:noHBand="0" w:noVBand="1"/>
      </w:tblPr>
      <w:tblGrid>
        <w:gridCol w:w="2976"/>
        <w:gridCol w:w="1844"/>
        <w:gridCol w:w="565"/>
        <w:gridCol w:w="1842"/>
        <w:gridCol w:w="708"/>
        <w:gridCol w:w="1842"/>
        <w:gridCol w:w="709"/>
        <w:gridCol w:w="1842"/>
        <w:gridCol w:w="992"/>
      </w:tblGrid>
      <w:tr w:rsidR="00722A28" w:rsidRPr="00722A28" w14:paraId="60FB1D8F" w14:textId="77777777" w:rsidTr="00722A28">
        <w:trPr>
          <w:divId w:val="448934348"/>
        </w:trPr>
        <w:tc>
          <w:tcPr>
            <w:tcW w:w="2976" w:type="dxa"/>
            <w:tcBorders>
              <w:top w:val="double" w:sz="4" w:space="0" w:color="auto"/>
              <w:left w:val="nil"/>
              <w:bottom w:val="nil"/>
              <w:right w:val="single" w:sz="4" w:space="0" w:color="auto"/>
            </w:tcBorders>
          </w:tcPr>
          <w:p w14:paraId="5FA5AD24" w14:textId="77777777" w:rsidR="00722A28" w:rsidRPr="00722A28" w:rsidRDefault="00722A28" w:rsidP="00722A28">
            <w:pPr>
              <w:spacing w:line="360" w:lineRule="auto"/>
              <w:rPr>
                <w:rFonts w:ascii="Times New Roman" w:hAnsi="Times New Roman"/>
                <w:sz w:val="24"/>
                <w:szCs w:val="24"/>
              </w:rPr>
            </w:pPr>
          </w:p>
        </w:tc>
        <w:tc>
          <w:tcPr>
            <w:tcW w:w="2409" w:type="dxa"/>
            <w:gridSpan w:val="2"/>
            <w:tcBorders>
              <w:top w:val="double" w:sz="4" w:space="0" w:color="auto"/>
              <w:left w:val="nil"/>
              <w:bottom w:val="nil"/>
              <w:right w:val="nil"/>
            </w:tcBorders>
            <w:hideMark/>
          </w:tcPr>
          <w:p w14:paraId="71F01DA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1</w:t>
            </w:r>
          </w:p>
        </w:tc>
        <w:tc>
          <w:tcPr>
            <w:tcW w:w="1842" w:type="dxa"/>
            <w:tcBorders>
              <w:top w:val="double" w:sz="4" w:space="0" w:color="auto"/>
              <w:left w:val="nil"/>
              <w:bottom w:val="nil"/>
              <w:right w:val="nil"/>
            </w:tcBorders>
            <w:hideMark/>
          </w:tcPr>
          <w:p w14:paraId="23AFBA16"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2</w:t>
            </w:r>
          </w:p>
        </w:tc>
        <w:tc>
          <w:tcPr>
            <w:tcW w:w="708" w:type="dxa"/>
            <w:tcBorders>
              <w:top w:val="double" w:sz="4" w:space="0" w:color="auto"/>
              <w:left w:val="nil"/>
              <w:bottom w:val="nil"/>
              <w:right w:val="nil"/>
            </w:tcBorders>
          </w:tcPr>
          <w:p w14:paraId="2782AD0B" w14:textId="77777777" w:rsidR="00722A28" w:rsidRPr="00722A28" w:rsidRDefault="00722A28" w:rsidP="00722A28">
            <w:pPr>
              <w:spacing w:line="360" w:lineRule="auto"/>
              <w:rPr>
                <w:rFonts w:ascii="Times New Roman" w:eastAsia="Calibri" w:hAnsi="Times New Roman"/>
                <w:sz w:val="24"/>
                <w:szCs w:val="24"/>
              </w:rPr>
            </w:pPr>
          </w:p>
        </w:tc>
        <w:tc>
          <w:tcPr>
            <w:tcW w:w="2551" w:type="dxa"/>
            <w:gridSpan w:val="2"/>
            <w:tcBorders>
              <w:top w:val="double" w:sz="4" w:space="0" w:color="auto"/>
              <w:left w:val="nil"/>
              <w:bottom w:val="nil"/>
              <w:right w:val="nil"/>
            </w:tcBorders>
            <w:hideMark/>
          </w:tcPr>
          <w:p w14:paraId="5B354AAC"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3</w:t>
            </w:r>
          </w:p>
        </w:tc>
        <w:tc>
          <w:tcPr>
            <w:tcW w:w="2834" w:type="dxa"/>
            <w:gridSpan w:val="2"/>
            <w:tcBorders>
              <w:top w:val="double" w:sz="4" w:space="0" w:color="auto"/>
              <w:left w:val="nil"/>
              <w:bottom w:val="nil"/>
              <w:right w:val="nil"/>
            </w:tcBorders>
            <w:hideMark/>
          </w:tcPr>
          <w:p w14:paraId="267E93DC"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4</w:t>
            </w:r>
          </w:p>
        </w:tc>
      </w:tr>
      <w:tr w:rsidR="00722A28" w:rsidRPr="00722A28" w14:paraId="1D878D98" w14:textId="77777777" w:rsidTr="00722A28">
        <w:trPr>
          <w:divId w:val="448934348"/>
        </w:trPr>
        <w:tc>
          <w:tcPr>
            <w:tcW w:w="2976" w:type="dxa"/>
            <w:tcBorders>
              <w:top w:val="nil"/>
              <w:left w:val="nil"/>
              <w:bottom w:val="single" w:sz="4" w:space="0" w:color="auto"/>
              <w:right w:val="single" w:sz="4" w:space="0" w:color="auto"/>
            </w:tcBorders>
          </w:tcPr>
          <w:p w14:paraId="1CA9F176" w14:textId="77777777" w:rsidR="00722A28" w:rsidRPr="00722A28" w:rsidRDefault="00722A28" w:rsidP="00722A28">
            <w:pPr>
              <w:spacing w:line="360" w:lineRule="auto"/>
              <w:rPr>
                <w:rFonts w:ascii="Times New Roman" w:eastAsia="Calibri" w:hAnsi="Times New Roman"/>
                <w:sz w:val="24"/>
                <w:szCs w:val="24"/>
              </w:rPr>
            </w:pPr>
          </w:p>
        </w:tc>
        <w:tc>
          <w:tcPr>
            <w:tcW w:w="1844" w:type="dxa"/>
            <w:tcBorders>
              <w:top w:val="nil"/>
              <w:left w:val="nil"/>
              <w:bottom w:val="single" w:sz="4" w:space="0" w:color="auto"/>
              <w:right w:val="nil"/>
            </w:tcBorders>
            <w:hideMark/>
          </w:tcPr>
          <w:p w14:paraId="3EA0EEAB"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w:t>
            </w:r>
          </w:p>
        </w:tc>
        <w:tc>
          <w:tcPr>
            <w:tcW w:w="565" w:type="dxa"/>
            <w:tcBorders>
              <w:top w:val="nil"/>
              <w:left w:val="nil"/>
              <w:bottom w:val="single" w:sz="4" w:space="0" w:color="auto"/>
              <w:right w:val="nil"/>
            </w:tcBorders>
            <w:hideMark/>
          </w:tcPr>
          <w:p w14:paraId="3EF0F5CE"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c>
          <w:tcPr>
            <w:tcW w:w="1842" w:type="dxa"/>
            <w:tcBorders>
              <w:top w:val="nil"/>
              <w:left w:val="nil"/>
              <w:bottom w:val="single" w:sz="4" w:space="0" w:color="auto"/>
              <w:right w:val="nil"/>
            </w:tcBorders>
            <w:hideMark/>
          </w:tcPr>
          <w:p w14:paraId="3D12B7F4"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 xml:space="preserve">95% CI) </w:t>
            </w:r>
          </w:p>
        </w:tc>
        <w:tc>
          <w:tcPr>
            <w:tcW w:w="708" w:type="dxa"/>
            <w:tcBorders>
              <w:top w:val="nil"/>
              <w:left w:val="nil"/>
              <w:bottom w:val="single" w:sz="4" w:space="0" w:color="auto"/>
              <w:right w:val="nil"/>
            </w:tcBorders>
            <w:hideMark/>
          </w:tcPr>
          <w:p w14:paraId="1227D67F"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c>
          <w:tcPr>
            <w:tcW w:w="1842" w:type="dxa"/>
            <w:tcBorders>
              <w:top w:val="nil"/>
              <w:left w:val="nil"/>
              <w:bottom w:val="single" w:sz="4" w:space="0" w:color="auto"/>
              <w:right w:val="nil"/>
            </w:tcBorders>
            <w:hideMark/>
          </w:tcPr>
          <w:p w14:paraId="1D5C8B39"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w:t>
            </w:r>
          </w:p>
        </w:tc>
        <w:tc>
          <w:tcPr>
            <w:tcW w:w="709" w:type="dxa"/>
            <w:tcBorders>
              <w:top w:val="nil"/>
              <w:left w:val="nil"/>
              <w:bottom w:val="single" w:sz="4" w:space="0" w:color="auto"/>
              <w:right w:val="nil"/>
            </w:tcBorders>
            <w:hideMark/>
          </w:tcPr>
          <w:p w14:paraId="0255CF52"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c>
          <w:tcPr>
            <w:tcW w:w="1842" w:type="dxa"/>
            <w:tcBorders>
              <w:top w:val="nil"/>
              <w:left w:val="nil"/>
              <w:bottom w:val="single" w:sz="4" w:space="0" w:color="auto"/>
              <w:right w:val="nil"/>
            </w:tcBorders>
            <w:hideMark/>
          </w:tcPr>
          <w:p w14:paraId="30FF2673"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w:t>
            </w:r>
          </w:p>
        </w:tc>
        <w:tc>
          <w:tcPr>
            <w:tcW w:w="992" w:type="dxa"/>
            <w:tcBorders>
              <w:top w:val="nil"/>
              <w:left w:val="nil"/>
              <w:bottom w:val="single" w:sz="4" w:space="0" w:color="auto"/>
              <w:right w:val="nil"/>
            </w:tcBorders>
            <w:hideMark/>
          </w:tcPr>
          <w:p w14:paraId="4772E352"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r>
      <w:tr w:rsidR="00722A28" w:rsidRPr="00722A28" w14:paraId="3DC9B7BA" w14:textId="77777777" w:rsidTr="00722A28">
        <w:trPr>
          <w:divId w:val="448934348"/>
          <w:trHeight w:val="511"/>
        </w:trPr>
        <w:tc>
          <w:tcPr>
            <w:tcW w:w="2976" w:type="dxa"/>
            <w:tcBorders>
              <w:top w:val="single" w:sz="4" w:space="0" w:color="auto"/>
              <w:left w:val="nil"/>
              <w:bottom w:val="nil"/>
              <w:right w:val="single" w:sz="4" w:space="0" w:color="auto"/>
            </w:tcBorders>
            <w:hideMark/>
          </w:tcPr>
          <w:p w14:paraId="744FBAA9"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Number of hits</w:t>
            </w:r>
          </w:p>
        </w:tc>
        <w:tc>
          <w:tcPr>
            <w:tcW w:w="1844" w:type="dxa"/>
            <w:tcBorders>
              <w:top w:val="single" w:sz="4" w:space="0" w:color="auto"/>
              <w:left w:val="nil"/>
              <w:bottom w:val="nil"/>
              <w:right w:val="nil"/>
            </w:tcBorders>
            <w:hideMark/>
          </w:tcPr>
          <w:p w14:paraId="31B8D94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-.15 (-.30, .01)</w:t>
            </w:r>
          </w:p>
        </w:tc>
        <w:tc>
          <w:tcPr>
            <w:tcW w:w="565" w:type="dxa"/>
            <w:tcBorders>
              <w:top w:val="single" w:sz="4" w:space="0" w:color="auto"/>
              <w:left w:val="nil"/>
              <w:bottom w:val="nil"/>
              <w:right w:val="nil"/>
            </w:tcBorders>
            <w:hideMark/>
          </w:tcPr>
          <w:p w14:paraId="1B75858A"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.07</w:t>
            </w:r>
          </w:p>
        </w:tc>
        <w:tc>
          <w:tcPr>
            <w:tcW w:w="1842" w:type="dxa"/>
            <w:tcBorders>
              <w:top w:val="single" w:sz="4" w:space="0" w:color="auto"/>
              <w:left w:val="nil"/>
              <w:bottom w:val="nil"/>
              <w:right w:val="nil"/>
            </w:tcBorders>
            <w:hideMark/>
          </w:tcPr>
          <w:p w14:paraId="0690D0C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-.13 (-.28, .03)    </w:t>
            </w:r>
          </w:p>
        </w:tc>
        <w:tc>
          <w:tcPr>
            <w:tcW w:w="708" w:type="dxa"/>
            <w:tcBorders>
              <w:top w:val="single" w:sz="4" w:space="0" w:color="auto"/>
              <w:left w:val="nil"/>
              <w:bottom w:val="nil"/>
              <w:right w:val="nil"/>
            </w:tcBorders>
            <w:hideMark/>
          </w:tcPr>
          <w:p w14:paraId="7CA74839"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.12</w:t>
            </w:r>
          </w:p>
        </w:tc>
        <w:tc>
          <w:tcPr>
            <w:tcW w:w="1842" w:type="dxa"/>
            <w:tcBorders>
              <w:top w:val="single" w:sz="4" w:space="0" w:color="auto"/>
              <w:left w:val="nil"/>
              <w:bottom w:val="nil"/>
              <w:right w:val="nil"/>
            </w:tcBorders>
            <w:hideMark/>
          </w:tcPr>
          <w:p w14:paraId="388AA74C"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-.13 (-.28, .03)</w:t>
            </w:r>
          </w:p>
        </w:tc>
        <w:tc>
          <w:tcPr>
            <w:tcW w:w="709" w:type="dxa"/>
            <w:tcBorders>
              <w:top w:val="single" w:sz="4" w:space="0" w:color="auto"/>
              <w:left w:val="nil"/>
              <w:bottom w:val="nil"/>
              <w:right w:val="nil"/>
            </w:tcBorders>
            <w:hideMark/>
          </w:tcPr>
          <w:p w14:paraId="3A40DA5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.10</w:t>
            </w:r>
          </w:p>
        </w:tc>
        <w:tc>
          <w:tcPr>
            <w:tcW w:w="1842" w:type="dxa"/>
            <w:tcBorders>
              <w:top w:val="single" w:sz="4" w:space="0" w:color="auto"/>
              <w:left w:val="nil"/>
              <w:bottom w:val="nil"/>
              <w:right w:val="nil"/>
            </w:tcBorders>
            <w:hideMark/>
          </w:tcPr>
          <w:p w14:paraId="6505EDC3"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-.06 (-.23, .11)</w:t>
            </w:r>
          </w:p>
        </w:tc>
        <w:tc>
          <w:tcPr>
            <w:tcW w:w="992" w:type="dxa"/>
            <w:tcBorders>
              <w:top w:val="single" w:sz="4" w:space="0" w:color="auto"/>
              <w:left w:val="nil"/>
              <w:bottom w:val="nil"/>
              <w:right w:val="nil"/>
            </w:tcBorders>
            <w:hideMark/>
          </w:tcPr>
          <w:p w14:paraId="2F7F32B9"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.50</w:t>
            </w:r>
          </w:p>
        </w:tc>
      </w:tr>
      <w:tr w:rsidR="00722A28" w:rsidRPr="00722A28" w14:paraId="37EAA353" w14:textId="77777777" w:rsidTr="00722A28">
        <w:trPr>
          <w:divId w:val="448934348"/>
          <w:trHeight w:val="414"/>
        </w:trPr>
        <w:tc>
          <w:tcPr>
            <w:tcW w:w="2976" w:type="dxa"/>
            <w:tcBorders>
              <w:top w:val="nil"/>
              <w:left w:val="nil"/>
              <w:bottom w:val="nil"/>
              <w:right w:val="single" w:sz="4" w:space="0" w:color="auto"/>
            </w:tcBorders>
            <w:hideMark/>
          </w:tcPr>
          <w:p w14:paraId="7E9A3036"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Number of false alarms</w:t>
            </w:r>
          </w:p>
        </w:tc>
        <w:tc>
          <w:tcPr>
            <w:tcW w:w="1844" w:type="dxa"/>
            <w:tcBorders>
              <w:top w:val="nil"/>
              <w:left w:val="nil"/>
              <w:bottom w:val="nil"/>
              <w:right w:val="nil"/>
            </w:tcBorders>
            <w:hideMark/>
          </w:tcPr>
          <w:p w14:paraId="7C38790E"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-.13 (-.27, .02)</w:t>
            </w:r>
          </w:p>
        </w:tc>
        <w:tc>
          <w:tcPr>
            <w:tcW w:w="565" w:type="dxa"/>
            <w:tcBorders>
              <w:top w:val="nil"/>
              <w:left w:val="nil"/>
              <w:bottom w:val="nil"/>
              <w:right w:val="nil"/>
            </w:tcBorders>
            <w:hideMark/>
          </w:tcPr>
          <w:p w14:paraId="1D890E97"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.10</w:t>
            </w:r>
          </w:p>
        </w:tc>
        <w:tc>
          <w:tcPr>
            <w:tcW w:w="1842" w:type="dxa"/>
            <w:tcBorders>
              <w:top w:val="nil"/>
              <w:left w:val="nil"/>
              <w:bottom w:val="nil"/>
              <w:right w:val="nil"/>
            </w:tcBorders>
            <w:hideMark/>
          </w:tcPr>
          <w:p w14:paraId="2E017E1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-.14 (-.29, .03)</w:t>
            </w:r>
          </w:p>
        </w:tc>
        <w:tc>
          <w:tcPr>
            <w:tcW w:w="708" w:type="dxa"/>
            <w:tcBorders>
              <w:top w:val="nil"/>
              <w:left w:val="nil"/>
              <w:bottom w:val="nil"/>
              <w:right w:val="nil"/>
            </w:tcBorders>
            <w:hideMark/>
          </w:tcPr>
          <w:p w14:paraId="0A4FEE6A"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.15</w:t>
            </w:r>
          </w:p>
        </w:tc>
        <w:tc>
          <w:tcPr>
            <w:tcW w:w="1842" w:type="dxa"/>
            <w:tcBorders>
              <w:top w:val="nil"/>
              <w:left w:val="nil"/>
              <w:bottom w:val="nil"/>
              <w:right w:val="nil"/>
            </w:tcBorders>
            <w:hideMark/>
          </w:tcPr>
          <w:p w14:paraId="3779FDB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-.12 (-.28, .03)</w:t>
            </w:r>
          </w:p>
        </w:tc>
        <w:tc>
          <w:tcPr>
            <w:tcW w:w="709" w:type="dxa"/>
            <w:tcBorders>
              <w:top w:val="nil"/>
              <w:left w:val="nil"/>
              <w:bottom w:val="nil"/>
              <w:right w:val="nil"/>
            </w:tcBorders>
            <w:hideMark/>
          </w:tcPr>
          <w:p w14:paraId="5E086CCA"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.12</w:t>
            </w:r>
          </w:p>
        </w:tc>
        <w:tc>
          <w:tcPr>
            <w:tcW w:w="1842" w:type="dxa"/>
            <w:tcBorders>
              <w:top w:val="nil"/>
              <w:left w:val="nil"/>
              <w:bottom w:val="nil"/>
              <w:right w:val="nil"/>
            </w:tcBorders>
            <w:hideMark/>
          </w:tcPr>
          <w:p w14:paraId="04426A83"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-.02 (-.18, .14)</w:t>
            </w:r>
          </w:p>
        </w:tc>
        <w:tc>
          <w:tcPr>
            <w:tcW w:w="992" w:type="dxa"/>
            <w:tcBorders>
              <w:top w:val="nil"/>
              <w:left w:val="nil"/>
              <w:bottom w:val="nil"/>
              <w:right w:val="nil"/>
            </w:tcBorders>
            <w:hideMark/>
          </w:tcPr>
          <w:p w14:paraId="02FCD100"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.87</w:t>
            </w:r>
          </w:p>
        </w:tc>
      </w:tr>
      <w:tr w:rsidR="00722A28" w:rsidRPr="00722A28" w14:paraId="0830ED7F" w14:textId="77777777" w:rsidTr="00722A28">
        <w:trPr>
          <w:divId w:val="448934348"/>
        </w:trPr>
        <w:tc>
          <w:tcPr>
            <w:tcW w:w="2976" w:type="dxa"/>
            <w:tcBorders>
              <w:top w:val="nil"/>
              <w:left w:val="nil"/>
              <w:bottom w:val="nil"/>
              <w:right w:val="single" w:sz="4" w:space="0" w:color="auto"/>
            </w:tcBorders>
            <w:hideMark/>
          </w:tcPr>
          <w:p w14:paraId="3F887515"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Reaction time-hits</w:t>
            </w:r>
          </w:p>
        </w:tc>
        <w:tc>
          <w:tcPr>
            <w:tcW w:w="1844" w:type="dxa"/>
            <w:tcBorders>
              <w:top w:val="nil"/>
              <w:left w:val="nil"/>
              <w:bottom w:val="nil"/>
              <w:right w:val="nil"/>
            </w:tcBorders>
            <w:hideMark/>
          </w:tcPr>
          <w:p w14:paraId="71006D82"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.05 (-.09, .20)</w:t>
            </w:r>
          </w:p>
        </w:tc>
        <w:tc>
          <w:tcPr>
            <w:tcW w:w="565" w:type="dxa"/>
            <w:tcBorders>
              <w:top w:val="nil"/>
              <w:left w:val="nil"/>
              <w:bottom w:val="nil"/>
              <w:right w:val="nil"/>
            </w:tcBorders>
            <w:hideMark/>
          </w:tcPr>
          <w:p w14:paraId="38760DFC"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.48</w:t>
            </w:r>
          </w:p>
        </w:tc>
        <w:tc>
          <w:tcPr>
            <w:tcW w:w="1842" w:type="dxa"/>
            <w:tcBorders>
              <w:top w:val="nil"/>
              <w:left w:val="nil"/>
              <w:bottom w:val="nil"/>
              <w:right w:val="nil"/>
            </w:tcBorders>
            <w:hideMark/>
          </w:tcPr>
          <w:p w14:paraId="24035CD5"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.06 (-.09, .21) </w:t>
            </w:r>
          </w:p>
        </w:tc>
        <w:tc>
          <w:tcPr>
            <w:tcW w:w="708" w:type="dxa"/>
            <w:tcBorders>
              <w:top w:val="nil"/>
              <w:left w:val="nil"/>
              <w:bottom w:val="nil"/>
              <w:right w:val="nil"/>
            </w:tcBorders>
            <w:hideMark/>
          </w:tcPr>
          <w:p w14:paraId="300D1A84"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.42</w:t>
            </w:r>
          </w:p>
        </w:tc>
        <w:tc>
          <w:tcPr>
            <w:tcW w:w="1842" w:type="dxa"/>
            <w:tcBorders>
              <w:top w:val="nil"/>
              <w:left w:val="nil"/>
              <w:bottom w:val="nil"/>
              <w:right w:val="nil"/>
            </w:tcBorders>
            <w:hideMark/>
          </w:tcPr>
          <w:p w14:paraId="01BF0A35"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-.06 (-.09, .21)</w:t>
            </w:r>
          </w:p>
        </w:tc>
        <w:tc>
          <w:tcPr>
            <w:tcW w:w="709" w:type="dxa"/>
            <w:tcBorders>
              <w:top w:val="nil"/>
              <w:left w:val="nil"/>
              <w:bottom w:val="nil"/>
              <w:right w:val="nil"/>
            </w:tcBorders>
            <w:hideMark/>
          </w:tcPr>
          <w:p w14:paraId="18F734F9"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.42</w:t>
            </w:r>
          </w:p>
        </w:tc>
        <w:tc>
          <w:tcPr>
            <w:tcW w:w="1842" w:type="dxa"/>
            <w:tcBorders>
              <w:top w:val="nil"/>
              <w:left w:val="nil"/>
              <w:bottom w:val="nil"/>
              <w:right w:val="nil"/>
            </w:tcBorders>
            <w:hideMark/>
          </w:tcPr>
          <w:p w14:paraId="5EB80442"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.10 (-.07, .27)</w:t>
            </w:r>
          </w:p>
        </w:tc>
        <w:tc>
          <w:tcPr>
            <w:tcW w:w="992" w:type="dxa"/>
            <w:tcBorders>
              <w:top w:val="nil"/>
              <w:left w:val="nil"/>
              <w:bottom w:val="nil"/>
              <w:right w:val="nil"/>
            </w:tcBorders>
            <w:hideMark/>
          </w:tcPr>
          <w:p w14:paraId="5488339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.24</w:t>
            </w:r>
          </w:p>
        </w:tc>
      </w:tr>
      <w:tr w:rsidR="00722A28" w:rsidRPr="00722A28" w14:paraId="6DDCD8E9" w14:textId="77777777" w:rsidTr="00722A28">
        <w:trPr>
          <w:divId w:val="448934348"/>
        </w:trPr>
        <w:tc>
          <w:tcPr>
            <w:tcW w:w="2976" w:type="dxa"/>
            <w:tcBorders>
              <w:top w:val="nil"/>
              <w:left w:val="nil"/>
              <w:bottom w:val="double" w:sz="4" w:space="0" w:color="auto"/>
              <w:right w:val="single" w:sz="4" w:space="0" w:color="auto"/>
            </w:tcBorders>
            <w:hideMark/>
          </w:tcPr>
          <w:p w14:paraId="5813E459"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Reaction time-false alarms</w:t>
            </w:r>
          </w:p>
        </w:tc>
        <w:tc>
          <w:tcPr>
            <w:tcW w:w="1844" w:type="dxa"/>
            <w:tcBorders>
              <w:top w:val="nil"/>
              <w:left w:val="nil"/>
              <w:bottom w:val="double" w:sz="4" w:space="0" w:color="auto"/>
              <w:right w:val="nil"/>
            </w:tcBorders>
            <w:hideMark/>
          </w:tcPr>
          <w:p w14:paraId="0E2C018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.01 (-.14, .15)</w:t>
            </w:r>
          </w:p>
        </w:tc>
        <w:tc>
          <w:tcPr>
            <w:tcW w:w="565" w:type="dxa"/>
            <w:tcBorders>
              <w:top w:val="nil"/>
              <w:left w:val="nil"/>
              <w:bottom w:val="double" w:sz="4" w:space="0" w:color="auto"/>
              <w:right w:val="nil"/>
            </w:tcBorders>
            <w:hideMark/>
          </w:tcPr>
          <w:p w14:paraId="4944422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.92</w:t>
            </w:r>
          </w:p>
        </w:tc>
        <w:tc>
          <w:tcPr>
            <w:tcW w:w="1842" w:type="dxa"/>
            <w:tcBorders>
              <w:top w:val="nil"/>
              <w:left w:val="nil"/>
              <w:bottom w:val="double" w:sz="4" w:space="0" w:color="auto"/>
              <w:right w:val="nil"/>
            </w:tcBorders>
            <w:hideMark/>
          </w:tcPr>
          <w:p w14:paraId="5AABD53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.02 (-.13, .17)</w:t>
            </w:r>
          </w:p>
        </w:tc>
        <w:tc>
          <w:tcPr>
            <w:tcW w:w="708" w:type="dxa"/>
            <w:tcBorders>
              <w:top w:val="nil"/>
              <w:left w:val="nil"/>
              <w:bottom w:val="double" w:sz="4" w:space="0" w:color="auto"/>
              <w:right w:val="nil"/>
            </w:tcBorders>
            <w:hideMark/>
          </w:tcPr>
          <w:p w14:paraId="0D20B95E"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.79</w:t>
            </w:r>
          </w:p>
        </w:tc>
        <w:tc>
          <w:tcPr>
            <w:tcW w:w="1842" w:type="dxa"/>
            <w:tcBorders>
              <w:top w:val="nil"/>
              <w:left w:val="nil"/>
              <w:bottom w:val="double" w:sz="4" w:space="0" w:color="auto"/>
              <w:right w:val="nil"/>
            </w:tcBorders>
            <w:hideMark/>
          </w:tcPr>
          <w:p w14:paraId="3B73F8B5"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.02 (-.13, .17)</w:t>
            </w:r>
          </w:p>
        </w:tc>
        <w:tc>
          <w:tcPr>
            <w:tcW w:w="709" w:type="dxa"/>
            <w:tcBorders>
              <w:top w:val="nil"/>
              <w:left w:val="nil"/>
              <w:bottom w:val="double" w:sz="4" w:space="0" w:color="auto"/>
              <w:right w:val="nil"/>
            </w:tcBorders>
            <w:hideMark/>
          </w:tcPr>
          <w:p w14:paraId="6B18FC03"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.81</w:t>
            </w:r>
          </w:p>
        </w:tc>
        <w:tc>
          <w:tcPr>
            <w:tcW w:w="1842" w:type="dxa"/>
            <w:tcBorders>
              <w:top w:val="nil"/>
              <w:left w:val="nil"/>
              <w:bottom w:val="double" w:sz="4" w:space="0" w:color="auto"/>
              <w:right w:val="nil"/>
            </w:tcBorders>
            <w:hideMark/>
          </w:tcPr>
          <w:p w14:paraId="3888EB23"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.08 (-.09, .25)</w:t>
            </w:r>
          </w:p>
        </w:tc>
        <w:tc>
          <w:tcPr>
            <w:tcW w:w="992" w:type="dxa"/>
            <w:tcBorders>
              <w:top w:val="nil"/>
              <w:left w:val="nil"/>
              <w:bottom w:val="double" w:sz="4" w:space="0" w:color="auto"/>
              <w:right w:val="nil"/>
            </w:tcBorders>
            <w:hideMark/>
          </w:tcPr>
          <w:p w14:paraId="77B174DA"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.34</w:t>
            </w:r>
          </w:p>
        </w:tc>
      </w:tr>
    </w:tbl>
    <w:p w14:paraId="4C7A5D74" w14:textId="77777777" w:rsidR="00722A28" w:rsidRPr="00722A28" w:rsidRDefault="00722A28" w:rsidP="00722A28">
      <w:pPr>
        <w:spacing w:after="0" w:line="240" w:lineRule="auto"/>
        <w:divId w:val="448934348"/>
        <w:rPr>
          <w:rFonts w:ascii="Times New Roman" w:eastAsia="Times New Roman" w:hAnsi="Times New Roman" w:cs="Times New Roman"/>
          <w:sz w:val="24"/>
          <w:szCs w:val="24"/>
        </w:rPr>
      </w:pPr>
      <w:r w:rsidRPr="00722A28">
        <w:rPr>
          <w:rFonts w:ascii="Times New Roman" w:eastAsia="Times New Roman" w:hAnsi="Times New Roman" w:cs="Times New Roman"/>
          <w:sz w:val="24"/>
          <w:szCs w:val="24"/>
        </w:rPr>
        <w:t xml:space="preserve">Model 1: unadjusted; Model 2: adjusted for sex, income, social economic position, maternal education, housing tenure, parity, and maternal smoking in pregnancy; Model 3: further adjusted for working memory assessed at approximately age 11 years, and </w:t>
      </w:r>
      <w:r w:rsidRPr="00722A28">
        <w:rPr>
          <w:rFonts w:ascii="Times New Roman" w:eastAsia="Calibri" w:hAnsi="Times New Roman" w:cs="Times New Roman"/>
          <w:sz w:val="24"/>
          <w:szCs w:val="24"/>
        </w:rPr>
        <w:t>head injury/unconsciousness up to age 11 years</w:t>
      </w:r>
      <w:r w:rsidRPr="00722A28">
        <w:rPr>
          <w:rFonts w:ascii="Times New Roman" w:eastAsia="Times New Roman" w:hAnsi="Times New Roman" w:cs="Times New Roman"/>
          <w:sz w:val="24"/>
          <w:szCs w:val="24"/>
        </w:rPr>
        <w:t>; Model 4: further adjusted for young person cigarette and cannabis use assessed at age 15 years</w:t>
      </w:r>
    </w:p>
    <w:p w14:paraId="0D5FF9E5" w14:textId="77777777" w:rsidR="00722A28" w:rsidRPr="00722A28" w:rsidRDefault="00722A28" w:rsidP="00722A28">
      <w:pPr>
        <w:spacing w:after="0"/>
        <w:divId w:val="448934348"/>
        <w:rPr>
          <w:rFonts w:ascii="Times New Roman" w:eastAsia="Calibri" w:hAnsi="Times New Roman" w:cs="Times New Roman"/>
          <w:b/>
          <w:sz w:val="24"/>
          <w:szCs w:val="24"/>
        </w:rPr>
      </w:pPr>
    </w:p>
    <w:p w14:paraId="360275FF" w14:textId="77777777" w:rsidR="00722A28" w:rsidRPr="00722A28" w:rsidRDefault="00722A28" w:rsidP="00722A28">
      <w:pPr>
        <w:spacing w:after="0"/>
        <w:divId w:val="448934348"/>
        <w:rPr>
          <w:rFonts w:ascii="Times New Roman" w:eastAsia="Calibri" w:hAnsi="Times New Roman" w:cs="Times New Roman"/>
          <w:b/>
          <w:sz w:val="24"/>
          <w:szCs w:val="24"/>
        </w:rPr>
      </w:pPr>
    </w:p>
    <w:p w14:paraId="17758D22" w14:textId="77777777" w:rsidR="00722A28" w:rsidRPr="00722A28" w:rsidRDefault="00722A28" w:rsidP="00722A28">
      <w:pPr>
        <w:spacing w:after="0"/>
        <w:divId w:val="448934348"/>
        <w:rPr>
          <w:rFonts w:ascii="Times New Roman" w:eastAsia="Calibri" w:hAnsi="Times New Roman" w:cs="Times New Roman"/>
          <w:b/>
          <w:sz w:val="24"/>
          <w:szCs w:val="24"/>
        </w:rPr>
      </w:pPr>
    </w:p>
    <w:p w14:paraId="13B40E7F" w14:textId="77777777" w:rsidR="00722A28" w:rsidRPr="00722A28" w:rsidRDefault="00722A28" w:rsidP="00722A28">
      <w:pPr>
        <w:spacing w:after="0"/>
        <w:divId w:val="448934348"/>
        <w:rPr>
          <w:rFonts w:ascii="Times New Roman" w:eastAsia="Calibri" w:hAnsi="Times New Roman" w:cs="Times New Roman"/>
          <w:b/>
          <w:sz w:val="24"/>
          <w:szCs w:val="24"/>
        </w:rPr>
      </w:pPr>
    </w:p>
    <w:p w14:paraId="7D9CDA00" w14:textId="77777777" w:rsidR="00722A28" w:rsidRPr="00722A28" w:rsidRDefault="00722A28" w:rsidP="00722A28">
      <w:pPr>
        <w:divId w:val="448934348"/>
        <w:rPr>
          <w:rFonts w:ascii="Times New Roman" w:eastAsia="Calibri" w:hAnsi="Times New Roman" w:cs="Times New Roman"/>
          <w:b/>
          <w:sz w:val="24"/>
        </w:rPr>
      </w:pPr>
    </w:p>
    <w:p w14:paraId="0564373A" w14:textId="77777777" w:rsidR="00722A28" w:rsidRPr="00722A28" w:rsidRDefault="00722A28" w:rsidP="00722A28">
      <w:pPr>
        <w:divId w:val="448934348"/>
        <w:rPr>
          <w:rFonts w:ascii="Times New Roman" w:eastAsia="Calibri" w:hAnsi="Times New Roman" w:cs="Times New Roman"/>
          <w:b/>
          <w:sz w:val="24"/>
        </w:rPr>
      </w:pPr>
    </w:p>
    <w:p w14:paraId="70A75E0B" w14:textId="77777777" w:rsidR="00722A28" w:rsidRPr="00722A28" w:rsidRDefault="00722A28" w:rsidP="00722A28">
      <w:pPr>
        <w:divId w:val="448934348"/>
        <w:rPr>
          <w:rFonts w:ascii="Times New Roman" w:eastAsia="Calibri" w:hAnsi="Times New Roman" w:cs="Times New Roman"/>
          <w:b/>
          <w:sz w:val="24"/>
        </w:rPr>
      </w:pPr>
    </w:p>
    <w:p w14:paraId="5FCFD21E" w14:textId="77777777" w:rsidR="00722A28" w:rsidRPr="00722A28" w:rsidRDefault="00722A28" w:rsidP="00722A28">
      <w:pPr>
        <w:divId w:val="448934348"/>
        <w:rPr>
          <w:rFonts w:ascii="Times New Roman" w:eastAsia="Calibri" w:hAnsi="Times New Roman" w:cs="Times New Roman"/>
          <w:b/>
          <w:sz w:val="24"/>
        </w:rPr>
      </w:pPr>
    </w:p>
    <w:p w14:paraId="42BCA822" w14:textId="77777777" w:rsidR="00722A28" w:rsidRPr="00722A28" w:rsidRDefault="00722A28" w:rsidP="00722A28">
      <w:pPr>
        <w:divId w:val="448934348"/>
        <w:rPr>
          <w:rFonts w:ascii="Times New Roman" w:eastAsia="Calibri" w:hAnsi="Times New Roman" w:cs="Times New Roman"/>
          <w:b/>
          <w:sz w:val="24"/>
        </w:rPr>
      </w:pPr>
    </w:p>
    <w:p w14:paraId="5A8AF505" w14:textId="77777777" w:rsidR="00722A28" w:rsidRPr="00722A28" w:rsidRDefault="00722A28" w:rsidP="00722A28">
      <w:pPr>
        <w:divId w:val="448934348"/>
        <w:rPr>
          <w:rFonts w:ascii="Times New Roman" w:eastAsia="Calibri" w:hAnsi="Times New Roman" w:cs="Times New Roman"/>
          <w:b/>
          <w:sz w:val="24"/>
        </w:rPr>
      </w:pPr>
    </w:p>
    <w:p w14:paraId="1FE6A466" w14:textId="77777777" w:rsidR="00722A28" w:rsidRPr="00722A28" w:rsidRDefault="00722A28" w:rsidP="00722A28">
      <w:pPr>
        <w:divId w:val="448934348"/>
        <w:rPr>
          <w:rFonts w:ascii="Times New Roman" w:eastAsia="Calibri" w:hAnsi="Times New Roman" w:cs="Times New Roman"/>
          <w:b/>
          <w:sz w:val="24"/>
        </w:rPr>
      </w:pPr>
    </w:p>
    <w:p w14:paraId="6E3D9FE3" w14:textId="77777777" w:rsidR="00722A28" w:rsidRPr="00722A28" w:rsidRDefault="00722A28" w:rsidP="00722A28">
      <w:pPr>
        <w:divId w:val="448934348"/>
        <w:rPr>
          <w:rFonts w:ascii="Times New Roman" w:eastAsia="Calibri" w:hAnsi="Times New Roman" w:cs="Times New Roman"/>
          <w:b/>
          <w:sz w:val="24"/>
        </w:rPr>
      </w:pPr>
    </w:p>
    <w:p w14:paraId="23BA3B51" w14:textId="77777777" w:rsidR="00722A28" w:rsidRPr="00722A28" w:rsidRDefault="00722A28" w:rsidP="00722A28">
      <w:pPr>
        <w:divId w:val="448934348"/>
        <w:rPr>
          <w:rFonts w:ascii="Times New Roman" w:eastAsia="Calibri" w:hAnsi="Times New Roman" w:cs="Times New Roman"/>
          <w:sz w:val="24"/>
        </w:rPr>
      </w:pPr>
      <w:r w:rsidRPr="00722A28">
        <w:rPr>
          <w:rFonts w:ascii="Times New Roman" w:eastAsia="Calibri" w:hAnsi="Times New Roman" w:cs="Times New Roman"/>
          <w:b/>
          <w:sz w:val="24"/>
        </w:rPr>
        <w:t>Table S6a.</w:t>
      </w:r>
      <w:r w:rsidRPr="00722A28">
        <w:rPr>
          <w:rFonts w:ascii="Times New Roman" w:eastAsia="Calibri" w:hAnsi="Times New Roman" w:cs="Times New Roman"/>
          <w:sz w:val="24"/>
        </w:rPr>
        <w:t xml:space="preserve"> </w:t>
      </w:r>
      <w:r w:rsidRPr="00722A28">
        <w:rPr>
          <w:rFonts w:ascii="Times New Roman" w:eastAsia="Times New Roman" w:hAnsi="Times New Roman" w:cs="Times New Roman"/>
          <w:b/>
          <w:sz w:val="24"/>
          <w:szCs w:val="24"/>
        </w:rPr>
        <w:t xml:space="preserve">Associations between alcohol use at age 15 years and </w:t>
      </w:r>
      <w:r w:rsidRPr="00722A28">
        <w:rPr>
          <w:rFonts w:ascii="Times New Roman" w:eastAsia="Times New Roman" w:hAnsi="Times New Roman" w:cs="Times New Roman"/>
          <w:b/>
          <w:i/>
          <w:sz w:val="24"/>
          <w:szCs w:val="24"/>
        </w:rPr>
        <w:t xml:space="preserve">d' </w:t>
      </w:r>
      <w:r w:rsidRPr="00722A28">
        <w:rPr>
          <w:rFonts w:ascii="Times New Roman" w:eastAsia="Times New Roman" w:hAnsi="Times New Roman" w:cs="Times New Roman"/>
          <w:b/>
          <w:sz w:val="24"/>
          <w:szCs w:val="24"/>
        </w:rPr>
        <w:t>at age 18 years for the 2-back task (</w:t>
      </w:r>
      <w:r w:rsidRPr="00722A28">
        <w:rPr>
          <w:rFonts w:ascii="Times New Roman" w:eastAsia="Times New Roman" w:hAnsi="Times New Roman" w:cs="Times New Roman"/>
          <w:b/>
          <w:i/>
          <w:sz w:val="24"/>
          <w:szCs w:val="24"/>
        </w:rPr>
        <w:t>n</w:t>
      </w:r>
      <w:r w:rsidRPr="00722A28">
        <w:rPr>
          <w:rFonts w:ascii="Times New Roman" w:eastAsia="Times New Roman" w:hAnsi="Times New Roman" w:cs="Times New Roman"/>
          <w:b/>
          <w:sz w:val="24"/>
          <w:szCs w:val="24"/>
        </w:rPr>
        <w:t>=3,351) in 50 multiply imputed datasets</w:t>
      </w:r>
      <w:r w:rsidRPr="00722A28">
        <w:rPr>
          <w:rFonts w:ascii="Times New Roman" w:eastAsia="Calibri" w:hAnsi="Times New Roman" w:cs="Times New Roman"/>
          <w:sz w:val="24"/>
        </w:rPr>
        <w:t xml:space="preserve"> </w:t>
      </w:r>
    </w:p>
    <w:tbl>
      <w:tblPr>
        <w:tblStyle w:val="TableGrid61"/>
        <w:tblW w:w="5000" w:type="pct"/>
        <w:tblLook w:val="04A0" w:firstRow="1" w:lastRow="0" w:firstColumn="1" w:lastColumn="0" w:noHBand="0" w:noVBand="1"/>
      </w:tblPr>
      <w:tblGrid>
        <w:gridCol w:w="2722"/>
        <w:gridCol w:w="1278"/>
        <w:gridCol w:w="1758"/>
        <w:gridCol w:w="865"/>
        <w:gridCol w:w="2446"/>
        <w:gridCol w:w="1811"/>
        <w:gridCol w:w="791"/>
        <w:gridCol w:w="1721"/>
        <w:gridCol w:w="782"/>
      </w:tblGrid>
      <w:tr w:rsidR="00722A28" w:rsidRPr="00722A28" w14:paraId="75E92877" w14:textId="77777777" w:rsidTr="00722A28">
        <w:trPr>
          <w:divId w:val="448934348"/>
        </w:trPr>
        <w:tc>
          <w:tcPr>
            <w:tcW w:w="960" w:type="pct"/>
            <w:tcBorders>
              <w:top w:val="double" w:sz="4" w:space="0" w:color="auto"/>
              <w:left w:val="nil"/>
              <w:bottom w:val="nil"/>
              <w:right w:val="single" w:sz="4" w:space="0" w:color="auto"/>
            </w:tcBorders>
          </w:tcPr>
          <w:p w14:paraId="3A8267B2" w14:textId="77777777" w:rsidR="00722A28" w:rsidRPr="00722A28" w:rsidRDefault="00722A28" w:rsidP="00722A28">
            <w:pPr>
              <w:spacing w:line="360" w:lineRule="auto"/>
              <w:rPr>
                <w:szCs w:val="24"/>
              </w:rPr>
            </w:pPr>
          </w:p>
        </w:tc>
        <w:tc>
          <w:tcPr>
            <w:tcW w:w="451" w:type="pct"/>
            <w:tcBorders>
              <w:top w:val="double" w:sz="4" w:space="0" w:color="auto"/>
              <w:left w:val="single" w:sz="4" w:space="0" w:color="auto"/>
              <w:bottom w:val="nil"/>
              <w:right w:val="nil"/>
            </w:tcBorders>
          </w:tcPr>
          <w:p w14:paraId="37D0E644" w14:textId="77777777" w:rsidR="00722A28" w:rsidRPr="00722A28" w:rsidRDefault="00722A28" w:rsidP="00722A28">
            <w:pPr>
              <w:spacing w:line="360" w:lineRule="auto"/>
              <w:rPr>
                <w:rFonts w:eastAsia="Calibri"/>
                <w:szCs w:val="24"/>
              </w:rPr>
            </w:pPr>
          </w:p>
        </w:tc>
        <w:tc>
          <w:tcPr>
            <w:tcW w:w="925" w:type="pct"/>
            <w:gridSpan w:val="2"/>
            <w:tcBorders>
              <w:top w:val="double" w:sz="4" w:space="0" w:color="auto"/>
              <w:left w:val="nil"/>
              <w:bottom w:val="nil"/>
              <w:right w:val="nil"/>
            </w:tcBorders>
            <w:hideMark/>
          </w:tcPr>
          <w:p w14:paraId="641E86EF" w14:textId="77777777" w:rsidR="00722A28" w:rsidRPr="00722A28" w:rsidRDefault="00722A28" w:rsidP="00722A28">
            <w:pPr>
              <w:spacing w:line="360" w:lineRule="auto"/>
              <w:rPr>
                <w:rFonts w:eastAsia="Calibri"/>
                <w:szCs w:val="24"/>
              </w:rPr>
            </w:pPr>
            <w:r w:rsidRPr="00722A28">
              <w:rPr>
                <w:rFonts w:eastAsia="Calibri"/>
                <w:szCs w:val="24"/>
              </w:rPr>
              <w:t>Model 1</w:t>
            </w:r>
          </w:p>
        </w:tc>
        <w:tc>
          <w:tcPr>
            <w:tcW w:w="863" w:type="pct"/>
            <w:tcBorders>
              <w:top w:val="double" w:sz="4" w:space="0" w:color="auto"/>
              <w:left w:val="nil"/>
              <w:bottom w:val="nil"/>
              <w:right w:val="nil"/>
            </w:tcBorders>
            <w:hideMark/>
          </w:tcPr>
          <w:p w14:paraId="022B5C90" w14:textId="77777777" w:rsidR="00722A28" w:rsidRPr="00722A28" w:rsidRDefault="00722A28" w:rsidP="00722A28">
            <w:pPr>
              <w:spacing w:line="360" w:lineRule="auto"/>
              <w:rPr>
                <w:rFonts w:eastAsia="Calibri"/>
                <w:szCs w:val="24"/>
              </w:rPr>
            </w:pPr>
            <w:r w:rsidRPr="00722A28">
              <w:rPr>
                <w:rFonts w:eastAsia="Calibri"/>
                <w:szCs w:val="24"/>
              </w:rPr>
              <w:t>Model 2</w:t>
            </w:r>
          </w:p>
        </w:tc>
        <w:tc>
          <w:tcPr>
            <w:tcW w:w="918" w:type="pct"/>
            <w:gridSpan w:val="2"/>
            <w:tcBorders>
              <w:top w:val="double" w:sz="4" w:space="0" w:color="auto"/>
              <w:left w:val="nil"/>
              <w:bottom w:val="nil"/>
              <w:right w:val="nil"/>
            </w:tcBorders>
            <w:hideMark/>
          </w:tcPr>
          <w:p w14:paraId="548ABCB4" w14:textId="77777777" w:rsidR="00722A28" w:rsidRPr="00722A28" w:rsidRDefault="00722A28" w:rsidP="00722A28">
            <w:pPr>
              <w:spacing w:line="360" w:lineRule="auto"/>
              <w:rPr>
                <w:rFonts w:eastAsia="Calibri"/>
                <w:szCs w:val="24"/>
              </w:rPr>
            </w:pPr>
            <w:r w:rsidRPr="00722A28">
              <w:rPr>
                <w:rFonts w:eastAsia="Calibri"/>
                <w:szCs w:val="24"/>
              </w:rPr>
              <w:t>Model 3</w:t>
            </w:r>
          </w:p>
        </w:tc>
        <w:tc>
          <w:tcPr>
            <w:tcW w:w="883" w:type="pct"/>
            <w:gridSpan w:val="2"/>
            <w:tcBorders>
              <w:top w:val="double" w:sz="4" w:space="0" w:color="auto"/>
              <w:left w:val="nil"/>
              <w:bottom w:val="nil"/>
              <w:right w:val="nil"/>
            </w:tcBorders>
            <w:hideMark/>
          </w:tcPr>
          <w:p w14:paraId="69762EAA" w14:textId="77777777" w:rsidR="00722A28" w:rsidRPr="00722A28" w:rsidRDefault="00722A28" w:rsidP="00722A28">
            <w:pPr>
              <w:spacing w:line="360" w:lineRule="auto"/>
              <w:rPr>
                <w:rFonts w:eastAsia="Calibri"/>
                <w:szCs w:val="24"/>
              </w:rPr>
            </w:pPr>
            <w:r w:rsidRPr="00722A28">
              <w:rPr>
                <w:rFonts w:eastAsia="Calibri"/>
                <w:szCs w:val="24"/>
              </w:rPr>
              <w:t>Model 4</w:t>
            </w:r>
          </w:p>
        </w:tc>
      </w:tr>
      <w:tr w:rsidR="00722A28" w:rsidRPr="00722A28" w14:paraId="46897FB7" w14:textId="77777777" w:rsidTr="00722A28">
        <w:trPr>
          <w:divId w:val="448934348"/>
        </w:trPr>
        <w:tc>
          <w:tcPr>
            <w:tcW w:w="960" w:type="pct"/>
            <w:tcBorders>
              <w:top w:val="nil"/>
              <w:left w:val="nil"/>
              <w:bottom w:val="single" w:sz="4" w:space="0" w:color="auto"/>
              <w:right w:val="single" w:sz="4" w:space="0" w:color="auto"/>
            </w:tcBorders>
          </w:tcPr>
          <w:p w14:paraId="0CC24EFA" w14:textId="77777777" w:rsidR="00722A28" w:rsidRPr="00722A28" w:rsidRDefault="00722A28" w:rsidP="00722A28">
            <w:pPr>
              <w:spacing w:line="360" w:lineRule="auto"/>
              <w:rPr>
                <w:rFonts w:eastAsia="Calibri"/>
                <w:szCs w:val="24"/>
              </w:rPr>
            </w:pPr>
          </w:p>
        </w:tc>
        <w:tc>
          <w:tcPr>
            <w:tcW w:w="451" w:type="pct"/>
            <w:tcBorders>
              <w:top w:val="nil"/>
              <w:left w:val="single" w:sz="4" w:space="0" w:color="auto"/>
              <w:bottom w:val="single" w:sz="4" w:space="0" w:color="auto"/>
              <w:right w:val="nil"/>
            </w:tcBorders>
            <w:hideMark/>
          </w:tcPr>
          <w:p w14:paraId="155C761C" w14:textId="77777777" w:rsidR="00722A28" w:rsidRPr="00722A28" w:rsidRDefault="00722A28" w:rsidP="00722A28">
            <w:pPr>
              <w:spacing w:line="360" w:lineRule="auto"/>
              <w:rPr>
                <w:rFonts w:eastAsia="Calibri"/>
                <w:i/>
                <w:szCs w:val="24"/>
              </w:rPr>
            </w:pPr>
            <w:r w:rsidRPr="00722A28">
              <w:rPr>
                <w:rFonts w:eastAsia="Calibri"/>
                <w:i/>
                <w:szCs w:val="24"/>
              </w:rPr>
              <w:t>n (%)</w:t>
            </w:r>
          </w:p>
        </w:tc>
        <w:tc>
          <w:tcPr>
            <w:tcW w:w="620" w:type="pct"/>
            <w:tcBorders>
              <w:top w:val="nil"/>
              <w:left w:val="nil"/>
              <w:bottom w:val="single" w:sz="4" w:space="0" w:color="auto"/>
              <w:right w:val="nil"/>
            </w:tcBorders>
            <w:hideMark/>
          </w:tcPr>
          <w:p w14:paraId="172BC6DF" w14:textId="77777777" w:rsidR="00722A28" w:rsidRPr="00722A28" w:rsidRDefault="00722A28" w:rsidP="00722A28">
            <w:pPr>
              <w:spacing w:line="360" w:lineRule="auto"/>
              <w:rPr>
                <w:rFonts w:eastAsia="Calibri"/>
                <w:szCs w:val="24"/>
              </w:rPr>
            </w:pPr>
            <w:r w:rsidRPr="00722A28">
              <w:rPr>
                <w:rFonts w:eastAsia="Calibri"/>
                <w:i/>
                <w:szCs w:val="24"/>
              </w:rPr>
              <w:t>b</w:t>
            </w:r>
            <w:r w:rsidRPr="00722A28">
              <w:rPr>
                <w:rFonts w:eastAsia="Calibri"/>
                <w:szCs w:val="24"/>
              </w:rPr>
              <w:t xml:space="preserve"> (</w:t>
            </w:r>
            <w:r w:rsidRPr="00722A28">
              <w:rPr>
                <w:rFonts w:eastAsia="Calibri"/>
                <w:i/>
                <w:szCs w:val="24"/>
              </w:rPr>
              <w:t>95% CI)</w:t>
            </w:r>
          </w:p>
        </w:tc>
        <w:tc>
          <w:tcPr>
            <w:tcW w:w="305" w:type="pct"/>
            <w:tcBorders>
              <w:top w:val="nil"/>
              <w:left w:val="nil"/>
              <w:bottom w:val="single" w:sz="4" w:space="0" w:color="auto"/>
              <w:right w:val="nil"/>
            </w:tcBorders>
            <w:hideMark/>
          </w:tcPr>
          <w:p w14:paraId="0579236B" w14:textId="77777777" w:rsidR="00722A28" w:rsidRPr="00722A28" w:rsidRDefault="00722A28" w:rsidP="00722A28">
            <w:pPr>
              <w:spacing w:line="360" w:lineRule="auto"/>
              <w:rPr>
                <w:rFonts w:eastAsia="Calibri"/>
                <w:i/>
                <w:szCs w:val="24"/>
              </w:rPr>
            </w:pPr>
            <w:r w:rsidRPr="00722A28">
              <w:rPr>
                <w:rFonts w:eastAsia="Calibri"/>
                <w:i/>
                <w:szCs w:val="24"/>
              </w:rPr>
              <w:t>p</w:t>
            </w:r>
          </w:p>
        </w:tc>
        <w:tc>
          <w:tcPr>
            <w:tcW w:w="863" w:type="pct"/>
            <w:tcBorders>
              <w:top w:val="nil"/>
              <w:left w:val="nil"/>
              <w:bottom w:val="single" w:sz="4" w:space="0" w:color="auto"/>
              <w:right w:val="nil"/>
            </w:tcBorders>
            <w:hideMark/>
          </w:tcPr>
          <w:p w14:paraId="13508183" w14:textId="77777777" w:rsidR="00722A28" w:rsidRPr="00722A28" w:rsidRDefault="00722A28" w:rsidP="00722A28">
            <w:pPr>
              <w:spacing w:line="360" w:lineRule="auto"/>
              <w:rPr>
                <w:rFonts w:eastAsia="Calibri"/>
                <w:szCs w:val="24"/>
              </w:rPr>
            </w:pPr>
            <w:r w:rsidRPr="00722A28">
              <w:rPr>
                <w:rFonts w:eastAsia="Calibri"/>
                <w:i/>
                <w:szCs w:val="24"/>
              </w:rPr>
              <w:t>b</w:t>
            </w:r>
            <w:r w:rsidRPr="00722A28">
              <w:rPr>
                <w:rFonts w:eastAsia="Calibri"/>
                <w:szCs w:val="24"/>
              </w:rPr>
              <w:t xml:space="preserve"> (</w:t>
            </w:r>
            <w:r w:rsidRPr="00722A28">
              <w:rPr>
                <w:rFonts w:eastAsia="Calibri"/>
                <w:i/>
                <w:szCs w:val="24"/>
              </w:rPr>
              <w:t>95% CI)            p</w:t>
            </w:r>
          </w:p>
        </w:tc>
        <w:tc>
          <w:tcPr>
            <w:tcW w:w="639" w:type="pct"/>
            <w:tcBorders>
              <w:top w:val="nil"/>
              <w:left w:val="nil"/>
              <w:bottom w:val="single" w:sz="4" w:space="0" w:color="auto"/>
              <w:right w:val="nil"/>
            </w:tcBorders>
            <w:hideMark/>
          </w:tcPr>
          <w:p w14:paraId="12853690" w14:textId="77777777" w:rsidR="00722A28" w:rsidRPr="00722A28" w:rsidRDefault="00722A28" w:rsidP="00722A28">
            <w:pPr>
              <w:spacing w:line="360" w:lineRule="auto"/>
              <w:rPr>
                <w:rFonts w:eastAsia="Calibri"/>
                <w:i/>
                <w:szCs w:val="24"/>
              </w:rPr>
            </w:pPr>
            <w:r w:rsidRPr="00722A28">
              <w:rPr>
                <w:rFonts w:eastAsia="Calibri"/>
                <w:i/>
                <w:szCs w:val="24"/>
              </w:rPr>
              <w:t>b</w:t>
            </w:r>
            <w:r w:rsidRPr="00722A28">
              <w:rPr>
                <w:rFonts w:eastAsia="Calibri"/>
                <w:szCs w:val="24"/>
              </w:rPr>
              <w:t xml:space="preserve"> (</w:t>
            </w:r>
            <w:r w:rsidRPr="00722A28">
              <w:rPr>
                <w:rFonts w:eastAsia="Calibri"/>
                <w:i/>
                <w:szCs w:val="24"/>
              </w:rPr>
              <w:t>95% CI)</w:t>
            </w:r>
          </w:p>
        </w:tc>
        <w:tc>
          <w:tcPr>
            <w:tcW w:w="279" w:type="pct"/>
            <w:tcBorders>
              <w:top w:val="nil"/>
              <w:left w:val="nil"/>
              <w:bottom w:val="single" w:sz="4" w:space="0" w:color="auto"/>
              <w:right w:val="nil"/>
            </w:tcBorders>
            <w:hideMark/>
          </w:tcPr>
          <w:p w14:paraId="1B8B0017" w14:textId="77777777" w:rsidR="00722A28" w:rsidRPr="00722A28" w:rsidRDefault="00722A28" w:rsidP="00722A28">
            <w:pPr>
              <w:spacing w:line="360" w:lineRule="auto"/>
              <w:rPr>
                <w:rFonts w:eastAsia="Calibri"/>
                <w:i/>
                <w:szCs w:val="24"/>
              </w:rPr>
            </w:pPr>
            <w:r w:rsidRPr="00722A28">
              <w:rPr>
                <w:rFonts w:eastAsia="Calibri"/>
                <w:i/>
                <w:szCs w:val="24"/>
              </w:rPr>
              <w:t>p</w:t>
            </w:r>
          </w:p>
        </w:tc>
        <w:tc>
          <w:tcPr>
            <w:tcW w:w="607" w:type="pct"/>
            <w:tcBorders>
              <w:top w:val="nil"/>
              <w:left w:val="nil"/>
              <w:bottom w:val="single" w:sz="4" w:space="0" w:color="auto"/>
              <w:right w:val="nil"/>
            </w:tcBorders>
            <w:hideMark/>
          </w:tcPr>
          <w:p w14:paraId="3E8F3AA9" w14:textId="77777777" w:rsidR="00722A28" w:rsidRPr="00722A28" w:rsidRDefault="00722A28" w:rsidP="00722A28">
            <w:pPr>
              <w:spacing w:line="360" w:lineRule="auto"/>
              <w:rPr>
                <w:rFonts w:eastAsia="Calibri"/>
                <w:szCs w:val="24"/>
              </w:rPr>
            </w:pPr>
            <w:r w:rsidRPr="00722A28">
              <w:rPr>
                <w:rFonts w:eastAsia="Calibri"/>
                <w:i/>
                <w:szCs w:val="24"/>
              </w:rPr>
              <w:t>b</w:t>
            </w:r>
            <w:r w:rsidRPr="00722A28">
              <w:rPr>
                <w:rFonts w:eastAsia="Calibri"/>
                <w:szCs w:val="24"/>
              </w:rPr>
              <w:t xml:space="preserve"> (</w:t>
            </w:r>
            <w:r w:rsidRPr="00722A28">
              <w:rPr>
                <w:rFonts w:eastAsia="Calibri"/>
                <w:i/>
                <w:szCs w:val="24"/>
              </w:rPr>
              <w:t>95% CI)</w:t>
            </w:r>
          </w:p>
        </w:tc>
        <w:tc>
          <w:tcPr>
            <w:tcW w:w="276" w:type="pct"/>
            <w:tcBorders>
              <w:top w:val="nil"/>
              <w:left w:val="nil"/>
              <w:bottom w:val="single" w:sz="4" w:space="0" w:color="auto"/>
              <w:right w:val="nil"/>
            </w:tcBorders>
            <w:hideMark/>
          </w:tcPr>
          <w:p w14:paraId="17CA4A1A" w14:textId="77777777" w:rsidR="00722A28" w:rsidRPr="00722A28" w:rsidRDefault="00722A28" w:rsidP="00722A28">
            <w:pPr>
              <w:spacing w:line="360" w:lineRule="auto"/>
              <w:rPr>
                <w:rFonts w:eastAsia="Calibri"/>
                <w:i/>
                <w:szCs w:val="24"/>
              </w:rPr>
            </w:pPr>
            <w:r w:rsidRPr="00722A28">
              <w:rPr>
                <w:rFonts w:eastAsia="Calibri"/>
                <w:i/>
                <w:szCs w:val="24"/>
              </w:rPr>
              <w:t>p</w:t>
            </w:r>
          </w:p>
        </w:tc>
      </w:tr>
      <w:tr w:rsidR="00722A28" w:rsidRPr="00722A28" w14:paraId="47AAFA07" w14:textId="77777777" w:rsidTr="00722A28">
        <w:trPr>
          <w:divId w:val="448934348"/>
        </w:trPr>
        <w:tc>
          <w:tcPr>
            <w:tcW w:w="960" w:type="pct"/>
            <w:tcBorders>
              <w:top w:val="nil"/>
              <w:left w:val="nil"/>
              <w:bottom w:val="nil"/>
              <w:right w:val="single" w:sz="4" w:space="0" w:color="auto"/>
            </w:tcBorders>
            <w:hideMark/>
          </w:tcPr>
          <w:p w14:paraId="23F57922" w14:textId="77777777" w:rsidR="00722A28" w:rsidRPr="00722A28" w:rsidRDefault="00722A28" w:rsidP="00722A28">
            <w:pPr>
              <w:spacing w:line="360" w:lineRule="auto"/>
              <w:rPr>
                <w:rFonts w:eastAsia="Calibri"/>
                <w:i/>
                <w:szCs w:val="24"/>
              </w:rPr>
            </w:pPr>
            <w:r w:rsidRPr="00722A28">
              <w:rPr>
                <w:rFonts w:eastAsia="Calibri"/>
                <w:i/>
                <w:szCs w:val="24"/>
              </w:rPr>
              <w:t>Low alcohol use</w:t>
            </w:r>
          </w:p>
        </w:tc>
        <w:tc>
          <w:tcPr>
            <w:tcW w:w="451" w:type="pct"/>
            <w:tcBorders>
              <w:top w:val="single" w:sz="4" w:space="0" w:color="auto"/>
              <w:left w:val="single" w:sz="4" w:space="0" w:color="auto"/>
              <w:bottom w:val="nil"/>
              <w:right w:val="nil"/>
            </w:tcBorders>
          </w:tcPr>
          <w:p w14:paraId="1B34C52D" w14:textId="77777777" w:rsidR="00722A28" w:rsidRPr="00722A28" w:rsidRDefault="00722A28" w:rsidP="00722A28">
            <w:pPr>
              <w:spacing w:line="360" w:lineRule="auto"/>
              <w:rPr>
                <w:rFonts w:eastAsia="Calibri"/>
                <w:szCs w:val="24"/>
              </w:rPr>
            </w:pPr>
          </w:p>
        </w:tc>
        <w:tc>
          <w:tcPr>
            <w:tcW w:w="620" w:type="pct"/>
            <w:tcBorders>
              <w:top w:val="single" w:sz="4" w:space="0" w:color="auto"/>
              <w:left w:val="nil"/>
              <w:bottom w:val="nil"/>
              <w:right w:val="nil"/>
            </w:tcBorders>
            <w:hideMark/>
          </w:tcPr>
          <w:p w14:paraId="527D0F30" w14:textId="77777777" w:rsidR="00722A28" w:rsidRPr="00722A28" w:rsidRDefault="00722A28" w:rsidP="00722A28">
            <w:pPr>
              <w:spacing w:line="360" w:lineRule="auto"/>
              <w:rPr>
                <w:rFonts w:eastAsia="Calibri"/>
                <w:szCs w:val="24"/>
              </w:rPr>
            </w:pPr>
            <w:r w:rsidRPr="00722A28">
              <w:rPr>
                <w:rFonts w:eastAsia="Calibri"/>
                <w:szCs w:val="24"/>
              </w:rPr>
              <w:t>ref</w:t>
            </w:r>
          </w:p>
        </w:tc>
        <w:tc>
          <w:tcPr>
            <w:tcW w:w="305" w:type="pct"/>
            <w:tcBorders>
              <w:top w:val="single" w:sz="4" w:space="0" w:color="auto"/>
              <w:left w:val="nil"/>
              <w:bottom w:val="nil"/>
              <w:right w:val="nil"/>
            </w:tcBorders>
          </w:tcPr>
          <w:p w14:paraId="22BC74FD" w14:textId="77777777" w:rsidR="00722A28" w:rsidRPr="00722A28" w:rsidRDefault="00722A28" w:rsidP="00722A28">
            <w:pPr>
              <w:spacing w:line="360" w:lineRule="auto"/>
              <w:rPr>
                <w:rFonts w:eastAsia="Calibri"/>
                <w:szCs w:val="24"/>
              </w:rPr>
            </w:pPr>
          </w:p>
        </w:tc>
        <w:tc>
          <w:tcPr>
            <w:tcW w:w="863" w:type="pct"/>
            <w:tcBorders>
              <w:top w:val="single" w:sz="4" w:space="0" w:color="auto"/>
              <w:left w:val="nil"/>
              <w:bottom w:val="nil"/>
              <w:right w:val="nil"/>
            </w:tcBorders>
            <w:hideMark/>
          </w:tcPr>
          <w:p w14:paraId="32E0CB81" w14:textId="77777777" w:rsidR="00722A28" w:rsidRPr="00722A28" w:rsidRDefault="00722A28" w:rsidP="00722A28">
            <w:pPr>
              <w:spacing w:line="360" w:lineRule="auto"/>
              <w:rPr>
                <w:rFonts w:eastAsia="Calibri"/>
                <w:szCs w:val="24"/>
              </w:rPr>
            </w:pPr>
            <w:r w:rsidRPr="00722A28">
              <w:rPr>
                <w:rFonts w:eastAsia="Calibri"/>
                <w:szCs w:val="24"/>
              </w:rPr>
              <w:t>ref</w:t>
            </w:r>
          </w:p>
        </w:tc>
        <w:tc>
          <w:tcPr>
            <w:tcW w:w="639" w:type="pct"/>
            <w:tcBorders>
              <w:top w:val="single" w:sz="4" w:space="0" w:color="auto"/>
              <w:left w:val="nil"/>
              <w:bottom w:val="nil"/>
              <w:right w:val="nil"/>
            </w:tcBorders>
            <w:hideMark/>
          </w:tcPr>
          <w:p w14:paraId="74EBD32D" w14:textId="77777777" w:rsidR="00722A28" w:rsidRPr="00722A28" w:rsidRDefault="00722A28" w:rsidP="00722A28">
            <w:pPr>
              <w:spacing w:line="360" w:lineRule="auto"/>
              <w:rPr>
                <w:rFonts w:eastAsia="Calibri"/>
                <w:szCs w:val="24"/>
              </w:rPr>
            </w:pPr>
            <w:r w:rsidRPr="00722A28">
              <w:rPr>
                <w:rFonts w:eastAsia="Calibri"/>
                <w:szCs w:val="24"/>
              </w:rPr>
              <w:t>ref</w:t>
            </w:r>
          </w:p>
        </w:tc>
        <w:tc>
          <w:tcPr>
            <w:tcW w:w="279" w:type="pct"/>
            <w:tcBorders>
              <w:top w:val="single" w:sz="4" w:space="0" w:color="auto"/>
              <w:left w:val="nil"/>
              <w:bottom w:val="nil"/>
              <w:right w:val="nil"/>
            </w:tcBorders>
          </w:tcPr>
          <w:p w14:paraId="161151D9" w14:textId="77777777" w:rsidR="00722A28" w:rsidRPr="00722A28" w:rsidRDefault="00722A28" w:rsidP="00722A28">
            <w:pPr>
              <w:spacing w:line="360" w:lineRule="auto"/>
              <w:rPr>
                <w:rFonts w:eastAsia="Calibri"/>
                <w:szCs w:val="24"/>
              </w:rPr>
            </w:pPr>
          </w:p>
        </w:tc>
        <w:tc>
          <w:tcPr>
            <w:tcW w:w="607" w:type="pct"/>
            <w:tcBorders>
              <w:top w:val="single" w:sz="4" w:space="0" w:color="auto"/>
              <w:left w:val="nil"/>
              <w:bottom w:val="nil"/>
              <w:right w:val="nil"/>
            </w:tcBorders>
            <w:hideMark/>
          </w:tcPr>
          <w:p w14:paraId="317DA5E9" w14:textId="77777777" w:rsidR="00722A28" w:rsidRPr="00722A28" w:rsidRDefault="00722A28" w:rsidP="00722A28">
            <w:pPr>
              <w:spacing w:line="360" w:lineRule="auto"/>
              <w:rPr>
                <w:rFonts w:eastAsia="Calibri"/>
                <w:szCs w:val="24"/>
              </w:rPr>
            </w:pPr>
            <w:r w:rsidRPr="00722A28">
              <w:rPr>
                <w:rFonts w:eastAsia="Calibri"/>
                <w:szCs w:val="24"/>
              </w:rPr>
              <w:t>ref</w:t>
            </w:r>
          </w:p>
        </w:tc>
        <w:tc>
          <w:tcPr>
            <w:tcW w:w="276" w:type="pct"/>
            <w:tcBorders>
              <w:top w:val="single" w:sz="4" w:space="0" w:color="auto"/>
              <w:left w:val="nil"/>
              <w:bottom w:val="nil"/>
              <w:right w:val="nil"/>
            </w:tcBorders>
          </w:tcPr>
          <w:p w14:paraId="3C529856" w14:textId="77777777" w:rsidR="00722A28" w:rsidRPr="00722A28" w:rsidRDefault="00722A28" w:rsidP="00722A28">
            <w:pPr>
              <w:spacing w:line="360" w:lineRule="auto"/>
              <w:rPr>
                <w:rFonts w:eastAsia="Calibri"/>
                <w:szCs w:val="24"/>
              </w:rPr>
            </w:pPr>
          </w:p>
        </w:tc>
      </w:tr>
      <w:tr w:rsidR="00722A28" w:rsidRPr="00722A28" w14:paraId="2B19B1DB" w14:textId="77777777" w:rsidTr="00722A28">
        <w:trPr>
          <w:divId w:val="448934348"/>
        </w:trPr>
        <w:tc>
          <w:tcPr>
            <w:tcW w:w="960" w:type="pct"/>
            <w:tcBorders>
              <w:top w:val="nil"/>
              <w:left w:val="nil"/>
              <w:bottom w:val="nil"/>
              <w:right w:val="single" w:sz="4" w:space="0" w:color="auto"/>
            </w:tcBorders>
            <w:hideMark/>
          </w:tcPr>
          <w:p w14:paraId="0546AFC5" w14:textId="77777777" w:rsidR="00722A28" w:rsidRPr="00722A28" w:rsidRDefault="00722A28" w:rsidP="00722A28">
            <w:pPr>
              <w:spacing w:line="360" w:lineRule="auto"/>
              <w:rPr>
                <w:rFonts w:eastAsia="Calibri"/>
                <w:i/>
                <w:szCs w:val="24"/>
              </w:rPr>
            </w:pPr>
            <w:r w:rsidRPr="00722A28">
              <w:rPr>
                <w:rFonts w:eastAsia="Calibri"/>
                <w:i/>
                <w:szCs w:val="24"/>
              </w:rPr>
              <w:t>Frequent drinking only</w:t>
            </w:r>
          </w:p>
        </w:tc>
        <w:tc>
          <w:tcPr>
            <w:tcW w:w="451" w:type="pct"/>
            <w:tcBorders>
              <w:top w:val="nil"/>
              <w:left w:val="single" w:sz="4" w:space="0" w:color="auto"/>
              <w:bottom w:val="nil"/>
              <w:right w:val="nil"/>
            </w:tcBorders>
            <w:hideMark/>
          </w:tcPr>
          <w:p w14:paraId="03D1C826" w14:textId="77777777" w:rsidR="00722A28" w:rsidRPr="00722A28" w:rsidRDefault="00722A28" w:rsidP="00722A28">
            <w:pPr>
              <w:spacing w:line="360" w:lineRule="auto"/>
              <w:rPr>
                <w:rFonts w:eastAsia="Calibri"/>
                <w:szCs w:val="24"/>
              </w:rPr>
            </w:pPr>
            <w:r w:rsidRPr="00722A28">
              <w:rPr>
                <w:rFonts w:eastAsia="Calibri"/>
                <w:szCs w:val="24"/>
              </w:rPr>
              <w:t>397 (11.7)</w:t>
            </w:r>
          </w:p>
        </w:tc>
        <w:tc>
          <w:tcPr>
            <w:tcW w:w="620" w:type="pct"/>
            <w:tcBorders>
              <w:top w:val="nil"/>
              <w:left w:val="nil"/>
              <w:bottom w:val="nil"/>
              <w:right w:val="nil"/>
            </w:tcBorders>
            <w:hideMark/>
          </w:tcPr>
          <w:p w14:paraId="21F81A65" w14:textId="77777777" w:rsidR="00722A28" w:rsidRPr="00722A28" w:rsidRDefault="00722A28" w:rsidP="00722A28">
            <w:pPr>
              <w:spacing w:line="360" w:lineRule="auto"/>
              <w:rPr>
                <w:rFonts w:eastAsia="Calibri"/>
                <w:szCs w:val="24"/>
              </w:rPr>
            </w:pPr>
            <w:r w:rsidRPr="00722A28">
              <w:rPr>
                <w:rFonts w:eastAsia="Calibri"/>
                <w:szCs w:val="24"/>
              </w:rPr>
              <w:t xml:space="preserve"> -.00 (-.15, .14)</w:t>
            </w:r>
          </w:p>
        </w:tc>
        <w:tc>
          <w:tcPr>
            <w:tcW w:w="305" w:type="pct"/>
            <w:tcBorders>
              <w:top w:val="nil"/>
              <w:left w:val="nil"/>
              <w:bottom w:val="nil"/>
              <w:right w:val="nil"/>
            </w:tcBorders>
            <w:hideMark/>
          </w:tcPr>
          <w:p w14:paraId="46195E32" w14:textId="77777777" w:rsidR="00722A28" w:rsidRPr="00722A28" w:rsidRDefault="00722A28" w:rsidP="00722A28">
            <w:pPr>
              <w:spacing w:line="360" w:lineRule="auto"/>
              <w:rPr>
                <w:rFonts w:eastAsia="Calibri"/>
                <w:szCs w:val="24"/>
              </w:rPr>
            </w:pPr>
            <w:r w:rsidRPr="00722A28">
              <w:rPr>
                <w:rFonts w:eastAsia="Calibri"/>
                <w:szCs w:val="24"/>
              </w:rPr>
              <w:t>.96</w:t>
            </w:r>
          </w:p>
        </w:tc>
        <w:tc>
          <w:tcPr>
            <w:tcW w:w="863" w:type="pct"/>
            <w:tcBorders>
              <w:top w:val="nil"/>
              <w:left w:val="nil"/>
              <w:bottom w:val="nil"/>
              <w:right w:val="nil"/>
            </w:tcBorders>
            <w:hideMark/>
          </w:tcPr>
          <w:p w14:paraId="563F8545" w14:textId="77777777" w:rsidR="00722A28" w:rsidRPr="00722A28" w:rsidRDefault="00722A28" w:rsidP="00722A28">
            <w:pPr>
              <w:spacing w:line="360" w:lineRule="auto"/>
              <w:rPr>
                <w:rFonts w:eastAsia="Calibri"/>
                <w:szCs w:val="24"/>
              </w:rPr>
            </w:pPr>
            <w:r w:rsidRPr="00722A28">
              <w:rPr>
                <w:rFonts w:eastAsia="Calibri"/>
                <w:szCs w:val="24"/>
              </w:rPr>
              <w:t>-.03 (-.16, .10)   .76</w:t>
            </w:r>
          </w:p>
        </w:tc>
        <w:tc>
          <w:tcPr>
            <w:tcW w:w="639" w:type="pct"/>
            <w:tcBorders>
              <w:top w:val="nil"/>
              <w:left w:val="nil"/>
              <w:bottom w:val="nil"/>
              <w:right w:val="nil"/>
            </w:tcBorders>
            <w:hideMark/>
          </w:tcPr>
          <w:p w14:paraId="5DE8917D" w14:textId="77777777" w:rsidR="00722A28" w:rsidRPr="00722A28" w:rsidRDefault="00722A28" w:rsidP="00722A28">
            <w:pPr>
              <w:spacing w:line="360" w:lineRule="auto"/>
              <w:rPr>
                <w:rFonts w:eastAsia="Calibri"/>
                <w:szCs w:val="24"/>
              </w:rPr>
            </w:pPr>
            <w:r w:rsidRPr="00722A28">
              <w:rPr>
                <w:rFonts w:eastAsia="Calibri"/>
                <w:szCs w:val="24"/>
              </w:rPr>
              <w:t>-.04 (-.17, .10)</w:t>
            </w:r>
          </w:p>
        </w:tc>
        <w:tc>
          <w:tcPr>
            <w:tcW w:w="279" w:type="pct"/>
            <w:tcBorders>
              <w:top w:val="nil"/>
              <w:left w:val="nil"/>
              <w:bottom w:val="nil"/>
              <w:right w:val="nil"/>
            </w:tcBorders>
            <w:hideMark/>
          </w:tcPr>
          <w:p w14:paraId="3E22580E" w14:textId="77777777" w:rsidR="00722A28" w:rsidRPr="00722A28" w:rsidRDefault="00722A28" w:rsidP="00722A28">
            <w:pPr>
              <w:spacing w:line="360" w:lineRule="auto"/>
              <w:rPr>
                <w:rFonts w:eastAsia="Calibri"/>
                <w:szCs w:val="24"/>
              </w:rPr>
            </w:pPr>
            <w:r w:rsidRPr="00722A28">
              <w:rPr>
                <w:rFonts w:eastAsia="Calibri"/>
                <w:szCs w:val="24"/>
              </w:rPr>
              <w:t>.58</w:t>
            </w:r>
          </w:p>
        </w:tc>
        <w:tc>
          <w:tcPr>
            <w:tcW w:w="607" w:type="pct"/>
            <w:tcBorders>
              <w:top w:val="nil"/>
              <w:left w:val="nil"/>
              <w:bottom w:val="nil"/>
              <w:right w:val="nil"/>
            </w:tcBorders>
            <w:hideMark/>
          </w:tcPr>
          <w:p w14:paraId="4698DD4A" w14:textId="77777777" w:rsidR="00722A28" w:rsidRPr="00722A28" w:rsidRDefault="00722A28" w:rsidP="00722A28">
            <w:pPr>
              <w:spacing w:line="360" w:lineRule="auto"/>
              <w:rPr>
                <w:rFonts w:eastAsia="Calibri"/>
                <w:szCs w:val="24"/>
              </w:rPr>
            </w:pPr>
            <w:r w:rsidRPr="00722A28">
              <w:rPr>
                <w:rFonts w:eastAsia="Calibri"/>
                <w:szCs w:val="24"/>
              </w:rPr>
              <w:t xml:space="preserve"> .02 (-.11, .16)</w:t>
            </w:r>
          </w:p>
        </w:tc>
        <w:tc>
          <w:tcPr>
            <w:tcW w:w="276" w:type="pct"/>
            <w:tcBorders>
              <w:top w:val="nil"/>
              <w:left w:val="nil"/>
              <w:bottom w:val="nil"/>
              <w:right w:val="nil"/>
            </w:tcBorders>
            <w:hideMark/>
          </w:tcPr>
          <w:p w14:paraId="716E2F4E" w14:textId="77777777" w:rsidR="00722A28" w:rsidRPr="00722A28" w:rsidRDefault="00722A28" w:rsidP="00722A28">
            <w:pPr>
              <w:spacing w:line="360" w:lineRule="auto"/>
              <w:rPr>
                <w:rFonts w:eastAsia="Calibri"/>
                <w:szCs w:val="24"/>
              </w:rPr>
            </w:pPr>
            <w:r w:rsidRPr="00722A28">
              <w:rPr>
                <w:rFonts w:eastAsia="Calibri"/>
                <w:szCs w:val="24"/>
              </w:rPr>
              <w:t>.79</w:t>
            </w:r>
          </w:p>
        </w:tc>
      </w:tr>
      <w:tr w:rsidR="00722A28" w:rsidRPr="00722A28" w14:paraId="3F463B77" w14:textId="77777777" w:rsidTr="00722A28">
        <w:trPr>
          <w:divId w:val="448934348"/>
        </w:trPr>
        <w:tc>
          <w:tcPr>
            <w:tcW w:w="960" w:type="pct"/>
            <w:tcBorders>
              <w:top w:val="nil"/>
              <w:left w:val="nil"/>
              <w:bottom w:val="double" w:sz="4" w:space="0" w:color="auto"/>
              <w:right w:val="single" w:sz="4" w:space="0" w:color="auto"/>
            </w:tcBorders>
            <w:hideMark/>
          </w:tcPr>
          <w:p w14:paraId="13C8F567" w14:textId="77777777" w:rsidR="00722A28" w:rsidRPr="00722A28" w:rsidRDefault="00722A28" w:rsidP="00722A28">
            <w:pPr>
              <w:spacing w:line="360" w:lineRule="auto"/>
              <w:rPr>
                <w:rFonts w:eastAsia="Calibri"/>
                <w:i/>
                <w:szCs w:val="24"/>
              </w:rPr>
            </w:pPr>
            <w:r w:rsidRPr="00722A28">
              <w:rPr>
                <w:rFonts w:eastAsia="Calibri"/>
                <w:i/>
                <w:szCs w:val="24"/>
              </w:rPr>
              <w:t>Frequent and binge</w:t>
            </w:r>
          </w:p>
        </w:tc>
        <w:tc>
          <w:tcPr>
            <w:tcW w:w="451" w:type="pct"/>
            <w:tcBorders>
              <w:top w:val="nil"/>
              <w:left w:val="single" w:sz="4" w:space="0" w:color="auto"/>
              <w:bottom w:val="double" w:sz="4" w:space="0" w:color="auto"/>
              <w:right w:val="nil"/>
            </w:tcBorders>
            <w:hideMark/>
          </w:tcPr>
          <w:p w14:paraId="1F7B37E7" w14:textId="77777777" w:rsidR="00722A28" w:rsidRPr="00722A28" w:rsidRDefault="00722A28" w:rsidP="00722A28">
            <w:pPr>
              <w:spacing w:line="360" w:lineRule="auto"/>
              <w:rPr>
                <w:rFonts w:eastAsia="Calibri"/>
                <w:szCs w:val="24"/>
              </w:rPr>
            </w:pPr>
            <w:r w:rsidRPr="00722A28">
              <w:rPr>
                <w:rFonts w:eastAsia="Calibri"/>
                <w:szCs w:val="24"/>
              </w:rPr>
              <w:t>368 (10.8)</w:t>
            </w:r>
          </w:p>
        </w:tc>
        <w:tc>
          <w:tcPr>
            <w:tcW w:w="620" w:type="pct"/>
            <w:tcBorders>
              <w:top w:val="nil"/>
              <w:left w:val="nil"/>
              <w:bottom w:val="double" w:sz="4" w:space="0" w:color="auto"/>
              <w:right w:val="nil"/>
            </w:tcBorders>
            <w:hideMark/>
          </w:tcPr>
          <w:p w14:paraId="551C5755" w14:textId="77777777" w:rsidR="00722A28" w:rsidRPr="00722A28" w:rsidRDefault="00722A28" w:rsidP="00722A28">
            <w:pPr>
              <w:spacing w:line="360" w:lineRule="auto"/>
              <w:rPr>
                <w:rFonts w:eastAsia="Calibri"/>
                <w:szCs w:val="24"/>
              </w:rPr>
            </w:pPr>
            <w:r w:rsidRPr="00722A28">
              <w:rPr>
                <w:rFonts w:eastAsia="Calibri"/>
                <w:szCs w:val="24"/>
              </w:rPr>
              <w:t>-.17 (.32, -.03)</w:t>
            </w:r>
          </w:p>
        </w:tc>
        <w:tc>
          <w:tcPr>
            <w:tcW w:w="305" w:type="pct"/>
            <w:tcBorders>
              <w:top w:val="nil"/>
              <w:left w:val="nil"/>
              <w:bottom w:val="double" w:sz="4" w:space="0" w:color="auto"/>
              <w:right w:val="nil"/>
            </w:tcBorders>
            <w:hideMark/>
          </w:tcPr>
          <w:p w14:paraId="3B4F3D7B" w14:textId="77777777" w:rsidR="00722A28" w:rsidRPr="00722A28" w:rsidRDefault="00722A28" w:rsidP="00722A28">
            <w:pPr>
              <w:spacing w:line="360" w:lineRule="auto"/>
              <w:rPr>
                <w:rFonts w:eastAsia="Calibri"/>
                <w:szCs w:val="24"/>
              </w:rPr>
            </w:pPr>
            <w:r w:rsidRPr="00722A28">
              <w:rPr>
                <w:rFonts w:eastAsia="Calibri"/>
                <w:szCs w:val="24"/>
              </w:rPr>
              <w:t>.02</w:t>
            </w:r>
          </w:p>
        </w:tc>
        <w:tc>
          <w:tcPr>
            <w:tcW w:w="863" w:type="pct"/>
            <w:tcBorders>
              <w:top w:val="nil"/>
              <w:left w:val="nil"/>
              <w:bottom w:val="double" w:sz="4" w:space="0" w:color="auto"/>
              <w:right w:val="nil"/>
            </w:tcBorders>
            <w:hideMark/>
          </w:tcPr>
          <w:p w14:paraId="69F67D36" w14:textId="77777777" w:rsidR="00722A28" w:rsidRPr="00722A28" w:rsidRDefault="00722A28" w:rsidP="00722A28">
            <w:pPr>
              <w:spacing w:line="360" w:lineRule="auto"/>
              <w:rPr>
                <w:rFonts w:eastAsia="Calibri"/>
                <w:szCs w:val="24"/>
              </w:rPr>
            </w:pPr>
            <w:r w:rsidRPr="00722A28">
              <w:rPr>
                <w:rFonts w:eastAsia="Calibri"/>
                <w:szCs w:val="24"/>
              </w:rPr>
              <w:t>-.15 (-.30, .00)   .05</w:t>
            </w:r>
          </w:p>
        </w:tc>
        <w:tc>
          <w:tcPr>
            <w:tcW w:w="639" w:type="pct"/>
            <w:tcBorders>
              <w:top w:val="nil"/>
              <w:left w:val="nil"/>
              <w:bottom w:val="double" w:sz="4" w:space="0" w:color="auto"/>
              <w:right w:val="nil"/>
            </w:tcBorders>
            <w:hideMark/>
          </w:tcPr>
          <w:p w14:paraId="302E5F2E" w14:textId="77777777" w:rsidR="00722A28" w:rsidRPr="00722A28" w:rsidRDefault="00722A28" w:rsidP="00722A28">
            <w:pPr>
              <w:spacing w:line="360" w:lineRule="auto"/>
              <w:rPr>
                <w:rFonts w:eastAsia="Calibri"/>
                <w:szCs w:val="24"/>
              </w:rPr>
            </w:pPr>
            <w:r w:rsidRPr="00722A28">
              <w:rPr>
                <w:rFonts w:eastAsia="Calibri"/>
                <w:szCs w:val="24"/>
              </w:rPr>
              <w:t>-.14 (-.29, .01)</w:t>
            </w:r>
          </w:p>
        </w:tc>
        <w:tc>
          <w:tcPr>
            <w:tcW w:w="279" w:type="pct"/>
            <w:tcBorders>
              <w:top w:val="nil"/>
              <w:left w:val="nil"/>
              <w:bottom w:val="double" w:sz="4" w:space="0" w:color="auto"/>
              <w:right w:val="nil"/>
            </w:tcBorders>
            <w:hideMark/>
          </w:tcPr>
          <w:p w14:paraId="7E062406" w14:textId="77777777" w:rsidR="00722A28" w:rsidRPr="00722A28" w:rsidRDefault="00722A28" w:rsidP="00722A28">
            <w:pPr>
              <w:spacing w:line="360" w:lineRule="auto"/>
              <w:rPr>
                <w:rFonts w:eastAsia="Calibri"/>
                <w:szCs w:val="24"/>
              </w:rPr>
            </w:pPr>
            <w:r w:rsidRPr="00722A28">
              <w:rPr>
                <w:rFonts w:eastAsia="Calibri"/>
                <w:szCs w:val="24"/>
              </w:rPr>
              <w:t>.06</w:t>
            </w:r>
          </w:p>
        </w:tc>
        <w:tc>
          <w:tcPr>
            <w:tcW w:w="607" w:type="pct"/>
            <w:tcBorders>
              <w:top w:val="nil"/>
              <w:left w:val="nil"/>
              <w:bottom w:val="double" w:sz="4" w:space="0" w:color="auto"/>
              <w:right w:val="nil"/>
            </w:tcBorders>
            <w:hideMark/>
          </w:tcPr>
          <w:p w14:paraId="4CA102D9" w14:textId="77777777" w:rsidR="00722A28" w:rsidRPr="00722A28" w:rsidRDefault="00722A28" w:rsidP="00722A28">
            <w:pPr>
              <w:spacing w:line="360" w:lineRule="auto"/>
              <w:rPr>
                <w:rFonts w:eastAsia="Calibri"/>
                <w:szCs w:val="24"/>
              </w:rPr>
            </w:pPr>
            <w:r w:rsidRPr="00722A28">
              <w:rPr>
                <w:rFonts w:eastAsia="Calibri"/>
                <w:szCs w:val="24"/>
              </w:rPr>
              <w:t>-.04 (-.19, .12)</w:t>
            </w:r>
          </w:p>
        </w:tc>
        <w:tc>
          <w:tcPr>
            <w:tcW w:w="276" w:type="pct"/>
            <w:tcBorders>
              <w:top w:val="nil"/>
              <w:left w:val="nil"/>
              <w:bottom w:val="double" w:sz="4" w:space="0" w:color="auto"/>
              <w:right w:val="nil"/>
            </w:tcBorders>
            <w:hideMark/>
          </w:tcPr>
          <w:p w14:paraId="57F724A9" w14:textId="77777777" w:rsidR="00722A28" w:rsidRPr="00722A28" w:rsidRDefault="00722A28" w:rsidP="00722A28">
            <w:pPr>
              <w:spacing w:line="360" w:lineRule="auto"/>
              <w:rPr>
                <w:rFonts w:eastAsia="Calibri"/>
                <w:szCs w:val="24"/>
              </w:rPr>
            </w:pPr>
            <w:r w:rsidRPr="00722A28">
              <w:rPr>
                <w:rFonts w:eastAsia="Calibri"/>
                <w:szCs w:val="24"/>
              </w:rPr>
              <w:t>.66</w:t>
            </w:r>
          </w:p>
        </w:tc>
      </w:tr>
    </w:tbl>
    <w:p w14:paraId="0464166E" w14:textId="77777777" w:rsidR="00722A28" w:rsidRPr="00722A28" w:rsidRDefault="00722A28" w:rsidP="00722A28">
      <w:pPr>
        <w:spacing w:after="0"/>
        <w:divId w:val="448934348"/>
        <w:rPr>
          <w:rFonts w:ascii="Times New Roman" w:eastAsia="Calibri" w:hAnsi="Times New Roman" w:cs="Times New Roman"/>
          <w:sz w:val="24"/>
        </w:rPr>
      </w:pPr>
      <w:r w:rsidRPr="00722A28">
        <w:rPr>
          <w:rFonts w:ascii="Times New Roman" w:eastAsia="Calibri" w:hAnsi="Times New Roman" w:cs="Times New Roman"/>
          <w:sz w:val="24"/>
          <w:szCs w:val="24"/>
        </w:rPr>
        <w:t xml:space="preserve">Model 1: unadjusted; Model 2: adjusted for sex, income, social economic position, maternal education, housing tenure, parity, maternal smoking in pregnancy; Model 3: further adjusted for WM at age 8 years and head injury/unconsciousness up to age 11 years; Model 4: </w:t>
      </w:r>
      <w:r w:rsidRPr="00722A28">
        <w:rPr>
          <w:rFonts w:ascii="Times New Roman" w:eastAsia="Times New Roman" w:hAnsi="Times New Roman" w:cs="Times New Roman"/>
          <w:sz w:val="24"/>
          <w:szCs w:val="24"/>
        </w:rPr>
        <w:t>further adjusted for young person cigarette and cannabis use assessed at age 15 years</w:t>
      </w:r>
    </w:p>
    <w:p w14:paraId="0EBD3768" w14:textId="77777777" w:rsidR="00722A28" w:rsidRPr="00722A28" w:rsidRDefault="00722A28" w:rsidP="00722A28">
      <w:pPr>
        <w:divId w:val="448934348"/>
        <w:rPr>
          <w:rFonts w:ascii="Times New Roman" w:eastAsia="Calibri" w:hAnsi="Times New Roman" w:cs="Times New Roman"/>
          <w:sz w:val="24"/>
        </w:rPr>
      </w:pPr>
    </w:p>
    <w:p w14:paraId="0C03422A" w14:textId="77777777" w:rsidR="00722A28" w:rsidRPr="00722A28" w:rsidRDefault="00722A28" w:rsidP="00722A28">
      <w:pPr>
        <w:divId w:val="448934348"/>
        <w:rPr>
          <w:rFonts w:ascii="Times New Roman" w:eastAsia="Calibri" w:hAnsi="Times New Roman" w:cs="Times New Roman"/>
          <w:sz w:val="24"/>
        </w:rPr>
      </w:pPr>
    </w:p>
    <w:p w14:paraId="6C69C93A" w14:textId="77777777" w:rsidR="00722A28" w:rsidRDefault="00722A28" w:rsidP="00722A28">
      <w:pPr>
        <w:divId w:val="448934348"/>
        <w:rPr>
          <w:rFonts w:ascii="Times New Roman" w:eastAsia="Calibri" w:hAnsi="Times New Roman" w:cs="Times New Roman"/>
          <w:b/>
          <w:sz w:val="24"/>
        </w:rPr>
      </w:pPr>
    </w:p>
    <w:p w14:paraId="01617233" w14:textId="77777777" w:rsidR="00722A28" w:rsidRDefault="00722A28" w:rsidP="00722A28">
      <w:pPr>
        <w:divId w:val="448934348"/>
        <w:rPr>
          <w:rFonts w:ascii="Times New Roman" w:eastAsia="Calibri" w:hAnsi="Times New Roman" w:cs="Times New Roman"/>
          <w:b/>
          <w:sz w:val="24"/>
        </w:rPr>
      </w:pPr>
    </w:p>
    <w:p w14:paraId="48D7BD1A" w14:textId="77777777" w:rsidR="00722A28" w:rsidRDefault="00722A28" w:rsidP="00722A28">
      <w:pPr>
        <w:divId w:val="448934348"/>
        <w:rPr>
          <w:rFonts w:ascii="Times New Roman" w:eastAsia="Calibri" w:hAnsi="Times New Roman" w:cs="Times New Roman"/>
          <w:b/>
          <w:sz w:val="24"/>
        </w:rPr>
      </w:pPr>
    </w:p>
    <w:p w14:paraId="68692750" w14:textId="77777777" w:rsidR="00722A28" w:rsidRDefault="00722A28" w:rsidP="00722A28">
      <w:pPr>
        <w:divId w:val="448934348"/>
        <w:rPr>
          <w:rFonts w:ascii="Times New Roman" w:eastAsia="Calibri" w:hAnsi="Times New Roman" w:cs="Times New Roman"/>
          <w:b/>
          <w:sz w:val="24"/>
        </w:rPr>
      </w:pPr>
    </w:p>
    <w:p w14:paraId="609B68E4" w14:textId="77777777" w:rsidR="00722A28" w:rsidRDefault="00722A28" w:rsidP="00722A28">
      <w:pPr>
        <w:divId w:val="448934348"/>
        <w:rPr>
          <w:rFonts w:ascii="Times New Roman" w:eastAsia="Calibri" w:hAnsi="Times New Roman" w:cs="Times New Roman"/>
          <w:b/>
          <w:sz w:val="24"/>
        </w:rPr>
      </w:pPr>
    </w:p>
    <w:p w14:paraId="52AC6848" w14:textId="77777777" w:rsidR="00722A28" w:rsidRDefault="00722A28" w:rsidP="00722A28">
      <w:pPr>
        <w:divId w:val="448934348"/>
        <w:rPr>
          <w:rFonts w:ascii="Times New Roman" w:eastAsia="Calibri" w:hAnsi="Times New Roman" w:cs="Times New Roman"/>
          <w:b/>
          <w:sz w:val="24"/>
        </w:rPr>
      </w:pPr>
    </w:p>
    <w:p w14:paraId="6A4B823D" w14:textId="77777777" w:rsidR="00722A28" w:rsidRDefault="00722A28" w:rsidP="00722A28">
      <w:pPr>
        <w:divId w:val="448934348"/>
        <w:rPr>
          <w:rFonts w:ascii="Times New Roman" w:eastAsia="Calibri" w:hAnsi="Times New Roman" w:cs="Times New Roman"/>
          <w:b/>
          <w:sz w:val="24"/>
        </w:rPr>
      </w:pPr>
    </w:p>
    <w:p w14:paraId="6962200D" w14:textId="77777777" w:rsidR="00722A28" w:rsidRDefault="00722A28" w:rsidP="00722A28">
      <w:pPr>
        <w:divId w:val="448934348"/>
        <w:rPr>
          <w:rFonts w:ascii="Times New Roman" w:eastAsia="Calibri" w:hAnsi="Times New Roman" w:cs="Times New Roman"/>
          <w:b/>
          <w:sz w:val="24"/>
        </w:rPr>
      </w:pPr>
    </w:p>
    <w:p w14:paraId="0A0EE823" w14:textId="77777777" w:rsidR="00722A28" w:rsidRDefault="00722A28" w:rsidP="00722A28">
      <w:pPr>
        <w:divId w:val="448934348"/>
        <w:rPr>
          <w:rFonts w:ascii="Times New Roman" w:eastAsia="Calibri" w:hAnsi="Times New Roman" w:cs="Times New Roman"/>
          <w:b/>
          <w:sz w:val="24"/>
        </w:rPr>
      </w:pPr>
    </w:p>
    <w:p w14:paraId="740DED44" w14:textId="3F9D212F" w:rsidR="00722A28" w:rsidRPr="00722A28" w:rsidRDefault="00722A28" w:rsidP="00722A28">
      <w:pPr>
        <w:divId w:val="448934348"/>
        <w:rPr>
          <w:rFonts w:ascii="Times New Roman" w:eastAsia="Calibri" w:hAnsi="Times New Roman" w:cs="Times New Roman"/>
          <w:sz w:val="24"/>
        </w:rPr>
      </w:pPr>
      <w:r w:rsidRPr="00722A28">
        <w:rPr>
          <w:rFonts w:ascii="Times New Roman" w:eastAsia="Calibri" w:hAnsi="Times New Roman" w:cs="Times New Roman"/>
          <w:b/>
          <w:sz w:val="24"/>
        </w:rPr>
        <w:t>Table S6b.</w:t>
      </w:r>
      <w:r w:rsidRPr="00722A28">
        <w:rPr>
          <w:rFonts w:ascii="Times New Roman" w:eastAsia="Calibri" w:hAnsi="Times New Roman" w:cs="Times New Roman"/>
          <w:sz w:val="24"/>
        </w:rPr>
        <w:t xml:space="preserve"> </w:t>
      </w:r>
      <w:r w:rsidRPr="00722A28">
        <w:rPr>
          <w:rFonts w:ascii="Times New Roman" w:eastAsia="Times New Roman" w:hAnsi="Times New Roman" w:cs="Times New Roman"/>
          <w:b/>
          <w:sz w:val="24"/>
          <w:szCs w:val="24"/>
        </w:rPr>
        <w:t xml:space="preserve">Associations between alcohol use at age 15 years and </w:t>
      </w:r>
      <w:r w:rsidRPr="00722A28">
        <w:rPr>
          <w:rFonts w:ascii="Times New Roman" w:eastAsia="Times New Roman" w:hAnsi="Times New Roman" w:cs="Times New Roman"/>
          <w:b/>
          <w:i/>
          <w:sz w:val="24"/>
          <w:szCs w:val="24"/>
        </w:rPr>
        <w:t xml:space="preserve">d' </w:t>
      </w:r>
      <w:r w:rsidRPr="00722A28">
        <w:rPr>
          <w:rFonts w:ascii="Times New Roman" w:eastAsia="Times New Roman" w:hAnsi="Times New Roman" w:cs="Times New Roman"/>
          <w:b/>
          <w:sz w:val="24"/>
          <w:szCs w:val="24"/>
        </w:rPr>
        <w:t>at age 18 years for the 3-back task (</w:t>
      </w:r>
      <w:r w:rsidRPr="00722A28">
        <w:rPr>
          <w:rFonts w:ascii="Times New Roman" w:eastAsia="Times New Roman" w:hAnsi="Times New Roman" w:cs="Times New Roman"/>
          <w:b/>
          <w:i/>
          <w:sz w:val="24"/>
          <w:szCs w:val="24"/>
        </w:rPr>
        <w:t>n</w:t>
      </w:r>
      <w:r w:rsidRPr="00722A28">
        <w:rPr>
          <w:rFonts w:ascii="Times New Roman" w:eastAsia="Times New Roman" w:hAnsi="Times New Roman" w:cs="Times New Roman"/>
          <w:b/>
          <w:sz w:val="24"/>
          <w:szCs w:val="24"/>
        </w:rPr>
        <w:t>=3,319) in 50 multiply imputed datasets</w:t>
      </w:r>
    </w:p>
    <w:tbl>
      <w:tblPr>
        <w:tblStyle w:val="TableGrid111"/>
        <w:tblW w:w="5000" w:type="pct"/>
        <w:tblLook w:val="04A0" w:firstRow="1" w:lastRow="0" w:firstColumn="1" w:lastColumn="0" w:noHBand="0" w:noVBand="1"/>
      </w:tblPr>
      <w:tblGrid>
        <w:gridCol w:w="2728"/>
        <w:gridCol w:w="1304"/>
        <w:gridCol w:w="1726"/>
        <w:gridCol w:w="907"/>
        <w:gridCol w:w="2548"/>
        <w:gridCol w:w="1726"/>
        <w:gridCol w:w="717"/>
        <w:gridCol w:w="1724"/>
        <w:gridCol w:w="794"/>
      </w:tblGrid>
      <w:tr w:rsidR="00722A28" w:rsidRPr="00722A28" w14:paraId="14DF8281" w14:textId="77777777" w:rsidTr="00722A28">
        <w:trPr>
          <w:divId w:val="448934348"/>
        </w:trPr>
        <w:tc>
          <w:tcPr>
            <w:tcW w:w="962" w:type="pct"/>
            <w:tcBorders>
              <w:top w:val="double" w:sz="4" w:space="0" w:color="auto"/>
              <w:left w:val="nil"/>
              <w:bottom w:val="nil"/>
              <w:right w:val="single" w:sz="4" w:space="0" w:color="auto"/>
            </w:tcBorders>
          </w:tcPr>
          <w:p w14:paraId="555449C1" w14:textId="77777777" w:rsidR="00722A28" w:rsidRPr="00722A28" w:rsidRDefault="00722A28" w:rsidP="00722A28">
            <w:pPr>
              <w:spacing w:line="360" w:lineRule="auto"/>
              <w:rPr>
                <w:rFonts w:ascii="Times New Roman" w:hAnsi="Times New Roman"/>
                <w:sz w:val="24"/>
                <w:szCs w:val="24"/>
              </w:rPr>
            </w:pPr>
          </w:p>
        </w:tc>
        <w:tc>
          <w:tcPr>
            <w:tcW w:w="460" w:type="pct"/>
            <w:tcBorders>
              <w:top w:val="double" w:sz="4" w:space="0" w:color="auto"/>
              <w:left w:val="single" w:sz="4" w:space="0" w:color="auto"/>
              <w:bottom w:val="nil"/>
              <w:right w:val="nil"/>
            </w:tcBorders>
          </w:tcPr>
          <w:p w14:paraId="1D9E5B4A" w14:textId="77777777" w:rsidR="00722A28" w:rsidRPr="00722A28" w:rsidRDefault="00722A28" w:rsidP="00722A28">
            <w:pPr>
              <w:spacing w:line="360" w:lineRule="auto"/>
              <w:rPr>
                <w:rFonts w:ascii="Times New Roman" w:eastAsia="Calibri" w:hAnsi="Times New Roman"/>
                <w:sz w:val="24"/>
                <w:szCs w:val="24"/>
              </w:rPr>
            </w:pPr>
          </w:p>
        </w:tc>
        <w:tc>
          <w:tcPr>
            <w:tcW w:w="929" w:type="pct"/>
            <w:gridSpan w:val="2"/>
            <w:tcBorders>
              <w:top w:val="double" w:sz="4" w:space="0" w:color="auto"/>
              <w:left w:val="nil"/>
              <w:bottom w:val="nil"/>
              <w:right w:val="nil"/>
            </w:tcBorders>
            <w:hideMark/>
          </w:tcPr>
          <w:p w14:paraId="5F20E81E"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1</w:t>
            </w:r>
          </w:p>
        </w:tc>
        <w:tc>
          <w:tcPr>
            <w:tcW w:w="899" w:type="pct"/>
            <w:tcBorders>
              <w:top w:val="double" w:sz="4" w:space="0" w:color="auto"/>
              <w:left w:val="nil"/>
              <w:bottom w:val="nil"/>
              <w:right w:val="nil"/>
            </w:tcBorders>
            <w:hideMark/>
          </w:tcPr>
          <w:p w14:paraId="0C75B69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2</w:t>
            </w:r>
          </w:p>
        </w:tc>
        <w:tc>
          <w:tcPr>
            <w:tcW w:w="862" w:type="pct"/>
            <w:gridSpan w:val="2"/>
            <w:tcBorders>
              <w:top w:val="double" w:sz="4" w:space="0" w:color="auto"/>
              <w:left w:val="nil"/>
              <w:bottom w:val="nil"/>
              <w:right w:val="nil"/>
            </w:tcBorders>
            <w:hideMark/>
          </w:tcPr>
          <w:p w14:paraId="1AEB9E92"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3</w:t>
            </w:r>
          </w:p>
        </w:tc>
        <w:tc>
          <w:tcPr>
            <w:tcW w:w="888" w:type="pct"/>
            <w:gridSpan w:val="2"/>
            <w:tcBorders>
              <w:top w:val="double" w:sz="4" w:space="0" w:color="auto"/>
              <w:left w:val="nil"/>
              <w:bottom w:val="nil"/>
              <w:right w:val="nil"/>
            </w:tcBorders>
            <w:hideMark/>
          </w:tcPr>
          <w:p w14:paraId="5C2F1257"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Model 4</w:t>
            </w:r>
          </w:p>
        </w:tc>
      </w:tr>
      <w:tr w:rsidR="00722A28" w:rsidRPr="00722A28" w14:paraId="08D7EEB1" w14:textId="77777777" w:rsidTr="00722A28">
        <w:trPr>
          <w:divId w:val="448934348"/>
        </w:trPr>
        <w:tc>
          <w:tcPr>
            <w:tcW w:w="962" w:type="pct"/>
            <w:tcBorders>
              <w:top w:val="nil"/>
              <w:left w:val="nil"/>
              <w:bottom w:val="single" w:sz="4" w:space="0" w:color="auto"/>
              <w:right w:val="single" w:sz="4" w:space="0" w:color="auto"/>
            </w:tcBorders>
          </w:tcPr>
          <w:p w14:paraId="5D9E3BBE" w14:textId="77777777" w:rsidR="00722A28" w:rsidRPr="00722A28" w:rsidRDefault="00722A28" w:rsidP="00722A28">
            <w:pPr>
              <w:spacing w:line="360" w:lineRule="auto"/>
              <w:rPr>
                <w:rFonts w:ascii="Times New Roman" w:eastAsia="Calibri" w:hAnsi="Times New Roman"/>
                <w:sz w:val="24"/>
                <w:szCs w:val="24"/>
              </w:rPr>
            </w:pPr>
          </w:p>
        </w:tc>
        <w:tc>
          <w:tcPr>
            <w:tcW w:w="460" w:type="pct"/>
            <w:tcBorders>
              <w:top w:val="nil"/>
              <w:left w:val="single" w:sz="4" w:space="0" w:color="auto"/>
              <w:bottom w:val="single" w:sz="4" w:space="0" w:color="auto"/>
              <w:right w:val="nil"/>
            </w:tcBorders>
            <w:hideMark/>
          </w:tcPr>
          <w:p w14:paraId="1A66E0A9"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n (%)</w:t>
            </w:r>
          </w:p>
        </w:tc>
        <w:tc>
          <w:tcPr>
            <w:tcW w:w="609" w:type="pct"/>
            <w:tcBorders>
              <w:top w:val="nil"/>
              <w:left w:val="nil"/>
              <w:bottom w:val="single" w:sz="4" w:space="0" w:color="auto"/>
              <w:right w:val="nil"/>
            </w:tcBorders>
            <w:hideMark/>
          </w:tcPr>
          <w:p w14:paraId="77C577C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w:t>
            </w:r>
          </w:p>
        </w:tc>
        <w:tc>
          <w:tcPr>
            <w:tcW w:w="320" w:type="pct"/>
            <w:tcBorders>
              <w:top w:val="nil"/>
              <w:left w:val="nil"/>
              <w:bottom w:val="single" w:sz="4" w:space="0" w:color="auto"/>
              <w:right w:val="nil"/>
            </w:tcBorders>
            <w:hideMark/>
          </w:tcPr>
          <w:p w14:paraId="6D91ED74"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c>
          <w:tcPr>
            <w:tcW w:w="899" w:type="pct"/>
            <w:tcBorders>
              <w:top w:val="nil"/>
              <w:left w:val="nil"/>
              <w:bottom w:val="single" w:sz="4" w:space="0" w:color="auto"/>
              <w:right w:val="nil"/>
            </w:tcBorders>
            <w:hideMark/>
          </w:tcPr>
          <w:p w14:paraId="124F7042"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          p</w:t>
            </w:r>
          </w:p>
        </w:tc>
        <w:tc>
          <w:tcPr>
            <w:tcW w:w="609" w:type="pct"/>
            <w:tcBorders>
              <w:top w:val="nil"/>
              <w:left w:val="nil"/>
              <w:bottom w:val="single" w:sz="4" w:space="0" w:color="auto"/>
              <w:right w:val="nil"/>
            </w:tcBorders>
            <w:hideMark/>
          </w:tcPr>
          <w:p w14:paraId="0C9243DC"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w:t>
            </w:r>
          </w:p>
        </w:tc>
        <w:tc>
          <w:tcPr>
            <w:tcW w:w="253" w:type="pct"/>
            <w:tcBorders>
              <w:top w:val="nil"/>
              <w:left w:val="nil"/>
              <w:bottom w:val="single" w:sz="4" w:space="0" w:color="auto"/>
              <w:right w:val="nil"/>
            </w:tcBorders>
            <w:hideMark/>
          </w:tcPr>
          <w:p w14:paraId="62420505"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c>
          <w:tcPr>
            <w:tcW w:w="608" w:type="pct"/>
            <w:tcBorders>
              <w:top w:val="nil"/>
              <w:left w:val="nil"/>
              <w:bottom w:val="single" w:sz="4" w:space="0" w:color="auto"/>
              <w:right w:val="nil"/>
            </w:tcBorders>
            <w:hideMark/>
          </w:tcPr>
          <w:p w14:paraId="19C77034"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i/>
                <w:sz w:val="24"/>
                <w:szCs w:val="24"/>
              </w:rPr>
              <w:t>b</w:t>
            </w:r>
            <w:r w:rsidRPr="00722A28">
              <w:rPr>
                <w:rFonts w:ascii="Times New Roman" w:eastAsia="Calibri" w:hAnsi="Times New Roman"/>
                <w:sz w:val="24"/>
                <w:szCs w:val="24"/>
              </w:rPr>
              <w:t xml:space="preserve"> (</w:t>
            </w:r>
            <w:r w:rsidRPr="00722A28">
              <w:rPr>
                <w:rFonts w:ascii="Times New Roman" w:eastAsia="Calibri" w:hAnsi="Times New Roman"/>
                <w:i/>
                <w:sz w:val="24"/>
                <w:szCs w:val="24"/>
              </w:rPr>
              <w:t>95% CI)</w:t>
            </w:r>
          </w:p>
        </w:tc>
        <w:tc>
          <w:tcPr>
            <w:tcW w:w="280" w:type="pct"/>
            <w:tcBorders>
              <w:top w:val="nil"/>
              <w:left w:val="nil"/>
              <w:bottom w:val="single" w:sz="4" w:space="0" w:color="auto"/>
              <w:right w:val="nil"/>
            </w:tcBorders>
            <w:hideMark/>
          </w:tcPr>
          <w:p w14:paraId="13283723"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p</w:t>
            </w:r>
          </w:p>
        </w:tc>
      </w:tr>
      <w:tr w:rsidR="00722A28" w:rsidRPr="00722A28" w14:paraId="62C05B55" w14:textId="77777777" w:rsidTr="00722A28">
        <w:trPr>
          <w:divId w:val="448934348"/>
        </w:trPr>
        <w:tc>
          <w:tcPr>
            <w:tcW w:w="962" w:type="pct"/>
            <w:tcBorders>
              <w:top w:val="nil"/>
              <w:left w:val="nil"/>
              <w:bottom w:val="nil"/>
              <w:right w:val="single" w:sz="4" w:space="0" w:color="auto"/>
            </w:tcBorders>
            <w:hideMark/>
          </w:tcPr>
          <w:p w14:paraId="5EECBFE2"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Low alcohol use</w:t>
            </w:r>
          </w:p>
        </w:tc>
        <w:tc>
          <w:tcPr>
            <w:tcW w:w="460" w:type="pct"/>
            <w:tcBorders>
              <w:top w:val="single" w:sz="4" w:space="0" w:color="auto"/>
              <w:left w:val="single" w:sz="4" w:space="0" w:color="auto"/>
              <w:bottom w:val="nil"/>
              <w:right w:val="nil"/>
            </w:tcBorders>
          </w:tcPr>
          <w:p w14:paraId="3B8A3B29" w14:textId="77777777" w:rsidR="00722A28" w:rsidRPr="00722A28" w:rsidRDefault="00722A28" w:rsidP="00722A28">
            <w:pPr>
              <w:spacing w:line="360" w:lineRule="auto"/>
              <w:rPr>
                <w:rFonts w:ascii="Times New Roman" w:eastAsia="Calibri" w:hAnsi="Times New Roman"/>
                <w:sz w:val="24"/>
                <w:szCs w:val="24"/>
              </w:rPr>
            </w:pPr>
          </w:p>
        </w:tc>
        <w:tc>
          <w:tcPr>
            <w:tcW w:w="609" w:type="pct"/>
            <w:tcBorders>
              <w:top w:val="single" w:sz="4" w:space="0" w:color="auto"/>
              <w:left w:val="nil"/>
              <w:bottom w:val="nil"/>
              <w:right w:val="nil"/>
            </w:tcBorders>
            <w:hideMark/>
          </w:tcPr>
          <w:p w14:paraId="410C699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ref</w:t>
            </w:r>
          </w:p>
        </w:tc>
        <w:tc>
          <w:tcPr>
            <w:tcW w:w="320" w:type="pct"/>
            <w:tcBorders>
              <w:top w:val="single" w:sz="4" w:space="0" w:color="auto"/>
              <w:left w:val="nil"/>
              <w:bottom w:val="nil"/>
              <w:right w:val="nil"/>
            </w:tcBorders>
          </w:tcPr>
          <w:p w14:paraId="143C7E16" w14:textId="77777777" w:rsidR="00722A28" w:rsidRPr="00722A28" w:rsidRDefault="00722A28" w:rsidP="00722A28">
            <w:pPr>
              <w:spacing w:line="360" w:lineRule="auto"/>
              <w:rPr>
                <w:rFonts w:ascii="Times New Roman" w:eastAsia="Calibri" w:hAnsi="Times New Roman"/>
                <w:sz w:val="24"/>
                <w:szCs w:val="24"/>
              </w:rPr>
            </w:pPr>
          </w:p>
        </w:tc>
        <w:tc>
          <w:tcPr>
            <w:tcW w:w="899" w:type="pct"/>
            <w:tcBorders>
              <w:top w:val="single" w:sz="4" w:space="0" w:color="auto"/>
              <w:left w:val="nil"/>
              <w:bottom w:val="nil"/>
              <w:right w:val="nil"/>
            </w:tcBorders>
            <w:hideMark/>
          </w:tcPr>
          <w:p w14:paraId="6FBDC17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ref</w:t>
            </w:r>
          </w:p>
        </w:tc>
        <w:tc>
          <w:tcPr>
            <w:tcW w:w="609" w:type="pct"/>
            <w:tcBorders>
              <w:top w:val="single" w:sz="4" w:space="0" w:color="auto"/>
              <w:left w:val="nil"/>
              <w:bottom w:val="nil"/>
              <w:right w:val="nil"/>
            </w:tcBorders>
            <w:hideMark/>
          </w:tcPr>
          <w:p w14:paraId="5DB5051E"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ref</w:t>
            </w:r>
          </w:p>
        </w:tc>
        <w:tc>
          <w:tcPr>
            <w:tcW w:w="253" w:type="pct"/>
            <w:tcBorders>
              <w:top w:val="single" w:sz="4" w:space="0" w:color="auto"/>
              <w:left w:val="nil"/>
              <w:bottom w:val="nil"/>
              <w:right w:val="nil"/>
            </w:tcBorders>
          </w:tcPr>
          <w:p w14:paraId="049243F7" w14:textId="77777777" w:rsidR="00722A28" w:rsidRPr="00722A28" w:rsidRDefault="00722A28" w:rsidP="00722A28">
            <w:pPr>
              <w:spacing w:line="360" w:lineRule="auto"/>
              <w:rPr>
                <w:rFonts w:ascii="Times New Roman" w:eastAsia="Calibri" w:hAnsi="Times New Roman"/>
                <w:sz w:val="24"/>
                <w:szCs w:val="24"/>
              </w:rPr>
            </w:pPr>
          </w:p>
        </w:tc>
        <w:tc>
          <w:tcPr>
            <w:tcW w:w="608" w:type="pct"/>
            <w:tcBorders>
              <w:top w:val="single" w:sz="4" w:space="0" w:color="auto"/>
              <w:left w:val="nil"/>
              <w:bottom w:val="nil"/>
              <w:right w:val="nil"/>
            </w:tcBorders>
            <w:hideMark/>
          </w:tcPr>
          <w:p w14:paraId="7A461C11"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ref</w:t>
            </w:r>
          </w:p>
        </w:tc>
        <w:tc>
          <w:tcPr>
            <w:tcW w:w="280" w:type="pct"/>
            <w:tcBorders>
              <w:top w:val="single" w:sz="4" w:space="0" w:color="auto"/>
              <w:left w:val="nil"/>
              <w:bottom w:val="nil"/>
              <w:right w:val="nil"/>
            </w:tcBorders>
          </w:tcPr>
          <w:p w14:paraId="6EAFA0FF" w14:textId="77777777" w:rsidR="00722A28" w:rsidRPr="00722A28" w:rsidRDefault="00722A28" w:rsidP="00722A28">
            <w:pPr>
              <w:spacing w:line="360" w:lineRule="auto"/>
              <w:rPr>
                <w:rFonts w:ascii="Times New Roman" w:eastAsia="Calibri" w:hAnsi="Times New Roman"/>
                <w:sz w:val="24"/>
                <w:szCs w:val="24"/>
              </w:rPr>
            </w:pPr>
          </w:p>
        </w:tc>
      </w:tr>
      <w:tr w:rsidR="00722A28" w:rsidRPr="00722A28" w14:paraId="0481A6DE" w14:textId="77777777" w:rsidTr="00722A28">
        <w:trPr>
          <w:divId w:val="448934348"/>
        </w:trPr>
        <w:tc>
          <w:tcPr>
            <w:tcW w:w="962" w:type="pct"/>
            <w:tcBorders>
              <w:top w:val="nil"/>
              <w:left w:val="nil"/>
              <w:bottom w:val="nil"/>
              <w:right w:val="single" w:sz="4" w:space="0" w:color="auto"/>
            </w:tcBorders>
            <w:hideMark/>
          </w:tcPr>
          <w:p w14:paraId="087CC019"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Frequent drinking only</w:t>
            </w:r>
          </w:p>
        </w:tc>
        <w:tc>
          <w:tcPr>
            <w:tcW w:w="460" w:type="pct"/>
            <w:tcBorders>
              <w:top w:val="nil"/>
              <w:left w:val="single" w:sz="4" w:space="0" w:color="auto"/>
              <w:bottom w:val="nil"/>
              <w:right w:val="nil"/>
            </w:tcBorders>
            <w:hideMark/>
          </w:tcPr>
          <w:p w14:paraId="34E227FE"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399 (11.8)</w:t>
            </w:r>
          </w:p>
        </w:tc>
        <w:tc>
          <w:tcPr>
            <w:tcW w:w="609" w:type="pct"/>
            <w:tcBorders>
              <w:top w:val="nil"/>
              <w:left w:val="nil"/>
              <w:bottom w:val="nil"/>
              <w:right w:val="nil"/>
            </w:tcBorders>
            <w:hideMark/>
          </w:tcPr>
          <w:p w14:paraId="63251BDB"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-.02 (-.16, .11)</w:t>
            </w:r>
          </w:p>
        </w:tc>
        <w:tc>
          <w:tcPr>
            <w:tcW w:w="320" w:type="pct"/>
            <w:tcBorders>
              <w:top w:val="nil"/>
              <w:left w:val="nil"/>
              <w:bottom w:val="nil"/>
              <w:right w:val="nil"/>
            </w:tcBorders>
            <w:hideMark/>
          </w:tcPr>
          <w:p w14:paraId="21AA7F92"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.74</w:t>
            </w:r>
          </w:p>
        </w:tc>
        <w:tc>
          <w:tcPr>
            <w:tcW w:w="899" w:type="pct"/>
            <w:tcBorders>
              <w:top w:val="nil"/>
              <w:left w:val="nil"/>
              <w:bottom w:val="nil"/>
              <w:right w:val="nil"/>
            </w:tcBorders>
            <w:hideMark/>
          </w:tcPr>
          <w:p w14:paraId="24ECC3CE"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-.04 (-18, .08)    .50</w:t>
            </w:r>
          </w:p>
        </w:tc>
        <w:tc>
          <w:tcPr>
            <w:tcW w:w="609" w:type="pct"/>
            <w:tcBorders>
              <w:top w:val="nil"/>
              <w:left w:val="nil"/>
              <w:bottom w:val="nil"/>
              <w:right w:val="nil"/>
            </w:tcBorders>
            <w:hideMark/>
          </w:tcPr>
          <w:p w14:paraId="2A207F6B"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-.05 (-.18, .08)</w:t>
            </w:r>
          </w:p>
        </w:tc>
        <w:tc>
          <w:tcPr>
            <w:tcW w:w="253" w:type="pct"/>
            <w:tcBorders>
              <w:top w:val="nil"/>
              <w:left w:val="nil"/>
              <w:bottom w:val="nil"/>
              <w:right w:val="nil"/>
            </w:tcBorders>
            <w:hideMark/>
          </w:tcPr>
          <w:p w14:paraId="3BC4ED95"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.44</w:t>
            </w:r>
          </w:p>
        </w:tc>
        <w:tc>
          <w:tcPr>
            <w:tcW w:w="608" w:type="pct"/>
            <w:tcBorders>
              <w:top w:val="nil"/>
              <w:left w:val="nil"/>
              <w:bottom w:val="nil"/>
              <w:right w:val="nil"/>
            </w:tcBorders>
            <w:hideMark/>
          </w:tcPr>
          <w:p w14:paraId="0CDB526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 xml:space="preserve"> .01 (-.12, .14)</w:t>
            </w:r>
          </w:p>
        </w:tc>
        <w:tc>
          <w:tcPr>
            <w:tcW w:w="280" w:type="pct"/>
            <w:tcBorders>
              <w:top w:val="nil"/>
              <w:left w:val="nil"/>
              <w:bottom w:val="nil"/>
              <w:right w:val="nil"/>
            </w:tcBorders>
            <w:hideMark/>
          </w:tcPr>
          <w:p w14:paraId="54F635FA"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.88</w:t>
            </w:r>
          </w:p>
        </w:tc>
      </w:tr>
      <w:tr w:rsidR="00722A28" w:rsidRPr="00722A28" w14:paraId="5426D8E4" w14:textId="77777777" w:rsidTr="00722A28">
        <w:trPr>
          <w:divId w:val="448934348"/>
        </w:trPr>
        <w:tc>
          <w:tcPr>
            <w:tcW w:w="962" w:type="pct"/>
            <w:tcBorders>
              <w:top w:val="nil"/>
              <w:left w:val="nil"/>
              <w:bottom w:val="double" w:sz="4" w:space="0" w:color="auto"/>
              <w:right w:val="single" w:sz="4" w:space="0" w:color="auto"/>
            </w:tcBorders>
            <w:hideMark/>
          </w:tcPr>
          <w:p w14:paraId="7CEB4D77" w14:textId="77777777" w:rsidR="00722A28" w:rsidRPr="00722A28" w:rsidRDefault="00722A28" w:rsidP="00722A28">
            <w:pPr>
              <w:spacing w:line="360" w:lineRule="auto"/>
              <w:rPr>
                <w:rFonts w:ascii="Times New Roman" w:eastAsia="Calibri" w:hAnsi="Times New Roman"/>
                <w:i/>
                <w:sz w:val="24"/>
                <w:szCs w:val="24"/>
              </w:rPr>
            </w:pPr>
            <w:r w:rsidRPr="00722A28">
              <w:rPr>
                <w:rFonts w:ascii="Times New Roman" w:eastAsia="Calibri" w:hAnsi="Times New Roman"/>
                <w:i/>
                <w:sz w:val="24"/>
                <w:szCs w:val="24"/>
              </w:rPr>
              <w:t>Frequent and binge</w:t>
            </w:r>
          </w:p>
        </w:tc>
        <w:tc>
          <w:tcPr>
            <w:tcW w:w="460" w:type="pct"/>
            <w:tcBorders>
              <w:top w:val="nil"/>
              <w:left w:val="single" w:sz="4" w:space="0" w:color="auto"/>
              <w:bottom w:val="double" w:sz="4" w:space="0" w:color="auto"/>
              <w:right w:val="nil"/>
            </w:tcBorders>
            <w:hideMark/>
          </w:tcPr>
          <w:p w14:paraId="6A07BE9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354 (10.5)</w:t>
            </w:r>
          </w:p>
        </w:tc>
        <w:tc>
          <w:tcPr>
            <w:tcW w:w="609" w:type="pct"/>
            <w:tcBorders>
              <w:top w:val="nil"/>
              <w:left w:val="nil"/>
              <w:bottom w:val="double" w:sz="4" w:space="0" w:color="auto"/>
              <w:right w:val="nil"/>
            </w:tcBorders>
            <w:hideMark/>
          </w:tcPr>
          <w:p w14:paraId="4628C549"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-.25 (-.39, -.11)</w:t>
            </w:r>
          </w:p>
        </w:tc>
        <w:tc>
          <w:tcPr>
            <w:tcW w:w="320" w:type="pct"/>
            <w:tcBorders>
              <w:top w:val="nil"/>
              <w:left w:val="nil"/>
              <w:bottom w:val="double" w:sz="4" w:space="0" w:color="auto"/>
              <w:right w:val="nil"/>
            </w:tcBorders>
            <w:hideMark/>
          </w:tcPr>
          <w:p w14:paraId="25254E19"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&lt;.001</w:t>
            </w:r>
          </w:p>
        </w:tc>
        <w:tc>
          <w:tcPr>
            <w:tcW w:w="899" w:type="pct"/>
            <w:tcBorders>
              <w:top w:val="nil"/>
              <w:left w:val="nil"/>
              <w:bottom w:val="double" w:sz="4" w:space="0" w:color="auto"/>
              <w:right w:val="nil"/>
            </w:tcBorders>
            <w:hideMark/>
          </w:tcPr>
          <w:p w14:paraId="2331E0F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-.22 (-.36, -.08)  .001</w:t>
            </w:r>
          </w:p>
        </w:tc>
        <w:tc>
          <w:tcPr>
            <w:tcW w:w="609" w:type="pct"/>
            <w:tcBorders>
              <w:top w:val="nil"/>
              <w:left w:val="nil"/>
              <w:bottom w:val="double" w:sz="4" w:space="0" w:color="auto"/>
              <w:right w:val="nil"/>
            </w:tcBorders>
            <w:hideMark/>
          </w:tcPr>
          <w:p w14:paraId="4B90FD76"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-.22 (-.36, -.08)</w:t>
            </w:r>
          </w:p>
        </w:tc>
        <w:tc>
          <w:tcPr>
            <w:tcW w:w="253" w:type="pct"/>
            <w:tcBorders>
              <w:top w:val="nil"/>
              <w:left w:val="nil"/>
              <w:bottom w:val="double" w:sz="4" w:space="0" w:color="auto"/>
              <w:right w:val="nil"/>
            </w:tcBorders>
            <w:hideMark/>
          </w:tcPr>
          <w:p w14:paraId="14587083"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.002</w:t>
            </w:r>
          </w:p>
        </w:tc>
        <w:tc>
          <w:tcPr>
            <w:tcW w:w="608" w:type="pct"/>
            <w:tcBorders>
              <w:top w:val="nil"/>
              <w:left w:val="nil"/>
              <w:bottom w:val="double" w:sz="4" w:space="0" w:color="auto"/>
              <w:right w:val="nil"/>
            </w:tcBorders>
            <w:hideMark/>
          </w:tcPr>
          <w:p w14:paraId="1FE1007F"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-.11 (-.26, .04)</w:t>
            </w:r>
          </w:p>
        </w:tc>
        <w:tc>
          <w:tcPr>
            <w:tcW w:w="280" w:type="pct"/>
            <w:tcBorders>
              <w:top w:val="nil"/>
              <w:left w:val="nil"/>
              <w:bottom w:val="double" w:sz="4" w:space="0" w:color="auto"/>
              <w:right w:val="nil"/>
            </w:tcBorders>
            <w:hideMark/>
          </w:tcPr>
          <w:p w14:paraId="15DCD6BD" w14:textId="77777777" w:rsidR="00722A28" w:rsidRPr="00722A28" w:rsidRDefault="00722A28" w:rsidP="00722A28">
            <w:pPr>
              <w:spacing w:line="360" w:lineRule="auto"/>
              <w:rPr>
                <w:rFonts w:ascii="Times New Roman" w:eastAsia="Calibri" w:hAnsi="Times New Roman"/>
                <w:sz w:val="24"/>
                <w:szCs w:val="24"/>
              </w:rPr>
            </w:pPr>
            <w:r w:rsidRPr="00722A28">
              <w:rPr>
                <w:rFonts w:ascii="Times New Roman" w:eastAsia="Calibri" w:hAnsi="Times New Roman"/>
                <w:sz w:val="24"/>
                <w:szCs w:val="24"/>
              </w:rPr>
              <w:t>.16</w:t>
            </w:r>
          </w:p>
        </w:tc>
      </w:tr>
    </w:tbl>
    <w:p w14:paraId="715B8090" w14:textId="77777777" w:rsidR="00722A28" w:rsidRPr="00722A28" w:rsidRDefault="00722A28" w:rsidP="00722A28">
      <w:pPr>
        <w:spacing w:after="0"/>
        <w:divId w:val="448934348"/>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Model 1: unadjusted; Model 2: adjusted for sex, income, social economic position, maternal education, housing tenure, parity, maternal smoking in pregnancy; Model 3: further adjusted for WM at age 8 years and head injury/unconsciousness up to age 11 years; Model 4: </w:t>
      </w:r>
      <w:r w:rsidRPr="00722A28">
        <w:rPr>
          <w:rFonts w:ascii="Times New Roman" w:eastAsia="Times New Roman" w:hAnsi="Times New Roman" w:cs="Times New Roman"/>
          <w:sz w:val="24"/>
          <w:szCs w:val="24"/>
        </w:rPr>
        <w:t>further adjusted for young person cigarette and cannabis use assessed at age 15 years</w:t>
      </w:r>
    </w:p>
    <w:p w14:paraId="5E5FF711" w14:textId="77777777" w:rsidR="00722A28" w:rsidRPr="00722A28" w:rsidRDefault="00722A28" w:rsidP="00722A28">
      <w:pPr>
        <w:divId w:val="448934348"/>
        <w:rPr>
          <w:rFonts w:ascii="Times New Roman" w:eastAsia="Calibri" w:hAnsi="Times New Roman" w:cs="Times New Roman"/>
          <w:sz w:val="24"/>
        </w:rPr>
      </w:pPr>
    </w:p>
    <w:p w14:paraId="2296309A" w14:textId="77777777" w:rsidR="00722A28" w:rsidRPr="00722A28" w:rsidRDefault="00722A28" w:rsidP="00722A28">
      <w:pPr>
        <w:spacing w:after="0"/>
        <w:divId w:val="448934348"/>
        <w:rPr>
          <w:rFonts w:ascii="Times New Roman" w:eastAsia="Calibri" w:hAnsi="Times New Roman" w:cs="Times New Roman"/>
          <w:b/>
          <w:sz w:val="24"/>
          <w:szCs w:val="24"/>
        </w:rPr>
      </w:pPr>
    </w:p>
    <w:p w14:paraId="76D34D39" w14:textId="77777777" w:rsidR="00722A28" w:rsidRPr="00722A28" w:rsidRDefault="00722A28" w:rsidP="00722A28">
      <w:pPr>
        <w:spacing w:after="0"/>
        <w:divId w:val="448934348"/>
        <w:rPr>
          <w:rFonts w:ascii="Times New Roman" w:eastAsia="Calibri" w:hAnsi="Times New Roman" w:cs="Times New Roman"/>
          <w:b/>
          <w:sz w:val="24"/>
          <w:szCs w:val="24"/>
        </w:rPr>
      </w:pPr>
    </w:p>
    <w:p w14:paraId="23467646" w14:textId="77777777" w:rsidR="00722A28" w:rsidRPr="00722A28" w:rsidRDefault="00722A28" w:rsidP="00722A28">
      <w:pPr>
        <w:spacing w:after="0"/>
        <w:divId w:val="448934348"/>
        <w:rPr>
          <w:rFonts w:ascii="Times New Roman" w:eastAsia="Calibri" w:hAnsi="Times New Roman" w:cs="Times New Roman"/>
          <w:b/>
          <w:sz w:val="24"/>
          <w:szCs w:val="24"/>
        </w:rPr>
      </w:pPr>
    </w:p>
    <w:p w14:paraId="61342AED" w14:textId="77777777" w:rsidR="00722A28" w:rsidRPr="00722A28" w:rsidRDefault="00722A28" w:rsidP="00722A28">
      <w:pPr>
        <w:spacing w:after="0"/>
        <w:divId w:val="448934348"/>
        <w:rPr>
          <w:rFonts w:ascii="Times New Roman" w:eastAsia="Calibri" w:hAnsi="Times New Roman" w:cs="Times New Roman"/>
          <w:b/>
          <w:sz w:val="24"/>
          <w:szCs w:val="24"/>
        </w:rPr>
      </w:pPr>
    </w:p>
    <w:p w14:paraId="062C0970"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2727246"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11E6222"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F27B9C7"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321EC04"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0D08196B"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3C96F32D"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3C56458"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F68A099"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0858146E"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5457539F"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2BF1F1B"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15A6180"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95FBB96" w14:textId="59AD887F" w:rsidR="00722A28" w:rsidRPr="00722A28" w:rsidRDefault="00722A28" w:rsidP="00722A28">
      <w:pPr>
        <w:spacing w:after="0" w:line="240" w:lineRule="auto"/>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t>Table S7a. Associations between alcohol use at age 15 years and WM at age 18 years (2-back task) – complete cases (</w:t>
      </w:r>
      <w:r w:rsidRPr="00722A28">
        <w:rPr>
          <w:rFonts w:ascii="Times New Roman" w:eastAsia="Calibri" w:hAnsi="Times New Roman" w:cs="Times New Roman"/>
          <w:b/>
          <w:i/>
          <w:sz w:val="24"/>
          <w:szCs w:val="24"/>
        </w:rPr>
        <w:t>n</w:t>
      </w:r>
      <w:r w:rsidRPr="00722A28">
        <w:rPr>
          <w:rFonts w:ascii="Times New Roman" w:eastAsia="Calibri" w:hAnsi="Times New Roman" w:cs="Times New Roman"/>
          <w:b/>
          <w:sz w:val="24"/>
          <w:szCs w:val="24"/>
        </w:rPr>
        <w:t>=1,919)</w:t>
      </w:r>
    </w:p>
    <w:tbl>
      <w:tblPr>
        <w:tblStyle w:val="TableGrid3"/>
        <w:tblW w:w="5000" w:type="pct"/>
        <w:tblLook w:val="04A0" w:firstRow="1" w:lastRow="0" w:firstColumn="1" w:lastColumn="0" w:noHBand="0" w:noVBand="1"/>
      </w:tblPr>
      <w:tblGrid>
        <w:gridCol w:w="3308"/>
        <w:gridCol w:w="1792"/>
        <w:gridCol w:w="831"/>
        <w:gridCol w:w="1930"/>
        <w:gridCol w:w="828"/>
        <w:gridCol w:w="1930"/>
        <w:gridCol w:w="967"/>
        <w:gridCol w:w="1794"/>
        <w:gridCol w:w="794"/>
      </w:tblGrid>
      <w:tr w:rsidR="00722A28" w:rsidRPr="00722A28" w14:paraId="28B59FAE" w14:textId="77777777" w:rsidTr="00722A28">
        <w:trPr>
          <w:divId w:val="448934348"/>
        </w:trPr>
        <w:tc>
          <w:tcPr>
            <w:tcW w:w="1167" w:type="pct"/>
            <w:tcBorders>
              <w:top w:val="double" w:sz="4" w:space="0" w:color="auto"/>
              <w:left w:val="nil"/>
              <w:bottom w:val="nil"/>
            </w:tcBorders>
          </w:tcPr>
          <w:p w14:paraId="58AC3C23" w14:textId="77777777" w:rsidR="00722A28" w:rsidRPr="00722A28" w:rsidRDefault="00722A28" w:rsidP="00722A28">
            <w:pPr>
              <w:spacing w:line="360" w:lineRule="auto"/>
              <w:rPr>
                <w:rFonts w:ascii="Times New Roman" w:eastAsia="Calibri" w:hAnsi="Times New Roman" w:cs="Times New Roman"/>
                <w:b/>
                <w:sz w:val="24"/>
                <w:szCs w:val="24"/>
              </w:rPr>
            </w:pPr>
            <w:r w:rsidRPr="00722A28">
              <w:rPr>
                <w:rFonts w:ascii="Times New Roman" w:eastAsia="Calibri" w:hAnsi="Times New Roman" w:cs="Times New Roman"/>
                <w:b/>
                <w:sz w:val="24"/>
                <w:szCs w:val="24"/>
              </w:rPr>
              <w:t xml:space="preserve">2-Back </w:t>
            </w:r>
            <w:r w:rsidRPr="00722A28">
              <w:rPr>
                <w:rFonts w:ascii="Times New Roman" w:eastAsia="Calibri" w:hAnsi="Times New Roman" w:cs="Times New Roman"/>
                <w:b/>
                <w:i/>
                <w:sz w:val="24"/>
                <w:szCs w:val="24"/>
              </w:rPr>
              <w:t>d'</w:t>
            </w:r>
          </w:p>
        </w:tc>
        <w:tc>
          <w:tcPr>
            <w:tcW w:w="925" w:type="pct"/>
            <w:gridSpan w:val="2"/>
            <w:tcBorders>
              <w:top w:val="double" w:sz="4" w:space="0" w:color="auto"/>
              <w:bottom w:val="nil"/>
              <w:right w:val="nil"/>
            </w:tcBorders>
          </w:tcPr>
          <w:p w14:paraId="628BF1F7"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Model 1</w:t>
            </w:r>
          </w:p>
        </w:tc>
        <w:tc>
          <w:tcPr>
            <w:tcW w:w="973" w:type="pct"/>
            <w:gridSpan w:val="2"/>
            <w:tcBorders>
              <w:top w:val="double" w:sz="4" w:space="0" w:color="auto"/>
              <w:left w:val="nil"/>
              <w:bottom w:val="nil"/>
              <w:right w:val="nil"/>
            </w:tcBorders>
          </w:tcPr>
          <w:p w14:paraId="2DCE761C" w14:textId="77777777" w:rsidR="00722A28" w:rsidRPr="00722A28" w:rsidRDefault="00722A28" w:rsidP="00722A28">
            <w:pPr>
              <w:spacing w:line="360" w:lineRule="auto"/>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Model 2</w:t>
            </w:r>
          </w:p>
        </w:tc>
        <w:tc>
          <w:tcPr>
            <w:tcW w:w="1022" w:type="pct"/>
            <w:gridSpan w:val="2"/>
            <w:tcBorders>
              <w:top w:val="double" w:sz="4" w:space="0" w:color="auto"/>
              <w:left w:val="nil"/>
              <w:bottom w:val="nil"/>
              <w:right w:val="nil"/>
            </w:tcBorders>
          </w:tcPr>
          <w:p w14:paraId="6495E0CB" w14:textId="77777777" w:rsidR="00722A28" w:rsidRPr="00722A28" w:rsidRDefault="00722A28" w:rsidP="00722A28">
            <w:pPr>
              <w:spacing w:line="360" w:lineRule="auto"/>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Model 3</w:t>
            </w:r>
          </w:p>
        </w:tc>
        <w:tc>
          <w:tcPr>
            <w:tcW w:w="913" w:type="pct"/>
            <w:gridSpan w:val="2"/>
            <w:tcBorders>
              <w:top w:val="double" w:sz="4" w:space="0" w:color="auto"/>
              <w:left w:val="nil"/>
              <w:bottom w:val="nil"/>
              <w:right w:val="nil"/>
            </w:tcBorders>
          </w:tcPr>
          <w:p w14:paraId="64DDB6AB" w14:textId="77777777" w:rsidR="00722A28" w:rsidRPr="00722A28" w:rsidRDefault="00722A28" w:rsidP="00722A28">
            <w:pPr>
              <w:spacing w:line="360" w:lineRule="auto"/>
              <w:jc w:val="center"/>
              <w:rPr>
                <w:rFonts w:ascii="Times New Roman" w:eastAsia="Calibri" w:hAnsi="Times New Roman" w:cs="Times New Roman"/>
                <w:sz w:val="24"/>
                <w:szCs w:val="24"/>
              </w:rPr>
            </w:pPr>
            <w:r w:rsidRPr="00722A28">
              <w:rPr>
                <w:rFonts w:ascii="Times New Roman" w:eastAsia="Calibri" w:hAnsi="Times New Roman" w:cs="Times New Roman"/>
                <w:sz w:val="24"/>
                <w:szCs w:val="24"/>
              </w:rPr>
              <w:t>Model 4</w:t>
            </w:r>
          </w:p>
        </w:tc>
      </w:tr>
      <w:tr w:rsidR="00722A28" w:rsidRPr="00722A28" w14:paraId="4815F05E" w14:textId="77777777" w:rsidTr="00722A28">
        <w:trPr>
          <w:divId w:val="448934348"/>
        </w:trPr>
        <w:tc>
          <w:tcPr>
            <w:tcW w:w="1167" w:type="pct"/>
            <w:tcBorders>
              <w:top w:val="nil"/>
              <w:left w:val="nil"/>
            </w:tcBorders>
          </w:tcPr>
          <w:p w14:paraId="5ABB9CB8" w14:textId="77777777" w:rsidR="00722A28" w:rsidRPr="00722A28" w:rsidRDefault="00722A28" w:rsidP="00722A28">
            <w:pPr>
              <w:spacing w:line="360" w:lineRule="auto"/>
              <w:rPr>
                <w:rFonts w:ascii="Times New Roman" w:eastAsia="Calibri" w:hAnsi="Times New Roman" w:cs="Times New Roman"/>
                <w:sz w:val="24"/>
                <w:szCs w:val="24"/>
              </w:rPr>
            </w:pPr>
          </w:p>
        </w:tc>
        <w:tc>
          <w:tcPr>
            <w:tcW w:w="632" w:type="pct"/>
            <w:tcBorders>
              <w:top w:val="nil"/>
              <w:right w:val="nil"/>
            </w:tcBorders>
          </w:tcPr>
          <w:p w14:paraId="6A7815C2"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95% CI)</w:t>
            </w:r>
          </w:p>
        </w:tc>
        <w:tc>
          <w:tcPr>
            <w:tcW w:w="293" w:type="pct"/>
            <w:tcBorders>
              <w:top w:val="nil"/>
              <w:left w:val="nil"/>
              <w:right w:val="nil"/>
            </w:tcBorders>
          </w:tcPr>
          <w:p w14:paraId="1BE7A84B"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681" w:type="pct"/>
            <w:tcBorders>
              <w:top w:val="nil"/>
              <w:left w:val="nil"/>
              <w:right w:val="nil"/>
            </w:tcBorders>
          </w:tcPr>
          <w:p w14:paraId="212FFF8B"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 xml:space="preserve">95% CI)         </w:t>
            </w:r>
          </w:p>
        </w:tc>
        <w:tc>
          <w:tcPr>
            <w:tcW w:w="292" w:type="pct"/>
            <w:tcBorders>
              <w:top w:val="nil"/>
              <w:left w:val="nil"/>
              <w:right w:val="nil"/>
            </w:tcBorders>
          </w:tcPr>
          <w:p w14:paraId="496B371C"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681" w:type="pct"/>
            <w:tcBorders>
              <w:top w:val="nil"/>
              <w:left w:val="nil"/>
              <w:right w:val="nil"/>
            </w:tcBorders>
          </w:tcPr>
          <w:p w14:paraId="312E0F2E"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95% CI)</w:t>
            </w:r>
          </w:p>
        </w:tc>
        <w:tc>
          <w:tcPr>
            <w:tcW w:w="341" w:type="pct"/>
            <w:tcBorders>
              <w:top w:val="nil"/>
              <w:left w:val="nil"/>
              <w:right w:val="nil"/>
            </w:tcBorders>
          </w:tcPr>
          <w:p w14:paraId="4F0921AA"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633" w:type="pct"/>
            <w:tcBorders>
              <w:top w:val="nil"/>
              <w:left w:val="nil"/>
              <w:right w:val="nil"/>
            </w:tcBorders>
          </w:tcPr>
          <w:p w14:paraId="2C5D5B50"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95% CI)</w:t>
            </w:r>
          </w:p>
        </w:tc>
        <w:tc>
          <w:tcPr>
            <w:tcW w:w="280" w:type="pct"/>
            <w:tcBorders>
              <w:top w:val="nil"/>
              <w:left w:val="nil"/>
              <w:right w:val="nil"/>
            </w:tcBorders>
          </w:tcPr>
          <w:p w14:paraId="1484DCC3"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r>
      <w:tr w:rsidR="00722A28" w:rsidRPr="00722A28" w14:paraId="28688208" w14:textId="77777777" w:rsidTr="00722A28">
        <w:trPr>
          <w:divId w:val="448934348"/>
        </w:trPr>
        <w:tc>
          <w:tcPr>
            <w:tcW w:w="1167" w:type="pct"/>
            <w:tcBorders>
              <w:left w:val="nil"/>
              <w:bottom w:val="nil"/>
            </w:tcBorders>
          </w:tcPr>
          <w:p w14:paraId="0CB32396"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Low alcohol use (82.5%)</w:t>
            </w:r>
          </w:p>
        </w:tc>
        <w:tc>
          <w:tcPr>
            <w:tcW w:w="632" w:type="pct"/>
            <w:tcBorders>
              <w:bottom w:val="nil"/>
              <w:right w:val="nil"/>
            </w:tcBorders>
          </w:tcPr>
          <w:p w14:paraId="4F68F860"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93" w:type="pct"/>
            <w:tcBorders>
              <w:left w:val="nil"/>
              <w:bottom w:val="nil"/>
              <w:right w:val="nil"/>
            </w:tcBorders>
          </w:tcPr>
          <w:p w14:paraId="090D4E46" w14:textId="77777777" w:rsidR="00722A28" w:rsidRPr="00722A28" w:rsidRDefault="00722A28" w:rsidP="00722A28">
            <w:pPr>
              <w:spacing w:line="360" w:lineRule="auto"/>
              <w:rPr>
                <w:rFonts w:ascii="Times New Roman" w:eastAsia="Calibri" w:hAnsi="Times New Roman" w:cs="Times New Roman"/>
                <w:sz w:val="24"/>
                <w:szCs w:val="24"/>
              </w:rPr>
            </w:pPr>
          </w:p>
        </w:tc>
        <w:tc>
          <w:tcPr>
            <w:tcW w:w="681" w:type="pct"/>
            <w:tcBorders>
              <w:left w:val="nil"/>
              <w:bottom w:val="nil"/>
              <w:right w:val="nil"/>
            </w:tcBorders>
          </w:tcPr>
          <w:p w14:paraId="5E808D46"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92" w:type="pct"/>
            <w:tcBorders>
              <w:left w:val="nil"/>
              <w:bottom w:val="nil"/>
              <w:right w:val="nil"/>
            </w:tcBorders>
          </w:tcPr>
          <w:p w14:paraId="04B898F7" w14:textId="77777777" w:rsidR="00722A28" w:rsidRPr="00722A28" w:rsidRDefault="00722A28" w:rsidP="00722A28">
            <w:pPr>
              <w:spacing w:line="360" w:lineRule="auto"/>
              <w:rPr>
                <w:rFonts w:ascii="Times New Roman" w:eastAsia="Calibri" w:hAnsi="Times New Roman" w:cs="Times New Roman"/>
                <w:sz w:val="24"/>
                <w:szCs w:val="24"/>
              </w:rPr>
            </w:pPr>
          </w:p>
        </w:tc>
        <w:tc>
          <w:tcPr>
            <w:tcW w:w="681" w:type="pct"/>
            <w:tcBorders>
              <w:left w:val="nil"/>
              <w:bottom w:val="nil"/>
              <w:right w:val="nil"/>
            </w:tcBorders>
          </w:tcPr>
          <w:p w14:paraId="38D0E9BD"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341" w:type="pct"/>
            <w:tcBorders>
              <w:left w:val="nil"/>
              <w:bottom w:val="nil"/>
              <w:right w:val="nil"/>
            </w:tcBorders>
          </w:tcPr>
          <w:p w14:paraId="41A3BF5E" w14:textId="77777777" w:rsidR="00722A28" w:rsidRPr="00722A28" w:rsidRDefault="00722A28" w:rsidP="00722A28">
            <w:pPr>
              <w:spacing w:line="360" w:lineRule="auto"/>
              <w:rPr>
                <w:rFonts w:ascii="Times New Roman" w:eastAsia="Calibri" w:hAnsi="Times New Roman" w:cs="Times New Roman"/>
                <w:sz w:val="24"/>
                <w:szCs w:val="24"/>
              </w:rPr>
            </w:pPr>
          </w:p>
        </w:tc>
        <w:tc>
          <w:tcPr>
            <w:tcW w:w="633" w:type="pct"/>
            <w:tcBorders>
              <w:left w:val="nil"/>
              <w:bottom w:val="nil"/>
              <w:right w:val="nil"/>
            </w:tcBorders>
          </w:tcPr>
          <w:p w14:paraId="41F14C7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80" w:type="pct"/>
            <w:tcBorders>
              <w:left w:val="nil"/>
              <w:bottom w:val="nil"/>
              <w:right w:val="nil"/>
            </w:tcBorders>
          </w:tcPr>
          <w:p w14:paraId="610F70D5" w14:textId="77777777" w:rsidR="00722A28" w:rsidRPr="00722A28" w:rsidRDefault="00722A28" w:rsidP="00722A28">
            <w:pPr>
              <w:spacing w:line="360" w:lineRule="auto"/>
              <w:rPr>
                <w:rFonts w:ascii="Times New Roman" w:eastAsia="Calibri" w:hAnsi="Times New Roman" w:cs="Times New Roman"/>
                <w:sz w:val="24"/>
                <w:szCs w:val="24"/>
              </w:rPr>
            </w:pPr>
          </w:p>
        </w:tc>
      </w:tr>
      <w:tr w:rsidR="00722A28" w:rsidRPr="00722A28" w14:paraId="674BFADA" w14:textId="77777777" w:rsidTr="00722A28">
        <w:trPr>
          <w:divId w:val="448934348"/>
        </w:trPr>
        <w:tc>
          <w:tcPr>
            <w:tcW w:w="1167" w:type="pct"/>
            <w:tcBorders>
              <w:top w:val="nil"/>
              <w:left w:val="nil"/>
              <w:bottom w:val="nil"/>
            </w:tcBorders>
          </w:tcPr>
          <w:p w14:paraId="4C5140E7"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Frequent drinking only (10.8%)</w:t>
            </w:r>
          </w:p>
        </w:tc>
        <w:tc>
          <w:tcPr>
            <w:tcW w:w="632" w:type="pct"/>
            <w:tcBorders>
              <w:top w:val="nil"/>
              <w:bottom w:val="nil"/>
              <w:right w:val="nil"/>
            </w:tcBorders>
          </w:tcPr>
          <w:p w14:paraId="6433A925"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.07 (-.05, .19)</w:t>
            </w:r>
          </w:p>
        </w:tc>
        <w:tc>
          <w:tcPr>
            <w:tcW w:w="293" w:type="pct"/>
            <w:tcBorders>
              <w:top w:val="nil"/>
              <w:left w:val="nil"/>
              <w:bottom w:val="nil"/>
              <w:right w:val="nil"/>
            </w:tcBorders>
          </w:tcPr>
          <w:p w14:paraId="2CECD85E"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.27</w:t>
            </w:r>
          </w:p>
        </w:tc>
        <w:tc>
          <w:tcPr>
            <w:tcW w:w="681" w:type="pct"/>
            <w:tcBorders>
              <w:top w:val="nil"/>
              <w:left w:val="nil"/>
              <w:bottom w:val="nil"/>
              <w:right w:val="nil"/>
            </w:tcBorders>
          </w:tcPr>
          <w:p w14:paraId="15356585"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.07 (-.05, .19)</w:t>
            </w:r>
          </w:p>
        </w:tc>
        <w:tc>
          <w:tcPr>
            <w:tcW w:w="292" w:type="pct"/>
            <w:tcBorders>
              <w:top w:val="nil"/>
              <w:left w:val="nil"/>
              <w:bottom w:val="nil"/>
              <w:right w:val="nil"/>
            </w:tcBorders>
          </w:tcPr>
          <w:p w14:paraId="3C844AD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.27</w:t>
            </w:r>
          </w:p>
        </w:tc>
        <w:tc>
          <w:tcPr>
            <w:tcW w:w="681" w:type="pct"/>
            <w:tcBorders>
              <w:top w:val="nil"/>
              <w:left w:val="nil"/>
              <w:bottom w:val="nil"/>
              <w:right w:val="nil"/>
            </w:tcBorders>
          </w:tcPr>
          <w:p w14:paraId="3A385521"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.01 (-.12, .14)</w:t>
            </w:r>
          </w:p>
        </w:tc>
        <w:tc>
          <w:tcPr>
            <w:tcW w:w="341" w:type="pct"/>
            <w:tcBorders>
              <w:top w:val="nil"/>
              <w:left w:val="nil"/>
              <w:bottom w:val="nil"/>
              <w:right w:val="nil"/>
            </w:tcBorders>
          </w:tcPr>
          <w:p w14:paraId="1E2694D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.90</w:t>
            </w:r>
          </w:p>
        </w:tc>
        <w:tc>
          <w:tcPr>
            <w:tcW w:w="633" w:type="pct"/>
            <w:tcBorders>
              <w:top w:val="nil"/>
              <w:left w:val="nil"/>
              <w:bottom w:val="nil"/>
              <w:right w:val="nil"/>
            </w:tcBorders>
          </w:tcPr>
          <w:p w14:paraId="49293C1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.01 (-.13, .15)</w:t>
            </w:r>
          </w:p>
        </w:tc>
        <w:tc>
          <w:tcPr>
            <w:tcW w:w="280" w:type="pct"/>
            <w:tcBorders>
              <w:top w:val="nil"/>
              <w:left w:val="nil"/>
              <w:bottom w:val="nil"/>
              <w:right w:val="nil"/>
            </w:tcBorders>
          </w:tcPr>
          <w:p w14:paraId="4DF26650"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.91</w:t>
            </w:r>
          </w:p>
        </w:tc>
      </w:tr>
      <w:tr w:rsidR="00722A28" w:rsidRPr="00722A28" w14:paraId="280D118A" w14:textId="77777777" w:rsidTr="00722A28">
        <w:trPr>
          <w:divId w:val="448934348"/>
        </w:trPr>
        <w:tc>
          <w:tcPr>
            <w:tcW w:w="1167" w:type="pct"/>
            <w:tcBorders>
              <w:top w:val="nil"/>
              <w:left w:val="nil"/>
              <w:bottom w:val="double" w:sz="4" w:space="0" w:color="auto"/>
            </w:tcBorders>
          </w:tcPr>
          <w:p w14:paraId="68E37DB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Frequent and binge (6.8%)</w:t>
            </w:r>
          </w:p>
        </w:tc>
        <w:tc>
          <w:tcPr>
            <w:tcW w:w="632" w:type="pct"/>
            <w:tcBorders>
              <w:top w:val="nil"/>
              <w:bottom w:val="double" w:sz="4" w:space="0" w:color="auto"/>
              <w:right w:val="nil"/>
            </w:tcBorders>
          </w:tcPr>
          <w:p w14:paraId="7A5A0335"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-.11 (-.25, .03)</w:t>
            </w:r>
          </w:p>
        </w:tc>
        <w:tc>
          <w:tcPr>
            <w:tcW w:w="293" w:type="pct"/>
            <w:tcBorders>
              <w:top w:val="nil"/>
              <w:left w:val="nil"/>
              <w:bottom w:val="double" w:sz="4" w:space="0" w:color="auto"/>
              <w:right w:val="nil"/>
            </w:tcBorders>
          </w:tcPr>
          <w:p w14:paraId="6A39F785"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.13</w:t>
            </w:r>
          </w:p>
        </w:tc>
        <w:tc>
          <w:tcPr>
            <w:tcW w:w="681" w:type="pct"/>
            <w:tcBorders>
              <w:top w:val="nil"/>
              <w:left w:val="nil"/>
              <w:bottom w:val="double" w:sz="4" w:space="0" w:color="auto"/>
              <w:right w:val="nil"/>
            </w:tcBorders>
          </w:tcPr>
          <w:p w14:paraId="4CD99F7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-.11 (-.25, .03)</w:t>
            </w:r>
          </w:p>
        </w:tc>
        <w:tc>
          <w:tcPr>
            <w:tcW w:w="292" w:type="pct"/>
            <w:tcBorders>
              <w:top w:val="nil"/>
              <w:left w:val="nil"/>
              <w:bottom w:val="double" w:sz="4" w:space="0" w:color="auto"/>
              <w:right w:val="nil"/>
            </w:tcBorders>
          </w:tcPr>
          <w:p w14:paraId="53C7F651"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.13</w:t>
            </w:r>
          </w:p>
        </w:tc>
        <w:tc>
          <w:tcPr>
            <w:tcW w:w="681" w:type="pct"/>
            <w:tcBorders>
              <w:top w:val="nil"/>
              <w:left w:val="nil"/>
              <w:bottom w:val="double" w:sz="4" w:space="0" w:color="auto"/>
              <w:right w:val="nil"/>
            </w:tcBorders>
          </w:tcPr>
          <w:p w14:paraId="394169F4"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-.14 (-.30, .02)</w:t>
            </w:r>
          </w:p>
        </w:tc>
        <w:tc>
          <w:tcPr>
            <w:tcW w:w="341" w:type="pct"/>
            <w:tcBorders>
              <w:top w:val="nil"/>
              <w:left w:val="nil"/>
              <w:bottom w:val="double" w:sz="4" w:space="0" w:color="auto"/>
              <w:right w:val="nil"/>
            </w:tcBorders>
          </w:tcPr>
          <w:p w14:paraId="1D8A780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.08</w:t>
            </w:r>
          </w:p>
        </w:tc>
        <w:tc>
          <w:tcPr>
            <w:tcW w:w="633" w:type="pct"/>
            <w:tcBorders>
              <w:top w:val="nil"/>
              <w:left w:val="nil"/>
              <w:bottom w:val="double" w:sz="4" w:space="0" w:color="auto"/>
              <w:right w:val="nil"/>
            </w:tcBorders>
          </w:tcPr>
          <w:p w14:paraId="642B7BD5"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-.10 (-.27, .08)</w:t>
            </w:r>
          </w:p>
        </w:tc>
        <w:tc>
          <w:tcPr>
            <w:tcW w:w="280" w:type="pct"/>
            <w:tcBorders>
              <w:top w:val="nil"/>
              <w:left w:val="nil"/>
              <w:bottom w:val="double" w:sz="4" w:space="0" w:color="auto"/>
              <w:right w:val="nil"/>
            </w:tcBorders>
          </w:tcPr>
          <w:p w14:paraId="733A8BAB"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.29</w:t>
            </w:r>
          </w:p>
        </w:tc>
      </w:tr>
    </w:tbl>
    <w:p w14:paraId="18669CB3" w14:textId="77777777" w:rsidR="00722A28" w:rsidRPr="00722A28" w:rsidRDefault="00722A28" w:rsidP="00722A28">
      <w:pPr>
        <w:spacing w:after="0"/>
        <w:divId w:val="448934348"/>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Model 1: unadjusted; Model 2: adjusted for sex, income, social economic position, maternal education, housing tenure, parity, maternal smoking in pregnancy; Model 3: further adjusted for WM at age 11 years, and head injury/unconsciousness up to age 11 years; Model 4: </w:t>
      </w:r>
      <w:r w:rsidRPr="00722A28">
        <w:rPr>
          <w:rFonts w:ascii="Times New Roman" w:eastAsia="Times New Roman" w:hAnsi="Times New Roman" w:cs="Times New Roman"/>
          <w:sz w:val="24"/>
          <w:szCs w:val="24"/>
        </w:rPr>
        <w:t>further adjusted for young person cigarette and cannabis use assessed at age 15 years</w:t>
      </w:r>
    </w:p>
    <w:p w14:paraId="33963008"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23BD74CE"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3636CAC5" w14:textId="77777777" w:rsidR="00722A28" w:rsidRPr="00722A28" w:rsidRDefault="00722A28" w:rsidP="00722A28">
      <w:pPr>
        <w:spacing w:after="0" w:line="240" w:lineRule="auto"/>
        <w:divId w:val="448934348"/>
        <w:rPr>
          <w:rFonts w:ascii="Times New Roman" w:eastAsia="Calibri" w:hAnsi="Times New Roman" w:cs="Times New Roman"/>
          <w:b/>
          <w:sz w:val="24"/>
          <w:szCs w:val="24"/>
        </w:rPr>
      </w:pPr>
    </w:p>
    <w:p w14:paraId="6DABAD41"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6CB4180"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62D6F04E"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1A53FBC1"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1AFD185"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41B5CA46"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0663230B"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70A485C"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4134B2F1"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69AAB310"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FDBD031"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0CB6E825"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2C315655"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5B5EFCD1"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7B3511CC"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6436661A" w14:textId="77777777" w:rsidR="00722A28" w:rsidRDefault="00722A28" w:rsidP="00722A28">
      <w:pPr>
        <w:spacing w:after="0" w:line="240" w:lineRule="auto"/>
        <w:divId w:val="448934348"/>
        <w:rPr>
          <w:rFonts w:ascii="Times New Roman" w:eastAsia="Calibri" w:hAnsi="Times New Roman" w:cs="Times New Roman"/>
          <w:b/>
          <w:sz w:val="24"/>
          <w:szCs w:val="24"/>
        </w:rPr>
      </w:pPr>
    </w:p>
    <w:p w14:paraId="6F0DA96D" w14:textId="001C996C" w:rsidR="00722A28" w:rsidRPr="00722A28" w:rsidRDefault="00722A28" w:rsidP="00722A28">
      <w:pPr>
        <w:spacing w:after="0" w:line="240" w:lineRule="auto"/>
        <w:divId w:val="448934348"/>
        <w:rPr>
          <w:rFonts w:ascii="Times New Roman" w:eastAsia="Calibri" w:hAnsi="Times New Roman" w:cs="Times New Roman"/>
          <w:b/>
          <w:sz w:val="24"/>
          <w:szCs w:val="24"/>
        </w:rPr>
      </w:pPr>
      <w:r w:rsidRPr="00722A28">
        <w:rPr>
          <w:rFonts w:ascii="Times New Roman" w:eastAsia="Calibri" w:hAnsi="Times New Roman" w:cs="Times New Roman"/>
          <w:b/>
          <w:sz w:val="24"/>
          <w:szCs w:val="24"/>
        </w:rPr>
        <w:t>Table S7b. Associations between alcohol use at age 15 years and WM at age 18 years (3-back task) – complete cases (</w:t>
      </w:r>
      <w:r w:rsidRPr="00722A28">
        <w:rPr>
          <w:rFonts w:ascii="Times New Roman" w:eastAsia="Calibri" w:hAnsi="Times New Roman" w:cs="Times New Roman"/>
          <w:b/>
          <w:i/>
          <w:sz w:val="24"/>
          <w:szCs w:val="24"/>
        </w:rPr>
        <w:t>n</w:t>
      </w:r>
      <w:r w:rsidRPr="00722A28">
        <w:rPr>
          <w:rFonts w:ascii="Times New Roman" w:eastAsia="Calibri" w:hAnsi="Times New Roman" w:cs="Times New Roman"/>
          <w:b/>
          <w:sz w:val="24"/>
          <w:szCs w:val="24"/>
        </w:rPr>
        <w:t>=1,896)</w:t>
      </w:r>
    </w:p>
    <w:tbl>
      <w:tblPr>
        <w:tblStyle w:val="TableGrid3"/>
        <w:tblW w:w="5000" w:type="pct"/>
        <w:tblLook w:val="04A0" w:firstRow="1" w:lastRow="0" w:firstColumn="1" w:lastColumn="0" w:noHBand="0" w:noVBand="1"/>
      </w:tblPr>
      <w:tblGrid>
        <w:gridCol w:w="3433"/>
        <w:gridCol w:w="1806"/>
        <w:gridCol w:w="689"/>
        <w:gridCol w:w="2211"/>
        <w:gridCol w:w="825"/>
        <w:gridCol w:w="1797"/>
        <w:gridCol w:w="828"/>
        <w:gridCol w:w="1794"/>
        <w:gridCol w:w="791"/>
      </w:tblGrid>
      <w:tr w:rsidR="00722A28" w:rsidRPr="00722A28" w14:paraId="42F538EB" w14:textId="77777777" w:rsidTr="00722A28">
        <w:trPr>
          <w:divId w:val="448934348"/>
          <w:trHeight w:val="388"/>
        </w:trPr>
        <w:tc>
          <w:tcPr>
            <w:tcW w:w="1211" w:type="pct"/>
            <w:tcBorders>
              <w:top w:val="double" w:sz="4" w:space="0" w:color="auto"/>
              <w:left w:val="nil"/>
              <w:bottom w:val="nil"/>
            </w:tcBorders>
          </w:tcPr>
          <w:p w14:paraId="7A29ADD6" w14:textId="77777777" w:rsidR="00722A28" w:rsidRPr="00722A28" w:rsidRDefault="00722A28" w:rsidP="00722A28">
            <w:pPr>
              <w:spacing w:line="360" w:lineRule="auto"/>
              <w:rPr>
                <w:rFonts w:ascii="Times New Roman" w:eastAsia="Calibri" w:hAnsi="Times New Roman" w:cs="Times New Roman"/>
                <w:b/>
                <w:sz w:val="24"/>
                <w:szCs w:val="24"/>
              </w:rPr>
            </w:pPr>
            <w:r w:rsidRPr="00722A28">
              <w:rPr>
                <w:rFonts w:ascii="Times New Roman" w:eastAsia="Calibri" w:hAnsi="Times New Roman" w:cs="Times New Roman"/>
                <w:b/>
                <w:sz w:val="24"/>
                <w:szCs w:val="24"/>
              </w:rPr>
              <w:t xml:space="preserve">3-back </w:t>
            </w:r>
            <w:r w:rsidRPr="00722A28">
              <w:rPr>
                <w:rFonts w:ascii="Times New Roman" w:eastAsia="Calibri" w:hAnsi="Times New Roman" w:cs="Times New Roman"/>
                <w:b/>
                <w:i/>
                <w:sz w:val="24"/>
                <w:szCs w:val="24"/>
              </w:rPr>
              <w:t>d'</w:t>
            </w:r>
          </w:p>
        </w:tc>
        <w:tc>
          <w:tcPr>
            <w:tcW w:w="880" w:type="pct"/>
            <w:gridSpan w:val="2"/>
            <w:tcBorders>
              <w:top w:val="double" w:sz="4" w:space="0" w:color="auto"/>
              <w:bottom w:val="nil"/>
              <w:right w:val="nil"/>
            </w:tcBorders>
          </w:tcPr>
          <w:p w14:paraId="2BFED2AB"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Model 1</w:t>
            </w:r>
          </w:p>
        </w:tc>
        <w:tc>
          <w:tcPr>
            <w:tcW w:w="1071" w:type="pct"/>
            <w:gridSpan w:val="2"/>
            <w:tcBorders>
              <w:top w:val="double" w:sz="4" w:space="0" w:color="auto"/>
              <w:left w:val="nil"/>
              <w:bottom w:val="nil"/>
              <w:right w:val="nil"/>
            </w:tcBorders>
          </w:tcPr>
          <w:p w14:paraId="69E4C18F"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Model 2</w:t>
            </w:r>
          </w:p>
        </w:tc>
        <w:tc>
          <w:tcPr>
            <w:tcW w:w="926" w:type="pct"/>
            <w:gridSpan w:val="2"/>
            <w:tcBorders>
              <w:top w:val="double" w:sz="4" w:space="0" w:color="auto"/>
              <w:left w:val="nil"/>
              <w:bottom w:val="nil"/>
              <w:right w:val="nil"/>
            </w:tcBorders>
          </w:tcPr>
          <w:p w14:paraId="07E28A2E"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Model 3</w:t>
            </w:r>
          </w:p>
        </w:tc>
        <w:tc>
          <w:tcPr>
            <w:tcW w:w="912" w:type="pct"/>
            <w:gridSpan w:val="2"/>
            <w:tcBorders>
              <w:top w:val="double" w:sz="4" w:space="0" w:color="auto"/>
              <w:left w:val="nil"/>
              <w:bottom w:val="nil"/>
              <w:right w:val="nil"/>
            </w:tcBorders>
          </w:tcPr>
          <w:p w14:paraId="18DBCA86"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Model 4</w:t>
            </w:r>
          </w:p>
        </w:tc>
      </w:tr>
      <w:tr w:rsidR="00722A28" w:rsidRPr="00722A28" w14:paraId="1CE35858" w14:textId="77777777" w:rsidTr="00722A28">
        <w:trPr>
          <w:divId w:val="448934348"/>
          <w:trHeight w:val="402"/>
        </w:trPr>
        <w:tc>
          <w:tcPr>
            <w:tcW w:w="1211" w:type="pct"/>
            <w:tcBorders>
              <w:top w:val="nil"/>
              <w:left w:val="nil"/>
            </w:tcBorders>
          </w:tcPr>
          <w:p w14:paraId="549558BA" w14:textId="77777777" w:rsidR="00722A28" w:rsidRPr="00722A28" w:rsidRDefault="00722A28" w:rsidP="00722A28">
            <w:pPr>
              <w:spacing w:line="360" w:lineRule="auto"/>
              <w:rPr>
                <w:rFonts w:ascii="Times New Roman" w:eastAsia="Calibri" w:hAnsi="Times New Roman" w:cs="Times New Roman"/>
                <w:sz w:val="24"/>
                <w:szCs w:val="24"/>
              </w:rPr>
            </w:pPr>
          </w:p>
        </w:tc>
        <w:tc>
          <w:tcPr>
            <w:tcW w:w="637" w:type="pct"/>
            <w:tcBorders>
              <w:top w:val="nil"/>
              <w:right w:val="nil"/>
            </w:tcBorders>
          </w:tcPr>
          <w:p w14:paraId="0079AABF"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95% CI)</w:t>
            </w:r>
          </w:p>
        </w:tc>
        <w:tc>
          <w:tcPr>
            <w:tcW w:w="243" w:type="pct"/>
            <w:tcBorders>
              <w:top w:val="nil"/>
              <w:left w:val="nil"/>
              <w:right w:val="nil"/>
            </w:tcBorders>
          </w:tcPr>
          <w:p w14:paraId="56980653"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780" w:type="pct"/>
            <w:tcBorders>
              <w:top w:val="nil"/>
              <w:left w:val="nil"/>
              <w:right w:val="nil"/>
            </w:tcBorders>
          </w:tcPr>
          <w:p w14:paraId="21378D0D"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 xml:space="preserve">95% CI)      </w:t>
            </w:r>
          </w:p>
        </w:tc>
        <w:tc>
          <w:tcPr>
            <w:tcW w:w="291" w:type="pct"/>
            <w:tcBorders>
              <w:top w:val="nil"/>
              <w:left w:val="nil"/>
              <w:bottom w:val="nil"/>
              <w:right w:val="nil"/>
            </w:tcBorders>
          </w:tcPr>
          <w:p w14:paraId="6B2AE411"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634" w:type="pct"/>
            <w:tcBorders>
              <w:top w:val="nil"/>
              <w:left w:val="nil"/>
              <w:right w:val="nil"/>
            </w:tcBorders>
          </w:tcPr>
          <w:p w14:paraId="677C50CA"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95% CI)</w:t>
            </w:r>
          </w:p>
        </w:tc>
        <w:tc>
          <w:tcPr>
            <w:tcW w:w="292" w:type="pct"/>
            <w:tcBorders>
              <w:top w:val="nil"/>
              <w:left w:val="nil"/>
              <w:right w:val="nil"/>
            </w:tcBorders>
          </w:tcPr>
          <w:p w14:paraId="273455E3"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c>
          <w:tcPr>
            <w:tcW w:w="633" w:type="pct"/>
            <w:tcBorders>
              <w:top w:val="nil"/>
              <w:left w:val="nil"/>
              <w:right w:val="nil"/>
            </w:tcBorders>
          </w:tcPr>
          <w:p w14:paraId="1DCFACA6"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sz w:val="24"/>
                <w:szCs w:val="24"/>
              </w:rPr>
              <w:t>β (</w:t>
            </w:r>
            <w:r w:rsidRPr="00722A28">
              <w:rPr>
                <w:rFonts w:ascii="Times New Roman" w:eastAsia="Calibri" w:hAnsi="Times New Roman" w:cs="Times New Roman"/>
                <w:i/>
                <w:sz w:val="24"/>
                <w:szCs w:val="24"/>
              </w:rPr>
              <w:t>95% CI)</w:t>
            </w:r>
          </w:p>
        </w:tc>
        <w:tc>
          <w:tcPr>
            <w:tcW w:w="279" w:type="pct"/>
            <w:tcBorders>
              <w:top w:val="nil"/>
              <w:left w:val="nil"/>
              <w:right w:val="nil"/>
            </w:tcBorders>
          </w:tcPr>
          <w:p w14:paraId="431F2536" w14:textId="77777777" w:rsidR="00722A28" w:rsidRPr="00722A28" w:rsidRDefault="00722A28" w:rsidP="00722A28">
            <w:pPr>
              <w:spacing w:line="360" w:lineRule="auto"/>
              <w:rPr>
                <w:rFonts w:ascii="Times New Roman" w:eastAsia="Calibri" w:hAnsi="Times New Roman" w:cs="Times New Roman"/>
                <w:i/>
                <w:sz w:val="24"/>
                <w:szCs w:val="24"/>
              </w:rPr>
            </w:pPr>
            <w:r w:rsidRPr="00722A28">
              <w:rPr>
                <w:rFonts w:ascii="Times New Roman" w:eastAsia="Calibri" w:hAnsi="Times New Roman" w:cs="Times New Roman"/>
                <w:i/>
                <w:sz w:val="24"/>
                <w:szCs w:val="24"/>
              </w:rPr>
              <w:t>p</w:t>
            </w:r>
          </w:p>
        </w:tc>
      </w:tr>
      <w:tr w:rsidR="00722A28" w:rsidRPr="00722A28" w14:paraId="3C3ACF0F" w14:textId="77777777" w:rsidTr="00722A28">
        <w:trPr>
          <w:divId w:val="448934348"/>
          <w:trHeight w:val="517"/>
        </w:trPr>
        <w:tc>
          <w:tcPr>
            <w:tcW w:w="1211" w:type="pct"/>
            <w:tcBorders>
              <w:left w:val="nil"/>
              <w:bottom w:val="nil"/>
            </w:tcBorders>
          </w:tcPr>
          <w:p w14:paraId="58C0E5A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Low alcohol use (82.6%)</w:t>
            </w:r>
          </w:p>
        </w:tc>
        <w:tc>
          <w:tcPr>
            <w:tcW w:w="637" w:type="pct"/>
            <w:tcBorders>
              <w:bottom w:val="nil"/>
              <w:right w:val="nil"/>
            </w:tcBorders>
          </w:tcPr>
          <w:p w14:paraId="7B36647F"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43" w:type="pct"/>
            <w:tcBorders>
              <w:left w:val="nil"/>
              <w:bottom w:val="nil"/>
              <w:right w:val="nil"/>
            </w:tcBorders>
          </w:tcPr>
          <w:p w14:paraId="70BA4482" w14:textId="77777777" w:rsidR="00722A28" w:rsidRPr="00722A28" w:rsidRDefault="00722A28" w:rsidP="00722A28">
            <w:pPr>
              <w:spacing w:line="360" w:lineRule="auto"/>
              <w:rPr>
                <w:rFonts w:ascii="Times New Roman" w:eastAsia="Calibri" w:hAnsi="Times New Roman" w:cs="Times New Roman"/>
                <w:sz w:val="24"/>
                <w:szCs w:val="24"/>
              </w:rPr>
            </w:pPr>
          </w:p>
        </w:tc>
        <w:tc>
          <w:tcPr>
            <w:tcW w:w="780" w:type="pct"/>
            <w:tcBorders>
              <w:left w:val="nil"/>
              <w:bottom w:val="nil"/>
              <w:right w:val="nil"/>
            </w:tcBorders>
          </w:tcPr>
          <w:p w14:paraId="34E3307B"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91" w:type="pct"/>
            <w:tcBorders>
              <w:left w:val="nil"/>
              <w:bottom w:val="nil"/>
              <w:right w:val="nil"/>
            </w:tcBorders>
          </w:tcPr>
          <w:p w14:paraId="0AC79EE7" w14:textId="77777777" w:rsidR="00722A28" w:rsidRPr="00722A28" w:rsidRDefault="00722A28" w:rsidP="00722A28">
            <w:pPr>
              <w:spacing w:line="360" w:lineRule="auto"/>
              <w:rPr>
                <w:rFonts w:ascii="Times New Roman" w:eastAsia="Calibri" w:hAnsi="Times New Roman" w:cs="Times New Roman"/>
                <w:sz w:val="24"/>
                <w:szCs w:val="24"/>
              </w:rPr>
            </w:pPr>
          </w:p>
        </w:tc>
        <w:tc>
          <w:tcPr>
            <w:tcW w:w="634" w:type="pct"/>
            <w:tcBorders>
              <w:left w:val="nil"/>
              <w:bottom w:val="nil"/>
              <w:right w:val="nil"/>
            </w:tcBorders>
          </w:tcPr>
          <w:p w14:paraId="2727AA95"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92" w:type="pct"/>
            <w:tcBorders>
              <w:left w:val="nil"/>
              <w:bottom w:val="nil"/>
              <w:right w:val="nil"/>
            </w:tcBorders>
          </w:tcPr>
          <w:p w14:paraId="37C7E57B" w14:textId="77777777" w:rsidR="00722A28" w:rsidRPr="00722A28" w:rsidRDefault="00722A28" w:rsidP="00722A28">
            <w:pPr>
              <w:spacing w:line="360" w:lineRule="auto"/>
              <w:rPr>
                <w:rFonts w:ascii="Times New Roman" w:eastAsia="Calibri" w:hAnsi="Times New Roman" w:cs="Times New Roman"/>
                <w:sz w:val="24"/>
                <w:szCs w:val="24"/>
              </w:rPr>
            </w:pPr>
          </w:p>
        </w:tc>
        <w:tc>
          <w:tcPr>
            <w:tcW w:w="633" w:type="pct"/>
            <w:tcBorders>
              <w:left w:val="nil"/>
              <w:bottom w:val="nil"/>
              <w:right w:val="nil"/>
            </w:tcBorders>
          </w:tcPr>
          <w:p w14:paraId="0ABB60E0"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ref</w:t>
            </w:r>
          </w:p>
        </w:tc>
        <w:tc>
          <w:tcPr>
            <w:tcW w:w="279" w:type="pct"/>
            <w:tcBorders>
              <w:left w:val="nil"/>
              <w:bottom w:val="nil"/>
              <w:right w:val="nil"/>
            </w:tcBorders>
          </w:tcPr>
          <w:p w14:paraId="518025E6" w14:textId="77777777" w:rsidR="00722A28" w:rsidRPr="00722A28" w:rsidRDefault="00722A28" w:rsidP="00722A28">
            <w:pPr>
              <w:spacing w:line="360" w:lineRule="auto"/>
              <w:rPr>
                <w:rFonts w:ascii="Times New Roman" w:eastAsia="Calibri" w:hAnsi="Times New Roman" w:cs="Times New Roman"/>
                <w:sz w:val="24"/>
                <w:szCs w:val="24"/>
              </w:rPr>
            </w:pPr>
          </w:p>
        </w:tc>
      </w:tr>
      <w:tr w:rsidR="00722A28" w:rsidRPr="00722A28" w14:paraId="5720A74D" w14:textId="77777777" w:rsidTr="00722A28">
        <w:trPr>
          <w:divId w:val="448934348"/>
          <w:trHeight w:val="517"/>
        </w:trPr>
        <w:tc>
          <w:tcPr>
            <w:tcW w:w="1211" w:type="pct"/>
            <w:tcBorders>
              <w:top w:val="nil"/>
              <w:left w:val="nil"/>
              <w:bottom w:val="nil"/>
            </w:tcBorders>
          </w:tcPr>
          <w:p w14:paraId="3726388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Frequent drinking only (10.8%)</w:t>
            </w:r>
          </w:p>
        </w:tc>
        <w:tc>
          <w:tcPr>
            <w:tcW w:w="637" w:type="pct"/>
            <w:tcBorders>
              <w:top w:val="nil"/>
              <w:bottom w:val="nil"/>
              <w:right w:val="nil"/>
            </w:tcBorders>
          </w:tcPr>
          <w:p w14:paraId="5052A6B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.08 (-.04, .20)</w:t>
            </w:r>
          </w:p>
        </w:tc>
        <w:tc>
          <w:tcPr>
            <w:tcW w:w="243" w:type="pct"/>
            <w:tcBorders>
              <w:top w:val="nil"/>
              <w:left w:val="nil"/>
              <w:bottom w:val="nil"/>
              <w:right w:val="nil"/>
            </w:tcBorders>
          </w:tcPr>
          <w:p w14:paraId="0DD1E1D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.20</w:t>
            </w:r>
          </w:p>
        </w:tc>
        <w:tc>
          <w:tcPr>
            <w:tcW w:w="780" w:type="pct"/>
            <w:tcBorders>
              <w:top w:val="nil"/>
              <w:left w:val="nil"/>
              <w:bottom w:val="nil"/>
              <w:right w:val="nil"/>
            </w:tcBorders>
          </w:tcPr>
          <w:p w14:paraId="47D1D384"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.03 (-.10, .17) </w:t>
            </w:r>
          </w:p>
        </w:tc>
        <w:tc>
          <w:tcPr>
            <w:tcW w:w="291" w:type="pct"/>
            <w:tcBorders>
              <w:top w:val="nil"/>
              <w:left w:val="nil"/>
              <w:bottom w:val="nil"/>
              <w:right w:val="nil"/>
            </w:tcBorders>
          </w:tcPr>
          <w:p w14:paraId="57AC43B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.62</w:t>
            </w:r>
          </w:p>
        </w:tc>
        <w:tc>
          <w:tcPr>
            <w:tcW w:w="634" w:type="pct"/>
            <w:tcBorders>
              <w:top w:val="nil"/>
              <w:left w:val="nil"/>
              <w:bottom w:val="nil"/>
              <w:right w:val="nil"/>
            </w:tcBorders>
          </w:tcPr>
          <w:p w14:paraId="06ADEE37"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.02 (-.13, .16)</w:t>
            </w:r>
          </w:p>
        </w:tc>
        <w:tc>
          <w:tcPr>
            <w:tcW w:w="292" w:type="pct"/>
            <w:tcBorders>
              <w:top w:val="nil"/>
              <w:left w:val="nil"/>
              <w:bottom w:val="nil"/>
              <w:right w:val="nil"/>
            </w:tcBorders>
          </w:tcPr>
          <w:p w14:paraId="599872B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.79</w:t>
            </w:r>
          </w:p>
        </w:tc>
        <w:tc>
          <w:tcPr>
            <w:tcW w:w="633" w:type="pct"/>
            <w:tcBorders>
              <w:top w:val="nil"/>
              <w:left w:val="nil"/>
              <w:bottom w:val="nil"/>
              <w:right w:val="nil"/>
            </w:tcBorders>
          </w:tcPr>
          <w:p w14:paraId="4874F1C7"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 .05 (-.10, .19)</w:t>
            </w:r>
          </w:p>
        </w:tc>
        <w:tc>
          <w:tcPr>
            <w:tcW w:w="279" w:type="pct"/>
            <w:tcBorders>
              <w:top w:val="nil"/>
              <w:left w:val="nil"/>
              <w:bottom w:val="nil"/>
              <w:right w:val="nil"/>
            </w:tcBorders>
          </w:tcPr>
          <w:p w14:paraId="496C3456"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.54</w:t>
            </w:r>
          </w:p>
        </w:tc>
      </w:tr>
      <w:tr w:rsidR="00722A28" w:rsidRPr="00722A28" w14:paraId="6F0A26F5" w14:textId="77777777" w:rsidTr="00722A28">
        <w:trPr>
          <w:divId w:val="448934348"/>
          <w:trHeight w:val="532"/>
        </w:trPr>
        <w:tc>
          <w:tcPr>
            <w:tcW w:w="1211" w:type="pct"/>
            <w:tcBorders>
              <w:top w:val="nil"/>
              <w:left w:val="nil"/>
              <w:bottom w:val="double" w:sz="4" w:space="0" w:color="auto"/>
            </w:tcBorders>
          </w:tcPr>
          <w:p w14:paraId="1ABF0992"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i/>
                <w:sz w:val="24"/>
                <w:szCs w:val="24"/>
              </w:rPr>
              <w:t>Frequent and binge (6.7%)</w:t>
            </w:r>
          </w:p>
        </w:tc>
        <w:tc>
          <w:tcPr>
            <w:tcW w:w="637" w:type="pct"/>
            <w:tcBorders>
              <w:top w:val="nil"/>
              <w:bottom w:val="double" w:sz="4" w:space="0" w:color="auto"/>
              <w:right w:val="nil"/>
            </w:tcBorders>
          </w:tcPr>
          <w:p w14:paraId="2DDEDC4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-.16 (-.31, -.02)</w:t>
            </w:r>
          </w:p>
        </w:tc>
        <w:tc>
          <w:tcPr>
            <w:tcW w:w="243" w:type="pct"/>
            <w:tcBorders>
              <w:top w:val="nil"/>
              <w:left w:val="nil"/>
              <w:bottom w:val="double" w:sz="4" w:space="0" w:color="auto"/>
              <w:right w:val="nil"/>
            </w:tcBorders>
          </w:tcPr>
          <w:p w14:paraId="59B5C9D7"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.03</w:t>
            </w:r>
          </w:p>
        </w:tc>
        <w:tc>
          <w:tcPr>
            <w:tcW w:w="780" w:type="pct"/>
            <w:tcBorders>
              <w:top w:val="nil"/>
              <w:left w:val="nil"/>
              <w:bottom w:val="double" w:sz="4" w:space="0" w:color="auto"/>
              <w:right w:val="nil"/>
            </w:tcBorders>
          </w:tcPr>
          <w:p w14:paraId="2E0D1778"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 xml:space="preserve">-.16 (-.33, .00) </w:t>
            </w:r>
          </w:p>
        </w:tc>
        <w:tc>
          <w:tcPr>
            <w:tcW w:w="291" w:type="pct"/>
            <w:tcBorders>
              <w:top w:val="nil"/>
              <w:left w:val="nil"/>
              <w:bottom w:val="double" w:sz="4" w:space="0" w:color="auto"/>
              <w:right w:val="nil"/>
            </w:tcBorders>
          </w:tcPr>
          <w:p w14:paraId="474A32AE"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.05</w:t>
            </w:r>
          </w:p>
        </w:tc>
        <w:tc>
          <w:tcPr>
            <w:tcW w:w="634" w:type="pct"/>
            <w:tcBorders>
              <w:top w:val="nil"/>
              <w:left w:val="nil"/>
              <w:bottom w:val="double" w:sz="4" w:space="0" w:color="auto"/>
              <w:right w:val="nil"/>
            </w:tcBorders>
          </w:tcPr>
          <w:p w14:paraId="0487201F"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-.20 (-.36 -.03)</w:t>
            </w:r>
          </w:p>
        </w:tc>
        <w:tc>
          <w:tcPr>
            <w:tcW w:w="292" w:type="pct"/>
            <w:tcBorders>
              <w:top w:val="nil"/>
              <w:left w:val="nil"/>
              <w:bottom w:val="double" w:sz="4" w:space="0" w:color="auto"/>
              <w:right w:val="nil"/>
            </w:tcBorders>
          </w:tcPr>
          <w:p w14:paraId="4EE7EFBF"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.02</w:t>
            </w:r>
          </w:p>
        </w:tc>
        <w:tc>
          <w:tcPr>
            <w:tcW w:w="633" w:type="pct"/>
            <w:tcBorders>
              <w:top w:val="nil"/>
              <w:left w:val="nil"/>
              <w:bottom w:val="double" w:sz="4" w:space="0" w:color="auto"/>
              <w:right w:val="nil"/>
            </w:tcBorders>
          </w:tcPr>
          <w:p w14:paraId="32E54BDA"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-.16 (-.35, .02)</w:t>
            </w:r>
          </w:p>
        </w:tc>
        <w:tc>
          <w:tcPr>
            <w:tcW w:w="279" w:type="pct"/>
            <w:tcBorders>
              <w:top w:val="nil"/>
              <w:left w:val="nil"/>
              <w:bottom w:val="double" w:sz="4" w:space="0" w:color="auto"/>
              <w:right w:val="nil"/>
            </w:tcBorders>
          </w:tcPr>
          <w:p w14:paraId="219BBF64" w14:textId="77777777" w:rsidR="00722A28" w:rsidRPr="00722A28" w:rsidRDefault="00722A28" w:rsidP="00722A28">
            <w:pPr>
              <w:spacing w:line="360" w:lineRule="auto"/>
              <w:rPr>
                <w:rFonts w:ascii="Times New Roman" w:eastAsia="Calibri" w:hAnsi="Times New Roman" w:cs="Times New Roman"/>
                <w:sz w:val="24"/>
                <w:szCs w:val="24"/>
              </w:rPr>
            </w:pPr>
            <w:r w:rsidRPr="00722A28">
              <w:rPr>
                <w:rFonts w:ascii="Times New Roman" w:eastAsia="Calibri" w:hAnsi="Times New Roman" w:cs="Times New Roman"/>
                <w:sz w:val="24"/>
                <w:szCs w:val="24"/>
              </w:rPr>
              <w:t>.08</w:t>
            </w:r>
          </w:p>
        </w:tc>
      </w:tr>
    </w:tbl>
    <w:p w14:paraId="0B651179" w14:textId="09FE2D51" w:rsidR="005A047C" w:rsidRPr="00722A28" w:rsidRDefault="00722A28" w:rsidP="00722A28">
      <w:pPr>
        <w:spacing w:after="0"/>
        <w:divId w:val="448934348"/>
        <w:rPr>
          <w:rFonts w:ascii="Times New Roman" w:eastAsia="Calibri" w:hAnsi="Times New Roman" w:cs="Times New Roman"/>
          <w:b/>
          <w:sz w:val="24"/>
          <w:szCs w:val="24"/>
        </w:rPr>
      </w:pPr>
      <w:r w:rsidRPr="00722A28">
        <w:rPr>
          <w:rFonts w:ascii="Times New Roman" w:eastAsia="Calibri" w:hAnsi="Times New Roman" w:cs="Times New Roman"/>
          <w:sz w:val="24"/>
          <w:szCs w:val="24"/>
        </w:rPr>
        <w:t xml:space="preserve">Model 1: unadjusted; Model 2: adjusted for sex, income, social economic position, maternal education, housing tenure, parity, maternal smoking in pregnancy; Model 3: further adjusted for WM at age 11 years, and head injury/unconsciousness up to age 11 years; Model 4: </w:t>
      </w:r>
      <w:r w:rsidRPr="00722A28">
        <w:rPr>
          <w:rFonts w:ascii="Times New Roman" w:eastAsia="Times New Roman" w:hAnsi="Times New Roman" w:cs="Times New Roman"/>
          <w:sz w:val="24"/>
          <w:szCs w:val="24"/>
        </w:rPr>
        <w:t>further adjusted for young person cigarette and cannabis use assessed at age 15 years</w:t>
      </w:r>
    </w:p>
    <w:sectPr w:rsidR="005A047C" w:rsidRPr="00722A28" w:rsidSect="00722A28">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23992" w14:textId="77777777" w:rsidR="007B2282" w:rsidRDefault="007B2282" w:rsidP="008322E8">
      <w:pPr>
        <w:spacing w:after="0" w:line="240" w:lineRule="auto"/>
      </w:pPr>
      <w:r>
        <w:separator/>
      </w:r>
    </w:p>
  </w:endnote>
  <w:endnote w:type="continuationSeparator" w:id="0">
    <w:p w14:paraId="0F5FDC4D" w14:textId="77777777" w:rsidR="007B2282" w:rsidRDefault="007B2282" w:rsidP="0083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65304"/>
      <w:docPartObj>
        <w:docPartGallery w:val="Page Numbers (Bottom of Page)"/>
        <w:docPartUnique/>
      </w:docPartObj>
    </w:sdtPr>
    <w:sdtEndPr>
      <w:rPr>
        <w:noProof/>
      </w:rPr>
    </w:sdtEndPr>
    <w:sdtContent>
      <w:p w14:paraId="031C960B" w14:textId="197DACDD" w:rsidR="007B2282" w:rsidRDefault="007B2282">
        <w:pPr>
          <w:pStyle w:val="Footer"/>
          <w:jc w:val="right"/>
        </w:pPr>
        <w:r>
          <w:fldChar w:fldCharType="begin"/>
        </w:r>
        <w:r>
          <w:instrText xml:space="preserve"> PAGE   \* MERGEFORMAT </w:instrText>
        </w:r>
        <w:r>
          <w:fldChar w:fldCharType="separate"/>
        </w:r>
        <w:r w:rsidR="00484770">
          <w:rPr>
            <w:noProof/>
          </w:rPr>
          <w:t>4</w:t>
        </w:r>
        <w:r>
          <w:rPr>
            <w:noProof/>
          </w:rPr>
          <w:fldChar w:fldCharType="end"/>
        </w:r>
      </w:p>
    </w:sdtContent>
  </w:sdt>
  <w:p w14:paraId="3FFED289" w14:textId="77777777" w:rsidR="007B2282" w:rsidRDefault="007B2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02631"/>
      <w:docPartObj>
        <w:docPartGallery w:val="Page Numbers (Bottom of Page)"/>
        <w:docPartUnique/>
      </w:docPartObj>
    </w:sdtPr>
    <w:sdtEndPr>
      <w:rPr>
        <w:noProof/>
      </w:rPr>
    </w:sdtEndPr>
    <w:sdtContent>
      <w:p w14:paraId="6488A468" w14:textId="36CBF6B1" w:rsidR="00722A28" w:rsidRDefault="00722A28">
        <w:pPr>
          <w:pStyle w:val="Footer"/>
          <w:jc w:val="right"/>
        </w:pPr>
        <w:r>
          <w:fldChar w:fldCharType="begin"/>
        </w:r>
        <w:r>
          <w:instrText xml:space="preserve"> PAGE   \* MERGEFORMAT </w:instrText>
        </w:r>
        <w:r>
          <w:fldChar w:fldCharType="separate"/>
        </w:r>
        <w:r w:rsidR="00484770">
          <w:rPr>
            <w:noProof/>
          </w:rPr>
          <w:t>47</w:t>
        </w:r>
        <w:r>
          <w:rPr>
            <w:noProof/>
          </w:rPr>
          <w:fldChar w:fldCharType="end"/>
        </w:r>
      </w:p>
    </w:sdtContent>
  </w:sdt>
  <w:p w14:paraId="69181407" w14:textId="77777777" w:rsidR="00722A28" w:rsidRDefault="00722A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A8187" w14:textId="77777777" w:rsidR="007B2282" w:rsidRDefault="007B2282" w:rsidP="008322E8">
      <w:pPr>
        <w:spacing w:after="0" w:line="240" w:lineRule="auto"/>
      </w:pPr>
      <w:r>
        <w:separator/>
      </w:r>
    </w:p>
  </w:footnote>
  <w:footnote w:type="continuationSeparator" w:id="0">
    <w:p w14:paraId="5956D719" w14:textId="77777777" w:rsidR="007B2282" w:rsidRDefault="007B2282" w:rsidP="008322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7F14"/>
    <w:multiLevelType w:val="multilevel"/>
    <w:tmpl w:val="FFA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1F3A"/>
    <w:multiLevelType w:val="hybridMultilevel"/>
    <w:tmpl w:val="619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1286F"/>
    <w:multiLevelType w:val="multilevel"/>
    <w:tmpl w:val="C17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F36529"/>
    <w:multiLevelType w:val="hybridMultilevel"/>
    <w:tmpl w:val="3162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655D28"/>
    <w:multiLevelType w:val="multilevel"/>
    <w:tmpl w:val="111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61DA7"/>
    <w:multiLevelType w:val="hybridMultilevel"/>
    <w:tmpl w:val="9F52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9824BA"/>
    <w:multiLevelType w:val="multilevel"/>
    <w:tmpl w:val="558E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04741"/>
    <w:multiLevelType w:val="multilevel"/>
    <w:tmpl w:val="921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96A70"/>
    <w:multiLevelType w:val="multilevel"/>
    <w:tmpl w:val="32F2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0D"/>
    <w:rsid w:val="0000209D"/>
    <w:rsid w:val="0000341B"/>
    <w:rsid w:val="00003AFE"/>
    <w:rsid w:val="00004936"/>
    <w:rsid w:val="00004D72"/>
    <w:rsid w:val="000069D4"/>
    <w:rsid w:val="00006B2E"/>
    <w:rsid w:val="00007910"/>
    <w:rsid w:val="000079CA"/>
    <w:rsid w:val="00010CDC"/>
    <w:rsid w:val="00011472"/>
    <w:rsid w:val="00011C99"/>
    <w:rsid w:val="00012D6E"/>
    <w:rsid w:val="000132D7"/>
    <w:rsid w:val="000133CA"/>
    <w:rsid w:val="00013FEB"/>
    <w:rsid w:val="0001501B"/>
    <w:rsid w:val="000157CF"/>
    <w:rsid w:val="0001638E"/>
    <w:rsid w:val="00017A57"/>
    <w:rsid w:val="00020F9C"/>
    <w:rsid w:val="00022C0C"/>
    <w:rsid w:val="00022FD1"/>
    <w:rsid w:val="0002453D"/>
    <w:rsid w:val="000245E2"/>
    <w:rsid w:val="000261AC"/>
    <w:rsid w:val="00026289"/>
    <w:rsid w:val="00026A4F"/>
    <w:rsid w:val="00027067"/>
    <w:rsid w:val="0002776D"/>
    <w:rsid w:val="000277A9"/>
    <w:rsid w:val="00027B25"/>
    <w:rsid w:val="00031350"/>
    <w:rsid w:val="00031C44"/>
    <w:rsid w:val="00031F87"/>
    <w:rsid w:val="00032FFD"/>
    <w:rsid w:val="000332A0"/>
    <w:rsid w:val="00033963"/>
    <w:rsid w:val="00034D64"/>
    <w:rsid w:val="000354D7"/>
    <w:rsid w:val="0003574B"/>
    <w:rsid w:val="00035C33"/>
    <w:rsid w:val="00036C0E"/>
    <w:rsid w:val="0003758F"/>
    <w:rsid w:val="00037761"/>
    <w:rsid w:val="0004068B"/>
    <w:rsid w:val="00041982"/>
    <w:rsid w:val="00042910"/>
    <w:rsid w:val="00042C5C"/>
    <w:rsid w:val="000449F2"/>
    <w:rsid w:val="00045B1B"/>
    <w:rsid w:val="000461D4"/>
    <w:rsid w:val="00047057"/>
    <w:rsid w:val="000475E4"/>
    <w:rsid w:val="00051539"/>
    <w:rsid w:val="00052E01"/>
    <w:rsid w:val="0005445A"/>
    <w:rsid w:val="00054A5C"/>
    <w:rsid w:val="00054D39"/>
    <w:rsid w:val="00054F61"/>
    <w:rsid w:val="000556DA"/>
    <w:rsid w:val="000562E1"/>
    <w:rsid w:val="000563BD"/>
    <w:rsid w:val="00056904"/>
    <w:rsid w:val="00057A83"/>
    <w:rsid w:val="00060AEA"/>
    <w:rsid w:val="00061938"/>
    <w:rsid w:val="0006223C"/>
    <w:rsid w:val="000637C0"/>
    <w:rsid w:val="00064DEC"/>
    <w:rsid w:val="00064E10"/>
    <w:rsid w:val="00065A00"/>
    <w:rsid w:val="000660D2"/>
    <w:rsid w:val="00066330"/>
    <w:rsid w:val="0007210A"/>
    <w:rsid w:val="00072FC2"/>
    <w:rsid w:val="00073C0B"/>
    <w:rsid w:val="00073E67"/>
    <w:rsid w:val="00074000"/>
    <w:rsid w:val="000745FF"/>
    <w:rsid w:val="000746F0"/>
    <w:rsid w:val="00075560"/>
    <w:rsid w:val="00080B6B"/>
    <w:rsid w:val="0008141E"/>
    <w:rsid w:val="000821D7"/>
    <w:rsid w:val="000829E6"/>
    <w:rsid w:val="0008312F"/>
    <w:rsid w:val="00083368"/>
    <w:rsid w:val="00084868"/>
    <w:rsid w:val="0008502A"/>
    <w:rsid w:val="00086244"/>
    <w:rsid w:val="00086676"/>
    <w:rsid w:val="00087164"/>
    <w:rsid w:val="000919C2"/>
    <w:rsid w:val="00092557"/>
    <w:rsid w:val="00092EBB"/>
    <w:rsid w:val="00092FD1"/>
    <w:rsid w:val="0009322A"/>
    <w:rsid w:val="00093E2E"/>
    <w:rsid w:val="00094225"/>
    <w:rsid w:val="000946AF"/>
    <w:rsid w:val="00095A29"/>
    <w:rsid w:val="00096283"/>
    <w:rsid w:val="0009765B"/>
    <w:rsid w:val="000A00FC"/>
    <w:rsid w:val="000A0277"/>
    <w:rsid w:val="000A080B"/>
    <w:rsid w:val="000A0B48"/>
    <w:rsid w:val="000A1278"/>
    <w:rsid w:val="000A20B8"/>
    <w:rsid w:val="000A2AE5"/>
    <w:rsid w:val="000A2C05"/>
    <w:rsid w:val="000A2F60"/>
    <w:rsid w:val="000A3107"/>
    <w:rsid w:val="000A3523"/>
    <w:rsid w:val="000A36B1"/>
    <w:rsid w:val="000A4102"/>
    <w:rsid w:val="000A66AF"/>
    <w:rsid w:val="000A6DB8"/>
    <w:rsid w:val="000A7FEB"/>
    <w:rsid w:val="000B05DF"/>
    <w:rsid w:val="000B08D6"/>
    <w:rsid w:val="000B0C60"/>
    <w:rsid w:val="000B0D42"/>
    <w:rsid w:val="000B1578"/>
    <w:rsid w:val="000B188C"/>
    <w:rsid w:val="000B2AD2"/>
    <w:rsid w:val="000B30E0"/>
    <w:rsid w:val="000B4009"/>
    <w:rsid w:val="000B4EBC"/>
    <w:rsid w:val="000B5A81"/>
    <w:rsid w:val="000B6745"/>
    <w:rsid w:val="000B79D7"/>
    <w:rsid w:val="000C2243"/>
    <w:rsid w:val="000C229A"/>
    <w:rsid w:val="000C2320"/>
    <w:rsid w:val="000C35E8"/>
    <w:rsid w:val="000C39CF"/>
    <w:rsid w:val="000C4B45"/>
    <w:rsid w:val="000C4CC3"/>
    <w:rsid w:val="000C535D"/>
    <w:rsid w:val="000C5E6D"/>
    <w:rsid w:val="000C6F65"/>
    <w:rsid w:val="000D025F"/>
    <w:rsid w:val="000D02BE"/>
    <w:rsid w:val="000D0740"/>
    <w:rsid w:val="000D36C9"/>
    <w:rsid w:val="000D3D22"/>
    <w:rsid w:val="000D4C88"/>
    <w:rsid w:val="000D5793"/>
    <w:rsid w:val="000D5EBD"/>
    <w:rsid w:val="000D5F00"/>
    <w:rsid w:val="000D6037"/>
    <w:rsid w:val="000D7732"/>
    <w:rsid w:val="000D77ED"/>
    <w:rsid w:val="000E06B0"/>
    <w:rsid w:val="000E0F47"/>
    <w:rsid w:val="000E11F6"/>
    <w:rsid w:val="000E13F4"/>
    <w:rsid w:val="000E2A43"/>
    <w:rsid w:val="000E4778"/>
    <w:rsid w:val="000E4933"/>
    <w:rsid w:val="000E5660"/>
    <w:rsid w:val="000E64EF"/>
    <w:rsid w:val="000E6684"/>
    <w:rsid w:val="000E7BB9"/>
    <w:rsid w:val="000E7FDD"/>
    <w:rsid w:val="000F0B8A"/>
    <w:rsid w:val="000F0FBB"/>
    <w:rsid w:val="000F127F"/>
    <w:rsid w:val="000F1A01"/>
    <w:rsid w:val="000F3B2A"/>
    <w:rsid w:val="000F413D"/>
    <w:rsid w:val="000F4B62"/>
    <w:rsid w:val="000F50B8"/>
    <w:rsid w:val="000F58AB"/>
    <w:rsid w:val="000F6304"/>
    <w:rsid w:val="000F7026"/>
    <w:rsid w:val="000F7287"/>
    <w:rsid w:val="000F73CC"/>
    <w:rsid w:val="001000C0"/>
    <w:rsid w:val="00100542"/>
    <w:rsid w:val="0010072D"/>
    <w:rsid w:val="00100906"/>
    <w:rsid w:val="00100C31"/>
    <w:rsid w:val="00100DD9"/>
    <w:rsid w:val="00101109"/>
    <w:rsid w:val="00101441"/>
    <w:rsid w:val="00101B42"/>
    <w:rsid w:val="00101F0C"/>
    <w:rsid w:val="001020A5"/>
    <w:rsid w:val="001034F4"/>
    <w:rsid w:val="00103B23"/>
    <w:rsid w:val="00104C57"/>
    <w:rsid w:val="00104D93"/>
    <w:rsid w:val="00105061"/>
    <w:rsid w:val="001057FF"/>
    <w:rsid w:val="001058F6"/>
    <w:rsid w:val="00105CB2"/>
    <w:rsid w:val="00105D85"/>
    <w:rsid w:val="001065DA"/>
    <w:rsid w:val="001065FB"/>
    <w:rsid w:val="001066DA"/>
    <w:rsid w:val="001066E6"/>
    <w:rsid w:val="00106B55"/>
    <w:rsid w:val="0011093E"/>
    <w:rsid w:val="00110B6F"/>
    <w:rsid w:val="00112A95"/>
    <w:rsid w:val="0011356C"/>
    <w:rsid w:val="00113871"/>
    <w:rsid w:val="00113A25"/>
    <w:rsid w:val="00113E9F"/>
    <w:rsid w:val="00114C11"/>
    <w:rsid w:val="001152B2"/>
    <w:rsid w:val="00116185"/>
    <w:rsid w:val="001164AA"/>
    <w:rsid w:val="001167A8"/>
    <w:rsid w:val="00116D62"/>
    <w:rsid w:val="00116E2B"/>
    <w:rsid w:val="0012050F"/>
    <w:rsid w:val="001211D4"/>
    <w:rsid w:val="00121374"/>
    <w:rsid w:val="00121DDA"/>
    <w:rsid w:val="00122874"/>
    <w:rsid w:val="00122EA0"/>
    <w:rsid w:val="0012320F"/>
    <w:rsid w:val="00124366"/>
    <w:rsid w:val="00124C21"/>
    <w:rsid w:val="001251D9"/>
    <w:rsid w:val="001300F9"/>
    <w:rsid w:val="001303A2"/>
    <w:rsid w:val="001304B2"/>
    <w:rsid w:val="00130C70"/>
    <w:rsid w:val="0013105C"/>
    <w:rsid w:val="00131569"/>
    <w:rsid w:val="00131A11"/>
    <w:rsid w:val="001322DC"/>
    <w:rsid w:val="00132E90"/>
    <w:rsid w:val="001337F5"/>
    <w:rsid w:val="00133DA6"/>
    <w:rsid w:val="001347C4"/>
    <w:rsid w:val="00134A88"/>
    <w:rsid w:val="00135A45"/>
    <w:rsid w:val="00137291"/>
    <w:rsid w:val="001373A0"/>
    <w:rsid w:val="00140594"/>
    <w:rsid w:val="00140E80"/>
    <w:rsid w:val="00141769"/>
    <w:rsid w:val="00141FEC"/>
    <w:rsid w:val="00142292"/>
    <w:rsid w:val="00142CA8"/>
    <w:rsid w:val="00143E0D"/>
    <w:rsid w:val="0014436C"/>
    <w:rsid w:val="00145BC4"/>
    <w:rsid w:val="00145D0E"/>
    <w:rsid w:val="00145E5E"/>
    <w:rsid w:val="00146AA8"/>
    <w:rsid w:val="00147914"/>
    <w:rsid w:val="00147E13"/>
    <w:rsid w:val="00150665"/>
    <w:rsid w:val="001529D0"/>
    <w:rsid w:val="0015351E"/>
    <w:rsid w:val="001539BB"/>
    <w:rsid w:val="001541B8"/>
    <w:rsid w:val="001543F6"/>
    <w:rsid w:val="00156166"/>
    <w:rsid w:val="00156638"/>
    <w:rsid w:val="001566F1"/>
    <w:rsid w:val="001602B5"/>
    <w:rsid w:val="00160432"/>
    <w:rsid w:val="00160965"/>
    <w:rsid w:val="00160E14"/>
    <w:rsid w:val="0016192C"/>
    <w:rsid w:val="0016334E"/>
    <w:rsid w:val="001654D4"/>
    <w:rsid w:val="001657A8"/>
    <w:rsid w:val="001659FC"/>
    <w:rsid w:val="00165FBC"/>
    <w:rsid w:val="001660EE"/>
    <w:rsid w:val="00166CD2"/>
    <w:rsid w:val="00166E5E"/>
    <w:rsid w:val="00167082"/>
    <w:rsid w:val="001672A6"/>
    <w:rsid w:val="001673F5"/>
    <w:rsid w:val="001704DF"/>
    <w:rsid w:val="00170A62"/>
    <w:rsid w:val="00170BB8"/>
    <w:rsid w:val="001719EB"/>
    <w:rsid w:val="001738F0"/>
    <w:rsid w:val="00174590"/>
    <w:rsid w:val="00174984"/>
    <w:rsid w:val="00174D8D"/>
    <w:rsid w:val="00175E8A"/>
    <w:rsid w:val="00176D32"/>
    <w:rsid w:val="001773C1"/>
    <w:rsid w:val="00177892"/>
    <w:rsid w:val="00177C19"/>
    <w:rsid w:val="00180277"/>
    <w:rsid w:val="0018034B"/>
    <w:rsid w:val="00180877"/>
    <w:rsid w:val="00180A38"/>
    <w:rsid w:val="001813A4"/>
    <w:rsid w:val="001814DB"/>
    <w:rsid w:val="00181AD7"/>
    <w:rsid w:val="00181CAC"/>
    <w:rsid w:val="00185860"/>
    <w:rsid w:val="00185DC1"/>
    <w:rsid w:val="00185FFA"/>
    <w:rsid w:val="001868F9"/>
    <w:rsid w:val="0018697F"/>
    <w:rsid w:val="00186A06"/>
    <w:rsid w:val="00187231"/>
    <w:rsid w:val="001879FD"/>
    <w:rsid w:val="00187A6C"/>
    <w:rsid w:val="0019077C"/>
    <w:rsid w:val="00190D3D"/>
    <w:rsid w:val="00191679"/>
    <w:rsid w:val="00191890"/>
    <w:rsid w:val="001927CF"/>
    <w:rsid w:val="00192A7F"/>
    <w:rsid w:val="001934DD"/>
    <w:rsid w:val="00196163"/>
    <w:rsid w:val="0019652A"/>
    <w:rsid w:val="001966B0"/>
    <w:rsid w:val="0019670F"/>
    <w:rsid w:val="0019768B"/>
    <w:rsid w:val="001A0006"/>
    <w:rsid w:val="001A0295"/>
    <w:rsid w:val="001A02BF"/>
    <w:rsid w:val="001A0D1A"/>
    <w:rsid w:val="001A1662"/>
    <w:rsid w:val="001A184B"/>
    <w:rsid w:val="001A1BD4"/>
    <w:rsid w:val="001A25AA"/>
    <w:rsid w:val="001A272D"/>
    <w:rsid w:val="001A35EE"/>
    <w:rsid w:val="001A4B96"/>
    <w:rsid w:val="001A5D35"/>
    <w:rsid w:val="001A61D9"/>
    <w:rsid w:val="001A693A"/>
    <w:rsid w:val="001A6F69"/>
    <w:rsid w:val="001B1458"/>
    <w:rsid w:val="001B239D"/>
    <w:rsid w:val="001B347A"/>
    <w:rsid w:val="001B48A7"/>
    <w:rsid w:val="001B4B12"/>
    <w:rsid w:val="001B527F"/>
    <w:rsid w:val="001B56A8"/>
    <w:rsid w:val="001B580F"/>
    <w:rsid w:val="001B5D55"/>
    <w:rsid w:val="001B6692"/>
    <w:rsid w:val="001B7382"/>
    <w:rsid w:val="001B759C"/>
    <w:rsid w:val="001B7ED0"/>
    <w:rsid w:val="001B7F21"/>
    <w:rsid w:val="001C073C"/>
    <w:rsid w:val="001C0AC0"/>
    <w:rsid w:val="001C19ED"/>
    <w:rsid w:val="001C2E51"/>
    <w:rsid w:val="001C348C"/>
    <w:rsid w:val="001C3954"/>
    <w:rsid w:val="001C3C89"/>
    <w:rsid w:val="001C3F72"/>
    <w:rsid w:val="001C4261"/>
    <w:rsid w:val="001C4625"/>
    <w:rsid w:val="001C5843"/>
    <w:rsid w:val="001C5AC0"/>
    <w:rsid w:val="001C5B0D"/>
    <w:rsid w:val="001C6B5E"/>
    <w:rsid w:val="001C7417"/>
    <w:rsid w:val="001C743F"/>
    <w:rsid w:val="001C7A56"/>
    <w:rsid w:val="001D004D"/>
    <w:rsid w:val="001D0D0A"/>
    <w:rsid w:val="001D1795"/>
    <w:rsid w:val="001D1BE2"/>
    <w:rsid w:val="001D4027"/>
    <w:rsid w:val="001D4315"/>
    <w:rsid w:val="001D4AAD"/>
    <w:rsid w:val="001D4CDB"/>
    <w:rsid w:val="001D545C"/>
    <w:rsid w:val="001D63CE"/>
    <w:rsid w:val="001D71DC"/>
    <w:rsid w:val="001D77ED"/>
    <w:rsid w:val="001D7B5C"/>
    <w:rsid w:val="001E1955"/>
    <w:rsid w:val="001E19F3"/>
    <w:rsid w:val="001E1E6B"/>
    <w:rsid w:val="001E2454"/>
    <w:rsid w:val="001E245B"/>
    <w:rsid w:val="001E2A87"/>
    <w:rsid w:val="001E3181"/>
    <w:rsid w:val="001E3933"/>
    <w:rsid w:val="001E409F"/>
    <w:rsid w:val="001E48A1"/>
    <w:rsid w:val="001E5C94"/>
    <w:rsid w:val="001E62F7"/>
    <w:rsid w:val="001F07BA"/>
    <w:rsid w:val="001F162C"/>
    <w:rsid w:val="001F3F01"/>
    <w:rsid w:val="001F4701"/>
    <w:rsid w:val="001F5846"/>
    <w:rsid w:val="001F64C1"/>
    <w:rsid w:val="001F6B29"/>
    <w:rsid w:val="001F73DF"/>
    <w:rsid w:val="001F7642"/>
    <w:rsid w:val="0020358D"/>
    <w:rsid w:val="00204064"/>
    <w:rsid w:val="00204646"/>
    <w:rsid w:val="00204936"/>
    <w:rsid w:val="0020566D"/>
    <w:rsid w:val="002062C1"/>
    <w:rsid w:val="00206854"/>
    <w:rsid w:val="00206981"/>
    <w:rsid w:val="002069B4"/>
    <w:rsid w:val="00206F7C"/>
    <w:rsid w:val="0020714C"/>
    <w:rsid w:val="00207276"/>
    <w:rsid w:val="002078B9"/>
    <w:rsid w:val="00207B20"/>
    <w:rsid w:val="00207E76"/>
    <w:rsid w:val="00211F7A"/>
    <w:rsid w:val="002125F1"/>
    <w:rsid w:val="00213A02"/>
    <w:rsid w:val="00213F85"/>
    <w:rsid w:val="00214D28"/>
    <w:rsid w:val="00214E9A"/>
    <w:rsid w:val="00215F0F"/>
    <w:rsid w:val="0021782D"/>
    <w:rsid w:val="00217D31"/>
    <w:rsid w:val="00217EB2"/>
    <w:rsid w:val="00220B0E"/>
    <w:rsid w:val="00222DA8"/>
    <w:rsid w:val="002246C9"/>
    <w:rsid w:val="0022528E"/>
    <w:rsid w:val="00225591"/>
    <w:rsid w:val="00225A19"/>
    <w:rsid w:val="00227CFB"/>
    <w:rsid w:val="0023028D"/>
    <w:rsid w:val="00230E42"/>
    <w:rsid w:val="00232929"/>
    <w:rsid w:val="002354EE"/>
    <w:rsid w:val="002355FD"/>
    <w:rsid w:val="0023630D"/>
    <w:rsid w:val="00236FF7"/>
    <w:rsid w:val="00237DE2"/>
    <w:rsid w:val="00240174"/>
    <w:rsid w:val="00240B8E"/>
    <w:rsid w:val="00241829"/>
    <w:rsid w:val="00241CAE"/>
    <w:rsid w:val="002425F0"/>
    <w:rsid w:val="00242DA3"/>
    <w:rsid w:val="00242EFF"/>
    <w:rsid w:val="00243605"/>
    <w:rsid w:val="00244406"/>
    <w:rsid w:val="002462A7"/>
    <w:rsid w:val="00247667"/>
    <w:rsid w:val="00250A8E"/>
    <w:rsid w:val="00250AD2"/>
    <w:rsid w:val="002521A6"/>
    <w:rsid w:val="002524C6"/>
    <w:rsid w:val="00253957"/>
    <w:rsid w:val="00253DFE"/>
    <w:rsid w:val="002540BB"/>
    <w:rsid w:val="00254542"/>
    <w:rsid w:val="002545D4"/>
    <w:rsid w:val="00257A44"/>
    <w:rsid w:val="0026017A"/>
    <w:rsid w:val="002603F8"/>
    <w:rsid w:val="002606D5"/>
    <w:rsid w:val="00260828"/>
    <w:rsid w:val="00261A4C"/>
    <w:rsid w:val="002621A5"/>
    <w:rsid w:val="002631B9"/>
    <w:rsid w:val="00263247"/>
    <w:rsid w:val="00263760"/>
    <w:rsid w:val="002639FA"/>
    <w:rsid w:val="00263AC6"/>
    <w:rsid w:val="00264CF0"/>
    <w:rsid w:val="00266030"/>
    <w:rsid w:val="00266FA2"/>
    <w:rsid w:val="00270755"/>
    <w:rsid w:val="002715E7"/>
    <w:rsid w:val="002717F8"/>
    <w:rsid w:val="00271855"/>
    <w:rsid w:val="00271A1F"/>
    <w:rsid w:val="0027277E"/>
    <w:rsid w:val="002728CD"/>
    <w:rsid w:val="00272A12"/>
    <w:rsid w:val="0027418B"/>
    <w:rsid w:val="00274518"/>
    <w:rsid w:val="00274786"/>
    <w:rsid w:val="00275046"/>
    <w:rsid w:val="002752F5"/>
    <w:rsid w:val="00275566"/>
    <w:rsid w:val="002762F4"/>
    <w:rsid w:val="002769FF"/>
    <w:rsid w:val="00281347"/>
    <w:rsid w:val="00281420"/>
    <w:rsid w:val="00281B22"/>
    <w:rsid w:val="00282A92"/>
    <w:rsid w:val="00282DE2"/>
    <w:rsid w:val="00283503"/>
    <w:rsid w:val="00283536"/>
    <w:rsid w:val="002837A7"/>
    <w:rsid w:val="00283EC0"/>
    <w:rsid w:val="00284BB8"/>
    <w:rsid w:val="00284FB4"/>
    <w:rsid w:val="00286A1F"/>
    <w:rsid w:val="00286E1D"/>
    <w:rsid w:val="00287016"/>
    <w:rsid w:val="00290509"/>
    <w:rsid w:val="00291635"/>
    <w:rsid w:val="00291769"/>
    <w:rsid w:val="0029180C"/>
    <w:rsid w:val="0029198A"/>
    <w:rsid w:val="00294724"/>
    <w:rsid w:val="00294F45"/>
    <w:rsid w:val="002966FB"/>
    <w:rsid w:val="00296A87"/>
    <w:rsid w:val="00296D46"/>
    <w:rsid w:val="002A04B3"/>
    <w:rsid w:val="002A0C39"/>
    <w:rsid w:val="002A0CEC"/>
    <w:rsid w:val="002A1037"/>
    <w:rsid w:val="002A4644"/>
    <w:rsid w:val="002A55FB"/>
    <w:rsid w:val="002A5630"/>
    <w:rsid w:val="002A5B1F"/>
    <w:rsid w:val="002A6115"/>
    <w:rsid w:val="002A7563"/>
    <w:rsid w:val="002A75AB"/>
    <w:rsid w:val="002A7881"/>
    <w:rsid w:val="002B0DDA"/>
    <w:rsid w:val="002B11DF"/>
    <w:rsid w:val="002B17CE"/>
    <w:rsid w:val="002B1A1D"/>
    <w:rsid w:val="002B2FB9"/>
    <w:rsid w:val="002B3A20"/>
    <w:rsid w:val="002B3F3F"/>
    <w:rsid w:val="002B44C1"/>
    <w:rsid w:val="002B4D15"/>
    <w:rsid w:val="002B53B1"/>
    <w:rsid w:val="002B5BBE"/>
    <w:rsid w:val="002B7164"/>
    <w:rsid w:val="002C0BE2"/>
    <w:rsid w:val="002C113A"/>
    <w:rsid w:val="002C15FB"/>
    <w:rsid w:val="002C1DB1"/>
    <w:rsid w:val="002C1E80"/>
    <w:rsid w:val="002C1FD7"/>
    <w:rsid w:val="002C2379"/>
    <w:rsid w:val="002C240C"/>
    <w:rsid w:val="002C2B4A"/>
    <w:rsid w:val="002C2EE7"/>
    <w:rsid w:val="002C3695"/>
    <w:rsid w:val="002C3B55"/>
    <w:rsid w:val="002C3CE6"/>
    <w:rsid w:val="002C4E4F"/>
    <w:rsid w:val="002C551B"/>
    <w:rsid w:val="002C6E3F"/>
    <w:rsid w:val="002C7093"/>
    <w:rsid w:val="002D076B"/>
    <w:rsid w:val="002D292B"/>
    <w:rsid w:val="002D39ED"/>
    <w:rsid w:val="002D451E"/>
    <w:rsid w:val="002D69F4"/>
    <w:rsid w:val="002D69FB"/>
    <w:rsid w:val="002D70B1"/>
    <w:rsid w:val="002D70D1"/>
    <w:rsid w:val="002D7488"/>
    <w:rsid w:val="002D7CAF"/>
    <w:rsid w:val="002E0E8B"/>
    <w:rsid w:val="002E0EF4"/>
    <w:rsid w:val="002E0FF6"/>
    <w:rsid w:val="002E1A7E"/>
    <w:rsid w:val="002E23FC"/>
    <w:rsid w:val="002E42F4"/>
    <w:rsid w:val="002E4D19"/>
    <w:rsid w:val="002E5D41"/>
    <w:rsid w:val="002E6B90"/>
    <w:rsid w:val="002E7AAB"/>
    <w:rsid w:val="002F0080"/>
    <w:rsid w:val="002F0DB5"/>
    <w:rsid w:val="002F1287"/>
    <w:rsid w:val="002F13FE"/>
    <w:rsid w:val="002F2CEA"/>
    <w:rsid w:val="002F64D2"/>
    <w:rsid w:val="002F6AA0"/>
    <w:rsid w:val="002F6C63"/>
    <w:rsid w:val="002F74A3"/>
    <w:rsid w:val="002F753D"/>
    <w:rsid w:val="002F7B95"/>
    <w:rsid w:val="00300732"/>
    <w:rsid w:val="0030171E"/>
    <w:rsid w:val="00302226"/>
    <w:rsid w:val="003033BC"/>
    <w:rsid w:val="00304E05"/>
    <w:rsid w:val="00305DA9"/>
    <w:rsid w:val="00305E74"/>
    <w:rsid w:val="00306D11"/>
    <w:rsid w:val="00306E4E"/>
    <w:rsid w:val="00307577"/>
    <w:rsid w:val="00310337"/>
    <w:rsid w:val="0031088A"/>
    <w:rsid w:val="00313109"/>
    <w:rsid w:val="003139EE"/>
    <w:rsid w:val="00313BCC"/>
    <w:rsid w:val="00316A1B"/>
    <w:rsid w:val="003175ED"/>
    <w:rsid w:val="00317631"/>
    <w:rsid w:val="0032052D"/>
    <w:rsid w:val="00320581"/>
    <w:rsid w:val="00320975"/>
    <w:rsid w:val="00320CE3"/>
    <w:rsid w:val="00321326"/>
    <w:rsid w:val="003215FE"/>
    <w:rsid w:val="0032194E"/>
    <w:rsid w:val="003227DF"/>
    <w:rsid w:val="00322A4B"/>
    <w:rsid w:val="003239F0"/>
    <w:rsid w:val="00323EC7"/>
    <w:rsid w:val="00324D97"/>
    <w:rsid w:val="00325868"/>
    <w:rsid w:val="00326A5C"/>
    <w:rsid w:val="00326F06"/>
    <w:rsid w:val="00330BD4"/>
    <w:rsid w:val="00330C34"/>
    <w:rsid w:val="00330FAC"/>
    <w:rsid w:val="00333CEF"/>
    <w:rsid w:val="00333E67"/>
    <w:rsid w:val="003343D4"/>
    <w:rsid w:val="00334EA3"/>
    <w:rsid w:val="00336017"/>
    <w:rsid w:val="0033622A"/>
    <w:rsid w:val="003364C3"/>
    <w:rsid w:val="00337802"/>
    <w:rsid w:val="00341F2B"/>
    <w:rsid w:val="003430FF"/>
    <w:rsid w:val="003449E5"/>
    <w:rsid w:val="00344E84"/>
    <w:rsid w:val="00345CFA"/>
    <w:rsid w:val="00346740"/>
    <w:rsid w:val="00350524"/>
    <w:rsid w:val="00350A56"/>
    <w:rsid w:val="00350FA2"/>
    <w:rsid w:val="0035107E"/>
    <w:rsid w:val="00351947"/>
    <w:rsid w:val="003520AC"/>
    <w:rsid w:val="00352B0D"/>
    <w:rsid w:val="00352D8E"/>
    <w:rsid w:val="00353130"/>
    <w:rsid w:val="003541BD"/>
    <w:rsid w:val="0035452E"/>
    <w:rsid w:val="00354F85"/>
    <w:rsid w:val="003552E6"/>
    <w:rsid w:val="00356C44"/>
    <w:rsid w:val="00356D45"/>
    <w:rsid w:val="00357612"/>
    <w:rsid w:val="00360E23"/>
    <w:rsid w:val="00360FB5"/>
    <w:rsid w:val="003610D6"/>
    <w:rsid w:val="0036141D"/>
    <w:rsid w:val="003617C8"/>
    <w:rsid w:val="003618F0"/>
    <w:rsid w:val="00361F70"/>
    <w:rsid w:val="003621E5"/>
    <w:rsid w:val="0036227E"/>
    <w:rsid w:val="00363E66"/>
    <w:rsid w:val="0036455E"/>
    <w:rsid w:val="0036583E"/>
    <w:rsid w:val="003659EE"/>
    <w:rsid w:val="003669BF"/>
    <w:rsid w:val="00366B1A"/>
    <w:rsid w:val="0036767D"/>
    <w:rsid w:val="00370132"/>
    <w:rsid w:val="00370848"/>
    <w:rsid w:val="00370CD7"/>
    <w:rsid w:val="00371960"/>
    <w:rsid w:val="00371E98"/>
    <w:rsid w:val="00372D00"/>
    <w:rsid w:val="00373221"/>
    <w:rsid w:val="00373D4A"/>
    <w:rsid w:val="0037481A"/>
    <w:rsid w:val="003763E4"/>
    <w:rsid w:val="0037784B"/>
    <w:rsid w:val="003779AE"/>
    <w:rsid w:val="0038078B"/>
    <w:rsid w:val="0038126B"/>
    <w:rsid w:val="00381677"/>
    <w:rsid w:val="00381F47"/>
    <w:rsid w:val="00382152"/>
    <w:rsid w:val="00382808"/>
    <w:rsid w:val="00382F75"/>
    <w:rsid w:val="003843D3"/>
    <w:rsid w:val="00384B2F"/>
    <w:rsid w:val="00385B7B"/>
    <w:rsid w:val="00385C2D"/>
    <w:rsid w:val="003861AD"/>
    <w:rsid w:val="00387C27"/>
    <w:rsid w:val="003900D7"/>
    <w:rsid w:val="00391F93"/>
    <w:rsid w:val="00393132"/>
    <w:rsid w:val="003936A6"/>
    <w:rsid w:val="00393AB3"/>
    <w:rsid w:val="00394B40"/>
    <w:rsid w:val="003966B2"/>
    <w:rsid w:val="00397105"/>
    <w:rsid w:val="00397329"/>
    <w:rsid w:val="00397792"/>
    <w:rsid w:val="00397BD1"/>
    <w:rsid w:val="00397D3E"/>
    <w:rsid w:val="00397D99"/>
    <w:rsid w:val="003A0027"/>
    <w:rsid w:val="003A1D33"/>
    <w:rsid w:val="003A316E"/>
    <w:rsid w:val="003A392F"/>
    <w:rsid w:val="003A3EC1"/>
    <w:rsid w:val="003A6077"/>
    <w:rsid w:val="003A6830"/>
    <w:rsid w:val="003A6A81"/>
    <w:rsid w:val="003A6C7A"/>
    <w:rsid w:val="003A7461"/>
    <w:rsid w:val="003A7771"/>
    <w:rsid w:val="003A7796"/>
    <w:rsid w:val="003B0514"/>
    <w:rsid w:val="003B06F7"/>
    <w:rsid w:val="003B07D1"/>
    <w:rsid w:val="003B22D3"/>
    <w:rsid w:val="003B2E9D"/>
    <w:rsid w:val="003B3BD0"/>
    <w:rsid w:val="003B3C84"/>
    <w:rsid w:val="003B3DB2"/>
    <w:rsid w:val="003B5021"/>
    <w:rsid w:val="003B59FC"/>
    <w:rsid w:val="003B5CBC"/>
    <w:rsid w:val="003B7116"/>
    <w:rsid w:val="003C1F39"/>
    <w:rsid w:val="003C29FB"/>
    <w:rsid w:val="003C3DFA"/>
    <w:rsid w:val="003C4325"/>
    <w:rsid w:val="003C6592"/>
    <w:rsid w:val="003C6F9D"/>
    <w:rsid w:val="003C70B4"/>
    <w:rsid w:val="003D0F40"/>
    <w:rsid w:val="003D1787"/>
    <w:rsid w:val="003D217C"/>
    <w:rsid w:val="003D228F"/>
    <w:rsid w:val="003D22DE"/>
    <w:rsid w:val="003D28C6"/>
    <w:rsid w:val="003D2906"/>
    <w:rsid w:val="003D294E"/>
    <w:rsid w:val="003D2E44"/>
    <w:rsid w:val="003D3223"/>
    <w:rsid w:val="003D3788"/>
    <w:rsid w:val="003D3802"/>
    <w:rsid w:val="003D389C"/>
    <w:rsid w:val="003D3B67"/>
    <w:rsid w:val="003D3BF7"/>
    <w:rsid w:val="003D5E18"/>
    <w:rsid w:val="003D63FC"/>
    <w:rsid w:val="003D76E4"/>
    <w:rsid w:val="003E1DDB"/>
    <w:rsid w:val="003E2149"/>
    <w:rsid w:val="003E2588"/>
    <w:rsid w:val="003E270D"/>
    <w:rsid w:val="003E44F4"/>
    <w:rsid w:val="003E4BFD"/>
    <w:rsid w:val="003E56D7"/>
    <w:rsid w:val="003E666D"/>
    <w:rsid w:val="003E7435"/>
    <w:rsid w:val="003E7F47"/>
    <w:rsid w:val="003F0BBC"/>
    <w:rsid w:val="003F2E3D"/>
    <w:rsid w:val="003F3C1A"/>
    <w:rsid w:val="003F4AE6"/>
    <w:rsid w:val="003F51F5"/>
    <w:rsid w:val="003F5331"/>
    <w:rsid w:val="00400DAA"/>
    <w:rsid w:val="0040104E"/>
    <w:rsid w:val="00403FDC"/>
    <w:rsid w:val="00404771"/>
    <w:rsid w:val="00404B26"/>
    <w:rsid w:val="004059C0"/>
    <w:rsid w:val="00405A88"/>
    <w:rsid w:val="0040694A"/>
    <w:rsid w:val="00406F52"/>
    <w:rsid w:val="00407D23"/>
    <w:rsid w:val="00407D62"/>
    <w:rsid w:val="00407E66"/>
    <w:rsid w:val="004102D5"/>
    <w:rsid w:val="00410DAB"/>
    <w:rsid w:val="00410F16"/>
    <w:rsid w:val="00410F41"/>
    <w:rsid w:val="00411935"/>
    <w:rsid w:val="00411A81"/>
    <w:rsid w:val="00411B59"/>
    <w:rsid w:val="00412970"/>
    <w:rsid w:val="00412AC2"/>
    <w:rsid w:val="00412C31"/>
    <w:rsid w:val="0041469A"/>
    <w:rsid w:val="00414B4E"/>
    <w:rsid w:val="00414FF2"/>
    <w:rsid w:val="004150ED"/>
    <w:rsid w:val="00415233"/>
    <w:rsid w:val="00415D20"/>
    <w:rsid w:val="004169A5"/>
    <w:rsid w:val="00420DC4"/>
    <w:rsid w:val="00420E44"/>
    <w:rsid w:val="0042130E"/>
    <w:rsid w:val="00421ED3"/>
    <w:rsid w:val="00423BAB"/>
    <w:rsid w:val="0042509C"/>
    <w:rsid w:val="00425266"/>
    <w:rsid w:val="00426E8F"/>
    <w:rsid w:val="00431376"/>
    <w:rsid w:val="00431515"/>
    <w:rsid w:val="0043297D"/>
    <w:rsid w:val="00432C35"/>
    <w:rsid w:val="0043302A"/>
    <w:rsid w:val="00433138"/>
    <w:rsid w:val="00433166"/>
    <w:rsid w:val="00433D5F"/>
    <w:rsid w:val="004351C4"/>
    <w:rsid w:val="00437A3C"/>
    <w:rsid w:val="004402C9"/>
    <w:rsid w:val="00440E4E"/>
    <w:rsid w:val="004412A3"/>
    <w:rsid w:val="0044180B"/>
    <w:rsid w:val="00441E74"/>
    <w:rsid w:val="004422E0"/>
    <w:rsid w:val="00443283"/>
    <w:rsid w:val="0044402F"/>
    <w:rsid w:val="00444136"/>
    <w:rsid w:val="0044449A"/>
    <w:rsid w:val="00444CB6"/>
    <w:rsid w:val="00445A09"/>
    <w:rsid w:val="00450AA4"/>
    <w:rsid w:val="00451CA4"/>
    <w:rsid w:val="00451DAC"/>
    <w:rsid w:val="004520AF"/>
    <w:rsid w:val="004523FC"/>
    <w:rsid w:val="00452572"/>
    <w:rsid w:val="004525E9"/>
    <w:rsid w:val="00452987"/>
    <w:rsid w:val="00452B8A"/>
    <w:rsid w:val="00453103"/>
    <w:rsid w:val="00453762"/>
    <w:rsid w:val="00453FD4"/>
    <w:rsid w:val="00454836"/>
    <w:rsid w:val="00454CCA"/>
    <w:rsid w:val="0045583D"/>
    <w:rsid w:val="004569FF"/>
    <w:rsid w:val="00456EBC"/>
    <w:rsid w:val="00457781"/>
    <w:rsid w:val="00461AF4"/>
    <w:rsid w:val="00462174"/>
    <w:rsid w:val="00462C25"/>
    <w:rsid w:val="004630CD"/>
    <w:rsid w:val="00463172"/>
    <w:rsid w:val="00464EDD"/>
    <w:rsid w:val="00465A15"/>
    <w:rsid w:val="00465EC0"/>
    <w:rsid w:val="00465EDA"/>
    <w:rsid w:val="00467013"/>
    <w:rsid w:val="004674D2"/>
    <w:rsid w:val="00467598"/>
    <w:rsid w:val="00467F06"/>
    <w:rsid w:val="00471970"/>
    <w:rsid w:val="004720B7"/>
    <w:rsid w:val="004728BB"/>
    <w:rsid w:val="004728DB"/>
    <w:rsid w:val="004738C7"/>
    <w:rsid w:val="00475741"/>
    <w:rsid w:val="00475F7D"/>
    <w:rsid w:val="00476557"/>
    <w:rsid w:val="00476941"/>
    <w:rsid w:val="004770CA"/>
    <w:rsid w:val="00477761"/>
    <w:rsid w:val="004806EB"/>
    <w:rsid w:val="00480A91"/>
    <w:rsid w:val="00481297"/>
    <w:rsid w:val="004818E2"/>
    <w:rsid w:val="00481937"/>
    <w:rsid w:val="0048199A"/>
    <w:rsid w:val="00481A8A"/>
    <w:rsid w:val="0048270D"/>
    <w:rsid w:val="00483866"/>
    <w:rsid w:val="00483E94"/>
    <w:rsid w:val="00484325"/>
    <w:rsid w:val="00484770"/>
    <w:rsid w:val="00484B32"/>
    <w:rsid w:val="00485576"/>
    <w:rsid w:val="00486069"/>
    <w:rsid w:val="0049129A"/>
    <w:rsid w:val="004918A7"/>
    <w:rsid w:val="00492167"/>
    <w:rsid w:val="00492240"/>
    <w:rsid w:val="00492DC9"/>
    <w:rsid w:val="00492F82"/>
    <w:rsid w:val="00493D9D"/>
    <w:rsid w:val="00494032"/>
    <w:rsid w:val="0049424A"/>
    <w:rsid w:val="00495118"/>
    <w:rsid w:val="00495262"/>
    <w:rsid w:val="00495F69"/>
    <w:rsid w:val="00496AE5"/>
    <w:rsid w:val="00497CDF"/>
    <w:rsid w:val="004A071C"/>
    <w:rsid w:val="004A1986"/>
    <w:rsid w:val="004A2A9E"/>
    <w:rsid w:val="004A2EE7"/>
    <w:rsid w:val="004A3524"/>
    <w:rsid w:val="004A4589"/>
    <w:rsid w:val="004A458C"/>
    <w:rsid w:val="004A4DD7"/>
    <w:rsid w:val="004A5172"/>
    <w:rsid w:val="004A6EB9"/>
    <w:rsid w:val="004A7E32"/>
    <w:rsid w:val="004B00FE"/>
    <w:rsid w:val="004B0DAA"/>
    <w:rsid w:val="004B10FD"/>
    <w:rsid w:val="004B1995"/>
    <w:rsid w:val="004B1EFF"/>
    <w:rsid w:val="004B32E8"/>
    <w:rsid w:val="004B3977"/>
    <w:rsid w:val="004B3A41"/>
    <w:rsid w:val="004B3D97"/>
    <w:rsid w:val="004B4138"/>
    <w:rsid w:val="004B4947"/>
    <w:rsid w:val="004B4B5E"/>
    <w:rsid w:val="004B50F2"/>
    <w:rsid w:val="004B59E6"/>
    <w:rsid w:val="004B6292"/>
    <w:rsid w:val="004B6DA2"/>
    <w:rsid w:val="004B7111"/>
    <w:rsid w:val="004B79A3"/>
    <w:rsid w:val="004C0540"/>
    <w:rsid w:val="004C0E85"/>
    <w:rsid w:val="004C11CB"/>
    <w:rsid w:val="004C18B0"/>
    <w:rsid w:val="004C1C0D"/>
    <w:rsid w:val="004C1E4A"/>
    <w:rsid w:val="004C250A"/>
    <w:rsid w:val="004C279D"/>
    <w:rsid w:val="004C3B4B"/>
    <w:rsid w:val="004C4D1B"/>
    <w:rsid w:val="004C54C5"/>
    <w:rsid w:val="004C584B"/>
    <w:rsid w:val="004C5861"/>
    <w:rsid w:val="004C5AEA"/>
    <w:rsid w:val="004C6351"/>
    <w:rsid w:val="004C6FAB"/>
    <w:rsid w:val="004C7024"/>
    <w:rsid w:val="004C7983"/>
    <w:rsid w:val="004C7EF3"/>
    <w:rsid w:val="004D0B8E"/>
    <w:rsid w:val="004D10BD"/>
    <w:rsid w:val="004D1B31"/>
    <w:rsid w:val="004D35D4"/>
    <w:rsid w:val="004D3973"/>
    <w:rsid w:val="004D444A"/>
    <w:rsid w:val="004D4669"/>
    <w:rsid w:val="004D5AD3"/>
    <w:rsid w:val="004D5B6D"/>
    <w:rsid w:val="004D602F"/>
    <w:rsid w:val="004D7A17"/>
    <w:rsid w:val="004E0988"/>
    <w:rsid w:val="004E180D"/>
    <w:rsid w:val="004E25E3"/>
    <w:rsid w:val="004E26D7"/>
    <w:rsid w:val="004E2D98"/>
    <w:rsid w:val="004E3443"/>
    <w:rsid w:val="004E3DD1"/>
    <w:rsid w:val="004E578E"/>
    <w:rsid w:val="004E6296"/>
    <w:rsid w:val="004E6D4A"/>
    <w:rsid w:val="004E79C4"/>
    <w:rsid w:val="004E7B01"/>
    <w:rsid w:val="004F06AC"/>
    <w:rsid w:val="004F1589"/>
    <w:rsid w:val="004F2B0A"/>
    <w:rsid w:val="004F3107"/>
    <w:rsid w:val="004F4106"/>
    <w:rsid w:val="004F4699"/>
    <w:rsid w:val="004F5033"/>
    <w:rsid w:val="004F6300"/>
    <w:rsid w:val="004F64D4"/>
    <w:rsid w:val="004F692D"/>
    <w:rsid w:val="004F70A8"/>
    <w:rsid w:val="004F748A"/>
    <w:rsid w:val="004F7D54"/>
    <w:rsid w:val="0050138F"/>
    <w:rsid w:val="0050188B"/>
    <w:rsid w:val="00503174"/>
    <w:rsid w:val="00503213"/>
    <w:rsid w:val="00503982"/>
    <w:rsid w:val="00503A55"/>
    <w:rsid w:val="00503A59"/>
    <w:rsid w:val="00504208"/>
    <w:rsid w:val="005044EB"/>
    <w:rsid w:val="00504998"/>
    <w:rsid w:val="00504B46"/>
    <w:rsid w:val="00504FEA"/>
    <w:rsid w:val="0050522F"/>
    <w:rsid w:val="005053AA"/>
    <w:rsid w:val="0050546A"/>
    <w:rsid w:val="00505B32"/>
    <w:rsid w:val="00505F68"/>
    <w:rsid w:val="00510236"/>
    <w:rsid w:val="00510318"/>
    <w:rsid w:val="005103BB"/>
    <w:rsid w:val="005108FB"/>
    <w:rsid w:val="0051158C"/>
    <w:rsid w:val="005116BC"/>
    <w:rsid w:val="005129AC"/>
    <w:rsid w:val="00514F97"/>
    <w:rsid w:val="0051578F"/>
    <w:rsid w:val="00515FA1"/>
    <w:rsid w:val="00516310"/>
    <w:rsid w:val="00516362"/>
    <w:rsid w:val="00516CDD"/>
    <w:rsid w:val="00517B7B"/>
    <w:rsid w:val="0052098F"/>
    <w:rsid w:val="0052133E"/>
    <w:rsid w:val="005213B7"/>
    <w:rsid w:val="00522B1A"/>
    <w:rsid w:val="00522D3B"/>
    <w:rsid w:val="005231D6"/>
    <w:rsid w:val="005249FC"/>
    <w:rsid w:val="00524B7B"/>
    <w:rsid w:val="00524DEE"/>
    <w:rsid w:val="0052522D"/>
    <w:rsid w:val="00525584"/>
    <w:rsid w:val="00525ECC"/>
    <w:rsid w:val="0052695F"/>
    <w:rsid w:val="00526FA3"/>
    <w:rsid w:val="00527A39"/>
    <w:rsid w:val="00530356"/>
    <w:rsid w:val="005308B0"/>
    <w:rsid w:val="00530C69"/>
    <w:rsid w:val="00531431"/>
    <w:rsid w:val="0053183A"/>
    <w:rsid w:val="00531F16"/>
    <w:rsid w:val="0053201D"/>
    <w:rsid w:val="005325CA"/>
    <w:rsid w:val="00533C03"/>
    <w:rsid w:val="005340C9"/>
    <w:rsid w:val="005354DF"/>
    <w:rsid w:val="00536B1D"/>
    <w:rsid w:val="0053701D"/>
    <w:rsid w:val="0053776C"/>
    <w:rsid w:val="0054071F"/>
    <w:rsid w:val="005407EC"/>
    <w:rsid w:val="00541914"/>
    <w:rsid w:val="00541B21"/>
    <w:rsid w:val="00541C23"/>
    <w:rsid w:val="00541D48"/>
    <w:rsid w:val="00541D98"/>
    <w:rsid w:val="00542598"/>
    <w:rsid w:val="005427A3"/>
    <w:rsid w:val="00542D06"/>
    <w:rsid w:val="00542FF4"/>
    <w:rsid w:val="0054383F"/>
    <w:rsid w:val="00543A41"/>
    <w:rsid w:val="005443EE"/>
    <w:rsid w:val="00544438"/>
    <w:rsid w:val="005448B6"/>
    <w:rsid w:val="005453FF"/>
    <w:rsid w:val="00545F7D"/>
    <w:rsid w:val="005460C7"/>
    <w:rsid w:val="00547142"/>
    <w:rsid w:val="0055043E"/>
    <w:rsid w:val="00551F27"/>
    <w:rsid w:val="005527E4"/>
    <w:rsid w:val="00552EA3"/>
    <w:rsid w:val="00552ED6"/>
    <w:rsid w:val="0055364A"/>
    <w:rsid w:val="00553770"/>
    <w:rsid w:val="00553CD3"/>
    <w:rsid w:val="00554AA0"/>
    <w:rsid w:val="00555649"/>
    <w:rsid w:val="00555DA3"/>
    <w:rsid w:val="005567A0"/>
    <w:rsid w:val="00556985"/>
    <w:rsid w:val="00557364"/>
    <w:rsid w:val="0055780F"/>
    <w:rsid w:val="005601BC"/>
    <w:rsid w:val="005601E5"/>
    <w:rsid w:val="0056029C"/>
    <w:rsid w:val="00560AFD"/>
    <w:rsid w:val="00561DA5"/>
    <w:rsid w:val="0056281B"/>
    <w:rsid w:val="005629CA"/>
    <w:rsid w:val="005651DA"/>
    <w:rsid w:val="0056600E"/>
    <w:rsid w:val="00566F29"/>
    <w:rsid w:val="00567332"/>
    <w:rsid w:val="00567EEC"/>
    <w:rsid w:val="00570426"/>
    <w:rsid w:val="00570678"/>
    <w:rsid w:val="00570CDE"/>
    <w:rsid w:val="005713C9"/>
    <w:rsid w:val="005722C3"/>
    <w:rsid w:val="005722FA"/>
    <w:rsid w:val="005724CA"/>
    <w:rsid w:val="005734CA"/>
    <w:rsid w:val="0057424C"/>
    <w:rsid w:val="00574AC5"/>
    <w:rsid w:val="005754A6"/>
    <w:rsid w:val="005756EF"/>
    <w:rsid w:val="0057621A"/>
    <w:rsid w:val="005763EB"/>
    <w:rsid w:val="00576726"/>
    <w:rsid w:val="005767B9"/>
    <w:rsid w:val="00576E08"/>
    <w:rsid w:val="00577323"/>
    <w:rsid w:val="0057747C"/>
    <w:rsid w:val="00577E65"/>
    <w:rsid w:val="00580927"/>
    <w:rsid w:val="00580F63"/>
    <w:rsid w:val="005822BC"/>
    <w:rsid w:val="00584135"/>
    <w:rsid w:val="00584CE8"/>
    <w:rsid w:val="00585CF5"/>
    <w:rsid w:val="0058608D"/>
    <w:rsid w:val="00586DC8"/>
    <w:rsid w:val="005873DE"/>
    <w:rsid w:val="00587496"/>
    <w:rsid w:val="005876A4"/>
    <w:rsid w:val="005904B3"/>
    <w:rsid w:val="00590C97"/>
    <w:rsid w:val="00590D6E"/>
    <w:rsid w:val="00591EEA"/>
    <w:rsid w:val="005920D5"/>
    <w:rsid w:val="005922B1"/>
    <w:rsid w:val="0059251B"/>
    <w:rsid w:val="00592533"/>
    <w:rsid w:val="00592D57"/>
    <w:rsid w:val="0059331C"/>
    <w:rsid w:val="00593AD0"/>
    <w:rsid w:val="00593F80"/>
    <w:rsid w:val="00594310"/>
    <w:rsid w:val="00594E0D"/>
    <w:rsid w:val="00595157"/>
    <w:rsid w:val="0059593A"/>
    <w:rsid w:val="00596305"/>
    <w:rsid w:val="00596FFC"/>
    <w:rsid w:val="005973C9"/>
    <w:rsid w:val="00597DF8"/>
    <w:rsid w:val="005A0148"/>
    <w:rsid w:val="005A047C"/>
    <w:rsid w:val="005A14CA"/>
    <w:rsid w:val="005A2928"/>
    <w:rsid w:val="005A4D30"/>
    <w:rsid w:val="005A54DF"/>
    <w:rsid w:val="005A6FF3"/>
    <w:rsid w:val="005B02E7"/>
    <w:rsid w:val="005B05E0"/>
    <w:rsid w:val="005B0D5C"/>
    <w:rsid w:val="005B310B"/>
    <w:rsid w:val="005B3279"/>
    <w:rsid w:val="005B33D5"/>
    <w:rsid w:val="005B390E"/>
    <w:rsid w:val="005B3B80"/>
    <w:rsid w:val="005B4081"/>
    <w:rsid w:val="005B5428"/>
    <w:rsid w:val="005B5F85"/>
    <w:rsid w:val="005B6EEC"/>
    <w:rsid w:val="005B70CA"/>
    <w:rsid w:val="005B74EE"/>
    <w:rsid w:val="005B7B31"/>
    <w:rsid w:val="005B7D6B"/>
    <w:rsid w:val="005C0326"/>
    <w:rsid w:val="005C03A6"/>
    <w:rsid w:val="005C0FF6"/>
    <w:rsid w:val="005C1FA4"/>
    <w:rsid w:val="005C3896"/>
    <w:rsid w:val="005C46B0"/>
    <w:rsid w:val="005C4798"/>
    <w:rsid w:val="005C5AE7"/>
    <w:rsid w:val="005C631A"/>
    <w:rsid w:val="005C79FC"/>
    <w:rsid w:val="005D004B"/>
    <w:rsid w:val="005D07D9"/>
    <w:rsid w:val="005D10BF"/>
    <w:rsid w:val="005D1664"/>
    <w:rsid w:val="005D2121"/>
    <w:rsid w:val="005D22DC"/>
    <w:rsid w:val="005D267E"/>
    <w:rsid w:val="005D2EB3"/>
    <w:rsid w:val="005D4C62"/>
    <w:rsid w:val="005D4F13"/>
    <w:rsid w:val="005D534B"/>
    <w:rsid w:val="005D7323"/>
    <w:rsid w:val="005D7C28"/>
    <w:rsid w:val="005E05DD"/>
    <w:rsid w:val="005E09B5"/>
    <w:rsid w:val="005E0F1B"/>
    <w:rsid w:val="005E16C4"/>
    <w:rsid w:val="005E1FB3"/>
    <w:rsid w:val="005E2D3A"/>
    <w:rsid w:val="005E3A8A"/>
    <w:rsid w:val="005E4749"/>
    <w:rsid w:val="005E48D9"/>
    <w:rsid w:val="005E49E4"/>
    <w:rsid w:val="005E5BC7"/>
    <w:rsid w:val="005E735C"/>
    <w:rsid w:val="005E7703"/>
    <w:rsid w:val="005F0599"/>
    <w:rsid w:val="005F1D15"/>
    <w:rsid w:val="005F1D95"/>
    <w:rsid w:val="005F2D2E"/>
    <w:rsid w:val="005F2F80"/>
    <w:rsid w:val="005F3C1C"/>
    <w:rsid w:val="005F5E3F"/>
    <w:rsid w:val="005F6536"/>
    <w:rsid w:val="005F678A"/>
    <w:rsid w:val="005F78EA"/>
    <w:rsid w:val="005F7979"/>
    <w:rsid w:val="00600001"/>
    <w:rsid w:val="00601123"/>
    <w:rsid w:val="00601558"/>
    <w:rsid w:val="00601C45"/>
    <w:rsid w:val="00602716"/>
    <w:rsid w:val="00602A3E"/>
    <w:rsid w:val="00604013"/>
    <w:rsid w:val="0060401F"/>
    <w:rsid w:val="006042E7"/>
    <w:rsid w:val="0060490C"/>
    <w:rsid w:val="0060559C"/>
    <w:rsid w:val="0060597D"/>
    <w:rsid w:val="00605C65"/>
    <w:rsid w:val="00610BE8"/>
    <w:rsid w:val="006112AA"/>
    <w:rsid w:val="00611328"/>
    <w:rsid w:val="00611D47"/>
    <w:rsid w:val="00612129"/>
    <w:rsid w:val="006122CA"/>
    <w:rsid w:val="00612561"/>
    <w:rsid w:val="00612A92"/>
    <w:rsid w:val="0061319C"/>
    <w:rsid w:val="006136E8"/>
    <w:rsid w:val="00613B83"/>
    <w:rsid w:val="0061438C"/>
    <w:rsid w:val="00615922"/>
    <w:rsid w:val="00615E98"/>
    <w:rsid w:val="006165A3"/>
    <w:rsid w:val="00616B4D"/>
    <w:rsid w:val="006203E8"/>
    <w:rsid w:val="00620421"/>
    <w:rsid w:val="00620731"/>
    <w:rsid w:val="00621973"/>
    <w:rsid w:val="00621E31"/>
    <w:rsid w:val="00623061"/>
    <w:rsid w:val="006239BE"/>
    <w:rsid w:val="00623EE6"/>
    <w:rsid w:val="00624813"/>
    <w:rsid w:val="00624B17"/>
    <w:rsid w:val="00625123"/>
    <w:rsid w:val="006256B2"/>
    <w:rsid w:val="0062764F"/>
    <w:rsid w:val="0063029B"/>
    <w:rsid w:val="00631451"/>
    <w:rsid w:val="00631659"/>
    <w:rsid w:val="006328AB"/>
    <w:rsid w:val="00633D05"/>
    <w:rsid w:val="00633ED1"/>
    <w:rsid w:val="00633F2C"/>
    <w:rsid w:val="006344AF"/>
    <w:rsid w:val="00636E71"/>
    <w:rsid w:val="00640361"/>
    <w:rsid w:val="00640555"/>
    <w:rsid w:val="0064059D"/>
    <w:rsid w:val="006413CD"/>
    <w:rsid w:val="006413D0"/>
    <w:rsid w:val="0064140F"/>
    <w:rsid w:val="00641E12"/>
    <w:rsid w:val="00641FA6"/>
    <w:rsid w:val="00642E47"/>
    <w:rsid w:val="0064388E"/>
    <w:rsid w:val="00644A2E"/>
    <w:rsid w:val="006452CD"/>
    <w:rsid w:val="0064549F"/>
    <w:rsid w:val="00645FAE"/>
    <w:rsid w:val="006467A1"/>
    <w:rsid w:val="00647931"/>
    <w:rsid w:val="006479F8"/>
    <w:rsid w:val="00647FF5"/>
    <w:rsid w:val="00651D36"/>
    <w:rsid w:val="00652178"/>
    <w:rsid w:val="006529A6"/>
    <w:rsid w:val="00653FBA"/>
    <w:rsid w:val="0065406C"/>
    <w:rsid w:val="006546FF"/>
    <w:rsid w:val="00655072"/>
    <w:rsid w:val="00655347"/>
    <w:rsid w:val="006558C8"/>
    <w:rsid w:val="00655AF8"/>
    <w:rsid w:val="0065698B"/>
    <w:rsid w:val="00656BCF"/>
    <w:rsid w:val="00657D8F"/>
    <w:rsid w:val="006607C4"/>
    <w:rsid w:val="00660AA2"/>
    <w:rsid w:val="00660D31"/>
    <w:rsid w:val="00661084"/>
    <w:rsid w:val="00661D01"/>
    <w:rsid w:val="006623FD"/>
    <w:rsid w:val="00662A69"/>
    <w:rsid w:val="0066346F"/>
    <w:rsid w:val="006640F0"/>
    <w:rsid w:val="00664F86"/>
    <w:rsid w:val="00665834"/>
    <w:rsid w:val="0066627F"/>
    <w:rsid w:val="006662F1"/>
    <w:rsid w:val="006678D7"/>
    <w:rsid w:val="00667B8B"/>
    <w:rsid w:val="006702D8"/>
    <w:rsid w:val="00670A84"/>
    <w:rsid w:val="00670ED1"/>
    <w:rsid w:val="0067111B"/>
    <w:rsid w:val="006718C8"/>
    <w:rsid w:val="00671A20"/>
    <w:rsid w:val="00671DE2"/>
    <w:rsid w:val="00672D3A"/>
    <w:rsid w:val="00673588"/>
    <w:rsid w:val="00673994"/>
    <w:rsid w:val="006749AF"/>
    <w:rsid w:val="0067541F"/>
    <w:rsid w:val="00675757"/>
    <w:rsid w:val="00675B3C"/>
    <w:rsid w:val="00677BEA"/>
    <w:rsid w:val="00680EF6"/>
    <w:rsid w:val="00681350"/>
    <w:rsid w:val="00684095"/>
    <w:rsid w:val="00684C76"/>
    <w:rsid w:val="006861F2"/>
    <w:rsid w:val="00686293"/>
    <w:rsid w:val="006864A8"/>
    <w:rsid w:val="00686C88"/>
    <w:rsid w:val="00687990"/>
    <w:rsid w:val="0069004A"/>
    <w:rsid w:val="006902E9"/>
    <w:rsid w:val="006917AF"/>
    <w:rsid w:val="006935A6"/>
    <w:rsid w:val="00693EB1"/>
    <w:rsid w:val="00693FD2"/>
    <w:rsid w:val="006941C2"/>
    <w:rsid w:val="00694642"/>
    <w:rsid w:val="0069470C"/>
    <w:rsid w:val="00694720"/>
    <w:rsid w:val="00695503"/>
    <w:rsid w:val="006959C2"/>
    <w:rsid w:val="00695B35"/>
    <w:rsid w:val="00695CC7"/>
    <w:rsid w:val="006972B3"/>
    <w:rsid w:val="00697465"/>
    <w:rsid w:val="00697637"/>
    <w:rsid w:val="00697BBF"/>
    <w:rsid w:val="006A02AC"/>
    <w:rsid w:val="006A077F"/>
    <w:rsid w:val="006A0A3D"/>
    <w:rsid w:val="006A16A8"/>
    <w:rsid w:val="006A21F0"/>
    <w:rsid w:val="006A2BA4"/>
    <w:rsid w:val="006A3C7A"/>
    <w:rsid w:val="006A3DB0"/>
    <w:rsid w:val="006A4F43"/>
    <w:rsid w:val="006A51AE"/>
    <w:rsid w:val="006A5DB7"/>
    <w:rsid w:val="006A5E2B"/>
    <w:rsid w:val="006A61B0"/>
    <w:rsid w:val="006A7000"/>
    <w:rsid w:val="006A724B"/>
    <w:rsid w:val="006A781E"/>
    <w:rsid w:val="006A7986"/>
    <w:rsid w:val="006B014F"/>
    <w:rsid w:val="006B0448"/>
    <w:rsid w:val="006B0550"/>
    <w:rsid w:val="006B0A60"/>
    <w:rsid w:val="006B0EB6"/>
    <w:rsid w:val="006B41B7"/>
    <w:rsid w:val="006B4910"/>
    <w:rsid w:val="006B4BFC"/>
    <w:rsid w:val="006B59DB"/>
    <w:rsid w:val="006B5BA5"/>
    <w:rsid w:val="006B5D9C"/>
    <w:rsid w:val="006B7112"/>
    <w:rsid w:val="006B76C5"/>
    <w:rsid w:val="006B7CC7"/>
    <w:rsid w:val="006C05F9"/>
    <w:rsid w:val="006C111C"/>
    <w:rsid w:val="006C131A"/>
    <w:rsid w:val="006C143A"/>
    <w:rsid w:val="006C3600"/>
    <w:rsid w:val="006C3E05"/>
    <w:rsid w:val="006C5138"/>
    <w:rsid w:val="006C51D0"/>
    <w:rsid w:val="006C5969"/>
    <w:rsid w:val="006C5E7A"/>
    <w:rsid w:val="006C5E9C"/>
    <w:rsid w:val="006C5F44"/>
    <w:rsid w:val="006C61A6"/>
    <w:rsid w:val="006C6ADC"/>
    <w:rsid w:val="006C6C7B"/>
    <w:rsid w:val="006C77EA"/>
    <w:rsid w:val="006C7AAD"/>
    <w:rsid w:val="006C7E34"/>
    <w:rsid w:val="006D0905"/>
    <w:rsid w:val="006D236D"/>
    <w:rsid w:val="006D3633"/>
    <w:rsid w:val="006D4846"/>
    <w:rsid w:val="006D4A18"/>
    <w:rsid w:val="006D5135"/>
    <w:rsid w:val="006D54A8"/>
    <w:rsid w:val="006D62F6"/>
    <w:rsid w:val="006D7D5B"/>
    <w:rsid w:val="006E039D"/>
    <w:rsid w:val="006E0965"/>
    <w:rsid w:val="006E1516"/>
    <w:rsid w:val="006E1F0D"/>
    <w:rsid w:val="006E1FE5"/>
    <w:rsid w:val="006E275E"/>
    <w:rsid w:val="006E279B"/>
    <w:rsid w:val="006E2B77"/>
    <w:rsid w:val="006E351F"/>
    <w:rsid w:val="006E398B"/>
    <w:rsid w:val="006E42A7"/>
    <w:rsid w:val="006E6318"/>
    <w:rsid w:val="006E6709"/>
    <w:rsid w:val="006E7756"/>
    <w:rsid w:val="006E7845"/>
    <w:rsid w:val="006F1240"/>
    <w:rsid w:val="006F1533"/>
    <w:rsid w:val="006F17DB"/>
    <w:rsid w:val="006F183B"/>
    <w:rsid w:val="006F1DD9"/>
    <w:rsid w:val="006F2004"/>
    <w:rsid w:val="006F21CE"/>
    <w:rsid w:val="006F25FD"/>
    <w:rsid w:val="006F2822"/>
    <w:rsid w:val="006F2CCB"/>
    <w:rsid w:val="006F2CE1"/>
    <w:rsid w:val="006F367A"/>
    <w:rsid w:val="006F3B66"/>
    <w:rsid w:val="006F4694"/>
    <w:rsid w:val="006F4F14"/>
    <w:rsid w:val="006F574C"/>
    <w:rsid w:val="006F5A3A"/>
    <w:rsid w:val="006F5FF0"/>
    <w:rsid w:val="006F68C8"/>
    <w:rsid w:val="006F71D3"/>
    <w:rsid w:val="006F743A"/>
    <w:rsid w:val="006F77A9"/>
    <w:rsid w:val="006F7C87"/>
    <w:rsid w:val="00700175"/>
    <w:rsid w:val="007005AF"/>
    <w:rsid w:val="00700C8C"/>
    <w:rsid w:val="007012C1"/>
    <w:rsid w:val="00703179"/>
    <w:rsid w:val="00703E4D"/>
    <w:rsid w:val="0070486C"/>
    <w:rsid w:val="0070699C"/>
    <w:rsid w:val="007078C8"/>
    <w:rsid w:val="00707D0E"/>
    <w:rsid w:val="00710123"/>
    <w:rsid w:val="00710925"/>
    <w:rsid w:val="007114EE"/>
    <w:rsid w:val="00711952"/>
    <w:rsid w:val="00711DEE"/>
    <w:rsid w:val="0071232D"/>
    <w:rsid w:val="00712C04"/>
    <w:rsid w:val="00712C8E"/>
    <w:rsid w:val="00714F9D"/>
    <w:rsid w:val="00714FDF"/>
    <w:rsid w:val="007162EA"/>
    <w:rsid w:val="00716D32"/>
    <w:rsid w:val="00717C39"/>
    <w:rsid w:val="00717C71"/>
    <w:rsid w:val="00720ADA"/>
    <w:rsid w:val="007216F9"/>
    <w:rsid w:val="00722A28"/>
    <w:rsid w:val="007243E6"/>
    <w:rsid w:val="00727DB7"/>
    <w:rsid w:val="00727E33"/>
    <w:rsid w:val="00727F8F"/>
    <w:rsid w:val="00727FEB"/>
    <w:rsid w:val="0073062A"/>
    <w:rsid w:val="00730741"/>
    <w:rsid w:val="00731731"/>
    <w:rsid w:val="00731ACC"/>
    <w:rsid w:val="007323CD"/>
    <w:rsid w:val="007329A9"/>
    <w:rsid w:val="00732F00"/>
    <w:rsid w:val="00734340"/>
    <w:rsid w:val="00734E51"/>
    <w:rsid w:val="00735B54"/>
    <w:rsid w:val="007363FA"/>
    <w:rsid w:val="00737535"/>
    <w:rsid w:val="00737FC0"/>
    <w:rsid w:val="00740618"/>
    <w:rsid w:val="007414F8"/>
    <w:rsid w:val="00742F42"/>
    <w:rsid w:val="007434E7"/>
    <w:rsid w:val="00743A3A"/>
    <w:rsid w:val="00743C60"/>
    <w:rsid w:val="00744236"/>
    <w:rsid w:val="00744ADA"/>
    <w:rsid w:val="00745126"/>
    <w:rsid w:val="00745851"/>
    <w:rsid w:val="00746962"/>
    <w:rsid w:val="00750471"/>
    <w:rsid w:val="00750BEF"/>
    <w:rsid w:val="00750FA0"/>
    <w:rsid w:val="00751D28"/>
    <w:rsid w:val="00751E84"/>
    <w:rsid w:val="007528DD"/>
    <w:rsid w:val="00752A94"/>
    <w:rsid w:val="00752E37"/>
    <w:rsid w:val="007533D7"/>
    <w:rsid w:val="007539A6"/>
    <w:rsid w:val="00753E6A"/>
    <w:rsid w:val="007540AB"/>
    <w:rsid w:val="007543BD"/>
    <w:rsid w:val="007545B4"/>
    <w:rsid w:val="00754757"/>
    <w:rsid w:val="00754C8D"/>
    <w:rsid w:val="007550FE"/>
    <w:rsid w:val="00756646"/>
    <w:rsid w:val="00756A9B"/>
    <w:rsid w:val="007570E3"/>
    <w:rsid w:val="0075717C"/>
    <w:rsid w:val="00760561"/>
    <w:rsid w:val="00761491"/>
    <w:rsid w:val="007622FD"/>
    <w:rsid w:val="00762F7F"/>
    <w:rsid w:val="007631EB"/>
    <w:rsid w:val="0076324F"/>
    <w:rsid w:val="00764AED"/>
    <w:rsid w:val="007660D6"/>
    <w:rsid w:val="00766196"/>
    <w:rsid w:val="007661D2"/>
    <w:rsid w:val="007664D1"/>
    <w:rsid w:val="00767035"/>
    <w:rsid w:val="00767B75"/>
    <w:rsid w:val="00770CCA"/>
    <w:rsid w:val="0077124C"/>
    <w:rsid w:val="007714A8"/>
    <w:rsid w:val="0077198B"/>
    <w:rsid w:val="007724A0"/>
    <w:rsid w:val="007731BE"/>
    <w:rsid w:val="00773827"/>
    <w:rsid w:val="00773854"/>
    <w:rsid w:val="00773F58"/>
    <w:rsid w:val="0077425C"/>
    <w:rsid w:val="007750E7"/>
    <w:rsid w:val="0077555B"/>
    <w:rsid w:val="00775983"/>
    <w:rsid w:val="007768EF"/>
    <w:rsid w:val="00776AD7"/>
    <w:rsid w:val="007777C7"/>
    <w:rsid w:val="00780445"/>
    <w:rsid w:val="0078194A"/>
    <w:rsid w:val="00782085"/>
    <w:rsid w:val="0078258F"/>
    <w:rsid w:val="00782FB5"/>
    <w:rsid w:val="00783873"/>
    <w:rsid w:val="00785BE7"/>
    <w:rsid w:val="00785D52"/>
    <w:rsid w:val="00787555"/>
    <w:rsid w:val="0078785B"/>
    <w:rsid w:val="0079028A"/>
    <w:rsid w:val="00791E90"/>
    <w:rsid w:val="00792448"/>
    <w:rsid w:val="00793801"/>
    <w:rsid w:val="007938CD"/>
    <w:rsid w:val="00794081"/>
    <w:rsid w:val="00796AFE"/>
    <w:rsid w:val="00796B95"/>
    <w:rsid w:val="00796CA2"/>
    <w:rsid w:val="0079762D"/>
    <w:rsid w:val="0079798F"/>
    <w:rsid w:val="00797F3B"/>
    <w:rsid w:val="007A002A"/>
    <w:rsid w:val="007A18A3"/>
    <w:rsid w:val="007A1EAB"/>
    <w:rsid w:val="007A2B40"/>
    <w:rsid w:val="007A2DED"/>
    <w:rsid w:val="007A3133"/>
    <w:rsid w:val="007A3155"/>
    <w:rsid w:val="007A378E"/>
    <w:rsid w:val="007A379B"/>
    <w:rsid w:val="007A4289"/>
    <w:rsid w:val="007A4400"/>
    <w:rsid w:val="007A5153"/>
    <w:rsid w:val="007A55AE"/>
    <w:rsid w:val="007A5BD7"/>
    <w:rsid w:val="007A5D79"/>
    <w:rsid w:val="007A6DD7"/>
    <w:rsid w:val="007B02B3"/>
    <w:rsid w:val="007B0C6C"/>
    <w:rsid w:val="007B1124"/>
    <w:rsid w:val="007B1297"/>
    <w:rsid w:val="007B14ED"/>
    <w:rsid w:val="007B154E"/>
    <w:rsid w:val="007B1B09"/>
    <w:rsid w:val="007B1EB6"/>
    <w:rsid w:val="007B2282"/>
    <w:rsid w:val="007B3329"/>
    <w:rsid w:val="007B350A"/>
    <w:rsid w:val="007B37DC"/>
    <w:rsid w:val="007B3BD0"/>
    <w:rsid w:val="007B42F3"/>
    <w:rsid w:val="007B4B1C"/>
    <w:rsid w:val="007B6AB5"/>
    <w:rsid w:val="007B6CC9"/>
    <w:rsid w:val="007B6DC2"/>
    <w:rsid w:val="007B72E9"/>
    <w:rsid w:val="007C1445"/>
    <w:rsid w:val="007C1DF9"/>
    <w:rsid w:val="007C2A5E"/>
    <w:rsid w:val="007C2AE5"/>
    <w:rsid w:val="007C38DC"/>
    <w:rsid w:val="007C3B97"/>
    <w:rsid w:val="007C3FD5"/>
    <w:rsid w:val="007C5B8F"/>
    <w:rsid w:val="007C6369"/>
    <w:rsid w:val="007C795A"/>
    <w:rsid w:val="007D0C25"/>
    <w:rsid w:val="007D1AF7"/>
    <w:rsid w:val="007D20E7"/>
    <w:rsid w:val="007D25AF"/>
    <w:rsid w:val="007D25B9"/>
    <w:rsid w:val="007D3B73"/>
    <w:rsid w:val="007D3B83"/>
    <w:rsid w:val="007D40BD"/>
    <w:rsid w:val="007D4E0D"/>
    <w:rsid w:val="007D4F6A"/>
    <w:rsid w:val="007D68CD"/>
    <w:rsid w:val="007D72B3"/>
    <w:rsid w:val="007E0465"/>
    <w:rsid w:val="007E0839"/>
    <w:rsid w:val="007E159C"/>
    <w:rsid w:val="007E1A0D"/>
    <w:rsid w:val="007E2E0E"/>
    <w:rsid w:val="007E3357"/>
    <w:rsid w:val="007E3876"/>
    <w:rsid w:val="007E4412"/>
    <w:rsid w:val="007E4B95"/>
    <w:rsid w:val="007E5B2C"/>
    <w:rsid w:val="007E653C"/>
    <w:rsid w:val="007E778A"/>
    <w:rsid w:val="007E7E3A"/>
    <w:rsid w:val="007F114B"/>
    <w:rsid w:val="007F11BA"/>
    <w:rsid w:val="007F185F"/>
    <w:rsid w:val="007F3952"/>
    <w:rsid w:val="007F414A"/>
    <w:rsid w:val="007F66FF"/>
    <w:rsid w:val="007F6BB2"/>
    <w:rsid w:val="00800CA8"/>
    <w:rsid w:val="00801499"/>
    <w:rsid w:val="0080164D"/>
    <w:rsid w:val="008029BF"/>
    <w:rsid w:val="00802B8C"/>
    <w:rsid w:val="00802FC4"/>
    <w:rsid w:val="008036CF"/>
    <w:rsid w:val="00803E14"/>
    <w:rsid w:val="00803E7C"/>
    <w:rsid w:val="00804EF0"/>
    <w:rsid w:val="008061C9"/>
    <w:rsid w:val="0080734A"/>
    <w:rsid w:val="00807C5A"/>
    <w:rsid w:val="008101F9"/>
    <w:rsid w:val="008103D5"/>
    <w:rsid w:val="008106F8"/>
    <w:rsid w:val="00810829"/>
    <w:rsid w:val="0081119F"/>
    <w:rsid w:val="00812164"/>
    <w:rsid w:val="00812379"/>
    <w:rsid w:val="00813401"/>
    <w:rsid w:val="008153AD"/>
    <w:rsid w:val="00815719"/>
    <w:rsid w:val="008164FA"/>
    <w:rsid w:val="0082193B"/>
    <w:rsid w:val="00821EFE"/>
    <w:rsid w:val="008224BD"/>
    <w:rsid w:val="008224D7"/>
    <w:rsid w:val="00823EB6"/>
    <w:rsid w:val="00823FD4"/>
    <w:rsid w:val="00824116"/>
    <w:rsid w:val="00824263"/>
    <w:rsid w:val="00824434"/>
    <w:rsid w:val="0082484C"/>
    <w:rsid w:val="00824BE9"/>
    <w:rsid w:val="00825C63"/>
    <w:rsid w:val="00826072"/>
    <w:rsid w:val="00826909"/>
    <w:rsid w:val="00826BFF"/>
    <w:rsid w:val="00827D4A"/>
    <w:rsid w:val="00830062"/>
    <w:rsid w:val="008306EA"/>
    <w:rsid w:val="00830942"/>
    <w:rsid w:val="008322E8"/>
    <w:rsid w:val="0083238E"/>
    <w:rsid w:val="008337AB"/>
    <w:rsid w:val="00834F26"/>
    <w:rsid w:val="00835100"/>
    <w:rsid w:val="008356EC"/>
    <w:rsid w:val="00835DC8"/>
    <w:rsid w:val="00835E0A"/>
    <w:rsid w:val="00836517"/>
    <w:rsid w:val="008366D8"/>
    <w:rsid w:val="00837026"/>
    <w:rsid w:val="00837211"/>
    <w:rsid w:val="0084002F"/>
    <w:rsid w:val="00841FC3"/>
    <w:rsid w:val="008426EA"/>
    <w:rsid w:val="00842D95"/>
    <w:rsid w:val="00842E57"/>
    <w:rsid w:val="0084339E"/>
    <w:rsid w:val="00843AB2"/>
    <w:rsid w:val="00843EA4"/>
    <w:rsid w:val="00846240"/>
    <w:rsid w:val="00846405"/>
    <w:rsid w:val="008467E7"/>
    <w:rsid w:val="008472EC"/>
    <w:rsid w:val="00847840"/>
    <w:rsid w:val="00847A46"/>
    <w:rsid w:val="00851256"/>
    <w:rsid w:val="008512F3"/>
    <w:rsid w:val="0085191A"/>
    <w:rsid w:val="00852E01"/>
    <w:rsid w:val="00854141"/>
    <w:rsid w:val="00854290"/>
    <w:rsid w:val="008545FC"/>
    <w:rsid w:val="008558B3"/>
    <w:rsid w:val="00855A3C"/>
    <w:rsid w:val="008602D8"/>
    <w:rsid w:val="00860F7E"/>
    <w:rsid w:val="00861B1F"/>
    <w:rsid w:val="00861C2F"/>
    <w:rsid w:val="00861F70"/>
    <w:rsid w:val="00862676"/>
    <w:rsid w:val="008626B3"/>
    <w:rsid w:val="00862B78"/>
    <w:rsid w:val="00863516"/>
    <w:rsid w:val="00863B1A"/>
    <w:rsid w:val="00863D70"/>
    <w:rsid w:val="00864C0D"/>
    <w:rsid w:val="00864F62"/>
    <w:rsid w:val="0086569D"/>
    <w:rsid w:val="00865DD1"/>
    <w:rsid w:val="0086658D"/>
    <w:rsid w:val="00866D1D"/>
    <w:rsid w:val="00866DC4"/>
    <w:rsid w:val="008673CF"/>
    <w:rsid w:val="0087254F"/>
    <w:rsid w:val="00873AFA"/>
    <w:rsid w:val="008741D3"/>
    <w:rsid w:val="00874274"/>
    <w:rsid w:val="00874496"/>
    <w:rsid w:val="00874654"/>
    <w:rsid w:val="00874D85"/>
    <w:rsid w:val="008768C5"/>
    <w:rsid w:val="00876966"/>
    <w:rsid w:val="00876CBE"/>
    <w:rsid w:val="008771B2"/>
    <w:rsid w:val="008778C7"/>
    <w:rsid w:val="00877C24"/>
    <w:rsid w:val="008803A3"/>
    <w:rsid w:val="008805BB"/>
    <w:rsid w:val="0088150D"/>
    <w:rsid w:val="00882B7C"/>
    <w:rsid w:val="008839CE"/>
    <w:rsid w:val="00883AA5"/>
    <w:rsid w:val="008840F8"/>
    <w:rsid w:val="00884C68"/>
    <w:rsid w:val="008866A5"/>
    <w:rsid w:val="008877A6"/>
    <w:rsid w:val="00890556"/>
    <w:rsid w:val="00890CE5"/>
    <w:rsid w:val="00891226"/>
    <w:rsid w:val="0089205C"/>
    <w:rsid w:val="00892BB9"/>
    <w:rsid w:val="00893F6E"/>
    <w:rsid w:val="008941A7"/>
    <w:rsid w:val="00895167"/>
    <w:rsid w:val="00896669"/>
    <w:rsid w:val="00897403"/>
    <w:rsid w:val="0089762F"/>
    <w:rsid w:val="00897938"/>
    <w:rsid w:val="008A010F"/>
    <w:rsid w:val="008A1CFD"/>
    <w:rsid w:val="008A2170"/>
    <w:rsid w:val="008A256D"/>
    <w:rsid w:val="008A45F3"/>
    <w:rsid w:val="008A4E1D"/>
    <w:rsid w:val="008A5690"/>
    <w:rsid w:val="008A66C2"/>
    <w:rsid w:val="008A7222"/>
    <w:rsid w:val="008A7AFF"/>
    <w:rsid w:val="008B0A08"/>
    <w:rsid w:val="008B0AFE"/>
    <w:rsid w:val="008B1845"/>
    <w:rsid w:val="008B1C71"/>
    <w:rsid w:val="008B52F3"/>
    <w:rsid w:val="008B7D2F"/>
    <w:rsid w:val="008C0A94"/>
    <w:rsid w:val="008C12AC"/>
    <w:rsid w:val="008C3294"/>
    <w:rsid w:val="008C3914"/>
    <w:rsid w:val="008C4385"/>
    <w:rsid w:val="008C5290"/>
    <w:rsid w:val="008C562B"/>
    <w:rsid w:val="008C586F"/>
    <w:rsid w:val="008C640C"/>
    <w:rsid w:val="008C668D"/>
    <w:rsid w:val="008C6779"/>
    <w:rsid w:val="008C6840"/>
    <w:rsid w:val="008C6E26"/>
    <w:rsid w:val="008C730D"/>
    <w:rsid w:val="008C7B51"/>
    <w:rsid w:val="008C7D2C"/>
    <w:rsid w:val="008C7E7F"/>
    <w:rsid w:val="008C7F0C"/>
    <w:rsid w:val="008D18D5"/>
    <w:rsid w:val="008D2986"/>
    <w:rsid w:val="008D2BE6"/>
    <w:rsid w:val="008D3C3B"/>
    <w:rsid w:val="008D4E2D"/>
    <w:rsid w:val="008D5062"/>
    <w:rsid w:val="008D561B"/>
    <w:rsid w:val="008D57A1"/>
    <w:rsid w:val="008D5C4F"/>
    <w:rsid w:val="008D7CA1"/>
    <w:rsid w:val="008E014F"/>
    <w:rsid w:val="008E01BB"/>
    <w:rsid w:val="008E0D68"/>
    <w:rsid w:val="008E1101"/>
    <w:rsid w:val="008E14D7"/>
    <w:rsid w:val="008E2F5A"/>
    <w:rsid w:val="008E3253"/>
    <w:rsid w:val="008E35AB"/>
    <w:rsid w:val="008E5A10"/>
    <w:rsid w:val="008E5E96"/>
    <w:rsid w:val="008E6BA5"/>
    <w:rsid w:val="008E6C16"/>
    <w:rsid w:val="008F01AE"/>
    <w:rsid w:val="008F1298"/>
    <w:rsid w:val="008F1311"/>
    <w:rsid w:val="008F1827"/>
    <w:rsid w:val="008F2F4F"/>
    <w:rsid w:val="008F30C9"/>
    <w:rsid w:val="008F4E46"/>
    <w:rsid w:val="008F53CC"/>
    <w:rsid w:val="008F54F2"/>
    <w:rsid w:val="008F6179"/>
    <w:rsid w:val="0090051E"/>
    <w:rsid w:val="00900CD3"/>
    <w:rsid w:val="00901DAF"/>
    <w:rsid w:val="00903518"/>
    <w:rsid w:val="009035B3"/>
    <w:rsid w:val="00904186"/>
    <w:rsid w:val="00904556"/>
    <w:rsid w:val="0090541C"/>
    <w:rsid w:val="00905B09"/>
    <w:rsid w:val="009061E1"/>
    <w:rsid w:val="009063F8"/>
    <w:rsid w:val="00906654"/>
    <w:rsid w:val="00911E9E"/>
    <w:rsid w:val="009129D3"/>
    <w:rsid w:val="0091331A"/>
    <w:rsid w:val="00913FA0"/>
    <w:rsid w:val="00914111"/>
    <w:rsid w:val="009159FD"/>
    <w:rsid w:val="00915BB3"/>
    <w:rsid w:val="0091732F"/>
    <w:rsid w:val="00917853"/>
    <w:rsid w:val="00917C01"/>
    <w:rsid w:val="0092026A"/>
    <w:rsid w:val="009208D6"/>
    <w:rsid w:val="00920B3A"/>
    <w:rsid w:val="00920D64"/>
    <w:rsid w:val="00921055"/>
    <w:rsid w:val="0092173B"/>
    <w:rsid w:val="00921C5D"/>
    <w:rsid w:val="00921D94"/>
    <w:rsid w:val="00921EA8"/>
    <w:rsid w:val="00923E50"/>
    <w:rsid w:val="00924A04"/>
    <w:rsid w:val="00924CA7"/>
    <w:rsid w:val="0092554D"/>
    <w:rsid w:val="00925FE9"/>
    <w:rsid w:val="0092608F"/>
    <w:rsid w:val="0092656F"/>
    <w:rsid w:val="00926C03"/>
    <w:rsid w:val="00927D2C"/>
    <w:rsid w:val="00930D7D"/>
    <w:rsid w:val="009318B0"/>
    <w:rsid w:val="0093290F"/>
    <w:rsid w:val="009335F2"/>
    <w:rsid w:val="00933AA4"/>
    <w:rsid w:val="00935816"/>
    <w:rsid w:val="00935DF8"/>
    <w:rsid w:val="009360C4"/>
    <w:rsid w:val="009361BA"/>
    <w:rsid w:val="009361D4"/>
    <w:rsid w:val="00936354"/>
    <w:rsid w:val="009402F4"/>
    <w:rsid w:val="00940CE8"/>
    <w:rsid w:val="00941CCF"/>
    <w:rsid w:val="00943171"/>
    <w:rsid w:val="00943367"/>
    <w:rsid w:val="0094354A"/>
    <w:rsid w:val="009442F2"/>
    <w:rsid w:val="00944F43"/>
    <w:rsid w:val="00945488"/>
    <w:rsid w:val="009457BE"/>
    <w:rsid w:val="00945879"/>
    <w:rsid w:val="00946CC0"/>
    <w:rsid w:val="00947955"/>
    <w:rsid w:val="00951507"/>
    <w:rsid w:val="00951FB3"/>
    <w:rsid w:val="00953CE8"/>
    <w:rsid w:val="00953FC3"/>
    <w:rsid w:val="0095407A"/>
    <w:rsid w:val="00954464"/>
    <w:rsid w:val="0095475F"/>
    <w:rsid w:val="00954EE1"/>
    <w:rsid w:val="00955E49"/>
    <w:rsid w:val="009569E5"/>
    <w:rsid w:val="00956AC5"/>
    <w:rsid w:val="00956B2C"/>
    <w:rsid w:val="00956CC0"/>
    <w:rsid w:val="00956D9C"/>
    <w:rsid w:val="00957297"/>
    <w:rsid w:val="0095764C"/>
    <w:rsid w:val="00957FD9"/>
    <w:rsid w:val="00962AB6"/>
    <w:rsid w:val="0096328F"/>
    <w:rsid w:val="009638BB"/>
    <w:rsid w:val="00963EC2"/>
    <w:rsid w:val="00965FAB"/>
    <w:rsid w:val="00966654"/>
    <w:rsid w:val="009712BF"/>
    <w:rsid w:val="00971B53"/>
    <w:rsid w:val="00971F68"/>
    <w:rsid w:val="00972910"/>
    <w:rsid w:val="00973143"/>
    <w:rsid w:val="009753E6"/>
    <w:rsid w:val="00975D0D"/>
    <w:rsid w:val="00976866"/>
    <w:rsid w:val="0097755B"/>
    <w:rsid w:val="009775EB"/>
    <w:rsid w:val="009779BA"/>
    <w:rsid w:val="00977E92"/>
    <w:rsid w:val="00980096"/>
    <w:rsid w:val="00980263"/>
    <w:rsid w:val="009805C9"/>
    <w:rsid w:val="00981955"/>
    <w:rsid w:val="00981CA9"/>
    <w:rsid w:val="009820F3"/>
    <w:rsid w:val="00983D4B"/>
    <w:rsid w:val="00984B18"/>
    <w:rsid w:val="00985770"/>
    <w:rsid w:val="00985E6C"/>
    <w:rsid w:val="0098623D"/>
    <w:rsid w:val="009867A0"/>
    <w:rsid w:val="00987488"/>
    <w:rsid w:val="009874D2"/>
    <w:rsid w:val="0099030C"/>
    <w:rsid w:val="009905E1"/>
    <w:rsid w:val="00991996"/>
    <w:rsid w:val="009922FD"/>
    <w:rsid w:val="00992674"/>
    <w:rsid w:val="00994426"/>
    <w:rsid w:val="0099445E"/>
    <w:rsid w:val="00994B3C"/>
    <w:rsid w:val="00994BB1"/>
    <w:rsid w:val="009961C5"/>
    <w:rsid w:val="0099625D"/>
    <w:rsid w:val="00996B09"/>
    <w:rsid w:val="009A04B5"/>
    <w:rsid w:val="009A21D2"/>
    <w:rsid w:val="009A2C03"/>
    <w:rsid w:val="009A4AF6"/>
    <w:rsid w:val="009A7AF3"/>
    <w:rsid w:val="009A7B28"/>
    <w:rsid w:val="009B0101"/>
    <w:rsid w:val="009B07AA"/>
    <w:rsid w:val="009B07D1"/>
    <w:rsid w:val="009B0F46"/>
    <w:rsid w:val="009B1180"/>
    <w:rsid w:val="009B1445"/>
    <w:rsid w:val="009B1FC6"/>
    <w:rsid w:val="009B3B01"/>
    <w:rsid w:val="009B42AB"/>
    <w:rsid w:val="009B5157"/>
    <w:rsid w:val="009B636D"/>
    <w:rsid w:val="009B63FB"/>
    <w:rsid w:val="009B7900"/>
    <w:rsid w:val="009B7974"/>
    <w:rsid w:val="009C0455"/>
    <w:rsid w:val="009C0DB8"/>
    <w:rsid w:val="009C2F19"/>
    <w:rsid w:val="009C3330"/>
    <w:rsid w:val="009C3965"/>
    <w:rsid w:val="009C39B4"/>
    <w:rsid w:val="009C3F08"/>
    <w:rsid w:val="009C621C"/>
    <w:rsid w:val="009C6583"/>
    <w:rsid w:val="009C77B7"/>
    <w:rsid w:val="009C7D55"/>
    <w:rsid w:val="009D0049"/>
    <w:rsid w:val="009D01C4"/>
    <w:rsid w:val="009D0666"/>
    <w:rsid w:val="009D0BD8"/>
    <w:rsid w:val="009D101E"/>
    <w:rsid w:val="009D1CC8"/>
    <w:rsid w:val="009D2040"/>
    <w:rsid w:val="009D354E"/>
    <w:rsid w:val="009D422D"/>
    <w:rsid w:val="009D5823"/>
    <w:rsid w:val="009D6ACE"/>
    <w:rsid w:val="009D7990"/>
    <w:rsid w:val="009E04F9"/>
    <w:rsid w:val="009E109A"/>
    <w:rsid w:val="009E29CF"/>
    <w:rsid w:val="009E2CBE"/>
    <w:rsid w:val="009E2DD5"/>
    <w:rsid w:val="009E32D0"/>
    <w:rsid w:val="009E3F50"/>
    <w:rsid w:val="009E4029"/>
    <w:rsid w:val="009E4076"/>
    <w:rsid w:val="009E47B6"/>
    <w:rsid w:val="009E5582"/>
    <w:rsid w:val="009E5840"/>
    <w:rsid w:val="009E6CFB"/>
    <w:rsid w:val="009F0D62"/>
    <w:rsid w:val="009F1EF5"/>
    <w:rsid w:val="009F20D7"/>
    <w:rsid w:val="009F2349"/>
    <w:rsid w:val="009F2E08"/>
    <w:rsid w:val="009F309C"/>
    <w:rsid w:val="009F31B4"/>
    <w:rsid w:val="009F3285"/>
    <w:rsid w:val="009F3621"/>
    <w:rsid w:val="009F3CDE"/>
    <w:rsid w:val="009F42B6"/>
    <w:rsid w:val="009F4B48"/>
    <w:rsid w:val="00A00DFA"/>
    <w:rsid w:val="00A011BF"/>
    <w:rsid w:val="00A01AC4"/>
    <w:rsid w:val="00A01D8B"/>
    <w:rsid w:val="00A03229"/>
    <w:rsid w:val="00A0379B"/>
    <w:rsid w:val="00A03ACF"/>
    <w:rsid w:val="00A03DD9"/>
    <w:rsid w:val="00A043A1"/>
    <w:rsid w:val="00A04EF2"/>
    <w:rsid w:val="00A051B8"/>
    <w:rsid w:val="00A05CCF"/>
    <w:rsid w:val="00A06D81"/>
    <w:rsid w:val="00A06D9F"/>
    <w:rsid w:val="00A077F7"/>
    <w:rsid w:val="00A07A71"/>
    <w:rsid w:val="00A07B38"/>
    <w:rsid w:val="00A10848"/>
    <w:rsid w:val="00A11503"/>
    <w:rsid w:val="00A12973"/>
    <w:rsid w:val="00A13837"/>
    <w:rsid w:val="00A142A7"/>
    <w:rsid w:val="00A14755"/>
    <w:rsid w:val="00A14CFD"/>
    <w:rsid w:val="00A14DF0"/>
    <w:rsid w:val="00A14DF8"/>
    <w:rsid w:val="00A14F0E"/>
    <w:rsid w:val="00A20D11"/>
    <w:rsid w:val="00A227C1"/>
    <w:rsid w:val="00A24312"/>
    <w:rsid w:val="00A24458"/>
    <w:rsid w:val="00A260B5"/>
    <w:rsid w:val="00A2748B"/>
    <w:rsid w:val="00A27932"/>
    <w:rsid w:val="00A31214"/>
    <w:rsid w:val="00A3171B"/>
    <w:rsid w:val="00A34EE1"/>
    <w:rsid w:val="00A35A17"/>
    <w:rsid w:val="00A362A8"/>
    <w:rsid w:val="00A36DF6"/>
    <w:rsid w:val="00A37CE1"/>
    <w:rsid w:val="00A40DA6"/>
    <w:rsid w:val="00A41FD2"/>
    <w:rsid w:val="00A424A7"/>
    <w:rsid w:val="00A42FEC"/>
    <w:rsid w:val="00A43BA9"/>
    <w:rsid w:val="00A44618"/>
    <w:rsid w:val="00A45570"/>
    <w:rsid w:val="00A45B1A"/>
    <w:rsid w:val="00A46E7F"/>
    <w:rsid w:val="00A4719E"/>
    <w:rsid w:val="00A474A3"/>
    <w:rsid w:val="00A476D4"/>
    <w:rsid w:val="00A501AF"/>
    <w:rsid w:val="00A512CB"/>
    <w:rsid w:val="00A51B65"/>
    <w:rsid w:val="00A526E7"/>
    <w:rsid w:val="00A531AA"/>
    <w:rsid w:val="00A53A91"/>
    <w:rsid w:val="00A53CBF"/>
    <w:rsid w:val="00A541CD"/>
    <w:rsid w:val="00A544BF"/>
    <w:rsid w:val="00A54A9E"/>
    <w:rsid w:val="00A5514D"/>
    <w:rsid w:val="00A55B2D"/>
    <w:rsid w:val="00A56003"/>
    <w:rsid w:val="00A56FD8"/>
    <w:rsid w:val="00A5765C"/>
    <w:rsid w:val="00A57F35"/>
    <w:rsid w:val="00A60327"/>
    <w:rsid w:val="00A607DB"/>
    <w:rsid w:val="00A6338A"/>
    <w:rsid w:val="00A63795"/>
    <w:rsid w:val="00A63A83"/>
    <w:rsid w:val="00A641AC"/>
    <w:rsid w:val="00A64447"/>
    <w:rsid w:val="00A6457F"/>
    <w:rsid w:val="00A647ED"/>
    <w:rsid w:val="00A652E9"/>
    <w:rsid w:val="00A65618"/>
    <w:rsid w:val="00A65DD2"/>
    <w:rsid w:val="00A66440"/>
    <w:rsid w:val="00A7012C"/>
    <w:rsid w:val="00A7080B"/>
    <w:rsid w:val="00A70CF0"/>
    <w:rsid w:val="00A716A4"/>
    <w:rsid w:val="00A71756"/>
    <w:rsid w:val="00A7347B"/>
    <w:rsid w:val="00A73651"/>
    <w:rsid w:val="00A73ABD"/>
    <w:rsid w:val="00A749DD"/>
    <w:rsid w:val="00A7552A"/>
    <w:rsid w:val="00A75FA4"/>
    <w:rsid w:val="00A7609C"/>
    <w:rsid w:val="00A77630"/>
    <w:rsid w:val="00A80DB5"/>
    <w:rsid w:val="00A81A03"/>
    <w:rsid w:val="00A81A1F"/>
    <w:rsid w:val="00A81F43"/>
    <w:rsid w:val="00A822F1"/>
    <w:rsid w:val="00A823A6"/>
    <w:rsid w:val="00A82FB3"/>
    <w:rsid w:val="00A83B26"/>
    <w:rsid w:val="00A843C1"/>
    <w:rsid w:val="00A85B94"/>
    <w:rsid w:val="00A85BA6"/>
    <w:rsid w:val="00A860C8"/>
    <w:rsid w:val="00A86110"/>
    <w:rsid w:val="00A86557"/>
    <w:rsid w:val="00A86968"/>
    <w:rsid w:val="00A86DBF"/>
    <w:rsid w:val="00A878EA"/>
    <w:rsid w:val="00A90066"/>
    <w:rsid w:val="00A901FF"/>
    <w:rsid w:val="00A92237"/>
    <w:rsid w:val="00A93710"/>
    <w:rsid w:val="00A9440B"/>
    <w:rsid w:val="00A94D39"/>
    <w:rsid w:val="00A957FA"/>
    <w:rsid w:val="00A9788D"/>
    <w:rsid w:val="00A97D2F"/>
    <w:rsid w:val="00AA0A0B"/>
    <w:rsid w:val="00AA1C6C"/>
    <w:rsid w:val="00AA1F4C"/>
    <w:rsid w:val="00AA281C"/>
    <w:rsid w:val="00AA2E13"/>
    <w:rsid w:val="00AA30FC"/>
    <w:rsid w:val="00AA3CB0"/>
    <w:rsid w:val="00AA3EC8"/>
    <w:rsid w:val="00AA3F17"/>
    <w:rsid w:val="00AA3F7E"/>
    <w:rsid w:val="00AA4CF0"/>
    <w:rsid w:val="00AA4F46"/>
    <w:rsid w:val="00AA557A"/>
    <w:rsid w:val="00AA5909"/>
    <w:rsid w:val="00AA61C2"/>
    <w:rsid w:val="00AA6890"/>
    <w:rsid w:val="00AA6C3A"/>
    <w:rsid w:val="00AA6DE4"/>
    <w:rsid w:val="00AA7C35"/>
    <w:rsid w:val="00AB0117"/>
    <w:rsid w:val="00AB0DC1"/>
    <w:rsid w:val="00AB1005"/>
    <w:rsid w:val="00AB15CD"/>
    <w:rsid w:val="00AB1DF9"/>
    <w:rsid w:val="00AB1EEB"/>
    <w:rsid w:val="00AB2504"/>
    <w:rsid w:val="00AB2605"/>
    <w:rsid w:val="00AB2635"/>
    <w:rsid w:val="00AB2CC7"/>
    <w:rsid w:val="00AB341E"/>
    <w:rsid w:val="00AB34DB"/>
    <w:rsid w:val="00AB3E56"/>
    <w:rsid w:val="00AB4598"/>
    <w:rsid w:val="00AB5841"/>
    <w:rsid w:val="00AB5D86"/>
    <w:rsid w:val="00AB6307"/>
    <w:rsid w:val="00AB640D"/>
    <w:rsid w:val="00AB6500"/>
    <w:rsid w:val="00AB7061"/>
    <w:rsid w:val="00AB757C"/>
    <w:rsid w:val="00AB7D5B"/>
    <w:rsid w:val="00AC00C0"/>
    <w:rsid w:val="00AC143F"/>
    <w:rsid w:val="00AC17A0"/>
    <w:rsid w:val="00AC2010"/>
    <w:rsid w:val="00AC403F"/>
    <w:rsid w:val="00AC518E"/>
    <w:rsid w:val="00AC56F2"/>
    <w:rsid w:val="00AC650E"/>
    <w:rsid w:val="00AC72E0"/>
    <w:rsid w:val="00AC7544"/>
    <w:rsid w:val="00AC7D83"/>
    <w:rsid w:val="00AD0C2E"/>
    <w:rsid w:val="00AD11D2"/>
    <w:rsid w:val="00AD30B6"/>
    <w:rsid w:val="00AD3B41"/>
    <w:rsid w:val="00AD42EB"/>
    <w:rsid w:val="00AD4A5E"/>
    <w:rsid w:val="00AD4D57"/>
    <w:rsid w:val="00AD4D69"/>
    <w:rsid w:val="00AD5902"/>
    <w:rsid w:val="00AD75D0"/>
    <w:rsid w:val="00AE037B"/>
    <w:rsid w:val="00AE053A"/>
    <w:rsid w:val="00AE07CF"/>
    <w:rsid w:val="00AE15E4"/>
    <w:rsid w:val="00AE25C1"/>
    <w:rsid w:val="00AE26A1"/>
    <w:rsid w:val="00AE3F14"/>
    <w:rsid w:val="00AE47EA"/>
    <w:rsid w:val="00AE51F9"/>
    <w:rsid w:val="00AE5E53"/>
    <w:rsid w:val="00AE6BBD"/>
    <w:rsid w:val="00AE6FAC"/>
    <w:rsid w:val="00AE7D02"/>
    <w:rsid w:val="00AF0052"/>
    <w:rsid w:val="00AF023C"/>
    <w:rsid w:val="00AF0486"/>
    <w:rsid w:val="00AF07ED"/>
    <w:rsid w:val="00AF177C"/>
    <w:rsid w:val="00AF2206"/>
    <w:rsid w:val="00AF22CF"/>
    <w:rsid w:val="00AF31F7"/>
    <w:rsid w:val="00AF361F"/>
    <w:rsid w:val="00AF37D1"/>
    <w:rsid w:val="00AF3A23"/>
    <w:rsid w:val="00AF450F"/>
    <w:rsid w:val="00AF4AD1"/>
    <w:rsid w:val="00AF5F6A"/>
    <w:rsid w:val="00AF5F84"/>
    <w:rsid w:val="00AF633B"/>
    <w:rsid w:val="00AF68F3"/>
    <w:rsid w:val="00AF69D9"/>
    <w:rsid w:val="00AF796D"/>
    <w:rsid w:val="00AF7A2F"/>
    <w:rsid w:val="00AF7C6F"/>
    <w:rsid w:val="00AF7F24"/>
    <w:rsid w:val="00B00707"/>
    <w:rsid w:val="00B00A32"/>
    <w:rsid w:val="00B00BA8"/>
    <w:rsid w:val="00B01186"/>
    <w:rsid w:val="00B0126D"/>
    <w:rsid w:val="00B015BA"/>
    <w:rsid w:val="00B02CD9"/>
    <w:rsid w:val="00B03088"/>
    <w:rsid w:val="00B04389"/>
    <w:rsid w:val="00B049F9"/>
    <w:rsid w:val="00B04D72"/>
    <w:rsid w:val="00B04F2B"/>
    <w:rsid w:val="00B04F2D"/>
    <w:rsid w:val="00B052AC"/>
    <w:rsid w:val="00B054CF"/>
    <w:rsid w:val="00B056B3"/>
    <w:rsid w:val="00B0633E"/>
    <w:rsid w:val="00B069F6"/>
    <w:rsid w:val="00B06CE4"/>
    <w:rsid w:val="00B06D76"/>
    <w:rsid w:val="00B07ACD"/>
    <w:rsid w:val="00B07FD1"/>
    <w:rsid w:val="00B101DE"/>
    <w:rsid w:val="00B112F7"/>
    <w:rsid w:val="00B12C34"/>
    <w:rsid w:val="00B14938"/>
    <w:rsid w:val="00B14DE2"/>
    <w:rsid w:val="00B1720A"/>
    <w:rsid w:val="00B17495"/>
    <w:rsid w:val="00B17499"/>
    <w:rsid w:val="00B17954"/>
    <w:rsid w:val="00B21469"/>
    <w:rsid w:val="00B217BB"/>
    <w:rsid w:val="00B22067"/>
    <w:rsid w:val="00B22219"/>
    <w:rsid w:val="00B2238E"/>
    <w:rsid w:val="00B22E22"/>
    <w:rsid w:val="00B236EA"/>
    <w:rsid w:val="00B23897"/>
    <w:rsid w:val="00B23A09"/>
    <w:rsid w:val="00B2447B"/>
    <w:rsid w:val="00B248E7"/>
    <w:rsid w:val="00B24B29"/>
    <w:rsid w:val="00B2531B"/>
    <w:rsid w:val="00B25561"/>
    <w:rsid w:val="00B2573F"/>
    <w:rsid w:val="00B2579D"/>
    <w:rsid w:val="00B262A3"/>
    <w:rsid w:val="00B27092"/>
    <w:rsid w:val="00B30030"/>
    <w:rsid w:val="00B301FD"/>
    <w:rsid w:val="00B30434"/>
    <w:rsid w:val="00B333B4"/>
    <w:rsid w:val="00B33642"/>
    <w:rsid w:val="00B33A1E"/>
    <w:rsid w:val="00B34472"/>
    <w:rsid w:val="00B34507"/>
    <w:rsid w:val="00B35DEB"/>
    <w:rsid w:val="00B36C05"/>
    <w:rsid w:val="00B37272"/>
    <w:rsid w:val="00B37B47"/>
    <w:rsid w:val="00B404B3"/>
    <w:rsid w:val="00B40D44"/>
    <w:rsid w:val="00B411E4"/>
    <w:rsid w:val="00B41A8A"/>
    <w:rsid w:val="00B42A08"/>
    <w:rsid w:val="00B4315B"/>
    <w:rsid w:val="00B4321B"/>
    <w:rsid w:val="00B4504B"/>
    <w:rsid w:val="00B4622B"/>
    <w:rsid w:val="00B468C7"/>
    <w:rsid w:val="00B50BC5"/>
    <w:rsid w:val="00B50C9A"/>
    <w:rsid w:val="00B52BF8"/>
    <w:rsid w:val="00B5304D"/>
    <w:rsid w:val="00B54478"/>
    <w:rsid w:val="00B5578E"/>
    <w:rsid w:val="00B56006"/>
    <w:rsid w:val="00B5636B"/>
    <w:rsid w:val="00B56491"/>
    <w:rsid w:val="00B56B79"/>
    <w:rsid w:val="00B57007"/>
    <w:rsid w:val="00B578A3"/>
    <w:rsid w:val="00B57B37"/>
    <w:rsid w:val="00B57EE0"/>
    <w:rsid w:val="00B601CD"/>
    <w:rsid w:val="00B60B03"/>
    <w:rsid w:val="00B60D5A"/>
    <w:rsid w:val="00B61180"/>
    <w:rsid w:val="00B61854"/>
    <w:rsid w:val="00B61CE5"/>
    <w:rsid w:val="00B63365"/>
    <w:rsid w:val="00B64C88"/>
    <w:rsid w:val="00B65A07"/>
    <w:rsid w:val="00B6666B"/>
    <w:rsid w:val="00B66D2C"/>
    <w:rsid w:val="00B7010E"/>
    <w:rsid w:val="00B709C3"/>
    <w:rsid w:val="00B70B5C"/>
    <w:rsid w:val="00B711FA"/>
    <w:rsid w:val="00B71271"/>
    <w:rsid w:val="00B717A7"/>
    <w:rsid w:val="00B76196"/>
    <w:rsid w:val="00B76FB6"/>
    <w:rsid w:val="00B7797A"/>
    <w:rsid w:val="00B808F0"/>
    <w:rsid w:val="00B80AE3"/>
    <w:rsid w:val="00B80C3C"/>
    <w:rsid w:val="00B81D04"/>
    <w:rsid w:val="00B8314F"/>
    <w:rsid w:val="00B83521"/>
    <w:rsid w:val="00B83F7D"/>
    <w:rsid w:val="00B84404"/>
    <w:rsid w:val="00B8474A"/>
    <w:rsid w:val="00B85E1E"/>
    <w:rsid w:val="00B86148"/>
    <w:rsid w:val="00B8660D"/>
    <w:rsid w:val="00B8662B"/>
    <w:rsid w:val="00B879E0"/>
    <w:rsid w:val="00B91883"/>
    <w:rsid w:val="00B924BB"/>
    <w:rsid w:val="00B937F6"/>
    <w:rsid w:val="00B938B4"/>
    <w:rsid w:val="00B95675"/>
    <w:rsid w:val="00B95820"/>
    <w:rsid w:val="00B9704E"/>
    <w:rsid w:val="00B973F5"/>
    <w:rsid w:val="00B97CB6"/>
    <w:rsid w:val="00B97D4A"/>
    <w:rsid w:val="00BA02CC"/>
    <w:rsid w:val="00BA14C2"/>
    <w:rsid w:val="00BA2A0A"/>
    <w:rsid w:val="00BA2CFE"/>
    <w:rsid w:val="00BA30EF"/>
    <w:rsid w:val="00BA3568"/>
    <w:rsid w:val="00BA36B9"/>
    <w:rsid w:val="00BA4DF3"/>
    <w:rsid w:val="00BA7224"/>
    <w:rsid w:val="00BA7E03"/>
    <w:rsid w:val="00BA7EBE"/>
    <w:rsid w:val="00BB061B"/>
    <w:rsid w:val="00BB0A2D"/>
    <w:rsid w:val="00BB269B"/>
    <w:rsid w:val="00BB2914"/>
    <w:rsid w:val="00BB35FE"/>
    <w:rsid w:val="00BB3E28"/>
    <w:rsid w:val="00BB425E"/>
    <w:rsid w:val="00BB45C2"/>
    <w:rsid w:val="00BB4FA9"/>
    <w:rsid w:val="00BB5BB1"/>
    <w:rsid w:val="00BB5CD3"/>
    <w:rsid w:val="00BB628E"/>
    <w:rsid w:val="00BB6BB0"/>
    <w:rsid w:val="00BC06C2"/>
    <w:rsid w:val="00BC2157"/>
    <w:rsid w:val="00BC51E9"/>
    <w:rsid w:val="00BC53C7"/>
    <w:rsid w:val="00BC5A5E"/>
    <w:rsid w:val="00BC6856"/>
    <w:rsid w:val="00BC69C1"/>
    <w:rsid w:val="00BC7DEC"/>
    <w:rsid w:val="00BC7F43"/>
    <w:rsid w:val="00BD05B2"/>
    <w:rsid w:val="00BD06E7"/>
    <w:rsid w:val="00BD0CD9"/>
    <w:rsid w:val="00BD1241"/>
    <w:rsid w:val="00BD1F2F"/>
    <w:rsid w:val="00BD2082"/>
    <w:rsid w:val="00BD27B1"/>
    <w:rsid w:val="00BD340B"/>
    <w:rsid w:val="00BD6A4E"/>
    <w:rsid w:val="00BD6FDA"/>
    <w:rsid w:val="00BD7A1C"/>
    <w:rsid w:val="00BE2805"/>
    <w:rsid w:val="00BE2A1F"/>
    <w:rsid w:val="00BE2DF1"/>
    <w:rsid w:val="00BE3672"/>
    <w:rsid w:val="00BE390F"/>
    <w:rsid w:val="00BE3DFC"/>
    <w:rsid w:val="00BE4566"/>
    <w:rsid w:val="00BE45B7"/>
    <w:rsid w:val="00BE684E"/>
    <w:rsid w:val="00BE68C2"/>
    <w:rsid w:val="00BE750F"/>
    <w:rsid w:val="00BF0669"/>
    <w:rsid w:val="00BF0E1E"/>
    <w:rsid w:val="00BF27D3"/>
    <w:rsid w:val="00BF2CFF"/>
    <w:rsid w:val="00BF2E20"/>
    <w:rsid w:val="00BF41FD"/>
    <w:rsid w:val="00BF4EE0"/>
    <w:rsid w:val="00BF59B9"/>
    <w:rsid w:val="00BF637E"/>
    <w:rsid w:val="00BF675C"/>
    <w:rsid w:val="00BF7A71"/>
    <w:rsid w:val="00BF7C79"/>
    <w:rsid w:val="00C0028A"/>
    <w:rsid w:val="00C020DA"/>
    <w:rsid w:val="00C0215B"/>
    <w:rsid w:val="00C02177"/>
    <w:rsid w:val="00C02299"/>
    <w:rsid w:val="00C02A49"/>
    <w:rsid w:val="00C02EFB"/>
    <w:rsid w:val="00C052D5"/>
    <w:rsid w:val="00C055D9"/>
    <w:rsid w:val="00C0597F"/>
    <w:rsid w:val="00C059BB"/>
    <w:rsid w:val="00C05A28"/>
    <w:rsid w:val="00C065CC"/>
    <w:rsid w:val="00C06EA0"/>
    <w:rsid w:val="00C077D6"/>
    <w:rsid w:val="00C127C1"/>
    <w:rsid w:val="00C13D9E"/>
    <w:rsid w:val="00C13F8C"/>
    <w:rsid w:val="00C1439A"/>
    <w:rsid w:val="00C143B0"/>
    <w:rsid w:val="00C15796"/>
    <w:rsid w:val="00C15CBA"/>
    <w:rsid w:val="00C162A0"/>
    <w:rsid w:val="00C16FBB"/>
    <w:rsid w:val="00C17138"/>
    <w:rsid w:val="00C17413"/>
    <w:rsid w:val="00C20182"/>
    <w:rsid w:val="00C20ECA"/>
    <w:rsid w:val="00C20EF9"/>
    <w:rsid w:val="00C21809"/>
    <w:rsid w:val="00C21D82"/>
    <w:rsid w:val="00C23147"/>
    <w:rsid w:val="00C23535"/>
    <w:rsid w:val="00C243EB"/>
    <w:rsid w:val="00C24879"/>
    <w:rsid w:val="00C2493A"/>
    <w:rsid w:val="00C255BD"/>
    <w:rsid w:val="00C266C2"/>
    <w:rsid w:val="00C26FFD"/>
    <w:rsid w:val="00C27EE9"/>
    <w:rsid w:val="00C30066"/>
    <w:rsid w:val="00C30202"/>
    <w:rsid w:val="00C30541"/>
    <w:rsid w:val="00C30605"/>
    <w:rsid w:val="00C30FC2"/>
    <w:rsid w:val="00C3104A"/>
    <w:rsid w:val="00C31D9F"/>
    <w:rsid w:val="00C31ED6"/>
    <w:rsid w:val="00C323D1"/>
    <w:rsid w:val="00C3243C"/>
    <w:rsid w:val="00C32C4E"/>
    <w:rsid w:val="00C334A8"/>
    <w:rsid w:val="00C335A8"/>
    <w:rsid w:val="00C33B86"/>
    <w:rsid w:val="00C34B9E"/>
    <w:rsid w:val="00C3554E"/>
    <w:rsid w:val="00C3792A"/>
    <w:rsid w:val="00C379AB"/>
    <w:rsid w:val="00C37ACE"/>
    <w:rsid w:val="00C417E5"/>
    <w:rsid w:val="00C41F65"/>
    <w:rsid w:val="00C43B3D"/>
    <w:rsid w:val="00C43C0D"/>
    <w:rsid w:val="00C46702"/>
    <w:rsid w:val="00C472F3"/>
    <w:rsid w:val="00C47AFA"/>
    <w:rsid w:val="00C47F07"/>
    <w:rsid w:val="00C5021A"/>
    <w:rsid w:val="00C50AD7"/>
    <w:rsid w:val="00C50D06"/>
    <w:rsid w:val="00C51A9F"/>
    <w:rsid w:val="00C51C71"/>
    <w:rsid w:val="00C52320"/>
    <w:rsid w:val="00C52949"/>
    <w:rsid w:val="00C53A96"/>
    <w:rsid w:val="00C53B5C"/>
    <w:rsid w:val="00C53FDE"/>
    <w:rsid w:val="00C541E0"/>
    <w:rsid w:val="00C55320"/>
    <w:rsid w:val="00C569E7"/>
    <w:rsid w:val="00C5786E"/>
    <w:rsid w:val="00C57AC6"/>
    <w:rsid w:val="00C57F8E"/>
    <w:rsid w:val="00C60667"/>
    <w:rsid w:val="00C6070D"/>
    <w:rsid w:val="00C6094A"/>
    <w:rsid w:val="00C60AEF"/>
    <w:rsid w:val="00C60DC7"/>
    <w:rsid w:val="00C61ACF"/>
    <w:rsid w:val="00C621BB"/>
    <w:rsid w:val="00C62626"/>
    <w:rsid w:val="00C6262E"/>
    <w:rsid w:val="00C62B8B"/>
    <w:rsid w:val="00C63C43"/>
    <w:rsid w:val="00C66699"/>
    <w:rsid w:val="00C67232"/>
    <w:rsid w:val="00C713F2"/>
    <w:rsid w:val="00C71E52"/>
    <w:rsid w:val="00C71F92"/>
    <w:rsid w:val="00C729EB"/>
    <w:rsid w:val="00C7309D"/>
    <w:rsid w:val="00C73174"/>
    <w:rsid w:val="00C73802"/>
    <w:rsid w:val="00C73E04"/>
    <w:rsid w:val="00C73F62"/>
    <w:rsid w:val="00C7412B"/>
    <w:rsid w:val="00C74347"/>
    <w:rsid w:val="00C74523"/>
    <w:rsid w:val="00C74B10"/>
    <w:rsid w:val="00C756FB"/>
    <w:rsid w:val="00C75D2B"/>
    <w:rsid w:val="00C76742"/>
    <w:rsid w:val="00C805C2"/>
    <w:rsid w:val="00C8139E"/>
    <w:rsid w:val="00C81A08"/>
    <w:rsid w:val="00C82674"/>
    <w:rsid w:val="00C83035"/>
    <w:rsid w:val="00C83410"/>
    <w:rsid w:val="00C836EC"/>
    <w:rsid w:val="00C83BF6"/>
    <w:rsid w:val="00C848D2"/>
    <w:rsid w:val="00C84D89"/>
    <w:rsid w:val="00C85A3C"/>
    <w:rsid w:val="00C866FA"/>
    <w:rsid w:val="00C86A02"/>
    <w:rsid w:val="00C90032"/>
    <w:rsid w:val="00C9039E"/>
    <w:rsid w:val="00C90BC7"/>
    <w:rsid w:val="00C91801"/>
    <w:rsid w:val="00C920AF"/>
    <w:rsid w:val="00C92E41"/>
    <w:rsid w:val="00C94A4D"/>
    <w:rsid w:val="00C94D8C"/>
    <w:rsid w:val="00C9545E"/>
    <w:rsid w:val="00C9668D"/>
    <w:rsid w:val="00C978B4"/>
    <w:rsid w:val="00CA1353"/>
    <w:rsid w:val="00CA1CC7"/>
    <w:rsid w:val="00CA1E0D"/>
    <w:rsid w:val="00CA1F83"/>
    <w:rsid w:val="00CA3817"/>
    <w:rsid w:val="00CA3BA7"/>
    <w:rsid w:val="00CA3BDF"/>
    <w:rsid w:val="00CA3DA4"/>
    <w:rsid w:val="00CA4963"/>
    <w:rsid w:val="00CA6BDE"/>
    <w:rsid w:val="00CA6CA8"/>
    <w:rsid w:val="00CA6DF8"/>
    <w:rsid w:val="00CA7573"/>
    <w:rsid w:val="00CB052A"/>
    <w:rsid w:val="00CB098D"/>
    <w:rsid w:val="00CB1268"/>
    <w:rsid w:val="00CB1467"/>
    <w:rsid w:val="00CB175C"/>
    <w:rsid w:val="00CB1A7F"/>
    <w:rsid w:val="00CB263C"/>
    <w:rsid w:val="00CB2F1B"/>
    <w:rsid w:val="00CB3E29"/>
    <w:rsid w:val="00CB50B2"/>
    <w:rsid w:val="00CB5478"/>
    <w:rsid w:val="00CB55A3"/>
    <w:rsid w:val="00CB5AF5"/>
    <w:rsid w:val="00CB608F"/>
    <w:rsid w:val="00CB644C"/>
    <w:rsid w:val="00CB749A"/>
    <w:rsid w:val="00CC032E"/>
    <w:rsid w:val="00CC09F3"/>
    <w:rsid w:val="00CC1C0F"/>
    <w:rsid w:val="00CC1DFA"/>
    <w:rsid w:val="00CC33F4"/>
    <w:rsid w:val="00CC48AE"/>
    <w:rsid w:val="00CC7742"/>
    <w:rsid w:val="00CC7CC6"/>
    <w:rsid w:val="00CC7E91"/>
    <w:rsid w:val="00CD0004"/>
    <w:rsid w:val="00CD0030"/>
    <w:rsid w:val="00CD0722"/>
    <w:rsid w:val="00CD0732"/>
    <w:rsid w:val="00CD192C"/>
    <w:rsid w:val="00CD20AE"/>
    <w:rsid w:val="00CD365D"/>
    <w:rsid w:val="00CD437F"/>
    <w:rsid w:val="00CD47B4"/>
    <w:rsid w:val="00CD4968"/>
    <w:rsid w:val="00CD5D1E"/>
    <w:rsid w:val="00CD5DF5"/>
    <w:rsid w:val="00CE007D"/>
    <w:rsid w:val="00CE03E3"/>
    <w:rsid w:val="00CE0743"/>
    <w:rsid w:val="00CE0760"/>
    <w:rsid w:val="00CE0B73"/>
    <w:rsid w:val="00CE25AA"/>
    <w:rsid w:val="00CE2E7C"/>
    <w:rsid w:val="00CE2E86"/>
    <w:rsid w:val="00CE3739"/>
    <w:rsid w:val="00CE49E3"/>
    <w:rsid w:val="00CE7110"/>
    <w:rsid w:val="00CE78A9"/>
    <w:rsid w:val="00CE7B49"/>
    <w:rsid w:val="00CF18F4"/>
    <w:rsid w:val="00CF1A9C"/>
    <w:rsid w:val="00CF1E40"/>
    <w:rsid w:val="00CF1E50"/>
    <w:rsid w:val="00CF2907"/>
    <w:rsid w:val="00CF3149"/>
    <w:rsid w:val="00CF3B1F"/>
    <w:rsid w:val="00CF4885"/>
    <w:rsid w:val="00CF4AF9"/>
    <w:rsid w:val="00CF58CC"/>
    <w:rsid w:val="00CF6186"/>
    <w:rsid w:val="00CF6230"/>
    <w:rsid w:val="00CF62B9"/>
    <w:rsid w:val="00CF7603"/>
    <w:rsid w:val="00CF76D0"/>
    <w:rsid w:val="00D009A1"/>
    <w:rsid w:val="00D01082"/>
    <w:rsid w:val="00D010D4"/>
    <w:rsid w:val="00D0291A"/>
    <w:rsid w:val="00D04406"/>
    <w:rsid w:val="00D04A54"/>
    <w:rsid w:val="00D04DB1"/>
    <w:rsid w:val="00D05EF9"/>
    <w:rsid w:val="00D06680"/>
    <w:rsid w:val="00D06DF1"/>
    <w:rsid w:val="00D06ED2"/>
    <w:rsid w:val="00D12C2A"/>
    <w:rsid w:val="00D13248"/>
    <w:rsid w:val="00D13408"/>
    <w:rsid w:val="00D142D8"/>
    <w:rsid w:val="00D1435E"/>
    <w:rsid w:val="00D14E49"/>
    <w:rsid w:val="00D15BAF"/>
    <w:rsid w:val="00D16107"/>
    <w:rsid w:val="00D1750E"/>
    <w:rsid w:val="00D17798"/>
    <w:rsid w:val="00D17A33"/>
    <w:rsid w:val="00D17C06"/>
    <w:rsid w:val="00D2028D"/>
    <w:rsid w:val="00D21102"/>
    <w:rsid w:val="00D2223E"/>
    <w:rsid w:val="00D226FC"/>
    <w:rsid w:val="00D24BCF"/>
    <w:rsid w:val="00D251C4"/>
    <w:rsid w:val="00D25E01"/>
    <w:rsid w:val="00D260BC"/>
    <w:rsid w:val="00D27D48"/>
    <w:rsid w:val="00D27DF4"/>
    <w:rsid w:val="00D3021F"/>
    <w:rsid w:val="00D311DD"/>
    <w:rsid w:val="00D3150A"/>
    <w:rsid w:val="00D3183E"/>
    <w:rsid w:val="00D31B71"/>
    <w:rsid w:val="00D33910"/>
    <w:rsid w:val="00D33DFC"/>
    <w:rsid w:val="00D355D2"/>
    <w:rsid w:val="00D36A60"/>
    <w:rsid w:val="00D36D70"/>
    <w:rsid w:val="00D40A7C"/>
    <w:rsid w:val="00D41BD8"/>
    <w:rsid w:val="00D41DB9"/>
    <w:rsid w:val="00D42990"/>
    <w:rsid w:val="00D42BB5"/>
    <w:rsid w:val="00D42E41"/>
    <w:rsid w:val="00D4322B"/>
    <w:rsid w:val="00D433D8"/>
    <w:rsid w:val="00D43F59"/>
    <w:rsid w:val="00D44545"/>
    <w:rsid w:val="00D44B13"/>
    <w:rsid w:val="00D45899"/>
    <w:rsid w:val="00D45FDA"/>
    <w:rsid w:val="00D46209"/>
    <w:rsid w:val="00D465ED"/>
    <w:rsid w:val="00D47AAB"/>
    <w:rsid w:val="00D47E09"/>
    <w:rsid w:val="00D50331"/>
    <w:rsid w:val="00D51A27"/>
    <w:rsid w:val="00D5229E"/>
    <w:rsid w:val="00D5289D"/>
    <w:rsid w:val="00D53080"/>
    <w:rsid w:val="00D538AD"/>
    <w:rsid w:val="00D539EB"/>
    <w:rsid w:val="00D542A7"/>
    <w:rsid w:val="00D547AB"/>
    <w:rsid w:val="00D55163"/>
    <w:rsid w:val="00D5547E"/>
    <w:rsid w:val="00D56DC5"/>
    <w:rsid w:val="00D5730E"/>
    <w:rsid w:val="00D60834"/>
    <w:rsid w:val="00D61ECB"/>
    <w:rsid w:val="00D62823"/>
    <w:rsid w:val="00D6370F"/>
    <w:rsid w:val="00D63DBE"/>
    <w:rsid w:val="00D652D1"/>
    <w:rsid w:val="00D66791"/>
    <w:rsid w:val="00D66931"/>
    <w:rsid w:val="00D66B22"/>
    <w:rsid w:val="00D66BF4"/>
    <w:rsid w:val="00D6726E"/>
    <w:rsid w:val="00D701E0"/>
    <w:rsid w:val="00D70B35"/>
    <w:rsid w:val="00D71E02"/>
    <w:rsid w:val="00D72549"/>
    <w:rsid w:val="00D72CCB"/>
    <w:rsid w:val="00D72EFD"/>
    <w:rsid w:val="00D73BD5"/>
    <w:rsid w:val="00D7480B"/>
    <w:rsid w:val="00D7481E"/>
    <w:rsid w:val="00D74D71"/>
    <w:rsid w:val="00D75430"/>
    <w:rsid w:val="00D754CF"/>
    <w:rsid w:val="00D80658"/>
    <w:rsid w:val="00D80944"/>
    <w:rsid w:val="00D81A01"/>
    <w:rsid w:val="00D822E8"/>
    <w:rsid w:val="00D84653"/>
    <w:rsid w:val="00D84B2B"/>
    <w:rsid w:val="00D85B57"/>
    <w:rsid w:val="00D86C4B"/>
    <w:rsid w:val="00D86D0E"/>
    <w:rsid w:val="00D87191"/>
    <w:rsid w:val="00D915F1"/>
    <w:rsid w:val="00D91E8A"/>
    <w:rsid w:val="00D9303A"/>
    <w:rsid w:val="00D93301"/>
    <w:rsid w:val="00D9399A"/>
    <w:rsid w:val="00D93D27"/>
    <w:rsid w:val="00D9408D"/>
    <w:rsid w:val="00D94623"/>
    <w:rsid w:val="00D94969"/>
    <w:rsid w:val="00D953D8"/>
    <w:rsid w:val="00D96753"/>
    <w:rsid w:val="00D96C82"/>
    <w:rsid w:val="00D9783D"/>
    <w:rsid w:val="00D97E67"/>
    <w:rsid w:val="00D97F45"/>
    <w:rsid w:val="00DA1E73"/>
    <w:rsid w:val="00DA1E85"/>
    <w:rsid w:val="00DA2529"/>
    <w:rsid w:val="00DA26D2"/>
    <w:rsid w:val="00DA2F85"/>
    <w:rsid w:val="00DA3FF3"/>
    <w:rsid w:val="00DA454E"/>
    <w:rsid w:val="00DA6FC3"/>
    <w:rsid w:val="00DA7CD3"/>
    <w:rsid w:val="00DB0054"/>
    <w:rsid w:val="00DB23DF"/>
    <w:rsid w:val="00DB27F7"/>
    <w:rsid w:val="00DB3C5E"/>
    <w:rsid w:val="00DB3E7D"/>
    <w:rsid w:val="00DB427A"/>
    <w:rsid w:val="00DB4A4E"/>
    <w:rsid w:val="00DB4B28"/>
    <w:rsid w:val="00DB69FC"/>
    <w:rsid w:val="00DB6A0B"/>
    <w:rsid w:val="00DB6A6A"/>
    <w:rsid w:val="00DB768D"/>
    <w:rsid w:val="00DC038E"/>
    <w:rsid w:val="00DC08FE"/>
    <w:rsid w:val="00DC1328"/>
    <w:rsid w:val="00DC21F1"/>
    <w:rsid w:val="00DC25BA"/>
    <w:rsid w:val="00DC269E"/>
    <w:rsid w:val="00DC2723"/>
    <w:rsid w:val="00DC2C22"/>
    <w:rsid w:val="00DC2E6E"/>
    <w:rsid w:val="00DC463C"/>
    <w:rsid w:val="00DC4C56"/>
    <w:rsid w:val="00DC52BC"/>
    <w:rsid w:val="00DC54F8"/>
    <w:rsid w:val="00DC5E11"/>
    <w:rsid w:val="00DC60A6"/>
    <w:rsid w:val="00DC7216"/>
    <w:rsid w:val="00DD0F31"/>
    <w:rsid w:val="00DD14E0"/>
    <w:rsid w:val="00DD292C"/>
    <w:rsid w:val="00DD34D5"/>
    <w:rsid w:val="00DD43AE"/>
    <w:rsid w:val="00DD668B"/>
    <w:rsid w:val="00DD735F"/>
    <w:rsid w:val="00DE08FA"/>
    <w:rsid w:val="00DE0E00"/>
    <w:rsid w:val="00DE1AC6"/>
    <w:rsid w:val="00DE1D85"/>
    <w:rsid w:val="00DE2FFF"/>
    <w:rsid w:val="00DE31E0"/>
    <w:rsid w:val="00DE3FC8"/>
    <w:rsid w:val="00DE4335"/>
    <w:rsid w:val="00DF0165"/>
    <w:rsid w:val="00DF1F7F"/>
    <w:rsid w:val="00DF2446"/>
    <w:rsid w:val="00DF2848"/>
    <w:rsid w:val="00DF2884"/>
    <w:rsid w:val="00DF2BC3"/>
    <w:rsid w:val="00DF2C58"/>
    <w:rsid w:val="00DF2D8A"/>
    <w:rsid w:val="00DF36D3"/>
    <w:rsid w:val="00DF45F2"/>
    <w:rsid w:val="00DF4973"/>
    <w:rsid w:val="00DF4A22"/>
    <w:rsid w:val="00DF4B45"/>
    <w:rsid w:val="00DF4C08"/>
    <w:rsid w:val="00DF4C73"/>
    <w:rsid w:val="00DF567E"/>
    <w:rsid w:val="00DF5776"/>
    <w:rsid w:val="00DF5BE2"/>
    <w:rsid w:val="00DF5FD9"/>
    <w:rsid w:val="00DF6021"/>
    <w:rsid w:val="00DF665A"/>
    <w:rsid w:val="00DF6C32"/>
    <w:rsid w:val="00DF7210"/>
    <w:rsid w:val="00DF72E2"/>
    <w:rsid w:val="00DF7CD0"/>
    <w:rsid w:val="00E014FA"/>
    <w:rsid w:val="00E03142"/>
    <w:rsid w:val="00E034A2"/>
    <w:rsid w:val="00E039E0"/>
    <w:rsid w:val="00E04BE0"/>
    <w:rsid w:val="00E055DA"/>
    <w:rsid w:val="00E107A8"/>
    <w:rsid w:val="00E10E41"/>
    <w:rsid w:val="00E126BE"/>
    <w:rsid w:val="00E1293E"/>
    <w:rsid w:val="00E13350"/>
    <w:rsid w:val="00E134DB"/>
    <w:rsid w:val="00E13F24"/>
    <w:rsid w:val="00E14F75"/>
    <w:rsid w:val="00E1525A"/>
    <w:rsid w:val="00E1526E"/>
    <w:rsid w:val="00E15F36"/>
    <w:rsid w:val="00E164C1"/>
    <w:rsid w:val="00E17616"/>
    <w:rsid w:val="00E1775E"/>
    <w:rsid w:val="00E17D3F"/>
    <w:rsid w:val="00E20AAD"/>
    <w:rsid w:val="00E20BBE"/>
    <w:rsid w:val="00E21400"/>
    <w:rsid w:val="00E21B23"/>
    <w:rsid w:val="00E220A7"/>
    <w:rsid w:val="00E224B9"/>
    <w:rsid w:val="00E22608"/>
    <w:rsid w:val="00E23C92"/>
    <w:rsid w:val="00E244A5"/>
    <w:rsid w:val="00E244F4"/>
    <w:rsid w:val="00E2454B"/>
    <w:rsid w:val="00E24CD1"/>
    <w:rsid w:val="00E277C0"/>
    <w:rsid w:val="00E27C7C"/>
    <w:rsid w:val="00E27F73"/>
    <w:rsid w:val="00E3028B"/>
    <w:rsid w:val="00E303BA"/>
    <w:rsid w:val="00E3066A"/>
    <w:rsid w:val="00E30693"/>
    <w:rsid w:val="00E307BC"/>
    <w:rsid w:val="00E309FC"/>
    <w:rsid w:val="00E3178F"/>
    <w:rsid w:val="00E32195"/>
    <w:rsid w:val="00E3384F"/>
    <w:rsid w:val="00E34194"/>
    <w:rsid w:val="00E34D85"/>
    <w:rsid w:val="00E35585"/>
    <w:rsid w:val="00E356BD"/>
    <w:rsid w:val="00E357E5"/>
    <w:rsid w:val="00E35913"/>
    <w:rsid w:val="00E368C1"/>
    <w:rsid w:val="00E36AC8"/>
    <w:rsid w:val="00E37CC5"/>
    <w:rsid w:val="00E40D8E"/>
    <w:rsid w:val="00E41032"/>
    <w:rsid w:val="00E41D76"/>
    <w:rsid w:val="00E421E9"/>
    <w:rsid w:val="00E423F1"/>
    <w:rsid w:val="00E4281B"/>
    <w:rsid w:val="00E42E53"/>
    <w:rsid w:val="00E42EF2"/>
    <w:rsid w:val="00E43FCF"/>
    <w:rsid w:val="00E44710"/>
    <w:rsid w:val="00E453C2"/>
    <w:rsid w:val="00E45725"/>
    <w:rsid w:val="00E47402"/>
    <w:rsid w:val="00E507C6"/>
    <w:rsid w:val="00E50A57"/>
    <w:rsid w:val="00E51542"/>
    <w:rsid w:val="00E51A8F"/>
    <w:rsid w:val="00E52C89"/>
    <w:rsid w:val="00E537DE"/>
    <w:rsid w:val="00E53D2D"/>
    <w:rsid w:val="00E53D69"/>
    <w:rsid w:val="00E53D8B"/>
    <w:rsid w:val="00E555C6"/>
    <w:rsid w:val="00E55C11"/>
    <w:rsid w:val="00E56044"/>
    <w:rsid w:val="00E568D8"/>
    <w:rsid w:val="00E569AF"/>
    <w:rsid w:val="00E60703"/>
    <w:rsid w:val="00E60B15"/>
    <w:rsid w:val="00E60C00"/>
    <w:rsid w:val="00E627AB"/>
    <w:rsid w:val="00E62B99"/>
    <w:rsid w:val="00E63477"/>
    <w:rsid w:val="00E64301"/>
    <w:rsid w:val="00E64919"/>
    <w:rsid w:val="00E64E5E"/>
    <w:rsid w:val="00E64F05"/>
    <w:rsid w:val="00E651DC"/>
    <w:rsid w:val="00E6568F"/>
    <w:rsid w:val="00E661BC"/>
    <w:rsid w:val="00E666E3"/>
    <w:rsid w:val="00E66E10"/>
    <w:rsid w:val="00E704E9"/>
    <w:rsid w:val="00E7069C"/>
    <w:rsid w:val="00E70717"/>
    <w:rsid w:val="00E7076F"/>
    <w:rsid w:val="00E70BD3"/>
    <w:rsid w:val="00E70D00"/>
    <w:rsid w:val="00E71296"/>
    <w:rsid w:val="00E712C7"/>
    <w:rsid w:val="00E722D0"/>
    <w:rsid w:val="00E72A09"/>
    <w:rsid w:val="00E731D6"/>
    <w:rsid w:val="00E737F1"/>
    <w:rsid w:val="00E73E44"/>
    <w:rsid w:val="00E74F0B"/>
    <w:rsid w:val="00E75411"/>
    <w:rsid w:val="00E755CE"/>
    <w:rsid w:val="00E7602F"/>
    <w:rsid w:val="00E760BC"/>
    <w:rsid w:val="00E76383"/>
    <w:rsid w:val="00E76D9E"/>
    <w:rsid w:val="00E77BBB"/>
    <w:rsid w:val="00E80F60"/>
    <w:rsid w:val="00E81679"/>
    <w:rsid w:val="00E81A74"/>
    <w:rsid w:val="00E832B1"/>
    <w:rsid w:val="00E8344D"/>
    <w:rsid w:val="00E84881"/>
    <w:rsid w:val="00E85653"/>
    <w:rsid w:val="00E85747"/>
    <w:rsid w:val="00E85BDD"/>
    <w:rsid w:val="00E85E35"/>
    <w:rsid w:val="00E86ED7"/>
    <w:rsid w:val="00E8745C"/>
    <w:rsid w:val="00E90097"/>
    <w:rsid w:val="00E9113D"/>
    <w:rsid w:val="00E92098"/>
    <w:rsid w:val="00E92BE4"/>
    <w:rsid w:val="00E93419"/>
    <w:rsid w:val="00E93CA9"/>
    <w:rsid w:val="00E940A9"/>
    <w:rsid w:val="00E94B39"/>
    <w:rsid w:val="00E953A2"/>
    <w:rsid w:val="00E96551"/>
    <w:rsid w:val="00E97629"/>
    <w:rsid w:val="00E97663"/>
    <w:rsid w:val="00EA0201"/>
    <w:rsid w:val="00EA0358"/>
    <w:rsid w:val="00EA0C24"/>
    <w:rsid w:val="00EA1436"/>
    <w:rsid w:val="00EA1A8B"/>
    <w:rsid w:val="00EA1B8D"/>
    <w:rsid w:val="00EA429E"/>
    <w:rsid w:val="00EA532A"/>
    <w:rsid w:val="00EA5968"/>
    <w:rsid w:val="00EA5AA6"/>
    <w:rsid w:val="00EA6625"/>
    <w:rsid w:val="00EA66DA"/>
    <w:rsid w:val="00EA73BF"/>
    <w:rsid w:val="00EB034E"/>
    <w:rsid w:val="00EB0864"/>
    <w:rsid w:val="00EB0909"/>
    <w:rsid w:val="00EB09CA"/>
    <w:rsid w:val="00EB0E89"/>
    <w:rsid w:val="00EB213D"/>
    <w:rsid w:val="00EB2346"/>
    <w:rsid w:val="00EB23BD"/>
    <w:rsid w:val="00EB2EA6"/>
    <w:rsid w:val="00EB33BD"/>
    <w:rsid w:val="00EB40C6"/>
    <w:rsid w:val="00EB46A8"/>
    <w:rsid w:val="00EB4C76"/>
    <w:rsid w:val="00EB591C"/>
    <w:rsid w:val="00EB6B6E"/>
    <w:rsid w:val="00EB6D4A"/>
    <w:rsid w:val="00EB7015"/>
    <w:rsid w:val="00EB7405"/>
    <w:rsid w:val="00EB7528"/>
    <w:rsid w:val="00EB7FD1"/>
    <w:rsid w:val="00EC14A5"/>
    <w:rsid w:val="00EC15DE"/>
    <w:rsid w:val="00EC1BC8"/>
    <w:rsid w:val="00EC204F"/>
    <w:rsid w:val="00EC21E2"/>
    <w:rsid w:val="00EC30E4"/>
    <w:rsid w:val="00EC341B"/>
    <w:rsid w:val="00EC3BDD"/>
    <w:rsid w:val="00EC3CB9"/>
    <w:rsid w:val="00EC3DB7"/>
    <w:rsid w:val="00EC453A"/>
    <w:rsid w:val="00EC5189"/>
    <w:rsid w:val="00EC52F4"/>
    <w:rsid w:val="00EC5F33"/>
    <w:rsid w:val="00EC7C78"/>
    <w:rsid w:val="00ED1AF7"/>
    <w:rsid w:val="00ED1D32"/>
    <w:rsid w:val="00ED2877"/>
    <w:rsid w:val="00ED318C"/>
    <w:rsid w:val="00ED6213"/>
    <w:rsid w:val="00ED6D8F"/>
    <w:rsid w:val="00ED7F15"/>
    <w:rsid w:val="00EE0560"/>
    <w:rsid w:val="00EE0985"/>
    <w:rsid w:val="00EE0D04"/>
    <w:rsid w:val="00EE1335"/>
    <w:rsid w:val="00EE373F"/>
    <w:rsid w:val="00EE37ED"/>
    <w:rsid w:val="00EE47E1"/>
    <w:rsid w:val="00EE4E93"/>
    <w:rsid w:val="00EE6645"/>
    <w:rsid w:val="00EE6775"/>
    <w:rsid w:val="00EE7359"/>
    <w:rsid w:val="00EE7608"/>
    <w:rsid w:val="00EE7E2B"/>
    <w:rsid w:val="00EF01BE"/>
    <w:rsid w:val="00EF0369"/>
    <w:rsid w:val="00EF06B2"/>
    <w:rsid w:val="00EF2B37"/>
    <w:rsid w:val="00EF2D1E"/>
    <w:rsid w:val="00EF4EC9"/>
    <w:rsid w:val="00EF56C6"/>
    <w:rsid w:val="00EF5775"/>
    <w:rsid w:val="00EF634C"/>
    <w:rsid w:val="00EF67D8"/>
    <w:rsid w:val="00EF754B"/>
    <w:rsid w:val="00EF785C"/>
    <w:rsid w:val="00F017F6"/>
    <w:rsid w:val="00F01C9A"/>
    <w:rsid w:val="00F0226E"/>
    <w:rsid w:val="00F030C7"/>
    <w:rsid w:val="00F031D7"/>
    <w:rsid w:val="00F04712"/>
    <w:rsid w:val="00F04735"/>
    <w:rsid w:val="00F04A74"/>
    <w:rsid w:val="00F04CDC"/>
    <w:rsid w:val="00F05860"/>
    <w:rsid w:val="00F068A9"/>
    <w:rsid w:val="00F0789F"/>
    <w:rsid w:val="00F1106D"/>
    <w:rsid w:val="00F11156"/>
    <w:rsid w:val="00F11177"/>
    <w:rsid w:val="00F115B9"/>
    <w:rsid w:val="00F12208"/>
    <w:rsid w:val="00F12A20"/>
    <w:rsid w:val="00F12B25"/>
    <w:rsid w:val="00F12D53"/>
    <w:rsid w:val="00F13408"/>
    <w:rsid w:val="00F1363F"/>
    <w:rsid w:val="00F154F4"/>
    <w:rsid w:val="00F15509"/>
    <w:rsid w:val="00F15F0E"/>
    <w:rsid w:val="00F1606B"/>
    <w:rsid w:val="00F16C61"/>
    <w:rsid w:val="00F1700E"/>
    <w:rsid w:val="00F17A8C"/>
    <w:rsid w:val="00F20C09"/>
    <w:rsid w:val="00F224A4"/>
    <w:rsid w:val="00F22686"/>
    <w:rsid w:val="00F2273A"/>
    <w:rsid w:val="00F22D52"/>
    <w:rsid w:val="00F22EDE"/>
    <w:rsid w:val="00F233FB"/>
    <w:rsid w:val="00F23D1C"/>
    <w:rsid w:val="00F242F8"/>
    <w:rsid w:val="00F24D44"/>
    <w:rsid w:val="00F251D7"/>
    <w:rsid w:val="00F25803"/>
    <w:rsid w:val="00F25A2A"/>
    <w:rsid w:val="00F25FE5"/>
    <w:rsid w:val="00F26287"/>
    <w:rsid w:val="00F30A76"/>
    <w:rsid w:val="00F31478"/>
    <w:rsid w:val="00F31831"/>
    <w:rsid w:val="00F3299F"/>
    <w:rsid w:val="00F32C56"/>
    <w:rsid w:val="00F35F3B"/>
    <w:rsid w:val="00F37611"/>
    <w:rsid w:val="00F37A61"/>
    <w:rsid w:val="00F40387"/>
    <w:rsid w:val="00F404DC"/>
    <w:rsid w:val="00F40E5A"/>
    <w:rsid w:val="00F416DC"/>
    <w:rsid w:val="00F42158"/>
    <w:rsid w:val="00F43291"/>
    <w:rsid w:val="00F443CB"/>
    <w:rsid w:val="00F458EA"/>
    <w:rsid w:val="00F46B35"/>
    <w:rsid w:val="00F47164"/>
    <w:rsid w:val="00F512DB"/>
    <w:rsid w:val="00F51BBE"/>
    <w:rsid w:val="00F528E6"/>
    <w:rsid w:val="00F52DC6"/>
    <w:rsid w:val="00F52E36"/>
    <w:rsid w:val="00F53216"/>
    <w:rsid w:val="00F53353"/>
    <w:rsid w:val="00F54D1C"/>
    <w:rsid w:val="00F556C9"/>
    <w:rsid w:val="00F5658F"/>
    <w:rsid w:val="00F60712"/>
    <w:rsid w:val="00F62184"/>
    <w:rsid w:val="00F62A4F"/>
    <w:rsid w:val="00F62A76"/>
    <w:rsid w:val="00F62F05"/>
    <w:rsid w:val="00F63067"/>
    <w:rsid w:val="00F63ECD"/>
    <w:rsid w:val="00F644D4"/>
    <w:rsid w:val="00F65B7F"/>
    <w:rsid w:val="00F65B88"/>
    <w:rsid w:val="00F65FFF"/>
    <w:rsid w:val="00F66E2C"/>
    <w:rsid w:val="00F67DAF"/>
    <w:rsid w:val="00F71CD6"/>
    <w:rsid w:val="00F72614"/>
    <w:rsid w:val="00F74463"/>
    <w:rsid w:val="00F74CF8"/>
    <w:rsid w:val="00F75112"/>
    <w:rsid w:val="00F754C9"/>
    <w:rsid w:val="00F77DBD"/>
    <w:rsid w:val="00F77E12"/>
    <w:rsid w:val="00F80707"/>
    <w:rsid w:val="00F80C80"/>
    <w:rsid w:val="00F80FCC"/>
    <w:rsid w:val="00F8135F"/>
    <w:rsid w:val="00F8162B"/>
    <w:rsid w:val="00F818EA"/>
    <w:rsid w:val="00F82380"/>
    <w:rsid w:val="00F8352A"/>
    <w:rsid w:val="00F85740"/>
    <w:rsid w:val="00F90529"/>
    <w:rsid w:val="00F90ED0"/>
    <w:rsid w:val="00F92F9B"/>
    <w:rsid w:val="00F92FA7"/>
    <w:rsid w:val="00F93726"/>
    <w:rsid w:val="00F94493"/>
    <w:rsid w:val="00F946F6"/>
    <w:rsid w:val="00F94785"/>
    <w:rsid w:val="00F95DEE"/>
    <w:rsid w:val="00F962FE"/>
    <w:rsid w:val="00F97295"/>
    <w:rsid w:val="00F972B3"/>
    <w:rsid w:val="00F973D8"/>
    <w:rsid w:val="00FA0FBF"/>
    <w:rsid w:val="00FA1C20"/>
    <w:rsid w:val="00FA293B"/>
    <w:rsid w:val="00FA2B36"/>
    <w:rsid w:val="00FA2CC5"/>
    <w:rsid w:val="00FA3701"/>
    <w:rsid w:val="00FA3DC1"/>
    <w:rsid w:val="00FA3EA5"/>
    <w:rsid w:val="00FA3F56"/>
    <w:rsid w:val="00FA45E5"/>
    <w:rsid w:val="00FA49E2"/>
    <w:rsid w:val="00FA4C98"/>
    <w:rsid w:val="00FA51CC"/>
    <w:rsid w:val="00FA5AFD"/>
    <w:rsid w:val="00FA5DA9"/>
    <w:rsid w:val="00FB055B"/>
    <w:rsid w:val="00FB092F"/>
    <w:rsid w:val="00FB1773"/>
    <w:rsid w:val="00FB1F12"/>
    <w:rsid w:val="00FB32A8"/>
    <w:rsid w:val="00FB4102"/>
    <w:rsid w:val="00FB44C0"/>
    <w:rsid w:val="00FB53F8"/>
    <w:rsid w:val="00FB5421"/>
    <w:rsid w:val="00FB7906"/>
    <w:rsid w:val="00FB7AE3"/>
    <w:rsid w:val="00FB7E34"/>
    <w:rsid w:val="00FC0FB6"/>
    <w:rsid w:val="00FC1863"/>
    <w:rsid w:val="00FC1F86"/>
    <w:rsid w:val="00FC3C55"/>
    <w:rsid w:val="00FC3EBE"/>
    <w:rsid w:val="00FC57D9"/>
    <w:rsid w:val="00FC5B8B"/>
    <w:rsid w:val="00FC5EC6"/>
    <w:rsid w:val="00FC70CF"/>
    <w:rsid w:val="00FC7827"/>
    <w:rsid w:val="00FD0A06"/>
    <w:rsid w:val="00FD0F73"/>
    <w:rsid w:val="00FD121A"/>
    <w:rsid w:val="00FD1F87"/>
    <w:rsid w:val="00FD28F1"/>
    <w:rsid w:val="00FD2FAD"/>
    <w:rsid w:val="00FD3EB0"/>
    <w:rsid w:val="00FD4B49"/>
    <w:rsid w:val="00FD4CFB"/>
    <w:rsid w:val="00FD4E19"/>
    <w:rsid w:val="00FD5728"/>
    <w:rsid w:val="00FD6F28"/>
    <w:rsid w:val="00FD7352"/>
    <w:rsid w:val="00FD76EF"/>
    <w:rsid w:val="00FD7D3C"/>
    <w:rsid w:val="00FE0234"/>
    <w:rsid w:val="00FE2909"/>
    <w:rsid w:val="00FE2EF9"/>
    <w:rsid w:val="00FE31E1"/>
    <w:rsid w:val="00FE3307"/>
    <w:rsid w:val="00FE36B9"/>
    <w:rsid w:val="00FE3928"/>
    <w:rsid w:val="00FE3B04"/>
    <w:rsid w:val="00FE4481"/>
    <w:rsid w:val="00FE4912"/>
    <w:rsid w:val="00FE4A4F"/>
    <w:rsid w:val="00FE63C1"/>
    <w:rsid w:val="00FE6E5B"/>
    <w:rsid w:val="00FE6EEC"/>
    <w:rsid w:val="00FE7805"/>
    <w:rsid w:val="00FE7E53"/>
    <w:rsid w:val="00FF10CF"/>
    <w:rsid w:val="00FF20D1"/>
    <w:rsid w:val="00FF211D"/>
    <w:rsid w:val="00FF4714"/>
    <w:rsid w:val="00FF55F4"/>
    <w:rsid w:val="00FF59C3"/>
    <w:rsid w:val="00FF5B1E"/>
    <w:rsid w:val="00FF6F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B7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2E8"/>
  </w:style>
  <w:style w:type="paragraph" w:styleId="Footer">
    <w:name w:val="footer"/>
    <w:basedOn w:val="Normal"/>
    <w:link w:val="FooterChar"/>
    <w:uiPriority w:val="99"/>
    <w:unhideWhenUsed/>
    <w:rsid w:val="00832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E8"/>
  </w:style>
  <w:style w:type="character" w:customStyle="1" w:styleId="current-selection">
    <w:name w:val="current-selection"/>
    <w:basedOn w:val="DefaultParagraphFont"/>
    <w:rsid w:val="00891226"/>
  </w:style>
  <w:style w:type="character" w:customStyle="1" w:styleId="a">
    <w:name w:val="_"/>
    <w:basedOn w:val="DefaultParagraphFont"/>
    <w:rsid w:val="00891226"/>
  </w:style>
  <w:style w:type="character" w:customStyle="1" w:styleId="enhanced-reference">
    <w:name w:val="enhanced-reference"/>
    <w:basedOn w:val="DefaultParagraphFont"/>
    <w:rsid w:val="00891226"/>
  </w:style>
  <w:style w:type="character" w:customStyle="1" w:styleId="ffa">
    <w:name w:val="ffa"/>
    <w:basedOn w:val="DefaultParagraphFont"/>
    <w:rsid w:val="00891226"/>
  </w:style>
  <w:style w:type="table" w:customStyle="1" w:styleId="TableGrid1">
    <w:name w:val="Table Grid1"/>
    <w:basedOn w:val="TableNormal"/>
    <w:next w:val="TableGrid"/>
    <w:uiPriority w:val="39"/>
    <w:rsid w:val="0055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5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67E7"/>
    <w:rPr>
      <w:sz w:val="16"/>
      <w:szCs w:val="16"/>
    </w:rPr>
  </w:style>
  <w:style w:type="paragraph" w:styleId="CommentText">
    <w:name w:val="annotation text"/>
    <w:basedOn w:val="Normal"/>
    <w:link w:val="CommentTextChar"/>
    <w:uiPriority w:val="99"/>
    <w:semiHidden/>
    <w:unhideWhenUsed/>
    <w:rsid w:val="008467E7"/>
    <w:pPr>
      <w:spacing w:line="240" w:lineRule="auto"/>
    </w:pPr>
    <w:rPr>
      <w:sz w:val="20"/>
      <w:szCs w:val="20"/>
    </w:rPr>
  </w:style>
  <w:style w:type="character" w:customStyle="1" w:styleId="CommentTextChar">
    <w:name w:val="Comment Text Char"/>
    <w:basedOn w:val="DefaultParagraphFont"/>
    <w:link w:val="CommentText"/>
    <w:uiPriority w:val="99"/>
    <w:semiHidden/>
    <w:rsid w:val="008467E7"/>
    <w:rPr>
      <w:sz w:val="20"/>
      <w:szCs w:val="20"/>
    </w:rPr>
  </w:style>
  <w:style w:type="paragraph" w:styleId="CommentSubject">
    <w:name w:val="annotation subject"/>
    <w:basedOn w:val="CommentText"/>
    <w:next w:val="CommentText"/>
    <w:link w:val="CommentSubjectChar"/>
    <w:uiPriority w:val="99"/>
    <w:semiHidden/>
    <w:unhideWhenUsed/>
    <w:rsid w:val="008467E7"/>
    <w:rPr>
      <w:b/>
      <w:bCs/>
    </w:rPr>
  </w:style>
  <w:style w:type="character" w:customStyle="1" w:styleId="CommentSubjectChar">
    <w:name w:val="Comment Subject Char"/>
    <w:basedOn w:val="CommentTextChar"/>
    <w:link w:val="CommentSubject"/>
    <w:uiPriority w:val="99"/>
    <w:semiHidden/>
    <w:rsid w:val="008467E7"/>
    <w:rPr>
      <w:b/>
      <w:bCs/>
      <w:sz w:val="20"/>
      <w:szCs w:val="20"/>
    </w:rPr>
  </w:style>
  <w:style w:type="paragraph" w:styleId="BalloonText">
    <w:name w:val="Balloon Text"/>
    <w:basedOn w:val="Normal"/>
    <w:link w:val="BalloonTextChar"/>
    <w:uiPriority w:val="99"/>
    <w:semiHidden/>
    <w:unhideWhenUsed/>
    <w:rsid w:val="0084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E7"/>
    <w:rPr>
      <w:rFonts w:ascii="Segoe UI" w:hAnsi="Segoe UI" w:cs="Segoe UI"/>
      <w:sz w:val="18"/>
      <w:szCs w:val="18"/>
    </w:rPr>
  </w:style>
  <w:style w:type="paragraph" w:styleId="ListParagraph">
    <w:name w:val="List Paragraph"/>
    <w:basedOn w:val="Normal"/>
    <w:uiPriority w:val="34"/>
    <w:qFormat/>
    <w:rsid w:val="00EF634C"/>
    <w:pPr>
      <w:ind w:left="720"/>
      <w:contextualSpacing/>
    </w:pPr>
  </w:style>
  <w:style w:type="character" w:styleId="Hyperlink">
    <w:name w:val="Hyperlink"/>
    <w:basedOn w:val="DefaultParagraphFont"/>
    <w:uiPriority w:val="99"/>
    <w:unhideWhenUsed/>
    <w:rsid w:val="00480A91"/>
    <w:rPr>
      <w:color w:val="0563C1" w:themeColor="hyperlink"/>
      <w:u w:val="single"/>
    </w:rPr>
  </w:style>
  <w:style w:type="table" w:customStyle="1" w:styleId="TableGrid11">
    <w:name w:val="Table Grid11"/>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A02C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pub-date">
    <w:name w:val="cit-pub-date"/>
    <w:basedOn w:val="DefaultParagraphFont"/>
    <w:rsid w:val="002B11DF"/>
  </w:style>
  <w:style w:type="character" w:customStyle="1" w:styleId="apple-converted-space">
    <w:name w:val="apple-converted-space"/>
    <w:basedOn w:val="DefaultParagraphFont"/>
    <w:rsid w:val="002B11DF"/>
  </w:style>
  <w:style w:type="character" w:customStyle="1" w:styleId="cit-source">
    <w:name w:val="cit-source"/>
    <w:basedOn w:val="DefaultParagraphFont"/>
    <w:rsid w:val="002B11DF"/>
  </w:style>
  <w:style w:type="character" w:customStyle="1" w:styleId="cit-vol">
    <w:name w:val="cit-vol"/>
    <w:basedOn w:val="DefaultParagraphFont"/>
    <w:rsid w:val="002B11DF"/>
  </w:style>
  <w:style w:type="character" w:customStyle="1" w:styleId="cit-fpage">
    <w:name w:val="cit-fpage"/>
    <w:basedOn w:val="DefaultParagraphFont"/>
    <w:rsid w:val="002B11DF"/>
  </w:style>
  <w:style w:type="character" w:customStyle="1" w:styleId="ref-journal">
    <w:name w:val="ref-journal"/>
    <w:basedOn w:val="DefaultParagraphFont"/>
    <w:rsid w:val="008F1311"/>
  </w:style>
  <w:style w:type="character" w:customStyle="1" w:styleId="ref-vol">
    <w:name w:val="ref-vol"/>
    <w:basedOn w:val="DefaultParagraphFont"/>
    <w:rsid w:val="008F1311"/>
  </w:style>
  <w:style w:type="paragraph" w:styleId="NormalWeb">
    <w:name w:val="Normal (Web)"/>
    <w:basedOn w:val="Normal"/>
    <w:uiPriority w:val="99"/>
    <w:unhideWhenUsed/>
    <w:rsid w:val="007C3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0A0277"/>
  </w:style>
  <w:style w:type="character" w:styleId="Emphasis">
    <w:name w:val="Emphasis"/>
    <w:basedOn w:val="DefaultParagraphFont"/>
    <w:uiPriority w:val="20"/>
    <w:qFormat/>
    <w:rsid w:val="006A4F43"/>
    <w:rPr>
      <w:i/>
      <w:iCs/>
    </w:rPr>
  </w:style>
  <w:style w:type="character" w:customStyle="1" w:styleId="ref-title">
    <w:name w:val="ref-title"/>
    <w:basedOn w:val="DefaultParagraphFont"/>
    <w:rsid w:val="009961C5"/>
  </w:style>
  <w:style w:type="character" w:customStyle="1" w:styleId="nlmstring-name">
    <w:name w:val="nlm_string-name"/>
    <w:basedOn w:val="DefaultParagraphFont"/>
    <w:rsid w:val="00A476D4"/>
  </w:style>
  <w:style w:type="character" w:customStyle="1" w:styleId="nlmyear">
    <w:name w:val="nlm_year"/>
    <w:basedOn w:val="DefaultParagraphFont"/>
    <w:rsid w:val="00A476D4"/>
  </w:style>
  <w:style w:type="character" w:customStyle="1" w:styleId="nlmpublisher-name">
    <w:name w:val="nlm_publisher-name"/>
    <w:basedOn w:val="DefaultParagraphFont"/>
    <w:rsid w:val="00A476D4"/>
  </w:style>
  <w:style w:type="character" w:customStyle="1" w:styleId="nlmpublisher-loc">
    <w:name w:val="nlm_publisher-loc"/>
    <w:basedOn w:val="DefaultParagraphFont"/>
    <w:rsid w:val="00A476D4"/>
  </w:style>
  <w:style w:type="character" w:customStyle="1" w:styleId="cit-name-surname">
    <w:name w:val="cit-name-surname"/>
    <w:basedOn w:val="DefaultParagraphFont"/>
    <w:rsid w:val="008D7CA1"/>
  </w:style>
  <w:style w:type="character" w:customStyle="1" w:styleId="cit-name-given-names">
    <w:name w:val="cit-name-given-names"/>
    <w:basedOn w:val="DefaultParagraphFont"/>
    <w:rsid w:val="008D7CA1"/>
  </w:style>
  <w:style w:type="character" w:styleId="HTMLCite">
    <w:name w:val="HTML Cite"/>
    <w:basedOn w:val="DefaultParagraphFont"/>
    <w:uiPriority w:val="99"/>
    <w:semiHidden/>
    <w:unhideWhenUsed/>
    <w:rsid w:val="008D7CA1"/>
    <w:rPr>
      <w:i/>
      <w:iCs/>
    </w:rPr>
  </w:style>
  <w:style w:type="character" w:customStyle="1" w:styleId="cit-article-title">
    <w:name w:val="cit-article-title"/>
    <w:basedOn w:val="DefaultParagraphFont"/>
    <w:rsid w:val="008D7CA1"/>
  </w:style>
  <w:style w:type="character" w:customStyle="1" w:styleId="cit-lpage">
    <w:name w:val="cit-lpage"/>
    <w:basedOn w:val="DefaultParagraphFont"/>
    <w:rsid w:val="008D7CA1"/>
  </w:style>
  <w:style w:type="character" w:customStyle="1" w:styleId="author">
    <w:name w:val="author"/>
    <w:basedOn w:val="DefaultParagraphFont"/>
    <w:rsid w:val="00601123"/>
  </w:style>
  <w:style w:type="character" w:customStyle="1" w:styleId="pubyear">
    <w:name w:val="pubyear"/>
    <w:basedOn w:val="DefaultParagraphFont"/>
    <w:rsid w:val="00601123"/>
  </w:style>
  <w:style w:type="character" w:customStyle="1" w:styleId="articletitle">
    <w:name w:val="articletitle"/>
    <w:basedOn w:val="DefaultParagraphFont"/>
    <w:rsid w:val="00601123"/>
  </w:style>
  <w:style w:type="character" w:customStyle="1" w:styleId="journaltitle">
    <w:name w:val="journaltitle"/>
    <w:basedOn w:val="DefaultParagraphFont"/>
    <w:rsid w:val="00601123"/>
  </w:style>
  <w:style w:type="character" w:customStyle="1" w:styleId="vol">
    <w:name w:val="vol"/>
    <w:basedOn w:val="DefaultParagraphFont"/>
    <w:rsid w:val="00601123"/>
  </w:style>
  <w:style w:type="character" w:customStyle="1" w:styleId="pagefirst">
    <w:name w:val="pagefirst"/>
    <w:basedOn w:val="DefaultParagraphFont"/>
    <w:rsid w:val="00601123"/>
  </w:style>
  <w:style w:type="character" w:customStyle="1" w:styleId="pagelast">
    <w:name w:val="pagelast"/>
    <w:basedOn w:val="DefaultParagraphFont"/>
    <w:rsid w:val="00601123"/>
  </w:style>
  <w:style w:type="character" w:customStyle="1" w:styleId="element-citation">
    <w:name w:val="element-citation"/>
    <w:basedOn w:val="DefaultParagraphFont"/>
    <w:rsid w:val="00406F52"/>
  </w:style>
  <w:style w:type="character" w:customStyle="1" w:styleId="article-headermeta-info-label">
    <w:name w:val="article-header__meta-info-label"/>
    <w:basedOn w:val="DefaultParagraphFont"/>
    <w:rsid w:val="00943171"/>
  </w:style>
  <w:style w:type="character" w:customStyle="1" w:styleId="article-headermeta-info-data">
    <w:name w:val="article-header__meta-info-data"/>
    <w:basedOn w:val="DefaultParagraphFont"/>
    <w:rsid w:val="00943171"/>
  </w:style>
  <w:style w:type="character" w:styleId="LineNumber">
    <w:name w:val="line number"/>
    <w:basedOn w:val="DefaultParagraphFont"/>
    <w:uiPriority w:val="99"/>
    <w:semiHidden/>
    <w:unhideWhenUsed/>
    <w:rsid w:val="00092EBB"/>
  </w:style>
  <w:style w:type="table" w:customStyle="1" w:styleId="TableGrid12">
    <w:name w:val="Table Grid12"/>
    <w:basedOn w:val="TableNormal"/>
    <w:uiPriority w:val="39"/>
    <w:rsid w:val="004412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39"/>
    <w:rsid w:val="004412A3"/>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39"/>
    <w:rsid w:val="004412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0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3BA"/>
    <w:rPr>
      <w:sz w:val="20"/>
      <w:szCs w:val="20"/>
    </w:rPr>
  </w:style>
  <w:style w:type="character" w:styleId="FootnoteReference">
    <w:name w:val="footnote reference"/>
    <w:basedOn w:val="DefaultParagraphFont"/>
    <w:uiPriority w:val="99"/>
    <w:semiHidden/>
    <w:unhideWhenUsed/>
    <w:rsid w:val="00E303BA"/>
    <w:rPr>
      <w:vertAlign w:val="superscript"/>
    </w:rPr>
  </w:style>
  <w:style w:type="table" w:customStyle="1" w:styleId="TableGrid611">
    <w:name w:val="Table Grid611"/>
    <w:basedOn w:val="TableNormal"/>
    <w:uiPriority w:val="39"/>
    <w:rsid w:val="005A047C"/>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39"/>
    <w:rsid w:val="005A04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39"/>
    <w:rsid w:val="005A04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22A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722A28"/>
    <w:pPr>
      <w:spacing w:after="200" w:line="240" w:lineRule="auto"/>
    </w:pPr>
    <w:rPr>
      <w:i/>
      <w:iCs/>
      <w:color w:val="44546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2E8"/>
  </w:style>
  <w:style w:type="paragraph" w:styleId="Footer">
    <w:name w:val="footer"/>
    <w:basedOn w:val="Normal"/>
    <w:link w:val="FooterChar"/>
    <w:uiPriority w:val="99"/>
    <w:unhideWhenUsed/>
    <w:rsid w:val="00832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E8"/>
  </w:style>
  <w:style w:type="character" w:customStyle="1" w:styleId="current-selection">
    <w:name w:val="current-selection"/>
    <w:basedOn w:val="DefaultParagraphFont"/>
    <w:rsid w:val="00891226"/>
  </w:style>
  <w:style w:type="character" w:customStyle="1" w:styleId="a">
    <w:name w:val="_"/>
    <w:basedOn w:val="DefaultParagraphFont"/>
    <w:rsid w:val="00891226"/>
  </w:style>
  <w:style w:type="character" w:customStyle="1" w:styleId="enhanced-reference">
    <w:name w:val="enhanced-reference"/>
    <w:basedOn w:val="DefaultParagraphFont"/>
    <w:rsid w:val="00891226"/>
  </w:style>
  <w:style w:type="character" w:customStyle="1" w:styleId="ffa">
    <w:name w:val="ffa"/>
    <w:basedOn w:val="DefaultParagraphFont"/>
    <w:rsid w:val="00891226"/>
  </w:style>
  <w:style w:type="table" w:customStyle="1" w:styleId="TableGrid1">
    <w:name w:val="Table Grid1"/>
    <w:basedOn w:val="TableNormal"/>
    <w:next w:val="TableGrid"/>
    <w:uiPriority w:val="39"/>
    <w:rsid w:val="0055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5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67E7"/>
    <w:rPr>
      <w:sz w:val="16"/>
      <w:szCs w:val="16"/>
    </w:rPr>
  </w:style>
  <w:style w:type="paragraph" w:styleId="CommentText">
    <w:name w:val="annotation text"/>
    <w:basedOn w:val="Normal"/>
    <w:link w:val="CommentTextChar"/>
    <w:uiPriority w:val="99"/>
    <w:semiHidden/>
    <w:unhideWhenUsed/>
    <w:rsid w:val="008467E7"/>
    <w:pPr>
      <w:spacing w:line="240" w:lineRule="auto"/>
    </w:pPr>
    <w:rPr>
      <w:sz w:val="20"/>
      <w:szCs w:val="20"/>
    </w:rPr>
  </w:style>
  <w:style w:type="character" w:customStyle="1" w:styleId="CommentTextChar">
    <w:name w:val="Comment Text Char"/>
    <w:basedOn w:val="DefaultParagraphFont"/>
    <w:link w:val="CommentText"/>
    <w:uiPriority w:val="99"/>
    <w:semiHidden/>
    <w:rsid w:val="008467E7"/>
    <w:rPr>
      <w:sz w:val="20"/>
      <w:szCs w:val="20"/>
    </w:rPr>
  </w:style>
  <w:style w:type="paragraph" w:styleId="CommentSubject">
    <w:name w:val="annotation subject"/>
    <w:basedOn w:val="CommentText"/>
    <w:next w:val="CommentText"/>
    <w:link w:val="CommentSubjectChar"/>
    <w:uiPriority w:val="99"/>
    <w:semiHidden/>
    <w:unhideWhenUsed/>
    <w:rsid w:val="008467E7"/>
    <w:rPr>
      <w:b/>
      <w:bCs/>
    </w:rPr>
  </w:style>
  <w:style w:type="character" w:customStyle="1" w:styleId="CommentSubjectChar">
    <w:name w:val="Comment Subject Char"/>
    <w:basedOn w:val="CommentTextChar"/>
    <w:link w:val="CommentSubject"/>
    <w:uiPriority w:val="99"/>
    <w:semiHidden/>
    <w:rsid w:val="008467E7"/>
    <w:rPr>
      <w:b/>
      <w:bCs/>
      <w:sz w:val="20"/>
      <w:szCs w:val="20"/>
    </w:rPr>
  </w:style>
  <w:style w:type="paragraph" w:styleId="BalloonText">
    <w:name w:val="Balloon Text"/>
    <w:basedOn w:val="Normal"/>
    <w:link w:val="BalloonTextChar"/>
    <w:uiPriority w:val="99"/>
    <w:semiHidden/>
    <w:unhideWhenUsed/>
    <w:rsid w:val="0084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E7"/>
    <w:rPr>
      <w:rFonts w:ascii="Segoe UI" w:hAnsi="Segoe UI" w:cs="Segoe UI"/>
      <w:sz w:val="18"/>
      <w:szCs w:val="18"/>
    </w:rPr>
  </w:style>
  <w:style w:type="paragraph" w:styleId="ListParagraph">
    <w:name w:val="List Paragraph"/>
    <w:basedOn w:val="Normal"/>
    <w:uiPriority w:val="34"/>
    <w:qFormat/>
    <w:rsid w:val="00EF634C"/>
    <w:pPr>
      <w:ind w:left="720"/>
      <w:contextualSpacing/>
    </w:pPr>
  </w:style>
  <w:style w:type="character" w:styleId="Hyperlink">
    <w:name w:val="Hyperlink"/>
    <w:basedOn w:val="DefaultParagraphFont"/>
    <w:uiPriority w:val="99"/>
    <w:unhideWhenUsed/>
    <w:rsid w:val="00480A91"/>
    <w:rPr>
      <w:color w:val="0563C1" w:themeColor="hyperlink"/>
      <w:u w:val="single"/>
    </w:rPr>
  </w:style>
  <w:style w:type="table" w:customStyle="1" w:styleId="TableGrid11">
    <w:name w:val="Table Grid11"/>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63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A02C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pub-date">
    <w:name w:val="cit-pub-date"/>
    <w:basedOn w:val="DefaultParagraphFont"/>
    <w:rsid w:val="002B11DF"/>
  </w:style>
  <w:style w:type="character" w:customStyle="1" w:styleId="apple-converted-space">
    <w:name w:val="apple-converted-space"/>
    <w:basedOn w:val="DefaultParagraphFont"/>
    <w:rsid w:val="002B11DF"/>
  </w:style>
  <w:style w:type="character" w:customStyle="1" w:styleId="cit-source">
    <w:name w:val="cit-source"/>
    <w:basedOn w:val="DefaultParagraphFont"/>
    <w:rsid w:val="002B11DF"/>
  </w:style>
  <w:style w:type="character" w:customStyle="1" w:styleId="cit-vol">
    <w:name w:val="cit-vol"/>
    <w:basedOn w:val="DefaultParagraphFont"/>
    <w:rsid w:val="002B11DF"/>
  </w:style>
  <w:style w:type="character" w:customStyle="1" w:styleId="cit-fpage">
    <w:name w:val="cit-fpage"/>
    <w:basedOn w:val="DefaultParagraphFont"/>
    <w:rsid w:val="002B11DF"/>
  </w:style>
  <w:style w:type="character" w:customStyle="1" w:styleId="ref-journal">
    <w:name w:val="ref-journal"/>
    <w:basedOn w:val="DefaultParagraphFont"/>
    <w:rsid w:val="008F1311"/>
  </w:style>
  <w:style w:type="character" w:customStyle="1" w:styleId="ref-vol">
    <w:name w:val="ref-vol"/>
    <w:basedOn w:val="DefaultParagraphFont"/>
    <w:rsid w:val="008F1311"/>
  </w:style>
  <w:style w:type="paragraph" w:styleId="NormalWeb">
    <w:name w:val="Normal (Web)"/>
    <w:basedOn w:val="Normal"/>
    <w:uiPriority w:val="99"/>
    <w:unhideWhenUsed/>
    <w:rsid w:val="007C3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0A0277"/>
  </w:style>
  <w:style w:type="character" w:styleId="Emphasis">
    <w:name w:val="Emphasis"/>
    <w:basedOn w:val="DefaultParagraphFont"/>
    <w:uiPriority w:val="20"/>
    <w:qFormat/>
    <w:rsid w:val="006A4F43"/>
    <w:rPr>
      <w:i/>
      <w:iCs/>
    </w:rPr>
  </w:style>
  <w:style w:type="character" w:customStyle="1" w:styleId="ref-title">
    <w:name w:val="ref-title"/>
    <w:basedOn w:val="DefaultParagraphFont"/>
    <w:rsid w:val="009961C5"/>
  </w:style>
  <w:style w:type="character" w:customStyle="1" w:styleId="nlmstring-name">
    <w:name w:val="nlm_string-name"/>
    <w:basedOn w:val="DefaultParagraphFont"/>
    <w:rsid w:val="00A476D4"/>
  </w:style>
  <w:style w:type="character" w:customStyle="1" w:styleId="nlmyear">
    <w:name w:val="nlm_year"/>
    <w:basedOn w:val="DefaultParagraphFont"/>
    <w:rsid w:val="00A476D4"/>
  </w:style>
  <w:style w:type="character" w:customStyle="1" w:styleId="nlmpublisher-name">
    <w:name w:val="nlm_publisher-name"/>
    <w:basedOn w:val="DefaultParagraphFont"/>
    <w:rsid w:val="00A476D4"/>
  </w:style>
  <w:style w:type="character" w:customStyle="1" w:styleId="nlmpublisher-loc">
    <w:name w:val="nlm_publisher-loc"/>
    <w:basedOn w:val="DefaultParagraphFont"/>
    <w:rsid w:val="00A476D4"/>
  </w:style>
  <w:style w:type="character" w:customStyle="1" w:styleId="cit-name-surname">
    <w:name w:val="cit-name-surname"/>
    <w:basedOn w:val="DefaultParagraphFont"/>
    <w:rsid w:val="008D7CA1"/>
  </w:style>
  <w:style w:type="character" w:customStyle="1" w:styleId="cit-name-given-names">
    <w:name w:val="cit-name-given-names"/>
    <w:basedOn w:val="DefaultParagraphFont"/>
    <w:rsid w:val="008D7CA1"/>
  </w:style>
  <w:style w:type="character" w:styleId="HTMLCite">
    <w:name w:val="HTML Cite"/>
    <w:basedOn w:val="DefaultParagraphFont"/>
    <w:uiPriority w:val="99"/>
    <w:semiHidden/>
    <w:unhideWhenUsed/>
    <w:rsid w:val="008D7CA1"/>
    <w:rPr>
      <w:i/>
      <w:iCs/>
    </w:rPr>
  </w:style>
  <w:style w:type="character" w:customStyle="1" w:styleId="cit-article-title">
    <w:name w:val="cit-article-title"/>
    <w:basedOn w:val="DefaultParagraphFont"/>
    <w:rsid w:val="008D7CA1"/>
  </w:style>
  <w:style w:type="character" w:customStyle="1" w:styleId="cit-lpage">
    <w:name w:val="cit-lpage"/>
    <w:basedOn w:val="DefaultParagraphFont"/>
    <w:rsid w:val="008D7CA1"/>
  </w:style>
  <w:style w:type="character" w:customStyle="1" w:styleId="author">
    <w:name w:val="author"/>
    <w:basedOn w:val="DefaultParagraphFont"/>
    <w:rsid w:val="00601123"/>
  </w:style>
  <w:style w:type="character" w:customStyle="1" w:styleId="pubyear">
    <w:name w:val="pubyear"/>
    <w:basedOn w:val="DefaultParagraphFont"/>
    <w:rsid w:val="00601123"/>
  </w:style>
  <w:style w:type="character" w:customStyle="1" w:styleId="articletitle">
    <w:name w:val="articletitle"/>
    <w:basedOn w:val="DefaultParagraphFont"/>
    <w:rsid w:val="00601123"/>
  </w:style>
  <w:style w:type="character" w:customStyle="1" w:styleId="journaltitle">
    <w:name w:val="journaltitle"/>
    <w:basedOn w:val="DefaultParagraphFont"/>
    <w:rsid w:val="00601123"/>
  </w:style>
  <w:style w:type="character" w:customStyle="1" w:styleId="vol">
    <w:name w:val="vol"/>
    <w:basedOn w:val="DefaultParagraphFont"/>
    <w:rsid w:val="00601123"/>
  </w:style>
  <w:style w:type="character" w:customStyle="1" w:styleId="pagefirst">
    <w:name w:val="pagefirst"/>
    <w:basedOn w:val="DefaultParagraphFont"/>
    <w:rsid w:val="00601123"/>
  </w:style>
  <w:style w:type="character" w:customStyle="1" w:styleId="pagelast">
    <w:name w:val="pagelast"/>
    <w:basedOn w:val="DefaultParagraphFont"/>
    <w:rsid w:val="00601123"/>
  </w:style>
  <w:style w:type="character" w:customStyle="1" w:styleId="element-citation">
    <w:name w:val="element-citation"/>
    <w:basedOn w:val="DefaultParagraphFont"/>
    <w:rsid w:val="00406F52"/>
  </w:style>
  <w:style w:type="character" w:customStyle="1" w:styleId="article-headermeta-info-label">
    <w:name w:val="article-header__meta-info-label"/>
    <w:basedOn w:val="DefaultParagraphFont"/>
    <w:rsid w:val="00943171"/>
  </w:style>
  <w:style w:type="character" w:customStyle="1" w:styleId="article-headermeta-info-data">
    <w:name w:val="article-header__meta-info-data"/>
    <w:basedOn w:val="DefaultParagraphFont"/>
    <w:rsid w:val="00943171"/>
  </w:style>
  <w:style w:type="character" w:styleId="LineNumber">
    <w:name w:val="line number"/>
    <w:basedOn w:val="DefaultParagraphFont"/>
    <w:uiPriority w:val="99"/>
    <w:semiHidden/>
    <w:unhideWhenUsed/>
    <w:rsid w:val="00092EBB"/>
  </w:style>
  <w:style w:type="table" w:customStyle="1" w:styleId="TableGrid12">
    <w:name w:val="Table Grid12"/>
    <w:basedOn w:val="TableNormal"/>
    <w:uiPriority w:val="39"/>
    <w:rsid w:val="004412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39"/>
    <w:rsid w:val="004412A3"/>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39"/>
    <w:rsid w:val="004412A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30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3BA"/>
    <w:rPr>
      <w:sz w:val="20"/>
      <w:szCs w:val="20"/>
    </w:rPr>
  </w:style>
  <w:style w:type="character" w:styleId="FootnoteReference">
    <w:name w:val="footnote reference"/>
    <w:basedOn w:val="DefaultParagraphFont"/>
    <w:uiPriority w:val="99"/>
    <w:semiHidden/>
    <w:unhideWhenUsed/>
    <w:rsid w:val="00E303BA"/>
    <w:rPr>
      <w:vertAlign w:val="superscript"/>
    </w:rPr>
  </w:style>
  <w:style w:type="table" w:customStyle="1" w:styleId="TableGrid611">
    <w:name w:val="Table Grid611"/>
    <w:basedOn w:val="TableNormal"/>
    <w:uiPriority w:val="39"/>
    <w:rsid w:val="005A047C"/>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39"/>
    <w:rsid w:val="005A04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39"/>
    <w:rsid w:val="005A04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22A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722A28"/>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050">
      <w:bodyDiv w:val="1"/>
      <w:marLeft w:val="0"/>
      <w:marRight w:val="0"/>
      <w:marTop w:val="0"/>
      <w:marBottom w:val="0"/>
      <w:divBdr>
        <w:top w:val="none" w:sz="0" w:space="0" w:color="auto"/>
        <w:left w:val="none" w:sz="0" w:space="0" w:color="auto"/>
        <w:bottom w:val="none" w:sz="0" w:space="0" w:color="auto"/>
        <w:right w:val="none" w:sz="0" w:space="0" w:color="auto"/>
      </w:divBdr>
    </w:div>
    <w:div w:id="577331620">
      <w:bodyDiv w:val="1"/>
      <w:marLeft w:val="0"/>
      <w:marRight w:val="0"/>
      <w:marTop w:val="0"/>
      <w:marBottom w:val="0"/>
      <w:divBdr>
        <w:top w:val="none" w:sz="0" w:space="0" w:color="auto"/>
        <w:left w:val="none" w:sz="0" w:space="0" w:color="auto"/>
        <w:bottom w:val="none" w:sz="0" w:space="0" w:color="auto"/>
        <w:right w:val="none" w:sz="0" w:space="0" w:color="auto"/>
      </w:divBdr>
    </w:div>
    <w:div w:id="588269703">
      <w:bodyDiv w:val="1"/>
      <w:marLeft w:val="0"/>
      <w:marRight w:val="0"/>
      <w:marTop w:val="0"/>
      <w:marBottom w:val="0"/>
      <w:divBdr>
        <w:top w:val="none" w:sz="0" w:space="0" w:color="auto"/>
        <w:left w:val="none" w:sz="0" w:space="0" w:color="auto"/>
        <w:bottom w:val="none" w:sz="0" w:space="0" w:color="auto"/>
        <w:right w:val="none" w:sz="0" w:space="0" w:color="auto"/>
      </w:divBdr>
    </w:div>
    <w:div w:id="726952588">
      <w:bodyDiv w:val="1"/>
      <w:marLeft w:val="0"/>
      <w:marRight w:val="0"/>
      <w:marTop w:val="0"/>
      <w:marBottom w:val="0"/>
      <w:divBdr>
        <w:top w:val="none" w:sz="0" w:space="0" w:color="auto"/>
        <w:left w:val="none" w:sz="0" w:space="0" w:color="auto"/>
        <w:bottom w:val="none" w:sz="0" w:space="0" w:color="auto"/>
        <w:right w:val="none" w:sz="0" w:space="0" w:color="auto"/>
      </w:divBdr>
    </w:div>
    <w:div w:id="851837141">
      <w:bodyDiv w:val="1"/>
      <w:marLeft w:val="0"/>
      <w:marRight w:val="0"/>
      <w:marTop w:val="0"/>
      <w:marBottom w:val="0"/>
      <w:divBdr>
        <w:top w:val="none" w:sz="0" w:space="0" w:color="auto"/>
        <w:left w:val="none" w:sz="0" w:space="0" w:color="auto"/>
        <w:bottom w:val="none" w:sz="0" w:space="0" w:color="auto"/>
        <w:right w:val="none" w:sz="0" w:space="0" w:color="auto"/>
      </w:divBdr>
    </w:div>
    <w:div w:id="1019938104">
      <w:bodyDiv w:val="1"/>
      <w:marLeft w:val="0"/>
      <w:marRight w:val="0"/>
      <w:marTop w:val="0"/>
      <w:marBottom w:val="0"/>
      <w:divBdr>
        <w:top w:val="none" w:sz="0" w:space="0" w:color="auto"/>
        <w:left w:val="none" w:sz="0" w:space="0" w:color="auto"/>
        <w:bottom w:val="none" w:sz="0" w:space="0" w:color="auto"/>
        <w:right w:val="none" w:sz="0" w:space="0" w:color="auto"/>
      </w:divBdr>
      <w:divsChild>
        <w:div w:id="15272046">
          <w:marLeft w:val="0"/>
          <w:marRight w:val="0"/>
          <w:marTop w:val="0"/>
          <w:marBottom w:val="0"/>
          <w:divBdr>
            <w:top w:val="none" w:sz="0" w:space="0" w:color="auto"/>
            <w:left w:val="none" w:sz="0" w:space="0" w:color="auto"/>
            <w:bottom w:val="none" w:sz="0" w:space="0" w:color="auto"/>
            <w:right w:val="none" w:sz="0" w:space="0" w:color="auto"/>
          </w:divBdr>
        </w:div>
        <w:div w:id="131096785">
          <w:marLeft w:val="0"/>
          <w:marRight w:val="0"/>
          <w:marTop w:val="0"/>
          <w:marBottom w:val="0"/>
          <w:divBdr>
            <w:top w:val="none" w:sz="0" w:space="0" w:color="auto"/>
            <w:left w:val="none" w:sz="0" w:space="0" w:color="auto"/>
            <w:bottom w:val="none" w:sz="0" w:space="0" w:color="auto"/>
            <w:right w:val="none" w:sz="0" w:space="0" w:color="auto"/>
          </w:divBdr>
        </w:div>
        <w:div w:id="210728302">
          <w:marLeft w:val="0"/>
          <w:marRight w:val="0"/>
          <w:marTop w:val="0"/>
          <w:marBottom w:val="0"/>
          <w:divBdr>
            <w:top w:val="none" w:sz="0" w:space="0" w:color="auto"/>
            <w:left w:val="none" w:sz="0" w:space="0" w:color="auto"/>
            <w:bottom w:val="none" w:sz="0" w:space="0" w:color="auto"/>
            <w:right w:val="none" w:sz="0" w:space="0" w:color="auto"/>
          </w:divBdr>
        </w:div>
        <w:div w:id="341586975">
          <w:marLeft w:val="0"/>
          <w:marRight w:val="0"/>
          <w:marTop w:val="0"/>
          <w:marBottom w:val="0"/>
          <w:divBdr>
            <w:top w:val="none" w:sz="0" w:space="0" w:color="auto"/>
            <w:left w:val="none" w:sz="0" w:space="0" w:color="auto"/>
            <w:bottom w:val="none" w:sz="0" w:space="0" w:color="auto"/>
            <w:right w:val="none" w:sz="0" w:space="0" w:color="auto"/>
          </w:divBdr>
        </w:div>
        <w:div w:id="502598212">
          <w:marLeft w:val="0"/>
          <w:marRight w:val="0"/>
          <w:marTop w:val="0"/>
          <w:marBottom w:val="0"/>
          <w:divBdr>
            <w:top w:val="none" w:sz="0" w:space="0" w:color="auto"/>
            <w:left w:val="none" w:sz="0" w:space="0" w:color="auto"/>
            <w:bottom w:val="none" w:sz="0" w:space="0" w:color="auto"/>
            <w:right w:val="none" w:sz="0" w:space="0" w:color="auto"/>
          </w:divBdr>
        </w:div>
        <w:div w:id="628626668">
          <w:marLeft w:val="0"/>
          <w:marRight w:val="0"/>
          <w:marTop w:val="0"/>
          <w:marBottom w:val="0"/>
          <w:divBdr>
            <w:top w:val="none" w:sz="0" w:space="0" w:color="auto"/>
            <w:left w:val="none" w:sz="0" w:space="0" w:color="auto"/>
            <w:bottom w:val="none" w:sz="0" w:space="0" w:color="auto"/>
            <w:right w:val="none" w:sz="0" w:space="0" w:color="auto"/>
          </w:divBdr>
        </w:div>
        <w:div w:id="814564920">
          <w:marLeft w:val="0"/>
          <w:marRight w:val="0"/>
          <w:marTop w:val="0"/>
          <w:marBottom w:val="0"/>
          <w:divBdr>
            <w:top w:val="none" w:sz="0" w:space="0" w:color="auto"/>
            <w:left w:val="none" w:sz="0" w:space="0" w:color="auto"/>
            <w:bottom w:val="none" w:sz="0" w:space="0" w:color="auto"/>
            <w:right w:val="none" w:sz="0" w:space="0" w:color="auto"/>
          </w:divBdr>
        </w:div>
        <w:div w:id="995298860">
          <w:marLeft w:val="0"/>
          <w:marRight w:val="0"/>
          <w:marTop w:val="0"/>
          <w:marBottom w:val="0"/>
          <w:divBdr>
            <w:top w:val="none" w:sz="0" w:space="0" w:color="auto"/>
            <w:left w:val="none" w:sz="0" w:space="0" w:color="auto"/>
            <w:bottom w:val="none" w:sz="0" w:space="0" w:color="auto"/>
            <w:right w:val="none" w:sz="0" w:space="0" w:color="auto"/>
          </w:divBdr>
        </w:div>
        <w:div w:id="1040395006">
          <w:marLeft w:val="0"/>
          <w:marRight w:val="0"/>
          <w:marTop w:val="0"/>
          <w:marBottom w:val="0"/>
          <w:divBdr>
            <w:top w:val="none" w:sz="0" w:space="0" w:color="auto"/>
            <w:left w:val="none" w:sz="0" w:space="0" w:color="auto"/>
            <w:bottom w:val="none" w:sz="0" w:space="0" w:color="auto"/>
            <w:right w:val="none" w:sz="0" w:space="0" w:color="auto"/>
          </w:divBdr>
        </w:div>
        <w:div w:id="1475417008">
          <w:marLeft w:val="0"/>
          <w:marRight w:val="0"/>
          <w:marTop w:val="0"/>
          <w:marBottom w:val="0"/>
          <w:divBdr>
            <w:top w:val="none" w:sz="0" w:space="0" w:color="auto"/>
            <w:left w:val="none" w:sz="0" w:space="0" w:color="auto"/>
            <w:bottom w:val="none" w:sz="0" w:space="0" w:color="auto"/>
            <w:right w:val="none" w:sz="0" w:space="0" w:color="auto"/>
          </w:divBdr>
        </w:div>
        <w:div w:id="1557007384">
          <w:marLeft w:val="0"/>
          <w:marRight w:val="0"/>
          <w:marTop w:val="0"/>
          <w:marBottom w:val="0"/>
          <w:divBdr>
            <w:top w:val="none" w:sz="0" w:space="0" w:color="auto"/>
            <w:left w:val="none" w:sz="0" w:space="0" w:color="auto"/>
            <w:bottom w:val="none" w:sz="0" w:space="0" w:color="auto"/>
            <w:right w:val="none" w:sz="0" w:space="0" w:color="auto"/>
          </w:divBdr>
        </w:div>
        <w:div w:id="1579441141">
          <w:marLeft w:val="0"/>
          <w:marRight w:val="0"/>
          <w:marTop w:val="0"/>
          <w:marBottom w:val="0"/>
          <w:divBdr>
            <w:top w:val="none" w:sz="0" w:space="0" w:color="auto"/>
            <w:left w:val="none" w:sz="0" w:space="0" w:color="auto"/>
            <w:bottom w:val="none" w:sz="0" w:space="0" w:color="auto"/>
            <w:right w:val="none" w:sz="0" w:space="0" w:color="auto"/>
          </w:divBdr>
        </w:div>
        <w:div w:id="1639191090">
          <w:marLeft w:val="0"/>
          <w:marRight w:val="0"/>
          <w:marTop w:val="0"/>
          <w:marBottom w:val="0"/>
          <w:divBdr>
            <w:top w:val="none" w:sz="0" w:space="0" w:color="auto"/>
            <w:left w:val="none" w:sz="0" w:space="0" w:color="auto"/>
            <w:bottom w:val="none" w:sz="0" w:space="0" w:color="auto"/>
            <w:right w:val="none" w:sz="0" w:space="0" w:color="auto"/>
          </w:divBdr>
        </w:div>
        <w:div w:id="1695811676">
          <w:marLeft w:val="0"/>
          <w:marRight w:val="0"/>
          <w:marTop w:val="0"/>
          <w:marBottom w:val="0"/>
          <w:divBdr>
            <w:top w:val="none" w:sz="0" w:space="0" w:color="auto"/>
            <w:left w:val="none" w:sz="0" w:space="0" w:color="auto"/>
            <w:bottom w:val="none" w:sz="0" w:space="0" w:color="auto"/>
            <w:right w:val="none" w:sz="0" w:space="0" w:color="auto"/>
          </w:divBdr>
        </w:div>
        <w:div w:id="1715158666">
          <w:marLeft w:val="0"/>
          <w:marRight w:val="0"/>
          <w:marTop w:val="0"/>
          <w:marBottom w:val="0"/>
          <w:divBdr>
            <w:top w:val="none" w:sz="0" w:space="0" w:color="auto"/>
            <w:left w:val="none" w:sz="0" w:space="0" w:color="auto"/>
            <w:bottom w:val="none" w:sz="0" w:space="0" w:color="auto"/>
            <w:right w:val="none" w:sz="0" w:space="0" w:color="auto"/>
          </w:divBdr>
        </w:div>
        <w:div w:id="1744647378">
          <w:marLeft w:val="0"/>
          <w:marRight w:val="0"/>
          <w:marTop w:val="0"/>
          <w:marBottom w:val="0"/>
          <w:divBdr>
            <w:top w:val="none" w:sz="0" w:space="0" w:color="auto"/>
            <w:left w:val="none" w:sz="0" w:space="0" w:color="auto"/>
            <w:bottom w:val="none" w:sz="0" w:space="0" w:color="auto"/>
            <w:right w:val="none" w:sz="0" w:space="0" w:color="auto"/>
          </w:divBdr>
        </w:div>
        <w:div w:id="1841894385">
          <w:marLeft w:val="0"/>
          <w:marRight w:val="0"/>
          <w:marTop w:val="0"/>
          <w:marBottom w:val="0"/>
          <w:divBdr>
            <w:top w:val="none" w:sz="0" w:space="0" w:color="auto"/>
            <w:left w:val="none" w:sz="0" w:space="0" w:color="auto"/>
            <w:bottom w:val="none" w:sz="0" w:space="0" w:color="auto"/>
            <w:right w:val="none" w:sz="0" w:space="0" w:color="auto"/>
          </w:divBdr>
        </w:div>
        <w:div w:id="1948928510">
          <w:marLeft w:val="0"/>
          <w:marRight w:val="0"/>
          <w:marTop w:val="0"/>
          <w:marBottom w:val="0"/>
          <w:divBdr>
            <w:top w:val="none" w:sz="0" w:space="0" w:color="auto"/>
            <w:left w:val="none" w:sz="0" w:space="0" w:color="auto"/>
            <w:bottom w:val="none" w:sz="0" w:space="0" w:color="auto"/>
            <w:right w:val="none" w:sz="0" w:space="0" w:color="auto"/>
          </w:divBdr>
        </w:div>
      </w:divsChild>
    </w:div>
    <w:div w:id="1031614437">
      <w:bodyDiv w:val="1"/>
      <w:marLeft w:val="0"/>
      <w:marRight w:val="0"/>
      <w:marTop w:val="0"/>
      <w:marBottom w:val="0"/>
      <w:divBdr>
        <w:top w:val="none" w:sz="0" w:space="0" w:color="auto"/>
        <w:left w:val="none" w:sz="0" w:space="0" w:color="auto"/>
        <w:bottom w:val="none" w:sz="0" w:space="0" w:color="auto"/>
        <w:right w:val="none" w:sz="0" w:space="0" w:color="auto"/>
      </w:divBdr>
    </w:div>
    <w:div w:id="1662615173">
      <w:bodyDiv w:val="1"/>
      <w:marLeft w:val="0"/>
      <w:marRight w:val="0"/>
      <w:marTop w:val="0"/>
      <w:marBottom w:val="0"/>
      <w:divBdr>
        <w:top w:val="none" w:sz="0" w:space="0" w:color="auto"/>
        <w:left w:val="none" w:sz="0" w:space="0" w:color="auto"/>
        <w:bottom w:val="none" w:sz="0" w:space="0" w:color="auto"/>
        <w:right w:val="none" w:sz="0" w:space="0" w:color="auto"/>
      </w:divBdr>
    </w:div>
    <w:div w:id="1744596519">
      <w:bodyDiv w:val="1"/>
      <w:marLeft w:val="0"/>
      <w:marRight w:val="0"/>
      <w:marTop w:val="0"/>
      <w:marBottom w:val="0"/>
      <w:divBdr>
        <w:top w:val="none" w:sz="0" w:space="0" w:color="auto"/>
        <w:left w:val="none" w:sz="0" w:space="0" w:color="auto"/>
        <w:bottom w:val="none" w:sz="0" w:space="0" w:color="auto"/>
        <w:right w:val="none" w:sz="0" w:space="0" w:color="auto"/>
      </w:divBdr>
      <w:divsChild>
        <w:div w:id="448934348">
          <w:marLeft w:val="0"/>
          <w:marRight w:val="0"/>
          <w:marTop w:val="0"/>
          <w:marBottom w:val="0"/>
          <w:divBdr>
            <w:top w:val="none" w:sz="0" w:space="0" w:color="auto"/>
            <w:left w:val="none" w:sz="0" w:space="0" w:color="auto"/>
            <w:bottom w:val="none" w:sz="0" w:space="0" w:color="auto"/>
            <w:right w:val="none" w:sz="0" w:space="0" w:color="auto"/>
          </w:divBdr>
          <w:divsChild>
            <w:div w:id="1235356395">
              <w:marLeft w:val="0"/>
              <w:marRight w:val="0"/>
              <w:marTop w:val="0"/>
              <w:marBottom w:val="0"/>
              <w:divBdr>
                <w:top w:val="none" w:sz="0" w:space="0" w:color="auto"/>
                <w:left w:val="none" w:sz="0" w:space="0" w:color="auto"/>
                <w:bottom w:val="none" w:sz="0" w:space="0" w:color="auto"/>
                <w:right w:val="none" w:sz="0" w:space="0" w:color="auto"/>
              </w:divBdr>
              <w:divsChild>
                <w:div w:id="240604221">
                  <w:marLeft w:val="0"/>
                  <w:marRight w:val="0"/>
                  <w:marTop w:val="0"/>
                  <w:marBottom w:val="0"/>
                  <w:divBdr>
                    <w:top w:val="none" w:sz="0" w:space="0" w:color="auto"/>
                    <w:left w:val="none" w:sz="0" w:space="0" w:color="auto"/>
                    <w:bottom w:val="none" w:sz="0" w:space="0" w:color="auto"/>
                    <w:right w:val="none" w:sz="0" w:space="0" w:color="auto"/>
                  </w:divBdr>
                  <w:divsChild>
                    <w:div w:id="1980769959">
                      <w:marLeft w:val="0"/>
                      <w:marRight w:val="0"/>
                      <w:marTop w:val="0"/>
                      <w:marBottom w:val="0"/>
                      <w:divBdr>
                        <w:top w:val="none" w:sz="0" w:space="0" w:color="auto"/>
                        <w:left w:val="none" w:sz="0" w:space="0" w:color="auto"/>
                        <w:bottom w:val="none" w:sz="0" w:space="0" w:color="auto"/>
                        <w:right w:val="none" w:sz="0" w:space="0" w:color="auto"/>
                      </w:divBdr>
                      <w:divsChild>
                        <w:div w:id="1699351435">
                          <w:marLeft w:val="0"/>
                          <w:marRight w:val="0"/>
                          <w:marTop w:val="0"/>
                          <w:marBottom w:val="0"/>
                          <w:divBdr>
                            <w:top w:val="none" w:sz="0" w:space="0" w:color="auto"/>
                            <w:left w:val="none" w:sz="0" w:space="0" w:color="auto"/>
                            <w:bottom w:val="none" w:sz="0" w:space="0" w:color="auto"/>
                            <w:right w:val="none" w:sz="0" w:space="0" w:color="auto"/>
                          </w:divBdr>
                          <w:divsChild>
                            <w:div w:id="1280918941">
                              <w:marLeft w:val="0"/>
                              <w:marRight w:val="0"/>
                              <w:marTop w:val="0"/>
                              <w:marBottom w:val="0"/>
                              <w:divBdr>
                                <w:top w:val="none" w:sz="0" w:space="0" w:color="auto"/>
                                <w:left w:val="none" w:sz="0" w:space="0" w:color="auto"/>
                                <w:bottom w:val="none" w:sz="0" w:space="0" w:color="auto"/>
                                <w:right w:val="none" w:sz="0" w:space="0" w:color="auto"/>
                              </w:divBdr>
                              <w:divsChild>
                                <w:div w:id="19579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82054">
      <w:bodyDiv w:val="1"/>
      <w:marLeft w:val="0"/>
      <w:marRight w:val="0"/>
      <w:marTop w:val="0"/>
      <w:marBottom w:val="0"/>
      <w:divBdr>
        <w:top w:val="none" w:sz="0" w:space="0" w:color="auto"/>
        <w:left w:val="none" w:sz="0" w:space="0" w:color="auto"/>
        <w:bottom w:val="none" w:sz="0" w:space="0" w:color="auto"/>
        <w:right w:val="none" w:sz="0" w:space="0" w:color="auto"/>
      </w:divBdr>
      <w:divsChild>
        <w:div w:id="164132153">
          <w:marLeft w:val="0"/>
          <w:marRight w:val="0"/>
          <w:marTop w:val="0"/>
          <w:marBottom w:val="0"/>
          <w:divBdr>
            <w:top w:val="none" w:sz="0" w:space="0" w:color="auto"/>
            <w:left w:val="none" w:sz="0" w:space="0" w:color="auto"/>
            <w:bottom w:val="none" w:sz="0" w:space="0" w:color="auto"/>
            <w:right w:val="none" w:sz="0" w:space="0" w:color="auto"/>
          </w:divBdr>
        </w:div>
        <w:div w:id="179205552">
          <w:marLeft w:val="0"/>
          <w:marRight w:val="0"/>
          <w:marTop w:val="0"/>
          <w:marBottom w:val="0"/>
          <w:divBdr>
            <w:top w:val="none" w:sz="0" w:space="0" w:color="auto"/>
            <w:left w:val="none" w:sz="0" w:space="0" w:color="auto"/>
            <w:bottom w:val="none" w:sz="0" w:space="0" w:color="auto"/>
            <w:right w:val="none" w:sz="0" w:space="0" w:color="auto"/>
          </w:divBdr>
        </w:div>
        <w:div w:id="287662656">
          <w:marLeft w:val="0"/>
          <w:marRight w:val="0"/>
          <w:marTop w:val="0"/>
          <w:marBottom w:val="0"/>
          <w:divBdr>
            <w:top w:val="none" w:sz="0" w:space="0" w:color="auto"/>
            <w:left w:val="none" w:sz="0" w:space="0" w:color="auto"/>
            <w:bottom w:val="none" w:sz="0" w:space="0" w:color="auto"/>
            <w:right w:val="none" w:sz="0" w:space="0" w:color="auto"/>
          </w:divBdr>
        </w:div>
        <w:div w:id="301691681">
          <w:marLeft w:val="0"/>
          <w:marRight w:val="0"/>
          <w:marTop w:val="0"/>
          <w:marBottom w:val="0"/>
          <w:divBdr>
            <w:top w:val="none" w:sz="0" w:space="0" w:color="auto"/>
            <w:left w:val="none" w:sz="0" w:space="0" w:color="auto"/>
            <w:bottom w:val="none" w:sz="0" w:space="0" w:color="auto"/>
            <w:right w:val="none" w:sz="0" w:space="0" w:color="auto"/>
          </w:divBdr>
        </w:div>
        <w:div w:id="367071310">
          <w:marLeft w:val="0"/>
          <w:marRight w:val="0"/>
          <w:marTop w:val="0"/>
          <w:marBottom w:val="0"/>
          <w:divBdr>
            <w:top w:val="none" w:sz="0" w:space="0" w:color="auto"/>
            <w:left w:val="none" w:sz="0" w:space="0" w:color="auto"/>
            <w:bottom w:val="none" w:sz="0" w:space="0" w:color="auto"/>
            <w:right w:val="none" w:sz="0" w:space="0" w:color="auto"/>
          </w:divBdr>
        </w:div>
        <w:div w:id="453328501">
          <w:marLeft w:val="0"/>
          <w:marRight w:val="0"/>
          <w:marTop w:val="0"/>
          <w:marBottom w:val="0"/>
          <w:divBdr>
            <w:top w:val="none" w:sz="0" w:space="0" w:color="auto"/>
            <w:left w:val="none" w:sz="0" w:space="0" w:color="auto"/>
            <w:bottom w:val="none" w:sz="0" w:space="0" w:color="auto"/>
            <w:right w:val="none" w:sz="0" w:space="0" w:color="auto"/>
          </w:divBdr>
        </w:div>
        <w:div w:id="619410642">
          <w:marLeft w:val="0"/>
          <w:marRight w:val="0"/>
          <w:marTop w:val="0"/>
          <w:marBottom w:val="0"/>
          <w:divBdr>
            <w:top w:val="none" w:sz="0" w:space="0" w:color="auto"/>
            <w:left w:val="none" w:sz="0" w:space="0" w:color="auto"/>
            <w:bottom w:val="none" w:sz="0" w:space="0" w:color="auto"/>
            <w:right w:val="none" w:sz="0" w:space="0" w:color="auto"/>
          </w:divBdr>
        </w:div>
        <w:div w:id="863517982">
          <w:marLeft w:val="0"/>
          <w:marRight w:val="0"/>
          <w:marTop w:val="0"/>
          <w:marBottom w:val="0"/>
          <w:divBdr>
            <w:top w:val="none" w:sz="0" w:space="0" w:color="auto"/>
            <w:left w:val="none" w:sz="0" w:space="0" w:color="auto"/>
            <w:bottom w:val="none" w:sz="0" w:space="0" w:color="auto"/>
            <w:right w:val="none" w:sz="0" w:space="0" w:color="auto"/>
          </w:divBdr>
        </w:div>
        <w:div w:id="904532010">
          <w:marLeft w:val="0"/>
          <w:marRight w:val="0"/>
          <w:marTop w:val="0"/>
          <w:marBottom w:val="0"/>
          <w:divBdr>
            <w:top w:val="none" w:sz="0" w:space="0" w:color="auto"/>
            <w:left w:val="none" w:sz="0" w:space="0" w:color="auto"/>
            <w:bottom w:val="none" w:sz="0" w:space="0" w:color="auto"/>
            <w:right w:val="none" w:sz="0" w:space="0" w:color="auto"/>
          </w:divBdr>
        </w:div>
        <w:div w:id="964700990">
          <w:marLeft w:val="0"/>
          <w:marRight w:val="0"/>
          <w:marTop w:val="0"/>
          <w:marBottom w:val="0"/>
          <w:divBdr>
            <w:top w:val="none" w:sz="0" w:space="0" w:color="auto"/>
            <w:left w:val="none" w:sz="0" w:space="0" w:color="auto"/>
            <w:bottom w:val="none" w:sz="0" w:space="0" w:color="auto"/>
            <w:right w:val="none" w:sz="0" w:space="0" w:color="auto"/>
          </w:divBdr>
        </w:div>
        <w:div w:id="1030573956">
          <w:marLeft w:val="0"/>
          <w:marRight w:val="0"/>
          <w:marTop w:val="0"/>
          <w:marBottom w:val="0"/>
          <w:divBdr>
            <w:top w:val="none" w:sz="0" w:space="0" w:color="auto"/>
            <w:left w:val="none" w:sz="0" w:space="0" w:color="auto"/>
            <w:bottom w:val="none" w:sz="0" w:space="0" w:color="auto"/>
            <w:right w:val="none" w:sz="0" w:space="0" w:color="auto"/>
          </w:divBdr>
        </w:div>
        <w:div w:id="1070739057">
          <w:marLeft w:val="0"/>
          <w:marRight w:val="0"/>
          <w:marTop w:val="0"/>
          <w:marBottom w:val="0"/>
          <w:divBdr>
            <w:top w:val="none" w:sz="0" w:space="0" w:color="auto"/>
            <w:left w:val="none" w:sz="0" w:space="0" w:color="auto"/>
            <w:bottom w:val="none" w:sz="0" w:space="0" w:color="auto"/>
            <w:right w:val="none" w:sz="0" w:space="0" w:color="auto"/>
          </w:divBdr>
        </w:div>
        <w:div w:id="1075010143">
          <w:marLeft w:val="0"/>
          <w:marRight w:val="0"/>
          <w:marTop w:val="0"/>
          <w:marBottom w:val="0"/>
          <w:divBdr>
            <w:top w:val="none" w:sz="0" w:space="0" w:color="auto"/>
            <w:left w:val="none" w:sz="0" w:space="0" w:color="auto"/>
            <w:bottom w:val="none" w:sz="0" w:space="0" w:color="auto"/>
            <w:right w:val="none" w:sz="0" w:space="0" w:color="auto"/>
          </w:divBdr>
        </w:div>
        <w:div w:id="1200898377">
          <w:marLeft w:val="0"/>
          <w:marRight w:val="0"/>
          <w:marTop w:val="0"/>
          <w:marBottom w:val="0"/>
          <w:divBdr>
            <w:top w:val="none" w:sz="0" w:space="0" w:color="auto"/>
            <w:left w:val="none" w:sz="0" w:space="0" w:color="auto"/>
            <w:bottom w:val="none" w:sz="0" w:space="0" w:color="auto"/>
            <w:right w:val="none" w:sz="0" w:space="0" w:color="auto"/>
          </w:divBdr>
        </w:div>
        <w:div w:id="1211576437">
          <w:marLeft w:val="0"/>
          <w:marRight w:val="0"/>
          <w:marTop w:val="0"/>
          <w:marBottom w:val="0"/>
          <w:divBdr>
            <w:top w:val="none" w:sz="0" w:space="0" w:color="auto"/>
            <w:left w:val="none" w:sz="0" w:space="0" w:color="auto"/>
            <w:bottom w:val="none" w:sz="0" w:space="0" w:color="auto"/>
            <w:right w:val="none" w:sz="0" w:space="0" w:color="auto"/>
          </w:divBdr>
        </w:div>
        <w:div w:id="1557008219">
          <w:marLeft w:val="0"/>
          <w:marRight w:val="0"/>
          <w:marTop w:val="0"/>
          <w:marBottom w:val="0"/>
          <w:divBdr>
            <w:top w:val="none" w:sz="0" w:space="0" w:color="auto"/>
            <w:left w:val="none" w:sz="0" w:space="0" w:color="auto"/>
            <w:bottom w:val="none" w:sz="0" w:space="0" w:color="auto"/>
            <w:right w:val="none" w:sz="0" w:space="0" w:color="auto"/>
          </w:divBdr>
        </w:div>
        <w:div w:id="1898777172">
          <w:marLeft w:val="0"/>
          <w:marRight w:val="0"/>
          <w:marTop w:val="0"/>
          <w:marBottom w:val="0"/>
          <w:divBdr>
            <w:top w:val="none" w:sz="0" w:space="0" w:color="auto"/>
            <w:left w:val="none" w:sz="0" w:space="0" w:color="auto"/>
            <w:bottom w:val="none" w:sz="0" w:space="0" w:color="auto"/>
            <w:right w:val="none" w:sz="0" w:space="0" w:color="auto"/>
          </w:divBdr>
        </w:div>
        <w:div w:id="210333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s.ac.uk/alspac" TargetMode="External"/><Relationship Id="rId12" Type="http://schemas.openxmlformats.org/officeDocument/2006/relationships/footer" Target="footer1.xml"/><Relationship Id="rId13" Type="http://schemas.openxmlformats.org/officeDocument/2006/relationships/image" Target="media/image1.emf"/><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am.mahedy@bristol.ac.uk" TargetMode="External"/><Relationship Id="rId10" Type="http://schemas.openxmlformats.org/officeDocument/2006/relationships/hyperlink" Target="http://www.bris.ac.uk/alspac/researchers/data-access/data-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2175-9106-5546-BA32-1C08DD2F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46998</Words>
  <Characters>267892</Characters>
  <Application>Microsoft Macintosh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Mahedy</dc:creator>
  <cp:keywords/>
  <dc:description/>
  <cp:lastModifiedBy>Matthew Field</cp:lastModifiedBy>
  <cp:revision>2</cp:revision>
  <cp:lastPrinted>2017-10-03T14:38:00Z</cp:lastPrinted>
  <dcterms:created xsi:type="dcterms:W3CDTF">2017-12-07T14:37:00Z</dcterms:created>
  <dcterms:modified xsi:type="dcterms:W3CDTF">2017-12-07T14:37:00Z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http://www.zotero.org/styles/elsevier-harvard</vt:lpwstr>
  </property>
  <property fmtid="{D5CDD505-2E9C-101B-9397-08002B2CF9AE}" pid="10" name="Mendeley Recent Style Name 3_1">
    <vt:lpwstr>Elsevier - Harvard (with titles)</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http://www.zotero.org/styles/journal-of-adolescence</vt:lpwstr>
  </property>
  <property fmtid="{D5CDD505-2E9C-101B-9397-08002B2CF9AE}" pid="16" name="Mendeley Recent Style Name 6_1">
    <vt:lpwstr>Journal of Adolescence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000b65eb-8525-340a-a9ad-0a1cfec7996e</vt:lpwstr>
  </property>
  <property fmtid="{D5CDD505-2E9C-101B-9397-08002B2CF9AE}" pid="24" name="Mendeley Citation Style_1">
    <vt:lpwstr>http://www.zotero.org/styles/harvard1</vt:lpwstr>
  </property>
</Properties>
</file>