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1516" w14:textId="11656F45" w:rsidR="00331584" w:rsidRDefault="00E428C7">
      <w:r>
        <w:t>Lancet HIV Comment on: ‘</w:t>
      </w:r>
      <w:r w:rsidR="00427DFC">
        <w:t>A radomized open label trial of daily and non-daily pre-exposure prophylaxis in African women: The HPTN 067/ADAPT Cape Town Trial</w:t>
      </w:r>
      <w:r w:rsidR="00C64D36">
        <w:t>.’</w:t>
      </w:r>
    </w:p>
    <w:p w14:paraId="519C9D05" w14:textId="77777777" w:rsidR="00E428C7" w:rsidRDefault="00E428C7"/>
    <w:p w14:paraId="0040B338" w14:textId="7098BD31" w:rsidR="00E428C7" w:rsidRDefault="00E428C7">
      <w:r w:rsidRPr="00944B33">
        <w:rPr>
          <w:b/>
        </w:rPr>
        <w:t>Title:</w:t>
      </w:r>
      <w:r>
        <w:t xml:space="preserve"> </w:t>
      </w:r>
      <w:r w:rsidR="00427DFC">
        <w:t>Working towards HIV prevention choices for women</w:t>
      </w:r>
    </w:p>
    <w:p w14:paraId="4D281C1F" w14:textId="77777777" w:rsidR="00E428C7" w:rsidRDefault="00E428C7"/>
    <w:p w14:paraId="16CBB49F" w14:textId="24C8572E" w:rsidR="00E428C7" w:rsidRDefault="00E428C7">
      <w:r w:rsidRPr="00944B33">
        <w:rPr>
          <w:b/>
        </w:rPr>
        <w:t>Authors:</w:t>
      </w:r>
      <w:r>
        <w:t xml:space="preserve"> Janneke van de Wijgert</w:t>
      </w:r>
      <w:r w:rsidRPr="00E428C7">
        <w:rPr>
          <w:vertAlign w:val="superscript"/>
        </w:rPr>
        <w:t>1</w:t>
      </w:r>
      <w:r>
        <w:rPr>
          <w:vertAlign w:val="superscript"/>
        </w:rPr>
        <w:t>,2</w:t>
      </w:r>
    </w:p>
    <w:p w14:paraId="1FDCF415" w14:textId="77777777" w:rsidR="00E428C7" w:rsidRDefault="00E428C7"/>
    <w:p w14:paraId="7A8C8591" w14:textId="77777777" w:rsidR="00E428C7" w:rsidRPr="00944B33" w:rsidRDefault="00E428C7">
      <w:pPr>
        <w:rPr>
          <w:b/>
        </w:rPr>
      </w:pPr>
      <w:r w:rsidRPr="00944B33">
        <w:rPr>
          <w:b/>
        </w:rPr>
        <w:t>Affiliations:</w:t>
      </w:r>
    </w:p>
    <w:p w14:paraId="7BED17DD" w14:textId="77777777" w:rsidR="00E428C7" w:rsidRDefault="00E428C7" w:rsidP="00E428C7">
      <w:pPr>
        <w:pStyle w:val="ListParagraph"/>
        <w:numPr>
          <w:ilvl w:val="0"/>
          <w:numId w:val="1"/>
        </w:numPr>
        <w:ind w:left="426" w:hanging="426"/>
      </w:pPr>
      <w:r>
        <w:t>Julius Center for Health Sciences and Primary Care, University Medical Center Utrecht, Utrecht, The Netherlands</w:t>
      </w:r>
    </w:p>
    <w:p w14:paraId="51B973CB" w14:textId="77777777" w:rsidR="00E428C7" w:rsidRDefault="00E428C7" w:rsidP="00E428C7">
      <w:pPr>
        <w:pStyle w:val="ListParagraph"/>
        <w:numPr>
          <w:ilvl w:val="0"/>
          <w:numId w:val="1"/>
        </w:numPr>
        <w:ind w:left="426" w:hanging="426"/>
      </w:pPr>
      <w:r>
        <w:t>Institute of Infection and Global Health, University of Liverpool, Liverpool, UK</w:t>
      </w:r>
    </w:p>
    <w:p w14:paraId="2A4E28E9" w14:textId="77777777" w:rsidR="00AB7353" w:rsidRDefault="00AB7353"/>
    <w:p w14:paraId="6788AFA3" w14:textId="6122F1CE" w:rsidR="006A74FB" w:rsidRDefault="00E428C7">
      <w:r w:rsidRPr="005C4FE0">
        <w:t>In The Lancet HIV</w:t>
      </w:r>
      <w:r w:rsidR="00575BE5" w:rsidRPr="005C4FE0">
        <w:t xml:space="preserve"> </w:t>
      </w:r>
      <w:r w:rsidR="00427DFC">
        <w:t>Bekker</w:t>
      </w:r>
      <w:r w:rsidR="00123AB0" w:rsidRPr="005C4FE0">
        <w:t xml:space="preserve"> and colleagues report that </w:t>
      </w:r>
      <w:r w:rsidR="00427DFC">
        <w:t xml:space="preserve">most women in Crossroads, Cape Town, South Africa took oral </w:t>
      </w:r>
      <w:r w:rsidR="00123AB0" w:rsidRPr="005C4FE0">
        <w:t xml:space="preserve">pre-exposure prophylaxis (PrEP) for HIV prevention </w:t>
      </w:r>
      <w:r w:rsidR="00427DFC">
        <w:t>when offere</w:t>
      </w:r>
      <w:r w:rsidR="00486E9B">
        <w:t>d to them in an open-label randomised trial</w:t>
      </w:r>
      <w:r w:rsidR="00427DFC">
        <w:t xml:space="preserve"> (the HPTN 067/ADAPT Trial)</w:t>
      </w:r>
      <w:r w:rsidR="000F69A6">
        <w:t xml:space="preserve"> [1</w:t>
      </w:r>
      <w:r w:rsidR="008203D7">
        <w:t>]</w:t>
      </w:r>
      <w:r w:rsidR="00427DFC">
        <w:t xml:space="preserve">. </w:t>
      </w:r>
      <w:r w:rsidR="00B40805">
        <w:t>HIV-negative w</w:t>
      </w:r>
      <w:r w:rsidR="00D2704F">
        <w:t xml:space="preserve">omen </w:t>
      </w:r>
      <w:r w:rsidR="00B40805">
        <w:t xml:space="preserve">aged 18 to 52 </w:t>
      </w:r>
      <w:r w:rsidR="00607BD2">
        <w:t xml:space="preserve">(N=178) </w:t>
      </w:r>
      <w:r w:rsidR="00256E93">
        <w:t>were randomised 1:1:1 to once daily use (D), time-driven use (T: twice weekly plus a post-sex dose), or event-driven use (E: one dose before and one after sex)</w:t>
      </w:r>
      <w:r w:rsidR="00B40805">
        <w:t xml:space="preserve"> of emtricitabine/</w:t>
      </w:r>
      <w:r w:rsidR="00B40805" w:rsidRPr="005C4FE0">
        <w:t>tenofovir</w:t>
      </w:r>
      <w:r w:rsidR="00B40805">
        <w:t xml:space="preserve"> </w:t>
      </w:r>
      <w:r w:rsidR="00B40805" w:rsidRPr="005C4FE0">
        <w:t>disoproxil fumarate (</w:t>
      </w:r>
      <w:r w:rsidR="00B40805">
        <w:t>FTC/</w:t>
      </w:r>
      <w:r w:rsidR="00B40805" w:rsidRPr="005C4FE0">
        <w:t>TDF)</w:t>
      </w:r>
      <w:r w:rsidR="00B40805">
        <w:t xml:space="preserve"> oral PrEP for 24 weeks</w:t>
      </w:r>
      <w:r w:rsidR="00256E93">
        <w:t xml:space="preserve">. Rigorous </w:t>
      </w:r>
      <w:r w:rsidR="006207FE">
        <w:t>methods were used to determine adherence and sex acts ‘covered’ by drug</w:t>
      </w:r>
      <w:r w:rsidR="00D2704F">
        <w:t xml:space="preserve"> (Wisepill</w:t>
      </w:r>
      <w:r w:rsidR="0025734C">
        <w:t>™</w:t>
      </w:r>
      <w:r w:rsidR="00D2704F">
        <w:t xml:space="preserve"> device, weekly interviews to review sexual activity and Wisepill</w:t>
      </w:r>
      <w:r w:rsidR="0025734C">
        <w:t>™</w:t>
      </w:r>
      <w:r w:rsidR="00D2704F">
        <w:t xml:space="preserve"> data, and </w:t>
      </w:r>
      <w:r w:rsidR="00256E93">
        <w:t xml:space="preserve">drug </w:t>
      </w:r>
      <w:r w:rsidR="00D2704F">
        <w:t xml:space="preserve">concentrations </w:t>
      </w:r>
      <w:r w:rsidR="00256E93">
        <w:t>in plasma and peripheral blood mononuclear cells).</w:t>
      </w:r>
      <w:r w:rsidR="00D2704F">
        <w:t xml:space="preserve"> </w:t>
      </w:r>
      <w:r w:rsidR="00B40805">
        <w:t>F</w:t>
      </w:r>
      <w:r w:rsidR="004B52FE">
        <w:t xml:space="preserve">ull </w:t>
      </w:r>
      <w:r w:rsidR="00607BD2">
        <w:t>coverage (</w:t>
      </w:r>
      <w:r w:rsidR="00B40805">
        <w:t xml:space="preserve">defined as </w:t>
      </w:r>
      <w:r w:rsidR="00607BD2">
        <w:t xml:space="preserve">at least one pill </w:t>
      </w:r>
      <w:r w:rsidR="0025734C">
        <w:t xml:space="preserve">within </w:t>
      </w:r>
      <w:r w:rsidR="00607BD2">
        <w:t>96 hours before and one pill within 24</w:t>
      </w:r>
      <w:r w:rsidR="0025734C">
        <w:t xml:space="preserve"> hours after vaginal or anal sex by interview/Wisepill™ data</w:t>
      </w:r>
      <w:r w:rsidR="00607BD2">
        <w:t xml:space="preserve">) </w:t>
      </w:r>
      <w:r w:rsidR="00B40805">
        <w:t xml:space="preserve">was higher </w:t>
      </w:r>
      <w:r w:rsidR="004B52FE">
        <w:t xml:space="preserve">in D (75%) than in T (56%) or E (52%), but </w:t>
      </w:r>
      <w:r w:rsidR="00B40805">
        <w:t xml:space="preserve">there was </w:t>
      </w:r>
      <w:r w:rsidR="004B52FE">
        <w:t xml:space="preserve">no difference between the groups when </w:t>
      </w:r>
      <w:r w:rsidR="00607BD2">
        <w:t>full and partial coverage were combined (D 97%, T 95%, E 93%). Far fewer pills were needed t</w:t>
      </w:r>
      <w:r w:rsidR="00381645">
        <w:t xml:space="preserve">o achieve 100% adherence in </w:t>
      </w:r>
      <w:r w:rsidR="00607BD2">
        <w:t>T (3,616 pills</w:t>
      </w:r>
      <w:r w:rsidR="00381645">
        <w:t>) and E</w:t>
      </w:r>
      <w:r w:rsidR="006A74FB">
        <w:t xml:space="preserve"> </w:t>
      </w:r>
      <w:r w:rsidR="00607BD2">
        <w:t xml:space="preserve">(2,203 pills) </w:t>
      </w:r>
      <w:r w:rsidR="00381645">
        <w:t xml:space="preserve">than in D </w:t>
      </w:r>
      <w:r w:rsidR="00607BD2">
        <w:t>(</w:t>
      </w:r>
      <w:r w:rsidR="00381645">
        <w:t>9,652 pills). Side effects were uncommon in D but less frequent in T and E.</w:t>
      </w:r>
      <w:r w:rsidR="00607BD2">
        <w:t xml:space="preserve"> </w:t>
      </w:r>
      <w:r w:rsidR="00B40805">
        <w:t>The trial was not powered to detect differences in HIV seroconversions between the study groups.</w:t>
      </w:r>
    </w:p>
    <w:p w14:paraId="45C1D015" w14:textId="77777777" w:rsidR="006A74FB" w:rsidRDefault="006A74FB"/>
    <w:p w14:paraId="5B8603D7" w14:textId="69FFD274" w:rsidR="00CC40E1" w:rsidRDefault="00D95661">
      <w:r>
        <w:t xml:space="preserve">Previous daily oral PrEP </w:t>
      </w:r>
      <w:r w:rsidR="0023069A">
        <w:t xml:space="preserve">placebo-controlled </w:t>
      </w:r>
      <w:r>
        <w:t xml:space="preserve">efficacy trials in African women have shown mixed results with </w:t>
      </w:r>
      <w:r w:rsidR="0023069A" w:rsidRPr="0023069A">
        <w:t>two discordant couples trials</w:t>
      </w:r>
      <w:r w:rsidR="0023069A">
        <w:t xml:space="preserve"> showing 63-75% efficacy [</w:t>
      </w:r>
      <w:r w:rsidR="00B850B6">
        <w:t>2, 3</w:t>
      </w:r>
      <w:r>
        <w:t>]</w:t>
      </w:r>
      <w:r w:rsidR="0023069A">
        <w:t xml:space="preserve">, </w:t>
      </w:r>
      <w:r>
        <w:t xml:space="preserve"> and two trials </w:t>
      </w:r>
      <w:r w:rsidR="0023069A">
        <w:t xml:space="preserve">that enrolled women without their male partners </w:t>
      </w:r>
      <w:r>
        <w:t xml:space="preserve">terminated </w:t>
      </w:r>
      <w:r w:rsidR="00D764A4">
        <w:t>prematurely</w:t>
      </w:r>
      <w:r w:rsidR="0023069A">
        <w:t xml:space="preserve"> </w:t>
      </w:r>
      <w:r w:rsidR="002476BA">
        <w:t xml:space="preserve">because of </w:t>
      </w:r>
      <w:r w:rsidR="0023069A">
        <w:t xml:space="preserve">a lack of benefit </w:t>
      </w:r>
      <w:r w:rsidR="002476BA">
        <w:t xml:space="preserve">due to low adherence </w:t>
      </w:r>
      <w:r w:rsidR="0023069A">
        <w:t>[</w:t>
      </w:r>
      <w:r w:rsidR="00B850B6">
        <w:t>4, 5</w:t>
      </w:r>
      <w:r>
        <w:t>]. As a result, many in the field argued that African women</w:t>
      </w:r>
      <w:r w:rsidR="0023069A">
        <w:t xml:space="preserve"> a</w:t>
      </w:r>
      <w:r>
        <w:t xml:space="preserve">re not interested in using oral PrEP. </w:t>
      </w:r>
      <w:r w:rsidR="000E197C">
        <w:t xml:space="preserve">Trials such as the ADAPT trial </w:t>
      </w:r>
      <w:r>
        <w:t>were very much needed to test this hypo</w:t>
      </w:r>
      <w:r w:rsidR="00B40805">
        <w:t xml:space="preserve">thesis </w:t>
      </w:r>
      <w:r w:rsidR="002476BA">
        <w:t xml:space="preserve">in an open label setting </w:t>
      </w:r>
      <w:r w:rsidR="00B40805">
        <w:t xml:space="preserve">and to determine whether non-daily PrEP regimens might be more </w:t>
      </w:r>
      <w:r w:rsidR="002476BA">
        <w:t>feasible and acceptable</w:t>
      </w:r>
      <w:r w:rsidR="0025734C">
        <w:t xml:space="preserve"> than daily PrEP</w:t>
      </w:r>
      <w:r w:rsidR="00B40805">
        <w:t xml:space="preserve">. </w:t>
      </w:r>
      <w:r w:rsidR="00CC40E1">
        <w:t>T</w:t>
      </w:r>
      <w:r w:rsidR="0038189F">
        <w:t xml:space="preserve">he ADAPT trial </w:t>
      </w:r>
      <w:r w:rsidR="00CC40E1">
        <w:t xml:space="preserve">clearly showed that many </w:t>
      </w:r>
      <w:r w:rsidR="0038189F">
        <w:t xml:space="preserve">women are interested </w:t>
      </w:r>
      <w:r w:rsidR="00CC40E1">
        <w:t xml:space="preserve">in oral PrEP when offered to them with information about expected safety and efficacy </w:t>
      </w:r>
      <w:r w:rsidR="00B850B6">
        <w:t>(</w:t>
      </w:r>
      <w:r w:rsidR="00C17E9C">
        <w:t xml:space="preserve">with one caveat: </w:t>
      </w:r>
      <w:r w:rsidR="00B850B6">
        <w:t>efficacy evidence for non-daily PrEP was lacking</w:t>
      </w:r>
      <w:r w:rsidR="00C17E9C">
        <w:t xml:space="preserve"> during trial implementation</w:t>
      </w:r>
      <w:r w:rsidR="00B850B6">
        <w:t xml:space="preserve">) </w:t>
      </w:r>
      <w:r w:rsidR="00CC40E1">
        <w:t>and no risk of being randomised to a placebo. This is consistent with trials in men who have sex with men</w:t>
      </w:r>
      <w:r w:rsidR="008203D7">
        <w:t xml:space="preserve"> </w:t>
      </w:r>
      <w:r w:rsidR="002476BA">
        <w:t>that showed higher</w:t>
      </w:r>
      <w:r w:rsidR="00CC40E1">
        <w:t xml:space="preserve"> oral </w:t>
      </w:r>
      <w:r w:rsidR="002476BA">
        <w:t xml:space="preserve">PrEP efficacy in open-label </w:t>
      </w:r>
      <w:r w:rsidR="0025734C">
        <w:t>[</w:t>
      </w:r>
      <w:r w:rsidR="00B850B6">
        <w:t>6, 7</w:t>
      </w:r>
      <w:r w:rsidR="0025734C">
        <w:t xml:space="preserve">] </w:t>
      </w:r>
      <w:r w:rsidR="002476BA">
        <w:t>than</w:t>
      </w:r>
      <w:r w:rsidR="00CC40E1">
        <w:t xml:space="preserve"> placebo-controlled settings [</w:t>
      </w:r>
      <w:r w:rsidR="00FF5906">
        <w:t>8</w:t>
      </w:r>
      <w:r w:rsidR="00CC40E1">
        <w:t>]</w:t>
      </w:r>
      <w:r w:rsidR="008203D7">
        <w:t>,</w:t>
      </w:r>
      <w:r w:rsidR="00956EC0">
        <w:t xml:space="preserve"> and is a major step forward in HIV prevention in women</w:t>
      </w:r>
      <w:r w:rsidR="00CC40E1">
        <w:t xml:space="preserve">. </w:t>
      </w:r>
    </w:p>
    <w:p w14:paraId="36D1731A" w14:textId="77777777" w:rsidR="00CC40E1" w:rsidRDefault="00CC40E1"/>
    <w:p w14:paraId="3CFA44A0" w14:textId="2D30D563" w:rsidR="00C17E9C" w:rsidRDefault="00CC40E1">
      <w:r>
        <w:t>The ADAPT trial findings regarding the best dosing strategy are</w:t>
      </w:r>
      <w:r w:rsidR="00956EC0">
        <w:t>, however,</w:t>
      </w:r>
      <w:r>
        <w:t xml:space="preserve"> less clear. </w:t>
      </w:r>
      <w:r w:rsidR="00FC0A48">
        <w:t>T</w:t>
      </w:r>
      <w:r w:rsidR="008203D7">
        <w:t>he authors’ definition of ful</w:t>
      </w:r>
      <w:r w:rsidR="002476BA">
        <w:t>l coverage was based on intracellular half-lives of the active drugs</w:t>
      </w:r>
      <w:r w:rsidR="00F04D41">
        <w:t xml:space="preserve"> and </w:t>
      </w:r>
      <w:r w:rsidR="002476BA">
        <w:t>challenge studies in non-human primates</w:t>
      </w:r>
      <w:r w:rsidR="00387255">
        <w:t xml:space="preserve"> [9, 10</w:t>
      </w:r>
      <w:r w:rsidR="008203D7">
        <w:t xml:space="preserve">], </w:t>
      </w:r>
      <w:r w:rsidR="00FC0A48">
        <w:t xml:space="preserve">which </w:t>
      </w:r>
      <w:r w:rsidR="008203D7">
        <w:t>may not translate to the human situation</w:t>
      </w:r>
      <w:r w:rsidR="002476BA">
        <w:t>:</w:t>
      </w:r>
      <w:r w:rsidR="00FC0A48">
        <w:t xml:space="preserve"> women who achieved partial coverage by the authors’ definition might</w:t>
      </w:r>
      <w:r w:rsidR="002476BA">
        <w:t xml:space="preserve"> </w:t>
      </w:r>
      <w:r w:rsidR="00F04D41">
        <w:t xml:space="preserve">still </w:t>
      </w:r>
      <w:r w:rsidR="002476BA">
        <w:t>have been protected from HIV</w:t>
      </w:r>
      <w:r w:rsidR="005F2E81">
        <w:t xml:space="preserve">. </w:t>
      </w:r>
      <w:r w:rsidR="008D1776">
        <w:t xml:space="preserve">Qualitative </w:t>
      </w:r>
      <w:r w:rsidR="008D1776">
        <w:t xml:space="preserve">research with ADAPT participants revealed </w:t>
      </w:r>
      <w:r w:rsidR="008D1776">
        <w:t xml:space="preserve">that women in the non-daily groups sometimes had difficulty predicting when and where sex would take place, and as a result, might not </w:t>
      </w:r>
      <w:r w:rsidR="00C17E9C">
        <w:t xml:space="preserve">always </w:t>
      </w:r>
      <w:r w:rsidR="008D1776">
        <w:t xml:space="preserve">have </w:t>
      </w:r>
      <w:r w:rsidR="006C3874">
        <w:t xml:space="preserve">had </w:t>
      </w:r>
      <w:r w:rsidR="008D1776">
        <w:t xml:space="preserve">access to their </w:t>
      </w:r>
      <w:r w:rsidR="00FD45D1">
        <w:t>pills for pre- and/or post-sex dosing</w:t>
      </w:r>
      <w:bookmarkStart w:id="0" w:name="_GoBack"/>
      <w:bookmarkEnd w:id="0"/>
      <w:r w:rsidR="00387255">
        <w:t xml:space="preserve"> [11</w:t>
      </w:r>
      <w:r w:rsidR="008D1776">
        <w:t xml:space="preserve">]. However, quantitative </w:t>
      </w:r>
      <w:r w:rsidR="006C3874">
        <w:t xml:space="preserve">ADAPT </w:t>
      </w:r>
      <w:r w:rsidR="008D1776">
        <w:t>trial data showed that p</w:t>
      </w:r>
      <w:r w:rsidR="003F6408">
        <w:t>artial coverage was mostly due to missed post-sex dosing</w:t>
      </w:r>
      <w:r w:rsidR="00AA2B14">
        <w:t xml:space="preserve"> [1]</w:t>
      </w:r>
      <w:r w:rsidR="006C3874">
        <w:t xml:space="preserve">. Participants </w:t>
      </w:r>
      <w:r w:rsidR="003F6408">
        <w:t>were told that post-sex dosing should preferably take place within two</w:t>
      </w:r>
      <w:r w:rsidR="006C3874">
        <w:t xml:space="preserve"> hours post-</w:t>
      </w:r>
      <w:r w:rsidR="003F6408">
        <w:t>sex</w:t>
      </w:r>
      <w:r w:rsidR="0088128A">
        <w:t xml:space="preserve"> (even though the defini</w:t>
      </w:r>
      <w:r w:rsidR="006C3874">
        <w:t>tion of full coverage was ‘within 24 hours post-</w:t>
      </w:r>
      <w:r w:rsidR="0088128A">
        <w:t>sex</w:t>
      </w:r>
      <w:r w:rsidR="006C3874">
        <w:t>’</w:t>
      </w:r>
      <w:r w:rsidR="0088128A">
        <w:t>)</w:t>
      </w:r>
      <w:r w:rsidR="003F6408">
        <w:t xml:space="preserve">, and </w:t>
      </w:r>
      <w:r w:rsidR="0088128A">
        <w:t xml:space="preserve">this was at odds </w:t>
      </w:r>
      <w:r w:rsidR="0088128A">
        <w:lastRenderedPageBreak/>
        <w:t xml:space="preserve">with some women’s wish </w:t>
      </w:r>
      <w:r w:rsidR="008D1776">
        <w:t xml:space="preserve">to relax after sex </w:t>
      </w:r>
      <w:r w:rsidR="00AA2B14">
        <w:t>[11</w:t>
      </w:r>
      <w:r w:rsidR="003F6408">
        <w:t>]</w:t>
      </w:r>
      <w:r w:rsidR="00F04D41">
        <w:t xml:space="preserve">. </w:t>
      </w:r>
      <w:r w:rsidR="00EE03D3">
        <w:t>Other, much smaller, studies of intermittent PrEP in different population</w:t>
      </w:r>
      <w:r w:rsidR="006C3874">
        <w:t xml:space="preserve">s have also shown that </w:t>
      </w:r>
      <w:r w:rsidR="00EE03D3">
        <w:t xml:space="preserve">dosing </w:t>
      </w:r>
      <w:r w:rsidR="006C3874">
        <w:t xml:space="preserve">within two hours post-sex is more </w:t>
      </w:r>
      <w:r w:rsidR="00EE03D3">
        <w:t xml:space="preserve">challenging </w:t>
      </w:r>
      <w:r w:rsidR="006C3874">
        <w:t xml:space="preserve">than daily or pre-sex dosing </w:t>
      </w:r>
      <w:r w:rsidR="00EE03D3">
        <w:t>[</w:t>
      </w:r>
      <w:r w:rsidR="00AA2B14">
        <w:t>12, 13</w:t>
      </w:r>
      <w:r w:rsidR="00EE03D3">
        <w:t xml:space="preserve">]. </w:t>
      </w:r>
      <w:r w:rsidR="006C3874">
        <w:t>Furthermore</w:t>
      </w:r>
      <w:r w:rsidR="008203D7">
        <w:t>, th</w:t>
      </w:r>
      <w:r w:rsidR="006C3874">
        <w:t xml:space="preserve">e ADAPT trial only studied </w:t>
      </w:r>
      <w:r w:rsidR="008203D7">
        <w:t>PrEP use for 24 weeks</w:t>
      </w:r>
      <w:r w:rsidR="00B86CBB">
        <w:t>, and found a decrease in adherence and coverage over time</w:t>
      </w:r>
      <w:r w:rsidR="003F6408">
        <w:t xml:space="preserve"> in all three randomisation groups</w:t>
      </w:r>
      <w:r w:rsidR="008203D7">
        <w:t>.</w:t>
      </w:r>
      <w:r w:rsidR="001C2ADB">
        <w:t xml:space="preserve"> The challenges associated with post-sex dosing and dosing fatigue over time </w:t>
      </w:r>
      <w:r w:rsidR="006C3874">
        <w:t>should</w:t>
      </w:r>
      <w:r w:rsidR="001C2ADB">
        <w:t xml:space="preserve"> be addressed, and much larger trials conducted to </w:t>
      </w:r>
      <w:r w:rsidR="00F04D41">
        <w:t xml:space="preserve">determine </w:t>
      </w:r>
      <w:r w:rsidR="001C2ADB">
        <w:t xml:space="preserve">longer-term adherence, safety and HIV prevention efficacy with different regimens </w:t>
      </w:r>
      <w:r w:rsidR="00F04D41">
        <w:t xml:space="preserve">in </w:t>
      </w:r>
      <w:r w:rsidR="0088128A">
        <w:t>high freque</w:t>
      </w:r>
      <w:r w:rsidR="00F04D41">
        <w:t>ncy versus low frequency sexual risk settings</w:t>
      </w:r>
      <w:r w:rsidR="00375582">
        <w:t xml:space="preserve">. In parallel, </w:t>
      </w:r>
      <w:r w:rsidR="006207FE">
        <w:t>extended-release formulations of antiretroviral drugs (such as vaginal rings and injectables) should co</w:t>
      </w:r>
      <w:r w:rsidR="006C3874">
        <w:t>ntinue to be developed; r</w:t>
      </w:r>
      <w:r w:rsidR="006207FE">
        <w:t>ecent successes with tenofovir and dapivirine vaginal rings are encouraging in that regard</w:t>
      </w:r>
      <w:r w:rsidR="00AA2B14">
        <w:t xml:space="preserve"> [14-16</w:t>
      </w:r>
      <w:r w:rsidR="006207FE">
        <w:t xml:space="preserve">]. </w:t>
      </w:r>
    </w:p>
    <w:p w14:paraId="4E616E5E" w14:textId="77777777" w:rsidR="00C17E9C" w:rsidRDefault="00C17E9C"/>
    <w:p w14:paraId="2FCCBDEE" w14:textId="68277FDF" w:rsidR="006207FE" w:rsidRDefault="00BF36CD">
      <w:r>
        <w:t xml:space="preserve">The family planning field has taught us that one size does not fit all, and that providing women with options will prevent </w:t>
      </w:r>
      <w:r w:rsidR="00754D88">
        <w:t>more unintended</w:t>
      </w:r>
      <w:r w:rsidR="00AA2B14">
        <w:t xml:space="preserve"> pregnancies [17</w:t>
      </w:r>
      <w:r w:rsidR="005F2E81">
        <w:t xml:space="preserve">]. </w:t>
      </w:r>
      <w:r w:rsidR="006207FE">
        <w:t xml:space="preserve">It is very likely that the </w:t>
      </w:r>
      <w:r w:rsidR="006C3874">
        <w:t xml:space="preserve">same </w:t>
      </w:r>
      <w:r w:rsidR="001A73C5">
        <w:t>will apply</w:t>
      </w:r>
      <w:r w:rsidR="006C3874">
        <w:t xml:space="preserve"> </w:t>
      </w:r>
      <w:r>
        <w:t xml:space="preserve">to HIV prevention in women. </w:t>
      </w:r>
    </w:p>
    <w:p w14:paraId="60189CFA" w14:textId="77777777" w:rsidR="006207FE" w:rsidRDefault="006207FE"/>
    <w:p w14:paraId="2B4B0248" w14:textId="77777777" w:rsidR="006207FE" w:rsidRDefault="006207FE"/>
    <w:p w14:paraId="776C3FBE" w14:textId="15E36640" w:rsidR="00682772" w:rsidRDefault="00682772"/>
    <w:p w14:paraId="3CA567B2" w14:textId="77777777" w:rsidR="00427DFC" w:rsidRDefault="00427DFC"/>
    <w:p w14:paraId="3087F39A" w14:textId="77777777" w:rsidR="00427DFC" w:rsidRDefault="00427DFC"/>
    <w:p w14:paraId="027803D9" w14:textId="77777777" w:rsidR="00944B33" w:rsidRDefault="00944B33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3C577F50" w14:textId="445EC352" w:rsidR="003A387D" w:rsidRPr="005C4FE0" w:rsidRDefault="003A387D">
      <w:pPr>
        <w:rPr>
          <w:b/>
        </w:rPr>
      </w:pPr>
      <w:r w:rsidRPr="005C4FE0">
        <w:rPr>
          <w:b/>
        </w:rPr>
        <w:lastRenderedPageBreak/>
        <w:t>References:</w:t>
      </w:r>
    </w:p>
    <w:p w14:paraId="2A1F837E" w14:textId="27B2C32F" w:rsidR="000F69A6" w:rsidRDefault="000F69A6" w:rsidP="00167BD4">
      <w:pPr>
        <w:pStyle w:val="ListParagraph"/>
        <w:numPr>
          <w:ilvl w:val="0"/>
          <w:numId w:val="2"/>
        </w:numPr>
        <w:ind w:left="426" w:hanging="426"/>
      </w:pPr>
      <w:r>
        <w:t>B</w:t>
      </w:r>
      <w:r w:rsidR="00EC4602">
        <w:t>ekker L</w:t>
      </w:r>
      <w:r w:rsidR="008F4EED">
        <w:t>G, Roux S, Sebastien E</w:t>
      </w:r>
      <w:r>
        <w:t>, et al. A randomi</w:t>
      </w:r>
      <w:r w:rsidR="003167A8">
        <w:t>z</w:t>
      </w:r>
      <w:r>
        <w:t xml:space="preserve">ed open label trial of daily and non-daily pre-exposure prophylaxis in African women: The HPTN 067/ADAPT Cape Town trial. </w:t>
      </w:r>
      <w:r w:rsidR="00B850B6" w:rsidRPr="00B850B6">
        <w:rPr>
          <w:i/>
        </w:rPr>
        <w:t>Lancet HIV</w:t>
      </w:r>
      <w:r w:rsidR="00B850B6">
        <w:t>. 2017; in press.</w:t>
      </w:r>
    </w:p>
    <w:p w14:paraId="3FC75D97" w14:textId="01BB858F" w:rsidR="00B850B6" w:rsidRDefault="008F4EED" w:rsidP="00167BD4">
      <w:pPr>
        <w:pStyle w:val="ListParagraph"/>
        <w:numPr>
          <w:ilvl w:val="0"/>
          <w:numId w:val="2"/>
        </w:numPr>
        <w:ind w:left="426" w:hanging="426"/>
      </w:pPr>
      <w:r>
        <w:t>Baeten JM, Donnell D, Ndase P</w:t>
      </w:r>
      <w:r w:rsidR="00B850B6">
        <w:t xml:space="preserve">, et al. Antiretroviral prophylaxis for HIV prevention in heterosexual men and women. </w:t>
      </w:r>
      <w:r w:rsidR="00FF5906">
        <w:rPr>
          <w:i/>
        </w:rPr>
        <w:t>N</w:t>
      </w:r>
      <w:r w:rsidR="00B850B6" w:rsidRPr="00167BD4">
        <w:rPr>
          <w:i/>
        </w:rPr>
        <w:t xml:space="preserve"> Engl J Med</w:t>
      </w:r>
      <w:r w:rsidR="00B850B6">
        <w:t xml:space="preserve">. 2012; </w:t>
      </w:r>
      <w:r w:rsidR="00B850B6" w:rsidRPr="00167BD4">
        <w:rPr>
          <w:b/>
        </w:rPr>
        <w:t>367</w:t>
      </w:r>
      <w:r w:rsidR="00B850B6">
        <w:t>: 399-410.</w:t>
      </w:r>
    </w:p>
    <w:p w14:paraId="6265DE27" w14:textId="4D08FC40" w:rsidR="00B850B6" w:rsidRDefault="00B850B6" w:rsidP="00B850B6">
      <w:pPr>
        <w:pStyle w:val="ListParagraph"/>
        <w:numPr>
          <w:ilvl w:val="0"/>
          <w:numId w:val="2"/>
        </w:numPr>
        <w:ind w:left="426" w:hanging="426"/>
      </w:pPr>
      <w:r>
        <w:t xml:space="preserve">Thigpen MC, Kebaabetswe PM, Paxton LA, et al. </w:t>
      </w:r>
      <w:r w:rsidR="003167A8">
        <w:t>Antiretroviral pre</w:t>
      </w:r>
      <w:r>
        <w:t xml:space="preserve">exposure prophylaxis for heterosexual HIV transmission in Botswana. </w:t>
      </w:r>
      <w:r w:rsidR="00FF5906">
        <w:rPr>
          <w:i/>
        </w:rPr>
        <w:t>N</w:t>
      </w:r>
      <w:r w:rsidRPr="00167BD4">
        <w:rPr>
          <w:i/>
        </w:rPr>
        <w:t xml:space="preserve"> Engl J Med</w:t>
      </w:r>
      <w:r>
        <w:t>. 2012;</w:t>
      </w:r>
      <w:r>
        <w:t xml:space="preserve"> </w:t>
      </w:r>
      <w:r w:rsidRPr="00B850B6">
        <w:rPr>
          <w:b/>
        </w:rPr>
        <w:t>367</w:t>
      </w:r>
      <w:r>
        <w:t>: 424</w:t>
      </w:r>
      <w:r w:rsidR="008F4EED">
        <w:t>-</w:t>
      </w:r>
      <w:r>
        <w:t>34.</w:t>
      </w:r>
    </w:p>
    <w:p w14:paraId="0F2180A1" w14:textId="6AF4578F" w:rsidR="003167A8" w:rsidRDefault="00B850B6" w:rsidP="003167A8">
      <w:pPr>
        <w:pStyle w:val="ListParagraph"/>
        <w:numPr>
          <w:ilvl w:val="0"/>
          <w:numId w:val="2"/>
        </w:numPr>
        <w:ind w:left="426" w:hanging="426"/>
      </w:pPr>
      <w:r>
        <w:t xml:space="preserve">Van Damme L, Corneli A, Ahmed K, et al. </w:t>
      </w:r>
      <w:r w:rsidR="003167A8">
        <w:t>Pre</w:t>
      </w:r>
      <w:r>
        <w:t xml:space="preserve">exposure prophylaxis for HIV prevention among African women. </w:t>
      </w:r>
      <w:r w:rsidR="00FF5906">
        <w:rPr>
          <w:i/>
        </w:rPr>
        <w:t>N</w:t>
      </w:r>
      <w:r w:rsidRPr="00167BD4">
        <w:rPr>
          <w:i/>
        </w:rPr>
        <w:t xml:space="preserve"> Engl J Med</w:t>
      </w:r>
      <w:r>
        <w:t xml:space="preserve">. 2012; </w:t>
      </w:r>
      <w:r w:rsidRPr="00B850B6">
        <w:rPr>
          <w:b/>
        </w:rPr>
        <w:t>367</w:t>
      </w:r>
      <w:r>
        <w:t xml:space="preserve">: </w:t>
      </w:r>
      <w:r>
        <w:t>411</w:t>
      </w:r>
      <w:r w:rsidR="008F4EED">
        <w:t>-</w:t>
      </w:r>
      <w:r>
        <w:t>22</w:t>
      </w:r>
      <w:r>
        <w:t>.</w:t>
      </w:r>
    </w:p>
    <w:p w14:paraId="22E7D600" w14:textId="3ACFE8C8" w:rsidR="003167A8" w:rsidRDefault="003167A8" w:rsidP="003167A8">
      <w:pPr>
        <w:pStyle w:val="ListParagraph"/>
        <w:numPr>
          <w:ilvl w:val="0"/>
          <w:numId w:val="2"/>
        </w:numPr>
        <w:ind w:left="426" w:hanging="426"/>
      </w:pPr>
      <w:r>
        <w:t>Marrazzo JM</w:t>
      </w:r>
      <w:r w:rsidRPr="003167A8">
        <w:t>, Ramjee G, Richardson BA,</w:t>
      </w:r>
      <w:r>
        <w:t xml:space="preserve"> et al. </w:t>
      </w:r>
      <w:r w:rsidRPr="003167A8">
        <w:t>Tenofovir-based preexposure prophylaxis for HIV infection among African women.</w:t>
      </w:r>
      <w:r>
        <w:t xml:space="preserve"> </w:t>
      </w:r>
      <w:r w:rsidRPr="003167A8">
        <w:rPr>
          <w:i/>
        </w:rPr>
        <w:t>N Engl J Med</w:t>
      </w:r>
      <w:r>
        <w:t>. 2015</w:t>
      </w:r>
      <w:r w:rsidRPr="003167A8">
        <w:t>;</w:t>
      </w:r>
      <w:r>
        <w:t xml:space="preserve"> </w:t>
      </w:r>
      <w:r w:rsidRPr="003167A8">
        <w:rPr>
          <w:b/>
        </w:rPr>
        <w:t>372</w:t>
      </w:r>
      <w:r w:rsidRPr="003167A8">
        <w:t>:</w:t>
      </w:r>
      <w:r>
        <w:t xml:space="preserve"> </w:t>
      </w:r>
      <w:r w:rsidRPr="003167A8">
        <w:t>509-18.</w:t>
      </w:r>
    </w:p>
    <w:p w14:paraId="02417548" w14:textId="330985A2" w:rsidR="00B850B6" w:rsidRDefault="00B850B6" w:rsidP="003167A8">
      <w:pPr>
        <w:pStyle w:val="ListParagraph"/>
        <w:numPr>
          <w:ilvl w:val="0"/>
          <w:numId w:val="2"/>
        </w:numPr>
        <w:ind w:left="426" w:hanging="426"/>
      </w:pPr>
      <w:r>
        <w:t xml:space="preserve">McCormack S, Dunn DT, Desai M, </w:t>
      </w:r>
      <w:r w:rsidR="00E35612">
        <w:t xml:space="preserve">et al. Pre-exposure prophylaxis to prevent acquisition of HIV-1 infection (PROUD): effectiveness results from the pilot phase of a pragmatic open-label randomised trial. </w:t>
      </w:r>
      <w:r w:rsidR="00E35612" w:rsidRPr="003167A8">
        <w:rPr>
          <w:i/>
        </w:rPr>
        <w:t>Lancet</w:t>
      </w:r>
      <w:r w:rsidR="003167A8">
        <w:t xml:space="preserve">. 2016; </w:t>
      </w:r>
      <w:r w:rsidR="003167A8" w:rsidRPr="003167A8">
        <w:rPr>
          <w:b/>
        </w:rPr>
        <w:t>387</w:t>
      </w:r>
      <w:r w:rsidR="003167A8" w:rsidRPr="003167A8">
        <w:t>:</w:t>
      </w:r>
      <w:r w:rsidR="003167A8">
        <w:t xml:space="preserve"> </w:t>
      </w:r>
      <w:r w:rsidR="003167A8" w:rsidRPr="003167A8">
        <w:t>53-60.</w:t>
      </w:r>
    </w:p>
    <w:p w14:paraId="3AD7F37F" w14:textId="1A36B69A" w:rsidR="00B850B6" w:rsidRDefault="00E35612" w:rsidP="00167BD4">
      <w:pPr>
        <w:pStyle w:val="ListParagraph"/>
        <w:numPr>
          <w:ilvl w:val="0"/>
          <w:numId w:val="2"/>
        </w:numPr>
        <w:ind w:left="426" w:hanging="426"/>
      </w:pPr>
      <w:r>
        <w:t>Molina JM, Capitant C, Spire B, et al.</w:t>
      </w:r>
      <w:r w:rsidR="003167A8">
        <w:t xml:space="preserve"> On-demand pre</w:t>
      </w:r>
      <w:r>
        <w:t xml:space="preserve">exposure prophylaxis in men at high risk of HIV-1 infection. </w:t>
      </w:r>
      <w:r w:rsidR="00FF5906">
        <w:rPr>
          <w:i/>
        </w:rPr>
        <w:t>N</w:t>
      </w:r>
      <w:r w:rsidRPr="00E35612">
        <w:rPr>
          <w:i/>
        </w:rPr>
        <w:t xml:space="preserve"> Eng J Med</w:t>
      </w:r>
      <w:r>
        <w:t xml:space="preserve">. 2015; </w:t>
      </w:r>
      <w:r w:rsidRPr="00E35612">
        <w:rPr>
          <w:b/>
        </w:rPr>
        <w:t>373</w:t>
      </w:r>
      <w:r w:rsidR="008F4EED">
        <w:t>: 2237-</w:t>
      </w:r>
      <w:r>
        <w:t>46.</w:t>
      </w:r>
    </w:p>
    <w:p w14:paraId="3219CBF9" w14:textId="0C1B5956" w:rsidR="00B618E3" w:rsidRDefault="00FF5906" w:rsidP="00B618E3">
      <w:pPr>
        <w:pStyle w:val="ListParagraph"/>
        <w:numPr>
          <w:ilvl w:val="0"/>
          <w:numId w:val="2"/>
        </w:numPr>
        <w:ind w:left="426" w:hanging="426"/>
      </w:pPr>
      <w:r>
        <w:t xml:space="preserve">Grant RM, Lama JR, Anderson PL, et al. </w:t>
      </w:r>
      <w:r w:rsidR="003167A8">
        <w:t>Pre</w:t>
      </w:r>
      <w:r>
        <w:t xml:space="preserve">exposure chemoprophylaxis for HIV prevention in men who have sex with men. </w:t>
      </w:r>
      <w:r w:rsidRPr="00FF5906">
        <w:rPr>
          <w:i/>
        </w:rPr>
        <w:t>N Eng J Med</w:t>
      </w:r>
      <w:r>
        <w:t xml:space="preserve">. 2010; </w:t>
      </w:r>
      <w:r w:rsidRPr="00FF5906">
        <w:rPr>
          <w:b/>
        </w:rPr>
        <w:t>363</w:t>
      </w:r>
      <w:r w:rsidR="008F4EED">
        <w:t>: 2587-</w:t>
      </w:r>
      <w:r>
        <w:t>99.</w:t>
      </w:r>
    </w:p>
    <w:p w14:paraId="6C004B7B" w14:textId="42166EEC" w:rsidR="00797739" w:rsidRDefault="00387255" w:rsidP="00B618E3">
      <w:pPr>
        <w:pStyle w:val="ListParagraph"/>
        <w:numPr>
          <w:ilvl w:val="0"/>
          <w:numId w:val="2"/>
        </w:numPr>
        <w:ind w:left="426" w:hanging="426"/>
      </w:pPr>
      <w:r>
        <w:t xml:space="preserve">Garcia-Lerma JG, Otten RA, </w:t>
      </w:r>
      <w:r w:rsidR="00B618E3">
        <w:t xml:space="preserve">Qari SH, </w:t>
      </w:r>
      <w:r>
        <w:t xml:space="preserve">et al. Prevention of rectal SHIV transmission in macaques by daily or intermittent prophylaxis with emtricitabine and tenofovir. </w:t>
      </w:r>
      <w:r w:rsidRPr="00B618E3">
        <w:rPr>
          <w:i/>
        </w:rPr>
        <w:t>PLoS Med</w:t>
      </w:r>
      <w:r>
        <w:t xml:space="preserve">. 2008; </w:t>
      </w:r>
      <w:r w:rsidRPr="00B618E3">
        <w:rPr>
          <w:b/>
        </w:rPr>
        <w:t>5</w:t>
      </w:r>
      <w:r>
        <w:t>: e28.</w:t>
      </w:r>
    </w:p>
    <w:p w14:paraId="1394D75E" w14:textId="544012EA" w:rsidR="00A6515A" w:rsidRDefault="00387255" w:rsidP="00A6515A">
      <w:pPr>
        <w:pStyle w:val="ListParagraph"/>
        <w:numPr>
          <w:ilvl w:val="0"/>
          <w:numId w:val="2"/>
        </w:numPr>
        <w:ind w:left="426" w:hanging="426"/>
      </w:pPr>
      <w:r w:rsidRPr="00387255">
        <w:t>Radzio</w:t>
      </w:r>
      <w:r>
        <w:t xml:space="preserve"> J, </w:t>
      </w:r>
      <w:r w:rsidRPr="00387255">
        <w:t>Aung</w:t>
      </w:r>
      <w:r>
        <w:t xml:space="preserve"> W, </w:t>
      </w:r>
      <w:r w:rsidRPr="00387255">
        <w:t>Holder</w:t>
      </w:r>
      <w:r>
        <w:t xml:space="preserve"> A, et al. </w:t>
      </w:r>
      <w:r w:rsidR="00E4218E">
        <w:t>Prevention of vaginal SHIV transmission in m</w:t>
      </w:r>
      <w:r w:rsidR="00E4218E">
        <w:t>acaques by</w:t>
      </w:r>
      <w:r w:rsidR="00E4218E">
        <w:t xml:space="preserve"> a coitally-dependent Truvada r</w:t>
      </w:r>
      <w:r w:rsidR="00E4218E">
        <w:t>egimen</w:t>
      </w:r>
      <w:r w:rsidR="00E4218E">
        <w:t xml:space="preserve">. </w:t>
      </w:r>
      <w:r w:rsidR="00B618E3">
        <w:rPr>
          <w:i/>
        </w:rPr>
        <w:t>PLoS One</w:t>
      </w:r>
      <w:r w:rsidR="00D764A4">
        <w:rPr>
          <w:i/>
        </w:rPr>
        <w:t xml:space="preserve">. </w:t>
      </w:r>
      <w:r w:rsidR="00D764A4">
        <w:t>2012</w:t>
      </w:r>
      <w:r w:rsidR="00797739">
        <w:t xml:space="preserve">; </w:t>
      </w:r>
      <w:r w:rsidR="00797739" w:rsidRPr="00797739">
        <w:rPr>
          <w:b/>
        </w:rPr>
        <w:t>7</w:t>
      </w:r>
      <w:r w:rsidR="00797739" w:rsidRPr="00797739">
        <w:t>: e50632.</w:t>
      </w:r>
    </w:p>
    <w:p w14:paraId="40EACE52" w14:textId="23EF6472" w:rsidR="00A6515A" w:rsidRDefault="00A6515A" w:rsidP="00A6515A">
      <w:pPr>
        <w:pStyle w:val="ListParagraph"/>
        <w:numPr>
          <w:ilvl w:val="0"/>
          <w:numId w:val="2"/>
        </w:numPr>
        <w:ind w:left="426" w:hanging="426"/>
      </w:pPr>
      <w:r>
        <w:t>Amico</w:t>
      </w:r>
      <w:r w:rsidR="00EC4602">
        <w:t xml:space="preserve"> KR, Wallace M, Bekker L</w:t>
      </w:r>
      <w:r>
        <w:t>G, et al. Experiences with HPTN 067/ADAPT study-provided open-label PrEP among women in Cape</w:t>
      </w:r>
      <w:r w:rsidR="00EE03B1">
        <w:t xml:space="preserve"> Town: f</w:t>
      </w:r>
      <w:r>
        <w:t xml:space="preserve">acilitators and barriers within a mutuality framework. </w:t>
      </w:r>
      <w:r w:rsidRPr="00A6515A">
        <w:rPr>
          <w:i/>
        </w:rPr>
        <w:t>AIDS Behav</w:t>
      </w:r>
      <w:r>
        <w:t xml:space="preserve">. 2017; </w:t>
      </w:r>
      <w:r w:rsidRPr="00A6515A">
        <w:rPr>
          <w:b/>
        </w:rPr>
        <w:t>21</w:t>
      </w:r>
      <w:r w:rsidR="008F4EED">
        <w:t>: 1361-</w:t>
      </w:r>
      <w:r w:rsidRPr="00A6515A">
        <w:t>75</w:t>
      </w:r>
      <w:r>
        <w:t>.</w:t>
      </w:r>
    </w:p>
    <w:p w14:paraId="099D2B1C" w14:textId="6E261EAF" w:rsidR="00AA2B14" w:rsidRDefault="008F4EED" w:rsidP="00A6515A">
      <w:pPr>
        <w:pStyle w:val="ListParagraph"/>
        <w:numPr>
          <w:ilvl w:val="0"/>
          <w:numId w:val="2"/>
        </w:numPr>
        <w:ind w:left="426" w:hanging="426"/>
      </w:pPr>
      <w:r>
        <w:t xml:space="preserve">Mutua G, Sanders E, Mugo P, </w:t>
      </w:r>
      <w:r w:rsidR="007D7435">
        <w:t xml:space="preserve">et al. </w:t>
      </w:r>
      <w:r w:rsidR="00C8666A">
        <w:t xml:space="preserve">Safety and adherence to intermittent pre-exposure prophylaxis (PrEP) for HIV-1 in African men who have sex with men and female sex workers. </w:t>
      </w:r>
      <w:r w:rsidR="00C8666A" w:rsidRPr="00C8666A">
        <w:rPr>
          <w:i/>
        </w:rPr>
        <w:t>PLoS One</w:t>
      </w:r>
      <w:r w:rsidR="00C8666A">
        <w:t xml:space="preserve">. 2012; </w:t>
      </w:r>
      <w:r w:rsidR="00C8666A" w:rsidRPr="00C8666A">
        <w:rPr>
          <w:b/>
        </w:rPr>
        <w:t>7</w:t>
      </w:r>
      <w:r w:rsidR="00C8666A">
        <w:t>: e33103.</w:t>
      </w:r>
      <w:r w:rsidR="00AA2B14">
        <w:t xml:space="preserve"> </w:t>
      </w:r>
    </w:p>
    <w:p w14:paraId="4554553A" w14:textId="4836DD9D" w:rsidR="00831820" w:rsidRDefault="00AA2B14" w:rsidP="00AA2B14">
      <w:pPr>
        <w:pStyle w:val="ListParagraph"/>
        <w:numPr>
          <w:ilvl w:val="0"/>
          <w:numId w:val="2"/>
        </w:numPr>
        <w:ind w:left="426" w:hanging="426"/>
      </w:pPr>
      <w:r>
        <w:t>Kibengo</w:t>
      </w:r>
      <w:r w:rsidR="00C8666A">
        <w:t xml:space="preserve"> FM, Ruzagira E, Katende D, et al. Safety, adherence and acceptability of intermittent tenofovir/emtricitabine as HIV pre-exposure prophylaxis (PrEP) among HIV-uninfected Ugandan volunteers living in HIV-serodiscordant relationships: a randomized clinical trial. </w:t>
      </w:r>
      <w:r w:rsidR="00C8666A" w:rsidRPr="00C8666A">
        <w:rPr>
          <w:i/>
        </w:rPr>
        <w:t>PLoS One</w:t>
      </w:r>
      <w:r w:rsidR="00C8666A">
        <w:t xml:space="preserve">. 2013; </w:t>
      </w:r>
      <w:r w:rsidR="00C8666A" w:rsidRPr="00C8666A">
        <w:rPr>
          <w:b/>
        </w:rPr>
        <w:t>8</w:t>
      </w:r>
      <w:r w:rsidR="00C8666A">
        <w:t>: e74314.</w:t>
      </w:r>
    </w:p>
    <w:p w14:paraId="19FB687B" w14:textId="77777777" w:rsidR="003167A8" w:rsidRDefault="008F4EED" w:rsidP="003167A8">
      <w:pPr>
        <w:pStyle w:val="ListParagraph"/>
        <w:numPr>
          <w:ilvl w:val="0"/>
          <w:numId w:val="2"/>
        </w:numPr>
        <w:ind w:left="426" w:hanging="426"/>
      </w:pPr>
      <w:r>
        <w:t xml:space="preserve">Abdool Karim Q, Abdool-Karim SS, Frohlich JA, et al. Effectiveness and safety of tenofovir gel, an antiretroviral microbicide, for the prevention of HIV infection in women. </w:t>
      </w:r>
      <w:r w:rsidRPr="008F4EED">
        <w:rPr>
          <w:i/>
        </w:rPr>
        <w:t>Science</w:t>
      </w:r>
      <w:r>
        <w:t xml:space="preserve">. 2010; </w:t>
      </w:r>
      <w:r w:rsidRPr="008F4EED">
        <w:rPr>
          <w:b/>
        </w:rPr>
        <w:t>329</w:t>
      </w:r>
      <w:r>
        <w:t>: 1168-74.</w:t>
      </w:r>
    </w:p>
    <w:p w14:paraId="31D5F38F" w14:textId="5CE3F180" w:rsidR="008F4EED" w:rsidRDefault="008F4EED" w:rsidP="003167A8">
      <w:pPr>
        <w:pStyle w:val="ListParagraph"/>
        <w:numPr>
          <w:ilvl w:val="0"/>
          <w:numId w:val="2"/>
        </w:numPr>
        <w:ind w:left="426" w:hanging="426"/>
      </w:pPr>
      <w:r w:rsidRPr="008F4EED">
        <w:t>Baeten</w:t>
      </w:r>
      <w:r>
        <w:t xml:space="preserve"> JM, </w:t>
      </w:r>
      <w:r w:rsidRPr="008F4EED">
        <w:t>Palanee-Phillips</w:t>
      </w:r>
      <w:r>
        <w:t xml:space="preserve"> T, </w:t>
      </w:r>
      <w:r w:rsidRPr="008F4EED">
        <w:t>Brown</w:t>
      </w:r>
      <w:r>
        <w:t xml:space="preserve"> ER</w:t>
      </w:r>
      <w:r w:rsidRPr="008F4EED">
        <w:t xml:space="preserve">, </w:t>
      </w:r>
      <w:r>
        <w:t xml:space="preserve">et al. Use of a vaginal ring containing dapivirine for HIV-1 prevention in women. </w:t>
      </w:r>
      <w:r w:rsidRPr="003167A8">
        <w:rPr>
          <w:i/>
        </w:rPr>
        <w:t>N Engl J Med</w:t>
      </w:r>
      <w:r>
        <w:t>.</w:t>
      </w:r>
      <w:r w:rsidR="003167A8">
        <w:t xml:space="preserve"> 2016; </w:t>
      </w:r>
      <w:r w:rsidR="003167A8" w:rsidRPr="003167A8">
        <w:rPr>
          <w:b/>
        </w:rPr>
        <w:t>375</w:t>
      </w:r>
      <w:r w:rsidR="003167A8" w:rsidRPr="003167A8">
        <w:t>:</w:t>
      </w:r>
      <w:r w:rsidR="003167A8">
        <w:t xml:space="preserve"> 2121-</w:t>
      </w:r>
      <w:r w:rsidR="003167A8" w:rsidRPr="003167A8">
        <w:t>32.</w:t>
      </w:r>
    </w:p>
    <w:p w14:paraId="4D48178A" w14:textId="77777777" w:rsidR="001D3B24" w:rsidRDefault="008F4EED" w:rsidP="001D3B24">
      <w:pPr>
        <w:pStyle w:val="ListParagraph"/>
        <w:numPr>
          <w:ilvl w:val="0"/>
          <w:numId w:val="2"/>
        </w:numPr>
        <w:ind w:left="426" w:hanging="426"/>
      </w:pPr>
      <w:r>
        <w:t>Nel A</w:t>
      </w:r>
      <w:r>
        <w:t xml:space="preserve">, </w:t>
      </w:r>
      <w:r w:rsidR="003167A8">
        <w:t>van Niekerk N, Kapiga S</w:t>
      </w:r>
      <w:r>
        <w:t xml:space="preserve">, </w:t>
      </w:r>
      <w:r>
        <w:t xml:space="preserve">et al. </w:t>
      </w:r>
      <w:r>
        <w:t xml:space="preserve">Safety and efficacy of a dapivirine vaginal ring for HIV prevention in women. </w:t>
      </w:r>
      <w:r w:rsidRPr="008F4EED">
        <w:rPr>
          <w:i/>
        </w:rPr>
        <w:t>N Engl J Med</w:t>
      </w:r>
      <w:r>
        <w:t xml:space="preserve">. </w:t>
      </w:r>
      <w:r w:rsidR="00272B3F">
        <w:t xml:space="preserve">2016. </w:t>
      </w:r>
      <w:r w:rsidR="00272B3F" w:rsidRPr="00272B3F">
        <w:rPr>
          <w:b/>
        </w:rPr>
        <w:t>375</w:t>
      </w:r>
      <w:r w:rsidR="00272B3F">
        <w:t xml:space="preserve">: </w:t>
      </w:r>
      <w:r>
        <w:t>2133-43.</w:t>
      </w:r>
    </w:p>
    <w:p w14:paraId="5EEE158D" w14:textId="61BBEE22" w:rsidR="00537DF1" w:rsidRPr="005C4FE0" w:rsidRDefault="001D3B24" w:rsidP="001D3B24">
      <w:pPr>
        <w:pStyle w:val="ListParagraph"/>
        <w:numPr>
          <w:ilvl w:val="0"/>
          <w:numId w:val="2"/>
        </w:numPr>
        <w:ind w:left="426" w:hanging="426"/>
      </w:pPr>
      <w:r>
        <w:t>Delany-Moretlwe S</w:t>
      </w:r>
      <w:r w:rsidRPr="001D3B24">
        <w:t>, Mullick S, Eakle R, Rees H.</w:t>
      </w:r>
      <w:r>
        <w:t xml:space="preserve"> </w:t>
      </w:r>
      <w:r w:rsidRPr="001D3B24">
        <w:t>Planning for HIV preexposure prophylaxis introduction: lessons learned from contraception.</w:t>
      </w:r>
      <w:r>
        <w:t xml:space="preserve"> </w:t>
      </w:r>
      <w:r w:rsidRPr="001D3B24">
        <w:rPr>
          <w:i/>
        </w:rPr>
        <w:t>Curr Opin HIV AIDS</w:t>
      </w:r>
      <w:r>
        <w:t>. 2016</w:t>
      </w:r>
      <w:r w:rsidRPr="001D3B24">
        <w:t>;</w:t>
      </w:r>
      <w:r>
        <w:t xml:space="preserve"> </w:t>
      </w:r>
      <w:r w:rsidRPr="001D3B24">
        <w:rPr>
          <w:b/>
        </w:rPr>
        <w:t>11</w:t>
      </w:r>
      <w:r w:rsidRPr="001D3B24">
        <w:t>:</w:t>
      </w:r>
      <w:r>
        <w:t xml:space="preserve"> </w:t>
      </w:r>
      <w:r w:rsidRPr="001D3B24">
        <w:t>87-93.</w:t>
      </w:r>
    </w:p>
    <w:sectPr w:rsidR="00537DF1" w:rsidRPr="005C4F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B41D" w14:textId="77777777" w:rsidR="007B3D42" w:rsidRDefault="007B3D42" w:rsidP="00A501FE">
      <w:r>
        <w:separator/>
      </w:r>
    </w:p>
  </w:endnote>
  <w:endnote w:type="continuationSeparator" w:id="0">
    <w:p w14:paraId="32FD0BB2" w14:textId="77777777" w:rsidR="007B3D42" w:rsidRDefault="007B3D42" w:rsidP="00A5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0EC43" w14:textId="61BE5085" w:rsidR="00A501FE" w:rsidRDefault="00A50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71DB29" w14:textId="77777777" w:rsidR="00A501FE" w:rsidRDefault="00A50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7E07" w14:textId="77777777" w:rsidR="007B3D42" w:rsidRDefault="007B3D42" w:rsidP="00A501FE">
      <w:r>
        <w:separator/>
      </w:r>
    </w:p>
  </w:footnote>
  <w:footnote w:type="continuationSeparator" w:id="0">
    <w:p w14:paraId="13BCB7E7" w14:textId="77777777" w:rsidR="007B3D42" w:rsidRDefault="007B3D42" w:rsidP="00A5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B8"/>
    <w:multiLevelType w:val="hybridMultilevel"/>
    <w:tmpl w:val="604CC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2BC"/>
    <w:multiLevelType w:val="hybridMultilevel"/>
    <w:tmpl w:val="0268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1DE5"/>
    <w:multiLevelType w:val="hybridMultilevel"/>
    <w:tmpl w:val="53381572"/>
    <w:lvl w:ilvl="0" w:tplc="BAF6F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2637"/>
    <w:multiLevelType w:val="hybridMultilevel"/>
    <w:tmpl w:val="F892B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042A"/>
    <w:multiLevelType w:val="hybridMultilevel"/>
    <w:tmpl w:val="C1569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32B7"/>
    <w:multiLevelType w:val="hybridMultilevel"/>
    <w:tmpl w:val="21866602"/>
    <w:lvl w:ilvl="0" w:tplc="22CEB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7"/>
    <w:rsid w:val="00004902"/>
    <w:rsid w:val="000076AF"/>
    <w:rsid w:val="00025EBB"/>
    <w:rsid w:val="0003140D"/>
    <w:rsid w:val="0005121F"/>
    <w:rsid w:val="000541C9"/>
    <w:rsid w:val="000562F7"/>
    <w:rsid w:val="00062B99"/>
    <w:rsid w:val="000829CB"/>
    <w:rsid w:val="00097269"/>
    <w:rsid w:val="000A1C16"/>
    <w:rsid w:val="000A1C7F"/>
    <w:rsid w:val="000B2FA4"/>
    <w:rsid w:val="000B7AC0"/>
    <w:rsid w:val="000D1A16"/>
    <w:rsid w:val="000E0DE9"/>
    <w:rsid w:val="000E14C4"/>
    <w:rsid w:val="000E197C"/>
    <w:rsid w:val="000F69A6"/>
    <w:rsid w:val="000F7C22"/>
    <w:rsid w:val="00100D8D"/>
    <w:rsid w:val="00101E36"/>
    <w:rsid w:val="00103C13"/>
    <w:rsid w:val="00104059"/>
    <w:rsid w:val="001219E7"/>
    <w:rsid w:val="00123AB0"/>
    <w:rsid w:val="00123B37"/>
    <w:rsid w:val="00134716"/>
    <w:rsid w:val="00135A16"/>
    <w:rsid w:val="00145E87"/>
    <w:rsid w:val="00156BB4"/>
    <w:rsid w:val="00167BD4"/>
    <w:rsid w:val="00170C56"/>
    <w:rsid w:val="001861EF"/>
    <w:rsid w:val="001A097F"/>
    <w:rsid w:val="001A2C24"/>
    <w:rsid w:val="001A73C5"/>
    <w:rsid w:val="001B16AE"/>
    <w:rsid w:val="001B35C3"/>
    <w:rsid w:val="001B4BDB"/>
    <w:rsid w:val="001B4DBC"/>
    <w:rsid w:val="001B7BBF"/>
    <w:rsid w:val="001C2ADB"/>
    <w:rsid w:val="001C3E66"/>
    <w:rsid w:val="001D3B24"/>
    <w:rsid w:val="001E0B3C"/>
    <w:rsid w:val="00211549"/>
    <w:rsid w:val="0021194B"/>
    <w:rsid w:val="002145B1"/>
    <w:rsid w:val="002163AC"/>
    <w:rsid w:val="0023069A"/>
    <w:rsid w:val="00230E85"/>
    <w:rsid w:val="002332B5"/>
    <w:rsid w:val="0024481A"/>
    <w:rsid w:val="002476BA"/>
    <w:rsid w:val="00256E93"/>
    <w:rsid w:val="0025734C"/>
    <w:rsid w:val="00271777"/>
    <w:rsid w:val="00272B3F"/>
    <w:rsid w:val="00272B94"/>
    <w:rsid w:val="002A06F7"/>
    <w:rsid w:val="002A24FD"/>
    <w:rsid w:val="002A408B"/>
    <w:rsid w:val="002D4EC5"/>
    <w:rsid w:val="0030209A"/>
    <w:rsid w:val="003167A8"/>
    <w:rsid w:val="00324BE3"/>
    <w:rsid w:val="003305FD"/>
    <w:rsid w:val="00331584"/>
    <w:rsid w:val="003369AD"/>
    <w:rsid w:val="00346F88"/>
    <w:rsid w:val="003506C3"/>
    <w:rsid w:val="00367F75"/>
    <w:rsid w:val="00375582"/>
    <w:rsid w:val="00381645"/>
    <w:rsid w:val="0038189F"/>
    <w:rsid w:val="00383152"/>
    <w:rsid w:val="00386597"/>
    <w:rsid w:val="00387255"/>
    <w:rsid w:val="003A387D"/>
    <w:rsid w:val="003C0019"/>
    <w:rsid w:val="003D289F"/>
    <w:rsid w:val="003D725C"/>
    <w:rsid w:val="003E50D9"/>
    <w:rsid w:val="003F6408"/>
    <w:rsid w:val="004105C2"/>
    <w:rsid w:val="00420398"/>
    <w:rsid w:val="00420F9E"/>
    <w:rsid w:val="00427DFC"/>
    <w:rsid w:val="00431276"/>
    <w:rsid w:val="00435B88"/>
    <w:rsid w:val="0044474C"/>
    <w:rsid w:val="004451B1"/>
    <w:rsid w:val="00461732"/>
    <w:rsid w:val="00464712"/>
    <w:rsid w:val="004836E7"/>
    <w:rsid w:val="00486E9B"/>
    <w:rsid w:val="004A57FC"/>
    <w:rsid w:val="004B52FE"/>
    <w:rsid w:val="004B5F26"/>
    <w:rsid w:val="004C55BF"/>
    <w:rsid w:val="00512586"/>
    <w:rsid w:val="0053068B"/>
    <w:rsid w:val="00537872"/>
    <w:rsid w:val="00537DF1"/>
    <w:rsid w:val="00552D9A"/>
    <w:rsid w:val="005558FA"/>
    <w:rsid w:val="00560FD3"/>
    <w:rsid w:val="0057042B"/>
    <w:rsid w:val="00575BE5"/>
    <w:rsid w:val="005911BF"/>
    <w:rsid w:val="00593478"/>
    <w:rsid w:val="005A616A"/>
    <w:rsid w:val="005B1884"/>
    <w:rsid w:val="005B54BB"/>
    <w:rsid w:val="005B666A"/>
    <w:rsid w:val="005B77F9"/>
    <w:rsid w:val="005C2986"/>
    <w:rsid w:val="005C4FE0"/>
    <w:rsid w:val="005C69FD"/>
    <w:rsid w:val="005E2808"/>
    <w:rsid w:val="005E7422"/>
    <w:rsid w:val="005F2E81"/>
    <w:rsid w:val="0060673D"/>
    <w:rsid w:val="00607BD2"/>
    <w:rsid w:val="00612B18"/>
    <w:rsid w:val="0061660D"/>
    <w:rsid w:val="006207FE"/>
    <w:rsid w:val="00627D65"/>
    <w:rsid w:val="00627F74"/>
    <w:rsid w:val="006337BD"/>
    <w:rsid w:val="00642662"/>
    <w:rsid w:val="006550DA"/>
    <w:rsid w:val="00675183"/>
    <w:rsid w:val="00682772"/>
    <w:rsid w:val="00684A4A"/>
    <w:rsid w:val="0069581A"/>
    <w:rsid w:val="006A74FB"/>
    <w:rsid w:val="006C3874"/>
    <w:rsid w:val="006F2586"/>
    <w:rsid w:val="0070550F"/>
    <w:rsid w:val="00711756"/>
    <w:rsid w:val="00714DDC"/>
    <w:rsid w:val="007255D0"/>
    <w:rsid w:val="007430AF"/>
    <w:rsid w:val="00746231"/>
    <w:rsid w:val="00754D88"/>
    <w:rsid w:val="0077297A"/>
    <w:rsid w:val="007746AE"/>
    <w:rsid w:val="0078172B"/>
    <w:rsid w:val="0078453E"/>
    <w:rsid w:val="007954B5"/>
    <w:rsid w:val="00797739"/>
    <w:rsid w:val="007B3D42"/>
    <w:rsid w:val="007D0FED"/>
    <w:rsid w:val="007D7435"/>
    <w:rsid w:val="00815FED"/>
    <w:rsid w:val="00817078"/>
    <w:rsid w:val="008203D7"/>
    <w:rsid w:val="00821EA8"/>
    <w:rsid w:val="00831820"/>
    <w:rsid w:val="0083319F"/>
    <w:rsid w:val="00834551"/>
    <w:rsid w:val="00856A6F"/>
    <w:rsid w:val="0088128A"/>
    <w:rsid w:val="00884A84"/>
    <w:rsid w:val="00896E46"/>
    <w:rsid w:val="008A4B8B"/>
    <w:rsid w:val="008D1776"/>
    <w:rsid w:val="008F4EED"/>
    <w:rsid w:val="008F56DA"/>
    <w:rsid w:val="008F6B33"/>
    <w:rsid w:val="00905AF7"/>
    <w:rsid w:val="0092260B"/>
    <w:rsid w:val="009267F6"/>
    <w:rsid w:val="0093150B"/>
    <w:rsid w:val="00937D8E"/>
    <w:rsid w:val="00940C29"/>
    <w:rsid w:val="009438FF"/>
    <w:rsid w:val="00944B33"/>
    <w:rsid w:val="00952A9A"/>
    <w:rsid w:val="00956EC0"/>
    <w:rsid w:val="00965949"/>
    <w:rsid w:val="009922A4"/>
    <w:rsid w:val="009B3D0D"/>
    <w:rsid w:val="009C5B51"/>
    <w:rsid w:val="009D27C0"/>
    <w:rsid w:val="009F3D7C"/>
    <w:rsid w:val="00A22F6E"/>
    <w:rsid w:val="00A31B76"/>
    <w:rsid w:val="00A33B41"/>
    <w:rsid w:val="00A501FE"/>
    <w:rsid w:val="00A62165"/>
    <w:rsid w:val="00A6515A"/>
    <w:rsid w:val="00A82085"/>
    <w:rsid w:val="00A957BF"/>
    <w:rsid w:val="00AA2B14"/>
    <w:rsid w:val="00AB7353"/>
    <w:rsid w:val="00AE43B4"/>
    <w:rsid w:val="00B03B09"/>
    <w:rsid w:val="00B16EBE"/>
    <w:rsid w:val="00B40805"/>
    <w:rsid w:val="00B618E3"/>
    <w:rsid w:val="00B75653"/>
    <w:rsid w:val="00B7632A"/>
    <w:rsid w:val="00B80CF7"/>
    <w:rsid w:val="00B82365"/>
    <w:rsid w:val="00B838A7"/>
    <w:rsid w:val="00B83C35"/>
    <w:rsid w:val="00B84700"/>
    <w:rsid w:val="00B850B6"/>
    <w:rsid w:val="00B8521B"/>
    <w:rsid w:val="00B86CBB"/>
    <w:rsid w:val="00BA0C2B"/>
    <w:rsid w:val="00BB141F"/>
    <w:rsid w:val="00BC156A"/>
    <w:rsid w:val="00BC7ABB"/>
    <w:rsid w:val="00BF36CD"/>
    <w:rsid w:val="00BF7FB6"/>
    <w:rsid w:val="00C17E9C"/>
    <w:rsid w:val="00C55549"/>
    <w:rsid w:val="00C64D36"/>
    <w:rsid w:val="00C74978"/>
    <w:rsid w:val="00C84AB4"/>
    <w:rsid w:val="00C8666A"/>
    <w:rsid w:val="00C91DB4"/>
    <w:rsid w:val="00C921F3"/>
    <w:rsid w:val="00CA54AA"/>
    <w:rsid w:val="00CB26A5"/>
    <w:rsid w:val="00CC40E1"/>
    <w:rsid w:val="00CC7BA0"/>
    <w:rsid w:val="00CE1B13"/>
    <w:rsid w:val="00CE27DF"/>
    <w:rsid w:val="00D075B5"/>
    <w:rsid w:val="00D21A77"/>
    <w:rsid w:val="00D26B9A"/>
    <w:rsid w:val="00D2704F"/>
    <w:rsid w:val="00D407DF"/>
    <w:rsid w:val="00D560FB"/>
    <w:rsid w:val="00D6252E"/>
    <w:rsid w:val="00D72698"/>
    <w:rsid w:val="00D727BA"/>
    <w:rsid w:val="00D764A4"/>
    <w:rsid w:val="00D85065"/>
    <w:rsid w:val="00D900D2"/>
    <w:rsid w:val="00D95661"/>
    <w:rsid w:val="00DA0D50"/>
    <w:rsid w:val="00DA3F99"/>
    <w:rsid w:val="00DA4A4B"/>
    <w:rsid w:val="00DB0F40"/>
    <w:rsid w:val="00DB1E81"/>
    <w:rsid w:val="00DB5BCC"/>
    <w:rsid w:val="00DC1670"/>
    <w:rsid w:val="00DD2462"/>
    <w:rsid w:val="00E16696"/>
    <w:rsid w:val="00E2490E"/>
    <w:rsid w:val="00E24BCD"/>
    <w:rsid w:val="00E26A54"/>
    <w:rsid w:val="00E34449"/>
    <w:rsid w:val="00E35612"/>
    <w:rsid w:val="00E4218E"/>
    <w:rsid w:val="00E428C7"/>
    <w:rsid w:val="00E44D3B"/>
    <w:rsid w:val="00E50671"/>
    <w:rsid w:val="00E67768"/>
    <w:rsid w:val="00E867A1"/>
    <w:rsid w:val="00E953C4"/>
    <w:rsid w:val="00EA725F"/>
    <w:rsid w:val="00EB3522"/>
    <w:rsid w:val="00EB6221"/>
    <w:rsid w:val="00EB6A0C"/>
    <w:rsid w:val="00EC174E"/>
    <w:rsid w:val="00EC4602"/>
    <w:rsid w:val="00EE03B1"/>
    <w:rsid w:val="00EE03D3"/>
    <w:rsid w:val="00EF53A4"/>
    <w:rsid w:val="00EF6432"/>
    <w:rsid w:val="00F011EF"/>
    <w:rsid w:val="00F04D41"/>
    <w:rsid w:val="00F0685B"/>
    <w:rsid w:val="00F3026C"/>
    <w:rsid w:val="00F32823"/>
    <w:rsid w:val="00F43702"/>
    <w:rsid w:val="00F74C1F"/>
    <w:rsid w:val="00F80C70"/>
    <w:rsid w:val="00FA0B1E"/>
    <w:rsid w:val="00FC0A48"/>
    <w:rsid w:val="00FC662F"/>
    <w:rsid w:val="00FD0F12"/>
    <w:rsid w:val="00FD45D1"/>
    <w:rsid w:val="00FE4D3A"/>
    <w:rsid w:val="00FF02A5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61A0"/>
  <w15:docId w15:val="{5AEA0788-AF16-4715-8093-0C95020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F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8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B7353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7353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41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4A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FE"/>
  </w:style>
  <w:style w:type="paragraph" w:styleId="Footer">
    <w:name w:val="footer"/>
    <w:basedOn w:val="Normal"/>
    <w:link w:val="FooterChar"/>
    <w:uiPriority w:val="99"/>
    <w:unhideWhenUsed/>
    <w:rsid w:val="00A50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41C5-7DFE-4D2E-BBCC-14223465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Wijgert, Janneke</dc:creator>
  <cp:keywords/>
  <dc:description/>
  <cp:lastModifiedBy>van de Wijgert, Janneke</cp:lastModifiedBy>
  <cp:revision>116</cp:revision>
  <dcterms:created xsi:type="dcterms:W3CDTF">2017-06-18T10:14:00Z</dcterms:created>
  <dcterms:modified xsi:type="dcterms:W3CDTF">2017-09-25T14:48:00Z</dcterms:modified>
</cp:coreProperties>
</file>