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A50BC" w14:textId="20415CB4" w:rsidR="00FD126F" w:rsidRDefault="00FD126F" w:rsidP="00FD74C3">
      <w:pPr>
        <w:pStyle w:val="Title"/>
      </w:pPr>
      <w:r>
        <w:t>Research Exposure for UK Junior Paediatric Trainees</w:t>
      </w:r>
    </w:p>
    <w:p w14:paraId="50EDFF94" w14:textId="3F086511" w:rsidR="001B2028" w:rsidRPr="006451E7" w:rsidRDefault="00504D27" w:rsidP="00FD74C3">
      <w:pPr>
        <w:pStyle w:val="Subtitle"/>
        <w:spacing w:line="240" w:lineRule="auto"/>
        <w:rPr>
          <w:vertAlign w:val="superscript"/>
        </w:rPr>
      </w:pPr>
      <w:r>
        <w:t>Dr Hanna Lythgoe*</w:t>
      </w:r>
      <w:r w:rsidRPr="00504D27">
        <w:rPr>
          <w:vertAlign w:val="superscript"/>
        </w:rPr>
        <w:t>1</w:t>
      </w:r>
      <w:r w:rsidR="002B110E">
        <w:rPr>
          <w:vertAlign w:val="superscript"/>
        </w:rPr>
        <w:t>,2</w:t>
      </w:r>
      <w:r>
        <w:t>, Dr Victoria Price*</w:t>
      </w:r>
      <w:r w:rsidRPr="00504D27">
        <w:rPr>
          <w:vertAlign w:val="superscript"/>
        </w:rPr>
        <w:t>1</w:t>
      </w:r>
      <w:r w:rsidR="002B110E">
        <w:rPr>
          <w:vertAlign w:val="superscript"/>
        </w:rPr>
        <w:t>,2</w:t>
      </w:r>
      <w:r w:rsidR="002456E2">
        <w:t>,</w:t>
      </w:r>
      <w:r>
        <w:t xml:space="preserve"> Professor Michael </w:t>
      </w:r>
      <w:r w:rsidR="00E57005">
        <w:t xml:space="preserve">W </w:t>
      </w:r>
      <w:r>
        <w:t>Beresford</w:t>
      </w:r>
      <w:r w:rsidRPr="00504D27">
        <w:rPr>
          <w:vertAlign w:val="superscript"/>
        </w:rPr>
        <w:t>1</w:t>
      </w:r>
      <w:r w:rsidR="002B110E">
        <w:rPr>
          <w:vertAlign w:val="superscript"/>
        </w:rPr>
        <w:t>,2</w:t>
      </w:r>
      <w:r w:rsidR="002456E2">
        <w:t>,</w:t>
      </w:r>
      <w:r w:rsidR="002456E2" w:rsidRPr="002456E2">
        <w:t xml:space="preserve"> </w:t>
      </w:r>
      <w:r w:rsidR="009C09AD">
        <w:t>Professor Matthew Peak</w:t>
      </w:r>
      <w:r w:rsidR="009C09AD">
        <w:rPr>
          <w:vertAlign w:val="superscript"/>
        </w:rPr>
        <w:t>,2</w:t>
      </w:r>
      <w:r w:rsidR="009E739F">
        <w:rPr>
          <w:vertAlign w:val="superscript"/>
        </w:rPr>
        <w:t>,3</w:t>
      </w:r>
      <w:r w:rsidR="009C09AD">
        <w:t xml:space="preserve">, </w:t>
      </w:r>
      <w:r w:rsidR="002456E2">
        <w:t>Dr Daniel Hawcutt</w:t>
      </w:r>
      <w:r w:rsidR="002456E2" w:rsidRPr="00504D27">
        <w:rPr>
          <w:vertAlign w:val="superscript"/>
        </w:rPr>
        <w:t>1</w:t>
      </w:r>
      <w:r w:rsidR="002B110E">
        <w:rPr>
          <w:vertAlign w:val="superscript"/>
        </w:rPr>
        <w:t>,2</w:t>
      </w:r>
      <w:r w:rsidR="002456E2" w:rsidRPr="002456E2">
        <w:t>.</w:t>
      </w:r>
    </w:p>
    <w:p w14:paraId="5572BF82" w14:textId="15AD6695" w:rsidR="001B2028" w:rsidRDefault="001B2028" w:rsidP="00FD74C3">
      <w:pPr>
        <w:spacing w:line="240" w:lineRule="auto"/>
        <w:rPr>
          <w:rFonts w:cs="Arial"/>
        </w:rPr>
      </w:pPr>
      <w:r w:rsidRPr="006451E7">
        <w:rPr>
          <w:rFonts w:cs="Arial"/>
        </w:rPr>
        <w:t xml:space="preserve">1: </w:t>
      </w:r>
      <w:r w:rsidR="002B110E">
        <w:rPr>
          <w:rFonts w:cs="Arial"/>
        </w:rPr>
        <w:t xml:space="preserve">Department of Women’s and Children’s Health, </w:t>
      </w:r>
      <w:r w:rsidR="00E57005">
        <w:rPr>
          <w:rFonts w:cs="Arial"/>
        </w:rPr>
        <w:t xml:space="preserve">Institute of Translational Medicine, </w:t>
      </w:r>
      <w:r w:rsidR="00504D27">
        <w:rPr>
          <w:rFonts w:cs="Arial"/>
        </w:rPr>
        <w:t>University of Liverpool</w:t>
      </w:r>
    </w:p>
    <w:p w14:paraId="156DF9DC" w14:textId="2AE3408F" w:rsidR="002B110E" w:rsidRDefault="002B110E" w:rsidP="00FD74C3">
      <w:pPr>
        <w:spacing w:line="240" w:lineRule="auto"/>
        <w:rPr>
          <w:rFonts w:cs="Arial"/>
        </w:rPr>
      </w:pPr>
      <w:r>
        <w:rPr>
          <w:rFonts w:cs="Arial"/>
        </w:rPr>
        <w:t xml:space="preserve">2: NIHR </w:t>
      </w:r>
      <w:r w:rsidR="00E57005">
        <w:rPr>
          <w:rFonts w:cs="Arial"/>
        </w:rPr>
        <w:t xml:space="preserve">Alder Hey </w:t>
      </w:r>
      <w:r>
        <w:rPr>
          <w:rFonts w:cs="Arial"/>
        </w:rPr>
        <w:t xml:space="preserve">Clinical Research Facility, Alder Hey Children’s </w:t>
      </w:r>
      <w:r w:rsidR="00E57005">
        <w:rPr>
          <w:rFonts w:cs="Arial"/>
        </w:rPr>
        <w:t>NHS Foundation Trust</w:t>
      </w:r>
      <w:r>
        <w:rPr>
          <w:rFonts w:cs="Arial"/>
        </w:rPr>
        <w:t>, Liverpool</w:t>
      </w:r>
      <w:r w:rsidR="00E57005">
        <w:rPr>
          <w:rFonts w:cs="Arial"/>
        </w:rPr>
        <w:t>, UK</w:t>
      </w:r>
    </w:p>
    <w:p w14:paraId="5A998445" w14:textId="5D773B55" w:rsidR="009E739F" w:rsidRDefault="009E739F" w:rsidP="00FD74C3">
      <w:pPr>
        <w:spacing w:line="240" w:lineRule="auto"/>
        <w:rPr>
          <w:rFonts w:cs="Arial"/>
        </w:rPr>
      </w:pPr>
      <w:r>
        <w:rPr>
          <w:rFonts w:cs="Arial"/>
        </w:rPr>
        <w:t xml:space="preserve">3: </w:t>
      </w:r>
      <w:r w:rsidR="00201DDC">
        <w:rPr>
          <w:rFonts w:cs="Arial"/>
        </w:rPr>
        <w:t>College of Health and Wellbeing, University of Central Lancashire</w:t>
      </w:r>
    </w:p>
    <w:p w14:paraId="67C0AC30" w14:textId="77777777" w:rsidR="001B2028" w:rsidRDefault="001B2028" w:rsidP="00FD74C3">
      <w:pPr>
        <w:spacing w:line="240" w:lineRule="auto"/>
        <w:rPr>
          <w:rFonts w:cs="Arial"/>
        </w:rPr>
      </w:pPr>
      <w:r>
        <w:rPr>
          <w:rFonts w:cs="Arial"/>
        </w:rPr>
        <w:t>*These authors contributed equally to the manuscript</w:t>
      </w:r>
    </w:p>
    <w:p w14:paraId="659AA565" w14:textId="77777777" w:rsidR="001B2028" w:rsidRDefault="001B2028" w:rsidP="00FD74C3">
      <w:pPr>
        <w:spacing w:line="240" w:lineRule="auto"/>
        <w:rPr>
          <w:rFonts w:cs="Arial"/>
          <w:b/>
        </w:rPr>
      </w:pPr>
    </w:p>
    <w:p w14:paraId="2D9376AB" w14:textId="204886CA" w:rsidR="001B2028" w:rsidRDefault="001B2028" w:rsidP="00FD74C3">
      <w:pPr>
        <w:spacing w:line="240" w:lineRule="auto"/>
        <w:rPr>
          <w:rFonts w:cs="Arial"/>
        </w:rPr>
      </w:pPr>
      <w:r>
        <w:rPr>
          <w:rFonts w:cs="Arial"/>
          <w:b/>
        </w:rPr>
        <w:t xml:space="preserve">Keywords: </w:t>
      </w:r>
      <w:r>
        <w:rPr>
          <w:rFonts w:cs="Arial"/>
        </w:rPr>
        <w:t>Paediatrics</w:t>
      </w:r>
      <w:r w:rsidRPr="004E6706">
        <w:rPr>
          <w:rFonts w:cs="Arial"/>
        </w:rPr>
        <w:t xml:space="preserve">, </w:t>
      </w:r>
      <w:r>
        <w:rPr>
          <w:rFonts w:cs="Arial"/>
        </w:rPr>
        <w:t xml:space="preserve">Junior Doctors, Research, Training, </w:t>
      </w:r>
    </w:p>
    <w:p w14:paraId="0D3C4994" w14:textId="77777777" w:rsidR="001B2028" w:rsidRDefault="001B2028" w:rsidP="00FD74C3">
      <w:pPr>
        <w:spacing w:line="240" w:lineRule="auto"/>
        <w:rPr>
          <w:rFonts w:cs="Arial"/>
          <w:b/>
        </w:rPr>
      </w:pPr>
    </w:p>
    <w:p w14:paraId="5CDF62DE" w14:textId="496900F0" w:rsidR="001B2028" w:rsidRPr="00FF1EDF" w:rsidRDefault="001B2028" w:rsidP="00FD74C3">
      <w:pPr>
        <w:spacing w:line="240" w:lineRule="auto"/>
        <w:rPr>
          <w:rFonts w:cs="Arial"/>
          <w:color w:val="FF0000"/>
        </w:rPr>
      </w:pPr>
      <w:r>
        <w:rPr>
          <w:rFonts w:cs="Arial"/>
          <w:b/>
        </w:rPr>
        <w:t xml:space="preserve">Word Count: </w:t>
      </w:r>
      <w:r w:rsidR="00FF1EDF" w:rsidRPr="00FF1EDF">
        <w:rPr>
          <w:rFonts w:cs="Arial"/>
          <w:b/>
          <w:color w:val="FF0000"/>
        </w:rPr>
        <w:t>3</w:t>
      </w:r>
      <w:r w:rsidR="006A78A1">
        <w:rPr>
          <w:rFonts w:cs="Arial"/>
          <w:b/>
          <w:color w:val="FF0000"/>
        </w:rPr>
        <w:t>50</w:t>
      </w:r>
      <w:bookmarkStart w:id="0" w:name="_GoBack"/>
      <w:bookmarkEnd w:id="0"/>
    </w:p>
    <w:p w14:paraId="00E0D005" w14:textId="77777777" w:rsidR="001B2028" w:rsidRDefault="001B2028" w:rsidP="00FD74C3">
      <w:pPr>
        <w:spacing w:line="240" w:lineRule="auto"/>
        <w:rPr>
          <w:rFonts w:cs="Arial"/>
          <w:b/>
        </w:rPr>
      </w:pPr>
    </w:p>
    <w:p w14:paraId="4B98FC79" w14:textId="77777777" w:rsidR="001B2028" w:rsidRDefault="001B2028" w:rsidP="00FD74C3">
      <w:pPr>
        <w:spacing w:line="240" w:lineRule="auto"/>
        <w:rPr>
          <w:rFonts w:cs="Arial"/>
        </w:rPr>
      </w:pPr>
      <w:r>
        <w:rPr>
          <w:rFonts w:cs="Arial"/>
          <w:b/>
        </w:rPr>
        <w:t xml:space="preserve">Conflict of Interests: </w:t>
      </w:r>
      <w:r>
        <w:rPr>
          <w:rFonts w:cs="Arial"/>
        </w:rPr>
        <w:t>None to declare</w:t>
      </w:r>
    </w:p>
    <w:p w14:paraId="471A91B0" w14:textId="77777777" w:rsidR="001B2028" w:rsidRPr="006451E7" w:rsidRDefault="001B2028" w:rsidP="00FD74C3">
      <w:pPr>
        <w:spacing w:line="240" w:lineRule="auto"/>
        <w:rPr>
          <w:rFonts w:cs="Arial"/>
        </w:rPr>
      </w:pPr>
    </w:p>
    <w:p w14:paraId="6153E92C" w14:textId="77777777" w:rsidR="001B2028" w:rsidRDefault="001B2028" w:rsidP="00FD74C3">
      <w:pPr>
        <w:spacing w:line="240" w:lineRule="auto"/>
        <w:rPr>
          <w:rFonts w:cs="Arial"/>
          <w:b/>
        </w:rPr>
      </w:pPr>
      <w:r>
        <w:rPr>
          <w:rFonts w:cs="Arial"/>
          <w:b/>
        </w:rPr>
        <w:t>Corresponding Author:</w:t>
      </w:r>
    </w:p>
    <w:p w14:paraId="384524E4" w14:textId="77777777" w:rsidR="00E57005" w:rsidRDefault="00E57005" w:rsidP="00FD74C3">
      <w:pPr>
        <w:spacing w:line="240" w:lineRule="auto"/>
        <w:rPr>
          <w:rFonts w:cs="Arial"/>
        </w:rPr>
      </w:pPr>
      <w:r>
        <w:rPr>
          <w:rFonts w:cs="Arial"/>
        </w:rPr>
        <w:t>Dr Dan Hawcutt, Senior Lecturer in Paediatric Clinical Pharmacology,</w:t>
      </w:r>
    </w:p>
    <w:p w14:paraId="3A439482" w14:textId="77777777" w:rsidR="00E57005" w:rsidRDefault="00E57005" w:rsidP="00FD74C3">
      <w:pPr>
        <w:spacing w:line="240" w:lineRule="auto"/>
        <w:rPr>
          <w:rFonts w:cs="Arial"/>
        </w:rPr>
      </w:pPr>
      <w:r>
        <w:rPr>
          <w:rFonts w:cs="Arial"/>
        </w:rPr>
        <w:t>NIHR Alder Hey Clinical Research Facility, Alder Hey Children’s NHS Foundation Trust, Eaton Road, Liverpool, L12 2AP</w:t>
      </w:r>
    </w:p>
    <w:p w14:paraId="27B6CD42" w14:textId="62294507" w:rsidR="00E77251" w:rsidRDefault="00E57005" w:rsidP="00FD74C3">
      <w:pPr>
        <w:spacing w:line="240" w:lineRule="auto"/>
        <w:rPr>
          <w:rFonts w:cs="Arial"/>
        </w:rPr>
      </w:pPr>
      <w:r>
        <w:rPr>
          <w:rFonts w:cs="Arial"/>
        </w:rPr>
        <w:t>E</w:t>
      </w:r>
      <w:r w:rsidR="003810D5">
        <w:rPr>
          <w:rFonts w:cs="Arial"/>
        </w:rPr>
        <w:t xml:space="preserve">mail </w:t>
      </w:r>
      <w:r>
        <w:rPr>
          <w:rFonts w:cs="Arial"/>
        </w:rPr>
        <w:t>-</w:t>
      </w:r>
      <w:r w:rsidRPr="00812B94">
        <w:rPr>
          <w:rFonts w:cs="Arial"/>
        </w:rPr>
        <w:t xml:space="preserve"> </w:t>
      </w:r>
      <w:hyperlink r:id="rId8" w:history="1">
        <w:r w:rsidR="00CC4138" w:rsidRPr="00812B94">
          <w:rPr>
            <w:rStyle w:val="Hyperlink"/>
            <w:rFonts w:cs="Arial"/>
            <w:color w:val="auto"/>
            <w:u w:val="none"/>
          </w:rPr>
          <w:t>d.hawcutt@liv.ac.uk</w:t>
        </w:r>
      </w:hyperlink>
    </w:p>
    <w:p w14:paraId="644A1367" w14:textId="77777777" w:rsidR="00E77251" w:rsidRDefault="00E77251" w:rsidP="00FD74C3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48B40496" w14:textId="77777777" w:rsidR="003F0648" w:rsidRDefault="003F0648" w:rsidP="00FD74C3">
      <w:pPr>
        <w:pStyle w:val="Heading1"/>
        <w:spacing w:line="240" w:lineRule="auto"/>
      </w:pPr>
      <w:r w:rsidRPr="00D50ECF">
        <w:lastRenderedPageBreak/>
        <w:t>Introduction</w:t>
      </w:r>
    </w:p>
    <w:p w14:paraId="62E4F82D" w14:textId="074F5BBD" w:rsidR="00B869B6" w:rsidRDefault="00326D3D" w:rsidP="00FD74C3">
      <w:pPr>
        <w:spacing w:line="240" w:lineRule="auto"/>
      </w:pPr>
      <w:r>
        <w:t>The importance of clinical research is well recognised internationally</w:t>
      </w:r>
      <w:r w:rsidR="00B869B6">
        <w:t>(1), and is a priority of the UK’s Royal College of Paediatrics and Child Health (RCPCH)</w:t>
      </w:r>
      <w:r w:rsidR="00B869B6">
        <w:fldChar w:fldCharType="begin"/>
      </w:r>
      <w:r w:rsidR="00B869B6">
        <w:instrText xml:space="preserve"> ADDIN EN.CITE &lt;EndNote&gt;&lt;Cite&gt;&lt;Author&gt;Health&lt;/Author&gt;&lt;Year&gt;2015&lt;/Year&gt;&lt;RecNum&gt;182&lt;/RecNum&gt;&lt;DisplayText&gt;(1)&lt;/DisplayText&gt;&lt;record&gt;&lt;rec-number&gt;182&lt;/rec-number&gt;&lt;foreign-keys&gt;&lt;key app="EN" db-id="pee209pevv2057etadqpdwsyfpzezpwrrsdw" timestamp="1440667985"&gt;182&lt;/key&gt;&lt;/foreign-keys&gt;&lt;ref-type name="Web Page"&gt;12&lt;/ref-type&gt;&lt;contributors&gt;&lt;authors&gt;&lt;author&gt;Royal College of Paediatrics and Child Health&lt;/author&gt;&lt;/authors&gt;&lt;/contributors&gt;&lt;titles&gt;&lt;title&gt;UK Child Health Research Collaboration&lt;/title&gt;&lt;/titles&gt;&lt;volume&gt;2015&lt;/volume&gt;&lt;number&gt;27th August&lt;/number&gt;&lt;dates&gt;&lt;year&gt;2015&lt;/year&gt;&lt;/dates&gt;&lt;urls&gt;&lt;related-urls&gt;&lt;url&gt;http://www.rcpch.ac.uk/improving-child-health/research-and-surveillance/uk-child-health-research-collaboration/uk-child-hea&lt;/url&gt;&lt;/related-urls&gt;&lt;/urls&gt;&lt;/record&gt;&lt;/Cite&gt;&lt;/EndNote&gt;</w:instrText>
      </w:r>
      <w:r w:rsidR="00B869B6">
        <w:fldChar w:fldCharType="separate"/>
      </w:r>
      <w:r w:rsidR="00B869B6">
        <w:rPr>
          <w:noProof/>
        </w:rPr>
        <w:t>(</w:t>
      </w:r>
      <w:hyperlink w:anchor="_ENREF_1" w:tooltip="Health, 2015 #182" w:history="1">
        <w:r w:rsidR="00B869B6">
          <w:rPr>
            <w:noProof/>
          </w:rPr>
          <w:t>2</w:t>
        </w:r>
      </w:hyperlink>
      <w:r w:rsidR="00B869B6">
        <w:rPr>
          <w:noProof/>
        </w:rPr>
        <w:t>)</w:t>
      </w:r>
      <w:r w:rsidR="00B869B6">
        <w:fldChar w:fldCharType="end"/>
      </w:r>
      <w:r w:rsidR="00B869B6">
        <w:t>. The RCPCH provides a generic training curriculum outlining mandatory research competencies for those in the first 1–3 years of paediatric training (ST1-3s)</w:t>
      </w:r>
      <w:r w:rsidR="006A78A1">
        <w:t xml:space="preserve"> </w:t>
      </w:r>
      <w:r w:rsidR="00B869B6">
        <w:t>(table 1).</w:t>
      </w:r>
    </w:p>
    <w:p w14:paraId="0511AF37" w14:textId="77777777" w:rsidR="00B869B6" w:rsidRDefault="00B869B6" w:rsidP="00FD74C3">
      <w:pPr>
        <w:pStyle w:val="Caption"/>
      </w:pPr>
      <w:r>
        <w:t xml:space="preserve">Table </w:t>
      </w:r>
      <w:r w:rsidR="006A78A1">
        <w:fldChar w:fldCharType="begin"/>
      </w:r>
      <w:r w:rsidR="006A78A1">
        <w:instrText xml:space="preserve"> SEQ Figure \* ARABIC </w:instrText>
      </w:r>
      <w:r w:rsidR="006A78A1">
        <w:fldChar w:fldCharType="separate"/>
      </w:r>
      <w:r>
        <w:rPr>
          <w:noProof/>
        </w:rPr>
        <w:t>1</w:t>
      </w:r>
      <w:r w:rsidR="006A78A1">
        <w:rPr>
          <w:noProof/>
        </w:rPr>
        <w:fldChar w:fldCharType="end"/>
      </w:r>
      <w:r>
        <w:rPr>
          <w:noProof/>
        </w:rPr>
        <w:t>:</w:t>
      </w:r>
      <w:r>
        <w:t xml:space="preserve"> RCPCH curriculum for research in paediatrics for ST1-3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</w:tblGrid>
      <w:tr w:rsidR="00B869B6" w14:paraId="2A07F1FC" w14:textId="77777777" w:rsidTr="00B869B6">
        <w:tc>
          <w:tcPr>
            <w:tcW w:w="7366" w:type="dxa"/>
            <w:shd w:val="clear" w:color="auto" w:fill="FFFFFF" w:themeFill="background1"/>
          </w:tcPr>
          <w:p w14:paraId="127B94CB" w14:textId="77777777" w:rsidR="00B869B6" w:rsidRPr="007E3028" w:rsidRDefault="00B869B6" w:rsidP="00FD74C3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7E302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An understanding of the need for an ethical and rigorous approach to research in paediatrics</w:t>
            </w:r>
          </w:p>
        </w:tc>
      </w:tr>
      <w:tr w:rsidR="00B869B6" w14:paraId="297D8617" w14:textId="77777777" w:rsidTr="00B869B6">
        <w:tc>
          <w:tcPr>
            <w:tcW w:w="7366" w:type="dxa"/>
          </w:tcPr>
          <w:p w14:paraId="0DDB19E8" w14:textId="77777777" w:rsidR="00B869B6" w:rsidRPr="007E3028" w:rsidRDefault="00B869B6" w:rsidP="00FD74C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Understand their responsibilities to conduct research with honesty and integrity, seeking ethical approval where appropriate and safeguarding the interests of patients.</w:t>
            </w:r>
          </w:p>
        </w:tc>
      </w:tr>
      <w:tr w:rsidR="00B869B6" w14:paraId="12967AEE" w14:textId="77777777" w:rsidTr="00B869B6">
        <w:tc>
          <w:tcPr>
            <w:tcW w:w="7366" w:type="dxa"/>
          </w:tcPr>
          <w:p w14:paraId="4F8DEBA8" w14:textId="77777777" w:rsidR="00B869B6" w:rsidRDefault="00B869B6" w:rsidP="00FD74C3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7E30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egin to understand basic concepts in research design and methodology including the difference types of research studies</w:t>
            </w:r>
          </w:p>
        </w:tc>
      </w:tr>
      <w:tr w:rsidR="00B869B6" w14:paraId="5ECB673D" w14:textId="77777777" w:rsidTr="00B869B6">
        <w:tc>
          <w:tcPr>
            <w:tcW w:w="7366" w:type="dxa"/>
          </w:tcPr>
          <w:p w14:paraId="31F6A958" w14:textId="77777777" w:rsidR="00B869B6" w:rsidRDefault="00B869B6" w:rsidP="00FD74C3"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Understand the difference between research and audit</w:t>
            </w:r>
          </w:p>
        </w:tc>
      </w:tr>
      <w:tr w:rsidR="00B869B6" w14:paraId="2A069972" w14:textId="77777777" w:rsidTr="00B869B6">
        <w:tc>
          <w:tcPr>
            <w:tcW w:w="7366" w:type="dxa"/>
          </w:tcPr>
          <w:p w14:paraId="3C4479EF" w14:textId="77777777" w:rsidR="00B869B6" w:rsidRDefault="00B869B6" w:rsidP="00FD74C3"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Understand the steps involved in planning a research project</w:t>
            </w:r>
          </w:p>
        </w:tc>
      </w:tr>
      <w:tr w:rsidR="00B869B6" w14:paraId="69EA166C" w14:textId="77777777" w:rsidTr="00B869B6">
        <w:tc>
          <w:tcPr>
            <w:tcW w:w="7366" w:type="dxa"/>
          </w:tcPr>
          <w:p w14:paraId="5A39792A" w14:textId="77777777" w:rsidR="00B869B6" w:rsidRDefault="00B869B6" w:rsidP="00FD74C3"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Understand when to use simple statistical tests and their interpretation</w:t>
            </w:r>
          </w:p>
        </w:tc>
      </w:tr>
      <w:tr w:rsidR="00B869B6" w14:paraId="2E143ADD" w14:textId="77777777" w:rsidTr="00B869B6">
        <w:tc>
          <w:tcPr>
            <w:tcW w:w="7366" w:type="dxa"/>
          </w:tcPr>
          <w:p w14:paraId="546B2917" w14:textId="77777777" w:rsidR="00B869B6" w:rsidRDefault="00B869B6" w:rsidP="00FD74C3"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Begin to develop critical appraisal skills and to apply to their reading of the literature, including systematic reviews of their own teaching and the teaching of others</w:t>
            </w:r>
          </w:p>
        </w:tc>
      </w:tr>
    </w:tbl>
    <w:p w14:paraId="5922EC27" w14:textId="77777777" w:rsidR="00B869B6" w:rsidRDefault="00B869B6" w:rsidP="00FD74C3">
      <w:pPr>
        <w:spacing w:line="240" w:lineRule="auto"/>
      </w:pPr>
    </w:p>
    <w:p w14:paraId="2BCA7307" w14:textId="6CBC7A87" w:rsidR="00B869B6" w:rsidRDefault="00B869B6" w:rsidP="00FD74C3">
      <w:pPr>
        <w:spacing w:line="240" w:lineRule="auto"/>
      </w:pPr>
      <w:r>
        <w:t xml:space="preserve">It is </w:t>
      </w:r>
      <w:r w:rsidR="00BE672E">
        <w:t>un</w:t>
      </w:r>
      <w:r>
        <w:t xml:space="preserve">clear how these skills map onto aspirations of junior trainees, or research </w:t>
      </w:r>
      <w:r w:rsidR="00326D3D">
        <w:t>requirements</w:t>
      </w:r>
      <w:r>
        <w:t xml:space="preserve"> in </w:t>
      </w:r>
      <w:r w:rsidR="00326D3D">
        <w:t>future job applications</w:t>
      </w:r>
      <w:r>
        <w:t xml:space="preserve">. </w:t>
      </w:r>
    </w:p>
    <w:p w14:paraId="2B2B73A7" w14:textId="77777777" w:rsidR="003F0648" w:rsidRDefault="003F0648" w:rsidP="00FD74C3">
      <w:pPr>
        <w:pStyle w:val="Heading1"/>
        <w:spacing w:line="240" w:lineRule="auto"/>
      </w:pPr>
      <w:r w:rsidRPr="00D50ECF">
        <w:t>Aim</w:t>
      </w:r>
    </w:p>
    <w:p w14:paraId="3D008737" w14:textId="0CCE987C" w:rsidR="003F0648" w:rsidRDefault="00B76C89" w:rsidP="00FD74C3">
      <w:pPr>
        <w:spacing w:line="240" w:lineRule="auto"/>
      </w:pPr>
      <w:r>
        <w:t xml:space="preserve">To determine </w:t>
      </w:r>
      <w:r w:rsidR="003F0648">
        <w:t>exposure to research amongst UK junior paediatric trainees.</w:t>
      </w:r>
    </w:p>
    <w:p w14:paraId="58500FA3" w14:textId="77777777" w:rsidR="003F0648" w:rsidRPr="00B869B6" w:rsidRDefault="003F0648" w:rsidP="00FD74C3">
      <w:pPr>
        <w:pStyle w:val="Heading1"/>
        <w:spacing w:line="240" w:lineRule="auto"/>
      </w:pPr>
      <w:r w:rsidRPr="00B869B6">
        <w:t>Methods</w:t>
      </w:r>
    </w:p>
    <w:p w14:paraId="1274C512" w14:textId="5628D4A7" w:rsidR="003F0648" w:rsidRDefault="00326D3D" w:rsidP="00FD74C3">
      <w:pPr>
        <w:spacing w:line="240" w:lineRule="auto"/>
      </w:pPr>
      <w:r>
        <w:t>P</w:t>
      </w:r>
      <w:r w:rsidR="003F0648">
        <w:t xml:space="preserve">aediatric trainees </w:t>
      </w:r>
      <w:r w:rsidR="00B869B6">
        <w:t xml:space="preserve">in seven UK deaneries </w:t>
      </w:r>
      <w:r w:rsidR="003F0648">
        <w:t>were invited</w:t>
      </w:r>
      <w:r w:rsidR="00B869B6">
        <w:t xml:space="preserve"> to complete an online survey exploring research experience in their training. </w:t>
      </w:r>
      <w:r w:rsidR="003F0648">
        <w:t>Research requirements for ‘Grid’ (subspecialist training) applications and consultant paediatrician posts were reviewed</w:t>
      </w:r>
      <w:r w:rsidR="00B869B6">
        <w:t xml:space="preserve"> and considered in the context of the survey results</w:t>
      </w:r>
      <w:r w:rsidR="003F0648">
        <w:t xml:space="preserve">. </w:t>
      </w:r>
    </w:p>
    <w:p w14:paraId="5DEAEB14" w14:textId="18494332" w:rsidR="00A05F67" w:rsidRDefault="00A05F67" w:rsidP="00FD74C3">
      <w:pPr>
        <w:pStyle w:val="Heading1"/>
        <w:spacing w:line="240" w:lineRule="auto"/>
      </w:pPr>
      <w:r>
        <w:t>Results</w:t>
      </w:r>
    </w:p>
    <w:p w14:paraId="18CC7F08" w14:textId="77777777" w:rsidR="003F0648" w:rsidRDefault="003F0648" w:rsidP="00FD74C3">
      <w:pPr>
        <w:spacing w:line="240" w:lineRule="auto"/>
      </w:pPr>
      <w:r>
        <w:t xml:space="preserve">Fifty-two trainees responded, with an even distribution across the three training years. </w:t>
      </w:r>
    </w:p>
    <w:p w14:paraId="56EBD31A" w14:textId="7832033C" w:rsidR="00FB4591" w:rsidRDefault="00CE1F91" w:rsidP="00FD74C3">
      <w:pPr>
        <w:spacing w:line="240" w:lineRule="auto"/>
      </w:pPr>
      <w:r>
        <w:t xml:space="preserve">Eighty-nine percent </w:t>
      </w:r>
      <w:r w:rsidR="00950090" w:rsidRPr="005607D9">
        <w:t xml:space="preserve">of trainees considered themselves to have had </w:t>
      </w:r>
      <w:r w:rsidR="004B64D2">
        <w:t xml:space="preserve">minimal or </w:t>
      </w:r>
      <w:r w:rsidR="00950090" w:rsidRPr="005607D9">
        <w:t xml:space="preserve">no </w:t>
      </w:r>
      <w:r w:rsidR="007545A2">
        <w:t xml:space="preserve">clinical </w:t>
      </w:r>
      <w:r w:rsidR="00950090" w:rsidRPr="005607D9">
        <w:t>research experience during their paediatric training</w:t>
      </w:r>
      <w:r w:rsidR="00FB4591">
        <w:t xml:space="preserve">. Although </w:t>
      </w:r>
      <w:r w:rsidR="00B735CF">
        <w:t xml:space="preserve">fifty-eight percent </w:t>
      </w:r>
      <w:r w:rsidR="00FB4591">
        <w:t xml:space="preserve">of trainees were aware of ‘research in paediatrics’ competencies in the curriculum, only </w:t>
      </w:r>
      <w:r w:rsidR="00B735CF">
        <w:t>eight percent</w:t>
      </w:r>
      <w:r w:rsidR="00FB4591">
        <w:t xml:space="preserve"> knew what the competencies were.</w:t>
      </w:r>
    </w:p>
    <w:p w14:paraId="2D3627E0" w14:textId="4C94EE82" w:rsidR="00FB4591" w:rsidRDefault="00FB4591" w:rsidP="00FD74C3">
      <w:pPr>
        <w:spacing w:line="240" w:lineRule="auto"/>
        <w:rPr>
          <w:lang w:val="en-US"/>
        </w:rPr>
      </w:pPr>
      <w:r>
        <w:t xml:space="preserve">Trainees considered research experience an important part of training but found opportunities limited(figure 1). </w:t>
      </w:r>
      <w:r w:rsidR="00CE1F91">
        <w:t>Sixty-nine percent</w:t>
      </w:r>
      <w:r>
        <w:t xml:space="preserve"> of trainees didn’t know who to ask for advice and support. </w:t>
      </w:r>
      <w:r w:rsidR="008E1557">
        <w:t xml:space="preserve">Reported barriers to research </w:t>
      </w:r>
      <w:r w:rsidR="00BF46D0">
        <w:t xml:space="preserve">included </w:t>
      </w:r>
      <w:r>
        <w:rPr>
          <w:lang w:val="en-US"/>
        </w:rPr>
        <w:t xml:space="preserve">research opportunities </w:t>
      </w:r>
      <w:r w:rsidR="00BF46D0">
        <w:rPr>
          <w:lang w:val="en-US"/>
        </w:rPr>
        <w:t>being</w:t>
      </w:r>
      <w:r>
        <w:rPr>
          <w:lang w:val="en-US"/>
        </w:rPr>
        <w:t xml:space="preserve"> aimed at </w:t>
      </w:r>
      <w:r w:rsidR="00BF46D0">
        <w:rPr>
          <w:lang w:val="en-US"/>
        </w:rPr>
        <w:t>more senior trainees</w:t>
      </w:r>
      <w:r>
        <w:rPr>
          <w:lang w:val="en-US"/>
        </w:rPr>
        <w:t xml:space="preserve"> </w:t>
      </w:r>
      <w:r w:rsidR="00CE1F91">
        <w:rPr>
          <w:lang w:val="en-US"/>
        </w:rPr>
        <w:t>(</w:t>
      </w:r>
      <w:r w:rsidR="00983D74">
        <w:rPr>
          <w:lang w:val="en-US"/>
        </w:rPr>
        <w:t xml:space="preserve">therefore </w:t>
      </w:r>
      <w:r w:rsidR="00CE1F91">
        <w:rPr>
          <w:lang w:val="en-US"/>
        </w:rPr>
        <w:t>excluding junior trainees)</w:t>
      </w:r>
      <w:r w:rsidR="00BF46D0">
        <w:rPr>
          <w:lang w:val="en-US"/>
        </w:rPr>
        <w:t>; an emphasis on service provision; opportunities relying on “word of mouth”</w:t>
      </w:r>
      <w:r w:rsidR="00105684">
        <w:rPr>
          <w:lang w:val="en-US"/>
        </w:rPr>
        <w:t>;</w:t>
      </w:r>
      <w:r w:rsidR="008E1557">
        <w:rPr>
          <w:lang w:val="en-US"/>
        </w:rPr>
        <w:t xml:space="preserve"> and</w:t>
      </w:r>
      <w:r w:rsidR="00105684">
        <w:rPr>
          <w:lang w:val="en-US"/>
        </w:rPr>
        <w:t xml:space="preserve"> inflexible training structures making it challenging to take time out for research.</w:t>
      </w:r>
    </w:p>
    <w:p w14:paraId="0F5AAF30" w14:textId="77777777" w:rsidR="00BF46D0" w:rsidRDefault="00BF46D0" w:rsidP="00FD74C3">
      <w:pPr>
        <w:pStyle w:val="Caption"/>
      </w:pPr>
      <w:r>
        <w:t>Figure 1</w:t>
      </w:r>
      <w:r>
        <w:rPr>
          <w:noProof/>
        </w:rPr>
        <w:t>:</w:t>
      </w:r>
      <w:r>
        <w:t xml:space="preserve"> Results – Trainees responding as ‘definitely’ or ‘probably’ to the questions described</w:t>
      </w:r>
    </w:p>
    <w:p w14:paraId="1C449D7E" w14:textId="24FF71B2" w:rsidR="00BF46D0" w:rsidRDefault="00BF46D0" w:rsidP="00FD74C3">
      <w:pPr>
        <w:spacing w:line="240" w:lineRule="auto"/>
        <w:rPr>
          <w:noProof/>
          <w:lang w:val="en-US"/>
        </w:rPr>
      </w:pPr>
      <w:r>
        <w:rPr>
          <w:noProof/>
          <w:lang w:val="en-US"/>
        </w:rPr>
        <w:lastRenderedPageBreak/>
        <w:t>See attached figure.</w:t>
      </w:r>
    </w:p>
    <w:p w14:paraId="76B98869" w14:textId="1DB9462C" w:rsidR="00BF46D0" w:rsidRDefault="00BF46D0" w:rsidP="00FD74C3">
      <w:pPr>
        <w:spacing w:line="240" w:lineRule="auto"/>
      </w:pPr>
    </w:p>
    <w:p w14:paraId="7B55F57F" w14:textId="50D55B09" w:rsidR="00BD18C9" w:rsidRPr="006311D4" w:rsidRDefault="001A08BE" w:rsidP="00FD74C3">
      <w:pPr>
        <w:spacing w:line="240" w:lineRule="auto"/>
        <w:rPr>
          <w:lang w:val="en-US"/>
        </w:rPr>
      </w:pPr>
      <w:r>
        <w:t xml:space="preserve">Research </w:t>
      </w:r>
      <w:r w:rsidR="00CE1F91">
        <w:t xml:space="preserve">competencies and experience </w:t>
      </w:r>
      <w:r>
        <w:t xml:space="preserve">featured highly in both Grid and consultant person specifications, </w:t>
      </w:r>
      <w:r w:rsidR="00BF46D0">
        <w:t>most listing at least some aspects as essential criteria</w:t>
      </w:r>
      <w:r w:rsidR="00D9102B">
        <w:t xml:space="preserve">. </w:t>
      </w:r>
    </w:p>
    <w:p w14:paraId="222397AE" w14:textId="7398EBA4" w:rsidR="00847C1E" w:rsidRDefault="009B2224" w:rsidP="00FD74C3">
      <w:pPr>
        <w:spacing w:line="240" w:lineRule="auto"/>
      </w:pPr>
      <w:r>
        <w:t xml:space="preserve">Nationally, </w:t>
      </w:r>
      <w:r w:rsidR="00F8332F">
        <w:t>reports such as “Turning the tide”</w:t>
      </w:r>
      <w:r w:rsidR="00F8332F">
        <w:fldChar w:fldCharType="begin"/>
      </w:r>
      <w:r w:rsidR="00CE1F91">
        <w:instrText xml:space="preserve"> ADDIN EN.CITE &lt;EndNote&gt;&lt;Cite&gt;&lt;Author&gt;Health&lt;/Author&gt;&lt;Year&gt;2014&lt;/Year&gt;&lt;RecNum&gt;181&lt;/RecNum&gt;&lt;DisplayText&gt;(2)&lt;/DisplayText&gt;&lt;record&gt;&lt;rec-number&gt;181&lt;/rec-number&gt;&lt;foreign-keys&gt;&lt;key app="EN" db-id="pee209pevv2057etadqpdwsyfpzezpwrrsdw" timestamp="1440666626"&gt;181&lt;/key&gt;&lt;/foreign-keys&gt;&lt;ref-type name="Report"&gt;27&lt;/ref-type&gt;&lt;contributors&gt;&lt;authors&gt;&lt;author&gt;Royal College of Paediatrics and Child Health&lt;/author&gt;&lt;/authors&gt;&lt;/contributors&gt;&lt;titles&gt;&lt;title&gt;Turning the tide: Harnessing the power of child health research&lt;/title&gt;&lt;/titles&gt;&lt;dates&gt;&lt;year&gt;2014&lt;/year&gt;&lt;/dates&gt;&lt;urls&gt;&lt;related-urls&gt;&lt;url&gt;http://www.rcpch.ac.uk/harnessing-the-power-of-child-health-research&lt;/url&gt;&lt;/related-urls&gt;&lt;/urls&gt;&lt;/record&gt;&lt;/Cite&gt;&lt;/EndNote&gt;</w:instrText>
      </w:r>
      <w:r w:rsidR="00F8332F">
        <w:fldChar w:fldCharType="separate"/>
      </w:r>
      <w:r w:rsidR="00CE1F91">
        <w:rPr>
          <w:noProof/>
        </w:rPr>
        <w:t>(</w:t>
      </w:r>
      <w:hyperlink w:anchor="_ENREF_2" w:tooltip="Health, 2014 #181" w:history="1">
        <w:r w:rsidR="004775D7">
          <w:rPr>
            <w:noProof/>
          </w:rPr>
          <w:t>3</w:t>
        </w:r>
      </w:hyperlink>
      <w:r w:rsidR="00CE1F91">
        <w:rPr>
          <w:noProof/>
        </w:rPr>
        <w:t>)</w:t>
      </w:r>
      <w:r w:rsidR="00F8332F">
        <w:fldChar w:fldCharType="end"/>
      </w:r>
      <w:r w:rsidR="004164C3">
        <w:t xml:space="preserve"> have </w:t>
      </w:r>
      <w:r w:rsidR="00B76C89">
        <w:t>started addressing</w:t>
      </w:r>
      <w:r w:rsidR="004164C3">
        <w:t xml:space="preserve"> </w:t>
      </w:r>
      <w:r w:rsidR="006D374A">
        <w:t>changes that are needed to improve research training</w:t>
      </w:r>
      <w:r w:rsidR="00B8223F">
        <w:t xml:space="preserve">. </w:t>
      </w:r>
      <w:r w:rsidR="00544227">
        <w:t xml:space="preserve">Locally solutions </w:t>
      </w:r>
      <w:r>
        <w:t xml:space="preserve">need to be implemented, with </w:t>
      </w:r>
      <w:r w:rsidR="006D374A">
        <w:t xml:space="preserve">dissemination of </w:t>
      </w:r>
      <w:r>
        <w:t>best pra</w:t>
      </w:r>
      <w:r w:rsidR="00506AC4">
        <w:t xml:space="preserve">ctice nationally. </w:t>
      </w:r>
      <w:r w:rsidR="00105684">
        <w:t>S</w:t>
      </w:r>
      <w:r>
        <w:t>olutions could include</w:t>
      </w:r>
      <w:r w:rsidR="0099603E">
        <w:t xml:space="preserve"> regional</w:t>
      </w:r>
      <w:r w:rsidR="00B76C89">
        <w:t xml:space="preserve">/multiregional </w:t>
      </w:r>
      <w:r w:rsidR="00F8332F">
        <w:t>research training</w:t>
      </w:r>
      <w:r w:rsidR="0099603E">
        <w:t xml:space="preserve"> days, encouraging </w:t>
      </w:r>
      <w:r w:rsidR="00544227">
        <w:t>G</w:t>
      </w:r>
      <w:r w:rsidR="004164C3">
        <w:t xml:space="preserve">ood </w:t>
      </w:r>
      <w:r w:rsidR="00544227">
        <w:t>C</w:t>
      </w:r>
      <w:r w:rsidR="004164C3">
        <w:t xml:space="preserve">linical </w:t>
      </w:r>
      <w:r w:rsidR="00544227">
        <w:t>P</w:t>
      </w:r>
      <w:r w:rsidR="004164C3">
        <w:t>ractice</w:t>
      </w:r>
      <w:r w:rsidR="00BB2053">
        <w:t xml:space="preserve"> </w:t>
      </w:r>
      <w:r w:rsidR="00544227">
        <w:t>training earlier</w:t>
      </w:r>
      <w:r w:rsidR="00FD61E3">
        <w:t xml:space="preserve"> in </w:t>
      </w:r>
      <w:r w:rsidR="0099603E">
        <w:t>training</w:t>
      </w:r>
      <w:r w:rsidR="00BB2053">
        <w:t>,</w:t>
      </w:r>
      <w:r w:rsidR="00816D55">
        <w:t xml:space="preserve"> and</w:t>
      </w:r>
      <w:r w:rsidR="00B76C89">
        <w:t xml:space="preserve"> identifying </w:t>
      </w:r>
      <w:r w:rsidR="00544227">
        <w:t>research support lead</w:t>
      </w:r>
      <w:r w:rsidR="00B76C89">
        <w:t>s</w:t>
      </w:r>
      <w:r w:rsidR="0099603E">
        <w:t xml:space="preserve"> in each hospital to guide trainees and share opportunities.</w:t>
      </w:r>
    </w:p>
    <w:p w14:paraId="30BC0970" w14:textId="25227B48" w:rsidR="00A05F67" w:rsidRDefault="00A05F67" w:rsidP="00FD74C3">
      <w:pPr>
        <w:pStyle w:val="Heading1"/>
        <w:spacing w:line="240" w:lineRule="auto"/>
      </w:pPr>
      <w:r>
        <w:t>Conclusion</w:t>
      </w:r>
    </w:p>
    <w:p w14:paraId="38C2D2EC" w14:textId="54F9784A" w:rsidR="00A05F67" w:rsidRPr="00A05F67" w:rsidRDefault="00A05F67" w:rsidP="00FD74C3">
      <w:pPr>
        <w:spacing w:line="240" w:lineRule="auto"/>
      </w:pPr>
      <w:r>
        <w:t>Junior paediatric trainees consider research important, but report little experience, leaving limited training time to gain the competencies required for Grid and consultant positions.</w:t>
      </w:r>
      <w:r w:rsidDel="00F510F4">
        <w:t xml:space="preserve"> </w:t>
      </w:r>
    </w:p>
    <w:p w14:paraId="7732BB8B" w14:textId="7051AF51" w:rsidR="00950B03" w:rsidRDefault="00950B03" w:rsidP="00FD74C3">
      <w:pPr>
        <w:pStyle w:val="Heading1"/>
        <w:spacing w:line="240" w:lineRule="auto"/>
      </w:pPr>
      <w:r>
        <w:t>Acknowledgements</w:t>
      </w:r>
    </w:p>
    <w:p w14:paraId="4BBDD19E" w14:textId="6C50EA20" w:rsidR="00950B03" w:rsidRDefault="00950B03" w:rsidP="00FD74C3">
      <w:pPr>
        <w:spacing w:line="240" w:lineRule="auto"/>
      </w:pPr>
      <w:r w:rsidRPr="00950B03">
        <w:t>Dr Hanna Lythgoe and Dr Victoria Price contributed equally to the manuscript</w:t>
      </w:r>
    </w:p>
    <w:p w14:paraId="0572229D" w14:textId="7F4806F1" w:rsidR="00E91333" w:rsidRDefault="00B8223F" w:rsidP="00FD74C3">
      <w:pPr>
        <w:pStyle w:val="Heading1"/>
        <w:spacing w:line="240" w:lineRule="auto"/>
      </w:pPr>
      <w:r>
        <w:t>References</w:t>
      </w:r>
    </w:p>
    <w:p w14:paraId="119215F4" w14:textId="3D79D180" w:rsidR="00D63756" w:rsidRDefault="003D2CF7" w:rsidP="00FD74C3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1. </w:t>
      </w:r>
      <w:r w:rsidR="00D63756">
        <w:t>Rose AC, Van’t Hoff W, Beresford MW, Tansey SP. NIHR Medicines for Children Research Network: improving children’s health through clinical research. Expert Rev Clin Pharmacol. 2013;6(5):581-7</w:t>
      </w:r>
    </w:p>
    <w:p w14:paraId="50A9F2CD" w14:textId="6E74CF69" w:rsidR="005F48D4" w:rsidRPr="00CE1F91" w:rsidRDefault="005F48D4" w:rsidP="00FD74C3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>
        <w:t>2</w:t>
      </w:r>
      <w:r w:rsidR="00983D74">
        <w:t xml:space="preserve">. </w:t>
      </w:r>
      <w:r w:rsidRPr="00CE1F91">
        <w:t xml:space="preserve">Health RCoPaC. UK Child Health Research Collaboration. 2015 [cited 2015 27th August]; Available from: </w:t>
      </w:r>
      <w:hyperlink r:id="rId9" w:history="1">
        <w:r w:rsidRPr="00CE1F91">
          <w:rPr>
            <w:rStyle w:val="Hyperlink"/>
          </w:rPr>
          <w:t>http://www.rcpch.ac.uk/improving-child-health/research-and-surveillance/uk-child-health-research-collaboration/uk-child-hea</w:t>
        </w:r>
      </w:hyperlink>
      <w:r w:rsidRPr="00CE1F91">
        <w:t>.</w:t>
      </w:r>
    </w:p>
    <w:p w14:paraId="22D47618" w14:textId="7E019411" w:rsidR="005F48D4" w:rsidRPr="00CE1F91" w:rsidRDefault="005F48D4" w:rsidP="00FD74C3">
      <w:pPr>
        <w:pStyle w:val="EndNoteBibliography"/>
      </w:pPr>
      <w:r>
        <w:t>3</w:t>
      </w:r>
      <w:r w:rsidR="00983D74">
        <w:t xml:space="preserve">. </w:t>
      </w:r>
      <w:r w:rsidRPr="00CE1F91">
        <w:t>Health RCoPaC. Turning the tide: Harnessing the power of child health research. 2014.</w:t>
      </w:r>
    </w:p>
    <w:p w14:paraId="44E755A6" w14:textId="7B16FAF4" w:rsidR="00922E4C" w:rsidRPr="00A05F67" w:rsidRDefault="005F48D4" w:rsidP="00FD74C3">
      <w:pPr>
        <w:spacing w:line="240" w:lineRule="auto"/>
        <w:rPr>
          <w:b/>
        </w:rPr>
      </w:pPr>
      <w:r>
        <w:fldChar w:fldCharType="end"/>
      </w:r>
      <w:r w:rsidR="008635D7">
        <w:rPr>
          <w:b/>
        </w:rPr>
        <w:t xml:space="preserve">Word count </w:t>
      </w:r>
      <w:r w:rsidR="00FF1EDF">
        <w:rPr>
          <w:b/>
          <w:color w:val="FF0000"/>
        </w:rPr>
        <w:t>362</w:t>
      </w:r>
      <w:r w:rsidR="009C3BE7">
        <w:rPr>
          <w:b/>
        </w:rPr>
        <w:t xml:space="preserve"> </w:t>
      </w:r>
      <w:r w:rsidR="005C2843">
        <w:rPr>
          <w:b/>
        </w:rPr>
        <w:t xml:space="preserve">- </w:t>
      </w:r>
      <w:r w:rsidR="008F79A7" w:rsidRPr="008F79A7">
        <w:rPr>
          <w:b/>
        </w:rPr>
        <w:t>including titles but not figures/diagrams/references/abstract</w:t>
      </w:r>
    </w:p>
    <w:sectPr w:rsidR="00922E4C" w:rsidRPr="00A05F67" w:rsidSect="006610A4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E54C" w14:textId="77777777" w:rsidR="00BE672E" w:rsidRDefault="00BE672E" w:rsidP="001B2028">
      <w:pPr>
        <w:spacing w:after="0" w:line="240" w:lineRule="auto"/>
      </w:pPr>
      <w:r>
        <w:separator/>
      </w:r>
    </w:p>
  </w:endnote>
  <w:endnote w:type="continuationSeparator" w:id="0">
    <w:p w14:paraId="13E3E163" w14:textId="77777777" w:rsidR="00BE672E" w:rsidRDefault="00BE672E" w:rsidP="001B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206011"/>
      <w:docPartObj>
        <w:docPartGallery w:val="Page Numbers (Bottom of Page)"/>
        <w:docPartUnique/>
      </w:docPartObj>
    </w:sdtPr>
    <w:sdtEndPr/>
    <w:sdtContent>
      <w:p w14:paraId="26161ADB" w14:textId="526F2B60" w:rsidR="00BE672E" w:rsidRDefault="00BE672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175A0D" wp14:editId="179F5F4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5B8E71" w14:textId="77777777" w:rsidR="00BE672E" w:rsidRDefault="00BE672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A78A1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3175A0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525B8E71" w14:textId="77777777" w:rsidR="00BE672E" w:rsidRDefault="00BE672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A78A1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E67D24" wp14:editId="38BD29D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032526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PYedTMEAgAA1gMAAA4AAAAAAAAAAAAA&#10;AAAALgIAAGRycy9lMm9Eb2MueG1sUEsBAi0AFAAGAAgAAAAhAPWmTdfXAAAAAgEAAA8AAAAAAAAA&#10;AAAAAAAAXgQAAGRycy9kb3ducmV2LnhtbFBLBQYAAAAABAAEAPMAAABi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BA4FC" w14:textId="77777777" w:rsidR="00BE672E" w:rsidRDefault="00BE672E" w:rsidP="001B2028">
      <w:pPr>
        <w:spacing w:after="0" w:line="240" w:lineRule="auto"/>
      </w:pPr>
      <w:r>
        <w:separator/>
      </w:r>
    </w:p>
  </w:footnote>
  <w:footnote w:type="continuationSeparator" w:id="0">
    <w:p w14:paraId="412FE391" w14:textId="77777777" w:rsidR="00BE672E" w:rsidRDefault="00BE672E" w:rsidP="001B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3165" w14:textId="55F7440E" w:rsidR="00BE672E" w:rsidRDefault="00BE672E" w:rsidP="006610A4">
    <w:pPr>
      <w:pStyle w:val="Header"/>
      <w:tabs>
        <w:tab w:val="left" w:pos="7088"/>
      </w:tabs>
    </w:pPr>
    <w:r>
      <w:t>Version 1</w:t>
    </w:r>
    <w:r>
      <w:tab/>
    </w:r>
    <w:r>
      <w:tab/>
      <w:t>27</w:t>
    </w:r>
    <w:r w:rsidRPr="006610A4">
      <w:rPr>
        <w:vertAlign w:val="superscript"/>
      </w:rPr>
      <w:t>th</w:t>
    </w:r>
    <w:r>
      <w:t xml:space="preserve"> October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CF0"/>
    <w:multiLevelType w:val="hybridMultilevel"/>
    <w:tmpl w:val="9A7E5A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7A0398"/>
    <w:multiLevelType w:val="hybridMultilevel"/>
    <w:tmpl w:val="9544E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C5E13"/>
    <w:multiLevelType w:val="hybridMultilevel"/>
    <w:tmpl w:val="D10EB55E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JC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ee209pevv2057etadqpdwsyfpzezpwrrsdw&quot;&gt;My EndNote Library&lt;record-ids&gt;&lt;item&gt;181&lt;/item&gt;&lt;item&gt;182&lt;/item&gt;&lt;/record-ids&gt;&lt;/item&gt;&lt;/Libraries&gt;"/>
  </w:docVars>
  <w:rsids>
    <w:rsidRoot w:val="00CF57B5"/>
    <w:rsid w:val="00011B2A"/>
    <w:rsid w:val="000131D4"/>
    <w:rsid w:val="00015CCA"/>
    <w:rsid w:val="000206B4"/>
    <w:rsid w:val="000403E1"/>
    <w:rsid w:val="000828FF"/>
    <w:rsid w:val="00094EBB"/>
    <w:rsid w:val="000A214A"/>
    <w:rsid w:val="000B27E8"/>
    <w:rsid w:val="000B35F8"/>
    <w:rsid w:val="000C26AE"/>
    <w:rsid w:val="000D49D4"/>
    <w:rsid w:val="000D5405"/>
    <w:rsid w:val="000E0924"/>
    <w:rsid w:val="000E34FB"/>
    <w:rsid w:val="001022A0"/>
    <w:rsid w:val="00105684"/>
    <w:rsid w:val="00122962"/>
    <w:rsid w:val="00124DE2"/>
    <w:rsid w:val="001468F1"/>
    <w:rsid w:val="0018245E"/>
    <w:rsid w:val="00185955"/>
    <w:rsid w:val="00192EF6"/>
    <w:rsid w:val="001A08BE"/>
    <w:rsid w:val="001B0E12"/>
    <w:rsid w:val="001B2028"/>
    <w:rsid w:val="001B3DAC"/>
    <w:rsid w:val="001B6B14"/>
    <w:rsid w:val="001E746E"/>
    <w:rsid w:val="00201DDC"/>
    <w:rsid w:val="002040D1"/>
    <w:rsid w:val="0020535C"/>
    <w:rsid w:val="00211956"/>
    <w:rsid w:val="002154C4"/>
    <w:rsid w:val="00221779"/>
    <w:rsid w:val="00231ACA"/>
    <w:rsid w:val="00236B5F"/>
    <w:rsid w:val="0023751D"/>
    <w:rsid w:val="002456E2"/>
    <w:rsid w:val="0025152D"/>
    <w:rsid w:val="002565EA"/>
    <w:rsid w:val="00272CAF"/>
    <w:rsid w:val="00274392"/>
    <w:rsid w:val="0028539B"/>
    <w:rsid w:val="00285949"/>
    <w:rsid w:val="002A6523"/>
    <w:rsid w:val="002B110E"/>
    <w:rsid w:val="002D0257"/>
    <w:rsid w:val="002D4646"/>
    <w:rsid w:val="002E3C8F"/>
    <w:rsid w:val="002E5B79"/>
    <w:rsid w:val="00305445"/>
    <w:rsid w:val="00314225"/>
    <w:rsid w:val="0031679D"/>
    <w:rsid w:val="00326D3D"/>
    <w:rsid w:val="00345B8A"/>
    <w:rsid w:val="00351616"/>
    <w:rsid w:val="00352DFF"/>
    <w:rsid w:val="003625E0"/>
    <w:rsid w:val="00367EDD"/>
    <w:rsid w:val="003810D5"/>
    <w:rsid w:val="00385725"/>
    <w:rsid w:val="0039289E"/>
    <w:rsid w:val="003B7125"/>
    <w:rsid w:val="003C339B"/>
    <w:rsid w:val="003D2CF7"/>
    <w:rsid w:val="003D3709"/>
    <w:rsid w:val="003E1CEA"/>
    <w:rsid w:val="003E4FC3"/>
    <w:rsid w:val="003E52CE"/>
    <w:rsid w:val="003F0648"/>
    <w:rsid w:val="00413CB4"/>
    <w:rsid w:val="004164C3"/>
    <w:rsid w:val="0042069C"/>
    <w:rsid w:val="00432CB3"/>
    <w:rsid w:val="00434257"/>
    <w:rsid w:val="004503F6"/>
    <w:rsid w:val="004749AA"/>
    <w:rsid w:val="004775D7"/>
    <w:rsid w:val="004A5373"/>
    <w:rsid w:val="004B64D2"/>
    <w:rsid w:val="004D0652"/>
    <w:rsid w:val="004E03AA"/>
    <w:rsid w:val="00504D27"/>
    <w:rsid w:val="00506AC4"/>
    <w:rsid w:val="005359F5"/>
    <w:rsid w:val="00544227"/>
    <w:rsid w:val="00547D0E"/>
    <w:rsid w:val="00553DC8"/>
    <w:rsid w:val="00555F52"/>
    <w:rsid w:val="005607D9"/>
    <w:rsid w:val="00581013"/>
    <w:rsid w:val="00591194"/>
    <w:rsid w:val="0059472B"/>
    <w:rsid w:val="005A15D1"/>
    <w:rsid w:val="005B09B4"/>
    <w:rsid w:val="005B1944"/>
    <w:rsid w:val="005C2843"/>
    <w:rsid w:val="005E3531"/>
    <w:rsid w:val="005F3D85"/>
    <w:rsid w:val="005F48D4"/>
    <w:rsid w:val="00604043"/>
    <w:rsid w:val="0061680B"/>
    <w:rsid w:val="006311D4"/>
    <w:rsid w:val="0064047F"/>
    <w:rsid w:val="006610A4"/>
    <w:rsid w:val="006617A9"/>
    <w:rsid w:val="00676927"/>
    <w:rsid w:val="00683B05"/>
    <w:rsid w:val="0069782D"/>
    <w:rsid w:val="006A69A6"/>
    <w:rsid w:val="006A78A1"/>
    <w:rsid w:val="006D0EB0"/>
    <w:rsid w:val="006D374A"/>
    <w:rsid w:val="006E0AFD"/>
    <w:rsid w:val="00721005"/>
    <w:rsid w:val="007227D1"/>
    <w:rsid w:val="007237C9"/>
    <w:rsid w:val="00725E97"/>
    <w:rsid w:val="007364B6"/>
    <w:rsid w:val="00746405"/>
    <w:rsid w:val="00746638"/>
    <w:rsid w:val="007545A2"/>
    <w:rsid w:val="00760379"/>
    <w:rsid w:val="007A312D"/>
    <w:rsid w:val="007B100C"/>
    <w:rsid w:val="007C1DDA"/>
    <w:rsid w:val="007C4976"/>
    <w:rsid w:val="007C5886"/>
    <w:rsid w:val="007D1E29"/>
    <w:rsid w:val="007D1E7F"/>
    <w:rsid w:val="007E3028"/>
    <w:rsid w:val="007F021A"/>
    <w:rsid w:val="007F1857"/>
    <w:rsid w:val="007F7BCB"/>
    <w:rsid w:val="008017AE"/>
    <w:rsid w:val="00803389"/>
    <w:rsid w:val="00811991"/>
    <w:rsid w:val="00812B94"/>
    <w:rsid w:val="00816D55"/>
    <w:rsid w:val="008202D0"/>
    <w:rsid w:val="00823AAC"/>
    <w:rsid w:val="00832242"/>
    <w:rsid w:val="008402B2"/>
    <w:rsid w:val="0084506A"/>
    <w:rsid w:val="00847C1E"/>
    <w:rsid w:val="008518B0"/>
    <w:rsid w:val="008635D7"/>
    <w:rsid w:val="00871A74"/>
    <w:rsid w:val="00877809"/>
    <w:rsid w:val="00892080"/>
    <w:rsid w:val="00892FCF"/>
    <w:rsid w:val="008D3E27"/>
    <w:rsid w:val="008E035D"/>
    <w:rsid w:val="008E0EFC"/>
    <w:rsid w:val="008E1557"/>
    <w:rsid w:val="008F5FBE"/>
    <w:rsid w:val="008F79A7"/>
    <w:rsid w:val="00907929"/>
    <w:rsid w:val="00922E4C"/>
    <w:rsid w:val="00926A73"/>
    <w:rsid w:val="0094387B"/>
    <w:rsid w:val="00950090"/>
    <w:rsid w:val="00950B03"/>
    <w:rsid w:val="00954A1E"/>
    <w:rsid w:val="00983C15"/>
    <w:rsid w:val="00983D74"/>
    <w:rsid w:val="0099603E"/>
    <w:rsid w:val="00996B67"/>
    <w:rsid w:val="00997B5C"/>
    <w:rsid w:val="009B2224"/>
    <w:rsid w:val="009C09AD"/>
    <w:rsid w:val="009C3BE7"/>
    <w:rsid w:val="009C4492"/>
    <w:rsid w:val="009C46E2"/>
    <w:rsid w:val="009D5C24"/>
    <w:rsid w:val="009E739F"/>
    <w:rsid w:val="009F5212"/>
    <w:rsid w:val="009F5376"/>
    <w:rsid w:val="00A05F67"/>
    <w:rsid w:val="00A0603B"/>
    <w:rsid w:val="00A35CA2"/>
    <w:rsid w:val="00A35CD8"/>
    <w:rsid w:val="00A40309"/>
    <w:rsid w:val="00A50E71"/>
    <w:rsid w:val="00A53B33"/>
    <w:rsid w:val="00AF78AE"/>
    <w:rsid w:val="00B34A18"/>
    <w:rsid w:val="00B70A2F"/>
    <w:rsid w:val="00B720FD"/>
    <w:rsid w:val="00B735CF"/>
    <w:rsid w:val="00B76C89"/>
    <w:rsid w:val="00B8223F"/>
    <w:rsid w:val="00B83ECB"/>
    <w:rsid w:val="00B869B6"/>
    <w:rsid w:val="00B93FAD"/>
    <w:rsid w:val="00BA74FD"/>
    <w:rsid w:val="00BB2053"/>
    <w:rsid w:val="00BB7EC2"/>
    <w:rsid w:val="00BC6F5B"/>
    <w:rsid w:val="00BD18C9"/>
    <w:rsid w:val="00BD5ECF"/>
    <w:rsid w:val="00BE2875"/>
    <w:rsid w:val="00BE672E"/>
    <w:rsid w:val="00BF46D0"/>
    <w:rsid w:val="00C03B27"/>
    <w:rsid w:val="00C3082E"/>
    <w:rsid w:val="00C336C9"/>
    <w:rsid w:val="00C37C1E"/>
    <w:rsid w:val="00C7697E"/>
    <w:rsid w:val="00CC4138"/>
    <w:rsid w:val="00CE1F91"/>
    <w:rsid w:val="00CF5721"/>
    <w:rsid w:val="00CF57B5"/>
    <w:rsid w:val="00D01509"/>
    <w:rsid w:val="00D310C6"/>
    <w:rsid w:val="00D42406"/>
    <w:rsid w:val="00D50ECF"/>
    <w:rsid w:val="00D6006C"/>
    <w:rsid w:val="00D60192"/>
    <w:rsid w:val="00D6115F"/>
    <w:rsid w:val="00D63756"/>
    <w:rsid w:val="00D767EE"/>
    <w:rsid w:val="00D87C63"/>
    <w:rsid w:val="00D9102B"/>
    <w:rsid w:val="00D95634"/>
    <w:rsid w:val="00DA60B9"/>
    <w:rsid w:val="00DA656B"/>
    <w:rsid w:val="00DB1967"/>
    <w:rsid w:val="00DB2ACC"/>
    <w:rsid w:val="00DE3FD0"/>
    <w:rsid w:val="00E01638"/>
    <w:rsid w:val="00E1575A"/>
    <w:rsid w:val="00E218FA"/>
    <w:rsid w:val="00E3007A"/>
    <w:rsid w:val="00E57005"/>
    <w:rsid w:val="00E73E39"/>
    <w:rsid w:val="00E7414D"/>
    <w:rsid w:val="00E77251"/>
    <w:rsid w:val="00E835B4"/>
    <w:rsid w:val="00E879D8"/>
    <w:rsid w:val="00E901E4"/>
    <w:rsid w:val="00E905B0"/>
    <w:rsid w:val="00E91333"/>
    <w:rsid w:val="00EA3F54"/>
    <w:rsid w:val="00ED367B"/>
    <w:rsid w:val="00EE4242"/>
    <w:rsid w:val="00F02737"/>
    <w:rsid w:val="00F16208"/>
    <w:rsid w:val="00F30400"/>
    <w:rsid w:val="00F307F2"/>
    <w:rsid w:val="00F340CC"/>
    <w:rsid w:val="00F4315A"/>
    <w:rsid w:val="00F510F4"/>
    <w:rsid w:val="00F5183B"/>
    <w:rsid w:val="00F611F1"/>
    <w:rsid w:val="00F8120F"/>
    <w:rsid w:val="00F8332F"/>
    <w:rsid w:val="00F9480D"/>
    <w:rsid w:val="00FB4591"/>
    <w:rsid w:val="00FC4C85"/>
    <w:rsid w:val="00FC63C4"/>
    <w:rsid w:val="00FD126F"/>
    <w:rsid w:val="00FD1B85"/>
    <w:rsid w:val="00FD1C81"/>
    <w:rsid w:val="00FD61E3"/>
    <w:rsid w:val="00FD74C3"/>
    <w:rsid w:val="00FD7F35"/>
    <w:rsid w:val="00FE0283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B375DF"/>
  <w15:docId w15:val="{4C6FB6BE-453C-4F16-9156-08DBEB89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E30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0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202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B20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0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B202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B20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2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2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28"/>
  </w:style>
  <w:style w:type="paragraph" w:styleId="Footer">
    <w:name w:val="footer"/>
    <w:basedOn w:val="Normal"/>
    <w:link w:val="FooterChar"/>
    <w:uiPriority w:val="99"/>
    <w:unhideWhenUsed/>
    <w:rsid w:val="001B2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28"/>
  </w:style>
  <w:style w:type="character" w:styleId="Hyperlink">
    <w:name w:val="Hyperlink"/>
    <w:basedOn w:val="DefaultParagraphFont"/>
    <w:uiPriority w:val="99"/>
    <w:unhideWhenUsed/>
    <w:rsid w:val="007D1E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956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B2053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2053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B2053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B2053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D6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hawcutt@liv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pch.ac.uk/improving-child-health/research-and-surveillance/uk-child-health-research-collaboration/uk-child-h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4FCC-8374-4C4D-80E9-BE7D073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Burgess</dc:creator>
  <cp:lastModifiedBy>Hanna Burgess</cp:lastModifiedBy>
  <cp:revision>3</cp:revision>
  <dcterms:created xsi:type="dcterms:W3CDTF">2015-11-09T13:43:00Z</dcterms:created>
  <dcterms:modified xsi:type="dcterms:W3CDTF">2015-11-09T13:44:00Z</dcterms:modified>
</cp:coreProperties>
</file>