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9D625" w14:textId="77777777" w:rsidR="00583739" w:rsidRPr="00BB4B8D" w:rsidRDefault="00B71BE5" w:rsidP="00BB4B8D">
      <w:pPr>
        <w:pStyle w:val="Title"/>
        <w:jc w:val="center"/>
        <w:rPr>
          <w:rFonts w:ascii="Times New Roman" w:hAnsi="Times New Roman" w:cs="Times New Roman"/>
          <w:b/>
          <w:sz w:val="24"/>
          <w:szCs w:val="24"/>
        </w:rPr>
      </w:pPr>
      <w:r w:rsidRPr="00BB4B8D">
        <w:rPr>
          <w:rFonts w:ascii="Times New Roman" w:hAnsi="Times New Roman" w:cs="Times New Roman"/>
          <w:b/>
          <w:sz w:val="24"/>
          <w:szCs w:val="24"/>
        </w:rPr>
        <w:t>UK Foreign Investment Protection Policy post-Brexit</w:t>
      </w:r>
    </w:p>
    <w:p w14:paraId="3D6924B4" w14:textId="77777777" w:rsidR="00B71BE5" w:rsidRPr="004F31F4" w:rsidRDefault="00B71BE5" w:rsidP="004F31F4">
      <w:pPr>
        <w:pStyle w:val="Heading1"/>
        <w:rPr>
          <w:rFonts w:ascii="Times New Roman" w:hAnsi="Times New Roman" w:cs="Times New Roman"/>
          <w:b/>
          <w:color w:val="auto"/>
          <w:sz w:val="24"/>
          <w:szCs w:val="24"/>
        </w:rPr>
      </w:pPr>
    </w:p>
    <w:p w14:paraId="2842026B" w14:textId="7102D73A" w:rsidR="00BB4B8D" w:rsidRPr="00FE20E0" w:rsidRDefault="00BB4B8D" w:rsidP="00B11CF5">
      <w:pPr>
        <w:pStyle w:val="Heading1"/>
        <w:numPr>
          <w:ilvl w:val="0"/>
          <w:numId w:val="3"/>
        </w:numPr>
        <w:ind w:left="284" w:hanging="284"/>
        <w:rPr>
          <w:rFonts w:ascii="Times New Roman" w:hAnsi="Times New Roman" w:cs="Times New Roman"/>
          <w:color w:val="auto"/>
          <w:sz w:val="24"/>
          <w:szCs w:val="24"/>
        </w:rPr>
      </w:pPr>
      <w:r w:rsidRPr="00FE20E0">
        <w:rPr>
          <w:rFonts w:ascii="Times New Roman" w:hAnsi="Times New Roman" w:cs="Times New Roman"/>
          <w:color w:val="auto"/>
          <w:sz w:val="24"/>
          <w:szCs w:val="24"/>
        </w:rPr>
        <w:t>Introduction</w:t>
      </w:r>
    </w:p>
    <w:p w14:paraId="11691BD9" w14:textId="77777777" w:rsidR="00BB4B8D" w:rsidRDefault="00BB4B8D" w:rsidP="00D66C82">
      <w:pPr>
        <w:autoSpaceDE w:val="0"/>
        <w:autoSpaceDN w:val="0"/>
        <w:adjustRightInd w:val="0"/>
        <w:spacing w:after="0"/>
        <w:jc w:val="both"/>
        <w:rPr>
          <w:rFonts w:ascii="Times New Roman" w:hAnsi="Times New Roman" w:cs="Times New Roman"/>
          <w:sz w:val="24"/>
          <w:szCs w:val="24"/>
        </w:rPr>
      </w:pPr>
    </w:p>
    <w:p w14:paraId="05B1F060" w14:textId="063607C2" w:rsidR="0015237C" w:rsidRPr="00D66C82" w:rsidRDefault="0015237C"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 xml:space="preserve">The debate about the future of the UK foreign economic relations </w:t>
      </w:r>
      <w:r w:rsidR="005B35D3" w:rsidRPr="00D66C82">
        <w:rPr>
          <w:rFonts w:ascii="Times New Roman" w:hAnsi="Times New Roman" w:cs="Times New Roman"/>
          <w:sz w:val="24"/>
          <w:szCs w:val="24"/>
        </w:rPr>
        <w:t xml:space="preserve">post-Brexit </w:t>
      </w:r>
      <w:r w:rsidRPr="00D66C82">
        <w:rPr>
          <w:rFonts w:ascii="Times New Roman" w:hAnsi="Times New Roman" w:cs="Times New Roman"/>
          <w:sz w:val="24"/>
          <w:szCs w:val="24"/>
        </w:rPr>
        <w:t xml:space="preserve">has so far been dominated by issues of global trade. However, </w:t>
      </w:r>
      <w:r w:rsidR="00E0437F" w:rsidRPr="00D66C82">
        <w:rPr>
          <w:rFonts w:ascii="Times New Roman" w:hAnsi="Times New Roman" w:cs="Times New Roman"/>
          <w:sz w:val="24"/>
          <w:szCs w:val="24"/>
        </w:rPr>
        <w:t xml:space="preserve">despite having </w:t>
      </w:r>
      <w:r w:rsidR="001833A1" w:rsidRPr="00D66C82">
        <w:rPr>
          <w:rFonts w:ascii="Times New Roman" w:hAnsi="Times New Roman" w:cs="Times New Roman"/>
          <w:sz w:val="24"/>
          <w:szCs w:val="24"/>
        </w:rPr>
        <w:t xml:space="preserve">so far </w:t>
      </w:r>
      <w:r w:rsidRPr="00D66C82">
        <w:rPr>
          <w:rFonts w:ascii="Times New Roman" w:hAnsi="Times New Roman" w:cs="Times New Roman"/>
          <w:sz w:val="24"/>
          <w:szCs w:val="24"/>
        </w:rPr>
        <w:t xml:space="preserve">attracted relatively limited attention </w:t>
      </w:r>
      <w:r w:rsidR="00597654" w:rsidRPr="00D66C82">
        <w:rPr>
          <w:rFonts w:ascii="Times New Roman" w:hAnsi="Times New Roman" w:cs="Times New Roman"/>
          <w:sz w:val="24"/>
          <w:szCs w:val="24"/>
        </w:rPr>
        <w:t>in political and legal discourse</w:t>
      </w:r>
      <w:r w:rsidRPr="00D66C82">
        <w:rPr>
          <w:rFonts w:ascii="Times New Roman" w:hAnsi="Times New Roman" w:cs="Times New Roman"/>
          <w:sz w:val="24"/>
          <w:szCs w:val="24"/>
        </w:rPr>
        <w:t xml:space="preserve">, the development of UK foreign investment policy </w:t>
      </w:r>
      <w:r w:rsidR="00082D23" w:rsidRPr="00D66C82">
        <w:rPr>
          <w:rFonts w:ascii="Times New Roman" w:hAnsi="Times New Roman" w:cs="Times New Roman"/>
          <w:sz w:val="24"/>
          <w:szCs w:val="24"/>
        </w:rPr>
        <w:t>remains</w:t>
      </w:r>
      <w:r w:rsidRPr="00D66C82">
        <w:rPr>
          <w:rFonts w:ascii="Times New Roman" w:hAnsi="Times New Roman" w:cs="Times New Roman"/>
          <w:sz w:val="24"/>
          <w:szCs w:val="24"/>
        </w:rPr>
        <w:t xml:space="preserve"> a tremendously important issue, not least because of the scale of the UK’s existing investment treaty commitments</w:t>
      </w:r>
      <w:r w:rsidR="00597654" w:rsidRPr="00D66C82">
        <w:rPr>
          <w:rFonts w:ascii="Times New Roman" w:hAnsi="Times New Roman" w:cs="Times New Roman"/>
          <w:sz w:val="24"/>
          <w:szCs w:val="24"/>
        </w:rPr>
        <w:t xml:space="preserve">. </w:t>
      </w:r>
      <w:r w:rsidR="00607F06" w:rsidRPr="00D66C82">
        <w:rPr>
          <w:rFonts w:ascii="Times New Roman" w:hAnsi="Times New Roman" w:cs="Times New Roman"/>
          <w:sz w:val="24"/>
          <w:szCs w:val="24"/>
        </w:rPr>
        <w:t>Prior to the transfer of competence over foreign investment to the EU in 2010</w:t>
      </w:r>
      <w:r w:rsidR="00597654" w:rsidRPr="00D66C82">
        <w:rPr>
          <w:rFonts w:ascii="Times New Roman" w:hAnsi="Times New Roman" w:cs="Times New Roman"/>
          <w:sz w:val="24"/>
          <w:szCs w:val="24"/>
        </w:rPr>
        <w:t xml:space="preserve">, the UK </w:t>
      </w:r>
      <w:r w:rsidR="00607F06" w:rsidRPr="00D66C82">
        <w:rPr>
          <w:rFonts w:ascii="Times New Roman" w:hAnsi="Times New Roman" w:cs="Times New Roman"/>
          <w:sz w:val="24"/>
          <w:szCs w:val="24"/>
        </w:rPr>
        <w:t>concluded</w:t>
      </w:r>
      <w:r w:rsidR="00597654" w:rsidRPr="00D66C82">
        <w:rPr>
          <w:rFonts w:ascii="Times New Roman" w:hAnsi="Times New Roman" w:cs="Times New Roman"/>
          <w:sz w:val="24"/>
          <w:szCs w:val="24"/>
        </w:rPr>
        <w:t xml:space="preserve"> at least 106 bilateral investment treaties and 75 treaties with inv</w:t>
      </w:r>
      <w:r w:rsidR="004D7574" w:rsidRPr="00D66C82">
        <w:rPr>
          <w:rFonts w:ascii="Times New Roman" w:hAnsi="Times New Roman" w:cs="Times New Roman"/>
          <w:sz w:val="24"/>
          <w:szCs w:val="24"/>
        </w:rPr>
        <w:t>estment provisions (most of the latter</w:t>
      </w:r>
      <w:r w:rsidR="00597654" w:rsidRPr="00D66C82">
        <w:rPr>
          <w:rFonts w:ascii="Times New Roman" w:hAnsi="Times New Roman" w:cs="Times New Roman"/>
          <w:sz w:val="24"/>
          <w:szCs w:val="24"/>
        </w:rPr>
        <w:t xml:space="preserve"> signed by the EC and subsequently the EU). There is also a</w:t>
      </w:r>
      <w:r w:rsidRPr="00D66C82">
        <w:rPr>
          <w:rFonts w:ascii="Times New Roman" w:hAnsi="Times New Roman" w:cs="Times New Roman"/>
          <w:sz w:val="24"/>
          <w:szCs w:val="24"/>
        </w:rPr>
        <w:t xml:space="preserve"> strong likelihood of investment promotion and protection rules being inc</w:t>
      </w:r>
      <w:r w:rsidR="00AE5F5F">
        <w:rPr>
          <w:rFonts w:ascii="Times New Roman" w:hAnsi="Times New Roman" w:cs="Times New Roman"/>
          <w:sz w:val="24"/>
          <w:szCs w:val="24"/>
        </w:rPr>
        <w:t>orporated</w:t>
      </w:r>
      <w:r w:rsidRPr="00D66C82">
        <w:rPr>
          <w:rFonts w:ascii="Times New Roman" w:hAnsi="Times New Roman" w:cs="Times New Roman"/>
          <w:sz w:val="24"/>
          <w:szCs w:val="24"/>
        </w:rPr>
        <w:t xml:space="preserve"> in </w:t>
      </w:r>
      <w:r w:rsidR="00D06545">
        <w:rPr>
          <w:rFonts w:ascii="Times New Roman" w:hAnsi="Times New Roman" w:cs="Times New Roman"/>
          <w:sz w:val="24"/>
          <w:szCs w:val="24"/>
        </w:rPr>
        <w:t xml:space="preserve">the </w:t>
      </w:r>
      <w:r w:rsidRPr="00D66C82">
        <w:rPr>
          <w:rFonts w:ascii="Times New Roman" w:hAnsi="Times New Roman" w:cs="Times New Roman"/>
          <w:sz w:val="24"/>
          <w:szCs w:val="24"/>
        </w:rPr>
        <w:t>future UK trade agreement</w:t>
      </w:r>
      <w:r w:rsidR="00597654" w:rsidRPr="00D66C82">
        <w:rPr>
          <w:rFonts w:ascii="Times New Roman" w:hAnsi="Times New Roman" w:cs="Times New Roman"/>
          <w:sz w:val="24"/>
          <w:szCs w:val="24"/>
        </w:rPr>
        <w:t>s bo</w:t>
      </w:r>
      <w:r w:rsidR="001833A1" w:rsidRPr="00D66C82">
        <w:rPr>
          <w:rFonts w:ascii="Times New Roman" w:hAnsi="Times New Roman" w:cs="Times New Roman"/>
          <w:sz w:val="24"/>
          <w:szCs w:val="24"/>
        </w:rPr>
        <w:t xml:space="preserve">th with the EU and third states, including the eagerly anticipated free trade deals with the United States, Australia, and India. </w:t>
      </w:r>
      <w:r w:rsidR="00E0437F" w:rsidRPr="00D66C82">
        <w:rPr>
          <w:rFonts w:ascii="Times New Roman" w:hAnsi="Times New Roman" w:cs="Times New Roman"/>
          <w:sz w:val="24"/>
          <w:szCs w:val="24"/>
        </w:rPr>
        <w:t xml:space="preserve">Furthermore, the UK government’s economic priorities, as articulated in its recent policy documents, suggest that inward foreign investment is expected to play a </w:t>
      </w:r>
      <w:r w:rsidR="001833A1" w:rsidRPr="00D66C82">
        <w:rPr>
          <w:rFonts w:ascii="Times New Roman" w:hAnsi="Times New Roman" w:cs="Times New Roman"/>
          <w:sz w:val="24"/>
          <w:szCs w:val="24"/>
        </w:rPr>
        <w:t>key</w:t>
      </w:r>
      <w:r w:rsidR="00E0437F" w:rsidRPr="00D66C82">
        <w:rPr>
          <w:rFonts w:ascii="Times New Roman" w:hAnsi="Times New Roman" w:cs="Times New Roman"/>
          <w:sz w:val="24"/>
          <w:szCs w:val="24"/>
        </w:rPr>
        <w:t xml:space="preserve"> part in governmental efforts to foster economic growth</w:t>
      </w:r>
      <w:r w:rsidR="004D7574" w:rsidRPr="00D66C82">
        <w:rPr>
          <w:rFonts w:ascii="Times New Roman" w:hAnsi="Times New Roman" w:cs="Times New Roman"/>
          <w:sz w:val="24"/>
          <w:szCs w:val="24"/>
        </w:rPr>
        <w:t xml:space="preserve"> after the country withdraws from the EU</w:t>
      </w:r>
      <w:r w:rsidR="00E0437F" w:rsidRPr="00D66C82">
        <w:rPr>
          <w:rFonts w:ascii="Times New Roman" w:hAnsi="Times New Roman" w:cs="Times New Roman"/>
          <w:sz w:val="24"/>
          <w:szCs w:val="24"/>
        </w:rPr>
        <w:t>.</w:t>
      </w:r>
      <w:r w:rsidR="00D1600F" w:rsidRPr="00D66C82">
        <w:rPr>
          <w:rStyle w:val="FootnoteReference"/>
          <w:rFonts w:ascii="Times New Roman" w:hAnsi="Times New Roman" w:cs="Times New Roman"/>
          <w:sz w:val="24"/>
          <w:szCs w:val="24"/>
        </w:rPr>
        <w:footnoteReference w:id="1"/>
      </w:r>
      <w:r w:rsidR="008C103F" w:rsidRPr="00D66C82">
        <w:rPr>
          <w:rFonts w:ascii="Times New Roman" w:hAnsi="Times New Roman" w:cs="Times New Roman"/>
          <w:sz w:val="24"/>
          <w:szCs w:val="24"/>
        </w:rPr>
        <w:t xml:space="preserve"> The UK plc is open for business, but what does that mean from the point of view of international investment law?</w:t>
      </w:r>
    </w:p>
    <w:p w14:paraId="165F4455" w14:textId="77777777" w:rsidR="001833A1" w:rsidRPr="00D66C82" w:rsidRDefault="001833A1" w:rsidP="00D66C82">
      <w:pPr>
        <w:autoSpaceDE w:val="0"/>
        <w:autoSpaceDN w:val="0"/>
        <w:adjustRightInd w:val="0"/>
        <w:spacing w:after="0"/>
        <w:jc w:val="both"/>
        <w:rPr>
          <w:rFonts w:ascii="Times New Roman" w:hAnsi="Times New Roman" w:cs="Times New Roman"/>
          <w:sz w:val="24"/>
          <w:szCs w:val="24"/>
        </w:rPr>
      </w:pPr>
    </w:p>
    <w:p w14:paraId="5FCD1FDB" w14:textId="7DFA584F" w:rsidR="001833A1" w:rsidRPr="00D66C82" w:rsidRDefault="001833A1"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 xml:space="preserve">This chapter will focus on three key </w:t>
      </w:r>
      <w:r w:rsidR="005B35D3" w:rsidRPr="00D66C82">
        <w:rPr>
          <w:rFonts w:ascii="Times New Roman" w:hAnsi="Times New Roman" w:cs="Times New Roman"/>
          <w:sz w:val="24"/>
          <w:szCs w:val="24"/>
        </w:rPr>
        <w:t xml:space="preserve">areas which are </w:t>
      </w:r>
      <w:r w:rsidR="00E72315" w:rsidRPr="00D66C82">
        <w:rPr>
          <w:rFonts w:ascii="Times New Roman" w:hAnsi="Times New Roman" w:cs="Times New Roman"/>
          <w:sz w:val="24"/>
          <w:szCs w:val="24"/>
        </w:rPr>
        <w:t xml:space="preserve">not only </w:t>
      </w:r>
      <w:r w:rsidR="005B35D3" w:rsidRPr="00D66C82">
        <w:rPr>
          <w:rFonts w:ascii="Times New Roman" w:hAnsi="Times New Roman" w:cs="Times New Roman"/>
          <w:sz w:val="24"/>
          <w:szCs w:val="24"/>
        </w:rPr>
        <w:t xml:space="preserve">of fundamental importance to the UK as </w:t>
      </w:r>
      <w:r w:rsidR="00D06545" w:rsidRPr="00D66C82">
        <w:rPr>
          <w:rFonts w:ascii="Times New Roman" w:hAnsi="Times New Roman" w:cs="Times New Roman"/>
          <w:sz w:val="24"/>
          <w:szCs w:val="24"/>
        </w:rPr>
        <w:t xml:space="preserve">both </w:t>
      </w:r>
      <w:r w:rsidR="005B35D3" w:rsidRPr="00D66C82">
        <w:rPr>
          <w:rFonts w:ascii="Times New Roman" w:hAnsi="Times New Roman" w:cs="Times New Roman"/>
          <w:sz w:val="24"/>
          <w:szCs w:val="24"/>
        </w:rPr>
        <w:t>a recipient and exporter of investment</w:t>
      </w:r>
      <w:r w:rsidR="00E72315" w:rsidRPr="00D66C82">
        <w:rPr>
          <w:rFonts w:ascii="Times New Roman" w:hAnsi="Times New Roman" w:cs="Times New Roman"/>
          <w:sz w:val="24"/>
          <w:szCs w:val="24"/>
        </w:rPr>
        <w:t>,</w:t>
      </w:r>
      <w:r w:rsidR="005B35D3" w:rsidRPr="00D66C82">
        <w:rPr>
          <w:rFonts w:ascii="Times New Roman" w:hAnsi="Times New Roman" w:cs="Times New Roman"/>
          <w:sz w:val="24"/>
          <w:szCs w:val="24"/>
        </w:rPr>
        <w:t xml:space="preserve"> but </w:t>
      </w:r>
      <w:r w:rsidRPr="00D66C82">
        <w:rPr>
          <w:rFonts w:ascii="Times New Roman" w:hAnsi="Times New Roman" w:cs="Times New Roman"/>
          <w:sz w:val="24"/>
          <w:szCs w:val="24"/>
        </w:rPr>
        <w:t xml:space="preserve">are </w:t>
      </w:r>
      <w:r w:rsidR="00E72315" w:rsidRPr="00D66C82">
        <w:rPr>
          <w:rFonts w:ascii="Times New Roman" w:hAnsi="Times New Roman" w:cs="Times New Roman"/>
          <w:sz w:val="24"/>
          <w:szCs w:val="24"/>
        </w:rPr>
        <w:t xml:space="preserve">also </w:t>
      </w:r>
      <w:r w:rsidRPr="00D66C82">
        <w:rPr>
          <w:rFonts w:ascii="Times New Roman" w:hAnsi="Times New Roman" w:cs="Times New Roman"/>
          <w:sz w:val="24"/>
          <w:szCs w:val="24"/>
        </w:rPr>
        <w:t xml:space="preserve">likely to </w:t>
      </w:r>
      <w:r w:rsidR="005B35D3" w:rsidRPr="00D66C82">
        <w:rPr>
          <w:rFonts w:ascii="Times New Roman" w:hAnsi="Times New Roman" w:cs="Times New Roman"/>
          <w:sz w:val="24"/>
          <w:szCs w:val="24"/>
        </w:rPr>
        <w:t>pose challenges to policymakers</w:t>
      </w:r>
      <w:r w:rsidRPr="00D66C82">
        <w:rPr>
          <w:rFonts w:ascii="Times New Roman" w:hAnsi="Times New Roman" w:cs="Times New Roman"/>
          <w:sz w:val="24"/>
          <w:szCs w:val="24"/>
        </w:rPr>
        <w:t xml:space="preserve"> in formulating </w:t>
      </w:r>
      <w:r w:rsidR="006E49DE">
        <w:rPr>
          <w:rFonts w:ascii="Times New Roman" w:hAnsi="Times New Roman" w:cs="Times New Roman"/>
          <w:sz w:val="24"/>
          <w:szCs w:val="24"/>
        </w:rPr>
        <w:t>the country’s future</w:t>
      </w:r>
      <w:r w:rsidRPr="00D66C82">
        <w:rPr>
          <w:rFonts w:ascii="Times New Roman" w:hAnsi="Times New Roman" w:cs="Times New Roman"/>
          <w:sz w:val="24"/>
          <w:szCs w:val="24"/>
        </w:rPr>
        <w:t xml:space="preserve"> priorities in the field of foreign investment protection </w:t>
      </w:r>
      <w:r w:rsidR="00E72315" w:rsidRPr="00D66C82">
        <w:rPr>
          <w:rFonts w:ascii="Times New Roman" w:hAnsi="Times New Roman" w:cs="Times New Roman"/>
          <w:sz w:val="24"/>
          <w:szCs w:val="24"/>
        </w:rPr>
        <w:t>and protection. These key areas include</w:t>
      </w:r>
      <w:r w:rsidRPr="00D66C82">
        <w:rPr>
          <w:rFonts w:ascii="Times New Roman" w:hAnsi="Times New Roman" w:cs="Times New Roman"/>
          <w:sz w:val="24"/>
          <w:szCs w:val="24"/>
        </w:rPr>
        <w:t xml:space="preserve"> </w:t>
      </w:r>
      <w:r w:rsidR="005B35D3" w:rsidRPr="00D66C82">
        <w:rPr>
          <w:rFonts w:ascii="Times New Roman" w:hAnsi="Times New Roman" w:cs="Times New Roman"/>
          <w:sz w:val="24"/>
          <w:szCs w:val="24"/>
        </w:rPr>
        <w:t xml:space="preserve">(1) </w:t>
      </w:r>
      <w:r w:rsidRPr="00D66C82">
        <w:rPr>
          <w:rFonts w:ascii="Times New Roman" w:hAnsi="Times New Roman" w:cs="Times New Roman"/>
          <w:sz w:val="24"/>
          <w:szCs w:val="24"/>
        </w:rPr>
        <w:t xml:space="preserve">the content of commitments to be included in UK investment agreements with the EU and other </w:t>
      </w:r>
      <w:r w:rsidR="005B35D3" w:rsidRPr="00D66C82">
        <w:rPr>
          <w:rFonts w:ascii="Times New Roman" w:hAnsi="Times New Roman" w:cs="Times New Roman"/>
          <w:sz w:val="24"/>
          <w:szCs w:val="24"/>
        </w:rPr>
        <w:t>countries around the globe; (2) the telos, or object and purpose, of future UK investment agreements; and (3) the process of drafting, negotiating and concluding UK investment agreements.</w:t>
      </w:r>
      <w:r w:rsidR="00D06545">
        <w:rPr>
          <w:rFonts w:ascii="Times New Roman" w:hAnsi="Times New Roman" w:cs="Times New Roman"/>
          <w:sz w:val="24"/>
          <w:szCs w:val="24"/>
        </w:rPr>
        <w:t xml:space="preserve"> This chapter does not aim to provide a comprehensive analysis of UK investment treaty policy but rather </w:t>
      </w:r>
      <w:r w:rsidR="006E49DE">
        <w:rPr>
          <w:rFonts w:ascii="Times New Roman" w:hAnsi="Times New Roman" w:cs="Times New Roman"/>
          <w:sz w:val="24"/>
          <w:szCs w:val="24"/>
        </w:rPr>
        <w:t xml:space="preserve">seeks </w:t>
      </w:r>
      <w:r w:rsidR="00D06545">
        <w:rPr>
          <w:rFonts w:ascii="Times New Roman" w:hAnsi="Times New Roman" w:cs="Times New Roman"/>
          <w:sz w:val="24"/>
          <w:szCs w:val="24"/>
        </w:rPr>
        <w:t xml:space="preserve">to highlight some of the most </w:t>
      </w:r>
      <w:r w:rsidR="00AE5F5F">
        <w:rPr>
          <w:rFonts w:ascii="Times New Roman" w:hAnsi="Times New Roman" w:cs="Times New Roman"/>
          <w:sz w:val="24"/>
          <w:szCs w:val="24"/>
        </w:rPr>
        <w:t>contentious</w:t>
      </w:r>
      <w:r w:rsidR="00AE5F5F">
        <w:rPr>
          <w:rFonts w:ascii="Times New Roman" w:hAnsi="Times New Roman" w:cs="Times New Roman"/>
          <w:sz w:val="24"/>
          <w:szCs w:val="24"/>
        </w:rPr>
        <w:t xml:space="preserve"> </w:t>
      </w:r>
      <w:r w:rsidR="006E49DE">
        <w:rPr>
          <w:rFonts w:ascii="Times New Roman" w:hAnsi="Times New Roman" w:cs="Times New Roman"/>
          <w:sz w:val="24"/>
          <w:szCs w:val="24"/>
        </w:rPr>
        <w:t xml:space="preserve">overarching </w:t>
      </w:r>
      <w:r w:rsidR="00D06545">
        <w:rPr>
          <w:rFonts w:ascii="Times New Roman" w:hAnsi="Times New Roman" w:cs="Times New Roman"/>
          <w:sz w:val="24"/>
          <w:szCs w:val="24"/>
        </w:rPr>
        <w:t>issues and challenges that policymakers would need to address after reclaiming competence over investment issues from Brussels.</w:t>
      </w:r>
    </w:p>
    <w:p w14:paraId="5B4C107D" w14:textId="77777777" w:rsidR="00E72315" w:rsidRPr="00D66C82" w:rsidRDefault="00E72315" w:rsidP="00D66C82">
      <w:pPr>
        <w:autoSpaceDE w:val="0"/>
        <w:autoSpaceDN w:val="0"/>
        <w:adjustRightInd w:val="0"/>
        <w:spacing w:after="0"/>
        <w:jc w:val="both"/>
        <w:rPr>
          <w:rFonts w:ascii="Times New Roman" w:hAnsi="Times New Roman" w:cs="Times New Roman"/>
          <w:sz w:val="24"/>
          <w:szCs w:val="24"/>
        </w:rPr>
      </w:pPr>
    </w:p>
    <w:p w14:paraId="6EB43D35" w14:textId="23DB0D76" w:rsidR="00E72315" w:rsidRPr="00FE20E0" w:rsidRDefault="00FE20E0" w:rsidP="00B11CF5">
      <w:pPr>
        <w:pStyle w:val="Heading1"/>
        <w:numPr>
          <w:ilvl w:val="0"/>
          <w:numId w:val="3"/>
        </w:numPr>
        <w:ind w:left="284" w:hanging="284"/>
        <w:rPr>
          <w:rFonts w:ascii="Times New Roman" w:hAnsi="Times New Roman" w:cs="Times New Roman"/>
          <w:color w:val="auto"/>
          <w:sz w:val="24"/>
          <w:szCs w:val="24"/>
        </w:rPr>
      </w:pPr>
      <w:r>
        <w:rPr>
          <w:rFonts w:ascii="Times New Roman" w:hAnsi="Times New Roman" w:cs="Times New Roman"/>
          <w:color w:val="auto"/>
          <w:sz w:val="24"/>
          <w:szCs w:val="24"/>
        </w:rPr>
        <w:t>Legal significance</w:t>
      </w:r>
      <w:r w:rsidR="0043769F" w:rsidRPr="00FE20E0">
        <w:rPr>
          <w:rFonts w:ascii="Times New Roman" w:hAnsi="Times New Roman" w:cs="Times New Roman"/>
          <w:color w:val="auto"/>
          <w:sz w:val="24"/>
          <w:szCs w:val="24"/>
        </w:rPr>
        <w:t xml:space="preserve"> of </w:t>
      </w:r>
      <w:r w:rsidR="00E72315" w:rsidRPr="00FE20E0">
        <w:rPr>
          <w:rFonts w:ascii="Times New Roman" w:hAnsi="Times New Roman" w:cs="Times New Roman"/>
          <w:color w:val="auto"/>
          <w:sz w:val="24"/>
          <w:szCs w:val="24"/>
        </w:rPr>
        <w:t xml:space="preserve">UK </w:t>
      </w:r>
      <w:r w:rsidR="00B11CF5" w:rsidRPr="00FE20E0">
        <w:rPr>
          <w:rFonts w:ascii="Times New Roman" w:hAnsi="Times New Roman" w:cs="Times New Roman"/>
          <w:color w:val="auto"/>
          <w:sz w:val="24"/>
          <w:szCs w:val="24"/>
        </w:rPr>
        <w:t>I</w:t>
      </w:r>
      <w:r w:rsidR="0043769F" w:rsidRPr="00FE20E0">
        <w:rPr>
          <w:rFonts w:ascii="Times New Roman" w:hAnsi="Times New Roman" w:cs="Times New Roman"/>
          <w:color w:val="auto"/>
          <w:sz w:val="24"/>
          <w:szCs w:val="24"/>
        </w:rPr>
        <w:t xml:space="preserve">nternational </w:t>
      </w:r>
      <w:r w:rsidR="00B11CF5" w:rsidRPr="00FE20E0">
        <w:rPr>
          <w:rFonts w:ascii="Times New Roman" w:hAnsi="Times New Roman" w:cs="Times New Roman"/>
          <w:color w:val="auto"/>
          <w:sz w:val="24"/>
          <w:szCs w:val="24"/>
        </w:rPr>
        <w:t>Investment A</w:t>
      </w:r>
      <w:r w:rsidR="00E72315" w:rsidRPr="00FE20E0">
        <w:rPr>
          <w:rFonts w:ascii="Times New Roman" w:hAnsi="Times New Roman" w:cs="Times New Roman"/>
          <w:color w:val="auto"/>
          <w:sz w:val="24"/>
          <w:szCs w:val="24"/>
        </w:rPr>
        <w:t>greements</w:t>
      </w:r>
      <w:r w:rsidR="0043769F" w:rsidRPr="00FE20E0">
        <w:rPr>
          <w:rFonts w:ascii="Times New Roman" w:hAnsi="Times New Roman" w:cs="Times New Roman"/>
          <w:color w:val="auto"/>
          <w:sz w:val="24"/>
          <w:szCs w:val="24"/>
        </w:rPr>
        <w:t xml:space="preserve"> </w:t>
      </w:r>
    </w:p>
    <w:p w14:paraId="139D1FDB" w14:textId="77777777" w:rsidR="008C103F" w:rsidRPr="00D66C82" w:rsidRDefault="008C103F" w:rsidP="00D66C82">
      <w:pPr>
        <w:autoSpaceDE w:val="0"/>
        <w:autoSpaceDN w:val="0"/>
        <w:adjustRightInd w:val="0"/>
        <w:spacing w:after="0"/>
        <w:jc w:val="both"/>
        <w:rPr>
          <w:rFonts w:ascii="Times New Roman" w:hAnsi="Times New Roman" w:cs="Times New Roman"/>
          <w:sz w:val="24"/>
          <w:szCs w:val="24"/>
        </w:rPr>
      </w:pPr>
    </w:p>
    <w:p w14:paraId="0DDBC2F1" w14:textId="2FDF2F18" w:rsidR="00E72315" w:rsidRPr="00D66C82" w:rsidRDefault="004D7574"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 xml:space="preserve">What are international investment agreements and why do they matter for the UK after Brexit? </w:t>
      </w:r>
      <w:r w:rsidR="008C103F" w:rsidRPr="00D66C82">
        <w:rPr>
          <w:rFonts w:ascii="Times New Roman" w:hAnsi="Times New Roman" w:cs="Times New Roman"/>
          <w:sz w:val="24"/>
          <w:szCs w:val="24"/>
        </w:rPr>
        <w:t xml:space="preserve">Historically, the UK was at the forefront of the movement to create what we know as </w:t>
      </w:r>
      <w:r w:rsidR="00C772E6" w:rsidRPr="00D66C82">
        <w:rPr>
          <w:rFonts w:ascii="Times New Roman" w:hAnsi="Times New Roman" w:cs="Times New Roman"/>
          <w:sz w:val="24"/>
          <w:szCs w:val="24"/>
        </w:rPr>
        <w:t xml:space="preserve">the </w:t>
      </w:r>
      <w:r w:rsidR="008C103F" w:rsidRPr="00D66C82">
        <w:rPr>
          <w:rFonts w:ascii="Times New Roman" w:hAnsi="Times New Roman" w:cs="Times New Roman"/>
          <w:sz w:val="24"/>
          <w:szCs w:val="24"/>
        </w:rPr>
        <w:t>contemporary investment treaty regi</w:t>
      </w:r>
      <w:r w:rsidR="00E72315" w:rsidRPr="00D66C82">
        <w:rPr>
          <w:rFonts w:ascii="Times New Roman" w:hAnsi="Times New Roman" w:cs="Times New Roman"/>
          <w:sz w:val="24"/>
          <w:szCs w:val="24"/>
        </w:rPr>
        <w:t xml:space="preserve">me – a network of bilateral, </w:t>
      </w:r>
      <w:r w:rsidR="008C103F" w:rsidRPr="00D66C82">
        <w:rPr>
          <w:rFonts w:ascii="Times New Roman" w:hAnsi="Times New Roman" w:cs="Times New Roman"/>
          <w:sz w:val="24"/>
          <w:szCs w:val="24"/>
        </w:rPr>
        <w:t xml:space="preserve">regional and sectoral agreements containing investment promotion and protection rules. </w:t>
      </w:r>
      <w:r w:rsidR="00570261" w:rsidRPr="00D66C82">
        <w:rPr>
          <w:rFonts w:ascii="Times New Roman" w:hAnsi="Times New Roman" w:cs="Times New Roman"/>
          <w:sz w:val="24"/>
          <w:szCs w:val="24"/>
        </w:rPr>
        <w:t xml:space="preserve">An historic impetus for such agreements came with the end of the World War II, when the newly independent </w:t>
      </w:r>
      <w:r w:rsidR="00570261" w:rsidRPr="00D66C82">
        <w:rPr>
          <w:rFonts w:ascii="Times New Roman" w:hAnsi="Times New Roman" w:cs="Times New Roman"/>
          <w:sz w:val="24"/>
          <w:szCs w:val="24"/>
        </w:rPr>
        <w:lastRenderedPageBreak/>
        <w:t>developing countries asserted their ‘right to throw off the yoke of economic colonialism and rules of international law fashioned before their admission to the family of nations.’</w:t>
      </w:r>
      <w:r w:rsidR="00570261" w:rsidRPr="00D66C82">
        <w:rPr>
          <w:rStyle w:val="FootnoteReference"/>
          <w:rFonts w:ascii="Times New Roman" w:hAnsi="Times New Roman" w:cs="Times New Roman"/>
          <w:sz w:val="24"/>
          <w:szCs w:val="24"/>
        </w:rPr>
        <w:footnoteReference w:id="2"/>
      </w:r>
      <w:r w:rsidR="00570261" w:rsidRPr="00D66C82">
        <w:rPr>
          <w:rFonts w:ascii="Times New Roman" w:hAnsi="Times New Roman" w:cs="Times New Roman"/>
          <w:sz w:val="24"/>
          <w:szCs w:val="24"/>
        </w:rPr>
        <w:t xml:space="preserve"> </w:t>
      </w:r>
      <w:r w:rsidR="00E72315" w:rsidRPr="00D66C82">
        <w:rPr>
          <w:rFonts w:ascii="Times New Roman" w:hAnsi="Times New Roman" w:cs="Times New Roman"/>
          <w:sz w:val="24"/>
          <w:szCs w:val="24"/>
        </w:rPr>
        <w:t xml:space="preserve">Prior to that, during the colonial period, assets of British investors overseas in British territories were protected through a combination of </w:t>
      </w:r>
      <w:r w:rsidR="00F42385" w:rsidRPr="00D66C82">
        <w:rPr>
          <w:rFonts w:ascii="Times New Roman" w:hAnsi="Times New Roman" w:cs="Times New Roman"/>
          <w:sz w:val="24"/>
          <w:szCs w:val="24"/>
        </w:rPr>
        <w:t xml:space="preserve">customary international law, </w:t>
      </w:r>
      <w:r w:rsidR="00E72315" w:rsidRPr="00D66C82">
        <w:rPr>
          <w:rFonts w:ascii="Times New Roman" w:hAnsi="Times New Roman" w:cs="Times New Roman"/>
          <w:sz w:val="24"/>
          <w:szCs w:val="24"/>
        </w:rPr>
        <w:t>bilateral agreements, concession contracts and, most importantly, political and military pressure.</w:t>
      </w:r>
      <w:r w:rsidR="00E72315" w:rsidRPr="00D66C82">
        <w:rPr>
          <w:rStyle w:val="FootnoteReference"/>
          <w:rFonts w:ascii="Times New Roman" w:hAnsi="Times New Roman" w:cs="Times New Roman"/>
          <w:sz w:val="24"/>
          <w:szCs w:val="24"/>
        </w:rPr>
        <w:footnoteReference w:id="3"/>
      </w:r>
      <w:r w:rsidR="00E72315" w:rsidRPr="00D66C82">
        <w:rPr>
          <w:rFonts w:ascii="Times New Roman" w:hAnsi="Times New Roman" w:cs="Times New Roman"/>
          <w:sz w:val="24"/>
          <w:szCs w:val="24"/>
        </w:rPr>
        <w:t xml:space="preserve"> </w:t>
      </w:r>
      <w:r w:rsidR="00F42385" w:rsidRPr="00D66C82">
        <w:rPr>
          <w:rFonts w:ascii="Times New Roman" w:hAnsi="Times New Roman" w:cs="Times New Roman"/>
          <w:sz w:val="24"/>
          <w:szCs w:val="24"/>
        </w:rPr>
        <w:t xml:space="preserve">Following the </w:t>
      </w:r>
      <w:r w:rsidR="00E72315" w:rsidRPr="00D66C82">
        <w:rPr>
          <w:rFonts w:ascii="Times New Roman" w:hAnsi="Times New Roman" w:cs="Times New Roman"/>
          <w:sz w:val="24"/>
          <w:szCs w:val="24"/>
        </w:rPr>
        <w:t>demise</w:t>
      </w:r>
      <w:r w:rsidR="00F42385" w:rsidRPr="00D66C82">
        <w:rPr>
          <w:rFonts w:ascii="Times New Roman" w:hAnsi="Times New Roman" w:cs="Times New Roman"/>
          <w:sz w:val="24"/>
          <w:szCs w:val="24"/>
        </w:rPr>
        <w:t xml:space="preserve"> of the imperial order, Britain—alongside other </w:t>
      </w:r>
      <w:r w:rsidRPr="00D66C82">
        <w:rPr>
          <w:rFonts w:ascii="Times New Roman" w:hAnsi="Times New Roman" w:cs="Times New Roman"/>
          <w:sz w:val="24"/>
          <w:szCs w:val="24"/>
        </w:rPr>
        <w:t>Western capital-</w:t>
      </w:r>
      <w:r w:rsidR="00E72315" w:rsidRPr="00D66C82">
        <w:rPr>
          <w:rFonts w:ascii="Times New Roman" w:hAnsi="Times New Roman" w:cs="Times New Roman"/>
          <w:sz w:val="24"/>
          <w:szCs w:val="24"/>
        </w:rPr>
        <w:t>exporting countries</w:t>
      </w:r>
      <w:r w:rsidR="00F42385" w:rsidRPr="00D66C82">
        <w:rPr>
          <w:rFonts w:ascii="Times New Roman" w:hAnsi="Times New Roman" w:cs="Times New Roman"/>
          <w:sz w:val="24"/>
          <w:szCs w:val="24"/>
        </w:rPr>
        <w:t xml:space="preserve">—faced </w:t>
      </w:r>
      <w:r w:rsidR="00E72315" w:rsidRPr="00D66C82">
        <w:rPr>
          <w:rFonts w:ascii="Times New Roman" w:hAnsi="Times New Roman" w:cs="Times New Roman"/>
          <w:sz w:val="24"/>
          <w:szCs w:val="24"/>
        </w:rPr>
        <w:t xml:space="preserve">a significant difficulty to persuade the newly-independent developing countries to endorse the customary international </w:t>
      </w:r>
      <w:r w:rsidR="00D06545">
        <w:rPr>
          <w:rFonts w:ascii="Times New Roman" w:hAnsi="Times New Roman" w:cs="Times New Roman"/>
          <w:sz w:val="24"/>
          <w:szCs w:val="24"/>
        </w:rPr>
        <w:t>norms on investment protection</w:t>
      </w:r>
      <w:r w:rsidR="00E72315" w:rsidRPr="00D66C82">
        <w:rPr>
          <w:rFonts w:ascii="Times New Roman" w:hAnsi="Times New Roman" w:cs="Times New Roman"/>
          <w:sz w:val="24"/>
          <w:szCs w:val="24"/>
        </w:rPr>
        <w:t>.</w:t>
      </w:r>
      <w:r w:rsidR="00E72315" w:rsidRPr="00D66C82">
        <w:rPr>
          <w:rStyle w:val="FootnoteReference"/>
          <w:rFonts w:ascii="Times New Roman" w:hAnsi="Times New Roman" w:cs="Times New Roman"/>
          <w:sz w:val="24"/>
          <w:szCs w:val="24"/>
        </w:rPr>
        <w:footnoteReference w:id="4"/>
      </w:r>
      <w:r w:rsidR="00E72315" w:rsidRPr="00D66C82">
        <w:rPr>
          <w:rFonts w:ascii="Times New Roman" w:hAnsi="Times New Roman" w:cs="Times New Roman"/>
          <w:sz w:val="24"/>
          <w:szCs w:val="24"/>
        </w:rPr>
        <w:t xml:space="preserve"> </w:t>
      </w:r>
      <w:r w:rsidR="00F42385" w:rsidRPr="00D66C82">
        <w:rPr>
          <w:rFonts w:ascii="Times New Roman" w:hAnsi="Times New Roman" w:cs="Times New Roman"/>
          <w:sz w:val="24"/>
          <w:szCs w:val="24"/>
        </w:rPr>
        <w:t xml:space="preserve">The primary bone of contention was the requirement that any expropriation or nationalisation of foreign-owned investments must be accompanied by a prompt, adequate and effective compensation. Since </w:t>
      </w:r>
      <w:r w:rsidR="00D06545">
        <w:rPr>
          <w:rFonts w:ascii="Times New Roman" w:hAnsi="Times New Roman" w:cs="Times New Roman"/>
          <w:sz w:val="24"/>
          <w:szCs w:val="24"/>
        </w:rPr>
        <w:t xml:space="preserve">asserting </w:t>
      </w:r>
      <w:r w:rsidR="00F42385" w:rsidRPr="00D66C82">
        <w:rPr>
          <w:rFonts w:ascii="Times New Roman" w:hAnsi="Times New Roman" w:cs="Times New Roman"/>
          <w:sz w:val="24"/>
          <w:szCs w:val="24"/>
        </w:rPr>
        <w:t xml:space="preserve">economic </w:t>
      </w:r>
      <w:r w:rsidR="00D06545">
        <w:rPr>
          <w:rFonts w:ascii="Times New Roman" w:hAnsi="Times New Roman" w:cs="Times New Roman"/>
          <w:sz w:val="24"/>
          <w:szCs w:val="24"/>
        </w:rPr>
        <w:t>independence from their former</w:t>
      </w:r>
      <w:r w:rsidR="00F42385" w:rsidRPr="00D66C82">
        <w:rPr>
          <w:rFonts w:ascii="Times New Roman" w:hAnsi="Times New Roman" w:cs="Times New Roman"/>
          <w:sz w:val="24"/>
          <w:szCs w:val="24"/>
        </w:rPr>
        <w:t xml:space="preserve"> </w:t>
      </w:r>
      <w:r w:rsidR="00D06545">
        <w:rPr>
          <w:rFonts w:ascii="Times New Roman" w:hAnsi="Times New Roman" w:cs="Times New Roman"/>
          <w:sz w:val="24"/>
          <w:szCs w:val="24"/>
        </w:rPr>
        <w:t>colonial masters inevitably entailed</w:t>
      </w:r>
      <w:r w:rsidR="00F42385" w:rsidRPr="00D66C82">
        <w:rPr>
          <w:rFonts w:ascii="Times New Roman" w:hAnsi="Times New Roman" w:cs="Times New Roman"/>
          <w:sz w:val="24"/>
          <w:szCs w:val="24"/>
        </w:rPr>
        <w:t xml:space="preserve"> nationalisation of hitherto foreign-owned assets, an overwhelming majority of developing states opposed customary international rules arguing that the latter</w:t>
      </w:r>
      <w:r w:rsidR="00E72315" w:rsidRPr="00D66C82">
        <w:rPr>
          <w:rFonts w:ascii="Times New Roman" w:hAnsi="Times New Roman" w:cs="Times New Roman"/>
          <w:sz w:val="24"/>
          <w:szCs w:val="24"/>
        </w:rPr>
        <w:t xml:space="preserve"> no longer suited the new economic and political reality</w:t>
      </w:r>
      <w:r w:rsidR="00F42385" w:rsidRPr="00D66C82">
        <w:rPr>
          <w:rFonts w:ascii="Times New Roman" w:hAnsi="Times New Roman" w:cs="Times New Roman"/>
          <w:sz w:val="24"/>
          <w:szCs w:val="24"/>
        </w:rPr>
        <w:t>.</w:t>
      </w:r>
      <w:r w:rsidRPr="00D66C82">
        <w:rPr>
          <w:rStyle w:val="FootnoteReference"/>
          <w:rFonts w:ascii="Times New Roman" w:hAnsi="Times New Roman" w:cs="Times New Roman"/>
          <w:sz w:val="24"/>
          <w:szCs w:val="24"/>
        </w:rPr>
        <w:footnoteReference w:id="5"/>
      </w:r>
    </w:p>
    <w:p w14:paraId="42D25BBC" w14:textId="77777777" w:rsidR="00E72315" w:rsidRPr="00D66C82" w:rsidRDefault="00E72315" w:rsidP="00D66C82">
      <w:pPr>
        <w:autoSpaceDE w:val="0"/>
        <w:autoSpaceDN w:val="0"/>
        <w:adjustRightInd w:val="0"/>
        <w:spacing w:after="0"/>
        <w:jc w:val="both"/>
        <w:rPr>
          <w:rFonts w:ascii="Times New Roman" w:hAnsi="Times New Roman" w:cs="Times New Roman"/>
          <w:sz w:val="24"/>
          <w:szCs w:val="24"/>
        </w:rPr>
      </w:pPr>
    </w:p>
    <w:p w14:paraId="1B162061" w14:textId="4A52004D" w:rsidR="00036A60" w:rsidRPr="00D66C82" w:rsidRDefault="00570261"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 xml:space="preserve">As customary international </w:t>
      </w:r>
      <w:r w:rsidR="001C04F9" w:rsidRPr="00D66C82">
        <w:rPr>
          <w:rFonts w:ascii="Times New Roman" w:hAnsi="Times New Roman" w:cs="Times New Roman"/>
          <w:sz w:val="24"/>
          <w:szCs w:val="24"/>
        </w:rPr>
        <w:t>law</w:t>
      </w:r>
      <w:r w:rsidRPr="00D66C82">
        <w:rPr>
          <w:rFonts w:ascii="Times New Roman" w:hAnsi="Times New Roman" w:cs="Times New Roman"/>
          <w:sz w:val="24"/>
          <w:szCs w:val="24"/>
        </w:rPr>
        <w:t xml:space="preserve"> on the protection of foreign property became </w:t>
      </w:r>
      <w:r w:rsidR="001C04F9" w:rsidRPr="00D66C82">
        <w:rPr>
          <w:rFonts w:ascii="Times New Roman" w:hAnsi="Times New Roman" w:cs="Times New Roman"/>
          <w:sz w:val="24"/>
          <w:szCs w:val="24"/>
        </w:rPr>
        <w:t>vigorously</w:t>
      </w:r>
      <w:r w:rsidRPr="00D66C82">
        <w:rPr>
          <w:rFonts w:ascii="Times New Roman" w:hAnsi="Times New Roman" w:cs="Times New Roman"/>
          <w:sz w:val="24"/>
          <w:szCs w:val="24"/>
        </w:rPr>
        <w:t xml:space="preserve"> contested, the UK – alongside its European counterparts such as Germany</w:t>
      </w:r>
      <w:r w:rsidR="00D06545">
        <w:rPr>
          <w:rFonts w:ascii="Times New Roman" w:hAnsi="Times New Roman" w:cs="Times New Roman"/>
          <w:sz w:val="24"/>
          <w:szCs w:val="24"/>
        </w:rPr>
        <w:t xml:space="preserve"> and Switzerland</w:t>
      </w:r>
      <w:r w:rsidRPr="00D66C82">
        <w:rPr>
          <w:rFonts w:ascii="Times New Roman" w:hAnsi="Times New Roman" w:cs="Times New Roman"/>
          <w:sz w:val="24"/>
          <w:szCs w:val="24"/>
        </w:rPr>
        <w:t xml:space="preserve"> – resorted to bilateral </w:t>
      </w:r>
      <w:r w:rsidR="00F42385" w:rsidRPr="00D66C82">
        <w:rPr>
          <w:rFonts w:ascii="Times New Roman" w:hAnsi="Times New Roman" w:cs="Times New Roman"/>
          <w:sz w:val="24"/>
          <w:szCs w:val="24"/>
        </w:rPr>
        <w:t xml:space="preserve">investment protection and promotion </w:t>
      </w:r>
      <w:r w:rsidRPr="00D66C82">
        <w:rPr>
          <w:rFonts w:ascii="Times New Roman" w:hAnsi="Times New Roman" w:cs="Times New Roman"/>
          <w:sz w:val="24"/>
          <w:szCs w:val="24"/>
        </w:rPr>
        <w:t xml:space="preserve">agreements with developing states. These agreements were designed to ensure that British investments overseas would at all times be protected against expropriation and nationalisation as well as other forms of </w:t>
      </w:r>
      <w:r w:rsidR="00252637" w:rsidRPr="00D66C82">
        <w:rPr>
          <w:rFonts w:ascii="Times New Roman" w:hAnsi="Times New Roman" w:cs="Times New Roman"/>
          <w:sz w:val="24"/>
          <w:szCs w:val="24"/>
        </w:rPr>
        <w:t xml:space="preserve">host government </w:t>
      </w:r>
      <w:r w:rsidRPr="00D66C82">
        <w:rPr>
          <w:rFonts w:ascii="Times New Roman" w:hAnsi="Times New Roman" w:cs="Times New Roman"/>
          <w:sz w:val="24"/>
          <w:szCs w:val="24"/>
        </w:rPr>
        <w:t>interference.</w:t>
      </w:r>
      <w:r w:rsidR="00084F19">
        <w:rPr>
          <w:rStyle w:val="FootnoteReference"/>
          <w:rFonts w:ascii="Times New Roman" w:hAnsi="Times New Roman" w:cs="Times New Roman"/>
          <w:sz w:val="24"/>
          <w:szCs w:val="24"/>
        </w:rPr>
        <w:footnoteReference w:id="6"/>
      </w:r>
      <w:r w:rsidR="00583739" w:rsidRPr="00D66C82">
        <w:rPr>
          <w:rFonts w:ascii="Times New Roman" w:hAnsi="Times New Roman" w:cs="Times New Roman"/>
          <w:sz w:val="24"/>
          <w:szCs w:val="24"/>
        </w:rPr>
        <w:t xml:space="preserve"> Many of the cont</w:t>
      </w:r>
      <w:r w:rsidR="00F42385" w:rsidRPr="00D66C82">
        <w:rPr>
          <w:rFonts w:ascii="Times New Roman" w:hAnsi="Times New Roman" w:cs="Times New Roman"/>
          <w:sz w:val="24"/>
          <w:szCs w:val="24"/>
        </w:rPr>
        <w:t>e</w:t>
      </w:r>
      <w:r w:rsidR="00036A60" w:rsidRPr="00D66C82">
        <w:rPr>
          <w:rFonts w:ascii="Times New Roman" w:hAnsi="Times New Roman" w:cs="Times New Roman"/>
          <w:sz w:val="24"/>
          <w:szCs w:val="24"/>
        </w:rPr>
        <w:t xml:space="preserve">mporary investment treaties owe their origins to </w:t>
      </w:r>
      <w:r w:rsidR="00583739" w:rsidRPr="00D66C82">
        <w:rPr>
          <w:rFonts w:ascii="Times New Roman" w:hAnsi="Times New Roman" w:cs="Times New Roman"/>
          <w:sz w:val="24"/>
          <w:szCs w:val="24"/>
        </w:rPr>
        <w:t>the so-called Abs-</w:t>
      </w:r>
      <w:proofErr w:type="spellStart"/>
      <w:r w:rsidR="00583739" w:rsidRPr="00D66C82">
        <w:rPr>
          <w:rFonts w:ascii="Times New Roman" w:hAnsi="Times New Roman" w:cs="Times New Roman"/>
          <w:sz w:val="24"/>
          <w:szCs w:val="24"/>
        </w:rPr>
        <w:t>Shaw</w:t>
      </w:r>
      <w:r w:rsidR="00A47C1F" w:rsidRPr="00D66C82">
        <w:rPr>
          <w:rFonts w:ascii="Times New Roman" w:hAnsi="Times New Roman" w:cs="Times New Roman"/>
          <w:sz w:val="24"/>
          <w:szCs w:val="24"/>
        </w:rPr>
        <w:t>cross</w:t>
      </w:r>
      <w:proofErr w:type="spellEnd"/>
      <w:r w:rsidR="00A47C1F" w:rsidRPr="00D66C82">
        <w:rPr>
          <w:rFonts w:ascii="Times New Roman" w:hAnsi="Times New Roman" w:cs="Times New Roman"/>
          <w:sz w:val="24"/>
          <w:szCs w:val="24"/>
        </w:rPr>
        <w:t xml:space="preserve"> </w:t>
      </w:r>
      <w:r w:rsidR="00036A60" w:rsidRPr="00D66C82">
        <w:rPr>
          <w:rFonts w:ascii="Times New Roman" w:hAnsi="Times New Roman" w:cs="Times New Roman"/>
          <w:sz w:val="24"/>
          <w:szCs w:val="24"/>
        </w:rPr>
        <w:t>agreement</w:t>
      </w:r>
      <w:r w:rsidR="00A47C1F" w:rsidRPr="00D66C82">
        <w:rPr>
          <w:rFonts w:ascii="Times New Roman" w:hAnsi="Times New Roman" w:cs="Times New Roman"/>
          <w:sz w:val="24"/>
          <w:szCs w:val="24"/>
        </w:rPr>
        <w:t>, named after a G</w:t>
      </w:r>
      <w:r w:rsidR="00583739" w:rsidRPr="00D66C82">
        <w:rPr>
          <w:rFonts w:ascii="Times New Roman" w:hAnsi="Times New Roman" w:cs="Times New Roman"/>
          <w:sz w:val="24"/>
          <w:szCs w:val="24"/>
        </w:rPr>
        <w:t>erman banker Herman Abs and a</w:t>
      </w:r>
      <w:r w:rsidR="00A47C1F" w:rsidRPr="00D66C82">
        <w:rPr>
          <w:rFonts w:ascii="Times New Roman" w:hAnsi="Times New Roman" w:cs="Times New Roman"/>
          <w:sz w:val="24"/>
          <w:szCs w:val="24"/>
        </w:rPr>
        <w:t xml:space="preserve"> British lawyer and diplomat, Lord </w:t>
      </w:r>
      <w:proofErr w:type="spellStart"/>
      <w:r w:rsidR="00A47C1F" w:rsidRPr="00D66C82">
        <w:rPr>
          <w:rFonts w:ascii="Times New Roman" w:hAnsi="Times New Roman" w:cs="Times New Roman"/>
          <w:sz w:val="24"/>
          <w:szCs w:val="24"/>
        </w:rPr>
        <w:t>Shawcross</w:t>
      </w:r>
      <w:proofErr w:type="spellEnd"/>
      <w:r w:rsidR="00A47C1F" w:rsidRPr="00D66C82">
        <w:rPr>
          <w:rFonts w:ascii="Times New Roman" w:hAnsi="Times New Roman" w:cs="Times New Roman"/>
          <w:sz w:val="24"/>
          <w:szCs w:val="24"/>
        </w:rPr>
        <w:t>.</w:t>
      </w:r>
      <w:r w:rsidR="00D06545">
        <w:rPr>
          <w:rStyle w:val="FootnoteReference"/>
          <w:rFonts w:ascii="Times New Roman" w:hAnsi="Times New Roman" w:cs="Times New Roman"/>
          <w:sz w:val="24"/>
          <w:szCs w:val="24"/>
        </w:rPr>
        <w:footnoteReference w:id="7"/>
      </w:r>
      <w:r w:rsidR="007826B7" w:rsidRPr="00D66C82">
        <w:rPr>
          <w:rFonts w:ascii="Times New Roman" w:hAnsi="Times New Roman" w:cs="Times New Roman"/>
          <w:sz w:val="24"/>
          <w:szCs w:val="24"/>
        </w:rPr>
        <w:t xml:space="preserve"> The Abs-</w:t>
      </w:r>
      <w:proofErr w:type="spellStart"/>
      <w:r w:rsidR="007826B7" w:rsidRPr="00D66C82">
        <w:rPr>
          <w:rFonts w:ascii="Times New Roman" w:hAnsi="Times New Roman" w:cs="Times New Roman"/>
          <w:sz w:val="24"/>
          <w:szCs w:val="24"/>
        </w:rPr>
        <w:t>Shawcross</w:t>
      </w:r>
      <w:proofErr w:type="spellEnd"/>
      <w:r w:rsidR="007826B7" w:rsidRPr="00D66C82">
        <w:rPr>
          <w:rFonts w:ascii="Times New Roman" w:hAnsi="Times New Roman" w:cs="Times New Roman"/>
          <w:sz w:val="24"/>
          <w:szCs w:val="24"/>
        </w:rPr>
        <w:t xml:space="preserve"> Draft Convention on Investments Abroad </w:t>
      </w:r>
      <w:r w:rsidR="007E6719" w:rsidRPr="00D66C82">
        <w:rPr>
          <w:rFonts w:ascii="Times New Roman" w:hAnsi="Times New Roman" w:cs="Times New Roman"/>
          <w:sz w:val="24"/>
          <w:szCs w:val="24"/>
        </w:rPr>
        <w:t xml:space="preserve">was conceived </w:t>
      </w:r>
      <w:r w:rsidR="00036A60" w:rsidRPr="00D66C82">
        <w:rPr>
          <w:rFonts w:ascii="Times New Roman" w:hAnsi="Times New Roman" w:cs="Times New Roman"/>
          <w:sz w:val="24"/>
          <w:szCs w:val="24"/>
        </w:rPr>
        <w:t xml:space="preserve">and drawn up in 1959 </w:t>
      </w:r>
      <w:r w:rsidR="007E6719" w:rsidRPr="00D66C82">
        <w:rPr>
          <w:rFonts w:ascii="Times New Roman" w:hAnsi="Times New Roman" w:cs="Times New Roman"/>
          <w:sz w:val="24"/>
          <w:szCs w:val="24"/>
        </w:rPr>
        <w:t xml:space="preserve">as a unified 'system of joint measures' designed 'to resuscitate, on a reciprocal basis, the principle of </w:t>
      </w:r>
      <w:r w:rsidR="007E6719" w:rsidRPr="00D66C82">
        <w:rPr>
          <w:rFonts w:ascii="Times New Roman" w:hAnsi="Times New Roman" w:cs="Times New Roman"/>
          <w:i/>
          <w:sz w:val="24"/>
          <w:szCs w:val="24"/>
        </w:rPr>
        <w:t>inviolability of private property and other private rights</w:t>
      </w:r>
      <w:r w:rsidR="007E6719" w:rsidRPr="00D66C82">
        <w:rPr>
          <w:rFonts w:ascii="Times New Roman" w:hAnsi="Times New Roman" w:cs="Times New Roman"/>
          <w:sz w:val="24"/>
          <w:szCs w:val="24"/>
        </w:rPr>
        <w:t>'</w:t>
      </w:r>
      <w:r w:rsidR="004D7574" w:rsidRPr="00D66C82">
        <w:rPr>
          <w:rFonts w:ascii="Times New Roman" w:hAnsi="Times New Roman" w:cs="Times New Roman"/>
          <w:sz w:val="24"/>
          <w:szCs w:val="24"/>
        </w:rPr>
        <w:t xml:space="preserve"> (emphasis added).</w:t>
      </w:r>
      <w:r w:rsidR="00036A60" w:rsidRPr="00D66C82">
        <w:rPr>
          <w:rStyle w:val="FootnoteReference"/>
          <w:rFonts w:ascii="Times New Roman" w:hAnsi="Times New Roman" w:cs="Times New Roman"/>
          <w:sz w:val="24"/>
          <w:szCs w:val="24"/>
        </w:rPr>
        <w:footnoteReference w:id="8"/>
      </w:r>
      <w:r w:rsidR="007E6719" w:rsidRPr="00D66C82">
        <w:rPr>
          <w:rFonts w:ascii="Times New Roman" w:hAnsi="Times New Roman" w:cs="Times New Roman"/>
          <w:sz w:val="24"/>
          <w:szCs w:val="24"/>
        </w:rPr>
        <w:t xml:space="preserve"> The idea was</w:t>
      </w:r>
      <w:r w:rsidR="00036A60" w:rsidRPr="00D66C82">
        <w:rPr>
          <w:rFonts w:ascii="Times New Roman" w:hAnsi="Times New Roman" w:cs="Times New Roman"/>
          <w:sz w:val="24"/>
          <w:szCs w:val="24"/>
        </w:rPr>
        <w:t xml:space="preserve"> subsequently</w:t>
      </w:r>
      <w:r w:rsidR="00D06545">
        <w:rPr>
          <w:rFonts w:ascii="Times New Roman" w:hAnsi="Times New Roman" w:cs="Times New Roman"/>
          <w:sz w:val="24"/>
          <w:szCs w:val="24"/>
        </w:rPr>
        <w:t xml:space="preserve"> taken up by OECD.</w:t>
      </w:r>
      <w:r w:rsidR="00577EB6">
        <w:rPr>
          <w:rStyle w:val="FootnoteReference"/>
          <w:rFonts w:ascii="Times New Roman" w:hAnsi="Times New Roman" w:cs="Times New Roman"/>
          <w:sz w:val="24"/>
          <w:szCs w:val="24"/>
        </w:rPr>
        <w:footnoteReference w:id="9"/>
      </w:r>
      <w:r w:rsidR="00D06545">
        <w:rPr>
          <w:rFonts w:ascii="Times New Roman" w:hAnsi="Times New Roman" w:cs="Times New Roman"/>
          <w:sz w:val="24"/>
          <w:szCs w:val="24"/>
        </w:rPr>
        <w:t xml:space="preserve"> D</w:t>
      </w:r>
      <w:r w:rsidR="007826B7" w:rsidRPr="00D66C82">
        <w:rPr>
          <w:rFonts w:ascii="Times New Roman" w:hAnsi="Times New Roman" w:cs="Times New Roman"/>
          <w:sz w:val="24"/>
          <w:szCs w:val="24"/>
        </w:rPr>
        <w:t xml:space="preserve">espite having not been </w:t>
      </w:r>
      <w:r w:rsidR="00036A60" w:rsidRPr="00D66C82">
        <w:rPr>
          <w:rFonts w:ascii="Times New Roman" w:hAnsi="Times New Roman" w:cs="Times New Roman"/>
          <w:sz w:val="24"/>
          <w:szCs w:val="24"/>
        </w:rPr>
        <w:t xml:space="preserve">formally </w:t>
      </w:r>
      <w:r w:rsidR="007826B7" w:rsidRPr="00D66C82">
        <w:rPr>
          <w:rFonts w:ascii="Times New Roman" w:hAnsi="Times New Roman" w:cs="Times New Roman"/>
          <w:sz w:val="24"/>
          <w:szCs w:val="24"/>
        </w:rPr>
        <w:t xml:space="preserve">adopted, </w:t>
      </w:r>
      <w:r w:rsidR="00C02967" w:rsidRPr="00D66C82">
        <w:rPr>
          <w:rFonts w:ascii="Times New Roman" w:hAnsi="Times New Roman" w:cs="Times New Roman"/>
          <w:sz w:val="24"/>
          <w:szCs w:val="24"/>
        </w:rPr>
        <w:t xml:space="preserve">the draft convention </w:t>
      </w:r>
      <w:r w:rsidR="007826B7" w:rsidRPr="00D66C82">
        <w:rPr>
          <w:rFonts w:ascii="Times New Roman" w:hAnsi="Times New Roman" w:cs="Times New Roman"/>
          <w:sz w:val="24"/>
          <w:szCs w:val="24"/>
        </w:rPr>
        <w:t xml:space="preserve">became </w:t>
      </w:r>
      <w:r w:rsidR="007826B7" w:rsidRPr="00D66C82">
        <w:rPr>
          <w:rFonts w:ascii="Times New Roman" w:hAnsi="Times New Roman" w:cs="Times New Roman"/>
          <w:sz w:val="24"/>
          <w:szCs w:val="24"/>
        </w:rPr>
        <w:lastRenderedPageBreak/>
        <w:t>a blueprint for a rapidly growing number of investment treaties between developed and developing countries.</w:t>
      </w:r>
      <w:r w:rsidR="00C02967" w:rsidRPr="00D66C82">
        <w:rPr>
          <w:rFonts w:ascii="Times New Roman" w:hAnsi="Times New Roman" w:cs="Times New Roman"/>
          <w:sz w:val="24"/>
          <w:szCs w:val="24"/>
        </w:rPr>
        <w:t xml:space="preserve"> </w:t>
      </w:r>
    </w:p>
    <w:p w14:paraId="3AE4DDFD" w14:textId="77777777" w:rsidR="00036A60" w:rsidRPr="00D66C82" w:rsidRDefault="00036A60" w:rsidP="00D66C82">
      <w:pPr>
        <w:autoSpaceDE w:val="0"/>
        <w:autoSpaceDN w:val="0"/>
        <w:adjustRightInd w:val="0"/>
        <w:spacing w:after="0"/>
        <w:jc w:val="both"/>
        <w:rPr>
          <w:rFonts w:ascii="Times New Roman" w:hAnsi="Times New Roman" w:cs="Times New Roman"/>
          <w:sz w:val="24"/>
          <w:szCs w:val="24"/>
        </w:rPr>
      </w:pPr>
    </w:p>
    <w:p w14:paraId="7FFAD6C5" w14:textId="1F603691" w:rsidR="00E125DD" w:rsidRPr="00D66C82" w:rsidRDefault="00C02967"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 xml:space="preserve">Many of the </w:t>
      </w:r>
      <w:r w:rsidR="00036A60" w:rsidRPr="00D66C82">
        <w:rPr>
          <w:rFonts w:ascii="Times New Roman" w:hAnsi="Times New Roman" w:cs="Times New Roman"/>
          <w:sz w:val="24"/>
          <w:szCs w:val="24"/>
        </w:rPr>
        <w:t xml:space="preserve">UK </w:t>
      </w:r>
      <w:r w:rsidRPr="00D66C82">
        <w:rPr>
          <w:rFonts w:ascii="Times New Roman" w:hAnsi="Times New Roman" w:cs="Times New Roman"/>
          <w:sz w:val="24"/>
          <w:szCs w:val="24"/>
        </w:rPr>
        <w:t xml:space="preserve">bilateral investment agreements currently in force follow this blueprint, but would it be appropriate in the </w:t>
      </w:r>
      <w:r w:rsidR="00F85DAD" w:rsidRPr="00D66C82">
        <w:rPr>
          <w:rFonts w:ascii="Times New Roman" w:hAnsi="Times New Roman" w:cs="Times New Roman"/>
          <w:sz w:val="24"/>
          <w:szCs w:val="24"/>
        </w:rPr>
        <w:t>new</w:t>
      </w:r>
      <w:r w:rsidRPr="00D66C82">
        <w:rPr>
          <w:rFonts w:ascii="Times New Roman" w:hAnsi="Times New Roman" w:cs="Times New Roman"/>
          <w:sz w:val="24"/>
          <w:szCs w:val="24"/>
        </w:rPr>
        <w:t xml:space="preserve"> economic and political realities?</w:t>
      </w:r>
      <w:r w:rsidR="00230D1B" w:rsidRPr="00D66C82">
        <w:rPr>
          <w:rFonts w:ascii="Times New Roman" w:hAnsi="Times New Roman" w:cs="Times New Roman"/>
          <w:sz w:val="24"/>
          <w:szCs w:val="24"/>
        </w:rPr>
        <w:t xml:space="preserve"> </w:t>
      </w:r>
      <w:r w:rsidRPr="00D66C82">
        <w:rPr>
          <w:rFonts w:ascii="Times New Roman" w:hAnsi="Times New Roman" w:cs="Times New Roman"/>
          <w:sz w:val="24"/>
          <w:szCs w:val="24"/>
        </w:rPr>
        <w:t>First, the major issue with relying on the existing drafting patterns is that</w:t>
      </w:r>
      <w:r w:rsidR="00552719" w:rsidRPr="00D66C82">
        <w:rPr>
          <w:rFonts w:ascii="Times New Roman" w:hAnsi="Times New Roman" w:cs="Times New Roman"/>
          <w:sz w:val="24"/>
          <w:szCs w:val="24"/>
        </w:rPr>
        <w:t>,</w:t>
      </w:r>
      <w:r w:rsidRPr="00D66C82">
        <w:rPr>
          <w:rFonts w:ascii="Times New Roman" w:hAnsi="Times New Roman" w:cs="Times New Roman"/>
          <w:sz w:val="24"/>
          <w:szCs w:val="24"/>
        </w:rPr>
        <w:t xml:space="preserve"> historically, investment treaty protection was designed to safeguard </w:t>
      </w:r>
      <w:r w:rsidR="00DB0EA0" w:rsidRPr="00D66C82">
        <w:rPr>
          <w:rFonts w:ascii="Times New Roman" w:hAnsi="Times New Roman" w:cs="Times New Roman"/>
          <w:sz w:val="24"/>
          <w:szCs w:val="24"/>
        </w:rPr>
        <w:t xml:space="preserve">primarily </w:t>
      </w:r>
      <w:r w:rsidRPr="00D66C82">
        <w:rPr>
          <w:rFonts w:ascii="Times New Roman" w:hAnsi="Times New Roman" w:cs="Times New Roman"/>
          <w:sz w:val="24"/>
          <w:szCs w:val="24"/>
        </w:rPr>
        <w:t>UK investments in developing countries.</w:t>
      </w:r>
      <w:r w:rsidR="00230D1B" w:rsidRPr="00D66C82">
        <w:rPr>
          <w:rFonts w:ascii="Times New Roman" w:hAnsi="Times New Roman" w:cs="Times New Roman"/>
          <w:sz w:val="24"/>
          <w:szCs w:val="24"/>
        </w:rPr>
        <w:t xml:space="preserve"> </w:t>
      </w:r>
      <w:r w:rsidR="00E125DD" w:rsidRPr="00D66C82">
        <w:rPr>
          <w:rFonts w:ascii="Times New Roman" w:hAnsi="Times New Roman" w:cs="Times New Roman"/>
          <w:sz w:val="24"/>
          <w:szCs w:val="24"/>
        </w:rPr>
        <w:t xml:space="preserve">If we </w:t>
      </w:r>
      <w:r w:rsidR="00552719" w:rsidRPr="00D66C82">
        <w:rPr>
          <w:rFonts w:ascii="Times New Roman" w:hAnsi="Times New Roman" w:cs="Times New Roman"/>
          <w:sz w:val="24"/>
          <w:szCs w:val="24"/>
        </w:rPr>
        <w:t>examine</w:t>
      </w:r>
      <w:r w:rsidR="00E125DD" w:rsidRPr="00D66C82">
        <w:rPr>
          <w:rFonts w:ascii="Times New Roman" w:hAnsi="Times New Roman" w:cs="Times New Roman"/>
          <w:sz w:val="24"/>
          <w:szCs w:val="24"/>
        </w:rPr>
        <w:t xml:space="preserve"> the early generation of UK investment treaties as well as</w:t>
      </w:r>
      <w:r w:rsidR="00AE5F5F">
        <w:rPr>
          <w:rFonts w:ascii="Times New Roman" w:hAnsi="Times New Roman" w:cs="Times New Roman"/>
          <w:sz w:val="24"/>
          <w:szCs w:val="24"/>
        </w:rPr>
        <w:t xml:space="preserve"> the</w:t>
      </w:r>
      <w:r w:rsidR="00E125DD" w:rsidRPr="00D66C82">
        <w:rPr>
          <w:rFonts w:ascii="Times New Roman" w:hAnsi="Times New Roman" w:cs="Times New Roman"/>
          <w:sz w:val="24"/>
          <w:szCs w:val="24"/>
        </w:rPr>
        <w:t xml:space="preserve"> most recent drafting patterns </w:t>
      </w:r>
      <w:r w:rsidR="00552719" w:rsidRPr="00D66C82">
        <w:rPr>
          <w:rFonts w:ascii="Times New Roman" w:hAnsi="Times New Roman" w:cs="Times New Roman"/>
          <w:sz w:val="24"/>
          <w:szCs w:val="24"/>
        </w:rPr>
        <w:t>that emerged just</w:t>
      </w:r>
      <w:r w:rsidR="00E125DD" w:rsidRPr="00D66C82">
        <w:rPr>
          <w:rFonts w:ascii="Times New Roman" w:hAnsi="Times New Roman" w:cs="Times New Roman"/>
          <w:sz w:val="24"/>
          <w:szCs w:val="24"/>
        </w:rPr>
        <w:t xml:space="preserve"> before the transfer of competence to Brussels, the UK </w:t>
      </w:r>
      <w:r w:rsidR="004D7574" w:rsidRPr="00D66C82">
        <w:rPr>
          <w:rFonts w:ascii="Times New Roman" w:hAnsi="Times New Roman" w:cs="Times New Roman"/>
          <w:sz w:val="24"/>
          <w:szCs w:val="24"/>
        </w:rPr>
        <w:t xml:space="preserve">investment </w:t>
      </w:r>
      <w:r w:rsidR="00E125DD" w:rsidRPr="00D66C82">
        <w:rPr>
          <w:rFonts w:ascii="Times New Roman" w:hAnsi="Times New Roman" w:cs="Times New Roman"/>
          <w:sz w:val="24"/>
          <w:szCs w:val="24"/>
        </w:rPr>
        <w:t xml:space="preserve">treaties </w:t>
      </w:r>
      <w:r w:rsidR="00552719" w:rsidRPr="00D66C82">
        <w:rPr>
          <w:rFonts w:ascii="Times New Roman" w:hAnsi="Times New Roman" w:cs="Times New Roman"/>
          <w:sz w:val="24"/>
          <w:szCs w:val="24"/>
        </w:rPr>
        <w:t xml:space="preserve">have </w:t>
      </w:r>
      <w:r w:rsidR="00E125DD" w:rsidRPr="00D66C82">
        <w:rPr>
          <w:rFonts w:ascii="Times New Roman" w:hAnsi="Times New Roman" w:cs="Times New Roman"/>
          <w:sz w:val="24"/>
          <w:szCs w:val="24"/>
        </w:rPr>
        <w:t>unequivocally prioritised investment protection</w:t>
      </w:r>
      <w:r w:rsidR="00C92A03" w:rsidRPr="00D66C82">
        <w:rPr>
          <w:rFonts w:ascii="Times New Roman" w:hAnsi="Times New Roman" w:cs="Times New Roman"/>
          <w:sz w:val="24"/>
          <w:szCs w:val="24"/>
        </w:rPr>
        <w:t xml:space="preserve"> over any other competing policy considerations</w:t>
      </w:r>
      <w:r w:rsidR="00E125DD" w:rsidRPr="00D66C82">
        <w:rPr>
          <w:rFonts w:ascii="Times New Roman" w:hAnsi="Times New Roman" w:cs="Times New Roman"/>
          <w:sz w:val="24"/>
          <w:szCs w:val="24"/>
        </w:rPr>
        <w:t xml:space="preserve">. </w:t>
      </w:r>
      <w:r w:rsidR="00552719" w:rsidRPr="00D66C82">
        <w:rPr>
          <w:rFonts w:ascii="Times New Roman" w:hAnsi="Times New Roman" w:cs="Times New Roman"/>
          <w:sz w:val="24"/>
          <w:szCs w:val="24"/>
        </w:rPr>
        <w:t>The forefathers of investment treaties saw investment protection as an overriding</w:t>
      </w:r>
      <w:r w:rsidR="00631643" w:rsidRPr="00D66C82">
        <w:rPr>
          <w:rFonts w:ascii="Times New Roman" w:hAnsi="Times New Roman" w:cs="Times New Roman"/>
          <w:sz w:val="24"/>
          <w:szCs w:val="24"/>
        </w:rPr>
        <w:t xml:space="preserve"> and principal goal of investment treaties. To ensure that investors from traditional capital-exporting states, including the UK, are </w:t>
      </w:r>
      <w:r w:rsidR="00C92A03" w:rsidRPr="00D66C82">
        <w:rPr>
          <w:rFonts w:ascii="Times New Roman" w:hAnsi="Times New Roman" w:cs="Times New Roman"/>
          <w:sz w:val="24"/>
          <w:szCs w:val="24"/>
        </w:rPr>
        <w:t>shielded</w:t>
      </w:r>
      <w:r w:rsidR="00631643" w:rsidRPr="00D66C82">
        <w:rPr>
          <w:rFonts w:ascii="Times New Roman" w:hAnsi="Times New Roman" w:cs="Times New Roman"/>
          <w:sz w:val="24"/>
          <w:szCs w:val="24"/>
        </w:rPr>
        <w:t xml:space="preserve"> from political and other vicissitudes when investing in capital-importing states (</w:t>
      </w:r>
      <w:r w:rsidR="00252637" w:rsidRPr="00D66C82">
        <w:rPr>
          <w:rFonts w:ascii="Times New Roman" w:hAnsi="Times New Roman" w:cs="Times New Roman"/>
          <w:sz w:val="24"/>
          <w:szCs w:val="24"/>
        </w:rPr>
        <w:t>i.e.</w:t>
      </w:r>
      <w:r w:rsidR="00631643" w:rsidRPr="00D66C82">
        <w:rPr>
          <w:rFonts w:ascii="Times New Roman" w:hAnsi="Times New Roman" w:cs="Times New Roman"/>
          <w:sz w:val="24"/>
          <w:szCs w:val="24"/>
        </w:rPr>
        <w:t xml:space="preserve"> developing countries) investment treaties</w:t>
      </w:r>
      <w:r w:rsidR="00C92A03" w:rsidRPr="00D66C82">
        <w:rPr>
          <w:rFonts w:ascii="Times New Roman" w:hAnsi="Times New Roman" w:cs="Times New Roman"/>
          <w:sz w:val="24"/>
          <w:szCs w:val="24"/>
        </w:rPr>
        <w:t xml:space="preserve"> offer </w:t>
      </w:r>
      <w:r w:rsidR="00413713" w:rsidRPr="00D66C82">
        <w:rPr>
          <w:rFonts w:ascii="Times New Roman" w:hAnsi="Times New Roman" w:cs="Times New Roman"/>
          <w:sz w:val="24"/>
          <w:szCs w:val="24"/>
        </w:rPr>
        <w:t>substantive and procedural guarantees that are largely unparalleled in other areas of international law. These guarantees can be grouped into three key pillars of investment protection. First, under traditional investment treaties investors can enjoy broad and fa</w:t>
      </w:r>
      <w:r w:rsidR="00AE5F5F">
        <w:rPr>
          <w:rFonts w:ascii="Times New Roman" w:hAnsi="Times New Roman" w:cs="Times New Roman"/>
          <w:sz w:val="24"/>
          <w:szCs w:val="24"/>
        </w:rPr>
        <w:t>r</w:t>
      </w:r>
      <w:r w:rsidR="00413713" w:rsidRPr="00D66C82">
        <w:rPr>
          <w:rFonts w:ascii="Times New Roman" w:hAnsi="Times New Roman" w:cs="Times New Roman"/>
          <w:sz w:val="24"/>
          <w:szCs w:val="24"/>
        </w:rPr>
        <w:t>-reaching substantive rights vis-à-vis host governments</w:t>
      </w:r>
      <w:r w:rsidR="006A4B75" w:rsidRPr="00D66C82">
        <w:rPr>
          <w:rFonts w:ascii="Times New Roman" w:hAnsi="Times New Roman" w:cs="Times New Roman"/>
          <w:sz w:val="24"/>
          <w:szCs w:val="24"/>
        </w:rPr>
        <w:t>, such as the guarantee of fair and equitable treatment, compensation for expropriation, and sanctity of contract</w:t>
      </w:r>
      <w:r w:rsidR="00413713" w:rsidRPr="00D66C82">
        <w:rPr>
          <w:rFonts w:ascii="Times New Roman" w:hAnsi="Times New Roman" w:cs="Times New Roman"/>
          <w:sz w:val="24"/>
          <w:szCs w:val="24"/>
        </w:rPr>
        <w:t xml:space="preserve">. </w:t>
      </w:r>
      <w:r w:rsidR="006A4B75" w:rsidRPr="00D66C82">
        <w:rPr>
          <w:rFonts w:ascii="Times New Roman" w:hAnsi="Times New Roman" w:cs="Times New Roman"/>
          <w:sz w:val="24"/>
          <w:szCs w:val="24"/>
        </w:rPr>
        <w:t>These guarantees go beyond what investors would enjoy under national laws of developed economies.</w:t>
      </w:r>
      <w:r w:rsidR="006A4B75" w:rsidRPr="00D66C82">
        <w:rPr>
          <w:rStyle w:val="FootnoteReference"/>
          <w:rFonts w:ascii="Times New Roman" w:hAnsi="Times New Roman" w:cs="Times New Roman"/>
          <w:sz w:val="24"/>
          <w:szCs w:val="24"/>
        </w:rPr>
        <w:footnoteReference w:id="10"/>
      </w:r>
      <w:r w:rsidR="006A4B75" w:rsidRPr="00D66C82">
        <w:rPr>
          <w:rFonts w:ascii="Times New Roman" w:hAnsi="Times New Roman" w:cs="Times New Roman"/>
          <w:sz w:val="24"/>
          <w:szCs w:val="24"/>
        </w:rPr>
        <w:t xml:space="preserve"> </w:t>
      </w:r>
      <w:r w:rsidR="00413713" w:rsidRPr="00D66C82">
        <w:rPr>
          <w:rFonts w:ascii="Times New Roman" w:hAnsi="Times New Roman" w:cs="Times New Roman"/>
          <w:sz w:val="24"/>
          <w:szCs w:val="24"/>
        </w:rPr>
        <w:t>Second, in a manner unseen in other areas of international law</w:t>
      </w:r>
      <w:r w:rsidR="008D550F">
        <w:rPr>
          <w:rFonts w:ascii="Times New Roman" w:hAnsi="Times New Roman" w:cs="Times New Roman"/>
          <w:sz w:val="24"/>
          <w:szCs w:val="24"/>
        </w:rPr>
        <w:t>,</w:t>
      </w:r>
      <w:r w:rsidR="00413713" w:rsidRPr="00D66C82">
        <w:rPr>
          <w:rFonts w:ascii="Times New Roman" w:hAnsi="Times New Roman" w:cs="Times New Roman"/>
          <w:sz w:val="24"/>
          <w:szCs w:val="24"/>
        </w:rPr>
        <w:t xml:space="preserve"> such as WTO law and international human rights, investment treaties enable investors to claim monetary remedies</w:t>
      </w:r>
      <w:r w:rsidR="004D7574" w:rsidRPr="00D66C82">
        <w:rPr>
          <w:rFonts w:ascii="Times New Roman" w:hAnsi="Times New Roman" w:cs="Times New Roman"/>
          <w:sz w:val="24"/>
          <w:szCs w:val="24"/>
        </w:rPr>
        <w:t>,</w:t>
      </w:r>
      <w:r w:rsidR="00413713" w:rsidRPr="00D66C82">
        <w:rPr>
          <w:rFonts w:ascii="Times New Roman" w:hAnsi="Times New Roman" w:cs="Times New Roman"/>
          <w:sz w:val="24"/>
          <w:szCs w:val="24"/>
        </w:rPr>
        <w:t xml:space="preserve"> i.e. damages</w:t>
      </w:r>
      <w:r w:rsidR="004D7574" w:rsidRPr="00D66C82">
        <w:rPr>
          <w:rFonts w:ascii="Times New Roman" w:hAnsi="Times New Roman" w:cs="Times New Roman"/>
          <w:sz w:val="24"/>
          <w:szCs w:val="24"/>
        </w:rPr>
        <w:t>,</w:t>
      </w:r>
      <w:r w:rsidR="00413713" w:rsidRPr="00D66C82">
        <w:rPr>
          <w:rFonts w:ascii="Times New Roman" w:hAnsi="Times New Roman" w:cs="Times New Roman"/>
          <w:sz w:val="24"/>
          <w:szCs w:val="24"/>
        </w:rPr>
        <w:t xml:space="preserve"> in cases where the host state fails to abide </w:t>
      </w:r>
      <w:r w:rsidR="00AE5F5F">
        <w:rPr>
          <w:rFonts w:ascii="Times New Roman" w:hAnsi="Times New Roman" w:cs="Times New Roman"/>
          <w:sz w:val="24"/>
          <w:szCs w:val="24"/>
        </w:rPr>
        <w:t>by</w:t>
      </w:r>
      <w:r w:rsidR="00413713" w:rsidRPr="00D66C82">
        <w:rPr>
          <w:rFonts w:ascii="Times New Roman" w:hAnsi="Times New Roman" w:cs="Times New Roman"/>
          <w:sz w:val="24"/>
          <w:szCs w:val="24"/>
        </w:rPr>
        <w:t xml:space="preserve"> investment treaty standards.</w:t>
      </w:r>
      <w:r w:rsidR="008675C3">
        <w:rPr>
          <w:rStyle w:val="FootnoteReference"/>
          <w:rFonts w:ascii="Times New Roman" w:hAnsi="Times New Roman" w:cs="Times New Roman"/>
          <w:sz w:val="24"/>
          <w:szCs w:val="24"/>
        </w:rPr>
        <w:footnoteReference w:id="11"/>
      </w:r>
      <w:r w:rsidR="00413713" w:rsidRPr="00D66C82">
        <w:rPr>
          <w:rFonts w:ascii="Times New Roman" w:hAnsi="Times New Roman" w:cs="Times New Roman"/>
          <w:sz w:val="24"/>
          <w:szCs w:val="24"/>
        </w:rPr>
        <w:t xml:space="preserve"> Third, investment treaties </w:t>
      </w:r>
      <w:r w:rsidR="001C04F9" w:rsidRPr="00D66C82">
        <w:rPr>
          <w:rFonts w:ascii="Times New Roman" w:hAnsi="Times New Roman" w:cs="Times New Roman"/>
          <w:sz w:val="24"/>
          <w:szCs w:val="24"/>
        </w:rPr>
        <w:t>allow investors to</w:t>
      </w:r>
      <w:r w:rsidR="00E125DD" w:rsidRPr="00D66C82">
        <w:rPr>
          <w:rFonts w:ascii="Times New Roman" w:hAnsi="Times New Roman" w:cs="Times New Roman"/>
          <w:sz w:val="24"/>
          <w:szCs w:val="24"/>
        </w:rPr>
        <w:t xml:space="preserve"> bypass </w:t>
      </w:r>
      <w:r w:rsidR="004A07BC" w:rsidRPr="00D66C82">
        <w:rPr>
          <w:rFonts w:ascii="Times New Roman" w:hAnsi="Times New Roman" w:cs="Times New Roman"/>
          <w:sz w:val="24"/>
          <w:szCs w:val="24"/>
        </w:rPr>
        <w:t>the national judicial system</w:t>
      </w:r>
      <w:r w:rsidR="00552719" w:rsidRPr="00D66C82">
        <w:rPr>
          <w:rFonts w:ascii="Times New Roman" w:hAnsi="Times New Roman" w:cs="Times New Roman"/>
          <w:sz w:val="24"/>
          <w:szCs w:val="24"/>
        </w:rPr>
        <w:t xml:space="preserve"> and </w:t>
      </w:r>
      <w:r w:rsidR="001C04F9" w:rsidRPr="00D66C82">
        <w:rPr>
          <w:rFonts w:ascii="Times New Roman" w:hAnsi="Times New Roman" w:cs="Times New Roman"/>
          <w:sz w:val="24"/>
          <w:szCs w:val="24"/>
        </w:rPr>
        <w:t>bring</w:t>
      </w:r>
      <w:r w:rsidR="00552719" w:rsidRPr="00D66C82">
        <w:rPr>
          <w:rFonts w:ascii="Times New Roman" w:hAnsi="Times New Roman" w:cs="Times New Roman"/>
          <w:sz w:val="24"/>
          <w:szCs w:val="24"/>
        </w:rPr>
        <w:t xml:space="preserve"> their claims against the </w:t>
      </w:r>
      <w:r w:rsidR="00413713" w:rsidRPr="00D66C82">
        <w:rPr>
          <w:rFonts w:ascii="Times New Roman" w:hAnsi="Times New Roman" w:cs="Times New Roman"/>
          <w:sz w:val="24"/>
          <w:szCs w:val="24"/>
        </w:rPr>
        <w:t xml:space="preserve">host </w:t>
      </w:r>
      <w:r w:rsidR="00552719" w:rsidRPr="00D66C82">
        <w:rPr>
          <w:rFonts w:ascii="Times New Roman" w:hAnsi="Times New Roman" w:cs="Times New Roman"/>
          <w:sz w:val="24"/>
          <w:szCs w:val="24"/>
        </w:rPr>
        <w:t xml:space="preserve">government directly </w:t>
      </w:r>
      <w:r w:rsidR="001C04F9" w:rsidRPr="00D66C82">
        <w:rPr>
          <w:rFonts w:ascii="Times New Roman" w:hAnsi="Times New Roman" w:cs="Times New Roman"/>
          <w:sz w:val="24"/>
          <w:szCs w:val="24"/>
        </w:rPr>
        <w:t>before</w:t>
      </w:r>
      <w:r w:rsidR="00552719" w:rsidRPr="00D66C82">
        <w:rPr>
          <w:rFonts w:ascii="Times New Roman" w:hAnsi="Times New Roman" w:cs="Times New Roman"/>
          <w:sz w:val="24"/>
          <w:szCs w:val="24"/>
        </w:rPr>
        <w:t xml:space="preserve"> an international tribunal</w:t>
      </w:r>
      <w:r w:rsidR="00252637" w:rsidRPr="00D66C82">
        <w:rPr>
          <w:rFonts w:ascii="Times New Roman" w:hAnsi="Times New Roman" w:cs="Times New Roman"/>
          <w:sz w:val="24"/>
          <w:szCs w:val="24"/>
        </w:rPr>
        <w:t xml:space="preserve"> comprised of party-appointed arbitrators</w:t>
      </w:r>
      <w:r w:rsidR="00E125DD" w:rsidRPr="00D66C82">
        <w:rPr>
          <w:rFonts w:ascii="Times New Roman" w:hAnsi="Times New Roman" w:cs="Times New Roman"/>
          <w:sz w:val="24"/>
          <w:szCs w:val="24"/>
        </w:rPr>
        <w:t>.</w:t>
      </w:r>
      <w:r w:rsidR="008675C3">
        <w:rPr>
          <w:rStyle w:val="FootnoteReference"/>
          <w:rFonts w:ascii="Times New Roman" w:hAnsi="Times New Roman" w:cs="Times New Roman"/>
          <w:sz w:val="24"/>
          <w:szCs w:val="24"/>
        </w:rPr>
        <w:footnoteReference w:id="12"/>
      </w:r>
      <w:r w:rsidR="00E125DD" w:rsidRPr="00D66C82">
        <w:rPr>
          <w:rFonts w:ascii="Times New Roman" w:hAnsi="Times New Roman" w:cs="Times New Roman"/>
          <w:sz w:val="24"/>
          <w:szCs w:val="24"/>
        </w:rPr>
        <w:t xml:space="preserve"> Arbitral awards rendered in investor-state </w:t>
      </w:r>
      <w:r w:rsidR="00413713" w:rsidRPr="00D66C82">
        <w:rPr>
          <w:rFonts w:ascii="Times New Roman" w:hAnsi="Times New Roman" w:cs="Times New Roman"/>
          <w:sz w:val="24"/>
          <w:szCs w:val="24"/>
        </w:rPr>
        <w:t>arbitration cases</w:t>
      </w:r>
      <w:r w:rsidR="00E125DD" w:rsidRPr="00D66C82">
        <w:rPr>
          <w:rFonts w:ascii="Times New Roman" w:hAnsi="Times New Roman" w:cs="Times New Roman"/>
          <w:sz w:val="24"/>
          <w:szCs w:val="24"/>
        </w:rPr>
        <w:t xml:space="preserve"> are readily enforceable in most jurisdictions</w:t>
      </w:r>
      <w:r w:rsidR="00413713" w:rsidRPr="00D66C82">
        <w:rPr>
          <w:rFonts w:ascii="Times New Roman" w:hAnsi="Times New Roman" w:cs="Times New Roman"/>
          <w:sz w:val="24"/>
          <w:szCs w:val="24"/>
        </w:rPr>
        <w:t xml:space="preserve"> and can be executed even against the will of a respondent state</w:t>
      </w:r>
      <w:r w:rsidR="00E125DD" w:rsidRPr="00D66C82">
        <w:rPr>
          <w:rFonts w:ascii="Times New Roman" w:hAnsi="Times New Roman" w:cs="Times New Roman"/>
          <w:sz w:val="24"/>
          <w:szCs w:val="24"/>
        </w:rPr>
        <w:t>.</w:t>
      </w:r>
      <w:r w:rsidR="008675C3">
        <w:rPr>
          <w:rStyle w:val="FootnoteReference"/>
          <w:rFonts w:ascii="Times New Roman" w:hAnsi="Times New Roman" w:cs="Times New Roman"/>
          <w:sz w:val="24"/>
          <w:szCs w:val="24"/>
        </w:rPr>
        <w:footnoteReference w:id="13"/>
      </w:r>
      <w:r w:rsidR="00E125DD" w:rsidRPr="00D66C82">
        <w:rPr>
          <w:rFonts w:ascii="Times New Roman" w:hAnsi="Times New Roman" w:cs="Times New Roman"/>
          <w:sz w:val="24"/>
          <w:szCs w:val="24"/>
        </w:rPr>
        <w:t xml:space="preserve"> </w:t>
      </w:r>
    </w:p>
    <w:p w14:paraId="550E2E1D" w14:textId="77777777" w:rsidR="006A4B75" w:rsidRPr="00D66C82" w:rsidRDefault="006A4B75" w:rsidP="00D66C82">
      <w:pPr>
        <w:autoSpaceDE w:val="0"/>
        <w:autoSpaceDN w:val="0"/>
        <w:adjustRightInd w:val="0"/>
        <w:spacing w:after="0"/>
        <w:jc w:val="both"/>
        <w:rPr>
          <w:rFonts w:ascii="Times New Roman" w:hAnsi="Times New Roman" w:cs="Times New Roman"/>
          <w:sz w:val="24"/>
          <w:szCs w:val="24"/>
        </w:rPr>
      </w:pPr>
    </w:p>
    <w:p w14:paraId="5F2BBFA1" w14:textId="179747CE" w:rsidR="00FE32D2" w:rsidRPr="00D66C82" w:rsidRDefault="00252637"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 xml:space="preserve">The question that </w:t>
      </w:r>
      <w:r w:rsidR="006A4B75" w:rsidRPr="00D66C82">
        <w:rPr>
          <w:rFonts w:ascii="Times New Roman" w:hAnsi="Times New Roman" w:cs="Times New Roman"/>
          <w:sz w:val="24"/>
          <w:szCs w:val="24"/>
        </w:rPr>
        <w:t>inexorably arise</w:t>
      </w:r>
      <w:r w:rsidRPr="00D66C82">
        <w:rPr>
          <w:rFonts w:ascii="Times New Roman" w:hAnsi="Times New Roman" w:cs="Times New Roman"/>
          <w:sz w:val="24"/>
          <w:szCs w:val="24"/>
        </w:rPr>
        <w:t>s</w:t>
      </w:r>
      <w:r w:rsidR="006A4B75" w:rsidRPr="00D66C82">
        <w:rPr>
          <w:rFonts w:ascii="Times New Roman" w:hAnsi="Times New Roman" w:cs="Times New Roman"/>
          <w:sz w:val="24"/>
          <w:szCs w:val="24"/>
        </w:rPr>
        <w:t xml:space="preserve"> at this </w:t>
      </w:r>
      <w:r w:rsidRPr="00D66C82">
        <w:rPr>
          <w:rFonts w:ascii="Times New Roman" w:hAnsi="Times New Roman" w:cs="Times New Roman"/>
          <w:sz w:val="24"/>
          <w:szCs w:val="24"/>
        </w:rPr>
        <w:t>point</w:t>
      </w:r>
      <w:r w:rsidR="006A4B75" w:rsidRPr="00D66C82">
        <w:rPr>
          <w:rFonts w:ascii="Times New Roman" w:hAnsi="Times New Roman" w:cs="Times New Roman"/>
          <w:sz w:val="24"/>
          <w:szCs w:val="24"/>
        </w:rPr>
        <w:t xml:space="preserve"> is whether Brexit changes anything, given that the UK has been signing investment treaties since the 1970s.</w:t>
      </w:r>
      <w:r w:rsidR="007C7167" w:rsidRPr="00D66C82">
        <w:rPr>
          <w:rFonts w:ascii="Times New Roman" w:hAnsi="Times New Roman" w:cs="Times New Roman"/>
          <w:sz w:val="24"/>
          <w:szCs w:val="24"/>
        </w:rPr>
        <w:t xml:space="preserve"> Why the need to reformulate UK investment treaty priorities?</w:t>
      </w:r>
      <w:r w:rsidR="00CF0105">
        <w:rPr>
          <w:rFonts w:ascii="Times New Roman" w:hAnsi="Times New Roman" w:cs="Times New Roman"/>
          <w:sz w:val="24"/>
          <w:szCs w:val="24"/>
        </w:rPr>
        <w:t xml:space="preserve"> </w:t>
      </w:r>
      <w:r w:rsidR="000C5FAF" w:rsidRPr="00D66C82">
        <w:rPr>
          <w:rFonts w:ascii="Times New Roman" w:hAnsi="Times New Roman" w:cs="Times New Roman"/>
          <w:sz w:val="24"/>
          <w:szCs w:val="24"/>
        </w:rPr>
        <w:t xml:space="preserve">First and foremost, the need to identify and formulate new investment policy priorities stems from the fact that </w:t>
      </w:r>
      <w:r w:rsidR="007C7167" w:rsidRPr="00D66C82">
        <w:rPr>
          <w:rFonts w:ascii="Times New Roman" w:hAnsi="Times New Roman" w:cs="Times New Roman"/>
          <w:sz w:val="24"/>
          <w:szCs w:val="24"/>
        </w:rPr>
        <w:t xml:space="preserve">the UK </w:t>
      </w:r>
      <w:r w:rsidR="00FE32D2" w:rsidRPr="00D66C82">
        <w:rPr>
          <w:rFonts w:ascii="Times New Roman" w:hAnsi="Times New Roman" w:cs="Times New Roman"/>
          <w:sz w:val="24"/>
          <w:szCs w:val="24"/>
        </w:rPr>
        <w:t xml:space="preserve">has long </w:t>
      </w:r>
      <w:r w:rsidR="007C7167" w:rsidRPr="00D66C82">
        <w:rPr>
          <w:rFonts w:ascii="Times New Roman" w:hAnsi="Times New Roman" w:cs="Times New Roman"/>
          <w:sz w:val="24"/>
          <w:szCs w:val="24"/>
        </w:rPr>
        <w:t xml:space="preserve">led a </w:t>
      </w:r>
      <w:r w:rsidR="00FE32D2" w:rsidRPr="00D66C82">
        <w:rPr>
          <w:rFonts w:ascii="Times New Roman" w:hAnsi="Times New Roman" w:cs="Times New Roman"/>
          <w:sz w:val="24"/>
          <w:szCs w:val="24"/>
        </w:rPr>
        <w:t>“</w:t>
      </w:r>
      <w:r w:rsidR="007C7167" w:rsidRPr="00D66C82">
        <w:rPr>
          <w:rFonts w:ascii="Times New Roman" w:hAnsi="Times New Roman" w:cs="Times New Roman"/>
          <w:sz w:val="24"/>
          <w:szCs w:val="24"/>
        </w:rPr>
        <w:t>double life</w:t>
      </w:r>
      <w:r w:rsidR="00FE32D2" w:rsidRPr="00D66C82">
        <w:rPr>
          <w:rFonts w:ascii="Times New Roman" w:hAnsi="Times New Roman" w:cs="Times New Roman"/>
          <w:sz w:val="24"/>
          <w:szCs w:val="24"/>
        </w:rPr>
        <w:t>”</w:t>
      </w:r>
      <w:r w:rsidR="007C7167" w:rsidRPr="00D66C82">
        <w:rPr>
          <w:rFonts w:ascii="Times New Roman" w:hAnsi="Times New Roman" w:cs="Times New Roman"/>
          <w:sz w:val="24"/>
          <w:szCs w:val="24"/>
        </w:rPr>
        <w:t>. It signed</w:t>
      </w:r>
      <w:r w:rsidR="00FE32D2" w:rsidRPr="00D66C82">
        <w:rPr>
          <w:rFonts w:ascii="Times New Roman" w:hAnsi="Times New Roman" w:cs="Times New Roman"/>
          <w:sz w:val="24"/>
          <w:szCs w:val="24"/>
        </w:rPr>
        <w:t xml:space="preserve"> bilateral</w:t>
      </w:r>
      <w:r w:rsidR="007C7167" w:rsidRPr="00D66C82">
        <w:rPr>
          <w:rFonts w:ascii="Times New Roman" w:hAnsi="Times New Roman" w:cs="Times New Roman"/>
          <w:sz w:val="24"/>
          <w:szCs w:val="24"/>
        </w:rPr>
        <w:t xml:space="preserve"> investment treaties with third states</w:t>
      </w:r>
      <w:r w:rsidR="008675C3">
        <w:rPr>
          <w:rFonts w:ascii="Times New Roman" w:hAnsi="Times New Roman" w:cs="Times New Roman"/>
          <w:sz w:val="24"/>
          <w:szCs w:val="24"/>
        </w:rPr>
        <w:t xml:space="preserve"> across the globe</w:t>
      </w:r>
      <w:r w:rsidR="007C7167" w:rsidRPr="00D66C82">
        <w:rPr>
          <w:rFonts w:ascii="Times New Roman" w:hAnsi="Times New Roman" w:cs="Times New Roman"/>
          <w:sz w:val="24"/>
          <w:szCs w:val="24"/>
        </w:rPr>
        <w:t xml:space="preserve">, including some EU </w:t>
      </w:r>
      <w:r w:rsidR="008675C3">
        <w:rPr>
          <w:rFonts w:ascii="Times New Roman" w:hAnsi="Times New Roman" w:cs="Times New Roman"/>
          <w:sz w:val="24"/>
          <w:szCs w:val="24"/>
        </w:rPr>
        <w:t>member states in</w:t>
      </w:r>
      <w:r w:rsidR="007C7167" w:rsidRPr="00D66C82">
        <w:rPr>
          <w:rFonts w:ascii="Times New Roman" w:hAnsi="Times New Roman" w:cs="Times New Roman"/>
          <w:sz w:val="24"/>
          <w:szCs w:val="24"/>
        </w:rPr>
        <w:t xml:space="preserve"> Central and Eastern Europe, </w:t>
      </w:r>
      <w:r w:rsidR="00FE32D2" w:rsidRPr="00D66C82">
        <w:rPr>
          <w:rFonts w:ascii="Times New Roman" w:hAnsi="Times New Roman" w:cs="Times New Roman"/>
          <w:sz w:val="24"/>
          <w:szCs w:val="24"/>
        </w:rPr>
        <w:t>yet</w:t>
      </w:r>
      <w:r w:rsidR="007C7167" w:rsidRPr="00D66C82">
        <w:rPr>
          <w:rFonts w:ascii="Times New Roman" w:hAnsi="Times New Roman" w:cs="Times New Roman"/>
          <w:sz w:val="24"/>
          <w:szCs w:val="24"/>
        </w:rPr>
        <w:t xml:space="preserve"> </w:t>
      </w:r>
      <w:r w:rsidR="001C04F9" w:rsidRPr="00D66C82">
        <w:rPr>
          <w:rFonts w:ascii="Times New Roman" w:hAnsi="Times New Roman" w:cs="Times New Roman"/>
          <w:sz w:val="24"/>
          <w:szCs w:val="24"/>
        </w:rPr>
        <w:t xml:space="preserve">by and large </w:t>
      </w:r>
      <w:r w:rsidR="007C7167" w:rsidRPr="00D66C82">
        <w:rPr>
          <w:rFonts w:ascii="Times New Roman" w:hAnsi="Times New Roman" w:cs="Times New Roman"/>
          <w:sz w:val="24"/>
          <w:szCs w:val="24"/>
        </w:rPr>
        <w:t xml:space="preserve">investment relations between the UK and European partners were and </w:t>
      </w:r>
      <w:r w:rsidR="00FE32D2" w:rsidRPr="00D66C82">
        <w:rPr>
          <w:rFonts w:ascii="Times New Roman" w:hAnsi="Times New Roman" w:cs="Times New Roman"/>
          <w:sz w:val="24"/>
          <w:szCs w:val="24"/>
        </w:rPr>
        <w:t xml:space="preserve">still </w:t>
      </w:r>
      <w:r w:rsidR="007C7167" w:rsidRPr="00D66C82">
        <w:rPr>
          <w:rFonts w:ascii="Times New Roman" w:hAnsi="Times New Roman" w:cs="Times New Roman"/>
          <w:sz w:val="24"/>
          <w:szCs w:val="24"/>
        </w:rPr>
        <w:t xml:space="preserve">are regulated by EU law, in particular the </w:t>
      </w:r>
      <w:r w:rsidR="00FE32D2" w:rsidRPr="00D66C82">
        <w:rPr>
          <w:rFonts w:ascii="Times New Roman" w:hAnsi="Times New Roman" w:cs="Times New Roman"/>
          <w:sz w:val="24"/>
          <w:szCs w:val="24"/>
        </w:rPr>
        <w:t xml:space="preserve">disciplines on </w:t>
      </w:r>
      <w:r w:rsidR="007C7167" w:rsidRPr="00D66C82">
        <w:rPr>
          <w:rFonts w:ascii="Times New Roman" w:hAnsi="Times New Roman" w:cs="Times New Roman"/>
          <w:sz w:val="24"/>
          <w:szCs w:val="24"/>
        </w:rPr>
        <w:t xml:space="preserve">free movement of goods, </w:t>
      </w:r>
      <w:r w:rsidR="00FE32D2" w:rsidRPr="00D66C82">
        <w:rPr>
          <w:rFonts w:ascii="Times New Roman" w:hAnsi="Times New Roman" w:cs="Times New Roman"/>
          <w:sz w:val="24"/>
          <w:szCs w:val="24"/>
        </w:rPr>
        <w:t xml:space="preserve">services, capital, and the freedom of </w:t>
      </w:r>
      <w:r w:rsidR="007C7167" w:rsidRPr="00D66C82">
        <w:rPr>
          <w:rFonts w:ascii="Times New Roman" w:hAnsi="Times New Roman" w:cs="Times New Roman"/>
          <w:sz w:val="24"/>
          <w:szCs w:val="24"/>
        </w:rPr>
        <w:lastRenderedPageBreak/>
        <w:t xml:space="preserve">establishment. </w:t>
      </w:r>
      <w:r w:rsidR="008675C3">
        <w:rPr>
          <w:rFonts w:ascii="Times New Roman" w:hAnsi="Times New Roman" w:cs="Times New Roman"/>
          <w:sz w:val="24"/>
          <w:szCs w:val="24"/>
        </w:rPr>
        <w:t xml:space="preserve">As outlined below, there are fundamental differences between protections afforded to foreign investors under the bilateral investment treaty regime and EU law respectively. </w:t>
      </w:r>
      <w:r w:rsidR="007C7167" w:rsidRPr="00D66C82">
        <w:rPr>
          <w:rFonts w:ascii="Times New Roman" w:hAnsi="Times New Roman" w:cs="Times New Roman"/>
          <w:sz w:val="24"/>
          <w:szCs w:val="24"/>
        </w:rPr>
        <w:t xml:space="preserve">The question is: would the future UK investment protection policy be modelled on its investment treaties with third states or inspired by rules and practices of the EU? </w:t>
      </w:r>
    </w:p>
    <w:p w14:paraId="2C63644C" w14:textId="77777777" w:rsidR="00FE32D2" w:rsidRPr="00D66C82" w:rsidRDefault="00FE32D2" w:rsidP="00D66C82">
      <w:pPr>
        <w:autoSpaceDE w:val="0"/>
        <w:autoSpaceDN w:val="0"/>
        <w:adjustRightInd w:val="0"/>
        <w:spacing w:after="0"/>
        <w:jc w:val="both"/>
        <w:rPr>
          <w:rFonts w:ascii="Times New Roman" w:hAnsi="Times New Roman" w:cs="Times New Roman"/>
          <w:sz w:val="24"/>
          <w:szCs w:val="24"/>
        </w:rPr>
      </w:pPr>
    </w:p>
    <w:p w14:paraId="7C0B8528" w14:textId="77777777" w:rsidR="007C7167" w:rsidRPr="00D66C82" w:rsidRDefault="007C7167" w:rsidP="00D66C82">
      <w:pPr>
        <w:autoSpaceDE w:val="0"/>
        <w:autoSpaceDN w:val="0"/>
        <w:adjustRightInd w:val="0"/>
        <w:spacing w:after="0"/>
        <w:jc w:val="both"/>
        <w:rPr>
          <w:rFonts w:ascii="Times New Roman" w:hAnsi="Times New Roman" w:cs="Times New Roman"/>
          <w:iCs/>
          <w:sz w:val="24"/>
          <w:szCs w:val="24"/>
        </w:rPr>
      </w:pPr>
      <w:r w:rsidRPr="00D66C82">
        <w:rPr>
          <w:rFonts w:ascii="Times New Roman" w:hAnsi="Times New Roman" w:cs="Times New Roman"/>
          <w:sz w:val="24"/>
          <w:szCs w:val="24"/>
        </w:rPr>
        <w:t xml:space="preserve">One </w:t>
      </w:r>
      <w:r w:rsidR="00FE32D2" w:rsidRPr="00D66C82">
        <w:rPr>
          <w:rFonts w:ascii="Times New Roman" w:hAnsi="Times New Roman" w:cs="Times New Roman"/>
          <w:sz w:val="24"/>
          <w:szCs w:val="24"/>
        </w:rPr>
        <w:t>crucial</w:t>
      </w:r>
      <w:r w:rsidRPr="00D66C82">
        <w:rPr>
          <w:rFonts w:ascii="Times New Roman" w:hAnsi="Times New Roman" w:cs="Times New Roman"/>
          <w:sz w:val="24"/>
          <w:szCs w:val="24"/>
        </w:rPr>
        <w:t xml:space="preserve"> difference is that </w:t>
      </w:r>
      <w:r w:rsidR="00FE32D2" w:rsidRPr="00D66C82">
        <w:rPr>
          <w:rFonts w:ascii="Times New Roman" w:hAnsi="Times New Roman" w:cs="Times New Roman"/>
          <w:sz w:val="24"/>
          <w:szCs w:val="24"/>
        </w:rPr>
        <w:t xml:space="preserve">under </w:t>
      </w:r>
      <w:r w:rsidRPr="00D66C82">
        <w:rPr>
          <w:rFonts w:ascii="Times New Roman" w:hAnsi="Times New Roman" w:cs="Times New Roman"/>
          <w:sz w:val="24"/>
          <w:szCs w:val="24"/>
        </w:rPr>
        <w:t>EU</w:t>
      </w:r>
      <w:r w:rsidR="00FE32D2" w:rsidRPr="00D66C82">
        <w:rPr>
          <w:rFonts w:ascii="Times New Roman" w:hAnsi="Times New Roman" w:cs="Times New Roman"/>
          <w:sz w:val="24"/>
          <w:szCs w:val="24"/>
        </w:rPr>
        <w:t xml:space="preserve"> law</w:t>
      </w:r>
      <w:r w:rsidRPr="00D66C82">
        <w:rPr>
          <w:rFonts w:ascii="Times New Roman" w:hAnsi="Times New Roman" w:cs="Times New Roman"/>
          <w:sz w:val="24"/>
          <w:szCs w:val="24"/>
        </w:rPr>
        <w:t xml:space="preserve"> investor rights come with much more ‘policy space’ than the existing </w:t>
      </w:r>
      <w:r w:rsidR="00FE32D2" w:rsidRPr="00D66C82">
        <w:rPr>
          <w:rFonts w:ascii="Times New Roman" w:hAnsi="Times New Roman" w:cs="Times New Roman"/>
          <w:sz w:val="24"/>
          <w:szCs w:val="24"/>
        </w:rPr>
        <w:t xml:space="preserve">international </w:t>
      </w:r>
      <w:r w:rsidRPr="00D66C82">
        <w:rPr>
          <w:rFonts w:ascii="Times New Roman" w:hAnsi="Times New Roman" w:cs="Times New Roman"/>
          <w:sz w:val="24"/>
          <w:szCs w:val="24"/>
        </w:rPr>
        <w:t>investment treaties.</w:t>
      </w:r>
      <w:r w:rsidR="00FE32D2" w:rsidRPr="00D66C82">
        <w:rPr>
          <w:rStyle w:val="FootnoteReference"/>
          <w:rFonts w:ascii="Times New Roman" w:hAnsi="Times New Roman" w:cs="Times New Roman"/>
          <w:sz w:val="24"/>
          <w:szCs w:val="24"/>
        </w:rPr>
        <w:footnoteReference w:id="14"/>
      </w:r>
      <w:r w:rsidRPr="00D66C82">
        <w:rPr>
          <w:rFonts w:ascii="Times New Roman" w:hAnsi="Times New Roman" w:cs="Times New Roman"/>
          <w:sz w:val="24"/>
          <w:szCs w:val="24"/>
        </w:rPr>
        <w:t xml:space="preserve"> Consider</w:t>
      </w:r>
      <w:r w:rsidR="00FE32D2" w:rsidRPr="00D66C82">
        <w:rPr>
          <w:rFonts w:ascii="Times New Roman" w:hAnsi="Times New Roman" w:cs="Times New Roman"/>
          <w:sz w:val="24"/>
          <w:szCs w:val="24"/>
        </w:rPr>
        <w:t>,</w:t>
      </w:r>
      <w:r w:rsidRPr="00D66C82">
        <w:rPr>
          <w:rFonts w:ascii="Times New Roman" w:hAnsi="Times New Roman" w:cs="Times New Roman"/>
          <w:sz w:val="24"/>
          <w:szCs w:val="24"/>
        </w:rPr>
        <w:t xml:space="preserve"> for example the key investment treaty guarantee against uncompensated expropriation. The characteristic feature of the protection against expropriation under EU law is that proprietary rights generally do not constitute an unfettered prerogative and their scope depends on the social function of the right or freedom. As the CJEU stressed</w:t>
      </w:r>
      <w:r w:rsidR="00FE32D2" w:rsidRPr="00D66C82">
        <w:rPr>
          <w:rFonts w:ascii="Times New Roman" w:hAnsi="Times New Roman" w:cs="Times New Roman"/>
          <w:sz w:val="24"/>
          <w:szCs w:val="24"/>
        </w:rPr>
        <w:t xml:space="preserve"> in one of its judgements</w:t>
      </w:r>
      <w:r w:rsidRPr="00D66C82">
        <w:rPr>
          <w:rFonts w:ascii="Times New Roman" w:hAnsi="Times New Roman" w:cs="Times New Roman"/>
          <w:sz w:val="24"/>
          <w:szCs w:val="24"/>
        </w:rPr>
        <w:t xml:space="preserve">, </w:t>
      </w:r>
      <w:r w:rsidRPr="00D66C82">
        <w:rPr>
          <w:rFonts w:ascii="Times New Roman" w:hAnsi="Times New Roman" w:cs="Times New Roman"/>
          <w:iCs/>
          <w:sz w:val="24"/>
          <w:szCs w:val="24"/>
        </w:rPr>
        <w:t xml:space="preserve">the rules governing property protection </w:t>
      </w:r>
    </w:p>
    <w:p w14:paraId="61004FA8" w14:textId="77777777" w:rsidR="007C7167" w:rsidRPr="00D66C82" w:rsidRDefault="007C7167" w:rsidP="00D66C82">
      <w:pPr>
        <w:autoSpaceDE w:val="0"/>
        <w:autoSpaceDN w:val="0"/>
        <w:adjustRightInd w:val="0"/>
        <w:spacing w:after="0"/>
        <w:jc w:val="both"/>
        <w:rPr>
          <w:rFonts w:ascii="Times New Roman" w:hAnsi="Times New Roman" w:cs="Times New Roman"/>
          <w:iCs/>
          <w:sz w:val="24"/>
          <w:szCs w:val="24"/>
        </w:rPr>
      </w:pPr>
    </w:p>
    <w:p w14:paraId="63FCD13F" w14:textId="77777777" w:rsidR="007C7167" w:rsidRPr="00D66C82" w:rsidRDefault="007C7167" w:rsidP="00D66C82">
      <w:pPr>
        <w:autoSpaceDE w:val="0"/>
        <w:autoSpaceDN w:val="0"/>
        <w:adjustRightInd w:val="0"/>
        <w:spacing w:after="0"/>
        <w:ind w:left="1134"/>
        <w:jc w:val="both"/>
        <w:rPr>
          <w:rFonts w:ascii="Times New Roman" w:hAnsi="Times New Roman" w:cs="Times New Roman"/>
          <w:iCs/>
          <w:sz w:val="24"/>
          <w:szCs w:val="24"/>
        </w:rPr>
      </w:pPr>
      <w:r w:rsidRPr="00D66C82">
        <w:rPr>
          <w:rFonts w:ascii="Times New Roman" w:hAnsi="Times New Roman" w:cs="Times New Roman"/>
          <w:iCs/>
          <w:sz w:val="24"/>
          <w:szCs w:val="24"/>
        </w:rPr>
        <w:t>…form part of the general principles of Community law. However, those principles are not absolute but must be viewed in relation to their social function. Consequently, the exercise of the right to property and the freedom to pursue a trade or profession may be restricted, provided that any restrictions do not constitute a disproportionate and intolerable interference...</w:t>
      </w:r>
      <w:r w:rsidR="00FE32D2" w:rsidRPr="00D66C82">
        <w:rPr>
          <w:rStyle w:val="FootnoteReference"/>
          <w:rFonts w:ascii="Times New Roman" w:hAnsi="Times New Roman" w:cs="Times New Roman"/>
          <w:iCs/>
          <w:sz w:val="24"/>
          <w:szCs w:val="24"/>
        </w:rPr>
        <w:footnoteReference w:id="15"/>
      </w:r>
      <w:r w:rsidRPr="00D66C82">
        <w:rPr>
          <w:rFonts w:ascii="Times New Roman" w:hAnsi="Times New Roman" w:cs="Times New Roman"/>
          <w:iCs/>
          <w:sz w:val="24"/>
          <w:szCs w:val="24"/>
        </w:rPr>
        <w:t xml:space="preserve"> </w:t>
      </w:r>
    </w:p>
    <w:p w14:paraId="74F44955" w14:textId="77777777" w:rsidR="007C7167" w:rsidRPr="00D66C82" w:rsidRDefault="007C7167" w:rsidP="00D66C82">
      <w:pPr>
        <w:autoSpaceDE w:val="0"/>
        <w:autoSpaceDN w:val="0"/>
        <w:adjustRightInd w:val="0"/>
        <w:spacing w:after="0"/>
        <w:jc w:val="both"/>
        <w:rPr>
          <w:rFonts w:ascii="Times New Roman" w:hAnsi="Times New Roman" w:cs="Times New Roman"/>
          <w:iCs/>
          <w:sz w:val="24"/>
          <w:szCs w:val="24"/>
        </w:rPr>
      </w:pPr>
    </w:p>
    <w:p w14:paraId="1408D9F8" w14:textId="1C68DD31" w:rsidR="00D2260F" w:rsidRPr="003E34E8" w:rsidRDefault="007C7167" w:rsidP="00D2260F">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iCs/>
          <w:sz w:val="24"/>
          <w:szCs w:val="24"/>
        </w:rPr>
        <w:t xml:space="preserve">By contrast, the considerations of the margins of appreciation and proportionality are not widely endorsed by investment tribunals. </w:t>
      </w:r>
      <w:r w:rsidRPr="00D66C82">
        <w:rPr>
          <w:rFonts w:ascii="Times New Roman" w:hAnsi="Times New Roman" w:cs="Times New Roman"/>
          <w:sz w:val="24"/>
          <w:szCs w:val="24"/>
        </w:rPr>
        <w:t xml:space="preserve">As one recent tribunal suggested, investment treaty protections </w:t>
      </w:r>
      <w:r w:rsidRPr="00D66C82">
        <w:rPr>
          <w:rFonts w:ascii="Times New Roman" w:hAnsi="Times New Roman" w:cs="Times New Roman"/>
          <w:i/>
          <w:sz w:val="24"/>
          <w:szCs w:val="24"/>
        </w:rPr>
        <w:t>should not be diluted</w:t>
      </w:r>
      <w:r w:rsidRPr="00D66C82">
        <w:rPr>
          <w:rFonts w:ascii="Times New Roman" w:hAnsi="Times New Roman" w:cs="Times New Roman"/>
          <w:sz w:val="24"/>
          <w:szCs w:val="24"/>
        </w:rPr>
        <w:t xml:space="preserve"> by precisely the same notions of ‘margins of appreciation’ </w:t>
      </w:r>
      <w:r w:rsidR="00252637" w:rsidRPr="00D66C82">
        <w:rPr>
          <w:rFonts w:ascii="Times New Roman" w:hAnsi="Times New Roman" w:cs="Times New Roman"/>
          <w:sz w:val="24"/>
          <w:szCs w:val="24"/>
        </w:rPr>
        <w:t>…</w:t>
      </w:r>
      <w:r w:rsidR="00FE32D2" w:rsidRPr="00D66C82">
        <w:rPr>
          <w:rFonts w:ascii="Times New Roman" w:hAnsi="Times New Roman" w:cs="Times New Roman"/>
          <w:sz w:val="24"/>
          <w:szCs w:val="24"/>
        </w:rPr>
        <w:t>(emphasis added)</w:t>
      </w:r>
      <w:r w:rsidRPr="00D66C82">
        <w:rPr>
          <w:rFonts w:ascii="Times New Roman" w:hAnsi="Times New Roman" w:cs="Times New Roman"/>
          <w:sz w:val="24"/>
          <w:szCs w:val="24"/>
        </w:rPr>
        <w:t>.</w:t>
      </w:r>
      <w:r w:rsidR="00FE32D2" w:rsidRPr="00D66C82">
        <w:rPr>
          <w:rStyle w:val="FootnoteReference"/>
          <w:rFonts w:ascii="Times New Roman" w:hAnsi="Times New Roman" w:cs="Times New Roman"/>
          <w:sz w:val="24"/>
          <w:szCs w:val="24"/>
        </w:rPr>
        <w:footnoteReference w:id="16"/>
      </w:r>
      <w:r w:rsidR="00C343F0" w:rsidRPr="00D66C82">
        <w:rPr>
          <w:rFonts w:ascii="Times New Roman" w:hAnsi="Times New Roman" w:cs="Times New Roman"/>
          <w:sz w:val="24"/>
          <w:szCs w:val="24"/>
        </w:rPr>
        <w:t xml:space="preserve"> Investment arbitration practice </w:t>
      </w:r>
      <w:r w:rsidR="004D7574" w:rsidRPr="00D66C82">
        <w:rPr>
          <w:rFonts w:ascii="Times New Roman" w:hAnsi="Times New Roman" w:cs="Times New Roman"/>
          <w:sz w:val="24"/>
          <w:szCs w:val="24"/>
        </w:rPr>
        <w:t xml:space="preserve">has </w:t>
      </w:r>
      <w:r w:rsidR="00C343F0" w:rsidRPr="00D66C82">
        <w:rPr>
          <w:rFonts w:ascii="Times New Roman" w:hAnsi="Times New Roman" w:cs="Times New Roman"/>
          <w:sz w:val="24"/>
          <w:szCs w:val="24"/>
        </w:rPr>
        <w:t>attracted considerable criticism because expropriation provisions in investment treaties have been given a very broad interpretation.</w:t>
      </w:r>
      <w:r w:rsidR="00745172" w:rsidRPr="00D66C82">
        <w:rPr>
          <w:rFonts w:ascii="Times New Roman" w:hAnsi="Times New Roman" w:cs="Times New Roman"/>
          <w:sz w:val="24"/>
          <w:szCs w:val="24"/>
        </w:rPr>
        <w:t xml:space="preserve"> </w:t>
      </w:r>
      <w:r w:rsidR="00D2260F">
        <w:rPr>
          <w:rFonts w:ascii="Times New Roman" w:hAnsi="Times New Roman" w:cs="Times New Roman"/>
          <w:sz w:val="24"/>
          <w:szCs w:val="24"/>
        </w:rPr>
        <w:t xml:space="preserve">The well-known definition of expropriation was provided by an investment tribunal in </w:t>
      </w:r>
      <w:r w:rsidR="00D2260F" w:rsidRPr="00D2260F">
        <w:rPr>
          <w:rFonts w:ascii="Times New Roman" w:hAnsi="Times New Roman" w:cs="Times New Roman"/>
          <w:i/>
          <w:sz w:val="24"/>
          <w:szCs w:val="24"/>
        </w:rPr>
        <w:t>Metalclad v Mexico</w:t>
      </w:r>
      <w:r w:rsidR="00D2260F">
        <w:rPr>
          <w:rFonts w:ascii="Times New Roman" w:hAnsi="Times New Roman" w:cs="Times New Roman"/>
          <w:sz w:val="24"/>
          <w:szCs w:val="24"/>
        </w:rPr>
        <w:t xml:space="preserve"> which held that </w:t>
      </w:r>
      <w:r w:rsidR="00D2260F" w:rsidRPr="003E34E8">
        <w:rPr>
          <w:rFonts w:ascii="Times New Roman" w:hAnsi="Times New Roman" w:cs="Times New Roman"/>
          <w:sz w:val="24"/>
          <w:szCs w:val="24"/>
        </w:rPr>
        <w:t xml:space="preserve">the finding of expropriation </w:t>
      </w:r>
      <w:r w:rsidR="00D2260F">
        <w:rPr>
          <w:rFonts w:ascii="Times New Roman" w:hAnsi="Times New Roman" w:cs="Times New Roman"/>
          <w:sz w:val="24"/>
          <w:szCs w:val="24"/>
        </w:rPr>
        <w:t xml:space="preserve">was justified even in cases not involving the outright taking of a foreign investor’s assets. Rather, expropriation could be found </w:t>
      </w:r>
      <w:r w:rsidR="00D2260F" w:rsidRPr="003E34E8">
        <w:rPr>
          <w:rFonts w:ascii="Times New Roman" w:hAnsi="Times New Roman" w:cs="Times New Roman"/>
          <w:sz w:val="24"/>
          <w:szCs w:val="24"/>
        </w:rPr>
        <w:t xml:space="preserve">whenever the </w:t>
      </w:r>
      <w:r w:rsidR="00D2260F">
        <w:rPr>
          <w:rFonts w:ascii="Times New Roman" w:hAnsi="Times New Roman" w:cs="Times New Roman"/>
          <w:sz w:val="24"/>
          <w:szCs w:val="24"/>
        </w:rPr>
        <w:t xml:space="preserve">state </w:t>
      </w:r>
      <w:r w:rsidR="00D2260F" w:rsidRPr="003E34E8">
        <w:rPr>
          <w:rFonts w:ascii="Times New Roman" w:hAnsi="Times New Roman" w:cs="Times New Roman"/>
          <w:sz w:val="24"/>
          <w:szCs w:val="24"/>
        </w:rPr>
        <w:t>interference with the use of investment ‘has the effect of depriving the owner, in whole or in significant part, of the use or reasonably-to-be-expected economic benefit of property.’</w:t>
      </w:r>
      <w:r w:rsidR="00D2260F" w:rsidRPr="003E34E8">
        <w:rPr>
          <w:rStyle w:val="FootnoteReference"/>
          <w:rFonts w:ascii="Times New Roman" w:hAnsi="Times New Roman" w:cs="Times New Roman"/>
          <w:sz w:val="24"/>
          <w:szCs w:val="24"/>
        </w:rPr>
        <w:footnoteReference w:id="17"/>
      </w:r>
      <w:r w:rsidR="00D2260F">
        <w:rPr>
          <w:rFonts w:ascii="Times New Roman" w:hAnsi="Times New Roman" w:cs="Times New Roman"/>
          <w:sz w:val="24"/>
          <w:szCs w:val="24"/>
        </w:rPr>
        <w:t xml:space="preserve"> According to some tribunals, the fact that the allegedly </w:t>
      </w:r>
      <w:proofErr w:type="spellStart"/>
      <w:r w:rsidR="00D2260F">
        <w:rPr>
          <w:rFonts w:ascii="Times New Roman" w:hAnsi="Times New Roman" w:cs="Times New Roman"/>
          <w:sz w:val="24"/>
          <w:szCs w:val="24"/>
        </w:rPr>
        <w:t>expropriatory</w:t>
      </w:r>
      <w:proofErr w:type="spellEnd"/>
      <w:r w:rsidR="00D2260F">
        <w:rPr>
          <w:rFonts w:ascii="Times New Roman" w:hAnsi="Times New Roman" w:cs="Times New Roman"/>
          <w:sz w:val="24"/>
          <w:szCs w:val="24"/>
        </w:rPr>
        <w:t xml:space="preserve"> governmental measures were undertaken in pursuit of certain public policy objectives was irrelevant: ‘</w:t>
      </w:r>
      <w:r w:rsidR="00D2260F" w:rsidRPr="003E34E8">
        <w:rPr>
          <w:rFonts w:ascii="Times New Roman" w:eastAsia="Times New Roman" w:hAnsi="Times New Roman" w:cs="Times New Roman"/>
          <w:sz w:val="24"/>
          <w:szCs w:val="24"/>
        </w:rPr>
        <w:t>where property is expropriated, even for environmental purposes – whether domestic or international – the state’s obligation to pay compensation remains.</w:t>
      </w:r>
      <w:r w:rsidR="00D2260F">
        <w:rPr>
          <w:rFonts w:ascii="Times New Roman" w:eastAsia="Times New Roman" w:hAnsi="Times New Roman" w:cs="Times New Roman"/>
          <w:sz w:val="24"/>
          <w:szCs w:val="24"/>
        </w:rPr>
        <w:t>’</w:t>
      </w:r>
      <w:r w:rsidR="00D2260F" w:rsidRPr="003E34E8">
        <w:rPr>
          <w:rFonts w:ascii="Times New Roman" w:eastAsia="Times New Roman" w:hAnsi="Times New Roman" w:cs="Times New Roman"/>
          <w:sz w:val="24"/>
          <w:szCs w:val="24"/>
          <w:vertAlign w:val="superscript"/>
        </w:rPr>
        <w:footnoteReference w:id="18"/>
      </w:r>
    </w:p>
    <w:p w14:paraId="1B8BF3B4" w14:textId="77777777" w:rsidR="008675C3" w:rsidRDefault="008675C3" w:rsidP="00D66C82">
      <w:pPr>
        <w:autoSpaceDE w:val="0"/>
        <w:autoSpaceDN w:val="0"/>
        <w:adjustRightInd w:val="0"/>
        <w:spacing w:after="0"/>
        <w:jc w:val="both"/>
        <w:rPr>
          <w:rFonts w:ascii="Times New Roman" w:hAnsi="Times New Roman" w:cs="Times New Roman"/>
          <w:sz w:val="24"/>
          <w:szCs w:val="24"/>
        </w:rPr>
      </w:pPr>
    </w:p>
    <w:p w14:paraId="5AAE2DD9" w14:textId="1B9049FC" w:rsidR="007C7167" w:rsidRPr="00D66C82" w:rsidRDefault="00745172"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 xml:space="preserve">The </w:t>
      </w:r>
      <w:r w:rsidR="001C04F9" w:rsidRPr="00D66C82">
        <w:rPr>
          <w:rFonts w:ascii="Times New Roman" w:hAnsi="Times New Roman" w:cs="Times New Roman"/>
          <w:sz w:val="24"/>
          <w:szCs w:val="24"/>
        </w:rPr>
        <w:t xml:space="preserve">first </w:t>
      </w:r>
      <w:r w:rsidRPr="00D66C82">
        <w:rPr>
          <w:rFonts w:ascii="Times New Roman" w:hAnsi="Times New Roman" w:cs="Times New Roman"/>
          <w:sz w:val="24"/>
          <w:szCs w:val="24"/>
        </w:rPr>
        <w:t xml:space="preserve">wave of arbitration cases concerning alleged expropriation by host states of </w:t>
      </w:r>
      <w:r w:rsidR="00D2260F">
        <w:rPr>
          <w:rFonts w:ascii="Times New Roman" w:hAnsi="Times New Roman" w:cs="Times New Roman"/>
          <w:sz w:val="24"/>
          <w:szCs w:val="24"/>
        </w:rPr>
        <w:t xml:space="preserve">foreign </w:t>
      </w:r>
      <w:r w:rsidRPr="00D66C82">
        <w:rPr>
          <w:rFonts w:ascii="Times New Roman" w:hAnsi="Times New Roman" w:cs="Times New Roman"/>
          <w:sz w:val="24"/>
          <w:szCs w:val="24"/>
        </w:rPr>
        <w:t>investments</w:t>
      </w:r>
      <w:r w:rsidR="00624107" w:rsidRPr="00D66C82">
        <w:rPr>
          <w:rFonts w:ascii="Times New Roman" w:hAnsi="Times New Roman" w:cs="Times New Roman"/>
          <w:sz w:val="24"/>
          <w:szCs w:val="24"/>
        </w:rPr>
        <w:t xml:space="preserve"> prompted concerns that a broad interpretation of the already exacting expropriation standard would fetter sovereign regulatory powers and limit states’ capacity to pursue competing policies in such areas as public health and safety, environmental protection, labour standards, and human rights.</w:t>
      </w:r>
      <w:r w:rsidR="00624107" w:rsidRPr="00D66C82">
        <w:rPr>
          <w:rStyle w:val="FootnoteReference"/>
          <w:rFonts w:ascii="Times New Roman" w:hAnsi="Times New Roman" w:cs="Times New Roman"/>
          <w:sz w:val="24"/>
          <w:szCs w:val="24"/>
        </w:rPr>
        <w:footnoteReference w:id="19"/>
      </w:r>
      <w:r w:rsidR="00624107" w:rsidRPr="00D66C82">
        <w:rPr>
          <w:rFonts w:ascii="Times New Roman" w:hAnsi="Times New Roman" w:cs="Times New Roman"/>
          <w:sz w:val="24"/>
          <w:szCs w:val="24"/>
        </w:rPr>
        <w:t xml:space="preserve"> In some countries, the debate over the scope of expropriation provisions has spilled over into domestic political discourse and forced policymakers to clarify and scale back the relevant clauses in the new and revised investment treaties.</w:t>
      </w:r>
      <w:r w:rsidR="004D7574" w:rsidRPr="00D66C82">
        <w:rPr>
          <w:rStyle w:val="FootnoteReference"/>
          <w:rFonts w:ascii="Times New Roman" w:hAnsi="Times New Roman" w:cs="Times New Roman"/>
          <w:sz w:val="24"/>
          <w:szCs w:val="24"/>
        </w:rPr>
        <w:footnoteReference w:id="20"/>
      </w:r>
      <w:r w:rsidR="00624107" w:rsidRPr="00D66C82">
        <w:rPr>
          <w:rFonts w:ascii="Times New Roman" w:hAnsi="Times New Roman" w:cs="Times New Roman"/>
          <w:sz w:val="24"/>
          <w:szCs w:val="24"/>
        </w:rPr>
        <w:t xml:space="preserve"> For instance, the recent Canadian investment treaties have been modified to incorporate a provision excluding certain categories of governmental action from the scope of the otherwise absolute obligation to compensate:</w:t>
      </w:r>
    </w:p>
    <w:p w14:paraId="6721D44B" w14:textId="77777777" w:rsidR="00D2213D" w:rsidRPr="00D66C82" w:rsidRDefault="00D2213D" w:rsidP="00D66C82">
      <w:pPr>
        <w:autoSpaceDE w:val="0"/>
        <w:autoSpaceDN w:val="0"/>
        <w:adjustRightInd w:val="0"/>
        <w:spacing w:after="0"/>
        <w:jc w:val="both"/>
        <w:rPr>
          <w:rFonts w:ascii="Times New Roman" w:hAnsi="Times New Roman" w:cs="Times New Roman"/>
          <w:sz w:val="24"/>
          <w:szCs w:val="24"/>
        </w:rPr>
      </w:pPr>
    </w:p>
    <w:p w14:paraId="17DA21C2" w14:textId="77777777" w:rsidR="00D2213D" w:rsidRPr="00D66C82" w:rsidRDefault="00D2213D" w:rsidP="00D66C82">
      <w:pPr>
        <w:autoSpaceDE w:val="0"/>
        <w:autoSpaceDN w:val="0"/>
        <w:adjustRightInd w:val="0"/>
        <w:spacing w:after="0"/>
        <w:ind w:left="1134"/>
        <w:jc w:val="both"/>
        <w:rPr>
          <w:rFonts w:ascii="Times New Roman" w:hAnsi="Times New Roman" w:cs="Times New Roman"/>
          <w:sz w:val="24"/>
          <w:szCs w:val="24"/>
        </w:rPr>
      </w:pPr>
      <w:r w:rsidRPr="00D66C82">
        <w:rPr>
          <w:rFonts w:ascii="Times New Roman" w:hAnsi="Times New Roman" w:cs="Times New Roman"/>
          <w:sz w:val="24"/>
          <w:szCs w:val="24"/>
        </w:rPr>
        <w:t>Except in rare circumstances, such as when a measure or series of measures are so severe in the light of their purpose that they cannot be reasonably viewed as having been adopted and applied in good faith, non-discriminatory measures of a Contracting Party that are designed and applied to protect legitimate public welfare objectives, such as health, safety and the environment, do not constitute indirect expropriation.</w:t>
      </w:r>
      <w:r w:rsidRPr="00D66C82">
        <w:rPr>
          <w:rStyle w:val="FootnoteReference"/>
          <w:rFonts w:ascii="Times New Roman" w:hAnsi="Times New Roman" w:cs="Times New Roman"/>
          <w:sz w:val="24"/>
          <w:szCs w:val="24"/>
        </w:rPr>
        <w:footnoteReference w:id="21"/>
      </w:r>
    </w:p>
    <w:p w14:paraId="264DC128" w14:textId="77777777" w:rsidR="007C7167" w:rsidRPr="00D66C82" w:rsidRDefault="007C7167" w:rsidP="00D66C82">
      <w:pPr>
        <w:autoSpaceDE w:val="0"/>
        <w:autoSpaceDN w:val="0"/>
        <w:adjustRightInd w:val="0"/>
        <w:spacing w:after="0"/>
        <w:jc w:val="both"/>
        <w:rPr>
          <w:rFonts w:ascii="Times New Roman" w:hAnsi="Times New Roman" w:cs="Times New Roman"/>
          <w:sz w:val="24"/>
          <w:szCs w:val="24"/>
        </w:rPr>
      </w:pPr>
    </w:p>
    <w:p w14:paraId="0FF7DF6B" w14:textId="2FD71C3E" w:rsidR="007C7167" w:rsidRPr="00D66C82" w:rsidRDefault="007C7167" w:rsidP="00D66C82">
      <w:pPr>
        <w:autoSpaceDE w:val="0"/>
        <w:autoSpaceDN w:val="0"/>
        <w:adjustRightInd w:val="0"/>
        <w:spacing w:after="0"/>
        <w:jc w:val="both"/>
        <w:rPr>
          <w:rFonts w:ascii="Times New Roman" w:hAnsi="Times New Roman" w:cs="Times New Roman"/>
          <w:sz w:val="24"/>
          <w:szCs w:val="24"/>
          <w:shd w:val="clear" w:color="auto" w:fill="FFFFFF"/>
          <w:lang w:val="en-US"/>
        </w:rPr>
      </w:pPr>
      <w:r w:rsidRPr="00D66C82">
        <w:rPr>
          <w:rFonts w:ascii="Times New Roman" w:hAnsi="Times New Roman" w:cs="Times New Roman"/>
          <w:sz w:val="24"/>
          <w:szCs w:val="24"/>
        </w:rPr>
        <w:t xml:space="preserve">Another highly contentious investment treaty provision is the guarantee of </w:t>
      </w:r>
      <w:r w:rsidR="00FE32D2" w:rsidRPr="00D66C82">
        <w:rPr>
          <w:rFonts w:ascii="Times New Roman" w:hAnsi="Times New Roman" w:cs="Times New Roman"/>
          <w:sz w:val="24"/>
          <w:szCs w:val="24"/>
        </w:rPr>
        <w:t>fair and equitable treatment</w:t>
      </w:r>
      <w:r w:rsidRPr="00D66C82">
        <w:rPr>
          <w:rFonts w:ascii="Times New Roman" w:hAnsi="Times New Roman" w:cs="Times New Roman"/>
          <w:sz w:val="24"/>
          <w:szCs w:val="24"/>
        </w:rPr>
        <w:t xml:space="preserve">. Originally </w:t>
      </w:r>
      <w:r w:rsidR="00FE32D2" w:rsidRPr="00D66C82">
        <w:rPr>
          <w:rFonts w:ascii="Times New Roman" w:hAnsi="Times New Roman" w:cs="Times New Roman"/>
          <w:sz w:val="24"/>
          <w:szCs w:val="24"/>
        </w:rPr>
        <w:t xml:space="preserve">it was </w:t>
      </w:r>
      <w:r w:rsidRPr="00D66C82">
        <w:rPr>
          <w:rFonts w:ascii="Times New Roman" w:hAnsi="Times New Roman" w:cs="Times New Roman"/>
          <w:sz w:val="24"/>
          <w:szCs w:val="24"/>
        </w:rPr>
        <w:t xml:space="preserve">conceived as the politically more palatable </w:t>
      </w:r>
      <w:r w:rsidR="00FE32D2" w:rsidRPr="00D66C82">
        <w:rPr>
          <w:rFonts w:ascii="Times New Roman" w:hAnsi="Times New Roman" w:cs="Times New Roman"/>
          <w:sz w:val="24"/>
          <w:szCs w:val="24"/>
        </w:rPr>
        <w:t xml:space="preserve">semantic </w:t>
      </w:r>
      <w:r w:rsidRPr="00D66C82">
        <w:rPr>
          <w:rFonts w:ascii="Times New Roman" w:hAnsi="Times New Roman" w:cs="Times New Roman"/>
          <w:sz w:val="24"/>
          <w:szCs w:val="24"/>
        </w:rPr>
        <w:t>alternative to the</w:t>
      </w:r>
      <w:r w:rsidR="00FE32D2" w:rsidRPr="00D66C82">
        <w:rPr>
          <w:rFonts w:ascii="Times New Roman" w:hAnsi="Times New Roman" w:cs="Times New Roman"/>
          <w:sz w:val="24"/>
          <w:szCs w:val="24"/>
        </w:rPr>
        <w:t xml:space="preserve"> </w:t>
      </w:r>
      <w:r w:rsidR="00D2260F">
        <w:rPr>
          <w:rFonts w:ascii="Times New Roman" w:hAnsi="Times New Roman" w:cs="Times New Roman"/>
          <w:sz w:val="24"/>
          <w:szCs w:val="24"/>
        </w:rPr>
        <w:t xml:space="preserve">customary </w:t>
      </w:r>
      <w:r w:rsidR="00FE32D2" w:rsidRPr="00D66C82">
        <w:rPr>
          <w:rFonts w:ascii="Times New Roman" w:hAnsi="Times New Roman" w:cs="Times New Roman"/>
          <w:sz w:val="24"/>
          <w:szCs w:val="24"/>
        </w:rPr>
        <w:t>international minimum standard. The aim was to overcome the resistance and suspicion on the part of developing states towards the language of “international minimum” standard</w:t>
      </w:r>
      <w:r w:rsidR="00D134C0" w:rsidRPr="00D66C82">
        <w:rPr>
          <w:rFonts w:ascii="Times New Roman" w:hAnsi="Times New Roman" w:cs="Times New Roman"/>
          <w:sz w:val="24"/>
          <w:szCs w:val="24"/>
        </w:rPr>
        <w:t>.</w:t>
      </w:r>
      <w:r w:rsidR="00D2260F">
        <w:rPr>
          <w:rStyle w:val="FootnoteReference"/>
          <w:rFonts w:ascii="Times New Roman" w:hAnsi="Times New Roman" w:cs="Times New Roman"/>
          <w:sz w:val="24"/>
          <w:szCs w:val="24"/>
        </w:rPr>
        <w:footnoteReference w:id="22"/>
      </w:r>
      <w:r w:rsidR="00D134C0" w:rsidRPr="00D66C82">
        <w:rPr>
          <w:rFonts w:ascii="Times New Roman" w:hAnsi="Times New Roman" w:cs="Times New Roman"/>
          <w:sz w:val="24"/>
          <w:szCs w:val="24"/>
        </w:rPr>
        <w:t xml:space="preserve"> Over the time, however, the fair and equitable treatment standard outgrew the original intentions of its protagonists and </w:t>
      </w:r>
      <w:r w:rsidRPr="00D66C82">
        <w:rPr>
          <w:rFonts w:ascii="Times New Roman" w:hAnsi="Times New Roman" w:cs="Times New Roman"/>
          <w:sz w:val="24"/>
          <w:szCs w:val="24"/>
        </w:rPr>
        <w:t xml:space="preserve">came to encompass much more than customary international </w:t>
      </w:r>
      <w:r w:rsidR="00E02668" w:rsidRPr="00D66C82">
        <w:rPr>
          <w:rFonts w:ascii="Times New Roman" w:hAnsi="Times New Roman" w:cs="Times New Roman"/>
          <w:sz w:val="24"/>
          <w:szCs w:val="24"/>
        </w:rPr>
        <w:t xml:space="preserve">law </w:t>
      </w:r>
      <w:r w:rsidRPr="00D66C82">
        <w:rPr>
          <w:rFonts w:ascii="Times New Roman" w:hAnsi="Times New Roman" w:cs="Times New Roman"/>
          <w:sz w:val="24"/>
          <w:szCs w:val="24"/>
        </w:rPr>
        <w:t>guarantees</w:t>
      </w:r>
      <w:r w:rsidR="00D134C0" w:rsidRPr="00D66C82">
        <w:rPr>
          <w:rFonts w:ascii="Times New Roman" w:hAnsi="Times New Roman" w:cs="Times New Roman"/>
          <w:sz w:val="24"/>
          <w:szCs w:val="24"/>
        </w:rPr>
        <w:t>. Today, the guarantee of fair and equitable treatment is not confined to protection</w:t>
      </w:r>
      <w:r w:rsidRPr="00D66C82">
        <w:rPr>
          <w:rFonts w:ascii="Times New Roman" w:hAnsi="Times New Roman" w:cs="Times New Roman"/>
          <w:sz w:val="24"/>
          <w:szCs w:val="24"/>
        </w:rPr>
        <w:t xml:space="preserve"> against denial of justice, arbitrariness, and discrimination. Investment tribunals have construed the standard to require protecting investors from governmental misconduct that displays ‘a relatively lower degree of inappropriateness’ in comparison with the higher threshold required in establishing a violation</w:t>
      </w:r>
      <w:r w:rsidR="00D134C0" w:rsidRPr="00D66C82">
        <w:rPr>
          <w:rFonts w:ascii="Times New Roman" w:hAnsi="Times New Roman" w:cs="Times New Roman"/>
          <w:sz w:val="24"/>
          <w:szCs w:val="24"/>
        </w:rPr>
        <w:t xml:space="preserve"> of customary international law.</w:t>
      </w:r>
      <w:r w:rsidR="00D134C0" w:rsidRPr="00D66C82">
        <w:rPr>
          <w:rStyle w:val="FootnoteReference"/>
          <w:rFonts w:ascii="Times New Roman" w:hAnsi="Times New Roman" w:cs="Times New Roman"/>
          <w:sz w:val="24"/>
          <w:szCs w:val="24"/>
        </w:rPr>
        <w:footnoteReference w:id="23"/>
      </w:r>
      <w:r w:rsidRPr="00D66C82">
        <w:rPr>
          <w:rFonts w:ascii="Times New Roman" w:hAnsi="Times New Roman" w:cs="Times New Roman"/>
          <w:sz w:val="24"/>
          <w:szCs w:val="24"/>
        </w:rPr>
        <w:t xml:space="preserve"> </w:t>
      </w:r>
      <w:r w:rsidR="00D134C0" w:rsidRPr="00D66C82">
        <w:rPr>
          <w:rFonts w:ascii="Times New Roman" w:hAnsi="Times New Roman" w:cs="Times New Roman"/>
          <w:sz w:val="24"/>
          <w:szCs w:val="24"/>
        </w:rPr>
        <w:t>For instance, a</w:t>
      </w:r>
      <w:r w:rsidRPr="00D66C82">
        <w:rPr>
          <w:rFonts w:ascii="Times New Roman" w:hAnsi="Times New Roman" w:cs="Times New Roman"/>
          <w:sz w:val="24"/>
          <w:szCs w:val="24"/>
        </w:rPr>
        <w:t xml:space="preserve"> lack of transparency, predictability, consistency in governmental action</w:t>
      </w:r>
      <w:r w:rsidR="00D134C0" w:rsidRPr="00D66C82">
        <w:rPr>
          <w:rFonts w:ascii="Times New Roman" w:hAnsi="Times New Roman" w:cs="Times New Roman"/>
          <w:sz w:val="24"/>
          <w:szCs w:val="24"/>
        </w:rPr>
        <w:t xml:space="preserve"> may be found to constitute a breach of the fair and equitable treatment standard</w:t>
      </w:r>
      <w:r w:rsidRPr="00D66C82">
        <w:rPr>
          <w:rFonts w:ascii="Times New Roman" w:hAnsi="Times New Roman" w:cs="Times New Roman"/>
          <w:sz w:val="24"/>
          <w:szCs w:val="24"/>
        </w:rPr>
        <w:t xml:space="preserve">. </w:t>
      </w:r>
      <w:r w:rsidR="00D134C0" w:rsidRPr="00D66C82">
        <w:rPr>
          <w:rFonts w:ascii="Times New Roman" w:hAnsi="Times New Roman" w:cs="Times New Roman"/>
          <w:sz w:val="24"/>
          <w:szCs w:val="24"/>
        </w:rPr>
        <w:t xml:space="preserve">As one critic has put it, </w:t>
      </w:r>
      <w:r w:rsidR="00D134C0" w:rsidRPr="00D66C82">
        <w:rPr>
          <w:rFonts w:ascii="Times New Roman" w:hAnsi="Times New Roman" w:cs="Times New Roman"/>
          <w:sz w:val="24"/>
          <w:szCs w:val="24"/>
          <w:lang w:val="en-US"/>
        </w:rPr>
        <w:t>the fair and equitable treatment is not a standard but rather is ‘a description of a perfect public regulation in a perfect public world, to which all States should aspire, but very few (if any) will ever attain.’</w:t>
      </w:r>
      <w:r w:rsidR="00D134C0" w:rsidRPr="00D66C82">
        <w:rPr>
          <w:rStyle w:val="FootnoteReference"/>
          <w:rFonts w:ascii="Times New Roman" w:hAnsi="Times New Roman" w:cs="Times New Roman"/>
          <w:sz w:val="24"/>
          <w:szCs w:val="24"/>
          <w:lang w:val="en-US"/>
        </w:rPr>
        <w:footnoteReference w:id="24"/>
      </w:r>
      <w:r w:rsidR="00D134C0" w:rsidRPr="00D66C82">
        <w:rPr>
          <w:rFonts w:ascii="Times New Roman" w:hAnsi="Times New Roman" w:cs="Times New Roman"/>
          <w:sz w:val="24"/>
          <w:szCs w:val="24"/>
          <w:lang w:val="en-US"/>
        </w:rPr>
        <w:t xml:space="preserve"> </w:t>
      </w:r>
      <w:r w:rsidR="00D134C0" w:rsidRPr="00D66C82">
        <w:rPr>
          <w:rFonts w:ascii="Times New Roman" w:hAnsi="Times New Roman" w:cs="Times New Roman"/>
          <w:sz w:val="24"/>
          <w:szCs w:val="24"/>
        </w:rPr>
        <w:t>As far as</w:t>
      </w:r>
      <w:r w:rsidRPr="00D66C82">
        <w:rPr>
          <w:rFonts w:ascii="Times New Roman" w:hAnsi="Times New Roman" w:cs="Times New Roman"/>
          <w:sz w:val="24"/>
          <w:szCs w:val="24"/>
        </w:rPr>
        <w:t xml:space="preserve"> its material scope</w:t>
      </w:r>
      <w:r w:rsidR="00D134C0" w:rsidRPr="00D66C82">
        <w:rPr>
          <w:rFonts w:ascii="Times New Roman" w:hAnsi="Times New Roman" w:cs="Times New Roman"/>
          <w:sz w:val="24"/>
          <w:szCs w:val="24"/>
        </w:rPr>
        <w:t xml:space="preserve"> is concerned,</w:t>
      </w:r>
      <w:r w:rsidRPr="00D66C82">
        <w:rPr>
          <w:rFonts w:ascii="Times New Roman" w:hAnsi="Times New Roman" w:cs="Times New Roman"/>
          <w:sz w:val="24"/>
          <w:szCs w:val="24"/>
        </w:rPr>
        <w:t xml:space="preserve"> </w:t>
      </w:r>
      <w:r w:rsidR="00D134C0" w:rsidRPr="00D66C82">
        <w:rPr>
          <w:rFonts w:ascii="Times New Roman" w:hAnsi="Times New Roman" w:cs="Times New Roman"/>
          <w:sz w:val="24"/>
          <w:szCs w:val="24"/>
        </w:rPr>
        <w:t>the fair and equitable treatment</w:t>
      </w:r>
      <w:r w:rsidRPr="00D66C82">
        <w:rPr>
          <w:rFonts w:ascii="Times New Roman" w:hAnsi="Times New Roman" w:cs="Times New Roman"/>
          <w:sz w:val="24"/>
          <w:szCs w:val="24"/>
        </w:rPr>
        <w:t xml:space="preserve"> </w:t>
      </w:r>
      <w:r w:rsidR="00D134C0" w:rsidRPr="00D66C82">
        <w:rPr>
          <w:rFonts w:ascii="Times New Roman" w:hAnsi="Times New Roman" w:cs="Times New Roman"/>
          <w:sz w:val="24"/>
          <w:szCs w:val="24"/>
        </w:rPr>
        <w:t>can</w:t>
      </w:r>
      <w:r w:rsidRPr="00D66C82">
        <w:rPr>
          <w:rFonts w:ascii="Times New Roman" w:hAnsi="Times New Roman" w:cs="Times New Roman"/>
          <w:sz w:val="24"/>
          <w:szCs w:val="24"/>
        </w:rPr>
        <w:t xml:space="preserve"> </w:t>
      </w:r>
      <w:r w:rsidR="00D134C0" w:rsidRPr="00D66C82">
        <w:rPr>
          <w:rFonts w:ascii="Times New Roman" w:hAnsi="Times New Roman" w:cs="Times New Roman"/>
          <w:sz w:val="24"/>
          <w:szCs w:val="24"/>
        </w:rPr>
        <w:t>be invoke</w:t>
      </w:r>
      <w:r w:rsidR="00252637" w:rsidRPr="00D66C82">
        <w:rPr>
          <w:rFonts w:ascii="Times New Roman" w:hAnsi="Times New Roman" w:cs="Times New Roman"/>
          <w:sz w:val="24"/>
          <w:szCs w:val="24"/>
        </w:rPr>
        <w:t>d</w:t>
      </w:r>
      <w:r w:rsidR="00D134C0" w:rsidRPr="00D66C82">
        <w:rPr>
          <w:rFonts w:ascii="Times New Roman" w:hAnsi="Times New Roman" w:cs="Times New Roman"/>
          <w:sz w:val="24"/>
          <w:szCs w:val="24"/>
        </w:rPr>
        <w:t xml:space="preserve"> to challenge </w:t>
      </w:r>
      <w:r w:rsidRPr="00D66C82">
        <w:rPr>
          <w:rFonts w:ascii="Times New Roman" w:hAnsi="Times New Roman" w:cs="Times New Roman"/>
          <w:sz w:val="24"/>
          <w:szCs w:val="24"/>
        </w:rPr>
        <w:t>actions of the executive, judiciary and legislative bodies.</w:t>
      </w:r>
      <w:r w:rsidR="00507AE0" w:rsidRPr="00D66C82">
        <w:rPr>
          <w:rFonts w:ascii="Times New Roman" w:hAnsi="Times New Roman" w:cs="Times New Roman"/>
          <w:sz w:val="24"/>
          <w:szCs w:val="24"/>
        </w:rPr>
        <w:t xml:space="preserve"> The “good governance” ideals which the fair and equitable treatment has been construed to embody go beyond the classical core of administrative law practised in the UK and other Western democracies.</w:t>
      </w:r>
      <w:r w:rsidR="00507AE0" w:rsidRPr="00D66C82">
        <w:rPr>
          <w:rStyle w:val="FootnoteReference"/>
          <w:rFonts w:ascii="Times New Roman" w:hAnsi="Times New Roman" w:cs="Times New Roman"/>
          <w:sz w:val="24"/>
          <w:szCs w:val="24"/>
        </w:rPr>
        <w:footnoteReference w:id="25"/>
      </w:r>
    </w:p>
    <w:p w14:paraId="3342D514" w14:textId="77777777" w:rsidR="007C7167" w:rsidRPr="00D66C82" w:rsidRDefault="007C7167" w:rsidP="00D66C82">
      <w:pPr>
        <w:autoSpaceDE w:val="0"/>
        <w:autoSpaceDN w:val="0"/>
        <w:adjustRightInd w:val="0"/>
        <w:spacing w:after="0"/>
        <w:jc w:val="both"/>
        <w:rPr>
          <w:rFonts w:ascii="Times New Roman" w:hAnsi="Times New Roman" w:cs="Times New Roman"/>
          <w:sz w:val="24"/>
          <w:szCs w:val="24"/>
        </w:rPr>
      </w:pPr>
    </w:p>
    <w:p w14:paraId="25F52580" w14:textId="5277C392" w:rsidR="007C7167" w:rsidRPr="00D66C82" w:rsidRDefault="007C7167" w:rsidP="00D66C82">
      <w:pPr>
        <w:widowControl w:val="0"/>
        <w:spacing w:after="100" w:afterAutospacing="1"/>
        <w:jc w:val="both"/>
        <w:rPr>
          <w:rFonts w:ascii="Times New Roman" w:hAnsi="Times New Roman" w:cs="Times New Roman"/>
          <w:sz w:val="24"/>
          <w:szCs w:val="24"/>
          <w:shd w:val="clear" w:color="auto" w:fill="FFFFFF"/>
        </w:rPr>
      </w:pPr>
      <w:r w:rsidRPr="00D66C82">
        <w:rPr>
          <w:rFonts w:ascii="Times New Roman" w:hAnsi="Times New Roman" w:cs="Times New Roman"/>
          <w:sz w:val="24"/>
          <w:szCs w:val="24"/>
          <w:shd w:val="clear" w:color="auto" w:fill="FFFFFF"/>
        </w:rPr>
        <w:t xml:space="preserve">Does EU law provide a standard of protection </w:t>
      </w:r>
      <w:r w:rsidR="00D2260F">
        <w:rPr>
          <w:rFonts w:ascii="Times New Roman" w:hAnsi="Times New Roman" w:cs="Times New Roman"/>
          <w:sz w:val="24"/>
          <w:szCs w:val="24"/>
          <w:shd w:val="clear" w:color="auto" w:fill="FFFFFF"/>
        </w:rPr>
        <w:t>that would match</w:t>
      </w:r>
      <w:r w:rsidRPr="00D66C82">
        <w:rPr>
          <w:rFonts w:ascii="Times New Roman" w:hAnsi="Times New Roman" w:cs="Times New Roman"/>
          <w:sz w:val="24"/>
          <w:szCs w:val="24"/>
          <w:shd w:val="clear" w:color="auto" w:fill="FFFFFF"/>
        </w:rPr>
        <w:t xml:space="preserve"> </w:t>
      </w:r>
      <w:r w:rsidR="00D2260F">
        <w:rPr>
          <w:rFonts w:ascii="Times New Roman" w:hAnsi="Times New Roman" w:cs="Times New Roman"/>
          <w:sz w:val="24"/>
          <w:szCs w:val="24"/>
          <w:shd w:val="clear" w:color="auto" w:fill="FFFFFF"/>
        </w:rPr>
        <w:t>the fair and equitable treatment standard contained in bilateral investment agreements</w:t>
      </w:r>
      <w:r w:rsidRPr="00D66C82">
        <w:rPr>
          <w:rFonts w:ascii="Times New Roman" w:hAnsi="Times New Roman" w:cs="Times New Roman"/>
          <w:sz w:val="24"/>
          <w:szCs w:val="24"/>
          <w:shd w:val="clear" w:color="auto" w:fill="FFFFFF"/>
        </w:rPr>
        <w:t xml:space="preserve">? In </w:t>
      </w:r>
      <w:r w:rsidR="00252637" w:rsidRPr="00D66C82">
        <w:rPr>
          <w:rFonts w:ascii="Times New Roman" w:hAnsi="Times New Roman" w:cs="Times New Roman"/>
          <w:sz w:val="24"/>
          <w:szCs w:val="24"/>
          <w:shd w:val="clear" w:color="auto" w:fill="FFFFFF"/>
        </w:rPr>
        <w:t xml:space="preserve">the investment arbitration case of </w:t>
      </w:r>
      <w:r w:rsidRPr="00D66C82">
        <w:rPr>
          <w:rFonts w:ascii="Times New Roman" w:hAnsi="Times New Roman" w:cs="Times New Roman"/>
          <w:i/>
          <w:sz w:val="24"/>
          <w:szCs w:val="24"/>
          <w:shd w:val="clear" w:color="auto" w:fill="FFFFFF"/>
        </w:rPr>
        <w:t>Eastern Sugar v Slovak Republic</w:t>
      </w:r>
      <w:r w:rsidRPr="00D66C82">
        <w:rPr>
          <w:rFonts w:ascii="Times New Roman" w:hAnsi="Times New Roman" w:cs="Times New Roman"/>
          <w:sz w:val="24"/>
          <w:szCs w:val="24"/>
          <w:shd w:val="clear" w:color="auto" w:fill="FFFFFF"/>
        </w:rPr>
        <w:t xml:space="preserve">, the respondent </w:t>
      </w:r>
      <w:r w:rsidR="00D134C0" w:rsidRPr="00D66C82">
        <w:rPr>
          <w:rFonts w:ascii="Times New Roman" w:hAnsi="Times New Roman" w:cs="Times New Roman"/>
          <w:sz w:val="24"/>
          <w:szCs w:val="24"/>
          <w:shd w:val="clear" w:color="auto" w:fill="FFFFFF"/>
        </w:rPr>
        <w:t xml:space="preserve">state </w:t>
      </w:r>
      <w:r w:rsidRPr="00D66C82">
        <w:rPr>
          <w:rFonts w:ascii="Times New Roman" w:hAnsi="Times New Roman" w:cs="Times New Roman"/>
          <w:sz w:val="24"/>
          <w:szCs w:val="24"/>
          <w:shd w:val="clear" w:color="auto" w:fill="FFFFFF"/>
        </w:rPr>
        <w:t xml:space="preserve">argued that a similar protection is afforded by the guarantee of equal treatment contained in Article 18 TFEU. The tribunal, however, refused to accept such an argument, instead pointing to the absence of </w:t>
      </w:r>
      <w:r w:rsidRPr="00D66C82">
        <w:rPr>
          <w:rFonts w:ascii="Times New Roman" w:hAnsi="Times New Roman" w:cs="Times New Roman"/>
          <w:sz w:val="24"/>
          <w:szCs w:val="24"/>
        </w:rPr>
        <w:t xml:space="preserve">‘any principle of EU law that specifically forbids treatment that is not fair and equitable.’ The tribunal held that a protection similar to that offered under the </w:t>
      </w:r>
      <w:r w:rsidR="00D80CE8">
        <w:rPr>
          <w:rFonts w:ascii="Times New Roman" w:hAnsi="Times New Roman" w:cs="Times New Roman"/>
          <w:sz w:val="24"/>
          <w:szCs w:val="24"/>
        </w:rPr>
        <w:t>[fair and equitable treatment]</w:t>
      </w:r>
      <w:r w:rsidRPr="00D66C82">
        <w:rPr>
          <w:rFonts w:ascii="Times New Roman" w:hAnsi="Times New Roman" w:cs="Times New Roman"/>
          <w:sz w:val="24"/>
          <w:szCs w:val="24"/>
        </w:rPr>
        <w:t xml:space="preserve"> standard is not yet established in EU law.</w:t>
      </w:r>
      <w:r w:rsidR="00D134C0" w:rsidRPr="00D66C82">
        <w:rPr>
          <w:rStyle w:val="FootnoteReference"/>
          <w:rFonts w:ascii="Times New Roman" w:hAnsi="Times New Roman" w:cs="Times New Roman"/>
          <w:sz w:val="24"/>
          <w:szCs w:val="24"/>
        </w:rPr>
        <w:footnoteReference w:id="26"/>
      </w:r>
      <w:r w:rsidRPr="00D66C82">
        <w:rPr>
          <w:rFonts w:ascii="Times New Roman" w:hAnsi="Times New Roman" w:cs="Times New Roman"/>
          <w:sz w:val="24"/>
          <w:szCs w:val="24"/>
        </w:rPr>
        <w:t xml:space="preserve"> Indeed, i</w:t>
      </w:r>
      <w:r w:rsidRPr="00D66C82">
        <w:rPr>
          <w:rFonts w:ascii="Times New Roman" w:hAnsi="Times New Roman" w:cs="Times New Roman"/>
          <w:sz w:val="24"/>
          <w:szCs w:val="24"/>
          <w:shd w:val="clear" w:color="auto" w:fill="FFFFFF"/>
        </w:rPr>
        <w:t xml:space="preserve">t is the flexibility and </w:t>
      </w:r>
      <w:r w:rsidR="00D134C0" w:rsidRPr="00D66C82">
        <w:rPr>
          <w:rFonts w:ascii="Times New Roman" w:hAnsi="Times New Roman" w:cs="Times New Roman"/>
          <w:sz w:val="24"/>
          <w:szCs w:val="24"/>
          <w:shd w:val="clear" w:color="auto" w:fill="FFFFFF"/>
        </w:rPr>
        <w:t xml:space="preserve">uniquely </w:t>
      </w:r>
      <w:r w:rsidRPr="00D66C82">
        <w:rPr>
          <w:rFonts w:ascii="Times New Roman" w:hAnsi="Times New Roman" w:cs="Times New Roman"/>
          <w:sz w:val="24"/>
          <w:szCs w:val="24"/>
          <w:shd w:val="clear" w:color="auto" w:fill="FFFFFF"/>
        </w:rPr>
        <w:t xml:space="preserve">broad protective reach of </w:t>
      </w:r>
      <w:r w:rsidR="00D134C0" w:rsidRPr="00D66C82">
        <w:rPr>
          <w:rFonts w:ascii="Times New Roman" w:hAnsi="Times New Roman" w:cs="Times New Roman"/>
          <w:sz w:val="24"/>
          <w:szCs w:val="24"/>
          <w:shd w:val="clear" w:color="auto" w:fill="FFFFFF"/>
        </w:rPr>
        <w:t>the fair and equitable treatment standard</w:t>
      </w:r>
      <w:r w:rsidRPr="00D66C82">
        <w:rPr>
          <w:rFonts w:ascii="Times New Roman" w:hAnsi="Times New Roman" w:cs="Times New Roman"/>
          <w:sz w:val="24"/>
          <w:szCs w:val="24"/>
          <w:shd w:val="clear" w:color="auto" w:fill="FFFFFF"/>
        </w:rPr>
        <w:t xml:space="preserve"> enabling investor</w:t>
      </w:r>
      <w:r w:rsidR="00D134C0" w:rsidRPr="00D66C82">
        <w:rPr>
          <w:rFonts w:ascii="Times New Roman" w:hAnsi="Times New Roman" w:cs="Times New Roman"/>
          <w:sz w:val="24"/>
          <w:szCs w:val="24"/>
          <w:shd w:val="clear" w:color="auto" w:fill="FFFFFF"/>
        </w:rPr>
        <w:t xml:space="preserve">s to obtain a remedy in a wide </w:t>
      </w:r>
      <w:r w:rsidRPr="00D66C82">
        <w:rPr>
          <w:rFonts w:ascii="Times New Roman" w:hAnsi="Times New Roman" w:cs="Times New Roman"/>
          <w:sz w:val="24"/>
          <w:szCs w:val="24"/>
          <w:shd w:val="clear" w:color="auto" w:fill="FFFFFF"/>
        </w:rPr>
        <w:t xml:space="preserve">range of circumstances that elevates </w:t>
      </w:r>
      <w:r w:rsidR="00D134C0" w:rsidRPr="00D66C82">
        <w:rPr>
          <w:rFonts w:ascii="Times New Roman" w:hAnsi="Times New Roman" w:cs="Times New Roman"/>
          <w:sz w:val="24"/>
          <w:szCs w:val="24"/>
          <w:shd w:val="clear" w:color="auto" w:fill="FFFFFF"/>
        </w:rPr>
        <w:t>the standard well</w:t>
      </w:r>
      <w:r w:rsidRPr="00D66C82">
        <w:rPr>
          <w:rFonts w:ascii="Times New Roman" w:hAnsi="Times New Roman" w:cs="Times New Roman"/>
          <w:sz w:val="24"/>
          <w:szCs w:val="24"/>
          <w:shd w:val="clear" w:color="auto" w:fill="FFFFFF"/>
        </w:rPr>
        <w:t xml:space="preserve"> above other investment protection standards </w:t>
      </w:r>
      <w:r w:rsidR="00252637" w:rsidRPr="00D66C82">
        <w:rPr>
          <w:rFonts w:ascii="Times New Roman" w:hAnsi="Times New Roman" w:cs="Times New Roman"/>
          <w:sz w:val="24"/>
          <w:szCs w:val="24"/>
          <w:shd w:val="clear" w:color="auto" w:fill="FFFFFF"/>
        </w:rPr>
        <w:t xml:space="preserve">available to investors under </w:t>
      </w:r>
      <w:r w:rsidRPr="00D66C82">
        <w:rPr>
          <w:rFonts w:ascii="Times New Roman" w:hAnsi="Times New Roman" w:cs="Times New Roman"/>
          <w:sz w:val="24"/>
          <w:szCs w:val="24"/>
          <w:shd w:val="clear" w:color="auto" w:fill="FFFFFF"/>
        </w:rPr>
        <w:t>EU law.</w:t>
      </w:r>
      <w:r w:rsidR="00D80CE8">
        <w:rPr>
          <w:rStyle w:val="FootnoteReference"/>
          <w:rFonts w:ascii="Times New Roman" w:hAnsi="Times New Roman" w:cs="Times New Roman"/>
          <w:sz w:val="24"/>
          <w:szCs w:val="24"/>
          <w:shd w:val="clear" w:color="auto" w:fill="FFFFFF"/>
        </w:rPr>
        <w:footnoteReference w:id="27"/>
      </w:r>
      <w:r w:rsidRPr="00D66C82">
        <w:rPr>
          <w:rFonts w:ascii="Times New Roman" w:hAnsi="Times New Roman" w:cs="Times New Roman"/>
          <w:sz w:val="24"/>
          <w:szCs w:val="24"/>
          <w:shd w:val="clear" w:color="auto" w:fill="FFFFFF"/>
        </w:rPr>
        <w:t xml:space="preserve"> </w:t>
      </w:r>
    </w:p>
    <w:p w14:paraId="48AC730B" w14:textId="5FCF3A93" w:rsidR="007C7167" w:rsidRPr="00D66C82" w:rsidRDefault="00C343F0" w:rsidP="00D66C82">
      <w:pPr>
        <w:widowControl w:val="0"/>
        <w:spacing w:after="100" w:afterAutospacing="1"/>
        <w:jc w:val="both"/>
        <w:rPr>
          <w:rFonts w:ascii="Times New Roman" w:hAnsi="Times New Roman" w:cs="Times New Roman"/>
          <w:sz w:val="24"/>
          <w:szCs w:val="24"/>
          <w:shd w:val="clear" w:color="auto" w:fill="FFFFFF"/>
        </w:rPr>
      </w:pPr>
      <w:r w:rsidRPr="00D66C82">
        <w:rPr>
          <w:rFonts w:ascii="Times New Roman" w:hAnsi="Times New Roman" w:cs="Times New Roman"/>
          <w:sz w:val="24"/>
          <w:szCs w:val="24"/>
          <w:shd w:val="clear" w:color="auto" w:fill="FFFFFF"/>
        </w:rPr>
        <w:t>Last but not the least, a</w:t>
      </w:r>
      <w:r w:rsidR="007C7167" w:rsidRPr="00D66C82">
        <w:rPr>
          <w:rFonts w:ascii="Times New Roman" w:hAnsi="Times New Roman" w:cs="Times New Roman"/>
          <w:sz w:val="24"/>
          <w:szCs w:val="24"/>
          <w:shd w:val="clear" w:color="auto" w:fill="FFFFFF"/>
        </w:rPr>
        <w:t>nother</w:t>
      </w:r>
      <w:r w:rsidRPr="00D66C82">
        <w:rPr>
          <w:rFonts w:ascii="Times New Roman" w:hAnsi="Times New Roman" w:cs="Times New Roman"/>
          <w:sz w:val="24"/>
          <w:szCs w:val="24"/>
          <w:shd w:val="clear" w:color="auto" w:fill="FFFFFF"/>
        </w:rPr>
        <w:t xml:space="preserve"> potentially highly problematic</w:t>
      </w:r>
      <w:r w:rsidR="007C7167" w:rsidRPr="00D66C82">
        <w:rPr>
          <w:rFonts w:ascii="Times New Roman" w:hAnsi="Times New Roman" w:cs="Times New Roman"/>
          <w:sz w:val="24"/>
          <w:szCs w:val="24"/>
          <w:shd w:val="clear" w:color="auto" w:fill="FFFFFF"/>
        </w:rPr>
        <w:t xml:space="preserve"> provision</w:t>
      </w:r>
      <w:r w:rsidRPr="00D66C82">
        <w:rPr>
          <w:rFonts w:ascii="Times New Roman" w:hAnsi="Times New Roman" w:cs="Times New Roman"/>
          <w:sz w:val="24"/>
          <w:szCs w:val="24"/>
          <w:shd w:val="clear" w:color="auto" w:fill="FFFFFF"/>
        </w:rPr>
        <w:t xml:space="preserve"> frequently featuring in investment treaties</w:t>
      </w:r>
      <w:r w:rsidR="007C7167" w:rsidRPr="00D66C82">
        <w:rPr>
          <w:rFonts w:ascii="Times New Roman" w:hAnsi="Times New Roman" w:cs="Times New Roman"/>
          <w:sz w:val="24"/>
          <w:szCs w:val="24"/>
          <w:shd w:val="clear" w:color="auto" w:fill="FFFFFF"/>
        </w:rPr>
        <w:t xml:space="preserve"> is the so-called umbrella clause – also known as the observance of underta</w:t>
      </w:r>
      <w:r w:rsidR="00CB4C1B" w:rsidRPr="00D66C82">
        <w:rPr>
          <w:rFonts w:ascii="Times New Roman" w:hAnsi="Times New Roman" w:cs="Times New Roman"/>
          <w:sz w:val="24"/>
          <w:szCs w:val="24"/>
          <w:shd w:val="clear" w:color="auto" w:fill="FFFFFF"/>
        </w:rPr>
        <w:t>kings, sanctity of contract, or</w:t>
      </w:r>
      <w:r w:rsidR="007C7167" w:rsidRPr="00D66C82">
        <w:rPr>
          <w:rFonts w:ascii="Times New Roman" w:hAnsi="Times New Roman" w:cs="Times New Roman"/>
          <w:sz w:val="24"/>
          <w:szCs w:val="24"/>
          <w:shd w:val="clear" w:color="auto" w:fill="FFFFFF"/>
        </w:rPr>
        <w:t xml:space="preserve"> </w:t>
      </w:r>
      <w:proofErr w:type="spellStart"/>
      <w:r w:rsidR="007C7167" w:rsidRPr="00D66C82">
        <w:rPr>
          <w:rFonts w:ascii="Times New Roman" w:hAnsi="Times New Roman" w:cs="Times New Roman"/>
          <w:i/>
          <w:sz w:val="24"/>
          <w:szCs w:val="24"/>
          <w:shd w:val="clear" w:color="auto" w:fill="FFFFFF"/>
        </w:rPr>
        <w:t>pacta</w:t>
      </w:r>
      <w:proofErr w:type="spellEnd"/>
      <w:r w:rsidR="007C7167" w:rsidRPr="00D66C82">
        <w:rPr>
          <w:rFonts w:ascii="Times New Roman" w:hAnsi="Times New Roman" w:cs="Times New Roman"/>
          <w:i/>
          <w:sz w:val="24"/>
          <w:szCs w:val="24"/>
          <w:shd w:val="clear" w:color="auto" w:fill="FFFFFF"/>
        </w:rPr>
        <w:t xml:space="preserve"> </w:t>
      </w:r>
      <w:proofErr w:type="spellStart"/>
      <w:r w:rsidR="007C7167" w:rsidRPr="00D66C82">
        <w:rPr>
          <w:rFonts w:ascii="Times New Roman" w:hAnsi="Times New Roman" w:cs="Times New Roman"/>
          <w:i/>
          <w:sz w:val="24"/>
          <w:szCs w:val="24"/>
          <w:shd w:val="clear" w:color="auto" w:fill="FFFFFF"/>
        </w:rPr>
        <w:t>sunt</w:t>
      </w:r>
      <w:proofErr w:type="spellEnd"/>
      <w:r w:rsidR="007C7167" w:rsidRPr="00D66C82">
        <w:rPr>
          <w:rFonts w:ascii="Times New Roman" w:hAnsi="Times New Roman" w:cs="Times New Roman"/>
          <w:i/>
          <w:sz w:val="24"/>
          <w:szCs w:val="24"/>
          <w:shd w:val="clear" w:color="auto" w:fill="FFFFFF"/>
        </w:rPr>
        <w:t xml:space="preserve"> </w:t>
      </w:r>
      <w:proofErr w:type="spellStart"/>
      <w:r w:rsidR="007C7167" w:rsidRPr="00D66C82">
        <w:rPr>
          <w:rFonts w:ascii="Times New Roman" w:hAnsi="Times New Roman" w:cs="Times New Roman"/>
          <w:i/>
          <w:sz w:val="24"/>
          <w:szCs w:val="24"/>
          <w:shd w:val="clear" w:color="auto" w:fill="FFFFFF"/>
        </w:rPr>
        <w:t>servanda</w:t>
      </w:r>
      <w:proofErr w:type="spellEnd"/>
      <w:r w:rsidR="007C7167" w:rsidRPr="00D66C82">
        <w:rPr>
          <w:rFonts w:ascii="Times New Roman" w:hAnsi="Times New Roman" w:cs="Times New Roman"/>
          <w:sz w:val="24"/>
          <w:szCs w:val="24"/>
          <w:shd w:val="clear" w:color="auto" w:fill="FFFFFF"/>
        </w:rPr>
        <w:t xml:space="preserve"> standard.</w:t>
      </w:r>
      <w:r w:rsidR="00D80CE8">
        <w:rPr>
          <w:rStyle w:val="FootnoteReference"/>
          <w:rFonts w:ascii="Times New Roman" w:hAnsi="Times New Roman" w:cs="Times New Roman"/>
          <w:sz w:val="24"/>
          <w:szCs w:val="24"/>
          <w:shd w:val="clear" w:color="auto" w:fill="FFFFFF"/>
        </w:rPr>
        <w:footnoteReference w:id="28"/>
      </w:r>
      <w:r w:rsidR="007C7167" w:rsidRPr="00D66C82">
        <w:rPr>
          <w:rFonts w:ascii="Times New Roman" w:hAnsi="Times New Roman" w:cs="Times New Roman"/>
          <w:sz w:val="24"/>
          <w:szCs w:val="24"/>
          <w:shd w:val="clear" w:color="auto" w:fill="FFFFFF"/>
        </w:rPr>
        <w:t xml:space="preserve"> While the wording of the standard may significantly vary, a typical umbrella clause requires that each contracting party observes any obligation it may have entered into with regard to an investment of an investor of another contracting party. For instance, Article 2(2) of the 1994 UK–Estonia BIT provides that ‘[e]ach Contracting Party shall observe any obligation it may have entered into with regard to investments of nationals or companies of the other Contracting Party.’</w:t>
      </w:r>
      <w:r w:rsidR="00507AE0" w:rsidRPr="00D66C82">
        <w:rPr>
          <w:rStyle w:val="FootnoteReference"/>
          <w:rFonts w:ascii="Times New Roman" w:hAnsi="Times New Roman" w:cs="Times New Roman"/>
          <w:sz w:val="24"/>
          <w:szCs w:val="24"/>
          <w:shd w:val="clear" w:color="auto" w:fill="FFFFFF"/>
        </w:rPr>
        <w:footnoteReference w:id="29"/>
      </w:r>
      <w:r w:rsidR="007C7167" w:rsidRPr="00D66C82">
        <w:rPr>
          <w:rFonts w:ascii="Times New Roman" w:hAnsi="Times New Roman" w:cs="Times New Roman"/>
          <w:sz w:val="24"/>
          <w:szCs w:val="24"/>
          <w:shd w:val="clear" w:color="auto" w:fill="FFFFFF"/>
        </w:rPr>
        <w:t xml:space="preserve"> In its original design, the </w:t>
      </w:r>
      <w:r w:rsidR="00507AE0" w:rsidRPr="00D66C82">
        <w:rPr>
          <w:rFonts w:ascii="Times New Roman" w:hAnsi="Times New Roman" w:cs="Times New Roman"/>
          <w:sz w:val="24"/>
          <w:szCs w:val="24"/>
          <w:shd w:val="clear" w:color="auto" w:fill="FFFFFF"/>
        </w:rPr>
        <w:t>primary</w:t>
      </w:r>
      <w:r w:rsidR="007C7167" w:rsidRPr="00D66C82">
        <w:rPr>
          <w:rFonts w:ascii="Times New Roman" w:hAnsi="Times New Roman" w:cs="Times New Roman"/>
          <w:sz w:val="24"/>
          <w:szCs w:val="24"/>
          <w:shd w:val="clear" w:color="auto" w:fill="FFFFFF"/>
        </w:rPr>
        <w:t xml:space="preserve"> objective of the umbrella clause was to protect against </w:t>
      </w:r>
      <w:r w:rsidR="00507AE0" w:rsidRPr="00D66C82">
        <w:rPr>
          <w:rFonts w:ascii="Times New Roman" w:hAnsi="Times New Roman" w:cs="Times New Roman"/>
          <w:sz w:val="24"/>
          <w:szCs w:val="24"/>
          <w:shd w:val="clear" w:color="auto" w:fill="FFFFFF"/>
        </w:rPr>
        <w:t>the interference by a host state with investors’</w:t>
      </w:r>
      <w:r w:rsidR="007C7167" w:rsidRPr="00D66C82">
        <w:rPr>
          <w:rFonts w:ascii="Times New Roman" w:hAnsi="Times New Roman" w:cs="Times New Roman"/>
          <w:sz w:val="24"/>
          <w:szCs w:val="24"/>
          <w:shd w:val="clear" w:color="auto" w:fill="FFFFFF"/>
        </w:rPr>
        <w:t xml:space="preserve"> contractual rights and to ensure that the same remedy as in the case of expropriation – full compensation – was available </w:t>
      </w:r>
      <w:r w:rsidR="00507AE0" w:rsidRPr="00D66C82">
        <w:rPr>
          <w:rFonts w:ascii="Times New Roman" w:hAnsi="Times New Roman" w:cs="Times New Roman"/>
          <w:sz w:val="24"/>
          <w:szCs w:val="24"/>
          <w:shd w:val="clear" w:color="auto" w:fill="FFFFFF"/>
        </w:rPr>
        <w:t xml:space="preserve">to </w:t>
      </w:r>
      <w:r w:rsidR="00CB4C1B" w:rsidRPr="00D66C82">
        <w:rPr>
          <w:rFonts w:ascii="Times New Roman" w:hAnsi="Times New Roman" w:cs="Times New Roman"/>
          <w:sz w:val="24"/>
          <w:szCs w:val="24"/>
          <w:shd w:val="clear" w:color="auto" w:fill="FFFFFF"/>
        </w:rPr>
        <w:t xml:space="preserve">investors in the event </w:t>
      </w:r>
      <w:r w:rsidR="00507AE0" w:rsidRPr="00D66C82">
        <w:rPr>
          <w:rFonts w:ascii="Times New Roman" w:hAnsi="Times New Roman" w:cs="Times New Roman"/>
          <w:sz w:val="24"/>
          <w:szCs w:val="24"/>
          <w:shd w:val="clear" w:color="auto" w:fill="FFFFFF"/>
        </w:rPr>
        <w:t>the host government reneged on or otherwise breached its contractual</w:t>
      </w:r>
      <w:r w:rsidR="007C7167" w:rsidRPr="00D66C82">
        <w:rPr>
          <w:rFonts w:ascii="Times New Roman" w:hAnsi="Times New Roman" w:cs="Times New Roman"/>
          <w:sz w:val="24"/>
          <w:szCs w:val="24"/>
          <w:shd w:val="clear" w:color="auto" w:fill="FFFFFF"/>
        </w:rPr>
        <w:t xml:space="preserve"> </w:t>
      </w:r>
      <w:r w:rsidR="00507AE0" w:rsidRPr="00D66C82">
        <w:rPr>
          <w:rFonts w:ascii="Times New Roman" w:hAnsi="Times New Roman" w:cs="Times New Roman"/>
          <w:sz w:val="24"/>
          <w:szCs w:val="24"/>
          <w:shd w:val="clear" w:color="auto" w:fill="FFFFFF"/>
        </w:rPr>
        <w:t>promises to an investor</w:t>
      </w:r>
      <w:r w:rsidR="007C7167" w:rsidRPr="00D66C82">
        <w:rPr>
          <w:rFonts w:ascii="Times New Roman" w:hAnsi="Times New Roman" w:cs="Times New Roman"/>
          <w:sz w:val="24"/>
          <w:szCs w:val="24"/>
          <w:shd w:val="clear" w:color="auto" w:fill="FFFFFF"/>
        </w:rPr>
        <w:t>.</w:t>
      </w:r>
    </w:p>
    <w:p w14:paraId="1AC65B25" w14:textId="0A678247" w:rsidR="007C7167" w:rsidRPr="00D66C82" w:rsidRDefault="00507AE0"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shd w:val="clear" w:color="auto" w:fill="FFFFFF"/>
        </w:rPr>
        <w:t xml:space="preserve">The umbrella or sanctity of contract </w:t>
      </w:r>
      <w:r w:rsidR="00F71FA4" w:rsidRPr="00D66C82">
        <w:rPr>
          <w:rFonts w:ascii="Times New Roman" w:hAnsi="Times New Roman" w:cs="Times New Roman"/>
          <w:sz w:val="24"/>
          <w:szCs w:val="24"/>
          <w:shd w:val="clear" w:color="auto" w:fill="FFFFFF"/>
        </w:rPr>
        <w:t>clause</w:t>
      </w:r>
      <w:r w:rsidRPr="00D66C82">
        <w:rPr>
          <w:rFonts w:ascii="Times New Roman" w:hAnsi="Times New Roman" w:cs="Times New Roman"/>
          <w:sz w:val="24"/>
          <w:szCs w:val="24"/>
          <w:shd w:val="clear" w:color="auto" w:fill="FFFFFF"/>
        </w:rPr>
        <w:t xml:space="preserve"> </w:t>
      </w:r>
      <w:r w:rsidR="00CF0105">
        <w:rPr>
          <w:rFonts w:ascii="Times New Roman" w:hAnsi="Times New Roman" w:cs="Times New Roman"/>
          <w:sz w:val="24"/>
          <w:szCs w:val="24"/>
          <w:shd w:val="clear" w:color="auto" w:fill="FFFFFF"/>
        </w:rPr>
        <w:t>is likely to</w:t>
      </w:r>
      <w:r w:rsidRPr="00D66C82">
        <w:rPr>
          <w:rFonts w:ascii="Times New Roman" w:hAnsi="Times New Roman" w:cs="Times New Roman"/>
          <w:sz w:val="24"/>
          <w:szCs w:val="24"/>
          <w:shd w:val="clear" w:color="auto" w:fill="FFFFFF"/>
        </w:rPr>
        <w:t xml:space="preserve"> present a challenge to</w:t>
      </w:r>
      <w:r w:rsidR="007C7167" w:rsidRPr="00D66C82">
        <w:rPr>
          <w:rFonts w:ascii="Times New Roman" w:hAnsi="Times New Roman" w:cs="Times New Roman"/>
          <w:sz w:val="24"/>
          <w:szCs w:val="24"/>
          <w:shd w:val="clear" w:color="auto" w:fill="FFFFFF"/>
        </w:rPr>
        <w:t xml:space="preserve"> the </w:t>
      </w:r>
      <w:r w:rsidRPr="00D66C82">
        <w:rPr>
          <w:rFonts w:ascii="Times New Roman" w:hAnsi="Times New Roman" w:cs="Times New Roman"/>
          <w:sz w:val="24"/>
          <w:szCs w:val="24"/>
          <w:shd w:val="clear" w:color="auto" w:fill="FFFFFF"/>
        </w:rPr>
        <w:t>drafters of future UK investment treaties</w:t>
      </w:r>
      <w:r w:rsidR="007C7167" w:rsidRPr="00D66C82">
        <w:rPr>
          <w:rFonts w:ascii="Times New Roman" w:hAnsi="Times New Roman" w:cs="Times New Roman"/>
          <w:sz w:val="24"/>
          <w:szCs w:val="24"/>
          <w:shd w:val="clear" w:color="auto" w:fill="FFFFFF"/>
        </w:rPr>
        <w:t xml:space="preserve">. </w:t>
      </w:r>
      <w:r w:rsidR="00CB4C1B" w:rsidRPr="00D66C82">
        <w:rPr>
          <w:rFonts w:ascii="Times New Roman" w:hAnsi="Times New Roman" w:cs="Times New Roman"/>
          <w:sz w:val="24"/>
          <w:szCs w:val="24"/>
          <w:shd w:val="clear" w:color="auto" w:fill="FFFFFF"/>
        </w:rPr>
        <w:t>While</w:t>
      </w:r>
      <w:r w:rsidR="00AE5F5F">
        <w:rPr>
          <w:rFonts w:ascii="Times New Roman" w:hAnsi="Times New Roman" w:cs="Times New Roman"/>
          <w:sz w:val="24"/>
          <w:szCs w:val="24"/>
          <w:shd w:val="clear" w:color="auto" w:fill="FFFFFF"/>
        </w:rPr>
        <w:t xml:space="preserve"> many</w:t>
      </w:r>
      <w:r w:rsidR="007C7167" w:rsidRPr="00D66C82">
        <w:rPr>
          <w:rFonts w:ascii="Times New Roman" w:hAnsi="Times New Roman" w:cs="Times New Roman"/>
          <w:sz w:val="24"/>
          <w:szCs w:val="24"/>
          <w:shd w:val="clear" w:color="auto" w:fill="FFFFFF"/>
        </w:rPr>
        <w:t xml:space="preserve"> of </w:t>
      </w:r>
      <w:r w:rsidRPr="00D66C82">
        <w:rPr>
          <w:rFonts w:ascii="Times New Roman" w:hAnsi="Times New Roman" w:cs="Times New Roman"/>
          <w:sz w:val="24"/>
          <w:szCs w:val="24"/>
          <w:shd w:val="clear" w:color="auto" w:fill="FFFFFF"/>
        </w:rPr>
        <w:t>the existing UK</w:t>
      </w:r>
      <w:r w:rsidR="007C7167" w:rsidRPr="00D66C82">
        <w:rPr>
          <w:rFonts w:ascii="Times New Roman" w:hAnsi="Times New Roman" w:cs="Times New Roman"/>
          <w:sz w:val="24"/>
          <w:szCs w:val="24"/>
          <w:shd w:val="clear" w:color="auto" w:fill="FFFFFF"/>
        </w:rPr>
        <w:t xml:space="preserve"> </w:t>
      </w:r>
      <w:r w:rsidR="00F71FA4" w:rsidRPr="00D66C82">
        <w:rPr>
          <w:rFonts w:ascii="Times New Roman" w:hAnsi="Times New Roman" w:cs="Times New Roman"/>
          <w:sz w:val="24"/>
          <w:szCs w:val="24"/>
          <w:shd w:val="clear" w:color="auto" w:fill="FFFFFF"/>
        </w:rPr>
        <w:t xml:space="preserve">investment </w:t>
      </w:r>
      <w:r w:rsidR="007C7167" w:rsidRPr="00D66C82">
        <w:rPr>
          <w:rFonts w:ascii="Times New Roman" w:hAnsi="Times New Roman" w:cs="Times New Roman"/>
          <w:sz w:val="24"/>
          <w:szCs w:val="24"/>
          <w:shd w:val="clear" w:color="auto" w:fill="FFFFFF"/>
        </w:rPr>
        <w:t xml:space="preserve">treaties contain </w:t>
      </w:r>
      <w:r w:rsidRPr="00D66C82">
        <w:rPr>
          <w:rFonts w:ascii="Times New Roman" w:hAnsi="Times New Roman" w:cs="Times New Roman"/>
          <w:sz w:val="24"/>
          <w:szCs w:val="24"/>
          <w:shd w:val="clear" w:color="auto" w:fill="FFFFFF"/>
        </w:rPr>
        <w:t>the</w:t>
      </w:r>
      <w:r w:rsidR="007C7167" w:rsidRPr="00D66C82">
        <w:rPr>
          <w:rFonts w:ascii="Times New Roman" w:hAnsi="Times New Roman" w:cs="Times New Roman"/>
          <w:sz w:val="24"/>
          <w:szCs w:val="24"/>
          <w:shd w:val="clear" w:color="auto" w:fill="FFFFFF"/>
        </w:rPr>
        <w:t xml:space="preserve"> umbrella clause</w:t>
      </w:r>
      <w:r w:rsidR="00CB4C1B" w:rsidRPr="00D66C82">
        <w:rPr>
          <w:rFonts w:ascii="Times New Roman" w:hAnsi="Times New Roman" w:cs="Times New Roman"/>
          <w:sz w:val="24"/>
          <w:szCs w:val="24"/>
          <w:shd w:val="clear" w:color="auto" w:fill="FFFFFF"/>
        </w:rPr>
        <w:t xml:space="preserve">, </w:t>
      </w:r>
      <w:r w:rsidR="007C7167" w:rsidRPr="00D66C82">
        <w:rPr>
          <w:rFonts w:ascii="Times New Roman" w:hAnsi="Times New Roman" w:cs="Times New Roman"/>
          <w:sz w:val="24"/>
          <w:szCs w:val="24"/>
          <w:shd w:val="clear" w:color="auto" w:fill="FFFFFF"/>
        </w:rPr>
        <w:t xml:space="preserve">some of its </w:t>
      </w:r>
      <w:r w:rsidR="00F71FA4" w:rsidRPr="00D66C82">
        <w:rPr>
          <w:rFonts w:ascii="Times New Roman" w:hAnsi="Times New Roman" w:cs="Times New Roman"/>
          <w:sz w:val="24"/>
          <w:szCs w:val="24"/>
          <w:shd w:val="clear" w:color="auto" w:fill="FFFFFF"/>
        </w:rPr>
        <w:t xml:space="preserve">key </w:t>
      </w:r>
      <w:r w:rsidR="007C7167" w:rsidRPr="00D66C82">
        <w:rPr>
          <w:rFonts w:ascii="Times New Roman" w:hAnsi="Times New Roman" w:cs="Times New Roman"/>
          <w:sz w:val="24"/>
          <w:szCs w:val="24"/>
          <w:shd w:val="clear" w:color="auto" w:fill="FFFFFF"/>
        </w:rPr>
        <w:t xml:space="preserve">future treaty partners are emphatically against it. </w:t>
      </w:r>
      <w:r w:rsidRPr="00D66C82">
        <w:rPr>
          <w:rFonts w:ascii="Times New Roman" w:hAnsi="Times New Roman" w:cs="Times New Roman"/>
          <w:sz w:val="24"/>
          <w:szCs w:val="24"/>
          <w:shd w:val="clear" w:color="auto" w:fill="FFFFFF"/>
        </w:rPr>
        <w:t>To name some notable examples, it is by now an established practice of the US and Canada not to include umbrella protection in their ever-growing network of investment</w:t>
      </w:r>
      <w:r w:rsidR="007C7167" w:rsidRPr="00D66C82">
        <w:rPr>
          <w:rFonts w:ascii="Times New Roman" w:hAnsi="Times New Roman" w:cs="Times New Roman"/>
          <w:sz w:val="24"/>
          <w:szCs w:val="24"/>
          <w:shd w:val="clear" w:color="auto" w:fill="FFFFFF"/>
        </w:rPr>
        <w:t xml:space="preserve"> treaties</w:t>
      </w:r>
      <w:r w:rsidRPr="00D66C82">
        <w:rPr>
          <w:rFonts w:ascii="Times New Roman" w:hAnsi="Times New Roman" w:cs="Times New Roman"/>
          <w:sz w:val="24"/>
          <w:szCs w:val="24"/>
          <w:shd w:val="clear" w:color="auto" w:fill="FFFFFF"/>
        </w:rPr>
        <w:t xml:space="preserve"> with countries around the globe.</w:t>
      </w:r>
      <w:r w:rsidR="007C7167" w:rsidRPr="00D66C82">
        <w:rPr>
          <w:rFonts w:ascii="Times New Roman" w:hAnsi="Times New Roman" w:cs="Times New Roman"/>
          <w:sz w:val="24"/>
          <w:szCs w:val="24"/>
          <w:shd w:val="clear" w:color="auto" w:fill="FFFFFF"/>
        </w:rPr>
        <w:t xml:space="preserve"> In fact, the inclusion of the umbrella clause in the un</w:t>
      </w:r>
      <w:r w:rsidRPr="00D66C82">
        <w:rPr>
          <w:rFonts w:ascii="Times New Roman" w:hAnsi="Times New Roman" w:cs="Times New Roman"/>
          <w:sz w:val="24"/>
          <w:szCs w:val="24"/>
          <w:shd w:val="clear" w:color="auto" w:fill="FFFFFF"/>
        </w:rPr>
        <w:t>-</w:t>
      </w:r>
      <w:r w:rsidR="007C7167" w:rsidRPr="00D66C82">
        <w:rPr>
          <w:rFonts w:ascii="Times New Roman" w:hAnsi="Times New Roman" w:cs="Times New Roman"/>
          <w:sz w:val="24"/>
          <w:szCs w:val="24"/>
          <w:shd w:val="clear" w:color="auto" w:fill="FFFFFF"/>
        </w:rPr>
        <w:t xml:space="preserve">adopted OECD Draft Convention </w:t>
      </w:r>
      <w:r w:rsidR="00F71FA4" w:rsidRPr="00D66C82">
        <w:rPr>
          <w:rFonts w:ascii="Times New Roman" w:hAnsi="Times New Roman" w:cs="Times New Roman"/>
          <w:sz w:val="24"/>
          <w:szCs w:val="24"/>
          <w:shd w:val="clear" w:color="auto" w:fill="FFFFFF"/>
        </w:rPr>
        <w:t xml:space="preserve">in the 1960s </w:t>
      </w:r>
      <w:r w:rsidR="007C7167" w:rsidRPr="00D66C82">
        <w:rPr>
          <w:rFonts w:ascii="Times New Roman" w:hAnsi="Times New Roman" w:cs="Times New Roman"/>
          <w:sz w:val="24"/>
          <w:szCs w:val="24"/>
          <w:shd w:val="clear" w:color="auto" w:fill="FFFFFF"/>
        </w:rPr>
        <w:t>was met with opposition from the US, with</w:t>
      </w:r>
      <w:r w:rsidR="007C7167" w:rsidRPr="00D66C82">
        <w:rPr>
          <w:rFonts w:ascii="Times New Roman" w:hAnsi="Times New Roman" w:cs="Times New Roman"/>
          <w:sz w:val="24"/>
          <w:szCs w:val="24"/>
        </w:rPr>
        <w:t xml:space="preserve"> </w:t>
      </w:r>
      <w:r w:rsidRPr="00D66C82">
        <w:rPr>
          <w:rFonts w:ascii="Times New Roman" w:hAnsi="Times New Roman" w:cs="Times New Roman"/>
          <w:sz w:val="24"/>
          <w:szCs w:val="24"/>
        </w:rPr>
        <w:t xml:space="preserve">the </w:t>
      </w:r>
      <w:r w:rsidR="007C7167" w:rsidRPr="00D66C82">
        <w:rPr>
          <w:rFonts w:ascii="Times New Roman" w:hAnsi="Times New Roman" w:cs="Times New Roman"/>
          <w:sz w:val="24"/>
          <w:szCs w:val="24"/>
        </w:rPr>
        <w:t>Department of State seeing it as ‘an undesirable attempt through international law to fetter the US Government’s sovereign right of eminent domain and to bargain away its police powers.’</w:t>
      </w:r>
      <w:r w:rsidR="007C7167" w:rsidRPr="00D66C82">
        <w:rPr>
          <w:rFonts w:ascii="Times New Roman" w:hAnsi="Times New Roman" w:cs="Times New Roman"/>
          <w:sz w:val="24"/>
          <w:szCs w:val="24"/>
          <w:vertAlign w:val="superscript"/>
        </w:rPr>
        <w:footnoteReference w:id="30"/>
      </w:r>
      <w:r w:rsidR="007C7167" w:rsidRPr="00D66C82">
        <w:rPr>
          <w:rFonts w:ascii="Times New Roman" w:hAnsi="Times New Roman" w:cs="Times New Roman"/>
          <w:sz w:val="24"/>
          <w:szCs w:val="24"/>
        </w:rPr>
        <w:t xml:space="preserve"> The degree of sacrosanctity</w:t>
      </w:r>
      <w:r w:rsidR="00F71FA4" w:rsidRPr="00D66C82">
        <w:rPr>
          <w:rFonts w:ascii="Times New Roman" w:hAnsi="Times New Roman" w:cs="Times New Roman"/>
          <w:sz w:val="24"/>
          <w:szCs w:val="24"/>
        </w:rPr>
        <w:t xml:space="preserve"> which the umbrella clause affords</w:t>
      </w:r>
      <w:r w:rsidR="007C7167" w:rsidRPr="00D66C82">
        <w:rPr>
          <w:rFonts w:ascii="Times New Roman" w:hAnsi="Times New Roman" w:cs="Times New Roman"/>
          <w:sz w:val="24"/>
          <w:szCs w:val="24"/>
        </w:rPr>
        <w:t xml:space="preserve"> to an investor’s co</w:t>
      </w:r>
      <w:r w:rsidR="00F71FA4" w:rsidRPr="00D66C82">
        <w:rPr>
          <w:rFonts w:ascii="Times New Roman" w:hAnsi="Times New Roman" w:cs="Times New Roman"/>
          <w:sz w:val="24"/>
          <w:szCs w:val="24"/>
        </w:rPr>
        <w:t>ntract is largely unprecedented. It</w:t>
      </w:r>
      <w:r w:rsidR="007C7167" w:rsidRPr="00D66C82">
        <w:rPr>
          <w:rFonts w:ascii="Times New Roman" w:hAnsi="Times New Roman" w:cs="Times New Roman"/>
          <w:sz w:val="24"/>
          <w:szCs w:val="24"/>
        </w:rPr>
        <w:t xml:space="preserve"> goes beyond the advantages of international commercial arbitration and domestic adjudication in most sophisticated national legal systems</w:t>
      </w:r>
      <w:r w:rsidR="00D80CE8">
        <w:rPr>
          <w:rFonts w:ascii="Times New Roman" w:hAnsi="Times New Roman" w:cs="Times New Roman"/>
          <w:sz w:val="24"/>
          <w:szCs w:val="24"/>
        </w:rPr>
        <w:t xml:space="preserve">. </w:t>
      </w:r>
      <w:r w:rsidR="00CB4C1B" w:rsidRPr="00D66C82">
        <w:rPr>
          <w:rFonts w:ascii="Times New Roman" w:hAnsi="Times New Roman" w:cs="Times New Roman"/>
          <w:sz w:val="24"/>
          <w:szCs w:val="24"/>
        </w:rPr>
        <w:t>Opposition to the idea of sanctity of state contracts has long been a feature of English law. The traditional position has been that ‘where a contract is concluded by the UK Government and governed by English law, such a contract is always subject to future legislation the operation of which cannot be precluded by acts of the local authority or the central government.’</w:t>
      </w:r>
      <w:r w:rsidR="00CB4C1B" w:rsidRPr="00D66C82">
        <w:rPr>
          <w:rStyle w:val="FootnoteReference"/>
          <w:rFonts w:ascii="Times New Roman" w:hAnsi="Times New Roman" w:cs="Times New Roman"/>
          <w:sz w:val="24"/>
          <w:szCs w:val="24"/>
        </w:rPr>
        <w:footnoteReference w:id="31"/>
      </w:r>
    </w:p>
    <w:p w14:paraId="46A34E5E" w14:textId="77777777" w:rsidR="007C7167" w:rsidRPr="00D66C82" w:rsidRDefault="007C7167" w:rsidP="00D66C82">
      <w:pPr>
        <w:autoSpaceDE w:val="0"/>
        <w:autoSpaceDN w:val="0"/>
        <w:adjustRightInd w:val="0"/>
        <w:spacing w:after="0"/>
        <w:jc w:val="both"/>
        <w:rPr>
          <w:rFonts w:ascii="Times New Roman" w:hAnsi="Times New Roman" w:cs="Times New Roman"/>
          <w:sz w:val="24"/>
          <w:szCs w:val="24"/>
        </w:rPr>
      </w:pPr>
    </w:p>
    <w:p w14:paraId="02024145" w14:textId="1B7614CB" w:rsidR="007C7167" w:rsidRPr="00D66C82" w:rsidRDefault="00D80CE8" w:rsidP="00D66C8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Neither does EU law </w:t>
      </w:r>
      <w:r w:rsidR="007C7167" w:rsidRPr="00D66C82">
        <w:rPr>
          <w:rFonts w:ascii="Times New Roman" w:hAnsi="Times New Roman" w:cs="Times New Roman"/>
          <w:sz w:val="24"/>
          <w:szCs w:val="24"/>
        </w:rPr>
        <w:t xml:space="preserve">offer an equivalent standard whereby an individual or corporation </w:t>
      </w:r>
      <w:r>
        <w:rPr>
          <w:rFonts w:ascii="Times New Roman" w:hAnsi="Times New Roman" w:cs="Times New Roman"/>
          <w:sz w:val="24"/>
          <w:szCs w:val="24"/>
        </w:rPr>
        <w:t>would enjoy</w:t>
      </w:r>
      <w:r w:rsidR="007C7167" w:rsidRPr="00D66C82">
        <w:rPr>
          <w:rFonts w:ascii="Times New Roman" w:hAnsi="Times New Roman" w:cs="Times New Roman"/>
          <w:sz w:val="24"/>
          <w:szCs w:val="24"/>
        </w:rPr>
        <w:t xml:space="preserve"> a direct standing against the host state </w:t>
      </w:r>
      <w:r w:rsidR="00CB4C1B" w:rsidRPr="00D66C82">
        <w:rPr>
          <w:rFonts w:ascii="Times New Roman" w:hAnsi="Times New Roman" w:cs="Times New Roman"/>
          <w:sz w:val="24"/>
          <w:szCs w:val="24"/>
        </w:rPr>
        <w:t>merely</w:t>
      </w:r>
      <w:r w:rsidR="007C7167" w:rsidRPr="00D66C82">
        <w:rPr>
          <w:rFonts w:ascii="Times New Roman" w:hAnsi="Times New Roman" w:cs="Times New Roman"/>
          <w:sz w:val="24"/>
          <w:szCs w:val="24"/>
        </w:rPr>
        <w:t xml:space="preserve"> on the basis of a contractual breach. </w:t>
      </w:r>
      <w:r w:rsidR="00252637" w:rsidRPr="00D66C82">
        <w:rPr>
          <w:rFonts w:ascii="Times New Roman" w:hAnsi="Times New Roman" w:cs="Times New Roman"/>
          <w:sz w:val="24"/>
          <w:szCs w:val="24"/>
        </w:rPr>
        <w:t xml:space="preserve">Of course, </w:t>
      </w:r>
      <w:r>
        <w:rPr>
          <w:rFonts w:ascii="Times New Roman" w:hAnsi="Times New Roman" w:cs="Times New Roman"/>
          <w:sz w:val="24"/>
          <w:szCs w:val="24"/>
        </w:rPr>
        <w:t>although</w:t>
      </w:r>
      <w:r w:rsidR="007C7167" w:rsidRPr="00D66C82">
        <w:rPr>
          <w:rFonts w:ascii="Times New Roman" w:hAnsi="Times New Roman" w:cs="Times New Roman"/>
          <w:sz w:val="24"/>
          <w:szCs w:val="24"/>
        </w:rPr>
        <w:t xml:space="preserve"> a breach of contract does </w:t>
      </w:r>
      <w:r w:rsidR="007C7167" w:rsidRPr="00D66C82">
        <w:rPr>
          <w:rFonts w:ascii="Times New Roman" w:hAnsi="Times New Roman" w:cs="Times New Roman"/>
          <w:i/>
          <w:iCs/>
          <w:sz w:val="24"/>
          <w:szCs w:val="24"/>
        </w:rPr>
        <w:t xml:space="preserve">per se </w:t>
      </w:r>
      <w:r w:rsidR="007C7167" w:rsidRPr="00D66C82">
        <w:rPr>
          <w:rFonts w:ascii="Times New Roman" w:hAnsi="Times New Roman" w:cs="Times New Roman"/>
          <w:sz w:val="24"/>
          <w:szCs w:val="24"/>
        </w:rPr>
        <w:t xml:space="preserve">is insufficient to give rise to state liability in EU law, it is possible to envisage a scenario where a claim could be brought against an EU member state based on a breach of contract if the state action leading to such a breach constitutes an impediment to one of the economic freedoms, such as the free movement of goods or services. However, unlike umbrella clauses in </w:t>
      </w:r>
      <w:r w:rsidR="00835148" w:rsidRPr="00D66C82">
        <w:rPr>
          <w:rFonts w:ascii="Times New Roman" w:hAnsi="Times New Roman" w:cs="Times New Roman"/>
          <w:sz w:val="24"/>
          <w:szCs w:val="24"/>
        </w:rPr>
        <w:t>investment treaties</w:t>
      </w:r>
      <w:r w:rsidR="007C7167" w:rsidRPr="00D66C82">
        <w:rPr>
          <w:rFonts w:ascii="Times New Roman" w:hAnsi="Times New Roman" w:cs="Times New Roman"/>
          <w:sz w:val="24"/>
          <w:szCs w:val="24"/>
        </w:rPr>
        <w:t xml:space="preserve"> which grant protection to investor claims arising from </w:t>
      </w:r>
      <w:r w:rsidR="007C7167" w:rsidRPr="00D66C82">
        <w:rPr>
          <w:rFonts w:ascii="Times New Roman" w:hAnsi="Times New Roman" w:cs="Times New Roman"/>
          <w:i/>
          <w:sz w:val="24"/>
          <w:szCs w:val="24"/>
        </w:rPr>
        <w:t>any</w:t>
      </w:r>
      <w:r w:rsidR="007C7167" w:rsidRPr="00D66C82">
        <w:rPr>
          <w:rFonts w:ascii="Times New Roman" w:hAnsi="Times New Roman" w:cs="Times New Roman"/>
          <w:sz w:val="24"/>
          <w:szCs w:val="24"/>
        </w:rPr>
        <w:t xml:space="preserve"> breach of contract, the ability of an economic actors to claim redress for a contractual breach under EU law would necessitate showing something more.</w:t>
      </w:r>
      <w:r w:rsidR="007C7167" w:rsidRPr="00D66C82">
        <w:rPr>
          <w:rStyle w:val="FootnoteReference"/>
          <w:rFonts w:ascii="Times New Roman" w:hAnsi="Times New Roman" w:cs="Times New Roman"/>
          <w:sz w:val="24"/>
          <w:szCs w:val="24"/>
        </w:rPr>
        <w:footnoteReference w:id="32"/>
      </w:r>
      <w:r w:rsidR="007C7167" w:rsidRPr="00D66C82">
        <w:rPr>
          <w:rFonts w:ascii="Times New Roman" w:hAnsi="Times New Roman" w:cs="Times New Roman"/>
          <w:sz w:val="24"/>
          <w:szCs w:val="24"/>
        </w:rPr>
        <w:t xml:space="preserve"> </w:t>
      </w:r>
    </w:p>
    <w:p w14:paraId="2B8EB4BB" w14:textId="77777777" w:rsidR="007C7167" w:rsidRPr="00D66C82" w:rsidRDefault="007C7167" w:rsidP="00D66C82">
      <w:pPr>
        <w:autoSpaceDE w:val="0"/>
        <w:autoSpaceDN w:val="0"/>
        <w:adjustRightInd w:val="0"/>
        <w:spacing w:after="0"/>
        <w:jc w:val="both"/>
        <w:rPr>
          <w:rFonts w:ascii="Times New Roman" w:hAnsi="Times New Roman" w:cs="Times New Roman"/>
          <w:sz w:val="24"/>
          <w:szCs w:val="24"/>
        </w:rPr>
      </w:pPr>
    </w:p>
    <w:p w14:paraId="1CB83A69" w14:textId="6845173B" w:rsidR="007C7167" w:rsidRDefault="007C7167"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Likewise, investors in the EU could also rely on the C</w:t>
      </w:r>
      <w:r w:rsidR="00835148" w:rsidRPr="00D66C82">
        <w:rPr>
          <w:rFonts w:ascii="Times New Roman" w:hAnsi="Times New Roman" w:cs="Times New Roman"/>
          <w:sz w:val="24"/>
          <w:szCs w:val="24"/>
        </w:rPr>
        <w:t xml:space="preserve">harter of </w:t>
      </w:r>
      <w:r w:rsidRPr="00D66C82">
        <w:rPr>
          <w:rFonts w:ascii="Times New Roman" w:hAnsi="Times New Roman" w:cs="Times New Roman"/>
          <w:sz w:val="24"/>
          <w:szCs w:val="24"/>
        </w:rPr>
        <w:t>F</w:t>
      </w:r>
      <w:r w:rsidR="00835148" w:rsidRPr="00D66C82">
        <w:rPr>
          <w:rFonts w:ascii="Times New Roman" w:hAnsi="Times New Roman" w:cs="Times New Roman"/>
          <w:sz w:val="24"/>
          <w:szCs w:val="24"/>
        </w:rPr>
        <w:t xml:space="preserve">undamental </w:t>
      </w:r>
      <w:r w:rsidRPr="00D66C82">
        <w:rPr>
          <w:rFonts w:ascii="Times New Roman" w:hAnsi="Times New Roman" w:cs="Times New Roman"/>
          <w:sz w:val="24"/>
          <w:szCs w:val="24"/>
        </w:rPr>
        <w:t>R</w:t>
      </w:r>
      <w:r w:rsidR="00835148" w:rsidRPr="00D66C82">
        <w:rPr>
          <w:rFonts w:ascii="Times New Roman" w:hAnsi="Times New Roman" w:cs="Times New Roman"/>
          <w:sz w:val="24"/>
          <w:szCs w:val="24"/>
        </w:rPr>
        <w:t>ights</w:t>
      </w:r>
      <w:r w:rsidR="000E709B" w:rsidRPr="00D66C82">
        <w:rPr>
          <w:rFonts w:ascii="Times New Roman" w:hAnsi="Times New Roman" w:cs="Times New Roman"/>
          <w:sz w:val="24"/>
          <w:szCs w:val="24"/>
        </w:rPr>
        <w:t xml:space="preserve">, in particular </w:t>
      </w:r>
      <w:r w:rsidRPr="00D66C82">
        <w:rPr>
          <w:rFonts w:ascii="Times New Roman" w:hAnsi="Times New Roman" w:cs="Times New Roman"/>
          <w:sz w:val="24"/>
          <w:szCs w:val="24"/>
        </w:rPr>
        <w:t xml:space="preserve">Article 17 </w:t>
      </w:r>
      <w:r w:rsidR="00835148" w:rsidRPr="00D66C82">
        <w:rPr>
          <w:rFonts w:ascii="Times New Roman" w:hAnsi="Times New Roman" w:cs="Times New Roman"/>
          <w:sz w:val="24"/>
          <w:szCs w:val="24"/>
        </w:rPr>
        <w:t>(</w:t>
      </w:r>
      <w:r w:rsidRPr="00D66C82">
        <w:rPr>
          <w:rFonts w:ascii="Times New Roman" w:hAnsi="Times New Roman" w:cs="Times New Roman"/>
          <w:sz w:val="24"/>
          <w:szCs w:val="24"/>
        </w:rPr>
        <w:t>property rights) and Article 16 (freedom to conduct business). Yet even a curso</w:t>
      </w:r>
      <w:r w:rsidR="000E709B" w:rsidRPr="00D66C82">
        <w:rPr>
          <w:rFonts w:ascii="Times New Roman" w:hAnsi="Times New Roman" w:cs="Times New Roman"/>
          <w:sz w:val="24"/>
          <w:szCs w:val="24"/>
        </w:rPr>
        <w:t xml:space="preserve">ry overview of EU jurisprudence </w:t>
      </w:r>
      <w:r w:rsidR="00835148" w:rsidRPr="00D66C82">
        <w:rPr>
          <w:rFonts w:ascii="Times New Roman" w:hAnsi="Times New Roman" w:cs="Times New Roman"/>
          <w:sz w:val="24"/>
          <w:szCs w:val="24"/>
        </w:rPr>
        <w:t xml:space="preserve">in this area </w:t>
      </w:r>
      <w:r w:rsidRPr="00D66C82">
        <w:rPr>
          <w:rFonts w:ascii="Times New Roman" w:hAnsi="Times New Roman" w:cs="Times New Roman"/>
          <w:sz w:val="24"/>
          <w:szCs w:val="24"/>
        </w:rPr>
        <w:t>suggests that neither of these fundamental rights offers the same level of protection as umbrella clauses</w:t>
      </w:r>
      <w:r w:rsidR="00835148" w:rsidRPr="00D66C82">
        <w:rPr>
          <w:rFonts w:ascii="Times New Roman" w:hAnsi="Times New Roman" w:cs="Times New Roman"/>
          <w:sz w:val="24"/>
          <w:szCs w:val="24"/>
        </w:rPr>
        <w:t xml:space="preserve"> under investment treaties</w:t>
      </w:r>
      <w:r w:rsidRPr="00D66C82">
        <w:rPr>
          <w:rFonts w:ascii="Times New Roman" w:hAnsi="Times New Roman" w:cs="Times New Roman"/>
          <w:sz w:val="24"/>
          <w:szCs w:val="24"/>
        </w:rPr>
        <w:t xml:space="preserve">. The CJEU recently had the opportunity to interpret </w:t>
      </w:r>
      <w:r w:rsidR="00835148" w:rsidRPr="00D66C82">
        <w:rPr>
          <w:rFonts w:ascii="Times New Roman" w:hAnsi="Times New Roman" w:cs="Times New Roman"/>
          <w:sz w:val="24"/>
          <w:szCs w:val="24"/>
        </w:rPr>
        <w:t>Article</w:t>
      </w:r>
      <w:r w:rsidRPr="00D66C82">
        <w:rPr>
          <w:rFonts w:ascii="Times New Roman" w:hAnsi="Times New Roman" w:cs="Times New Roman"/>
          <w:sz w:val="24"/>
          <w:szCs w:val="24"/>
        </w:rPr>
        <w:t xml:space="preserve"> 17 in </w:t>
      </w:r>
      <w:r w:rsidRPr="00D66C82">
        <w:rPr>
          <w:rFonts w:ascii="Times New Roman" w:hAnsi="Times New Roman" w:cs="Times New Roman"/>
          <w:i/>
          <w:sz w:val="24"/>
          <w:szCs w:val="24"/>
        </w:rPr>
        <w:t>Sky Austria</w:t>
      </w:r>
      <w:r w:rsidRPr="00D66C82">
        <w:rPr>
          <w:rFonts w:ascii="Times New Roman" w:hAnsi="Times New Roman" w:cs="Times New Roman"/>
          <w:sz w:val="24"/>
          <w:szCs w:val="24"/>
        </w:rPr>
        <w:t>.</w:t>
      </w:r>
      <w:r w:rsidR="00CB4C1B" w:rsidRPr="00D66C82">
        <w:rPr>
          <w:rStyle w:val="FootnoteReference"/>
          <w:rFonts w:ascii="Times New Roman" w:hAnsi="Times New Roman" w:cs="Times New Roman"/>
          <w:sz w:val="24"/>
          <w:szCs w:val="24"/>
        </w:rPr>
        <w:footnoteReference w:id="33"/>
      </w:r>
      <w:r w:rsidRPr="00D66C82">
        <w:rPr>
          <w:rFonts w:ascii="Times New Roman" w:hAnsi="Times New Roman" w:cs="Times New Roman"/>
          <w:sz w:val="24"/>
          <w:szCs w:val="24"/>
        </w:rPr>
        <w:t xml:space="preserve"> It held that a</w:t>
      </w:r>
      <w:r w:rsidRPr="00D66C82">
        <w:rPr>
          <w:rFonts w:ascii="Times New Roman" w:eastAsia="Brill-Roman" w:hAnsi="Times New Roman" w:cs="Times New Roman"/>
          <w:sz w:val="24"/>
          <w:szCs w:val="24"/>
        </w:rPr>
        <w:t xml:space="preserve"> contractual right – even if qualifying as an asset having economic value – should not</w:t>
      </w:r>
      <w:r w:rsidR="000E709B" w:rsidRPr="00D66C82">
        <w:rPr>
          <w:rFonts w:ascii="Times New Roman" w:eastAsia="Brill-Roman" w:hAnsi="Times New Roman" w:cs="Times New Roman"/>
          <w:sz w:val="24"/>
          <w:szCs w:val="24"/>
        </w:rPr>
        <w:t xml:space="preserve"> be </w:t>
      </w:r>
      <w:r w:rsidRPr="00D66C82">
        <w:rPr>
          <w:rFonts w:ascii="Times New Roman" w:eastAsia="Brill-Roman" w:hAnsi="Times New Roman" w:cs="Times New Roman"/>
          <w:sz w:val="24"/>
          <w:szCs w:val="24"/>
        </w:rPr>
        <w:t>seen as an absolute right the interference with which would entitle the right holder to monetary redress in cases it clashes with other fundamental freedoms.</w:t>
      </w:r>
      <w:r w:rsidR="00835148" w:rsidRPr="00D66C82">
        <w:rPr>
          <w:rStyle w:val="FootnoteReference"/>
          <w:rFonts w:ascii="Times New Roman" w:eastAsia="Brill-Roman" w:hAnsi="Times New Roman" w:cs="Times New Roman"/>
          <w:sz w:val="24"/>
          <w:szCs w:val="24"/>
        </w:rPr>
        <w:footnoteReference w:id="34"/>
      </w:r>
      <w:r w:rsidRPr="00D66C82">
        <w:rPr>
          <w:rFonts w:ascii="Times New Roman" w:eastAsia="Brill-Roman" w:hAnsi="Times New Roman" w:cs="Times New Roman"/>
          <w:sz w:val="24"/>
          <w:szCs w:val="24"/>
        </w:rPr>
        <w:t xml:space="preserve"> The more restrictive stance of EU law is in stark contrast with investment treaty law where treaties containing an umbrella </w:t>
      </w:r>
      <w:r w:rsidR="00835148" w:rsidRPr="00D66C82">
        <w:rPr>
          <w:rFonts w:ascii="Times New Roman" w:hAnsi="Times New Roman" w:cs="Times New Roman"/>
          <w:sz w:val="24"/>
          <w:szCs w:val="24"/>
        </w:rPr>
        <w:t>clause</w:t>
      </w:r>
      <w:r w:rsidRPr="00D66C82">
        <w:rPr>
          <w:rFonts w:ascii="Times New Roman" w:hAnsi="Times New Roman" w:cs="Times New Roman"/>
          <w:sz w:val="24"/>
          <w:szCs w:val="24"/>
        </w:rPr>
        <w:t xml:space="preserve"> enable investors to benefit from undiluted protection of their contractually acquired entitlements.</w:t>
      </w:r>
    </w:p>
    <w:p w14:paraId="5F87ED2B" w14:textId="7CA2614F" w:rsidR="00EF5951" w:rsidRDefault="00EF5951" w:rsidP="00D66C82">
      <w:pPr>
        <w:autoSpaceDE w:val="0"/>
        <w:autoSpaceDN w:val="0"/>
        <w:adjustRightInd w:val="0"/>
        <w:spacing w:after="0"/>
        <w:jc w:val="both"/>
        <w:rPr>
          <w:rFonts w:ascii="Times New Roman" w:hAnsi="Times New Roman" w:cs="Times New Roman"/>
          <w:sz w:val="24"/>
          <w:szCs w:val="24"/>
        </w:rPr>
      </w:pPr>
    </w:p>
    <w:p w14:paraId="05A55625" w14:textId="4A1A70E7" w:rsidR="00D80CE8" w:rsidRDefault="009F6C98" w:rsidP="009F6C98">
      <w:pPr>
        <w:jc w:val="both"/>
        <w:rPr>
          <w:rFonts w:ascii="Times New Roman" w:hAnsi="Times New Roman" w:cs="Times New Roman"/>
          <w:color w:val="000000"/>
          <w:sz w:val="24"/>
          <w:szCs w:val="24"/>
          <w:shd w:val="clear" w:color="auto" w:fill="FFFFFF"/>
        </w:rPr>
      </w:pPr>
      <w:r w:rsidRPr="009F6C98">
        <w:rPr>
          <w:rFonts w:ascii="Times New Roman" w:hAnsi="Times New Roman" w:cs="Times New Roman"/>
          <w:sz w:val="24"/>
          <w:szCs w:val="24"/>
        </w:rPr>
        <w:t>Not only are the investment treaty standards described above unparalleled in EU law or, for that matter, UK law and that of developed national legal systems, but international investment treaties also grant investors the right to claim damages in cases where a host government’s action falls short of those standards.</w:t>
      </w:r>
      <w:r w:rsidR="006E49DE">
        <w:rPr>
          <w:rStyle w:val="FootnoteReference"/>
          <w:rFonts w:ascii="Times New Roman" w:hAnsi="Times New Roman" w:cs="Times New Roman"/>
          <w:sz w:val="24"/>
          <w:szCs w:val="24"/>
        </w:rPr>
        <w:footnoteReference w:id="35"/>
      </w:r>
      <w:r w:rsidRPr="009F6C98">
        <w:rPr>
          <w:rFonts w:ascii="Times New Roman" w:hAnsi="Times New Roman" w:cs="Times New Roman"/>
          <w:sz w:val="24"/>
          <w:szCs w:val="24"/>
        </w:rPr>
        <w:t xml:space="preserve"> As the recent OECD study observes,</w:t>
      </w:r>
      <w:r w:rsidRPr="009F6C98">
        <w:rPr>
          <w:rStyle w:val="FootnoteReference"/>
          <w:rFonts w:ascii="Times New Roman" w:hAnsi="Times New Roman" w:cs="Times New Roman"/>
          <w:sz w:val="24"/>
          <w:szCs w:val="24"/>
        </w:rPr>
        <w:footnoteReference w:id="36"/>
      </w:r>
      <w:r w:rsidRPr="009F6C98">
        <w:rPr>
          <w:rFonts w:ascii="Times New Roman" w:hAnsi="Times New Roman" w:cs="Times New Roman"/>
          <w:sz w:val="24"/>
          <w:szCs w:val="24"/>
        </w:rPr>
        <w:t xml:space="preserve"> the prevalence of damages in investment treaty law is </w:t>
      </w:r>
      <w:r w:rsidR="00D80CE8">
        <w:rPr>
          <w:rFonts w:ascii="Times New Roman" w:hAnsi="Times New Roman" w:cs="Times New Roman"/>
          <w:sz w:val="24"/>
          <w:szCs w:val="24"/>
        </w:rPr>
        <w:t>almost mystifying</w:t>
      </w:r>
      <w:r w:rsidRPr="009F6C98">
        <w:rPr>
          <w:rFonts w:ascii="Times New Roman" w:hAnsi="Times New Roman" w:cs="Times New Roman"/>
          <w:sz w:val="24"/>
          <w:szCs w:val="24"/>
        </w:rPr>
        <w:t>: monetary redress is rarely available to claimants challenging governmental conduct in either national legal systems and general international law (both traditionally favour non-pecuniary forms of relief). National legal systems have traditionally restricted the use monetary damages as a remedy for governmental action and even so for governmental omissions. The longstanding maxim of ‘the King can do no wrong’</w:t>
      </w:r>
      <w:r w:rsidRPr="009F6C98">
        <w:rPr>
          <w:rStyle w:val="FootnoteReference"/>
          <w:rFonts w:ascii="Times New Roman" w:hAnsi="Times New Roman" w:cs="Times New Roman"/>
          <w:sz w:val="24"/>
          <w:szCs w:val="24"/>
        </w:rPr>
        <w:footnoteReference w:id="37"/>
      </w:r>
      <w:r w:rsidRPr="009F6C98">
        <w:rPr>
          <w:rFonts w:ascii="Times New Roman" w:hAnsi="Times New Roman" w:cs="Times New Roman"/>
          <w:sz w:val="24"/>
          <w:szCs w:val="24"/>
        </w:rPr>
        <w:t xml:space="preserve"> continues to underpin legal regulation of state liability even in the UK.</w:t>
      </w:r>
      <w:r w:rsidRPr="009F6C98">
        <w:rPr>
          <w:rStyle w:val="FootnoteReference"/>
          <w:rFonts w:ascii="Times New Roman" w:hAnsi="Times New Roman" w:cs="Times New Roman"/>
          <w:sz w:val="24"/>
          <w:szCs w:val="24"/>
        </w:rPr>
        <w:footnoteReference w:id="38"/>
      </w:r>
      <w:r w:rsidRPr="009F6C98">
        <w:rPr>
          <w:rFonts w:ascii="Times New Roman" w:hAnsi="Times New Roman" w:cs="Times New Roman"/>
          <w:sz w:val="24"/>
          <w:szCs w:val="24"/>
        </w:rPr>
        <w:t xml:space="preserve"> As </w:t>
      </w:r>
      <w:r w:rsidRPr="009F6C98">
        <w:rPr>
          <w:rFonts w:ascii="Times New Roman" w:hAnsi="Times New Roman" w:cs="Times New Roman"/>
          <w:color w:val="000000"/>
          <w:sz w:val="24"/>
          <w:szCs w:val="24"/>
          <w:shd w:val="clear" w:color="auto" w:fill="FFFFFF"/>
        </w:rPr>
        <w:t>Lord Brown</w:t>
      </w:r>
      <w:r w:rsidR="00D80CE8">
        <w:rPr>
          <w:rFonts w:ascii="Times New Roman" w:hAnsi="Times New Roman" w:cs="Times New Roman"/>
          <w:color w:val="000000"/>
          <w:sz w:val="24"/>
          <w:szCs w:val="24"/>
          <w:shd w:val="clear" w:color="auto" w:fill="FFFFFF"/>
        </w:rPr>
        <w:t xml:space="preserve">e-Wilkinson cautioned, </w:t>
      </w:r>
    </w:p>
    <w:p w14:paraId="7C7C19F8" w14:textId="51A33A67" w:rsidR="00EF5951" w:rsidRDefault="009F6C98" w:rsidP="00D80CE8">
      <w:pPr>
        <w:ind w:left="720"/>
        <w:jc w:val="both"/>
        <w:rPr>
          <w:rFonts w:ascii="Times New Roman" w:hAnsi="Times New Roman" w:cs="Times New Roman"/>
          <w:sz w:val="24"/>
          <w:szCs w:val="24"/>
        </w:rPr>
      </w:pPr>
      <w:r w:rsidRPr="009F6C98">
        <w:rPr>
          <w:rFonts w:ascii="Times New Roman" w:hAnsi="Times New Roman" w:cs="Times New Roman"/>
          <w:sz w:val="24"/>
          <w:szCs w:val="24"/>
        </w:rPr>
        <w:t xml:space="preserve">it is not really in the interests of society as a whole if you spend your time concentrating on rights of individuals to damages—because that is what we are talking about, financial compensation—against public authorities who are charged with looking after society as a whole and doing their best to perform a social welfare function; the creation of ever more duties giving rise to financial compensation is actually </w:t>
      </w:r>
      <w:r w:rsidR="00D80CE8">
        <w:rPr>
          <w:rFonts w:ascii="Times New Roman" w:hAnsi="Times New Roman" w:cs="Times New Roman"/>
          <w:sz w:val="24"/>
          <w:szCs w:val="24"/>
        </w:rPr>
        <w:t>counterproductive in a society.</w:t>
      </w:r>
      <w:r w:rsidRPr="009F6C98">
        <w:rPr>
          <w:rStyle w:val="FootnoteReference"/>
          <w:rFonts w:ascii="Times New Roman" w:hAnsi="Times New Roman" w:cs="Times New Roman"/>
          <w:sz w:val="24"/>
          <w:szCs w:val="24"/>
        </w:rPr>
        <w:footnoteReference w:id="39"/>
      </w:r>
    </w:p>
    <w:p w14:paraId="345FB7B6" w14:textId="6550069C" w:rsidR="009F6C98" w:rsidRPr="009F6C98" w:rsidRDefault="00124E31" w:rsidP="009F6C98">
      <w:pPr>
        <w:jc w:val="both"/>
        <w:rPr>
          <w:rFonts w:ascii="Times New Roman" w:hAnsi="Times New Roman" w:cs="Times New Roman"/>
          <w:sz w:val="24"/>
          <w:szCs w:val="24"/>
        </w:rPr>
      </w:pPr>
      <w:r>
        <w:rPr>
          <w:rFonts w:ascii="Times New Roman" w:hAnsi="Times New Roman" w:cs="Times New Roman"/>
          <w:sz w:val="24"/>
          <w:szCs w:val="24"/>
        </w:rPr>
        <w:t>T</w:t>
      </w:r>
      <w:r w:rsidRPr="0038142B">
        <w:rPr>
          <w:rFonts w:ascii="Times New Roman" w:hAnsi="Times New Roman" w:cs="Times New Roman"/>
          <w:sz w:val="24"/>
          <w:szCs w:val="24"/>
        </w:rPr>
        <w:t xml:space="preserve">he </w:t>
      </w:r>
      <w:r>
        <w:rPr>
          <w:rFonts w:ascii="Times New Roman" w:hAnsi="Times New Roman" w:cs="Times New Roman"/>
          <w:sz w:val="24"/>
          <w:szCs w:val="24"/>
        </w:rPr>
        <w:t>recent rise</w:t>
      </w:r>
      <w:r w:rsidRPr="0038142B">
        <w:rPr>
          <w:rFonts w:ascii="Times New Roman" w:hAnsi="Times New Roman" w:cs="Times New Roman"/>
          <w:sz w:val="24"/>
          <w:szCs w:val="24"/>
        </w:rPr>
        <w:t xml:space="preserve"> in the number of investor-state arbitration cases has </w:t>
      </w:r>
      <w:r>
        <w:rPr>
          <w:rFonts w:ascii="Times New Roman" w:hAnsi="Times New Roman" w:cs="Times New Roman"/>
          <w:sz w:val="24"/>
          <w:szCs w:val="24"/>
        </w:rPr>
        <w:t>led to</w:t>
      </w:r>
      <w:r w:rsidRPr="0038142B">
        <w:rPr>
          <w:rFonts w:ascii="Times New Roman" w:hAnsi="Times New Roman" w:cs="Times New Roman"/>
          <w:sz w:val="24"/>
          <w:szCs w:val="24"/>
        </w:rPr>
        <w:t xml:space="preserve"> profound concerns about the large sums awarded to claimant investors, the high cost of the arbitration process and the budgetary implications of these losses for host states, in particular developing countries.</w:t>
      </w:r>
      <w:r w:rsidRPr="0038142B">
        <w:rPr>
          <w:rStyle w:val="FootnoteReference"/>
          <w:rFonts w:ascii="Times New Roman" w:hAnsi="Times New Roman"/>
          <w:sz w:val="24"/>
          <w:szCs w:val="24"/>
        </w:rPr>
        <w:footnoteReference w:id="40"/>
      </w:r>
      <w:r w:rsidRPr="0038142B">
        <w:rPr>
          <w:rFonts w:ascii="Times New Roman" w:hAnsi="Times New Roman" w:cs="Times New Roman"/>
          <w:sz w:val="24"/>
          <w:szCs w:val="24"/>
        </w:rPr>
        <w:t xml:space="preserve"> To comply with the arbitral awards, </w:t>
      </w:r>
      <w:r w:rsidR="006E49DE">
        <w:rPr>
          <w:rFonts w:ascii="Times New Roman" w:hAnsi="Times New Roman" w:cs="Times New Roman"/>
          <w:sz w:val="24"/>
          <w:szCs w:val="24"/>
        </w:rPr>
        <w:t>respondent states</w:t>
      </w:r>
      <w:r w:rsidRPr="0038142B">
        <w:rPr>
          <w:rFonts w:ascii="Times New Roman" w:hAnsi="Times New Roman" w:cs="Times New Roman"/>
          <w:sz w:val="24"/>
          <w:szCs w:val="24"/>
        </w:rPr>
        <w:t xml:space="preserve"> could be forced to divert the already limited funds from important socio-economic objectives, such as investment in infrastructure, education and health. Even in cases where the final award is in favour of the respondent state, </w:t>
      </w:r>
      <w:r>
        <w:rPr>
          <w:rFonts w:ascii="Times New Roman" w:hAnsi="Times New Roman" w:cs="Times New Roman"/>
          <w:sz w:val="24"/>
          <w:szCs w:val="24"/>
        </w:rPr>
        <w:t>the latter would</w:t>
      </w:r>
      <w:r w:rsidRPr="0038142B">
        <w:rPr>
          <w:rFonts w:ascii="Times New Roman" w:hAnsi="Times New Roman" w:cs="Times New Roman"/>
          <w:sz w:val="24"/>
          <w:szCs w:val="24"/>
        </w:rPr>
        <w:t xml:space="preserve"> have to </w:t>
      </w:r>
      <w:r>
        <w:rPr>
          <w:rFonts w:ascii="Times New Roman" w:hAnsi="Times New Roman" w:cs="Times New Roman"/>
          <w:sz w:val="24"/>
          <w:szCs w:val="24"/>
        </w:rPr>
        <w:t>bear</w:t>
      </w:r>
      <w:r w:rsidRPr="0038142B">
        <w:rPr>
          <w:rFonts w:ascii="Times New Roman" w:hAnsi="Times New Roman" w:cs="Times New Roman"/>
          <w:sz w:val="24"/>
          <w:szCs w:val="24"/>
        </w:rPr>
        <w:t xml:space="preserve"> significant amounts in legal expenses and the costs of the arbitral proceedings.</w:t>
      </w:r>
      <w:r w:rsidRPr="0038142B">
        <w:rPr>
          <w:rStyle w:val="FootnoteReference"/>
          <w:rFonts w:ascii="Times New Roman" w:hAnsi="Times New Roman"/>
          <w:sz w:val="24"/>
          <w:szCs w:val="24"/>
        </w:rPr>
        <w:footnoteReference w:id="41"/>
      </w:r>
      <w:r w:rsidRPr="0038142B">
        <w:rPr>
          <w:rFonts w:ascii="Times New Roman" w:hAnsi="Times New Roman" w:cs="Times New Roman"/>
          <w:sz w:val="24"/>
          <w:szCs w:val="24"/>
        </w:rPr>
        <w:t xml:space="preserve"> </w:t>
      </w:r>
      <w:r w:rsidR="00F83B48">
        <w:rPr>
          <w:rFonts w:ascii="Times New Roman" w:hAnsi="Times New Roman" w:cs="Times New Roman"/>
          <w:sz w:val="24"/>
          <w:szCs w:val="24"/>
        </w:rPr>
        <w:t xml:space="preserve">For instance, </w:t>
      </w:r>
      <w:r w:rsidR="0043769F">
        <w:rPr>
          <w:rFonts w:ascii="Times New Roman" w:hAnsi="Times New Roman" w:cs="Times New Roman"/>
          <w:sz w:val="24"/>
          <w:szCs w:val="24"/>
        </w:rPr>
        <w:t xml:space="preserve">it has been reported that </w:t>
      </w:r>
      <w:r w:rsidR="00F83B48">
        <w:rPr>
          <w:rFonts w:ascii="Times New Roman" w:hAnsi="Times New Roman" w:cs="Times New Roman"/>
          <w:sz w:val="24"/>
          <w:szCs w:val="24"/>
        </w:rPr>
        <w:t>the successful defence against the</w:t>
      </w:r>
      <w:r w:rsidR="00D80CE8">
        <w:rPr>
          <w:rFonts w:ascii="Times New Roman" w:hAnsi="Times New Roman" w:cs="Times New Roman"/>
          <w:sz w:val="24"/>
          <w:szCs w:val="24"/>
        </w:rPr>
        <w:t xml:space="preserve"> investment arbitration</w:t>
      </w:r>
      <w:r w:rsidR="00F83B48">
        <w:rPr>
          <w:rFonts w:ascii="Times New Roman" w:hAnsi="Times New Roman" w:cs="Times New Roman"/>
          <w:sz w:val="24"/>
          <w:szCs w:val="24"/>
        </w:rPr>
        <w:t xml:space="preserve"> claim </w:t>
      </w:r>
      <w:r w:rsidR="00D80CE8">
        <w:rPr>
          <w:rFonts w:ascii="Times New Roman" w:hAnsi="Times New Roman" w:cs="Times New Roman"/>
          <w:sz w:val="24"/>
          <w:szCs w:val="24"/>
        </w:rPr>
        <w:t>by Philip Morris cost Australia</w:t>
      </w:r>
      <w:r w:rsidR="00F83B48">
        <w:rPr>
          <w:rFonts w:ascii="Times New Roman" w:hAnsi="Times New Roman" w:cs="Times New Roman"/>
          <w:sz w:val="24"/>
          <w:szCs w:val="24"/>
        </w:rPr>
        <w:t xml:space="preserve"> US$35 million.</w:t>
      </w:r>
      <w:r w:rsidR="00F83B48">
        <w:rPr>
          <w:rStyle w:val="FootnoteReference"/>
          <w:rFonts w:ascii="Times New Roman" w:hAnsi="Times New Roman" w:cs="Times New Roman"/>
          <w:sz w:val="24"/>
          <w:szCs w:val="24"/>
        </w:rPr>
        <w:footnoteReference w:id="42"/>
      </w:r>
    </w:p>
    <w:p w14:paraId="59C35278" w14:textId="6C84A7F9" w:rsidR="006A4B75" w:rsidRPr="00FE20E0" w:rsidRDefault="00B11CF5" w:rsidP="00B11CF5">
      <w:pPr>
        <w:pStyle w:val="Heading1"/>
        <w:rPr>
          <w:rFonts w:ascii="Times New Roman" w:hAnsi="Times New Roman" w:cs="Times New Roman"/>
          <w:sz w:val="24"/>
          <w:szCs w:val="24"/>
        </w:rPr>
      </w:pPr>
      <w:r w:rsidRPr="00FE20E0">
        <w:rPr>
          <w:rFonts w:ascii="Times New Roman" w:hAnsi="Times New Roman" w:cs="Times New Roman"/>
          <w:color w:val="auto"/>
          <w:sz w:val="24"/>
          <w:szCs w:val="24"/>
        </w:rPr>
        <w:t xml:space="preserve">3. </w:t>
      </w:r>
      <w:r w:rsidR="006A4B75" w:rsidRPr="00FE20E0">
        <w:rPr>
          <w:rFonts w:ascii="Times New Roman" w:hAnsi="Times New Roman" w:cs="Times New Roman"/>
          <w:color w:val="auto"/>
          <w:sz w:val="24"/>
          <w:szCs w:val="24"/>
        </w:rPr>
        <w:t xml:space="preserve">Telos: </w:t>
      </w:r>
      <w:r w:rsidRPr="00FE20E0">
        <w:rPr>
          <w:rFonts w:ascii="Times New Roman" w:hAnsi="Times New Roman" w:cs="Times New Roman"/>
          <w:color w:val="auto"/>
          <w:sz w:val="24"/>
          <w:szCs w:val="24"/>
        </w:rPr>
        <w:t>Why Sign Investment T</w:t>
      </w:r>
      <w:r w:rsidR="00F83B48" w:rsidRPr="00FE20E0">
        <w:rPr>
          <w:rFonts w:ascii="Times New Roman" w:hAnsi="Times New Roman" w:cs="Times New Roman"/>
          <w:color w:val="auto"/>
          <w:sz w:val="24"/>
          <w:szCs w:val="24"/>
        </w:rPr>
        <w:t>reaties</w:t>
      </w:r>
      <w:r w:rsidR="00A260FD" w:rsidRPr="00FE20E0">
        <w:rPr>
          <w:rFonts w:ascii="Times New Roman" w:hAnsi="Times New Roman" w:cs="Times New Roman"/>
          <w:color w:val="auto"/>
          <w:sz w:val="24"/>
          <w:szCs w:val="24"/>
        </w:rPr>
        <w:t>?</w:t>
      </w:r>
    </w:p>
    <w:p w14:paraId="353FB649" w14:textId="77777777" w:rsidR="00E125DD" w:rsidRPr="00D66C82" w:rsidRDefault="00E125DD" w:rsidP="00D66C82">
      <w:pPr>
        <w:autoSpaceDE w:val="0"/>
        <w:autoSpaceDN w:val="0"/>
        <w:adjustRightInd w:val="0"/>
        <w:spacing w:after="0"/>
        <w:jc w:val="both"/>
        <w:rPr>
          <w:rFonts w:ascii="Times New Roman" w:hAnsi="Times New Roman" w:cs="Times New Roman"/>
          <w:sz w:val="24"/>
          <w:szCs w:val="24"/>
        </w:rPr>
      </w:pPr>
    </w:p>
    <w:p w14:paraId="31AEC5D5" w14:textId="77777777" w:rsidR="00E215CF" w:rsidRDefault="009F6C98" w:rsidP="00D66C8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Why </w:t>
      </w:r>
      <w:r w:rsidR="00F83B48">
        <w:rPr>
          <w:rFonts w:ascii="Times New Roman" w:hAnsi="Times New Roman" w:cs="Times New Roman"/>
          <w:sz w:val="24"/>
          <w:szCs w:val="24"/>
        </w:rPr>
        <w:t>should</w:t>
      </w:r>
      <w:r w:rsidR="00124E31">
        <w:rPr>
          <w:rFonts w:ascii="Times New Roman" w:hAnsi="Times New Roman" w:cs="Times New Roman"/>
          <w:sz w:val="24"/>
          <w:szCs w:val="24"/>
        </w:rPr>
        <w:t xml:space="preserve"> the UK sign international investment agreements that might hurt it?</w:t>
      </w:r>
      <w:r w:rsidR="00124E31">
        <w:rPr>
          <w:rStyle w:val="FootnoteReference"/>
          <w:rFonts w:ascii="Times New Roman" w:hAnsi="Times New Roman" w:cs="Times New Roman"/>
          <w:sz w:val="24"/>
          <w:szCs w:val="24"/>
        </w:rPr>
        <w:footnoteReference w:id="43"/>
      </w:r>
      <w:r w:rsidR="00124E31" w:rsidRPr="00124E31">
        <w:rPr>
          <w:rFonts w:ascii="Times New Roman" w:hAnsi="Times New Roman" w:cs="Times New Roman"/>
          <w:sz w:val="24"/>
          <w:szCs w:val="24"/>
        </w:rPr>
        <w:t xml:space="preserve"> </w:t>
      </w:r>
      <w:r w:rsidR="00F83B48">
        <w:rPr>
          <w:rFonts w:ascii="Times New Roman" w:hAnsi="Times New Roman" w:cs="Times New Roman"/>
          <w:sz w:val="24"/>
          <w:szCs w:val="24"/>
        </w:rPr>
        <w:t xml:space="preserve">Why </w:t>
      </w:r>
      <w:r w:rsidR="00F83B48" w:rsidRPr="00D66C82">
        <w:rPr>
          <w:rFonts w:ascii="Times New Roman" w:hAnsi="Times New Roman" w:cs="Times New Roman"/>
          <w:sz w:val="24"/>
          <w:szCs w:val="24"/>
        </w:rPr>
        <w:t xml:space="preserve">afford foreign investors protection that is higher than that they would enjoy under EU law and most developed national legal systems? </w:t>
      </w:r>
      <w:r w:rsidR="00124E31">
        <w:rPr>
          <w:rFonts w:ascii="Times New Roman" w:hAnsi="Times New Roman" w:cs="Times New Roman"/>
          <w:sz w:val="24"/>
          <w:szCs w:val="24"/>
        </w:rPr>
        <w:t>As the above comparative overview of the key investment protection standards under investment treaties and EU law shows, investment treaties were designed to protect investors, not to safeguard regulatory space for host governments. When examined closely, even the most recent reformed treaty models—featuring hortatory provisions such as a state’s right to regulate—continue to prioritise investment protection.</w:t>
      </w:r>
      <w:r w:rsidR="00124E31">
        <w:rPr>
          <w:rStyle w:val="FootnoteReference"/>
          <w:rFonts w:ascii="Times New Roman" w:hAnsi="Times New Roman" w:cs="Times New Roman"/>
          <w:sz w:val="24"/>
          <w:szCs w:val="24"/>
        </w:rPr>
        <w:footnoteReference w:id="44"/>
      </w:r>
      <w:r w:rsidR="00124E31">
        <w:rPr>
          <w:rFonts w:ascii="Times New Roman" w:hAnsi="Times New Roman" w:cs="Times New Roman"/>
          <w:sz w:val="24"/>
          <w:szCs w:val="24"/>
        </w:rPr>
        <w:t xml:space="preserve"> </w:t>
      </w:r>
    </w:p>
    <w:p w14:paraId="22D64450" w14:textId="77777777" w:rsidR="00E215CF" w:rsidRDefault="00E215CF" w:rsidP="00D66C82">
      <w:pPr>
        <w:autoSpaceDE w:val="0"/>
        <w:autoSpaceDN w:val="0"/>
        <w:adjustRightInd w:val="0"/>
        <w:spacing w:after="0"/>
        <w:jc w:val="both"/>
        <w:rPr>
          <w:rFonts w:ascii="Times New Roman" w:hAnsi="Times New Roman" w:cs="Times New Roman"/>
          <w:sz w:val="24"/>
          <w:szCs w:val="24"/>
        </w:rPr>
      </w:pPr>
    </w:p>
    <w:p w14:paraId="085CC9E9" w14:textId="004D1820" w:rsidR="003F2C18" w:rsidRPr="00D66C82" w:rsidRDefault="00A260FD"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While one of the key premises behind the UK’s withdrawal from the EU was to ‘take back control’, policymakers should be mindful that new and much touted investment deals are likely to entail considerable restraints upon UK sovereignty. Political discourse after the EU Referendum exposed a profound tension in how international economic agreements, including investment</w:t>
      </w:r>
      <w:r w:rsidR="003F2C18" w:rsidRPr="00D66C82">
        <w:rPr>
          <w:rFonts w:ascii="Times New Roman" w:hAnsi="Times New Roman" w:cs="Times New Roman"/>
          <w:sz w:val="24"/>
          <w:szCs w:val="24"/>
        </w:rPr>
        <w:t xml:space="preserve"> treaties, are portrayed UK. While some vi</w:t>
      </w:r>
      <w:r w:rsidRPr="00D66C82">
        <w:rPr>
          <w:rFonts w:ascii="Times New Roman" w:hAnsi="Times New Roman" w:cs="Times New Roman"/>
          <w:sz w:val="24"/>
          <w:szCs w:val="24"/>
        </w:rPr>
        <w:t xml:space="preserve">ew global deals as a crucial, if not primary, vehicle for achieving economic prosperity post-Brexit, others express deep anxieties over the impact of such agreements on the future of public health, labour rights, and the UK's regulatory sovereignty in general. </w:t>
      </w:r>
      <w:r w:rsidR="00CF0105" w:rsidRPr="00D66C82">
        <w:rPr>
          <w:rFonts w:ascii="Times New Roman" w:hAnsi="Times New Roman" w:cs="Times New Roman"/>
          <w:sz w:val="24"/>
          <w:szCs w:val="24"/>
        </w:rPr>
        <w:t>One widespread (and well-founded) charge often levelled by critics against the investment treaty regime is that by subjecting states to fa-reaching investment protection commitments and allowing foreign corporations to challenge regulatory acts of the host state, investment treaties and their investor-state arbitration mechanism represent an ‘inherent assault on democracy’ and effectively mean ‘unelected transnational corporations can dictate the policies of democratically elected governments’.</w:t>
      </w:r>
      <w:r w:rsidR="00CF0105" w:rsidRPr="00D66C82">
        <w:rPr>
          <w:rStyle w:val="FootnoteReference"/>
          <w:rFonts w:ascii="Times New Roman" w:hAnsi="Times New Roman" w:cs="Times New Roman"/>
          <w:sz w:val="24"/>
          <w:szCs w:val="24"/>
        </w:rPr>
        <w:footnoteReference w:id="45"/>
      </w:r>
      <w:r w:rsidR="00CF0105" w:rsidRPr="00D66C82">
        <w:rPr>
          <w:rFonts w:ascii="Times New Roman" w:hAnsi="Times New Roman" w:cs="Times New Roman"/>
          <w:sz w:val="24"/>
          <w:szCs w:val="24"/>
        </w:rPr>
        <w:t xml:space="preserve"> The risks associated with corporations deploying investment treaties to challenge governmental measures may dissuade legislative decision-making in such areas as environmental protection, public health and labour rights. Concerns have been voiced that the existence of investment treaties might discourage government agencies from exercising their executive powers against foreign investors whose activities fall short of national regulatory standards.</w:t>
      </w:r>
      <w:r w:rsidR="000F5945">
        <w:rPr>
          <w:rStyle w:val="FootnoteReference"/>
          <w:rFonts w:ascii="Times New Roman" w:hAnsi="Times New Roman" w:cs="Times New Roman"/>
          <w:sz w:val="24"/>
          <w:szCs w:val="24"/>
        </w:rPr>
        <w:footnoteReference w:id="46"/>
      </w:r>
      <w:r w:rsidR="00CF0105" w:rsidRPr="00D66C82">
        <w:rPr>
          <w:rFonts w:ascii="Times New Roman" w:hAnsi="Times New Roman" w:cs="Times New Roman"/>
          <w:sz w:val="24"/>
          <w:szCs w:val="24"/>
        </w:rPr>
        <w:t xml:space="preserve"> Examples of such ‘chilling’ effect of investment treaties on the exercise of regulatory powers by host states include the New Zealand government which chose to delay the introduction of a new po</w:t>
      </w:r>
      <w:r w:rsidR="00AE5F5F">
        <w:rPr>
          <w:rFonts w:ascii="Times New Roman" w:hAnsi="Times New Roman" w:cs="Times New Roman"/>
          <w:sz w:val="24"/>
          <w:szCs w:val="24"/>
        </w:rPr>
        <w:t>licy on tobacco plain-packaging</w:t>
      </w:r>
      <w:r w:rsidR="00CF0105" w:rsidRPr="00D66C82">
        <w:rPr>
          <w:rFonts w:ascii="Times New Roman" w:hAnsi="Times New Roman" w:cs="Times New Roman"/>
          <w:sz w:val="24"/>
          <w:szCs w:val="24"/>
        </w:rPr>
        <w:t xml:space="preserve"> in light of the then ongoing investment arbitration dispute whereby </w:t>
      </w:r>
      <w:r w:rsidR="00CF0105" w:rsidRPr="00D66C82">
        <w:rPr>
          <w:rFonts w:ascii="Times New Roman" w:hAnsi="Times New Roman" w:cs="Times New Roman"/>
          <w:iCs/>
          <w:sz w:val="24"/>
          <w:szCs w:val="24"/>
        </w:rPr>
        <w:t>Philip Morris challenged the plain tobacco packaging laws of Australia</w:t>
      </w:r>
      <w:r w:rsidR="00CF0105" w:rsidRPr="00D66C82">
        <w:rPr>
          <w:rFonts w:ascii="Times New Roman" w:hAnsi="Times New Roman" w:cs="Times New Roman"/>
          <w:sz w:val="24"/>
          <w:szCs w:val="24"/>
        </w:rPr>
        <w:t>.</w:t>
      </w:r>
      <w:r w:rsidR="00CF0105" w:rsidRPr="00D66C82">
        <w:rPr>
          <w:rStyle w:val="FootnoteReference"/>
          <w:rFonts w:ascii="Times New Roman" w:hAnsi="Times New Roman" w:cs="Times New Roman"/>
          <w:sz w:val="24"/>
          <w:szCs w:val="24"/>
        </w:rPr>
        <w:footnoteReference w:id="47"/>
      </w:r>
    </w:p>
    <w:p w14:paraId="15588AB4" w14:textId="77777777" w:rsidR="003F2C18" w:rsidRPr="00D66C82" w:rsidRDefault="003F2C18" w:rsidP="00D66C82">
      <w:pPr>
        <w:autoSpaceDE w:val="0"/>
        <w:autoSpaceDN w:val="0"/>
        <w:adjustRightInd w:val="0"/>
        <w:spacing w:after="0"/>
        <w:jc w:val="both"/>
        <w:rPr>
          <w:rFonts w:ascii="Times New Roman" w:hAnsi="Times New Roman" w:cs="Times New Roman"/>
          <w:sz w:val="24"/>
          <w:szCs w:val="24"/>
        </w:rPr>
      </w:pPr>
    </w:p>
    <w:p w14:paraId="77DF86FE" w14:textId="451335B3" w:rsidR="00107EAB" w:rsidRDefault="003F2C18"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Prior to the EU Referendum, the risks of exposure to corporate claims under investment treaties was somewhat limited, firstly because EU law—as discussed above—regulated investor-state relations within the EU in a manner that safeguarded policy space and did not elevate investor rights into absolute guarantees. Furthermore, most of the UK investment treaties outside the EU were signed with developing c</w:t>
      </w:r>
      <w:r w:rsidR="00D80CE8">
        <w:rPr>
          <w:rFonts w:ascii="Times New Roman" w:hAnsi="Times New Roman" w:cs="Times New Roman"/>
          <w:sz w:val="24"/>
          <w:szCs w:val="24"/>
        </w:rPr>
        <w:t xml:space="preserve">ountries and this, </w:t>
      </w:r>
      <w:r w:rsidRPr="00D66C82">
        <w:rPr>
          <w:rFonts w:ascii="Times New Roman" w:hAnsi="Times New Roman" w:cs="Times New Roman"/>
          <w:sz w:val="24"/>
          <w:szCs w:val="24"/>
        </w:rPr>
        <w:t>what one m</w:t>
      </w:r>
      <w:r w:rsidR="00D80CE8">
        <w:rPr>
          <w:rFonts w:ascii="Times New Roman" w:hAnsi="Times New Roman" w:cs="Times New Roman"/>
          <w:sz w:val="24"/>
          <w:szCs w:val="24"/>
        </w:rPr>
        <w:t xml:space="preserve">ight </w:t>
      </w:r>
      <w:r w:rsidRPr="00D66C82">
        <w:rPr>
          <w:rFonts w:ascii="Times New Roman" w:hAnsi="Times New Roman" w:cs="Times New Roman"/>
          <w:sz w:val="24"/>
          <w:szCs w:val="24"/>
        </w:rPr>
        <w:t>argue</w:t>
      </w:r>
      <w:r w:rsidR="00D80CE8">
        <w:rPr>
          <w:rFonts w:ascii="Times New Roman" w:hAnsi="Times New Roman" w:cs="Times New Roman"/>
          <w:sz w:val="24"/>
          <w:szCs w:val="24"/>
        </w:rPr>
        <w:t>,</w:t>
      </w:r>
      <w:r w:rsidRPr="00D66C82">
        <w:rPr>
          <w:rFonts w:ascii="Times New Roman" w:hAnsi="Times New Roman" w:cs="Times New Roman"/>
          <w:sz w:val="24"/>
          <w:szCs w:val="24"/>
        </w:rPr>
        <w:t xml:space="preserve"> </w:t>
      </w:r>
      <w:r w:rsidR="00D80CE8">
        <w:rPr>
          <w:rFonts w:ascii="Times New Roman" w:hAnsi="Times New Roman" w:cs="Times New Roman"/>
          <w:sz w:val="24"/>
          <w:szCs w:val="24"/>
        </w:rPr>
        <w:t>entail</w:t>
      </w:r>
      <w:r w:rsidR="002F1087">
        <w:rPr>
          <w:rFonts w:ascii="Times New Roman" w:hAnsi="Times New Roman" w:cs="Times New Roman"/>
          <w:sz w:val="24"/>
          <w:szCs w:val="24"/>
        </w:rPr>
        <w:t>ed</w:t>
      </w:r>
      <w:r w:rsidR="00D80CE8">
        <w:rPr>
          <w:rFonts w:ascii="Times New Roman" w:hAnsi="Times New Roman" w:cs="Times New Roman"/>
          <w:sz w:val="24"/>
          <w:szCs w:val="24"/>
        </w:rPr>
        <w:t xml:space="preserve"> </w:t>
      </w:r>
      <w:r w:rsidRPr="00D66C82">
        <w:rPr>
          <w:rFonts w:ascii="Times New Roman" w:hAnsi="Times New Roman" w:cs="Times New Roman"/>
          <w:sz w:val="24"/>
          <w:szCs w:val="24"/>
        </w:rPr>
        <w:t>a limited likelihood of an investor from a developing state making a tangible investment in the UK and subsequently bringing claims against the UK government</w:t>
      </w:r>
      <w:r w:rsidR="00107EAB" w:rsidRPr="00D66C82">
        <w:rPr>
          <w:rFonts w:ascii="Times New Roman" w:hAnsi="Times New Roman" w:cs="Times New Roman"/>
          <w:sz w:val="24"/>
          <w:szCs w:val="24"/>
        </w:rPr>
        <w:t xml:space="preserve">. Also, the recent </w:t>
      </w:r>
      <w:r w:rsidRPr="00D66C82">
        <w:rPr>
          <w:rFonts w:ascii="Times New Roman" w:hAnsi="Times New Roman" w:cs="Times New Roman"/>
          <w:sz w:val="24"/>
          <w:szCs w:val="24"/>
        </w:rPr>
        <w:t>large-scale trade and investment agreements with developed states</w:t>
      </w:r>
      <w:r w:rsidR="00107EAB" w:rsidRPr="00D66C82">
        <w:rPr>
          <w:rFonts w:ascii="Times New Roman" w:hAnsi="Times New Roman" w:cs="Times New Roman"/>
          <w:sz w:val="24"/>
          <w:szCs w:val="24"/>
        </w:rPr>
        <w:t>, such as CETA and TTIP,</w:t>
      </w:r>
      <w:r w:rsidRPr="00D66C82">
        <w:rPr>
          <w:rFonts w:ascii="Times New Roman" w:hAnsi="Times New Roman" w:cs="Times New Roman"/>
          <w:sz w:val="24"/>
          <w:szCs w:val="24"/>
        </w:rPr>
        <w:t xml:space="preserve"> </w:t>
      </w:r>
      <w:r w:rsidR="00107EAB" w:rsidRPr="00D66C82">
        <w:rPr>
          <w:rFonts w:ascii="Times New Roman" w:hAnsi="Times New Roman" w:cs="Times New Roman"/>
          <w:sz w:val="24"/>
          <w:szCs w:val="24"/>
        </w:rPr>
        <w:t xml:space="preserve">have been concluded </w:t>
      </w:r>
      <w:r w:rsidR="002F1087">
        <w:rPr>
          <w:rFonts w:ascii="Times New Roman" w:hAnsi="Times New Roman" w:cs="Times New Roman"/>
          <w:sz w:val="24"/>
          <w:szCs w:val="24"/>
        </w:rPr>
        <w:t xml:space="preserve">and being negotiated </w:t>
      </w:r>
      <w:r w:rsidR="00107EAB" w:rsidRPr="00D66C82">
        <w:rPr>
          <w:rFonts w:ascii="Times New Roman" w:hAnsi="Times New Roman" w:cs="Times New Roman"/>
          <w:sz w:val="24"/>
          <w:szCs w:val="24"/>
        </w:rPr>
        <w:t xml:space="preserve">by the EU on behalf of its member states. </w:t>
      </w:r>
      <w:r w:rsidRPr="00D66C82">
        <w:rPr>
          <w:rFonts w:ascii="Times New Roman" w:hAnsi="Times New Roman" w:cs="Times New Roman"/>
          <w:sz w:val="24"/>
          <w:szCs w:val="24"/>
        </w:rPr>
        <w:t xml:space="preserve"> </w:t>
      </w:r>
      <w:r w:rsidR="00107EAB" w:rsidRPr="00D66C82">
        <w:rPr>
          <w:rFonts w:ascii="Times New Roman" w:hAnsi="Times New Roman" w:cs="Times New Roman"/>
          <w:sz w:val="24"/>
          <w:szCs w:val="24"/>
        </w:rPr>
        <w:t>After Brexit, UK investment treaties with E</w:t>
      </w:r>
      <w:r w:rsidR="002F1087">
        <w:rPr>
          <w:rFonts w:ascii="Times New Roman" w:hAnsi="Times New Roman" w:cs="Times New Roman"/>
          <w:sz w:val="24"/>
          <w:szCs w:val="24"/>
        </w:rPr>
        <w:t>U member states (there are a few</w:t>
      </w:r>
      <w:r w:rsidR="00107EAB" w:rsidRPr="00D66C82">
        <w:rPr>
          <w:rFonts w:ascii="Times New Roman" w:hAnsi="Times New Roman" w:cs="Times New Roman"/>
          <w:sz w:val="24"/>
          <w:szCs w:val="24"/>
        </w:rPr>
        <w:t xml:space="preserve"> with countries of the Eastern and Central Europe) are likely to become a primary legal instrument to regulate investor-state relations</w:t>
      </w:r>
      <w:r w:rsidR="000F5945">
        <w:rPr>
          <w:rFonts w:ascii="Times New Roman" w:hAnsi="Times New Roman" w:cs="Times New Roman"/>
          <w:sz w:val="24"/>
          <w:szCs w:val="24"/>
        </w:rPr>
        <w:t xml:space="preserve"> in Europe</w:t>
      </w:r>
      <w:r w:rsidR="00107EAB" w:rsidRPr="00D66C82">
        <w:rPr>
          <w:rFonts w:ascii="Times New Roman" w:hAnsi="Times New Roman" w:cs="Times New Roman"/>
          <w:sz w:val="24"/>
          <w:szCs w:val="24"/>
        </w:rPr>
        <w:t xml:space="preserve">, thus </w:t>
      </w:r>
      <w:r w:rsidR="000F5945">
        <w:rPr>
          <w:rFonts w:ascii="Times New Roman" w:hAnsi="Times New Roman" w:cs="Times New Roman"/>
          <w:sz w:val="24"/>
          <w:szCs w:val="24"/>
        </w:rPr>
        <w:t>increasing the risk</w:t>
      </w:r>
      <w:r w:rsidR="00107EAB" w:rsidRPr="00D66C82">
        <w:rPr>
          <w:rFonts w:ascii="Times New Roman" w:hAnsi="Times New Roman" w:cs="Times New Roman"/>
          <w:sz w:val="24"/>
          <w:szCs w:val="24"/>
        </w:rPr>
        <w:t xml:space="preserve"> of the UK government becoming at some point subjected to investment arbitration claims – something which it had escaped due to the primacy of EU law</w:t>
      </w:r>
      <w:r w:rsidR="000F5945">
        <w:rPr>
          <w:rFonts w:ascii="Times New Roman" w:hAnsi="Times New Roman" w:cs="Times New Roman"/>
          <w:sz w:val="24"/>
          <w:szCs w:val="24"/>
        </w:rPr>
        <w:t>.</w:t>
      </w:r>
      <w:r w:rsidR="000F5945">
        <w:rPr>
          <w:rStyle w:val="FootnoteReference"/>
          <w:rFonts w:ascii="Times New Roman" w:hAnsi="Times New Roman" w:cs="Times New Roman"/>
          <w:sz w:val="24"/>
          <w:szCs w:val="24"/>
        </w:rPr>
        <w:footnoteReference w:id="48"/>
      </w:r>
    </w:p>
    <w:p w14:paraId="70F45D28" w14:textId="69A6CD33" w:rsidR="000F5945" w:rsidRDefault="000F5945" w:rsidP="00D66C82">
      <w:pPr>
        <w:autoSpaceDE w:val="0"/>
        <w:autoSpaceDN w:val="0"/>
        <w:adjustRightInd w:val="0"/>
        <w:spacing w:after="0"/>
        <w:jc w:val="both"/>
        <w:rPr>
          <w:rFonts w:ascii="Times New Roman" w:hAnsi="Times New Roman" w:cs="Times New Roman"/>
          <w:sz w:val="24"/>
          <w:szCs w:val="24"/>
        </w:rPr>
      </w:pPr>
    </w:p>
    <w:p w14:paraId="3F1B1F87" w14:textId="0CFFED45" w:rsidR="000F5945" w:rsidRPr="00D66C82" w:rsidRDefault="000F5945" w:rsidP="00D66C8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Another fundamental shift in investment treaty practice globally is a rise in the deployment of investment treaties against developed countries. </w:t>
      </w:r>
      <w:r w:rsidRPr="00D66C82">
        <w:rPr>
          <w:rFonts w:ascii="Times New Roman" w:hAnsi="Times New Roman" w:cs="Times New Roman"/>
          <w:sz w:val="24"/>
          <w:szCs w:val="24"/>
        </w:rPr>
        <w:t xml:space="preserve">Highly publicised and politically sensitive investment cases, such as that brought by Philip Morris against Australia because of their anti-tobacco laws, by Lone Pine against Canada because of moratoria on fracking, and by </w:t>
      </w:r>
      <w:proofErr w:type="spellStart"/>
      <w:r w:rsidRPr="00D66C82">
        <w:rPr>
          <w:rFonts w:ascii="Times New Roman" w:hAnsi="Times New Roman" w:cs="Times New Roman"/>
          <w:sz w:val="24"/>
          <w:szCs w:val="24"/>
        </w:rPr>
        <w:t>Vattenfall</w:t>
      </w:r>
      <w:proofErr w:type="spellEnd"/>
      <w:r w:rsidRPr="00D66C82">
        <w:rPr>
          <w:rFonts w:ascii="Times New Roman" w:hAnsi="Times New Roman" w:cs="Times New Roman"/>
          <w:sz w:val="24"/>
          <w:szCs w:val="24"/>
        </w:rPr>
        <w:t xml:space="preserve"> against Germany because of its phase-out of nuclear energy after Fukushima, have heralded the end of an era when investment treaty law and arbitration were primarily used by investors from developed states against the governments of developing countries.</w:t>
      </w:r>
      <w:r w:rsidRPr="00D66C82">
        <w:rPr>
          <w:rStyle w:val="FootnoteReference"/>
          <w:rFonts w:ascii="Times New Roman" w:hAnsi="Times New Roman" w:cs="Times New Roman"/>
          <w:sz w:val="24"/>
          <w:szCs w:val="24"/>
        </w:rPr>
        <w:footnoteReference w:id="49"/>
      </w:r>
      <w:r w:rsidRPr="00D66C82">
        <w:rPr>
          <w:rFonts w:ascii="Times New Roman" w:hAnsi="Times New Roman" w:cs="Times New Roman"/>
          <w:sz w:val="24"/>
          <w:szCs w:val="24"/>
        </w:rPr>
        <w:t xml:space="preserve"> </w:t>
      </w:r>
      <w:r>
        <w:rPr>
          <w:rFonts w:ascii="Times New Roman" w:hAnsi="Times New Roman" w:cs="Times New Roman"/>
          <w:sz w:val="24"/>
          <w:szCs w:val="24"/>
        </w:rPr>
        <w:t>T</w:t>
      </w:r>
      <w:r w:rsidRPr="00D66C82">
        <w:rPr>
          <w:rFonts w:ascii="Times New Roman" w:hAnsi="Times New Roman" w:cs="Times New Roman"/>
          <w:sz w:val="24"/>
          <w:szCs w:val="24"/>
        </w:rPr>
        <w:t>hese cases—and a string of arbitration disputes brought against the US and Canada under the investment chapter of the North American Free Trade Agreement (NAFTA) have intensified  concerns over the constraining effect of investment treaties on national regulatory sovereignty.</w:t>
      </w:r>
      <w:r w:rsidRPr="00D66C82">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Since</w:t>
      </w:r>
      <w:r w:rsidR="00EF5951">
        <w:rPr>
          <w:rFonts w:ascii="Times New Roman" w:hAnsi="Times New Roman" w:cs="Times New Roman"/>
          <w:sz w:val="24"/>
          <w:szCs w:val="24"/>
        </w:rPr>
        <w:t xml:space="preserve"> in the aftermath of Brexit</w:t>
      </w:r>
      <w:r>
        <w:rPr>
          <w:rFonts w:ascii="Times New Roman" w:hAnsi="Times New Roman" w:cs="Times New Roman"/>
          <w:sz w:val="24"/>
          <w:szCs w:val="24"/>
        </w:rPr>
        <w:t xml:space="preserve"> </w:t>
      </w:r>
      <w:r w:rsidR="00EF5951">
        <w:rPr>
          <w:rFonts w:ascii="Times New Roman" w:hAnsi="Times New Roman" w:cs="Times New Roman"/>
          <w:sz w:val="24"/>
          <w:szCs w:val="24"/>
        </w:rPr>
        <w:t>the UK is aiming to conclude</w:t>
      </w:r>
      <w:r>
        <w:rPr>
          <w:rFonts w:ascii="Times New Roman" w:hAnsi="Times New Roman" w:cs="Times New Roman"/>
          <w:sz w:val="24"/>
          <w:szCs w:val="24"/>
        </w:rPr>
        <w:t xml:space="preserve"> international trade and investment agreements with developed economies such as </w:t>
      </w:r>
      <w:r w:rsidR="00EF5951">
        <w:rPr>
          <w:rFonts w:ascii="Times New Roman" w:hAnsi="Times New Roman" w:cs="Times New Roman"/>
          <w:sz w:val="24"/>
          <w:szCs w:val="24"/>
        </w:rPr>
        <w:t>Australia, Canada</w:t>
      </w:r>
      <w:r>
        <w:rPr>
          <w:rFonts w:ascii="Times New Roman" w:hAnsi="Times New Roman" w:cs="Times New Roman"/>
          <w:sz w:val="24"/>
          <w:szCs w:val="24"/>
        </w:rPr>
        <w:t xml:space="preserve"> and the US</w:t>
      </w:r>
      <w:r w:rsidR="00EF5951">
        <w:rPr>
          <w:rFonts w:ascii="Times New Roman" w:hAnsi="Times New Roman" w:cs="Times New Roman"/>
          <w:sz w:val="24"/>
          <w:szCs w:val="24"/>
        </w:rPr>
        <w:t>, there is a stronger likelihood than before that the UK will face investor claims challenging various governmental measures and claiming compensation. In the energy sector, European investors too will be able to rely on investment protection rules, in particular those enshrined in the Energy Charter Treaty, in leveraging their relations with the UK government.</w:t>
      </w:r>
      <w:r w:rsidR="00EF5951">
        <w:rPr>
          <w:rStyle w:val="FootnoteReference"/>
          <w:rFonts w:ascii="Times New Roman" w:hAnsi="Times New Roman" w:cs="Times New Roman"/>
          <w:sz w:val="24"/>
          <w:szCs w:val="24"/>
        </w:rPr>
        <w:footnoteReference w:id="51"/>
      </w:r>
    </w:p>
    <w:p w14:paraId="2C1BC6DE" w14:textId="77777777" w:rsidR="00107EAB" w:rsidRPr="00D66C82" w:rsidRDefault="00107EAB" w:rsidP="00D66C82">
      <w:pPr>
        <w:autoSpaceDE w:val="0"/>
        <w:autoSpaceDN w:val="0"/>
        <w:adjustRightInd w:val="0"/>
        <w:spacing w:after="0"/>
        <w:jc w:val="both"/>
        <w:rPr>
          <w:rFonts w:ascii="Times New Roman" w:hAnsi="Times New Roman" w:cs="Times New Roman"/>
          <w:sz w:val="24"/>
          <w:szCs w:val="24"/>
        </w:rPr>
      </w:pPr>
    </w:p>
    <w:p w14:paraId="13A8B31E" w14:textId="0C24061D" w:rsidR="0034582D" w:rsidRPr="00D66C82" w:rsidRDefault="00107EAB"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So t</w:t>
      </w:r>
      <w:r w:rsidR="00951683" w:rsidRPr="00D66C82">
        <w:rPr>
          <w:rFonts w:ascii="Times New Roman" w:hAnsi="Times New Roman" w:cs="Times New Roman"/>
          <w:sz w:val="24"/>
          <w:szCs w:val="24"/>
        </w:rPr>
        <w:t xml:space="preserve">he question is: </w:t>
      </w:r>
      <w:r w:rsidR="00124E31">
        <w:rPr>
          <w:rFonts w:ascii="Times New Roman" w:hAnsi="Times New Roman" w:cs="Times New Roman"/>
          <w:sz w:val="24"/>
          <w:szCs w:val="24"/>
        </w:rPr>
        <w:t>does the UK</w:t>
      </w:r>
      <w:r w:rsidR="00951683" w:rsidRPr="00D66C82">
        <w:rPr>
          <w:rFonts w:ascii="Times New Roman" w:hAnsi="Times New Roman" w:cs="Times New Roman"/>
          <w:sz w:val="24"/>
          <w:szCs w:val="24"/>
        </w:rPr>
        <w:t xml:space="preserve"> need investment treaties</w:t>
      </w:r>
      <w:r w:rsidR="00124E31">
        <w:rPr>
          <w:rFonts w:ascii="Times New Roman" w:hAnsi="Times New Roman" w:cs="Times New Roman"/>
          <w:sz w:val="24"/>
          <w:szCs w:val="24"/>
        </w:rPr>
        <w:t>,</w:t>
      </w:r>
      <w:r w:rsidR="00951683" w:rsidRPr="00D66C82">
        <w:rPr>
          <w:rFonts w:ascii="Times New Roman" w:hAnsi="Times New Roman" w:cs="Times New Roman"/>
          <w:sz w:val="24"/>
          <w:szCs w:val="24"/>
        </w:rPr>
        <w:t xml:space="preserve"> and </w:t>
      </w:r>
      <w:r w:rsidR="00124E31">
        <w:rPr>
          <w:rFonts w:ascii="Times New Roman" w:hAnsi="Times New Roman" w:cs="Times New Roman"/>
          <w:sz w:val="24"/>
          <w:szCs w:val="24"/>
        </w:rPr>
        <w:t>are</w:t>
      </w:r>
      <w:r w:rsidR="00951683" w:rsidRPr="00D66C82">
        <w:rPr>
          <w:rFonts w:ascii="Times New Roman" w:hAnsi="Times New Roman" w:cs="Times New Roman"/>
          <w:sz w:val="24"/>
          <w:szCs w:val="24"/>
        </w:rPr>
        <w:t xml:space="preserve"> the </w:t>
      </w:r>
      <w:r w:rsidR="0034582D" w:rsidRPr="00D66C82">
        <w:rPr>
          <w:rFonts w:ascii="Times New Roman" w:hAnsi="Times New Roman" w:cs="Times New Roman"/>
          <w:sz w:val="24"/>
          <w:szCs w:val="24"/>
        </w:rPr>
        <w:t xml:space="preserve">benefits such treaties </w:t>
      </w:r>
      <w:r w:rsidR="00124E31">
        <w:rPr>
          <w:rFonts w:ascii="Times New Roman" w:hAnsi="Times New Roman" w:cs="Times New Roman"/>
          <w:sz w:val="24"/>
          <w:szCs w:val="24"/>
        </w:rPr>
        <w:t>entail</w:t>
      </w:r>
      <w:r w:rsidR="00951683" w:rsidRPr="00D66C82">
        <w:rPr>
          <w:rFonts w:ascii="Times New Roman" w:hAnsi="Times New Roman" w:cs="Times New Roman"/>
          <w:sz w:val="24"/>
          <w:szCs w:val="24"/>
        </w:rPr>
        <w:t xml:space="preserve"> </w:t>
      </w:r>
      <w:r w:rsidR="008B43CD" w:rsidRPr="00D66C82">
        <w:rPr>
          <w:rFonts w:ascii="Times New Roman" w:hAnsi="Times New Roman" w:cs="Times New Roman"/>
          <w:sz w:val="24"/>
          <w:szCs w:val="24"/>
        </w:rPr>
        <w:t>justify</w:t>
      </w:r>
      <w:r w:rsidR="00951683" w:rsidRPr="00D66C82">
        <w:rPr>
          <w:rFonts w:ascii="Times New Roman" w:hAnsi="Times New Roman" w:cs="Times New Roman"/>
          <w:sz w:val="24"/>
          <w:szCs w:val="24"/>
        </w:rPr>
        <w:t xml:space="preserve"> sacrificing state sovereignty</w:t>
      </w:r>
      <w:r w:rsidRPr="00D66C82">
        <w:rPr>
          <w:rFonts w:ascii="Times New Roman" w:hAnsi="Times New Roman" w:cs="Times New Roman"/>
          <w:sz w:val="24"/>
          <w:szCs w:val="24"/>
        </w:rPr>
        <w:t>, especially in the new economic and political realities the UK is facing</w:t>
      </w:r>
      <w:r w:rsidR="00951683" w:rsidRPr="00D66C82">
        <w:rPr>
          <w:rFonts w:ascii="Times New Roman" w:hAnsi="Times New Roman" w:cs="Times New Roman"/>
          <w:sz w:val="24"/>
          <w:szCs w:val="24"/>
        </w:rPr>
        <w:t>?</w:t>
      </w:r>
      <w:r w:rsidR="0034582D" w:rsidRPr="00D66C82">
        <w:rPr>
          <w:rFonts w:ascii="Times New Roman" w:hAnsi="Times New Roman" w:cs="Times New Roman"/>
          <w:sz w:val="24"/>
          <w:szCs w:val="24"/>
        </w:rPr>
        <w:t xml:space="preserve"> Now that the UK is poised to act as a host and recipient of foreign investments from developed and emerging economies</w:t>
      </w:r>
      <w:r w:rsidR="002F1087">
        <w:rPr>
          <w:rFonts w:ascii="Times New Roman" w:hAnsi="Times New Roman" w:cs="Times New Roman"/>
          <w:sz w:val="24"/>
          <w:szCs w:val="24"/>
        </w:rPr>
        <w:t xml:space="preserve"> </w:t>
      </w:r>
      <w:r w:rsidR="0034582D" w:rsidRPr="00D66C82">
        <w:rPr>
          <w:rFonts w:ascii="Times New Roman" w:hAnsi="Times New Roman" w:cs="Times New Roman"/>
          <w:sz w:val="24"/>
          <w:szCs w:val="24"/>
        </w:rPr>
        <w:t>would the government wish to face claims from foreign investors – the current estimate is that there £1 trillion in foreign direct investment (FDI) in the UK – challenging a broad array of governmental decisions, enjoying the right to claim damages where such decisions undermine profitability of their investments, and doing so by sidestepping UK courts?</w:t>
      </w:r>
      <w:r w:rsidR="002F1087">
        <w:rPr>
          <w:rFonts w:ascii="Times New Roman" w:hAnsi="Times New Roman" w:cs="Times New Roman"/>
          <w:sz w:val="24"/>
          <w:szCs w:val="24"/>
        </w:rPr>
        <w:t xml:space="preserve"> </w:t>
      </w:r>
    </w:p>
    <w:p w14:paraId="57AC38E3" w14:textId="571D21DB" w:rsidR="008E4341" w:rsidRPr="00D66C82" w:rsidRDefault="008E4341" w:rsidP="00D66C82">
      <w:pPr>
        <w:autoSpaceDE w:val="0"/>
        <w:autoSpaceDN w:val="0"/>
        <w:adjustRightInd w:val="0"/>
        <w:spacing w:after="0"/>
        <w:jc w:val="both"/>
        <w:rPr>
          <w:rFonts w:ascii="Times New Roman" w:hAnsi="Times New Roman" w:cs="Times New Roman"/>
          <w:sz w:val="24"/>
          <w:szCs w:val="24"/>
        </w:rPr>
      </w:pPr>
    </w:p>
    <w:p w14:paraId="7D0336FE" w14:textId="77777777" w:rsidR="002F1087" w:rsidRDefault="0034582D" w:rsidP="00AF7EFF">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 xml:space="preserve">The forefathers of the first generation investment treaties reasoned that developing countries would accept the limitations upon their sovereignty if the end result meant more inward FDI flows and fostering economic development in host states. </w:t>
      </w:r>
      <w:r w:rsidR="002F1087">
        <w:rPr>
          <w:rFonts w:ascii="Times New Roman" w:hAnsi="Times New Roman" w:cs="Times New Roman"/>
          <w:sz w:val="24"/>
          <w:szCs w:val="24"/>
        </w:rPr>
        <w:t>What the makers of future UK investment treaties should bear in mind is the</w:t>
      </w:r>
      <w:r w:rsidRPr="00D66C82">
        <w:rPr>
          <w:rFonts w:ascii="Times New Roman" w:hAnsi="Times New Roman" w:cs="Times New Roman"/>
          <w:sz w:val="24"/>
          <w:szCs w:val="24"/>
        </w:rPr>
        <w:t xml:space="preserve"> recent</w:t>
      </w:r>
      <w:r w:rsidR="002F1087">
        <w:rPr>
          <w:rFonts w:ascii="Times New Roman" w:hAnsi="Times New Roman" w:cs="Times New Roman"/>
          <w:sz w:val="24"/>
          <w:szCs w:val="24"/>
        </w:rPr>
        <w:t>ly uncovered evidence showing that</w:t>
      </w:r>
      <w:r w:rsidRPr="00D66C82">
        <w:rPr>
          <w:rFonts w:ascii="Times New Roman" w:hAnsi="Times New Roman" w:cs="Times New Roman"/>
          <w:sz w:val="24"/>
          <w:szCs w:val="24"/>
        </w:rPr>
        <w:t xml:space="preserve"> at the time the UK embarked on signing its bilateral investment treaties with developing countries in the 1980s, UK negotiators were fully conscious that while the treaty regime were ‘very much in our interests, it might not serve the interests of developing countries equally well.’</w:t>
      </w:r>
      <w:r w:rsidRPr="00D66C82">
        <w:rPr>
          <w:rStyle w:val="FootnoteReference"/>
          <w:rFonts w:ascii="Times New Roman" w:hAnsi="Times New Roman" w:cs="Times New Roman"/>
          <w:sz w:val="24"/>
          <w:szCs w:val="24"/>
        </w:rPr>
        <w:footnoteReference w:id="52"/>
      </w:r>
      <w:r w:rsidR="00107EAB" w:rsidRPr="00D66C82">
        <w:rPr>
          <w:rFonts w:ascii="Times New Roman" w:hAnsi="Times New Roman" w:cs="Times New Roman"/>
          <w:sz w:val="24"/>
          <w:szCs w:val="24"/>
        </w:rPr>
        <w:t xml:space="preserve"> I</w:t>
      </w:r>
      <w:r w:rsidRPr="00D66C82">
        <w:rPr>
          <w:rFonts w:ascii="Times New Roman" w:hAnsi="Times New Roman" w:cs="Times New Roman"/>
          <w:sz w:val="24"/>
          <w:szCs w:val="24"/>
        </w:rPr>
        <w:t>nvestment treaties were pushed in the knowledge that while they provide protections to UK investors overseas, economic development and growth in host countries would not necessarily follow.</w:t>
      </w:r>
      <w:r w:rsidRPr="00D66C82">
        <w:rPr>
          <w:rStyle w:val="FootnoteReference"/>
          <w:rFonts w:ascii="Times New Roman" w:hAnsi="Times New Roman" w:cs="Times New Roman"/>
          <w:sz w:val="24"/>
          <w:szCs w:val="24"/>
        </w:rPr>
        <w:footnoteReference w:id="53"/>
      </w:r>
      <w:r w:rsidRPr="00D66C82">
        <w:rPr>
          <w:rFonts w:ascii="Times New Roman" w:hAnsi="Times New Roman" w:cs="Times New Roman"/>
          <w:sz w:val="24"/>
          <w:szCs w:val="24"/>
        </w:rPr>
        <w:t xml:space="preserve"> The primary (yet</w:t>
      </w:r>
      <w:r w:rsidR="002F1087">
        <w:rPr>
          <w:rFonts w:ascii="Times New Roman" w:hAnsi="Times New Roman" w:cs="Times New Roman"/>
          <w:sz w:val="24"/>
          <w:szCs w:val="24"/>
        </w:rPr>
        <w:t xml:space="preserve"> publicly</w:t>
      </w:r>
      <w:r w:rsidRPr="00D66C82">
        <w:rPr>
          <w:rFonts w:ascii="Times New Roman" w:hAnsi="Times New Roman" w:cs="Times New Roman"/>
          <w:sz w:val="24"/>
          <w:szCs w:val="24"/>
        </w:rPr>
        <w:t xml:space="preserve"> unspoken) objective of the treaties was to safeguard the interests of British investors in developing countries, not of the foreign investors in the UK.</w:t>
      </w:r>
      <w:r w:rsidRPr="00D66C82">
        <w:rPr>
          <w:rStyle w:val="FootnoteReference"/>
          <w:rFonts w:ascii="Times New Roman" w:hAnsi="Times New Roman" w:cs="Times New Roman"/>
          <w:sz w:val="24"/>
          <w:szCs w:val="24"/>
        </w:rPr>
        <w:footnoteReference w:id="54"/>
      </w:r>
      <w:r w:rsidRPr="00D66C82">
        <w:rPr>
          <w:rFonts w:ascii="Times New Roman" w:hAnsi="Times New Roman" w:cs="Times New Roman"/>
          <w:sz w:val="24"/>
          <w:szCs w:val="24"/>
        </w:rPr>
        <w:t xml:space="preserve"> It is with this objective in mind that the Confederation of British Industry contributed to the process of shaping the UK investment treaty programme in the 1980s by pressing for very high standards of investment protection, including protection against indirect and regulatory expropriation.</w:t>
      </w:r>
      <w:r w:rsidRPr="00D66C82">
        <w:rPr>
          <w:rStyle w:val="FootnoteReference"/>
          <w:rFonts w:ascii="Times New Roman" w:hAnsi="Times New Roman" w:cs="Times New Roman"/>
          <w:sz w:val="24"/>
          <w:szCs w:val="24"/>
        </w:rPr>
        <w:footnoteReference w:id="55"/>
      </w:r>
      <w:r w:rsidR="000E0002" w:rsidRPr="00D66C82">
        <w:rPr>
          <w:rFonts w:ascii="Times New Roman" w:hAnsi="Times New Roman" w:cs="Times New Roman"/>
          <w:sz w:val="24"/>
          <w:szCs w:val="24"/>
        </w:rPr>
        <w:t xml:space="preserve"> </w:t>
      </w:r>
      <w:r w:rsidR="00DC5AE7" w:rsidRPr="00D66C82">
        <w:rPr>
          <w:rFonts w:ascii="Times New Roman" w:hAnsi="Times New Roman" w:cs="Times New Roman"/>
          <w:sz w:val="24"/>
          <w:szCs w:val="24"/>
        </w:rPr>
        <w:t xml:space="preserve">Due to historical realities at the time the UK bilateral investment treaty programme was being formulated, the treaty drafters were unable to envisage a scenario where the UK would rely on inward foreign investment and where the UK government </w:t>
      </w:r>
      <w:r w:rsidR="00E215CF">
        <w:rPr>
          <w:rFonts w:ascii="Times New Roman" w:hAnsi="Times New Roman" w:cs="Times New Roman"/>
          <w:sz w:val="24"/>
          <w:szCs w:val="24"/>
        </w:rPr>
        <w:t>could</w:t>
      </w:r>
      <w:r w:rsidR="00DC5AE7" w:rsidRPr="00D66C82">
        <w:rPr>
          <w:rFonts w:ascii="Times New Roman" w:hAnsi="Times New Roman" w:cs="Times New Roman"/>
          <w:sz w:val="24"/>
          <w:szCs w:val="24"/>
        </w:rPr>
        <w:t xml:space="preserve"> be exposed to the risk of being sued before an investor-state arbitration panel.</w:t>
      </w:r>
      <w:r w:rsidR="00620956" w:rsidRPr="00D66C82">
        <w:rPr>
          <w:rStyle w:val="FootnoteReference"/>
          <w:rFonts w:ascii="Times New Roman" w:hAnsi="Times New Roman" w:cs="Times New Roman"/>
          <w:sz w:val="24"/>
          <w:szCs w:val="24"/>
        </w:rPr>
        <w:footnoteReference w:id="56"/>
      </w:r>
      <w:r w:rsidR="00670199">
        <w:rPr>
          <w:rFonts w:ascii="Times New Roman" w:hAnsi="Times New Roman" w:cs="Times New Roman"/>
          <w:sz w:val="24"/>
          <w:szCs w:val="24"/>
        </w:rPr>
        <w:t xml:space="preserve"> </w:t>
      </w:r>
    </w:p>
    <w:p w14:paraId="60BFF807" w14:textId="77777777" w:rsidR="002F1087" w:rsidRDefault="002F1087" w:rsidP="00AF7EFF">
      <w:pPr>
        <w:autoSpaceDE w:val="0"/>
        <w:autoSpaceDN w:val="0"/>
        <w:adjustRightInd w:val="0"/>
        <w:spacing w:after="0"/>
        <w:jc w:val="both"/>
        <w:rPr>
          <w:rFonts w:ascii="Times New Roman" w:hAnsi="Times New Roman" w:cs="Times New Roman"/>
          <w:sz w:val="24"/>
          <w:szCs w:val="24"/>
        </w:rPr>
      </w:pPr>
    </w:p>
    <w:p w14:paraId="63CC2FE0" w14:textId="7F61A9E7" w:rsidR="0034582D" w:rsidRPr="00D66C82" w:rsidRDefault="00670199" w:rsidP="00AF7EF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fact that investment treaties were seen as instruments for advancing the interests of British investors overseas has been amply illustrated when the UK government was made aware of </w:t>
      </w:r>
      <w:r w:rsidR="00C02172">
        <w:rPr>
          <w:rFonts w:ascii="Times New Roman" w:hAnsi="Times New Roman" w:cs="Times New Roman"/>
          <w:sz w:val="24"/>
          <w:szCs w:val="24"/>
        </w:rPr>
        <w:t xml:space="preserve">the </w:t>
      </w:r>
      <w:r>
        <w:rPr>
          <w:rFonts w:ascii="Times New Roman" w:hAnsi="Times New Roman" w:cs="Times New Roman"/>
          <w:sz w:val="24"/>
          <w:szCs w:val="24"/>
        </w:rPr>
        <w:t>reciprocal applica</w:t>
      </w:r>
      <w:r w:rsidR="00C02172">
        <w:rPr>
          <w:rFonts w:ascii="Times New Roman" w:hAnsi="Times New Roman" w:cs="Times New Roman"/>
          <w:sz w:val="24"/>
          <w:szCs w:val="24"/>
        </w:rPr>
        <w:t>bility</w:t>
      </w:r>
      <w:r>
        <w:rPr>
          <w:rFonts w:ascii="Times New Roman" w:hAnsi="Times New Roman" w:cs="Times New Roman"/>
          <w:sz w:val="24"/>
          <w:szCs w:val="24"/>
        </w:rPr>
        <w:t xml:space="preserve"> of investment treaties and the prospect of foreign investors of the nationalised </w:t>
      </w:r>
      <w:r w:rsidR="00E2483C" w:rsidRPr="00E2483C">
        <w:rPr>
          <w:rFonts w:ascii="Times New Roman" w:hAnsi="Times New Roman" w:cs="Times New Roman"/>
          <w:sz w:val="24"/>
          <w:szCs w:val="24"/>
        </w:rPr>
        <w:t>Northern Rock and Bradford &amp;</w:t>
      </w:r>
      <w:r w:rsidR="00E2483C">
        <w:rPr>
          <w:rFonts w:ascii="Times New Roman" w:hAnsi="Times New Roman" w:cs="Times New Roman"/>
          <w:sz w:val="24"/>
          <w:szCs w:val="24"/>
        </w:rPr>
        <w:t xml:space="preserve"> </w:t>
      </w:r>
      <w:r w:rsidR="00E2483C" w:rsidRPr="00E2483C">
        <w:rPr>
          <w:rFonts w:ascii="Times New Roman" w:hAnsi="Times New Roman" w:cs="Times New Roman"/>
          <w:sz w:val="24"/>
          <w:szCs w:val="24"/>
        </w:rPr>
        <w:t xml:space="preserve">Bingley </w:t>
      </w:r>
      <w:r>
        <w:rPr>
          <w:rFonts w:ascii="Times New Roman" w:hAnsi="Times New Roman" w:cs="Times New Roman"/>
          <w:sz w:val="24"/>
          <w:szCs w:val="24"/>
        </w:rPr>
        <w:t xml:space="preserve">bringing claims against the UK. </w:t>
      </w:r>
      <w:r w:rsidR="00E2483C">
        <w:rPr>
          <w:rFonts w:ascii="Times New Roman" w:hAnsi="Times New Roman" w:cs="Times New Roman"/>
          <w:sz w:val="24"/>
          <w:szCs w:val="24"/>
        </w:rPr>
        <w:t xml:space="preserve">The </w:t>
      </w:r>
      <w:r w:rsidR="00E2483C" w:rsidRPr="00E2483C">
        <w:rPr>
          <w:rFonts w:ascii="Times New Roman" w:hAnsi="Times New Roman" w:cs="Times New Roman"/>
          <w:sz w:val="24"/>
          <w:szCs w:val="24"/>
        </w:rPr>
        <w:t>debate in the</w:t>
      </w:r>
      <w:r w:rsidR="00E2483C">
        <w:rPr>
          <w:rFonts w:ascii="Times New Roman" w:hAnsi="Times New Roman" w:cs="Times New Roman"/>
          <w:sz w:val="24"/>
          <w:szCs w:val="24"/>
        </w:rPr>
        <w:t xml:space="preserve"> </w:t>
      </w:r>
      <w:r w:rsidR="00E2483C" w:rsidRPr="00E2483C">
        <w:rPr>
          <w:rFonts w:ascii="Times New Roman" w:hAnsi="Times New Roman" w:cs="Times New Roman"/>
          <w:sz w:val="24"/>
          <w:szCs w:val="24"/>
        </w:rPr>
        <w:t xml:space="preserve">House of Lords </w:t>
      </w:r>
      <w:r w:rsidR="00E2483C">
        <w:rPr>
          <w:rFonts w:ascii="Times New Roman" w:hAnsi="Times New Roman" w:cs="Times New Roman"/>
          <w:sz w:val="24"/>
          <w:szCs w:val="24"/>
        </w:rPr>
        <w:t xml:space="preserve">revealed both surprise and resentment over the fact that investment treaties could be invoked against the UK. </w:t>
      </w:r>
      <w:r w:rsidR="00E2483C" w:rsidRPr="00E2483C">
        <w:rPr>
          <w:rFonts w:ascii="Times New Roman" w:hAnsi="Times New Roman" w:cs="Times New Roman"/>
          <w:sz w:val="24"/>
          <w:szCs w:val="24"/>
        </w:rPr>
        <w:t xml:space="preserve">In the words of the then Government Deputy Chief Whip, Lord Davies, </w:t>
      </w:r>
      <w:r w:rsidR="00C02172">
        <w:rPr>
          <w:rFonts w:ascii="Times New Roman" w:hAnsi="Times New Roman" w:cs="Times New Roman"/>
          <w:sz w:val="24"/>
          <w:szCs w:val="24"/>
        </w:rPr>
        <w:t>‘[n]</w:t>
      </w:r>
      <w:proofErr w:type="spellStart"/>
      <w:r w:rsidR="00E2483C" w:rsidRPr="00E2483C">
        <w:rPr>
          <w:rFonts w:ascii="Times New Roman" w:hAnsi="Times New Roman" w:cs="Times New Roman"/>
          <w:sz w:val="24"/>
          <w:szCs w:val="24"/>
        </w:rPr>
        <w:t>othing</w:t>
      </w:r>
      <w:proofErr w:type="spellEnd"/>
      <w:r w:rsidR="00E13809">
        <w:rPr>
          <w:rFonts w:ascii="Times New Roman" w:hAnsi="Times New Roman" w:cs="Times New Roman"/>
          <w:sz w:val="24"/>
          <w:szCs w:val="24"/>
        </w:rPr>
        <w:t xml:space="preserve"> could be more offensive …</w:t>
      </w:r>
      <w:r w:rsidR="00E2483C" w:rsidRPr="00E2483C">
        <w:rPr>
          <w:rFonts w:ascii="Times New Roman" w:hAnsi="Times New Roman" w:cs="Times New Roman"/>
          <w:sz w:val="24"/>
          <w:szCs w:val="24"/>
        </w:rPr>
        <w:t xml:space="preserve"> than the idea that someone based abroad would be able to take</w:t>
      </w:r>
      <w:r w:rsidR="00E13809">
        <w:rPr>
          <w:rFonts w:ascii="Times New Roman" w:hAnsi="Times New Roman" w:cs="Times New Roman"/>
          <w:sz w:val="24"/>
          <w:szCs w:val="24"/>
        </w:rPr>
        <w:t xml:space="preserve"> </w:t>
      </w:r>
      <w:r w:rsidR="00E2483C" w:rsidRPr="00E2483C">
        <w:rPr>
          <w:rFonts w:ascii="Times New Roman" w:hAnsi="Times New Roman" w:cs="Times New Roman"/>
          <w:sz w:val="24"/>
          <w:szCs w:val="24"/>
        </w:rPr>
        <w:t>advantage of bilateral treaties that were designed to – and this has been accurately reflected in</w:t>
      </w:r>
      <w:r w:rsidR="00E13809">
        <w:rPr>
          <w:rFonts w:ascii="Times New Roman" w:hAnsi="Times New Roman" w:cs="Times New Roman"/>
          <w:sz w:val="24"/>
          <w:szCs w:val="24"/>
        </w:rPr>
        <w:t xml:space="preserve"> </w:t>
      </w:r>
      <w:r w:rsidR="00E2483C" w:rsidRPr="00E2483C">
        <w:rPr>
          <w:rFonts w:ascii="Times New Roman" w:hAnsi="Times New Roman" w:cs="Times New Roman"/>
          <w:sz w:val="24"/>
          <w:szCs w:val="24"/>
        </w:rPr>
        <w:t>discussion today – safeguard, on the whole, British taxpayers regarding regimes that can act on</w:t>
      </w:r>
      <w:r w:rsidR="00AF7EFF">
        <w:rPr>
          <w:rFonts w:ascii="Times New Roman" w:hAnsi="Times New Roman" w:cs="Times New Roman"/>
          <w:sz w:val="24"/>
          <w:szCs w:val="24"/>
        </w:rPr>
        <w:t xml:space="preserve"> </w:t>
      </w:r>
      <w:r w:rsidR="00E2483C" w:rsidRPr="00E2483C">
        <w:rPr>
          <w:rFonts w:ascii="Times New Roman" w:hAnsi="Times New Roman" w:cs="Times New Roman"/>
          <w:sz w:val="24"/>
          <w:szCs w:val="24"/>
        </w:rPr>
        <w:t>occasion in an extremely arbitrary and unfair manner.’</w:t>
      </w:r>
      <w:r w:rsidR="00AF7EFF">
        <w:rPr>
          <w:rStyle w:val="FootnoteReference"/>
          <w:rFonts w:ascii="Times New Roman" w:hAnsi="Times New Roman" w:cs="Times New Roman"/>
          <w:sz w:val="24"/>
          <w:szCs w:val="24"/>
        </w:rPr>
        <w:footnoteReference w:id="57"/>
      </w:r>
      <w:r w:rsidR="00E2483C" w:rsidRPr="00E2483C">
        <w:rPr>
          <w:rFonts w:ascii="Times New Roman" w:hAnsi="Times New Roman" w:cs="Times New Roman"/>
          <w:sz w:val="24"/>
          <w:szCs w:val="24"/>
        </w:rPr>
        <w:t xml:space="preserve"> </w:t>
      </w:r>
    </w:p>
    <w:p w14:paraId="2413755B" w14:textId="1989F2A0" w:rsidR="0034582D" w:rsidRPr="00D66C82" w:rsidRDefault="0034582D" w:rsidP="00D66C82">
      <w:pPr>
        <w:autoSpaceDE w:val="0"/>
        <w:autoSpaceDN w:val="0"/>
        <w:adjustRightInd w:val="0"/>
        <w:spacing w:after="0"/>
        <w:jc w:val="both"/>
        <w:rPr>
          <w:rFonts w:ascii="Times New Roman" w:hAnsi="Times New Roman" w:cs="Times New Roman"/>
          <w:sz w:val="24"/>
          <w:szCs w:val="24"/>
        </w:rPr>
      </w:pPr>
    </w:p>
    <w:p w14:paraId="485D9584" w14:textId="1AC1B863" w:rsidR="0034582D" w:rsidRPr="00D66C82" w:rsidRDefault="0034582D"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 xml:space="preserve">Not only were the UK negotiators aware that investment treaties </w:t>
      </w:r>
      <w:r w:rsidR="00AE5F5F">
        <w:rPr>
          <w:rFonts w:ascii="Times New Roman" w:hAnsi="Times New Roman" w:cs="Times New Roman"/>
          <w:sz w:val="24"/>
          <w:szCs w:val="24"/>
        </w:rPr>
        <w:t>served</w:t>
      </w:r>
      <w:bookmarkStart w:id="0" w:name="_GoBack"/>
      <w:bookmarkEnd w:id="0"/>
      <w:r w:rsidR="00AF7EFF">
        <w:rPr>
          <w:rFonts w:ascii="Times New Roman" w:hAnsi="Times New Roman" w:cs="Times New Roman"/>
          <w:sz w:val="24"/>
          <w:szCs w:val="24"/>
        </w:rPr>
        <w:t xml:space="preserve"> the interests of investors, not </w:t>
      </w:r>
      <w:r w:rsidR="00221000">
        <w:rPr>
          <w:rFonts w:ascii="Times New Roman" w:hAnsi="Times New Roman" w:cs="Times New Roman"/>
          <w:sz w:val="24"/>
          <w:szCs w:val="24"/>
        </w:rPr>
        <w:t xml:space="preserve">of </w:t>
      </w:r>
      <w:r w:rsidR="00AF7EFF">
        <w:rPr>
          <w:rFonts w:ascii="Times New Roman" w:hAnsi="Times New Roman" w:cs="Times New Roman"/>
          <w:sz w:val="24"/>
          <w:szCs w:val="24"/>
        </w:rPr>
        <w:t xml:space="preserve">host states, and </w:t>
      </w:r>
      <w:r w:rsidRPr="00D66C82">
        <w:rPr>
          <w:rFonts w:ascii="Times New Roman" w:hAnsi="Times New Roman" w:cs="Times New Roman"/>
          <w:sz w:val="24"/>
          <w:szCs w:val="24"/>
        </w:rPr>
        <w:t xml:space="preserve">might not quite lead to an increased FDI and more economic prosperity in </w:t>
      </w:r>
      <w:r w:rsidR="00221000">
        <w:rPr>
          <w:rFonts w:ascii="Times New Roman" w:hAnsi="Times New Roman" w:cs="Times New Roman"/>
          <w:sz w:val="24"/>
          <w:szCs w:val="24"/>
        </w:rPr>
        <w:t>the countries on the receiving end</w:t>
      </w:r>
      <w:r w:rsidRPr="00D66C82">
        <w:rPr>
          <w:rFonts w:ascii="Times New Roman" w:hAnsi="Times New Roman" w:cs="Times New Roman"/>
          <w:sz w:val="24"/>
          <w:szCs w:val="24"/>
        </w:rPr>
        <w:t>, but this link between treaties, foreign investment and economic growth has been disproved in a number of recent econometric studies.</w:t>
      </w:r>
      <w:r w:rsidRPr="00D66C82">
        <w:rPr>
          <w:rStyle w:val="FootnoteReference"/>
          <w:rFonts w:ascii="Times New Roman" w:hAnsi="Times New Roman" w:cs="Times New Roman"/>
          <w:sz w:val="24"/>
          <w:szCs w:val="24"/>
        </w:rPr>
        <w:footnoteReference w:id="58"/>
      </w:r>
      <w:r w:rsidRPr="00D66C82">
        <w:rPr>
          <w:rFonts w:ascii="Times New Roman" w:hAnsi="Times New Roman" w:cs="Times New Roman"/>
          <w:sz w:val="24"/>
          <w:szCs w:val="24"/>
        </w:rPr>
        <w:t xml:space="preserve"> </w:t>
      </w:r>
      <w:r w:rsidR="00107EAB" w:rsidRPr="00D66C82">
        <w:rPr>
          <w:rFonts w:ascii="Times New Roman" w:hAnsi="Times New Roman" w:cs="Times New Roman"/>
          <w:sz w:val="24"/>
          <w:szCs w:val="24"/>
        </w:rPr>
        <w:t>Some</w:t>
      </w:r>
      <w:r w:rsidR="009A015A" w:rsidRPr="00D66C82">
        <w:rPr>
          <w:rFonts w:ascii="Times New Roman" w:hAnsi="Times New Roman" w:cs="Times New Roman"/>
          <w:sz w:val="24"/>
          <w:szCs w:val="24"/>
        </w:rPr>
        <w:t xml:space="preserve"> obvious examples </w:t>
      </w:r>
      <w:r w:rsidR="00107EAB" w:rsidRPr="00D66C82">
        <w:rPr>
          <w:rFonts w:ascii="Times New Roman" w:hAnsi="Times New Roman" w:cs="Times New Roman"/>
          <w:sz w:val="24"/>
          <w:szCs w:val="24"/>
        </w:rPr>
        <w:t xml:space="preserve">casting doubt on the importance of investment treaties for attracting FDI and fostering development </w:t>
      </w:r>
      <w:r w:rsidR="009A015A" w:rsidRPr="00D66C82">
        <w:rPr>
          <w:rFonts w:ascii="Times New Roman" w:hAnsi="Times New Roman" w:cs="Times New Roman"/>
          <w:sz w:val="24"/>
          <w:szCs w:val="24"/>
        </w:rPr>
        <w:t xml:space="preserve">include Brazil which has enjoyed a large influx of </w:t>
      </w:r>
      <w:r w:rsidR="00107EAB" w:rsidRPr="00D66C82">
        <w:rPr>
          <w:rFonts w:ascii="Times New Roman" w:hAnsi="Times New Roman" w:cs="Times New Roman"/>
          <w:sz w:val="24"/>
          <w:szCs w:val="24"/>
        </w:rPr>
        <w:t>foreign investment</w:t>
      </w:r>
      <w:r w:rsidR="009A015A" w:rsidRPr="00D66C82">
        <w:rPr>
          <w:rFonts w:ascii="Times New Roman" w:hAnsi="Times New Roman" w:cs="Times New Roman"/>
          <w:sz w:val="24"/>
          <w:szCs w:val="24"/>
        </w:rPr>
        <w:t xml:space="preserve"> despite having historically refrained from ratifying any bilateral investment treaties.</w:t>
      </w:r>
      <w:r w:rsidR="00221000">
        <w:rPr>
          <w:rStyle w:val="FootnoteReference"/>
          <w:rFonts w:ascii="Times New Roman" w:hAnsi="Times New Roman" w:cs="Times New Roman"/>
          <w:sz w:val="24"/>
          <w:szCs w:val="24"/>
        </w:rPr>
        <w:footnoteReference w:id="59"/>
      </w:r>
      <w:r w:rsidR="009A015A" w:rsidRPr="00D66C82">
        <w:rPr>
          <w:rFonts w:ascii="Times New Roman" w:hAnsi="Times New Roman" w:cs="Times New Roman"/>
          <w:sz w:val="24"/>
          <w:szCs w:val="24"/>
        </w:rPr>
        <w:t xml:space="preserve"> Conversely, the signing and ratification of numerous investment treaties between African states and developed economies has not entailed a tangible increase in investment flows and economic growth.</w:t>
      </w:r>
      <w:r w:rsidR="009A015A" w:rsidRPr="00D66C82">
        <w:rPr>
          <w:rStyle w:val="FootnoteReference"/>
          <w:rFonts w:ascii="Times New Roman" w:hAnsi="Times New Roman" w:cs="Times New Roman"/>
          <w:sz w:val="24"/>
          <w:szCs w:val="24"/>
        </w:rPr>
        <w:footnoteReference w:id="60"/>
      </w:r>
      <w:r w:rsidR="009A015A" w:rsidRPr="00D66C82">
        <w:rPr>
          <w:rFonts w:ascii="Times New Roman" w:hAnsi="Times New Roman" w:cs="Times New Roman"/>
          <w:sz w:val="24"/>
          <w:szCs w:val="24"/>
        </w:rPr>
        <w:t xml:space="preserve"> </w:t>
      </w:r>
      <w:r w:rsidR="006E0688" w:rsidRPr="00D66C82">
        <w:rPr>
          <w:rFonts w:ascii="Times New Roman" w:hAnsi="Times New Roman" w:cs="Times New Roman"/>
          <w:sz w:val="24"/>
          <w:szCs w:val="24"/>
        </w:rPr>
        <w:t>Furthermore, e</w:t>
      </w:r>
      <w:r w:rsidR="009A015A" w:rsidRPr="00D66C82">
        <w:rPr>
          <w:rFonts w:ascii="Times New Roman" w:hAnsi="Times New Roman" w:cs="Times New Roman"/>
          <w:sz w:val="24"/>
          <w:szCs w:val="24"/>
        </w:rPr>
        <w:t xml:space="preserve">ven if </w:t>
      </w:r>
      <w:r w:rsidRPr="00D66C82">
        <w:rPr>
          <w:rFonts w:ascii="Times New Roman" w:hAnsi="Times New Roman" w:cs="Times New Roman"/>
          <w:sz w:val="24"/>
          <w:szCs w:val="24"/>
        </w:rPr>
        <w:t xml:space="preserve">it could be </w:t>
      </w:r>
      <w:r w:rsidR="009A015A" w:rsidRPr="00D66C82">
        <w:rPr>
          <w:rFonts w:ascii="Times New Roman" w:hAnsi="Times New Roman" w:cs="Times New Roman"/>
          <w:sz w:val="24"/>
          <w:szCs w:val="24"/>
        </w:rPr>
        <w:t>proven that investment treaties</w:t>
      </w:r>
      <w:r w:rsidRPr="00D66C82">
        <w:rPr>
          <w:rFonts w:ascii="Times New Roman" w:hAnsi="Times New Roman" w:cs="Times New Roman"/>
          <w:sz w:val="24"/>
          <w:szCs w:val="24"/>
        </w:rPr>
        <w:t xml:space="preserve"> lead to </w:t>
      </w:r>
      <w:r w:rsidR="009A015A" w:rsidRPr="00D66C82">
        <w:rPr>
          <w:rFonts w:ascii="Times New Roman" w:hAnsi="Times New Roman" w:cs="Times New Roman"/>
          <w:sz w:val="24"/>
          <w:szCs w:val="24"/>
        </w:rPr>
        <w:t>more foreign</w:t>
      </w:r>
      <w:r w:rsidRPr="00D66C82">
        <w:rPr>
          <w:rFonts w:ascii="Times New Roman" w:hAnsi="Times New Roman" w:cs="Times New Roman"/>
          <w:sz w:val="24"/>
          <w:szCs w:val="24"/>
        </w:rPr>
        <w:t xml:space="preserve"> investment</w:t>
      </w:r>
      <w:r w:rsidR="009A015A" w:rsidRPr="00D66C82">
        <w:rPr>
          <w:rFonts w:ascii="Times New Roman" w:hAnsi="Times New Roman" w:cs="Times New Roman"/>
          <w:sz w:val="24"/>
          <w:szCs w:val="24"/>
        </w:rPr>
        <w:t xml:space="preserve"> leading to </w:t>
      </w:r>
      <w:r w:rsidRPr="00D66C82">
        <w:rPr>
          <w:rFonts w:ascii="Times New Roman" w:hAnsi="Times New Roman" w:cs="Times New Roman"/>
          <w:sz w:val="24"/>
          <w:szCs w:val="24"/>
        </w:rPr>
        <w:t xml:space="preserve">higher growth, </w:t>
      </w:r>
      <w:r w:rsidR="009A015A" w:rsidRPr="00D66C82">
        <w:rPr>
          <w:rFonts w:ascii="Times New Roman" w:hAnsi="Times New Roman" w:cs="Times New Roman"/>
          <w:sz w:val="24"/>
          <w:szCs w:val="24"/>
        </w:rPr>
        <w:t>‘[</w:t>
      </w:r>
      <w:proofErr w:type="spellStart"/>
      <w:r w:rsidRPr="00D66C82">
        <w:rPr>
          <w:rFonts w:ascii="Times New Roman" w:hAnsi="Times New Roman" w:cs="Times New Roman"/>
          <w:sz w:val="24"/>
          <w:szCs w:val="24"/>
        </w:rPr>
        <w:t>i</w:t>
      </w:r>
      <w:proofErr w:type="spellEnd"/>
      <w:r w:rsidR="009A015A" w:rsidRPr="00D66C82">
        <w:rPr>
          <w:rFonts w:ascii="Times New Roman" w:hAnsi="Times New Roman" w:cs="Times New Roman"/>
          <w:sz w:val="24"/>
          <w:szCs w:val="24"/>
        </w:rPr>
        <w:t>]</w:t>
      </w:r>
      <w:r w:rsidRPr="00D66C82">
        <w:rPr>
          <w:rFonts w:ascii="Times New Roman" w:hAnsi="Times New Roman" w:cs="Times New Roman"/>
          <w:sz w:val="24"/>
          <w:szCs w:val="24"/>
        </w:rPr>
        <w:t>t does not mean that societal welfare will increase, especially once resource depletion and environmental degr</w:t>
      </w:r>
      <w:r w:rsidR="009A015A" w:rsidRPr="00D66C82">
        <w:rPr>
          <w:rFonts w:ascii="Times New Roman" w:hAnsi="Times New Roman" w:cs="Times New Roman"/>
          <w:sz w:val="24"/>
          <w:szCs w:val="24"/>
        </w:rPr>
        <w:t>adation are taken into account.’</w:t>
      </w:r>
      <w:r w:rsidRPr="00D66C82">
        <w:rPr>
          <w:rStyle w:val="FootnoteReference"/>
          <w:rFonts w:ascii="Times New Roman" w:hAnsi="Times New Roman" w:cs="Times New Roman"/>
          <w:sz w:val="24"/>
          <w:szCs w:val="24"/>
        </w:rPr>
        <w:footnoteReference w:id="61"/>
      </w:r>
    </w:p>
    <w:p w14:paraId="2CA28E52" w14:textId="77777777" w:rsidR="00620956" w:rsidRPr="00D66C82" w:rsidRDefault="00620956" w:rsidP="00D66C82">
      <w:pPr>
        <w:autoSpaceDE w:val="0"/>
        <w:autoSpaceDN w:val="0"/>
        <w:adjustRightInd w:val="0"/>
        <w:spacing w:after="0"/>
        <w:jc w:val="both"/>
        <w:rPr>
          <w:rFonts w:ascii="Times New Roman" w:hAnsi="Times New Roman" w:cs="Times New Roman"/>
          <w:sz w:val="24"/>
          <w:szCs w:val="24"/>
        </w:rPr>
      </w:pPr>
    </w:p>
    <w:p w14:paraId="64FC1DE8" w14:textId="4BEF571E" w:rsidR="006E0688" w:rsidRPr="00D66C82" w:rsidRDefault="00620956"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 xml:space="preserve">Now that the UK is finding itself at a receiving end, </w:t>
      </w:r>
      <w:r w:rsidR="00585B8B">
        <w:rPr>
          <w:rFonts w:ascii="Times New Roman" w:hAnsi="Times New Roman" w:cs="Times New Roman"/>
          <w:sz w:val="24"/>
          <w:szCs w:val="24"/>
        </w:rPr>
        <w:t xml:space="preserve">poised </w:t>
      </w:r>
      <w:r w:rsidRPr="00D66C82">
        <w:rPr>
          <w:rFonts w:ascii="Times New Roman" w:hAnsi="Times New Roman" w:cs="Times New Roman"/>
          <w:sz w:val="24"/>
          <w:szCs w:val="24"/>
        </w:rPr>
        <w:t>as a recipient of foreign investment from other developed a</w:t>
      </w:r>
      <w:r w:rsidR="002F1087">
        <w:rPr>
          <w:rFonts w:ascii="Times New Roman" w:hAnsi="Times New Roman" w:cs="Times New Roman"/>
          <w:sz w:val="24"/>
          <w:szCs w:val="24"/>
        </w:rPr>
        <w:t>s well as</w:t>
      </w:r>
      <w:r w:rsidRPr="00D66C82">
        <w:rPr>
          <w:rFonts w:ascii="Times New Roman" w:hAnsi="Times New Roman" w:cs="Times New Roman"/>
          <w:sz w:val="24"/>
          <w:szCs w:val="24"/>
        </w:rPr>
        <w:t xml:space="preserve"> emerging economies, would future UK investment treaties be re-designed to genuinely foster development both in partner states and in the UK, in particular its regions? If sovereignty is </w:t>
      </w:r>
      <w:r w:rsidR="006E0688" w:rsidRPr="00D66C82">
        <w:rPr>
          <w:rFonts w:ascii="Times New Roman" w:hAnsi="Times New Roman" w:cs="Times New Roman"/>
          <w:sz w:val="24"/>
          <w:szCs w:val="24"/>
        </w:rPr>
        <w:t>to be sacrificed</w:t>
      </w:r>
      <w:r w:rsidRPr="00D66C82">
        <w:rPr>
          <w:rFonts w:ascii="Times New Roman" w:hAnsi="Times New Roman" w:cs="Times New Roman"/>
          <w:sz w:val="24"/>
          <w:szCs w:val="24"/>
        </w:rPr>
        <w:t xml:space="preserve"> for more foreign investment in the name of economic development, the question arises as to how the commitment to development would manifest itself in future UK investment treaties. </w:t>
      </w:r>
      <w:r w:rsidR="006C0E2B" w:rsidRPr="00D66C82">
        <w:rPr>
          <w:rFonts w:ascii="Times New Roman" w:hAnsi="Times New Roman" w:cs="Times New Roman"/>
          <w:sz w:val="24"/>
          <w:szCs w:val="24"/>
        </w:rPr>
        <w:t xml:space="preserve">Will </w:t>
      </w:r>
      <w:r w:rsidR="003C0C73" w:rsidRPr="00D66C82">
        <w:rPr>
          <w:rFonts w:ascii="Times New Roman" w:hAnsi="Times New Roman" w:cs="Times New Roman"/>
          <w:sz w:val="24"/>
          <w:szCs w:val="24"/>
        </w:rPr>
        <w:t>future treaties</w:t>
      </w:r>
      <w:r w:rsidR="006C0E2B" w:rsidRPr="00D66C82">
        <w:rPr>
          <w:rFonts w:ascii="Times New Roman" w:hAnsi="Times New Roman" w:cs="Times New Roman"/>
          <w:sz w:val="24"/>
          <w:szCs w:val="24"/>
        </w:rPr>
        <w:t xml:space="preserve"> feature a more development friendly definition of investment</w:t>
      </w:r>
      <w:r w:rsidR="003C0C73" w:rsidRPr="00D66C82">
        <w:rPr>
          <w:rFonts w:ascii="Times New Roman" w:hAnsi="Times New Roman" w:cs="Times New Roman"/>
          <w:sz w:val="24"/>
          <w:szCs w:val="24"/>
        </w:rPr>
        <w:t>,</w:t>
      </w:r>
      <w:r w:rsidR="006C0E2B" w:rsidRPr="00D66C82">
        <w:rPr>
          <w:rFonts w:ascii="Times New Roman" w:hAnsi="Times New Roman" w:cs="Times New Roman"/>
          <w:sz w:val="24"/>
          <w:szCs w:val="24"/>
        </w:rPr>
        <w:t xml:space="preserve"> and will there be </w:t>
      </w:r>
      <w:r w:rsidR="006E0688" w:rsidRPr="00D66C82">
        <w:rPr>
          <w:rFonts w:ascii="Times New Roman" w:hAnsi="Times New Roman" w:cs="Times New Roman"/>
          <w:sz w:val="24"/>
          <w:szCs w:val="24"/>
        </w:rPr>
        <w:t xml:space="preserve">clearly articulated and effectively enforceable </w:t>
      </w:r>
      <w:r w:rsidR="006C0E2B" w:rsidRPr="00D66C82">
        <w:rPr>
          <w:rFonts w:ascii="Times New Roman" w:hAnsi="Times New Roman" w:cs="Times New Roman"/>
          <w:sz w:val="24"/>
          <w:szCs w:val="24"/>
        </w:rPr>
        <w:t>provisions on investor responsibilities</w:t>
      </w:r>
      <w:r w:rsidR="003C0C73" w:rsidRPr="00D66C82">
        <w:rPr>
          <w:rFonts w:ascii="Times New Roman" w:hAnsi="Times New Roman" w:cs="Times New Roman"/>
          <w:sz w:val="24"/>
          <w:szCs w:val="24"/>
        </w:rPr>
        <w:t>, including corporate social responsibility and sustainable development commitments</w:t>
      </w:r>
      <w:r w:rsidR="006C0E2B" w:rsidRPr="00D66C82">
        <w:rPr>
          <w:rFonts w:ascii="Times New Roman" w:hAnsi="Times New Roman" w:cs="Times New Roman"/>
          <w:sz w:val="24"/>
          <w:szCs w:val="24"/>
        </w:rPr>
        <w:t>?</w:t>
      </w:r>
      <w:r w:rsidR="00056E51" w:rsidRPr="00D66C82">
        <w:rPr>
          <w:rFonts w:ascii="Times New Roman" w:hAnsi="Times New Roman" w:cs="Times New Roman"/>
          <w:sz w:val="24"/>
          <w:szCs w:val="24"/>
        </w:rPr>
        <w:t xml:space="preserve"> How will the future treaties balance the protection and promotion of investment with the need to retain regulatory freedom and to make treaties work for all, </w:t>
      </w:r>
      <w:r w:rsidR="00D66C82">
        <w:rPr>
          <w:rFonts w:ascii="Times New Roman" w:hAnsi="Times New Roman" w:cs="Times New Roman"/>
          <w:sz w:val="24"/>
          <w:szCs w:val="24"/>
        </w:rPr>
        <w:t>e.g.</w:t>
      </w:r>
      <w:r w:rsidR="00056E51" w:rsidRPr="00D66C82">
        <w:rPr>
          <w:rFonts w:ascii="Times New Roman" w:hAnsi="Times New Roman" w:cs="Times New Roman"/>
          <w:sz w:val="24"/>
          <w:szCs w:val="24"/>
        </w:rPr>
        <w:t xml:space="preserve"> </w:t>
      </w:r>
      <w:r w:rsidR="00774274" w:rsidRPr="00D66C82">
        <w:rPr>
          <w:rFonts w:ascii="Times New Roman" w:hAnsi="Times New Roman" w:cs="Times New Roman"/>
          <w:sz w:val="24"/>
          <w:szCs w:val="24"/>
        </w:rPr>
        <w:t>foster development</w:t>
      </w:r>
      <w:r w:rsidR="003C0C73" w:rsidRPr="00D66C82">
        <w:rPr>
          <w:rFonts w:ascii="Times New Roman" w:hAnsi="Times New Roman" w:cs="Times New Roman"/>
          <w:sz w:val="24"/>
          <w:szCs w:val="24"/>
        </w:rPr>
        <w:t xml:space="preserve"> in local communities</w:t>
      </w:r>
      <w:r w:rsidR="00774274" w:rsidRPr="00D66C82">
        <w:rPr>
          <w:rFonts w:ascii="Times New Roman" w:hAnsi="Times New Roman" w:cs="Times New Roman"/>
          <w:sz w:val="24"/>
          <w:szCs w:val="24"/>
        </w:rPr>
        <w:t>?</w:t>
      </w:r>
      <w:r w:rsidR="004A07BC" w:rsidRPr="00D66C82">
        <w:rPr>
          <w:rFonts w:ascii="Times New Roman" w:hAnsi="Times New Roman" w:cs="Times New Roman"/>
          <w:sz w:val="24"/>
          <w:szCs w:val="24"/>
        </w:rPr>
        <w:t xml:space="preserve"> </w:t>
      </w:r>
    </w:p>
    <w:p w14:paraId="1E835B87" w14:textId="77777777" w:rsidR="006E0688" w:rsidRPr="00D66C82" w:rsidRDefault="006E0688" w:rsidP="00D66C82">
      <w:pPr>
        <w:autoSpaceDE w:val="0"/>
        <w:autoSpaceDN w:val="0"/>
        <w:adjustRightInd w:val="0"/>
        <w:spacing w:after="0"/>
        <w:jc w:val="both"/>
        <w:rPr>
          <w:rFonts w:ascii="Times New Roman" w:hAnsi="Times New Roman" w:cs="Times New Roman"/>
          <w:sz w:val="24"/>
          <w:szCs w:val="24"/>
        </w:rPr>
      </w:pPr>
    </w:p>
    <w:p w14:paraId="50F407B9" w14:textId="2C2466C7" w:rsidR="008B43CD" w:rsidRPr="00E215CF" w:rsidRDefault="006E0688"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T</w:t>
      </w:r>
      <w:r w:rsidR="008E7ADE" w:rsidRPr="00D66C82">
        <w:rPr>
          <w:rFonts w:ascii="Times New Roman" w:hAnsi="Times New Roman" w:cs="Times New Roman"/>
          <w:sz w:val="24"/>
          <w:szCs w:val="24"/>
        </w:rPr>
        <w:t xml:space="preserve">he existing investment treaties of the UK (which the government is likely to use as a springboard for its future agreements) remain strongly focused on investment protection and therefore cannot accommodate the inherently clashing concerns between investment protection and national regulatory sovereignty. Furthermore, as shown above, </w:t>
      </w:r>
      <w:r w:rsidR="004A07BC" w:rsidRPr="00D66C82">
        <w:rPr>
          <w:rFonts w:ascii="Times New Roman" w:hAnsi="Times New Roman" w:cs="Times New Roman"/>
          <w:sz w:val="24"/>
          <w:szCs w:val="24"/>
        </w:rPr>
        <w:t>UK investment treaties have</w:t>
      </w:r>
      <w:r w:rsidR="00BB5FA7" w:rsidRPr="00D66C82">
        <w:rPr>
          <w:rFonts w:ascii="Times New Roman" w:hAnsi="Times New Roman" w:cs="Times New Roman"/>
          <w:sz w:val="24"/>
          <w:szCs w:val="24"/>
        </w:rPr>
        <w:t xml:space="preserve"> not</w:t>
      </w:r>
      <w:r w:rsidR="004A07BC" w:rsidRPr="00D66C82">
        <w:rPr>
          <w:rFonts w:ascii="Times New Roman" w:hAnsi="Times New Roman" w:cs="Times New Roman"/>
          <w:sz w:val="24"/>
          <w:szCs w:val="24"/>
        </w:rPr>
        <w:t xml:space="preserve"> been designed to foster economic development</w:t>
      </w:r>
      <w:r w:rsidR="00BB5FA7" w:rsidRPr="00D66C82">
        <w:rPr>
          <w:rFonts w:ascii="Times New Roman" w:hAnsi="Times New Roman" w:cs="Times New Roman"/>
          <w:sz w:val="24"/>
          <w:szCs w:val="24"/>
        </w:rPr>
        <w:t xml:space="preserve"> (even if they often claimed the development to be their primary objective)</w:t>
      </w:r>
      <w:r w:rsidR="008E7ADE" w:rsidRPr="00D66C82">
        <w:rPr>
          <w:rFonts w:ascii="Times New Roman" w:hAnsi="Times New Roman" w:cs="Times New Roman"/>
          <w:sz w:val="24"/>
          <w:szCs w:val="24"/>
        </w:rPr>
        <w:t>. I</w:t>
      </w:r>
      <w:r w:rsidR="004A07BC" w:rsidRPr="00D66C82">
        <w:rPr>
          <w:rFonts w:ascii="Times New Roman" w:hAnsi="Times New Roman" w:cs="Times New Roman"/>
          <w:sz w:val="24"/>
          <w:szCs w:val="24"/>
        </w:rPr>
        <w:t xml:space="preserve">f they were to be </w:t>
      </w:r>
      <w:r w:rsidR="008B43CD" w:rsidRPr="00D66C82">
        <w:rPr>
          <w:rFonts w:ascii="Times New Roman" w:hAnsi="Times New Roman" w:cs="Times New Roman"/>
          <w:sz w:val="24"/>
          <w:szCs w:val="24"/>
        </w:rPr>
        <w:t>re-crafted</w:t>
      </w:r>
      <w:r w:rsidR="004A07BC" w:rsidRPr="00D66C82">
        <w:rPr>
          <w:rFonts w:ascii="Times New Roman" w:hAnsi="Times New Roman" w:cs="Times New Roman"/>
          <w:sz w:val="24"/>
          <w:szCs w:val="24"/>
        </w:rPr>
        <w:t xml:space="preserve"> into economic instruments that work for all, including in the UK and its regions, it is tremendously important that relevant provisions are included in treaty text</w:t>
      </w:r>
      <w:r w:rsidR="003C0C73" w:rsidRPr="00D66C82">
        <w:rPr>
          <w:rFonts w:ascii="Times New Roman" w:hAnsi="Times New Roman" w:cs="Times New Roman"/>
          <w:sz w:val="24"/>
          <w:szCs w:val="24"/>
        </w:rPr>
        <w:t>s</w:t>
      </w:r>
      <w:r w:rsidR="004A07BC" w:rsidRPr="00D66C82">
        <w:rPr>
          <w:rFonts w:ascii="Times New Roman" w:hAnsi="Times New Roman" w:cs="Times New Roman"/>
          <w:sz w:val="24"/>
          <w:szCs w:val="24"/>
        </w:rPr>
        <w:t xml:space="preserve"> and that such provisions are not merely hortatory in their nature.</w:t>
      </w:r>
      <w:r w:rsidR="008B43CD" w:rsidRPr="00D66C82">
        <w:rPr>
          <w:rFonts w:ascii="Times New Roman" w:hAnsi="Times New Roman" w:cs="Times New Roman"/>
          <w:sz w:val="24"/>
          <w:szCs w:val="24"/>
        </w:rPr>
        <w:t xml:space="preserve"> </w:t>
      </w:r>
      <w:r w:rsidR="00E215CF">
        <w:rPr>
          <w:rFonts w:ascii="Times New Roman" w:hAnsi="Times New Roman" w:cs="Times New Roman"/>
          <w:sz w:val="24"/>
          <w:szCs w:val="24"/>
        </w:rPr>
        <w:t>The truism that is becoming increasingly relevant for the UK</w:t>
      </w:r>
      <w:r w:rsidRPr="00D66C82">
        <w:rPr>
          <w:rFonts w:ascii="Times New Roman" w:hAnsi="Times New Roman" w:cs="Times New Roman"/>
          <w:sz w:val="24"/>
          <w:szCs w:val="24"/>
        </w:rPr>
        <w:t xml:space="preserve"> </w:t>
      </w:r>
      <w:r w:rsidR="00E215CF">
        <w:rPr>
          <w:rFonts w:ascii="Times New Roman" w:hAnsi="Times New Roman" w:cs="Times New Roman"/>
          <w:sz w:val="24"/>
          <w:szCs w:val="24"/>
        </w:rPr>
        <w:t xml:space="preserve">society is that </w:t>
      </w:r>
      <w:r w:rsidRPr="00D66C82">
        <w:rPr>
          <w:rFonts w:ascii="Times New Roman" w:hAnsi="Times New Roman" w:cs="Times New Roman"/>
          <w:sz w:val="24"/>
          <w:szCs w:val="24"/>
        </w:rPr>
        <w:t>‘the gains of economic liberalisation should not be lost to its beneficiaries.’</w:t>
      </w:r>
      <w:r w:rsidRPr="00D66C82">
        <w:rPr>
          <w:rStyle w:val="FootnoteReference"/>
          <w:rFonts w:ascii="Times New Roman" w:hAnsi="Times New Roman" w:cs="Times New Roman"/>
          <w:sz w:val="24"/>
          <w:szCs w:val="24"/>
        </w:rPr>
        <w:footnoteReference w:id="62"/>
      </w:r>
      <w:r w:rsidRPr="00D66C82">
        <w:rPr>
          <w:rFonts w:ascii="Times New Roman" w:hAnsi="Times New Roman" w:cs="Times New Roman"/>
          <w:sz w:val="24"/>
          <w:szCs w:val="24"/>
        </w:rPr>
        <w:t xml:space="preserve"> The challenge for those in charge of the new UK foreign investment policy is to design treaties that would facilitate socio-economic growth and prosperity while ensuring that the UK retains sovereign right to regulate and legislate in pursuit of important public policy objectives. For post-</w:t>
      </w:r>
      <w:r w:rsidRPr="00E215CF">
        <w:rPr>
          <w:rFonts w:ascii="Times New Roman" w:hAnsi="Times New Roman" w:cs="Times New Roman"/>
          <w:sz w:val="24"/>
          <w:szCs w:val="24"/>
        </w:rPr>
        <w:t xml:space="preserve">Brexit investment protection policies to be compatible with the government’s promise to </w:t>
      </w:r>
      <w:r w:rsidR="00E215CF" w:rsidRPr="00E215CF">
        <w:rPr>
          <w:rFonts w:ascii="Times New Roman" w:hAnsi="Times New Roman" w:cs="Times New Roman"/>
          <w:sz w:val="24"/>
          <w:szCs w:val="24"/>
        </w:rPr>
        <w:t xml:space="preserve">transform </w:t>
      </w:r>
      <w:r w:rsidR="00E215CF" w:rsidRPr="00E215CF">
        <w:rPr>
          <w:rFonts w:ascii="Times New Roman" w:hAnsi="Times New Roman" w:cs="Times New Roman"/>
          <w:color w:val="0B0C0C"/>
          <w:sz w:val="24"/>
          <w:szCs w:val="24"/>
          <w:shd w:val="clear" w:color="auto" w:fill="FFFFFF"/>
        </w:rPr>
        <w:t>Britain into ‘a country that works not for a privileged few, but for every one of us</w:t>
      </w:r>
      <w:r w:rsidR="00E215CF" w:rsidRPr="00E215CF">
        <w:rPr>
          <w:rFonts w:ascii="Times New Roman" w:hAnsi="Times New Roman" w:cs="Times New Roman"/>
          <w:sz w:val="24"/>
          <w:szCs w:val="24"/>
        </w:rPr>
        <w:t>’,</w:t>
      </w:r>
      <w:r w:rsidR="00E215CF">
        <w:rPr>
          <w:rStyle w:val="FootnoteReference"/>
          <w:rFonts w:ascii="Times New Roman" w:hAnsi="Times New Roman" w:cs="Times New Roman"/>
          <w:sz w:val="24"/>
          <w:szCs w:val="24"/>
        </w:rPr>
        <w:footnoteReference w:id="63"/>
      </w:r>
      <w:r w:rsidRPr="00E215CF">
        <w:rPr>
          <w:rFonts w:ascii="Times New Roman" w:hAnsi="Times New Roman" w:cs="Times New Roman"/>
          <w:sz w:val="24"/>
          <w:szCs w:val="24"/>
        </w:rPr>
        <w:t xml:space="preserve"> a </w:t>
      </w:r>
      <w:r w:rsidR="00B44C55">
        <w:rPr>
          <w:rFonts w:ascii="Times New Roman" w:hAnsi="Times New Roman" w:cs="Times New Roman"/>
          <w:sz w:val="24"/>
          <w:szCs w:val="24"/>
        </w:rPr>
        <w:t xml:space="preserve">bold and </w:t>
      </w:r>
      <w:r w:rsidRPr="00E215CF">
        <w:rPr>
          <w:rFonts w:ascii="Times New Roman" w:hAnsi="Times New Roman" w:cs="Times New Roman"/>
          <w:sz w:val="24"/>
          <w:szCs w:val="24"/>
        </w:rPr>
        <w:t>radical overhaul of the existing model treaties is needed.</w:t>
      </w:r>
    </w:p>
    <w:p w14:paraId="7ED879A4" w14:textId="46067AEB" w:rsidR="00D51000" w:rsidRPr="00FE20E0" w:rsidRDefault="00FE20E0" w:rsidP="00FE20E0">
      <w:pPr>
        <w:pStyle w:val="Heading1"/>
        <w:numPr>
          <w:ilvl w:val="0"/>
          <w:numId w:val="4"/>
        </w:numPr>
        <w:ind w:left="426" w:hanging="426"/>
        <w:rPr>
          <w:rFonts w:ascii="Times New Roman" w:hAnsi="Times New Roman" w:cs="Times New Roman"/>
          <w:color w:val="auto"/>
          <w:sz w:val="24"/>
          <w:szCs w:val="24"/>
        </w:rPr>
      </w:pPr>
      <w:r w:rsidRPr="00FE20E0">
        <w:rPr>
          <w:rFonts w:ascii="Times New Roman" w:hAnsi="Times New Roman" w:cs="Times New Roman"/>
          <w:color w:val="auto"/>
          <w:sz w:val="24"/>
          <w:szCs w:val="24"/>
        </w:rPr>
        <w:t>Process: The Importance of Transparent, Inclusive and Participatory Investment T</w:t>
      </w:r>
      <w:r w:rsidR="00A81324" w:rsidRPr="00FE20E0">
        <w:rPr>
          <w:rFonts w:ascii="Times New Roman" w:hAnsi="Times New Roman" w:cs="Times New Roman"/>
          <w:color w:val="auto"/>
          <w:sz w:val="24"/>
          <w:szCs w:val="24"/>
        </w:rPr>
        <w:t>reaty-making</w:t>
      </w:r>
    </w:p>
    <w:p w14:paraId="51BF92BF" w14:textId="77777777" w:rsidR="00D51000" w:rsidRPr="00E215CF" w:rsidRDefault="00D51000" w:rsidP="00D66C82">
      <w:pPr>
        <w:autoSpaceDE w:val="0"/>
        <w:autoSpaceDN w:val="0"/>
        <w:adjustRightInd w:val="0"/>
        <w:spacing w:after="0"/>
        <w:jc w:val="both"/>
        <w:rPr>
          <w:rFonts w:ascii="Times New Roman" w:hAnsi="Times New Roman" w:cs="Times New Roman"/>
          <w:sz w:val="24"/>
          <w:szCs w:val="24"/>
        </w:rPr>
      </w:pPr>
    </w:p>
    <w:p w14:paraId="3D6D8121" w14:textId="7507B7CF" w:rsidR="005F392A" w:rsidRPr="00D66C82" w:rsidRDefault="003E46A6" w:rsidP="00D66C82">
      <w:pPr>
        <w:autoSpaceDE w:val="0"/>
        <w:autoSpaceDN w:val="0"/>
        <w:adjustRightInd w:val="0"/>
        <w:spacing w:after="0"/>
        <w:jc w:val="both"/>
        <w:rPr>
          <w:rFonts w:ascii="Times New Roman" w:hAnsi="Times New Roman" w:cs="Times New Roman"/>
          <w:sz w:val="24"/>
          <w:szCs w:val="24"/>
        </w:rPr>
      </w:pPr>
      <w:r w:rsidRPr="00E215CF">
        <w:rPr>
          <w:rFonts w:ascii="Times New Roman" w:hAnsi="Times New Roman" w:cs="Times New Roman"/>
          <w:sz w:val="24"/>
          <w:szCs w:val="24"/>
        </w:rPr>
        <w:t xml:space="preserve">Finally, another important </w:t>
      </w:r>
      <w:r w:rsidR="00DB0EA0" w:rsidRPr="00E215CF">
        <w:rPr>
          <w:rFonts w:ascii="Times New Roman" w:hAnsi="Times New Roman" w:cs="Times New Roman"/>
          <w:sz w:val="24"/>
          <w:szCs w:val="24"/>
        </w:rPr>
        <w:t>question</w:t>
      </w:r>
      <w:r w:rsidRPr="00E215CF">
        <w:rPr>
          <w:rFonts w:ascii="Times New Roman" w:hAnsi="Times New Roman" w:cs="Times New Roman"/>
          <w:sz w:val="24"/>
          <w:szCs w:val="24"/>
        </w:rPr>
        <w:t xml:space="preserve"> the UK policymakers will ne</w:t>
      </w:r>
      <w:r w:rsidR="00DB0EA0" w:rsidRPr="00E215CF">
        <w:rPr>
          <w:rFonts w:ascii="Times New Roman" w:hAnsi="Times New Roman" w:cs="Times New Roman"/>
          <w:sz w:val="24"/>
          <w:szCs w:val="24"/>
        </w:rPr>
        <w:t>ed to address in designing post-</w:t>
      </w:r>
      <w:r w:rsidRPr="00E215CF">
        <w:rPr>
          <w:rFonts w:ascii="Times New Roman" w:hAnsi="Times New Roman" w:cs="Times New Roman"/>
          <w:sz w:val="24"/>
          <w:szCs w:val="24"/>
        </w:rPr>
        <w:t xml:space="preserve">Brexit investment protection policy </w:t>
      </w:r>
      <w:r w:rsidR="00BB5FA7" w:rsidRPr="00E215CF">
        <w:rPr>
          <w:rFonts w:ascii="Times New Roman" w:hAnsi="Times New Roman" w:cs="Times New Roman"/>
          <w:sz w:val="24"/>
          <w:szCs w:val="24"/>
        </w:rPr>
        <w:t>is how to ensure</w:t>
      </w:r>
      <w:r w:rsidRPr="00E215CF">
        <w:rPr>
          <w:rFonts w:ascii="Times New Roman" w:hAnsi="Times New Roman" w:cs="Times New Roman"/>
          <w:sz w:val="24"/>
          <w:szCs w:val="24"/>
        </w:rPr>
        <w:t xml:space="preserve"> democratic legitimacy of the </w:t>
      </w:r>
      <w:r w:rsidR="00221000">
        <w:rPr>
          <w:rFonts w:ascii="Times New Roman" w:hAnsi="Times New Roman" w:cs="Times New Roman"/>
          <w:sz w:val="24"/>
          <w:szCs w:val="24"/>
        </w:rPr>
        <w:t xml:space="preserve">investment treaty </w:t>
      </w:r>
      <w:r w:rsidRPr="00E215CF">
        <w:rPr>
          <w:rFonts w:ascii="Times New Roman" w:hAnsi="Times New Roman" w:cs="Times New Roman"/>
          <w:sz w:val="24"/>
          <w:szCs w:val="24"/>
        </w:rPr>
        <w:t>regime.</w:t>
      </w:r>
      <w:r w:rsidR="005F392A" w:rsidRPr="00E215CF">
        <w:rPr>
          <w:rFonts w:ascii="Times New Roman" w:hAnsi="Times New Roman" w:cs="Times New Roman"/>
          <w:sz w:val="24"/>
          <w:szCs w:val="24"/>
        </w:rPr>
        <w:t xml:space="preserve"> Long before the UK referendum on the EU membership, the processe</w:t>
      </w:r>
      <w:r w:rsidR="005F392A" w:rsidRPr="00D66C82">
        <w:rPr>
          <w:rFonts w:ascii="Times New Roman" w:hAnsi="Times New Roman" w:cs="Times New Roman"/>
          <w:sz w:val="24"/>
          <w:szCs w:val="24"/>
        </w:rPr>
        <w:t xml:space="preserve">s underpinning the formation and operation of international </w:t>
      </w:r>
      <w:r w:rsidR="0068610D" w:rsidRPr="00D66C82">
        <w:rPr>
          <w:rFonts w:ascii="Times New Roman" w:hAnsi="Times New Roman" w:cs="Times New Roman"/>
          <w:sz w:val="24"/>
          <w:szCs w:val="24"/>
        </w:rPr>
        <w:t>economic</w:t>
      </w:r>
      <w:r w:rsidR="005F392A" w:rsidRPr="00D66C82">
        <w:rPr>
          <w:rFonts w:ascii="Times New Roman" w:hAnsi="Times New Roman" w:cs="Times New Roman"/>
          <w:sz w:val="24"/>
          <w:szCs w:val="24"/>
        </w:rPr>
        <w:t xml:space="preserve"> agreements </w:t>
      </w:r>
      <w:r w:rsidR="00221000">
        <w:rPr>
          <w:rFonts w:ascii="Times New Roman" w:hAnsi="Times New Roman" w:cs="Times New Roman"/>
          <w:sz w:val="24"/>
          <w:szCs w:val="24"/>
        </w:rPr>
        <w:t>had been</w:t>
      </w:r>
      <w:r w:rsidR="001441C1" w:rsidRPr="00D66C82">
        <w:rPr>
          <w:rFonts w:ascii="Times New Roman" w:hAnsi="Times New Roman" w:cs="Times New Roman"/>
          <w:sz w:val="24"/>
          <w:szCs w:val="24"/>
        </w:rPr>
        <w:t xml:space="preserve"> criticis</w:t>
      </w:r>
      <w:r w:rsidR="005F392A" w:rsidRPr="00D66C82">
        <w:rPr>
          <w:rFonts w:ascii="Times New Roman" w:hAnsi="Times New Roman" w:cs="Times New Roman"/>
          <w:sz w:val="24"/>
          <w:szCs w:val="24"/>
        </w:rPr>
        <w:t xml:space="preserve">ed for their failure to secure the democratic character of the resulting decision-making structures and outputs. In the words of Harlow, </w:t>
      </w:r>
      <w:r w:rsidR="0068610D" w:rsidRPr="00D66C82">
        <w:rPr>
          <w:rFonts w:ascii="Times New Roman" w:hAnsi="Times New Roman" w:cs="Times New Roman"/>
          <w:sz w:val="24"/>
          <w:szCs w:val="24"/>
        </w:rPr>
        <w:t>‘</w:t>
      </w:r>
      <w:r w:rsidR="005F392A" w:rsidRPr="00D66C82">
        <w:rPr>
          <w:rFonts w:ascii="Times New Roman" w:hAnsi="Times New Roman" w:cs="Times New Roman"/>
          <w:sz w:val="24"/>
          <w:szCs w:val="24"/>
        </w:rPr>
        <w:t>in global space, power is diffused to networks of private and public actors, escaping the painfully established controls of democratic government and public law.’</w:t>
      </w:r>
      <w:r w:rsidR="005F392A" w:rsidRPr="00D66C82">
        <w:rPr>
          <w:rStyle w:val="FootnoteReference"/>
          <w:rFonts w:ascii="Times New Roman" w:hAnsi="Times New Roman" w:cs="Times New Roman"/>
          <w:sz w:val="24"/>
          <w:szCs w:val="24"/>
        </w:rPr>
        <w:footnoteReference w:id="64"/>
      </w:r>
      <w:r w:rsidR="001441C1" w:rsidRPr="00D66C82">
        <w:rPr>
          <w:rFonts w:ascii="Times New Roman" w:hAnsi="Times New Roman" w:cs="Times New Roman"/>
          <w:sz w:val="24"/>
          <w:szCs w:val="24"/>
        </w:rPr>
        <w:t xml:space="preserve"> </w:t>
      </w:r>
      <w:r w:rsidR="0068610D" w:rsidRPr="00D66C82">
        <w:rPr>
          <w:rFonts w:ascii="Times New Roman" w:hAnsi="Times New Roman" w:cs="Times New Roman"/>
          <w:sz w:val="24"/>
          <w:szCs w:val="24"/>
        </w:rPr>
        <w:t>I</w:t>
      </w:r>
      <w:r w:rsidR="005F392A" w:rsidRPr="00D66C82">
        <w:rPr>
          <w:rFonts w:ascii="Times New Roman" w:hAnsi="Times New Roman" w:cs="Times New Roman"/>
          <w:sz w:val="24"/>
          <w:szCs w:val="24"/>
        </w:rPr>
        <w:t xml:space="preserve">nvestment protection treaties </w:t>
      </w:r>
      <w:r w:rsidR="0068610D" w:rsidRPr="00D66C82">
        <w:rPr>
          <w:rFonts w:ascii="Times New Roman" w:hAnsi="Times New Roman" w:cs="Times New Roman"/>
          <w:sz w:val="24"/>
          <w:szCs w:val="24"/>
        </w:rPr>
        <w:t>form part</w:t>
      </w:r>
      <w:r w:rsidR="005F392A" w:rsidRPr="00D66C82">
        <w:rPr>
          <w:rFonts w:ascii="Times New Roman" w:hAnsi="Times New Roman" w:cs="Times New Roman"/>
          <w:sz w:val="24"/>
          <w:szCs w:val="24"/>
        </w:rPr>
        <w:t xml:space="preserve"> the global economic governance framework which is </w:t>
      </w:r>
      <w:r w:rsidR="00221000">
        <w:rPr>
          <w:rFonts w:ascii="Times New Roman" w:hAnsi="Times New Roman" w:cs="Times New Roman"/>
          <w:sz w:val="24"/>
          <w:szCs w:val="24"/>
        </w:rPr>
        <w:t xml:space="preserve">still </w:t>
      </w:r>
      <w:r w:rsidR="0068610D" w:rsidRPr="00D66C82">
        <w:rPr>
          <w:rFonts w:ascii="Times New Roman" w:hAnsi="Times New Roman" w:cs="Times New Roman"/>
          <w:sz w:val="24"/>
          <w:szCs w:val="24"/>
        </w:rPr>
        <w:t xml:space="preserve">seen as </w:t>
      </w:r>
      <w:r w:rsidR="005F392A" w:rsidRPr="00D66C82">
        <w:rPr>
          <w:rFonts w:ascii="Times New Roman" w:hAnsi="Times New Roman" w:cs="Times New Roman"/>
          <w:sz w:val="24"/>
          <w:szCs w:val="24"/>
        </w:rPr>
        <w:t>not only ‘inherently less-permeable to democratically-grounded values and conceptions of the public interest or collective good, but also less capable of generating the public policy outcomes people want.’</w:t>
      </w:r>
      <w:r w:rsidR="005F392A" w:rsidRPr="00D66C82">
        <w:rPr>
          <w:rStyle w:val="FootnoteReference"/>
          <w:rFonts w:ascii="Times New Roman" w:hAnsi="Times New Roman" w:cs="Times New Roman"/>
          <w:sz w:val="24"/>
          <w:szCs w:val="24"/>
        </w:rPr>
        <w:footnoteReference w:id="65"/>
      </w:r>
      <w:r w:rsidR="005F392A" w:rsidRPr="00D66C82">
        <w:rPr>
          <w:rFonts w:ascii="Times New Roman" w:hAnsi="Times New Roman" w:cs="Times New Roman"/>
          <w:sz w:val="24"/>
          <w:szCs w:val="24"/>
        </w:rPr>
        <w:t xml:space="preserve"> </w:t>
      </w:r>
    </w:p>
    <w:p w14:paraId="2CFF9D5D" w14:textId="77777777" w:rsidR="0068610D" w:rsidRPr="00D66C82" w:rsidRDefault="0068610D" w:rsidP="00D66C82">
      <w:pPr>
        <w:autoSpaceDE w:val="0"/>
        <w:autoSpaceDN w:val="0"/>
        <w:adjustRightInd w:val="0"/>
        <w:spacing w:after="0"/>
        <w:jc w:val="both"/>
        <w:rPr>
          <w:rFonts w:ascii="Times New Roman" w:hAnsi="Times New Roman" w:cs="Times New Roman"/>
          <w:sz w:val="24"/>
          <w:szCs w:val="24"/>
        </w:rPr>
      </w:pPr>
    </w:p>
    <w:p w14:paraId="7EF17E67" w14:textId="1DFC94FA" w:rsidR="001441C1" w:rsidRPr="00D66C82" w:rsidRDefault="0068610D"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 xml:space="preserve">The concrete challenges UK policymakers will face here relate to </w:t>
      </w:r>
      <w:r w:rsidR="004D5248" w:rsidRPr="00D66C82">
        <w:rPr>
          <w:rFonts w:ascii="Times New Roman" w:hAnsi="Times New Roman" w:cs="Times New Roman"/>
          <w:sz w:val="24"/>
          <w:szCs w:val="24"/>
        </w:rPr>
        <w:t xml:space="preserve">democratic input in </w:t>
      </w:r>
      <w:r w:rsidRPr="00D66C82">
        <w:rPr>
          <w:rFonts w:ascii="Times New Roman" w:hAnsi="Times New Roman" w:cs="Times New Roman"/>
          <w:sz w:val="24"/>
          <w:szCs w:val="24"/>
        </w:rPr>
        <w:t xml:space="preserve">the process of drafting and negotiating investment treaties. Historically, treaty negotiations were a largely technocratic </w:t>
      </w:r>
      <w:r w:rsidR="00221000">
        <w:rPr>
          <w:rFonts w:ascii="Times New Roman" w:hAnsi="Times New Roman" w:cs="Times New Roman"/>
          <w:sz w:val="24"/>
          <w:szCs w:val="24"/>
        </w:rPr>
        <w:t>affair and there was limited, if any, direct and representative democratic input</w:t>
      </w:r>
      <w:r w:rsidRPr="00D66C82">
        <w:rPr>
          <w:rFonts w:ascii="Times New Roman" w:hAnsi="Times New Roman" w:cs="Times New Roman"/>
          <w:sz w:val="24"/>
          <w:szCs w:val="24"/>
        </w:rPr>
        <w:t xml:space="preserve">. </w:t>
      </w:r>
      <w:r w:rsidR="001441C1" w:rsidRPr="00D66C82">
        <w:rPr>
          <w:rFonts w:ascii="Times New Roman" w:hAnsi="Times New Roman" w:cs="Times New Roman"/>
          <w:sz w:val="24"/>
          <w:szCs w:val="24"/>
        </w:rPr>
        <w:t xml:space="preserve">Both the processes giving rise to investment policy and investor-state arbitration are </w:t>
      </w:r>
      <w:r w:rsidR="00221000">
        <w:rPr>
          <w:rFonts w:ascii="Times New Roman" w:hAnsi="Times New Roman" w:cs="Times New Roman"/>
          <w:sz w:val="24"/>
          <w:szCs w:val="24"/>
        </w:rPr>
        <w:t xml:space="preserve">vociferously criticised for their </w:t>
      </w:r>
      <w:r w:rsidR="001441C1" w:rsidRPr="00D66C82">
        <w:rPr>
          <w:rFonts w:ascii="Times New Roman" w:hAnsi="Times New Roman" w:cs="Times New Roman"/>
          <w:sz w:val="24"/>
          <w:szCs w:val="24"/>
        </w:rPr>
        <w:t>inaccessibility, lack of transparency and democratic deficit.</w:t>
      </w:r>
      <w:r w:rsidR="001441C1" w:rsidRPr="00D66C82">
        <w:rPr>
          <w:rStyle w:val="FootnoteReference"/>
          <w:rFonts w:ascii="Times New Roman" w:hAnsi="Times New Roman" w:cs="Times New Roman"/>
          <w:sz w:val="24"/>
          <w:szCs w:val="24"/>
        </w:rPr>
        <w:footnoteReference w:id="66"/>
      </w:r>
      <w:r w:rsidR="001441C1" w:rsidRPr="00D66C82">
        <w:rPr>
          <w:rFonts w:ascii="Times New Roman" w:hAnsi="Times New Roman" w:cs="Times New Roman"/>
          <w:sz w:val="24"/>
          <w:szCs w:val="24"/>
        </w:rPr>
        <w:t xml:space="preserve"> Recent political developments</w:t>
      </w:r>
      <w:r w:rsidR="00B44C55">
        <w:rPr>
          <w:rFonts w:ascii="Times New Roman" w:hAnsi="Times New Roman" w:cs="Times New Roman"/>
          <w:sz w:val="24"/>
          <w:szCs w:val="24"/>
        </w:rPr>
        <w:t>,</w:t>
      </w:r>
      <w:r w:rsidR="001441C1" w:rsidRPr="00D66C82">
        <w:rPr>
          <w:rFonts w:ascii="Times New Roman" w:hAnsi="Times New Roman" w:cs="Times New Roman"/>
          <w:sz w:val="24"/>
          <w:szCs w:val="24"/>
        </w:rPr>
        <w:t xml:space="preserve"> both in the UK in the aftermath of the EU membership referendum</w:t>
      </w:r>
      <w:r w:rsidR="00221000">
        <w:rPr>
          <w:rFonts w:ascii="Times New Roman" w:hAnsi="Times New Roman" w:cs="Times New Roman"/>
          <w:sz w:val="24"/>
          <w:szCs w:val="24"/>
        </w:rPr>
        <w:t xml:space="preserve"> and in other developed economies</w:t>
      </w:r>
      <w:r w:rsidR="00B44C55">
        <w:rPr>
          <w:rFonts w:ascii="Times New Roman" w:hAnsi="Times New Roman" w:cs="Times New Roman"/>
          <w:sz w:val="24"/>
          <w:szCs w:val="24"/>
        </w:rPr>
        <w:t>,</w:t>
      </w:r>
      <w:r w:rsidR="001441C1" w:rsidRPr="00D66C82">
        <w:rPr>
          <w:rFonts w:ascii="Times New Roman" w:hAnsi="Times New Roman" w:cs="Times New Roman"/>
          <w:sz w:val="24"/>
          <w:szCs w:val="24"/>
        </w:rPr>
        <w:t xml:space="preserve"> have not only highlighted the importance of democratically supported trade and investment policies but also exposed the consequences of failure to engage with public concerns in formulating the state’s trade and investment policy priorities</w:t>
      </w:r>
      <w:r w:rsidR="00B44C55">
        <w:rPr>
          <w:rFonts w:ascii="Times New Roman" w:hAnsi="Times New Roman" w:cs="Times New Roman"/>
          <w:sz w:val="24"/>
          <w:szCs w:val="24"/>
        </w:rPr>
        <w:t>.</w:t>
      </w:r>
    </w:p>
    <w:p w14:paraId="6B261073" w14:textId="77777777" w:rsidR="001441C1" w:rsidRPr="00D66C82" w:rsidRDefault="001441C1" w:rsidP="00D66C82">
      <w:pPr>
        <w:autoSpaceDE w:val="0"/>
        <w:autoSpaceDN w:val="0"/>
        <w:adjustRightInd w:val="0"/>
        <w:spacing w:after="0"/>
        <w:jc w:val="both"/>
        <w:rPr>
          <w:rFonts w:ascii="Times New Roman" w:hAnsi="Times New Roman" w:cs="Times New Roman"/>
          <w:sz w:val="24"/>
          <w:szCs w:val="24"/>
        </w:rPr>
      </w:pPr>
    </w:p>
    <w:p w14:paraId="4A3A50F7" w14:textId="1A45095E" w:rsidR="004B26CB" w:rsidRPr="00D66C82" w:rsidRDefault="0068610D"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 xml:space="preserve">Do constitutional arrangements in the UK enable effective public </w:t>
      </w:r>
      <w:r w:rsidR="001441C1" w:rsidRPr="00D66C82">
        <w:rPr>
          <w:rFonts w:ascii="Times New Roman" w:hAnsi="Times New Roman" w:cs="Times New Roman"/>
          <w:sz w:val="24"/>
          <w:szCs w:val="24"/>
        </w:rPr>
        <w:t>input into the making and change of investment treaties</w:t>
      </w:r>
      <w:r w:rsidRPr="00D66C82">
        <w:rPr>
          <w:rFonts w:ascii="Times New Roman" w:hAnsi="Times New Roman" w:cs="Times New Roman"/>
          <w:sz w:val="24"/>
          <w:szCs w:val="24"/>
        </w:rPr>
        <w:t>? In the EU, t</w:t>
      </w:r>
      <w:r w:rsidR="00B20D77" w:rsidRPr="00D66C82">
        <w:rPr>
          <w:rFonts w:ascii="Times New Roman" w:hAnsi="Times New Roman" w:cs="Times New Roman"/>
          <w:sz w:val="24"/>
          <w:szCs w:val="24"/>
        </w:rPr>
        <w:t xml:space="preserve">he European Parliament has </w:t>
      </w:r>
      <w:r w:rsidR="00830D38" w:rsidRPr="00D66C82">
        <w:rPr>
          <w:rFonts w:ascii="Times New Roman" w:hAnsi="Times New Roman" w:cs="Times New Roman"/>
          <w:sz w:val="24"/>
          <w:szCs w:val="24"/>
        </w:rPr>
        <w:t xml:space="preserve">recently been seen </w:t>
      </w:r>
      <w:r w:rsidRPr="00D66C82">
        <w:rPr>
          <w:rFonts w:ascii="Times New Roman" w:hAnsi="Times New Roman" w:cs="Times New Roman"/>
          <w:sz w:val="24"/>
          <w:szCs w:val="24"/>
        </w:rPr>
        <w:t>assert</w:t>
      </w:r>
      <w:r w:rsidR="00830D38" w:rsidRPr="00D66C82">
        <w:rPr>
          <w:rFonts w:ascii="Times New Roman" w:hAnsi="Times New Roman" w:cs="Times New Roman"/>
          <w:sz w:val="24"/>
          <w:szCs w:val="24"/>
        </w:rPr>
        <w:t>ing</w:t>
      </w:r>
      <w:r w:rsidRPr="00D66C82">
        <w:rPr>
          <w:rFonts w:ascii="Times New Roman" w:hAnsi="Times New Roman" w:cs="Times New Roman"/>
          <w:sz w:val="24"/>
          <w:szCs w:val="24"/>
        </w:rPr>
        <w:t xml:space="preserve"> greater control over the negotiation of investment treaties, including through seeking greater transparency with regard to the Commission’s negotiating objectives and providing its opinion on the most contentious aspects of EU investment treaties. </w:t>
      </w:r>
      <w:r w:rsidR="004B26CB" w:rsidRPr="00D66C82">
        <w:rPr>
          <w:rFonts w:ascii="Times New Roman" w:hAnsi="Times New Roman" w:cs="Times New Roman"/>
          <w:sz w:val="24"/>
          <w:szCs w:val="24"/>
        </w:rPr>
        <w:t xml:space="preserve">The changes introduced by the Lisbon Treaty </w:t>
      </w:r>
      <w:r w:rsidR="004B26CB" w:rsidRPr="00D66C82">
        <w:rPr>
          <w:rFonts w:ascii="Times New Roman" w:hAnsi="Times New Roman" w:cs="Times New Roman"/>
          <w:sz w:val="24"/>
          <w:szCs w:val="24"/>
          <w:shd w:val="clear" w:color="auto" w:fill="FFFFFF"/>
        </w:rPr>
        <w:t>enabled the European Parliament, in its capacity as a co-legislator on the EU’s trade agreements, to assume the responsibility of ensuring that the talks on EU investment agreements are transparent and that the final outcome ‘respects European values stimulates sustainable growth and contributes to the well-being of all citizens.’</w:t>
      </w:r>
      <w:r w:rsidR="004B26CB" w:rsidRPr="00D66C82">
        <w:rPr>
          <w:rStyle w:val="FootnoteReference"/>
          <w:rFonts w:ascii="Times New Roman" w:hAnsi="Times New Roman" w:cs="Times New Roman"/>
          <w:sz w:val="24"/>
          <w:szCs w:val="24"/>
          <w:shd w:val="clear" w:color="auto" w:fill="FFFFFF"/>
        </w:rPr>
        <w:footnoteReference w:id="67"/>
      </w:r>
      <w:r w:rsidR="004B26CB" w:rsidRPr="00D66C82">
        <w:rPr>
          <w:rFonts w:ascii="Times New Roman" w:hAnsi="Times New Roman" w:cs="Times New Roman"/>
          <w:sz w:val="24"/>
          <w:szCs w:val="24"/>
          <w:shd w:val="clear" w:color="auto" w:fill="FFFFFF"/>
        </w:rPr>
        <w:t xml:space="preserve"> </w:t>
      </w:r>
      <w:r w:rsidR="004B26CB" w:rsidRPr="00D66C82">
        <w:rPr>
          <w:rFonts w:ascii="Times New Roman" w:hAnsi="Times New Roman" w:cs="Times New Roman"/>
          <w:sz w:val="24"/>
          <w:szCs w:val="24"/>
        </w:rPr>
        <w:t xml:space="preserve">The European Parliament’s involvement in the making of TTIP (Transatlantic Trade and Investment Partnership between the EU and the US) </w:t>
      </w:r>
      <w:r w:rsidR="00221000">
        <w:rPr>
          <w:rFonts w:ascii="Times New Roman" w:hAnsi="Times New Roman" w:cs="Times New Roman"/>
          <w:sz w:val="24"/>
          <w:szCs w:val="24"/>
        </w:rPr>
        <w:t xml:space="preserve">and CETA (EU-Canada Comprehensive Economic and Trade Agreement) has signalled </w:t>
      </w:r>
      <w:r w:rsidR="004B26CB" w:rsidRPr="00D66C82">
        <w:rPr>
          <w:rFonts w:ascii="Times New Roman" w:hAnsi="Times New Roman" w:cs="Times New Roman"/>
          <w:sz w:val="24"/>
          <w:szCs w:val="24"/>
        </w:rPr>
        <w:t>a shift towards a more transparent and inclusive process of international trade and investment treaty negotiations.  The European Parliament has offered a platform for relevant political factions to debate and contest various aspects of the E</w:t>
      </w:r>
      <w:r w:rsidR="00221000">
        <w:rPr>
          <w:rFonts w:ascii="Times New Roman" w:hAnsi="Times New Roman" w:cs="Times New Roman"/>
          <w:sz w:val="24"/>
          <w:szCs w:val="24"/>
        </w:rPr>
        <w:t>U investment agreements and by doing so</w:t>
      </w:r>
      <w:r w:rsidR="004B26CB" w:rsidRPr="00D66C82">
        <w:rPr>
          <w:rFonts w:ascii="Times New Roman" w:hAnsi="Times New Roman" w:cs="Times New Roman"/>
          <w:sz w:val="24"/>
          <w:szCs w:val="24"/>
        </w:rPr>
        <w:t xml:space="preserve"> it created opportunities for a more inclusive dialogue.</w:t>
      </w:r>
    </w:p>
    <w:p w14:paraId="623AFFAC" w14:textId="77777777" w:rsidR="004B26CB" w:rsidRPr="00D66C82" w:rsidRDefault="004B26CB" w:rsidP="00D66C82">
      <w:pPr>
        <w:autoSpaceDE w:val="0"/>
        <w:autoSpaceDN w:val="0"/>
        <w:adjustRightInd w:val="0"/>
        <w:spacing w:after="0"/>
        <w:jc w:val="both"/>
        <w:rPr>
          <w:rFonts w:ascii="Times New Roman" w:hAnsi="Times New Roman" w:cs="Times New Roman"/>
          <w:sz w:val="24"/>
          <w:szCs w:val="24"/>
        </w:rPr>
      </w:pPr>
    </w:p>
    <w:p w14:paraId="32867742" w14:textId="61862920" w:rsidR="00B44C55" w:rsidRDefault="0068610D"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 xml:space="preserve">The Lisbon treaty also </w:t>
      </w:r>
      <w:r w:rsidR="00830D38" w:rsidRPr="00D66C82">
        <w:rPr>
          <w:rFonts w:ascii="Times New Roman" w:hAnsi="Times New Roman" w:cs="Times New Roman"/>
          <w:sz w:val="24"/>
          <w:szCs w:val="24"/>
        </w:rPr>
        <w:t>introduced</w:t>
      </w:r>
      <w:r w:rsidR="00BB5FA7" w:rsidRPr="00D66C82">
        <w:rPr>
          <w:rFonts w:ascii="Times New Roman" w:hAnsi="Times New Roman" w:cs="Times New Roman"/>
          <w:sz w:val="24"/>
          <w:szCs w:val="24"/>
        </w:rPr>
        <w:t xml:space="preserve"> the so-called </w:t>
      </w:r>
      <w:r w:rsidR="00B44C55">
        <w:rPr>
          <w:rFonts w:ascii="Times New Roman" w:hAnsi="Times New Roman" w:cs="Times New Roman"/>
          <w:sz w:val="24"/>
          <w:szCs w:val="24"/>
        </w:rPr>
        <w:t>European C</w:t>
      </w:r>
      <w:r w:rsidR="00BB5FA7" w:rsidRPr="00D66C82">
        <w:rPr>
          <w:rFonts w:ascii="Times New Roman" w:hAnsi="Times New Roman" w:cs="Times New Roman"/>
          <w:sz w:val="24"/>
          <w:szCs w:val="24"/>
        </w:rPr>
        <w:t>itize</w:t>
      </w:r>
      <w:r w:rsidR="00B44C55">
        <w:rPr>
          <w:rFonts w:ascii="Times New Roman" w:hAnsi="Times New Roman" w:cs="Times New Roman"/>
          <w:sz w:val="24"/>
          <w:szCs w:val="24"/>
        </w:rPr>
        <w:t>ns I</w:t>
      </w:r>
      <w:r w:rsidR="00BB5FA7" w:rsidRPr="00D66C82">
        <w:rPr>
          <w:rFonts w:ascii="Times New Roman" w:hAnsi="Times New Roman" w:cs="Times New Roman"/>
          <w:sz w:val="24"/>
          <w:szCs w:val="24"/>
        </w:rPr>
        <w:t>nitiative</w:t>
      </w:r>
      <w:r w:rsidR="00830D38" w:rsidRPr="00D66C82">
        <w:rPr>
          <w:rFonts w:ascii="Times New Roman" w:hAnsi="Times New Roman" w:cs="Times New Roman"/>
          <w:sz w:val="24"/>
          <w:szCs w:val="24"/>
        </w:rPr>
        <w:t xml:space="preserve"> instrument which allows</w:t>
      </w:r>
      <w:r w:rsidR="00830D38" w:rsidRPr="00D66C82">
        <w:rPr>
          <w:rFonts w:ascii="Times New Roman" w:eastAsia="StoneSerif" w:hAnsi="Times New Roman" w:cs="Times New Roman"/>
          <w:sz w:val="24"/>
          <w:szCs w:val="24"/>
        </w:rPr>
        <w:t xml:space="preserve"> citizens to bring new issues to the political agenda through collecting a certain number of signatures in support of a policy proposal.</w:t>
      </w:r>
      <w:r w:rsidR="00830D38" w:rsidRPr="00D66C82">
        <w:rPr>
          <w:rStyle w:val="FootnoteReference"/>
          <w:rFonts w:ascii="Times New Roman" w:eastAsia="StoneSerif" w:hAnsi="Times New Roman" w:cs="Times New Roman"/>
          <w:sz w:val="24"/>
          <w:szCs w:val="24"/>
        </w:rPr>
        <w:footnoteReference w:id="68"/>
      </w:r>
      <w:r w:rsidR="00830D38" w:rsidRPr="00D66C82">
        <w:rPr>
          <w:rFonts w:ascii="Times New Roman" w:hAnsi="Times New Roman" w:cs="Times New Roman"/>
          <w:sz w:val="24"/>
          <w:szCs w:val="24"/>
        </w:rPr>
        <w:t xml:space="preserve"> This instrument was deployed by the EU citizens seeking to halt the negotiation of the </w:t>
      </w:r>
      <w:r w:rsidR="004B26CB" w:rsidRPr="00D66C82">
        <w:rPr>
          <w:rFonts w:ascii="Times New Roman" w:hAnsi="Times New Roman" w:cs="Times New Roman"/>
          <w:sz w:val="24"/>
          <w:szCs w:val="24"/>
        </w:rPr>
        <w:t>much-debated</w:t>
      </w:r>
      <w:r w:rsidR="00830D38" w:rsidRPr="00D66C82">
        <w:rPr>
          <w:rFonts w:ascii="Times New Roman" w:hAnsi="Times New Roman" w:cs="Times New Roman"/>
          <w:sz w:val="24"/>
          <w:szCs w:val="24"/>
        </w:rPr>
        <w:t xml:space="preserve"> </w:t>
      </w:r>
      <w:r w:rsidR="004B26CB" w:rsidRPr="00D66C82">
        <w:rPr>
          <w:rFonts w:ascii="Times New Roman" w:hAnsi="Times New Roman" w:cs="Times New Roman"/>
          <w:sz w:val="24"/>
          <w:szCs w:val="24"/>
        </w:rPr>
        <w:t>TTIP</w:t>
      </w:r>
      <w:r w:rsidR="00830D38" w:rsidRPr="00D66C82">
        <w:rPr>
          <w:rFonts w:ascii="Times New Roman" w:hAnsi="Times New Roman" w:cs="Times New Roman"/>
          <w:sz w:val="24"/>
          <w:szCs w:val="24"/>
        </w:rPr>
        <w:t xml:space="preserve">. </w:t>
      </w:r>
      <w:r w:rsidR="004B26CB" w:rsidRPr="00D66C82">
        <w:rPr>
          <w:rFonts w:ascii="Times New Roman" w:hAnsi="Times New Roman" w:cs="Times New Roman"/>
          <w:sz w:val="24"/>
          <w:szCs w:val="24"/>
        </w:rPr>
        <w:t>The STOP TTIP initiative was formally submitted on  15 July 2014 and requested the Commission to halt the process of negotiating TTIP and CETA due to these agreements</w:t>
      </w:r>
      <w:r w:rsidR="004B26CB" w:rsidRPr="00D66C82">
        <w:rPr>
          <w:rFonts w:ascii="Times New Roman" w:hAnsi="Times New Roman" w:cs="Times New Roman"/>
          <w:sz w:val="24"/>
          <w:szCs w:val="24"/>
          <w:shd w:val="clear" w:color="auto" w:fill="FFFFFF"/>
        </w:rPr>
        <w:t xml:space="preserve"> giving rise to ‘several critical issues such as investor-state dispute settlement and rules on regulatory cooperation that pose a threat to democracy and the rule of law.’</w:t>
      </w:r>
      <w:r w:rsidR="004B26CB" w:rsidRPr="00D66C82">
        <w:rPr>
          <w:rStyle w:val="FootnoteReference"/>
          <w:rFonts w:ascii="Times New Roman" w:hAnsi="Times New Roman" w:cs="Times New Roman"/>
          <w:sz w:val="24"/>
          <w:szCs w:val="24"/>
          <w:shd w:val="clear" w:color="auto" w:fill="FFFFFF"/>
        </w:rPr>
        <w:footnoteReference w:id="69"/>
      </w:r>
      <w:r w:rsidR="004B26CB" w:rsidRPr="00D66C82">
        <w:rPr>
          <w:rFonts w:ascii="Times New Roman" w:hAnsi="Times New Roman" w:cs="Times New Roman"/>
          <w:sz w:val="24"/>
          <w:szCs w:val="24"/>
        </w:rPr>
        <w:t xml:space="preserve"> D</w:t>
      </w:r>
      <w:r w:rsidR="00B44C55">
        <w:rPr>
          <w:rFonts w:ascii="Times New Roman" w:hAnsi="Times New Roman" w:cs="Times New Roman"/>
          <w:sz w:val="24"/>
          <w:szCs w:val="24"/>
        </w:rPr>
        <w:t xml:space="preserve">espite the initiative having been unsuccessful due to </w:t>
      </w:r>
      <w:r w:rsidR="004B26CB" w:rsidRPr="00D66C82">
        <w:rPr>
          <w:rFonts w:ascii="Times New Roman" w:hAnsi="Times New Roman" w:cs="Times New Roman"/>
          <w:sz w:val="24"/>
          <w:szCs w:val="24"/>
        </w:rPr>
        <w:t>the Commission refusal to register it,</w:t>
      </w:r>
      <w:r w:rsidR="004B26CB" w:rsidRPr="00D66C82">
        <w:rPr>
          <w:rStyle w:val="FootnoteReference"/>
          <w:rFonts w:ascii="Times New Roman" w:hAnsi="Times New Roman" w:cs="Times New Roman"/>
          <w:sz w:val="24"/>
          <w:szCs w:val="24"/>
        </w:rPr>
        <w:footnoteReference w:id="70"/>
      </w:r>
      <w:r w:rsidR="004B26CB" w:rsidRPr="00D66C82">
        <w:rPr>
          <w:rFonts w:ascii="Times New Roman" w:hAnsi="Times New Roman" w:cs="Times New Roman"/>
          <w:sz w:val="24"/>
          <w:szCs w:val="24"/>
        </w:rPr>
        <w:t xml:space="preserve"> the E</w:t>
      </w:r>
      <w:r w:rsidR="00B44C55">
        <w:rPr>
          <w:rFonts w:ascii="Times New Roman" w:hAnsi="Times New Roman" w:cs="Times New Roman"/>
          <w:sz w:val="24"/>
          <w:szCs w:val="24"/>
        </w:rPr>
        <w:t xml:space="preserve">uropean </w:t>
      </w:r>
      <w:r w:rsidR="004B26CB" w:rsidRPr="00D66C82">
        <w:rPr>
          <w:rFonts w:ascii="Times New Roman" w:hAnsi="Times New Roman" w:cs="Times New Roman"/>
          <w:sz w:val="24"/>
          <w:szCs w:val="24"/>
        </w:rPr>
        <w:t>C</w:t>
      </w:r>
      <w:r w:rsidR="00B44C55">
        <w:rPr>
          <w:rFonts w:ascii="Times New Roman" w:hAnsi="Times New Roman" w:cs="Times New Roman"/>
          <w:sz w:val="24"/>
          <w:szCs w:val="24"/>
        </w:rPr>
        <w:t xml:space="preserve">itizens </w:t>
      </w:r>
      <w:r w:rsidR="004B26CB" w:rsidRPr="00D66C82">
        <w:rPr>
          <w:rFonts w:ascii="Times New Roman" w:hAnsi="Times New Roman" w:cs="Times New Roman"/>
          <w:sz w:val="24"/>
          <w:szCs w:val="24"/>
        </w:rPr>
        <w:t>I</w:t>
      </w:r>
      <w:r w:rsidR="00B44C55">
        <w:rPr>
          <w:rFonts w:ascii="Times New Roman" w:hAnsi="Times New Roman" w:cs="Times New Roman"/>
          <w:sz w:val="24"/>
          <w:szCs w:val="24"/>
        </w:rPr>
        <w:t>nitiative</w:t>
      </w:r>
      <w:r w:rsidR="004B26CB" w:rsidRPr="00D66C82">
        <w:rPr>
          <w:rFonts w:ascii="Times New Roman" w:hAnsi="Times New Roman" w:cs="Times New Roman"/>
          <w:sz w:val="24"/>
          <w:szCs w:val="24"/>
        </w:rPr>
        <w:t xml:space="preserve"> framework has played a significant part by </w:t>
      </w:r>
      <w:r w:rsidR="008735C0" w:rsidRPr="00D66C82">
        <w:rPr>
          <w:rFonts w:ascii="Times New Roman" w:hAnsi="Times New Roman" w:cs="Times New Roman"/>
          <w:sz w:val="24"/>
          <w:szCs w:val="24"/>
        </w:rPr>
        <w:t>enabling civil society concerns over investment treaties and their effects to be voiced</w:t>
      </w:r>
      <w:r w:rsidR="00B44C55">
        <w:rPr>
          <w:rFonts w:ascii="Times New Roman" w:hAnsi="Times New Roman" w:cs="Times New Roman"/>
          <w:sz w:val="24"/>
          <w:szCs w:val="24"/>
        </w:rPr>
        <w:t>,</w:t>
      </w:r>
      <w:r w:rsidR="008735C0" w:rsidRPr="00D66C82">
        <w:rPr>
          <w:rFonts w:ascii="Times New Roman" w:hAnsi="Times New Roman" w:cs="Times New Roman"/>
          <w:sz w:val="24"/>
          <w:szCs w:val="24"/>
        </w:rPr>
        <w:t xml:space="preserve"> and </w:t>
      </w:r>
      <w:r w:rsidR="004D5248" w:rsidRPr="00D66C82">
        <w:rPr>
          <w:rFonts w:ascii="Times New Roman" w:hAnsi="Times New Roman" w:cs="Times New Roman"/>
          <w:sz w:val="24"/>
          <w:szCs w:val="24"/>
        </w:rPr>
        <w:t xml:space="preserve">the issues of investment treaty protection and investor-state arbitration </w:t>
      </w:r>
      <w:r w:rsidR="003B4751">
        <w:rPr>
          <w:rFonts w:ascii="Times New Roman" w:hAnsi="Times New Roman" w:cs="Times New Roman"/>
          <w:sz w:val="24"/>
          <w:szCs w:val="24"/>
        </w:rPr>
        <w:t xml:space="preserve">to be </w:t>
      </w:r>
      <w:r w:rsidR="008735C0" w:rsidRPr="00D66C82">
        <w:rPr>
          <w:rFonts w:ascii="Times New Roman" w:hAnsi="Times New Roman" w:cs="Times New Roman"/>
          <w:sz w:val="24"/>
          <w:szCs w:val="24"/>
        </w:rPr>
        <w:t xml:space="preserve">brought to the forefront of political and legal discourse. </w:t>
      </w:r>
    </w:p>
    <w:p w14:paraId="0CE85BBB" w14:textId="77777777" w:rsidR="00B44C55" w:rsidRDefault="00B44C55" w:rsidP="00D66C82">
      <w:pPr>
        <w:autoSpaceDE w:val="0"/>
        <w:autoSpaceDN w:val="0"/>
        <w:adjustRightInd w:val="0"/>
        <w:spacing w:after="0"/>
        <w:jc w:val="both"/>
        <w:rPr>
          <w:rFonts w:ascii="Times New Roman" w:hAnsi="Times New Roman" w:cs="Times New Roman"/>
          <w:sz w:val="24"/>
          <w:szCs w:val="24"/>
        </w:rPr>
      </w:pPr>
    </w:p>
    <w:p w14:paraId="7ED091C1" w14:textId="6B99F8BD" w:rsidR="00FB4614" w:rsidRPr="00D66C82" w:rsidRDefault="008735C0" w:rsidP="00D66C82">
      <w:pPr>
        <w:autoSpaceDE w:val="0"/>
        <w:autoSpaceDN w:val="0"/>
        <w:adjustRightInd w:val="0"/>
        <w:spacing w:after="0"/>
        <w:jc w:val="both"/>
        <w:rPr>
          <w:rFonts w:ascii="Times New Roman" w:hAnsi="Times New Roman" w:cs="Times New Roman"/>
          <w:sz w:val="24"/>
          <w:szCs w:val="24"/>
        </w:rPr>
      </w:pPr>
      <w:r w:rsidRPr="00D66C82">
        <w:rPr>
          <w:rFonts w:ascii="Times New Roman" w:hAnsi="Times New Roman" w:cs="Times New Roman"/>
          <w:sz w:val="24"/>
          <w:szCs w:val="24"/>
        </w:rPr>
        <w:t>T</w:t>
      </w:r>
      <w:r w:rsidR="0068610D" w:rsidRPr="00D66C82">
        <w:rPr>
          <w:rFonts w:ascii="Times New Roman" w:hAnsi="Times New Roman" w:cs="Times New Roman"/>
          <w:sz w:val="24"/>
          <w:szCs w:val="24"/>
        </w:rPr>
        <w:t xml:space="preserve">he pressure </w:t>
      </w:r>
      <w:r w:rsidRPr="00D66C82">
        <w:rPr>
          <w:rFonts w:ascii="Times New Roman" w:hAnsi="Times New Roman" w:cs="Times New Roman"/>
          <w:sz w:val="24"/>
          <w:szCs w:val="24"/>
        </w:rPr>
        <w:t xml:space="preserve">from civil society, alongside a more assertive exercise by the European Parliament of its powers of oversight, </w:t>
      </w:r>
      <w:r w:rsidR="0068610D" w:rsidRPr="00D66C82">
        <w:rPr>
          <w:rFonts w:ascii="Times New Roman" w:hAnsi="Times New Roman" w:cs="Times New Roman"/>
          <w:sz w:val="24"/>
          <w:szCs w:val="24"/>
        </w:rPr>
        <w:t>has prompted the Commission to depart from the traditional drafting patterns and to propose some quite far-reaching reforms</w:t>
      </w:r>
      <w:r w:rsidR="00830D38" w:rsidRPr="00D66C82">
        <w:rPr>
          <w:rFonts w:ascii="Times New Roman" w:hAnsi="Times New Roman" w:cs="Times New Roman"/>
          <w:sz w:val="24"/>
          <w:szCs w:val="24"/>
        </w:rPr>
        <w:t xml:space="preserve"> in the area of investment protection and investor-state arbitration provisions</w:t>
      </w:r>
      <w:r w:rsidR="0068610D" w:rsidRPr="00D66C82">
        <w:rPr>
          <w:rFonts w:ascii="Times New Roman" w:hAnsi="Times New Roman" w:cs="Times New Roman"/>
          <w:sz w:val="24"/>
          <w:szCs w:val="24"/>
        </w:rPr>
        <w:t xml:space="preserve">. </w:t>
      </w:r>
      <w:r w:rsidR="00FB4614" w:rsidRPr="00D66C82">
        <w:rPr>
          <w:rFonts w:ascii="Times New Roman" w:hAnsi="Times New Roman" w:cs="Times New Roman"/>
          <w:sz w:val="24"/>
          <w:szCs w:val="24"/>
        </w:rPr>
        <w:t>One example of such reform is the incorporation of  ‘a set of modern provisions which rebalance the rights of the state and the investor in favour of the state, and its right to regulate in the public interest’ in EU-Canada CETA.</w:t>
      </w:r>
      <w:r w:rsidR="00FB4614" w:rsidRPr="00D66C82">
        <w:rPr>
          <w:rStyle w:val="FootnoteReference"/>
          <w:rFonts w:ascii="Times New Roman" w:eastAsiaTheme="minorEastAsia" w:hAnsi="Times New Roman" w:cs="Times New Roman"/>
          <w:sz w:val="24"/>
          <w:szCs w:val="24"/>
        </w:rPr>
        <w:footnoteReference w:id="71"/>
      </w:r>
      <w:r w:rsidR="00FB4614" w:rsidRPr="00D66C82">
        <w:rPr>
          <w:rFonts w:ascii="Times New Roman" w:hAnsi="Times New Roman" w:cs="Times New Roman"/>
          <w:sz w:val="24"/>
          <w:szCs w:val="24"/>
        </w:rPr>
        <w:t xml:space="preserve"> Other proposed changes include measures to increase transparency of arbitral proceedings,</w:t>
      </w:r>
      <w:r w:rsidR="00FB4614" w:rsidRPr="00D66C82">
        <w:rPr>
          <w:rStyle w:val="FootnoteReference"/>
          <w:rFonts w:ascii="Times New Roman" w:eastAsiaTheme="minorEastAsia" w:hAnsi="Times New Roman" w:cs="Times New Roman"/>
          <w:sz w:val="24"/>
          <w:szCs w:val="24"/>
        </w:rPr>
        <w:footnoteReference w:id="72"/>
      </w:r>
      <w:r w:rsidR="00FB4614" w:rsidRPr="00D66C82">
        <w:rPr>
          <w:rFonts w:ascii="Times New Roman" w:hAnsi="Times New Roman" w:cs="Times New Roman"/>
          <w:sz w:val="24"/>
          <w:szCs w:val="24"/>
        </w:rPr>
        <w:t xml:space="preserve"> creating a code of conduct for arbitrators, access to an appeal system and, a medium term goal, working towards the establishment of a permanent multilateral investment court.</w:t>
      </w:r>
      <w:r w:rsidR="00FB4614" w:rsidRPr="00D66C82">
        <w:rPr>
          <w:rStyle w:val="FootnoteReference"/>
          <w:rFonts w:ascii="Times New Roman" w:eastAsiaTheme="minorEastAsia" w:hAnsi="Times New Roman" w:cs="Times New Roman"/>
          <w:sz w:val="24"/>
          <w:szCs w:val="24"/>
        </w:rPr>
        <w:footnoteReference w:id="73"/>
      </w:r>
    </w:p>
    <w:p w14:paraId="1C4B560F" w14:textId="77777777" w:rsidR="006471D6" w:rsidRPr="00D66C82" w:rsidRDefault="006471D6" w:rsidP="00D66C82">
      <w:pPr>
        <w:autoSpaceDE w:val="0"/>
        <w:autoSpaceDN w:val="0"/>
        <w:adjustRightInd w:val="0"/>
        <w:spacing w:after="0"/>
        <w:jc w:val="both"/>
        <w:rPr>
          <w:rFonts w:ascii="Times New Roman" w:hAnsi="Times New Roman" w:cs="Times New Roman"/>
          <w:sz w:val="24"/>
          <w:szCs w:val="24"/>
        </w:rPr>
      </w:pPr>
    </w:p>
    <w:p w14:paraId="113138B8" w14:textId="7A79BBD4" w:rsidR="00987464" w:rsidRPr="00D66C82" w:rsidRDefault="008735C0" w:rsidP="00D66C82">
      <w:pPr>
        <w:jc w:val="both"/>
        <w:rPr>
          <w:rFonts w:ascii="Times New Roman" w:hAnsi="Times New Roman" w:cs="Times New Roman"/>
          <w:sz w:val="24"/>
          <w:szCs w:val="24"/>
        </w:rPr>
      </w:pPr>
      <w:r w:rsidRPr="00D66C82">
        <w:rPr>
          <w:rFonts w:ascii="Times New Roman" w:hAnsi="Times New Roman" w:cs="Times New Roman"/>
          <w:sz w:val="24"/>
          <w:szCs w:val="24"/>
        </w:rPr>
        <w:t>Although both</w:t>
      </w:r>
      <w:r w:rsidR="00830D38" w:rsidRPr="00D66C82">
        <w:rPr>
          <w:rFonts w:ascii="Times New Roman" w:hAnsi="Times New Roman" w:cs="Times New Roman"/>
          <w:sz w:val="24"/>
          <w:szCs w:val="24"/>
        </w:rPr>
        <w:t xml:space="preserve"> the Commission</w:t>
      </w:r>
      <w:r w:rsidRPr="00D66C82">
        <w:rPr>
          <w:rFonts w:ascii="Times New Roman" w:hAnsi="Times New Roman" w:cs="Times New Roman"/>
          <w:sz w:val="24"/>
          <w:szCs w:val="24"/>
        </w:rPr>
        <w:t xml:space="preserve"> and the European Parliament could be criticised</w:t>
      </w:r>
      <w:r w:rsidR="00830D38" w:rsidRPr="00D66C82">
        <w:rPr>
          <w:rFonts w:ascii="Times New Roman" w:hAnsi="Times New Roman" w:cs="Times New Roman"/>
          <w:sz w:val="24"/>
          <w:szCs w:val="24"/>
        </w:rPr>
        <w:t xml:space="preserve"> for not going far enough to address citizens and other stakeholder concerns over </w:t>
      </w:r>
      <w:r w:rsidRPr="00D66C82">
        <w:rPr>
          <w:rFonts w:ascii="Times New Roman" w:hAnsi="Times New Roman" w:cs="Times New Roman"/>
          <w:sz w:val="24"/>
          <w:szCs w:val="24"/>
        </w:rPr>
        <w:t>investment treaties, EU</w:t>
      </w:r>
      <w:r w:rsidR="00830D38" w:rsidRPr="00D66C82">
        <w:rPr>
          <w:rFonts w:ascii="Times New Roman" w:hAnsi="Times New Roman" w:cs="Times New Roman"/>
          <w:sz w:val="24"/>
          <w:szCs w:val="24"/>
        </w:rPr>
        <w:t xml:space="preserve"> law has </w:t>
      </w:r>
      <w:r w:rsidRPr="00D66C82">
        <w:rPr>
          <w:rFonts w:ascii="Times New Roman" w:hAnsi="Times New Roman" w:cs="Times New Roman"/>
          <w:sz w:val="24"/>
          <w:szCs w:val="24"/>
        </w:rPr>
        <w:t>set a commendable</w:t>
      </w:r>
      <w:r w:rsidR="006471D6" w:rsidRPr="00D66C82">
        <w:rPr>
          <w:rFonts w:ascii="Times New Roman" w:hAnsi="Times New Roman" w:cs="Times New Roman"/>
          <w:sz w:val="24"/>
          <w:szCs w:val="24"/>
        </w:rPr>
        <w:t xml:space="preserve"> example by taking its first</w:t>
      </w:r>
      <w:r w:rsidRPr="00D66C82">
        <w:rPr>
          <w:rFonts w:ascii="Times New Roman" w:hAnsi="Times New Roman" w:cs="Times New Roman"/>
          <w:sz w:val="24"/>
          <w:szCs w:val="24"/>
        </w:rPr>
        <w:t xml:space="preserve"> (and tentative)</w:t>
      </w:r>
      <w:r w:rsidR="006471D6" w:rsidRPr="00D66C82">
        <w:rPr>
          <w:rFonts w:ascii="Times New Roman" w:hAnsi="Times New Roman" w:cs="Times New Roman"/>
          <w:sz w:val="24"/>
          <w:szCs w:val="24"/>
        </w:rPr>
        <w:t xml:space="preserve"> steps</w:t>
      </w:r>
      <w:r w:rsidR="00B44C55">
        <w:rPr>
          <w:rFonts w:ascii="Times New Roman" w:hAnsi="Times New Roman" w:cs="Times New Roman"/>
          <w:sz w:val="24"/>
          <w:szCs w:val="24"/>
        </w:rPr>
        <w:t xml:space="preserve"> towards facilitating greater participative democratic input</w:t>
      </w:r>
      <w:r w:rsidR="006471D6" w:rsidRPr="00D66C82">
        <w:rPr>
          <w:rFonts w:ascii="Times New Roman" w:hAnsi="Times New Roman" w:cs="Times New Roman"/>
          <w:sz w:val="24"/>
          <w:szCs w:val="24"/>
        </w:rPr>
        <w:t xml:space="preserve"> in international treaty-making.</w:t>
      </w:r>
      <w:r w:rsidR="00987464" w:rsidRPr="00D66C82">
        <w:rPr>
          <w:rStyle w:val="FootnoteReference"/>
          <w:rFonts w:ascii="Times New Roman" w:hAnsi="Times New Roman" w:cs="Times New Roman"/>
          <w:sz w:val="24"/>
          <w:szCs w:val="24"/>
        </w:rPr>
        <w:footnoteReference w:id="74"/>
      </w:r>
      <w:r w:rsidR="006471D6" w:rsidRPr="00D66C82">
        <w:rPr>
          <w:rFonts w:ascii="Times New Roman" w:hAnsi="Times New Roman" w:cs="Times New Roman"/>
          <w:sz w:val="24"/>
          <w:szCs w:val="24"/>
        </w:rPr>
        <w:t xml:space="preserve"> </w:t>
      </w:r>
      <w:r w:rsidR="00987464" w:rsidRPr="00D66C82">
        <w:rPr>
          <w:rFonts w:ascii="Times New Roman" w:hAnsi="Times New Roman" w:cs="Times New Roman"/>
          <w:sz w:val="24"/>
          <w:szCs w:val="24"/>
        </w:rPr>
        <w:t>One potential (and highly troublesome) consequence of Brexit is that</w:t>
      </w:r>
      <w:r w:rsidR="00B44C55">
        <w:rPr>
          <w:rFonts w:ascii="Times New Roman" w:hAnsi="Times New Roman" w:cs="Times New Roman"/>
          <w:sz w:val="24"/>
          <w:szCs w:val="24"/>
        </w:rPr>
        <w:t>,</w:t>
      </w:r>
      <w:r w:rsidR="00987464" w:rsidRPr="00D66C82">
        <w:rPr>
          <w:rFonts w:ascii="Times New Roman" w:hAnsi="Times New Roman" w:cs="Times New Roman"/>
          <w:sz w:val="24"/>
          <w:szCs w:val="24"/>
        </w:rPr>
        <w:t xml:space="preserve"> outside the EU, and in the absence of </w:t>
      </w:r>
      <w:r w:rsidR="00B44C55">
        <w:rPr>
          <w:rFonts w:ascii="Times New Roman" w:hAnsi="Times New Roman" w:cs="Times New Roman"/>
          <w:sz w:val="24"/>
          <w:szCs w:val="24"/>
        </w:rPr>
        <w:t xml:space="preserve">the equivalent </w:t>
      </w:r>
      <w:r w:rsidR="00987464" w:rsidRPr="00D66C82">
        <w:rPr>
          <w:rFonts w:ascii="Times New Roman" w:hAnsi="Times New Roman" w:cs="Times New Roman"/>
          <w:sz w:val="24"/>
          <w:szCs w:val="24"/>
        </w:rPr>
        <w:t xml:space="preserve">legal and constitutional arrangements allowing for strong parliamentary oversight of, and direct civic participation in, the making of international investment treaties, the UK government may return to its practice of negotiating these treaties in the absence of any political debate, with the general public and other stakeholders missing the opportunity to </w:t>
      </w:r>
      <w:r w:rsidR="00B44C55">
        <w:rPr>
          <w:rFonts w:ascii="Times New Roman" w:hAnsi="Times New Roman" w:cs="Times New Roman"/>
          <w:sz w:val="24"/>
          <w:szCs w:val="24"/>
        </w:rPr>
        <w:t>influence</w:t>
      </w:r>
      <w:r w:rsidR="00987464" w:rsidRPr="00D66C82">
        <w:rPr>
          <w:rFonts w:ascii="Times New Roman" w:hAnsi="Times New Roman" w:cs="Times New Roman"/>
          <w:sz w:val="24"/>
          <w:szCs w:val="24"/>
        </w:rPr>
        <w:t xml:space="preserve"> their content. </w:t>
      </w:r>
    </w:p>
    <w:p w14:paraId="5E8C0E61" w14:textId="1C7FC369" w:rsidR="00B44C55" w:rsidRDefault="00B44C55" w:rsidP="00D66C8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w:t>
      </w:r>
      <w:r w:rsidR="00987464" w:rsidRPr="00D66C82">
        <w:rPr>
          <w:rFonts w:ascii="Times New Roman" w:hAnsi="Times New Roman" w:cs="Times New Roman"/>
          <w:sz w:val="24"/>
          <w:szCs w:val="24"/>
        </w:rPr>
        <w:t>xcluding the public and civil society from having a say in the process of drafting and negotiating investment treaties</w:t>
      </w:r>
      <w:r>
        <w:rPr>
          <w:rFonts w:ascii="Times New Roman" w:hAnsi="Times New Roman" w:cs="Times New Roman"/>
          <w:sz w:val="24"/>
          <w:szCs w:val="24"/>
        </w:rPr>
        <w:t xml:space="preserve"> may be dangerous</w:t>
      </w:r>
      <w:r w:rsidR="00987464" w:rsidRPr="00D66C82">
        <w:rPr>
          <w:rFonts w:ascii="Times New Roman" w:hAnsi="Times New Roman" w:cs="Times New Roman"/>
          <w:sz w:val="24"/>
          <w:szCs w:val="24"/>
        </w:rPr>
        <w:t xml:space="preserve">. </w:t>
      </w:r>
      <w:r w:rsidR="006E0688" w:rsidRPr="00D66C82">
        <w:rPr>
          <w:rFonts w:ascii="Times New Roman" w:hAnsi="Times New Roman" w:cs="Times New Roman"/>
          <w:sz w:val="24"/>
          <w:szCs w:val="24"/>
        </w:rPr>
        <w:t>To name one example, t</w:t>
      </w:r>
      <w:r w:rsidR="003F21E7" w:rsidRPr="00D66C82">
        <w:rPr>
          <w:rFonts w:ascii="Times New Roman" w:hAnsi="Times New Roman" w:cs="Times New Roman"/>
          <w:sz w:val="24"/>
          <w:szCs w:val="24"/>
        </w:rPr>
        <w:t>he history of failed M</w:t>
      </w:r>
      <w:r w:rsidR="006471D6" w:rsidRPr="00D66C82">
        <w:rPr>
          <w:rFonts w:ascii="Times New Roman" w:hAnsi="Times New Roman" w:cs="Times New Roman"/>
          <w:sz w:val="24"/>
          <w:szCs w:val="24"/>
        </w:rPr>
        <w:t xml:space="preserve">ultilateral </w:t>
      </w:r>
      <w:r w:rsidR="003F21E7" w:rsidRPr="00D66C82">
        <w:rPr>
          <w:rFonts w:ascii="Times New Roman" w:hAnsi="Times New Roman" w:cs="Times New Roman"/>
          <w:sz w:val="24"/>
          <w:szCs w:val="24"/>
        </w:rPr>
        <w:t>A</w:t>
      </w:r>
      <w:r w:rsidR="006471D6" w:rsidRPr="00D66C82">
        <w:rPr>
          <w:rFonts w:ascii="Times New Roman" w:hAnsi="Times New Roman" w:cs="Times New Roman"/>
          <w:sz w:val="24"/>
          <w:szCs w:val="24"/>
        </w:rPr>
        <w:t xml:space="preserve">greement on </w:t>
      </w:r>
      <w:r w:rsidR="003F21E7" w:rsidRPr="00D66C82">
        <w:rPr>
          <w:rFonts w:ascii="Times New Roman" w:hAnsi="Times New Roman" w:cs="Times New Roman"/>
          <w:sz w:val="24"/>
          <w:szCs w:val="24"/>
        </w:rPr>
        <w:t>I</w:t>
      </w:r>
      <w:r w:rsidR="006471D6" w:rsidRPr="00D66C82">
        <w:rPr>
          <w:rFonts w:ascii="Times New Roman" w:hAnsi="Times New Roman" w:cs="Times New Roman"/>
          <w:sz w:val="24"/>
          <w:szCs w:val="24"/>
        </w:rPr>
        <w:t>nvestment</w:t>
      </w:r>
      <w:r w:rsidR="008735C0" w:rsidRPr="00D66C82">
        <w:rPr>
          <w:rFonts w:ascii="Times New Roman" w:hAnsi="Times New Roman" w:cs="Times New Roman"/>
          <w:sz w:val="24"/>
          <w:szCs w:val="24"/>
        </w:rPr>
        <w:t xml:space="preserve"> (MAI)</w:t>
      </w:r>
      <w:r w:rsidR="006471D6" w:rsidRPr="00D66C82">
        <w:rPr>
          <w:rFonts w:ascii="Times New Roman" w:hAnsi="Times New Roman" w:cs="Times New Roman"/>
          <w:sz w:val="24"/>
          <w:szCs w:val="24"/>
        </w:rPr>
        <w:t>—the first attempt at concluding a multilateral treaty framework on investment protection and promotion—</w:t>
      </w:r>
      <w:r w:rsidR="00987464" w:rsidRPr="00D66C82">
        <w:rPr>
          <w:rFonts w:ascii="Times New Roman" w:hAnsi="Times New Roman" w:cs="Times New Roman"/>
          <w:sz w:val="24"/>
          <w:szCs w:val="24"/>
        </w:rPr>
        <w:t xml:space="preserve">amply </w:t>
      </w:r>
      <w:r w:rsidR="006471D6" w:rsidRPr="00D66C82">
        <w:rPr>
          <w:rFonts w:ascii="Times New Roman" w:hAnsi="Times New Roman" w:cs="Times New Roman"/>
          <w:sz w:val="24"/>
          <w:szCs w:val="24"/>
        </w:rPr>
        <w:t>showed that</w:t>
      </w:r>
      <w:r w:rsidR="003F21E7" w:rsidRPr="00D66C82">
        <w:rPr>
          <w:rFonts w:ascii="Times New Roman" w:hAnsi="Times New Roman" w:cs="Times New Roman"/>
          <w:sz w:val="24"/>
          <w:szCs w:val="24"/>
        </w:rPr>
        <w:t xml:space="preserve"> </w:t>
      </w:r>
      <w:r w:rsidR="00E52D6B" w:rsidRPr="00D66C82">
        <w:rPr>
          <w:rFonts w:ascii="Times New Roman" w:hAnsi="Times New Roman" w:cs="Times New Roman"/>
          <w:sz w:val="24"/>
          <w:szCs w:val="24"/>
        </w:rPr>
        <w:t>the secrecy surround</w:t>
      </w:r>
      <w:r w:rsidR="006471D6" w:rsidRPr="00D66C82">
        <w:rPr>
          <w:rFonts w:ascii="Times New Roman" w:hAnsi="Times New Roman" w:cs="Times New Roman"/>
          <w:sz w:val="24"/>
          <w:szCs w:val="24"/>
        </w:rPr>
        <w:t>ing the negotiation process would inevitably</w:t>
      </w:r>
      <w:r w:rsidR="00E52D6B" w:rsidRPr="00D66C82">
        <w:rPr>
          <w:rFonts w:ascii="Times New Roman" w:hAnsi="Times New Roman" w:cs="Times New Roman"/>
          <w:sz w:val="24"/>
          <w:szCs w:val="24"/>
        </w:rPr>
        <w:t xml:space="preserve"> rise to a feeling that the public and interested </w:t>
      </w:r>
      <w:r w:rsidR="006471D6" w:rsidRPr="00D66C82">
        <w:rPr>
          <w:rFonts w:ascii="Times New Roman" w:hAnsi="Times New Roman" w:cs="Times New Roman"/>
          <w:sz w:val="24"/>
          <w:szCs w:val="24"/>
        </w:rPr>
        <w:t>civil society and stakeholder organisations</w:t>
      </w:r>
      <w:r w:rsidR="00E52D6B" w:rsidRPr="00D66C82">
        <w:rPr>
          <w:rFonts w:ascii="Times New Roman" w:hAnsi="Times New Roman" w:cs="Times New Roman"/>
          <w:sz w:val="24"/>
          <w:szCs w:val="24"/>
        </w:rPr>
        <w:t xml:space="preserve"> were being excluded from the process.</w:t>
      </w:r>
      <w:r w:rsidR="006471D6" w:rsidRPr="00D66C82">
        <w:rPr>
          <w:rStyle w:val="FootnoteReference"/>
          <w:rFonts w:ascii="Times New Roman" w:hAnsi="Times New Roman" w:cs="Times New Roman"/>
          <w:sz w:val="24"/>
          <w:szCs w:val="24"/>
        </w:rPr>
        <w:footnoteReference w:id="75"/>
      </w:r>
      <w:r w:rsidR="00463D8A" w:rsidRPr="00D66C82">
        <w:rPr>
          <w:rFonts w:ascii="Times New Roman" w:hAnsi="Times New Roman" w:cs="Times New Roman"/>
          <w:sz w:val="24"/>
          <w:szCs w:val="24"/>
        </w:rPr>
        <w:t xml:space="preserve"> </w:t>
      </w:r>
      <w:r w:rsidR="006471D6" w:rsidRPr="00D66C82">
        <w:rPr>
          <w:rFonts w:ascii="Times New Roman" w:hAnsi="Times New Roman" w:cs="Times New Roman"/>
          <w:sz w:val="24"/>
          <w:szCs w:val="24"/>
        </w:rPr>
        <w:t xml:space="preserve">The  downfall of MAI </w:t>
      </w:r>
      <w:r w:rsidR="00EF5951">
        <w:rPr>
          <w:rFonts w:ascii="Times New Roman" w:hAnsi="Times New Roman" w:cs="Times New Roman"/>
          <w:sz w:val="24"/>
          <w:szCs w:val="24"/>
        </w:rPr>
        <w:t>was</w:t>
      </w:r>
      <w:r w:rsidR="00987464" w:rsidRPr="00D66C82">
        <w:rPr>
          <w:rFonts w:ascii="Times New Roman" w:hAnsi="Times New Roman" w:cs="Times New Roman"/>
          <w:sz w:val="24"/>
          <w:szCs w:val="24"/>
        </w:rPr>
        <w:t xml:space="preserve"> </w:t>
      </w:r>
      <w:r w:rsidR="006471D6" w:rsidRPr="00D66C82">
        <w:rPr>
          <w:rFonts w:ascii="Times New Roman" w:hAnsi="Times New Roman" w:cs="Times New Roman"/>
          <w:sz w:val="24"/>
          <w:szCs w:val="24"/>
        </w:rPr>
        <w:t>attributed to, among other things, lack of attention to public opinion</w:t>
      </w:r>
      <w:r w:rsidR="00463D8A" w:rsidRPr="00D66C82">
        <w:rPr>
          <w:rFonts w:ascii="Times New Roman" w:hAnsi="Times New Roman" w:cs="Times New Roman"/>
          <w:sz w:val="24"/>
          <w:szCs w:val="24"/>
        </w:rPr>
        <w:t xml:space="preserve"> and to the views of civil society,</w:t>
      </w:r>
      <w:r w:rsidR="006471D6" w:rsidRPr="00D66C82">
        <w:rPr>
          <w:rFonts w:ascii="Times New Roman" w:hAnsi="Times New Roman" w:cs="Times New Roman"/>
          <w:sz w:val="24"/>
          <w:szCs w:val="24"/>
        </w:rPr>
        <w:t xml:space="preserve"> which subsequently</w:t>
      </w:r>
      <w:r w:rsidR="00463D8A" w:rsidRPr="00D66C82">
        <w:rPr>
          <w:rFonts w:ascii="Times New Roman" w:hAnsi="Times New Roman" w:cs="Times New Roman"/>
          <w:sz w:val="24"/>
          <w:szCs w:val="24"/>
        </w:rPr>
        <w:t xml:space="preserve"> created an air of hostility </w:t>
      </w:r>
      <w:r w:rsidR="006471D6" w:rsidRPr="00D66C82">
        <w:rPr>
          <w:rFonts w:ascii="Times New Roman" w:hAnsi="Times New Roman" w:cs="Times New Roman"/>
          <w:sz w:val="24"/>
          <w:szCs w:val="24"/>
        </w:rPr>
        <w:t>around</w:t>
      </w:r>
      <w:r w:rsidR="00463D8A" w:rsidRPr="00D66C82">
        <w:rPr>
          <w:rFonts w:ascii="Times New Roman" w:hAnsi="Times New Roman" w:cs="Times New Roman"/>
          <w:sz w:val="24"/>
          <w:szCs w:val="24"/>
        </w:rPr>
        <w:t xml:space="preserve"> the project </w:t>
      </w:r>
      <w:r w:rsidR="006471D6" w:rsidRPr="00D66C82">
        <w:rPr>
          <w:rFonts w:ascii="Times New Roman" w:hAnsi="Times New Roman" w:cs="Times New Roman"/>
          <w:sz w:val="24"/>
          <w:szCs w:val="24"/>
        </w:rPr>
        <w:t>and</w:t>
      </w:r>
      <w:r w:rsidR="00463D8A" w:rsidRPr="00D66C82">
        <w:rPr>
          <w:rFonts w:ascii="Times New Roman" w:hAnsi="Times New Roman" w:cs="Times New Roman"/>
          <w:sz w:val="24"/>
          <w:szCs w:val="24"/>
        </w:rPr>
        <w:t xml:space="preserve"> made it </w:t>
      </w:r>
      <w:r w:rsidR="006471D6" w:rsidRPr="00D66C82">
        <w:rPr>
          <w:rFonts w:ascii="Times New Roman" w:hAnsi="Times New Roman" w:cs="Times New Roman"/>
          <w:sz w:val="24"/>
          <w:szCs w:val="24"/>
        </w:rPr>
        <w:t>politically hard to justify.</w:t>
      </w:r>
      <w:r w:rsidR="00463D8A" w:rsidRPr="00D66C82">
        <w:rPr>
          <w:rStyle w:val="FootnoteReference"/>
          <w:rFonts w:ascii="Times New Roman" w:hAnsi="Times New Roman" w:cs="Times New Roman"/>
          <w:sz w:val="24"/>
          <w:szCs w:val="24"/>
        </w:rPr>
        <w:footnoteReference w:id="76"/>
      </w:r>
      <w:r w:rsidR="00C550B2" w:rsidRPr="00D66C82">
        <w:rPr>
          <w:rFonts w:ascii="Times New Roman" w:hAnsi="Times New Roman" w:cs="Times New Roman"/>
          <w:sz w:val="24"/>
          <w:szCs w:val="24"/>
        </w:rPr>
        <w:t xml:space="preserve"> </w:t>
      </w:r>
      <w:r w:rsidR="004D5248" w:rsidRPr="00D66C82">
        <w:rPr>
          <w:rFonts w:ascii="Times New Roman" w:hAnsi="Times New Roman" w:cs="Times New Roman"/>
          <w:sz w:val="24"/>
          <w:szCs w:val="24"/>
        </w:rPr>
        <w:t>More recently, growing</w:t>
      </w:r>
      <w:r w:rsidR="000E0002" w:rsidRPr="00D66C82">
        <w:rPr>
          <w:rFonts w:ascii="Times New Roman" w:hAnsi="Times New Roman" w:cs="Times New Roman"/>
          <w:sz w:val="24"/>
          <w:szCs w:val="24"/>
        </w:rPr>
        <w:t xml:space="preserve"> criticisms of, and backlash against, international trade and investment agreements—on the both sides of the Atlantic and globally—</w:t>
      </w:r>
      <w:r w:rsidR="004D5248" w:rsidRPr="00D66C82">
        <w:rPr>
          <w:rFonts w:ascii="Times New Roman" w:hAnsi="Times New Roman" w:cs="Times New Roman"/>
          <w:sz w:val="24"/>
          <w:szCs w:val="24"/>
        </w:rPr>
        <w:t>has been underpinned by</w:t>
      </w:r>
      <w:r w:rsidR="000E0002" w:rsidRPr="00D66C82">
        <w:rPr>
          <w:rFonts w:ascii="Times New Roman" w:hAnsi="Times New Roman" w:cs="Times New Roman"/>
          <w:sz w:val="24"/>
          <w:szCs w:val="24"/>
        </w:rPr>
        <w:t xml:space="preserve"> a broader concern over the ‘denationalization of clusters of political, economic, and social activities that undermine the ability of the sovereign state to control activities on its territory.’</w:t>
      </w:r>
      <w:r w:rsidR="000E0002" w:rsidRPr="00D66C82">
        <w:rPr>
          <w:rStyle w:val="FootnoteReference"/>
          <w:rFonts w:ascii="Times New Roman" w:hAnsi="Times New Roman" w:cs="Times New Roman"/>
          <w:sz w:val="24"/>
          <w:szCs w:val="24"/>
        </w:rPr>
        <w:footnoteReference w:id="77"/>
      </w:r>
      <w:r w:rsidR="000E0002" w:rsidRPr="00D66C82">
        <w:rPr>
          <w:rFonts w:ascii="Times New Roman" w:hAnsi="Times New Roman" w:cs="Times New Roman"/>
          <w:sz w:val="24"/>
          <w:szCs w:val="24"/>
        </w:rPr>
        <w:t xml:space="preserve"> </w:t>
      </w:r>
    </w:p>
    <w:p w14:paraId="6C78493E" w14:textId="77777777" w:rsidR="00FE20E0" w:rsidRDefault="00FE20E0" w:rsidP="00D66C82">
      <w:pPr>
        <w:autoSpaceDE w:val="0"/>
        <w:autoSpaceDN w:val="0"/>
        <w:adjustRightInd w:val="0"/>
        <w:spacing w:after="0"/>
        <w:jc w:val="both"/>
        <w:rPr>
          <w:rFonts w:ascii="Times New Roman" w:hAnsi="Times New Roman" w:cs="Times New Roman"/>
          <w:sz w:val="24"/>
          <w:szCs w:val="24"/>
        </w:rPr>
      </w:pPr>
    </w:p>
    <w:p w14:paraId="2859B852" w14:textId="2A309D6B" w:rsidR="00987464" w:rsidRDefault="00585B8B" w:rsidP="00D66C8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As </w:t>
      </w:r>
      <w:proofErr w:type="spellStart"/>
      <w:r w:rsidR="000E0002" w:rsidRPr="00D66C82">
        <w:rPr>
          <w:rFonts w:ascii="Times New Roman" w:hAnsi="Times New Roman" w:cs="Times New Roman"/>
          <w:sz w:val="24"/>
          <w:szCs w:val="24"/>
        </w:rPr>
        <w:t>Cotterrel</w:t>
      </w:r>
      <w:proofErr w:type="spellEnd"/>
      <w:r w:rsidR="000E0002" w:rsidRPr="00D66C82">
        <w:rPr>
          <w:rFonts w:ascii="Times New Roman" w:hAnsi="Times New Roman" w:cs="Times New Roman"/>
          <w:sz w:val="24"/>
          <w:szCs w:val="24"/>
        </w:rPr>
        <w:t xml:space="preserve"> </w:t>
      </w:r>
      <w:r>
        <w:rPr>
          <w:rFonts w:ascii="Times New Roman" w:hAnsi="Times New Roman" w:cs="Times New Roman"/>
          <w:sz w:val="24"/>
          <w:szCs w:val="24"/>
        </w:rPr>
        <w:t xml:space="preserve">argued long before the EU referendum, </w:t>
      </w:r>
      <w:r w:rsidR="000E0002" w:rsidRPr="00D66C82">
        <w:rPr>
          <w:rFonts w:ascii="Times New Roman" w:hAnsi="Times New Roman" w:cs="Times New Roman"/>
          <w:sz w:val="24"/>
          <w:szCs w:val="24"/>
        </w:rPr>
        <w:t>legitimacy of the international economic order ‘needs strengthening in the face of political opposition to globalisation, perceptions of the remoteness of international regulatory processes and suspicion about their character.’</w:t>
      </w:r>
      <w:r w:rsidR="000E0002" w:rsidRPr="00D66C82">
        <w:rPr>
          <w:rStyle w:val="FootnoteReference"/>
          <w:rFonts w:ascii="Times New Roman" w:hAnsi="Times New Roman" w:cs="Times New Roman"/>
          <w:sz w:val="24"/>
          <w:szCs w:val="24"/>
        </w:rPr>
        <w:footnoteReference w:id="78"/>
      </w:r>
      <w:r w:rsidR="00620956" w:rsidRPr="00D66C82">
        <w:rPr>
          <w:rFonts w:ascii="Times New Roman" w:hAnsi="Times New Roman" w:cs="Times New Roman"/>
          <w:sz w:val="24"/>
          <w:szCs w:val="24"/>
        </w:rPr>
        <w:t xml:space="preserve"> </w:t>
      </w:r>
      <w:r w:rsidR="004D5248" w:rsidRPr="00D66C82">
        <w:rPr>
          <w:rFonts w:ascii="Times New Roman" w:hAnsi="Times New Roman" w:cs="Times New Roman"/>
          <w:sz w:val="24"/>
          <w:szCs w:val="24"/>
        </w:rPr>
        <w:t>The introduction of a</w:t>
      </w:r>
      <w:r w:rsidR="000E0002" w:rsidRPr="00D66C82">
        <w:rPr>
          <w:rFonts w:ascii="Times New Roman" w:hAnsi="Times New Roman" w:cs="Times New Roman"/>
          <w:sz w:val="24"/>
          <w:szCs w:val="24"/>
        </w:rPr>
        <w:t xml:space="preserve"> more participatory and inclusive treaty-making p</w:t>
      </w:r>
      <w:r w:rsidR="00463D8A" w:rsidRPr="00D66C82">
        <w:rPr>
          <w:rFonts w:ascii="Times New Roman" w:hAnsi="Times New Roman" w:cs="Times New Roman"/>
          <w:sz w:val="24"/>
          <w:szCs w:val="24"/>
        </w:rPr>
        <w:t>rocess</w:t>
      </w:r>
      <w:r w:rsidR="000E0002" w:rsidRPr="00D66C82">
        <w:rPr>
          <w:rFonts w:ascii="Times New Roman" w:hAnsi="Times New Roman" w:cs="Times New Roman"/>
          <w:sz w:val="24"/>
          <w:szCs w:val="24"/>
        </w:rPr>
        <w:t xml:space="preserve"> will </w:t>
      </w:r>
      <w:r>
        <w:rPr>
          <w:rFonts w:ascii="Times New Roman" w:hAnsi="Times New Roman" w:cs="Times New Roman"/>
          <w:sz w:val="24"/>
          <w:szCs w:val="24"/>
        </w:rPr>
        <w:t xml:space="preserve">arguably </w:t>
      </w:r>
      <w:r w:rsidR="000E0002" w:rsidRPr="00D66C82">
        <w:rPr>
          <w:rFonts w:ascii="Times New Roman" w:hAnsi="Times New Roman" w:cs="Times New Roman"/>
          <w:sz w:val="24"/>
          <w:szCs w:val="24"/>
        </w:rPr>
        <w:t xml:space="preserve">not only counter the perceptions of remoteness of international investment agreements but </w:t>
      </w:r>
      <w:r w:rsidR="00463D8A" w:rsidRPr="00D66C82">
        <w:rPr>
          <w:rFonts w:ascii="Times New Roman" w:hAnsi="Times New Roman" w:cs="Times New Roman"/>
          <w:sz w:val="24"/>
          <w:szCs w:val="24"/>
        </w:rPr>
        <w:t xml:space="preserve">also </w:t>
      </w:r>
      <w:r w:rsidR="000E0002" w:rsidRPr="00D66C82">
        <w:rPr>
          <w:rFonts w:ascii="Times New Roman" w:hAnsi="Times New Roman" w:cs="Times New Roman"/>
          <w:sz w:val="24"/>
          <w:szCs w:val="24"/>
        </w:rPr>
        <w:t>c</w:t>
      </w:r>
      <w:r w:rsidR="00987464" w:rsidRPr="00D66C82">
        <w:rPr>
          <w:rFonts w:ascii="Times New Roman" w:hAnsi="Times New Roman" w:cs="Times New Roman"/>
          <w:sz w:val="24"/>
          <w:szCs w:val="24"/>
        </w:rPr>
        <w:t>rucial</w:t>
      </w:r>
      <w:r w:rsidR="000E0002" w:rsidRPr="00D66C82">
        <w:rPr>
          <w:rFonts w:ascii="Times New Roman" w:hAnsi="Times New Roman" w:cs="Times New Roman"/>
          <w:sz w:val="24"/>
          <w:szCs w:val="24"/>
        </w:rPr>
        <w:t>ly</w:t>
      </w:r>
      <w:r w:rsidR="00987464" w:rsidRPr="00D66C82">
        <w:rPr>
          <w:rFonts w:ascii="Times New Roman" w:hAnsi="Times New Roman" w:cs="Times New Roman"/>
          <w:sz w:val="24"/>
          <w:szCs w:val="24"/>
        </w:rPr>
        <w:t xml:space="preserve"> </w:t>
      </w:r>
      <w:r w:rsidR="000E0002" w:rsidRPr="00D66C82">
        <w:rPr>
          <w:rFonts w:ascii="Times New Roman" w:hAnsi="Times New Roman" w:cs="Times New Roman"/>
          <w:sz w:val="24"/>
          <w:szCs w:val="24"/>
        </w:rPr>
        <w:t xml:space="preserve">would facilitate </w:t>
      </w:r>
      <w:r w:rsidR="006471D6" w:rsidRPr="00D66C82">
        <w:rPr>
          <w:rFonts w:ascii="Times New Roman" w:hAnsi="Times New Roman" w:cs="Times New Roman"/>
          <w:sz w:val="24"/>
          <w:szCs w:val="24"/>
        </w:rPr>
        <w:t>a “bottom up”</w:t>
      </w:r>
      <w:r w:rsidR="00B71BE5" w:rsidRPr="00D66C82">
        <w:rPr>
          <w:rFonts w:ascii="Times New Roman" w:hAnsi="Times New Roman" w:cs="Times New Roman"/>
          <w:sz w:val="24"/>
          <w:szCs w:val="24"/>
        </w:rPr>
        <w:t xml:space="preserve"> </w:t>
      </w:r>
      <w:r w:rsidR="006471D6" w:rsidRPr="00D66C82">
        <w:rPr>
          <w:rFonts w:ascii="Times New Roman" w:hAnsi="Times New Roman" w:cs="Times New Roman"/>
          <w:sz w:val="24"/>
          <w:szCs w:val="24"/>
        </w:rPr>
        <w:t>formulati</w:t>
      </w:r>
      <w:r w:rsidR="00987464" w:rsidRPr="00D66C82">
        <w:rPr>
          <w:rFonts w:ascii="Times New Roman" w:hAnsi="Times New Roman" w:cs="Times New Roman"/>
          <w:sz w:val="24"/>
          <w:szCs w:val="24"/>
        </w:rPr>
        <w:t>on of</w:t>
      </w:r>
      <w:r w:rsidR="006471D6" w:rsidRPr="00D66C82">
        <w:rPr>
          <w:rFonts w:ascii="Times New Roman" w:hAnsi="Times New Roman" w:cs="Times New Roman"/>
          <w:sz w:val="24"/>
          <w:szCs w:val="24"/>
        </w:rPr>
        <w:t xml:space="preserve"> investment policy priorities</w:t>
      </w:r>
      <w:r w:rsidR="00B71BE5" w:rsidRPr="00D66C82">
        <w:rPr>
          <w:rFonts w:ascii="Times New Roman" w:hAnsi="Times New Roman" w:cs="Times New Roman"/>
          <w:sz w:val="24"/>
          <w:szCs w:val="24"/>
        </w:rPr>
        <w:t xml:space="preserve"> </w:t>
      </w:r>
      <w:r w:rsidR="000E0002" w:rsidRPr="00D66C82">
        <w:rPr>
          <w:rFonts w:ascii="Times New Roman" w:hAnsi="Times New Roman" w:cs="Times New Roman"/>
          <w:sz w:val="24"/>
          <w:szCs w:val="24"/>
        </w:rPr>
        <w:t xml:space="preserve">whereby </w:t>
      </w:r>
      <w:r w:rsidR="00B71BE5" w:rsidRPr="00D66C82">
        <w:rPr>
          <w:rFonts w:ascii="Times New Roman" w:hAnsi="Times New Roman" w:cs="Times New Roman"/>
          <w:sz w:val="24"/>
          <w:szCs w:val="24"/>
        </w:rPr>
        <w:t xml:space="preserve">the interests of </w:t>
      </w:r>
      <w:r w:rsidR="004D5248" w:rsidRPr="00D66C82">
        <w:rPr>
          <w:rFonts w:ascii="Times New Roman" w:hAnsi="Times New Roman" w:cs="Times New Roman"/>
          <w:sz w:val="24"/>
          <w:szCs w:val="24"/>
        </w:rPr>
        <w:t xml:space="preserve">UK </w:t>
      </w:r>
      <w:r w:rsidR="00B71BE5" w:rsidRPr="00D66C82">
        <w:rPr>
          <w:rFonts w:ascii="Times New Roman" w:hAnsi="Times New Roman" w:cs="Times New Roman"/>
          <w:sz w:val="24"/>
          <w:szCs w:val="24"/>
        </w:rPr>
        <w:t>societ</w:t>
      </w:r>
      <w:r w:rsidR="004D5248" w:rsidRPr="00D66C82">
        <w:rPr>
          <w:rFonts w:ascii="Times New Roman" w:hAnsi="Times New Roman" w:cs="Times New Roman"/>
          <w:sz w:val="24"/>
          <w:szCs w:val="24"/>
        </w:rPr>
        <w:t>y</w:t>
      </w:r>
      <w:r w:rsidR="00B71BE5" w:rsidRPr="00D66C82">
        <w:rPr>
          <w:rFonts w:ascii="Times New Roman" w:hAnsi="Times New Roman" w:cs="Times New Roman"/>
          <w:sz w:val="24"/>
          <w:szCs w:val="24"/>
        </w:rPr>
        <w:t xml:space="preserve"> at large, </w:t>
      </w:r>
      <w:r w:rsidR="00C550B2" w:rsidRPr="00D66C82">
        <w:rPr>
          <w:rFonts w:ascii="Times New Roman" w:hAnsi="Times New Roman" w:cs="Times New Roman"/>
          <w:sz w:val="24"/>
          <w:szCs w:val="24"/>
        </w:rPr>
        <w:t>w</w:t>
      </w:r>
      <w:r w:rsidR="00B71BE5" w:rsidRPr="00D66C82">
        <w:rPr>
          <w:rFonts w:ascii="Times New Roman" w:hAnsi="Times New Roman" w:cs="Times New Roman"/>
          <w:sz w:val="24"/>
          <w:szCs w:val="24"/>
        </w:rPr>
        <w:t xml:space="preserve">ill be protected alongside </w:t>
      </w:r>
      <w:r w:rsidR="000E0002" w:rsidRPr="00D66C82">
        <w:rPr>
          <w:rFonts w:ascii="Times New Roman" w:hAnsi="Times New Roman" w:cs="Times New Roman"/>
          <w:sz w:val="24"/>
          <w:szCs w:val="24"/>
        </w:rPr>
        <w:t>investment protection</w:t>
      </w:r>
      <w:r w:rsidR="00614575" w:rsidRPr="00D66C82">
        <w:rPr>
          <w:rFonts w:ascii="Times New Roman" w:hAnsi="Times New Roman" w:cs="Times New Roman"/>
          <w:sz w:val="24"/>
          <w:szCs w:val="24"/>
        </w:rPr>
        <w:t xml:space="preserve"> through the regulation</w:t>
      </w:r>
      <w:r w:rsidR="00B71BE5" w:rsidRPr="00D66C82">
        <w:rPr>
          <w:rFonts w:ascii="Times New Roman" w:hAnsi="Times New Roman" w:cs="Times New Roman"/>
          <w:sz w:val="24"/>
          <w:szCs w:val="24"/>
        </w:rPr>
        <w:t xml:space="preserve"> by </w:t>
      </w:r>
      <w:r w:rsidR="00614575" w:rsidRPr="00D66C82">
        <w:rPr>
          <w:rFonts w:ascii="Times New Roman" w:hAnsi="Times New Roman" w:cs="Times New Roman"/>
          <w:sz w:val="24"/>
          <w:szCs w:val="24"/>
        </w:rPr>
        <w:t>the state</w:t>
      </w:r>
      <w:r w:rsidR="00B71BE5" w:rsidRPr="00D66C82">
        <w:rPr>
          <w:rFonts w:ascii="Times New Roman" w:hAnsi="Times New Roman" w:cs="Times New Roman"/>
          <w:sz w:val="24"/>
          <w:szCs w:val="24"/>
        </w:rPr>
        <w:t xml:space="preserve"> of </w:t>
      </w:r>
      <w:r w:rsidR="00614575" w:rsidRPr="00D66C82">
        <w:rPr>
          <w:rFonts w:ascii="Times New Roman" w:hAnsi="Times New Roman" w:cs="Times New Roman"/>
          <w:sz w:val="24"/>
          <w:szCs w:val="24"/>
        </w:rPr>
        <w:t>s</w:t>
      </w:r>
      <w:r w:rsidR="00B71BE5" w:rsidRPr="00D66C82">
        <w:rPr>
          <w:rFonts w:ascii="Times New Roman" w:hAnsi="Times New Roman" w:cs="Times New Roman"/>
          <w:sz w:val="24"/>
          <w:szCs w:val="24"/>
        </w:rPr>
        <w:t>oc</w:t>
      </w:r>
      <w:r w:rsidR="00614575" w:rsidRPr="00D66C82">
        <w:rPr>
          <w:rFonts w:ascii="Times New Roman" w:hAnsi="Times New Roman" w:cs="Times New Roman"/>
          <w:sz w:val="24"/>
          <w:szCs w:val="24"/>
        </w:rPr>
        <w:t>ial issues</w:t>
      </w:r>
      <w:r w:rsidR="00B71BE5" w:rsidRPr="00D66C82">
        <w:rPr>
          <w:rFonts w:ascii="Times New Roman" w:hAnsi="Times New Roman" w:cs="Times New Roman"/>
          <w:sz w:val="24"/>
          <w:szCs w:val="24"/>
        </w:rPr>
        <w:t xml:space="preserve"> such as protection of the environment, observance of minimum labour and human</w:t>
      </w:r>
      <w:r w:rsidR="00C550B2" w:rsidRPr="00D66C82">
        <w:rPr>
          <w:rFonts w:ascii="Times New Roman" w:hAnsi="Times New Roman" w:cs="Times New Roman"/>
          <w:sz w:val="24"/>
          <w:szCs w:val="24"/>
        </w:rPr>
        <w:t xml:space="preserve"> </w:t>
      </w:r>
      <w:r w:rsidR="00B71BE5" w:rsidRPr="00D66C82">
        <w:rPr>
          <w:rFonts w:ascii="Times New Roman" w:hAnsi="Times New Roman" w:cs="Times New Roman"/>
          <w:sz w:val="24"/>
          <w:szCs w:val="24"/>
        </w:rPr>
        <w:t xml:space="preserve">rights standards, and </w:t>
      </w:r>
      <w:r w:rsidR="00614575" w:rsidRPr="00D66C82">
        <w:rPr>
          <w:rFonts w:ascii="Times New Roman" w:hAnsi="Times New Roman" w:cs="Times New Roman"/>
          <w:sz w:val="24"/>
          <w:szCs w:val="24"/>
        </w:rPr>
        <w:t xml:space="preserve">local </w:t>
      </w:r>
      <w:r w:rsidR="00B71BE5" w:rsidRPr="00D66C82">
        <w:rPr>
          <w:rFonts w:ascii="Times New Roman" w:hAnsi="Times New Roman" w:cs="Times New Roman"/>
          <w:sz w:val="24"/>
          <w:szCs w:val="24"/>
        </w:rPr>
        <w:t>development</w:t>
      </w:r>
      <w:r w:rsidR="00C550B2" w:rsidRPr="00D66C82">
        <w:rPr>
          <w:rFonts w:ascii="Times New Roman" w:hAnsi="Times New Roman" w:cs="Times New Roman"/>
          <w:sz w:val="24"/>
          <w:szCs w:val="24"/>
        </w:rPr>
        <w:t>.</w:t>
      </w:r>
      <w:r w:rsidR="000E0002" w:rsidRPr="00D66C82">
        <w:rPr>
          <w:rFonts w:ascii="Times New Roman" w:hAnsi="Times New Roman" w:cs="Times New Roman"/>
          <w:sz w:val="24"/>
          <w:szCs w:val="24"/>
        </w:rPr>
        <w:t xml:space="preserve"> These issues have </w:t>
      </w:r>
      <w:r w:rsidR="00C550B2" w:rsidRPr="00D66C82">
        <w:rPr>
          <w:rFonts w:ascii="Times New Roman" w:hAnsi="Times New Roman" w:cs="Times New Roman"/>
          <w:sz w:val="24"/>
          <w:szCs w:val="24"/>
        </w:rPr>
        <w:t xml:space="preserve">long been regarded as concerns </w:t>
      </w:r>
      <w:r w:rsidR="00DB5DB4">
        <w:rPr>
          <w:rFonts w:ascii="Times New Roman" w:hAnsi="Times New Roman" w:cs="Times New Roman"/>
          <w:sz w:val="24"/>
          <w:szCs w:val="24"/>
        </w:rPr>
        <w:t>for</w:t>
      </w:r>
      <w:r w:rsidR="00623C05">
        <w:rPr>
          <w:rFonts w:ascii="Times New Roman" w:hAnsi="Times New Roman" w:cs="Times New Roman"/>
          <w:sz w:val="24"/>
          <w:szCs w:val="24"/>
        </w:rPr>
        <w:t xml:space="preserve"> developing countries—as s</w:t>
      </w:r>
      <w:r w:rsidR="00C550B2" w:rsidRPr="00D66C82">
        <w:rPr>
          <w:rFonts w:ascii="Times New Roman" w:hAnsi="Times New Roman" w:cs="Times New Roman"/>
          <w:sz w:val="24"/>
          <w:szCs w:val="24"/>
        </w:rPr>
        <w:t>omething from which developed countries had to insulate their invest</w:t>
      </w:r>
      <w:r w:rsidR="008735C0" w:rsidRPr="00D66C82">
        <w:rPr>
          <w:rFonts w:ascii="Times New Roman" w:hAnsi="Times New Roman" w:cs="Times New Roman"/>
          <w:sz w:val="24"/>
          <w:szCs w:val="24"/>
        </w:rPr>
        <w:t>ors. The reality that UK treaty-</w:t>
      </w:r>
      <w:r w:rsidR="00C550B2" w:rsidRPr="00D66C82">
        <w:rPr>
          <w:rFonts w:ascii="Times New Roman" w:hAnsi="Times New Roman" w:cs="Times New Roman"/>
          <w:sz w:val="24"/>
          <w:szCs w:val="24"/>
        </w:rPr>
        <w:t xml:space="preserve">makers will face after Brexit is that </w:t>
      </w:r>
      <w:r w:rsidR="009B4D42" w:rsidRPr="00D66C82">
        <w:rPr>
          <w:rFonts w:ascii="Times New Roman" w:hAnsi="Times New Roman" w:cs="Times New Roman"/>
          <w:sz w:val="24"/>
          <w:szCs w:val="24"/>
        </w:rPr>
        <w:t xml:space="preserve">economic </w:t>
      </w:r>
      <w:r w:rsidR="00C550B2" w:rsidRPr="00D66C82">
        <w:rPr>
          <w:rFonts w:ascii="Times New Roman" w:hAnsi="Times New Roman" w:cs="Times New Roman"/>
          <w:sz w:val="24"/>
          <w:szCs w:val="24"/>
        </w:rPr>
        <w:t xml:space="preserve">development, environmental protection and labour rights will need to be safeguarded for the UK and its </w:t>
      </w:r>
      <w:r w:rsidR="00623C05">
        <w:rPr>
          <w:rFonts w:ascii="Times New Roman" w:hAnsi="Times New Roman" w:cs="Times New Roman"/>
          <w:sz w:val="24"/>
          <w:szCs w:val="24"/>
        </w:rPr>
        <w:t>society</w:t>
      </w:r>
      <w:r w:rsidR="00C550B2" w:rsidRPr="00D66C82">
        <w:rPr>
          <w:rFonts w:ascii="Times New Roman" w:hAnsi="Times New Roman" w:cs="Times New Roman"/>
          <w:sz w:val="24"/>
          <w:szCs w:val="24"/>
        </w:rPr>
        <w:t>.</w:t>
      </w:r>
      <w:r w:rsidR="00A917D6" w:rsidRPr="00D66C82">
        <w:rPr>
          <w:rFonts w:ascii="Times New Roman" w:hAnsi="Times New Roman" w:cs="Times New Roman"/>
          <w:sz w:val="24"/>
          <w:szCs w:val="24"/>
        </w:rPr>
        <w:t xml:space="preserve"> </w:t>
      </w:r>
      <w:r w:rsidR="009B4D42" w:rsidRPr="00D66C82">
        <w:rPr>
          <w:rFonts w:ascii="Times New Roman" w:hAnsi="Times New Roman" w:cs="Times New Roman"/>
          <w:sz w:val="24"/>
          <w:szCs w:val="24"/>
        </w:rPr>
        <w:t>Yet w</w:t>
      </w:r>
      <w:r w:rsidR="00987464" w:rsidRPr="00D66C82">
        <w:rPr>
          <w:rFonts w:ascii="Times New Roman" w:hAnsi="Times New Roman" w:cs="Times New Roman"/>
          <w:sz w:val="24"/>
          <w:szCs w:val="24"/>
        </w:rPr>
        <w:t xml:space="preserve">ithout sufficient input from a diverse range of stakeholders and civil society groups, the UK government alone might not be able to </w:t>
      </w:r>
      <w:r w:rsidR="009B4D42" w:rsidRPr="00D66C82">
        <w:rPr>
          <w:rFonts w:ascii="Times New Roman" w:hAnsi="Times New Roman" w:cs="Times New Roman"/>
          <w:sz w:val="24"/>
          <w:szCs w:val="24"/>
        </w:rPr>
        <w:t>represent and safeguard various competing environmental, public health and socio-economic development imperatives</w:t>
      </w:r>
      <w:r w:rsidR="00623C05">
        <w:rPr>
          <w:rFonts w:ascii="Times New Roman" w:hAnsi="Times New Roman" w:cs="Times New Roman"/>
          <w:sz w:val="24"/>
          <w:szCs w:val="24"/>
        </w:rPr>
        <w:t xml:space="preserve"> in drawing up its new and revised investment treaty instruments</w:t>
      </w:r>
      <w:r w:rsidR="009B4D42" w:rsidRPr="00D66C82">
        <w:rPr>
          <w:rFonts w:ascii="Times New Roman" w:hAnsi="Times New Roman" w:cs="Times New Roman"/>
          <w:sz w:val="24"/>
          <w:szCs w:val="24"/>
        </w:rPr>
        <w:t>.</w:t>
      </w:r>
      <w:r w:rsidR="00987464" w:rsidRPr="00D66C82">
        <w:rPr>
          <w:rStyle w:val="FootnoteReference"/>
          <w:rFonts w:ascii="Times New Roman" w:hAnsi="Times New Roman" w:cs="Times New Roman"/>
          <w:sz w:val="24"/>
          <w:szCs w:val="24"/>
        </w:rPr>
        <w:footnoteReference w:id="79"/>
      </w:r>
    </w:p>
    <w:p w14:paraId="5246F8DC" w14:textId="07C5EAF7" w:rsidR="00623C05" w:rsidRDefault="00623C05" w:rsidP="00D66C82">
      <w:pPr>
        <w:autoSpaceDE w:val="0"/>
        <w:autoSpaceDN w:val="0"/>
        <w:adjustRightInd w:val="0"/>
        <w:spacing w:after="0"/>
        <w:jc w:val="both"/>
        <w:rPr>
          <w:rFonts w:ascii="Times New Roman" w:hAnsi="Times New Roman" w:cs="Times New Roman"/>
          <w:sz w:val="24"/>
          <w:szCs w:val="24"/>
        </w:rPr>
      </w:pPr>
    </w:p>
    <w:p w14:paraId="4ED3AD71" w14:textId="1B8ABD14" w:rsidR="00623C05" w:rsidRPr="00B11CF5" w:rsidRDefault="00B11CF5" w:rsidP="00B11CF5">
      <w:pPr>
        <w:pStyle w:val="Heading1"/>
        <w:rPr>
          <w:rFonts w:ascii="Times New Roman" w:hAnsi="Times New Roman" w:cs="Times New Roman"/>
          <w:b/>
          <w:color w:val="auto"/>
          <w:sz w:val="24"/>
          <w:szCs w:val="24"/>
        </w:rPr>
      </w:pPr>
      <w:r>
        <w:rPr>
          <w:rFonts w:ascii="Times New Roman" w:hAnsi="Times New Roman" w:cs="Times New Roman"/>
          <w:b/>
          <w:color w:val="auto"/>
          <w:sz w:val="24"/>
          <w:szCs w:val="24"/>
        </w:rPr>
        <w:t xml:space="preserve">5. </w:t>
      </w:r>
      <w:r w:rsidR="00623C05" w:rsidRPr="00B11CF5">
        <w:rPr>
          <w:rFonts w:ascii="Times New Roman" w:hAnsi="Times New Roman" w:cs="Times New Roman"/>
          <w:b/>
          <w:color w:val="auto"/>
          <w:sz w:val="24"/>
          <w:szCs w:val="24"/>
        </w:rPr>
        <w:t>Conclusion</w:t>
      </w:r>
    </w:p>
    <w:p w14:paraId="1677B389" w14:textId="092F59DA" w:rsidR="00623C05" w:rsidRDefault="00623C05" w:rsidP="00D66C82">
      <w:pPr>
        <w:autoSpaceDE w:val="0"/>
        <w:autoSpaceDN w:val="0"/>
        <w:adjustRightInd w:val="0"/>
        <w:spacing w:after="0"/>
        <w:jc w:val="both"/>
        <w:rPr>
          <w:rFonts w:ascii="Times New Roman" w:hAnsi="Times New Roman" w:cs="Times New Roman"/>
          <w:sz w:val="24"/>
          <w:szCs w:val="24"/>
        </w:rPr>
      </w:pPr>
    </w:p>
    <w:p w14:paraId="1A4CC5E8" w14:textId="7C284DB8" w:rsidR="00677F44" w:rsidRPr="00D66C82" w:rsidRDefault="00623C05" w:rsidP="00677F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overarching aim of this chapter was to highlight some of the key challenges the policymakers </w:t>
      </w:r>
      <w:r w:rsidR="00FE20E0">
        <w:rPr>
          <w:rFonts w:ascii="Times New Roman" w:hAnsi="Times New Roman" w:cs="Times New Roman"/>
          <w:sz w:val="24"/>
          <w:szCs w:val="24"/>
        </w:rPr>
        <w:t>would need to address when</w:t>
      </w:r>
      <w:r>
        <w:rPr>
          <w:rFonts w:ascii="Times New Roman" w:hAnsi="Times New Roman" w:cs="Times New Roman"/>
          <w:sz w:val="24"/>
          <w:szCs w:val="24"/>
        </w:rPr>
        <w:t xml:space="preserve"> drafting and negotiating UK investment treaty instruments after Brexit. These challenges stem from a combination of factors, including (1) a significant role the future investment and trade deals are </w:t>
      </w:r>
      <w:r w:rsidR="00FE20E0">
        <w:rPr>
          <w:rFonts w:ascii="Times New Roman" w:hAnsi="Times New Roman" w:cs="Times New Roman"/>
          <w:sz w:val="24"/>
          <w:szCs w:val="24"/>
        </w:rPr>
        <w:t xml:space="preserve">expected to play </w:t>
      </w:r>
      <w:r>
        <w:rPr>
          <w:rFonts w:ascii="Times New Roman" w:hAnsi="Times New Roman" w:cs="Times New Roman"/>
          <w:sz w:val="24"/>
          <w:szCs w:val="24"/>
        </w:rPr>
        <w:t>in the government plans to foster economic growth and prosperity in the UK after Brexit; (2) the change in the direction of investment flows and the shift from investment treaties being deployed primarily by British investors</w:t>
      </w:r>
      <w:r w:rsidR="00FC7C83">
        <w:rPr>
          <w:rFonts w:ascii="Times New Roman" w:hAnsi="Times New Roman" w:cs="Times New Roman"/>
          <w:sz w:val="24"/>
          <w:szCs w:val="24"/>
        </w:rPr>
        <w:t xml:space="preserve"> against overseas governments</w:t>
      </w:r>
      <w:r>
        <w:rPr>
          <w:rFonts w:ascii="Times New Roman" w:hAnsi="Times New Roman" w:cs="Times New Roman"/>
          <w:sz w:val="24"/>
          <w:szCs w:val="24"/>
        </w:rPr>
        <w:t xml:space="preserve"> </w:t>
      </w:r>
      <w:r w:rsidR="00FC7C83">
        <w:rPr>
          <w:rFonts w:ascii="Times New Roman" w:hAnsi="Times New Roman" w:cs="Times New Roman"/>
          <w:sz w:val="24"/>
          <w:szCs w:val="24"/>
        </w:rPr>
        <w:t xml:space="preserve">to foreign investors, including European investors, </w:t>
      </w:r>
      <w:r w:rsidR="00B44C55">
        <w:rPr>
          <w:rFonts w:ascii="Times New Roman" w:hAnsi="Times New Roman" w:cs="Times New Roman"/>
          <w:sz w:val="24"/>
          <w:szCs w:val="24"/>
        </w:rPr>
        <w:t>being able to deploy</w:t>
      </w:r>
      <w:r w:rsidR="00FC7C83">
        <w:rPr>
          <w:rFonts w:ascii="Times New Roman" w:hAnsi="Times New Roman" w:cs="Times New Roman"/>
          <w:sz w:val="24"/>
          <w:szCs w:val="24"/>
        </w:rPr>
        <w:t xml:space="preserve"> investment treaties vis-à-vis the British government; and (3) the growing backlash against and contestation of investment and trade agreements both in the UK and globally. These factors, among a vast array of other policy concerns and rapidly changing political and socio-economic realities, necessitate re-visiting the blueprints the UK government relied upon in its treaty-making prior to the transfer of competence over investment to the EU. The existing investment treaty models were drawn up at the time when the UK was primarily interested in advancing the interests of British investors overseas. Now that Britain is increasingly acting as a host country to foreign investment—from the EU, China, Japan and major developed economies, </w:t>
      </w:r>
      <w:r w:rsidR="00DC5105">
        <w:rPr>
          <w:rFonts w:ascii="Times New Roman" w:hAnsi="Times New Roman" w:cs="Times New Roman"/>
          <w:sz w:val="24"/>
          <w:szCs w:val="24"/>
        </w:rPr>
        <w:t>there is an urgent need to fundamentally re-think and re</w:t>
      </w:r>
      <w:r w:rsidR="00031375">
        <w:rPr>
          <w:rFonts w:ascii="Times New Roman" w:hAnsi="Times New Roman" w:cs="Times New Roman"/>
          <w:sz w:val="24"/>
          <w:szCs w:val="24"/>
        </w:rPr>
        <w:t>form</w:t>
      </w:r>
      <w:r w:rsidR="00DC5105">
        <w:rPr>
          <w:rFonts w:ascii="Times New Roman" w:hAnsi="Times New Roman" w:cs="Times New Roman"/>
          <w:sz w:val="24"/>
          <w:szCs w:val="24"/>
        </w:rPr>
        <w:t xml:space="preserve"> UK investment treaties. </w:t>
      </w:r>
    </w:p>
    <w:p w14:paraId="3B9A1414" w14:textId="77777777" w:rsidR="00855E0A" w:rsidRDefault="00855E0A" w:rsidP="00D66C82">
      <w:pPr>
        <w:autoSpaceDE w:val="0"/>
        <w:autoSpaceDN w:val="0"/>
        <w:adjustRightInd w:val="0"/>
        <w:spacing w:after="0"/>
        <w:jc w:val="both"/>
        <w:rPr>
          <w:rFonts w:ascii="Times New Roman" w:hAnsi="Times New Roman" w:cs="Times New Roman"/>
          <w:sz w:val="24"/>
          <w:szCs w:val="24"/>
        </w:rPr>
      </w:pPr>
    </w:p>
    <w:p w14:paraId="6402ABBE" w14:textId="5C68475E" w:rsidR="00677F44" w:rsidRDefault="00855E0A" w:rsidP="00D66C8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Who stands to gain from international agreements that grant foreign investors greater privileges than those afforded to corporations and individuals under UK law? </w:t>
      </w:r>
      <w:r w:rsidR="00DC5105">
        <w:rPr>
          <w:rFonts w:ascii="Times New Roman" w:hAnsi="Times New Roman" w:cs="Times New Roman"/>
          <w:sz w:val="24"/>
          <w:szCs w:val="24"/>
        </w:rPr>
        <w:t xml:space="preserve">Since the existing UK investment treaties prioritise investor rights in a manner unseen in EU law and UK legal system, such treaties are incompatible with the government’s intention to use Brexit as an opportunity to transform the country that works for all, not just the privileged few. </w:t>
      </w:r>
      <w:r w:rsidR="00677F44">
        <w:rPr>
          <w:rFonts w:ascii="Times New Roman" w:hAnsi="Times New Roman" w:cs="Times New Roman"/>
          <w:sz w:val="24"/>
          <w:szCs w:val="24"/>
        </w:rPr>
        <w:t xml:space="preserve">Can investment treaties be </w:t>
      </w:r>
      <w:r w:rsidR="00031375">
        <w:rPr>
          <w:rFonts w:ascii="Times New Roman" w:hAnsi="Times New Roman" w:cs="Times New Roman"/>
          <w:sz w:val="24"/>
          <w:szCs w:val="24"/>
        </w:rPr>
        <w:t>re-designed</w:t>
      </w:r>
      <w:r w:rsidR="00677F44">
        <w:rPr>
          <w:rFonts w:ascii="Times New Roman" w:hAnsi="Times New Roman" w:cs="Times New Roman"/>
          <w:sz w:val="24"/>
          <w:szCs w:val="24"/>
        </w:rPr>
        <w:t xml:space="preserve"> into instruments that tangibly contribute to sustainable economic development in host states, including regional and local development, and will there be sufficient political will in the UK to push for such a radical overhaul of investment treaties post-Brexit? </w:t>
      </w:r>
      <w:r w:rsidR="00DC5105">
        <w:rPr>
          <w:rFonts w:ascii="Times New Roman" w:hAnsi="Times New Roman" w:cs="Times New Roman"/>
          <w:sz w:val="24"/>
          <w:szCs w:val="24"/>
        </w:rPr>
        <w:t xml:space="preserve">After Brexit, the UK policymakers </w:t>
      </w:r>
      <w:r w:rsidR="00031375">
        <w:rPr>
          <w:rFonts w:ascii="Times New Roman" w:hAnsi="Times New Roman" w:cs="Times New Roman"/>
          <w:sz w:val="24"/>
          <w:szCs w:val="24"/>
        </w:rPr>
        <w:t xml:space="preserve">will </w:t>
      </w:r>
      <w:r w:rsidR="00DC5105">
        <w:rPr>
          <w:rFonts w:ascii="Times New Roman" w:hAnsi="Times New Roman" w:cs="Times New Roman"/>
          <w:sz w:val="24"/>
          <w:szCs w:val="24"/>
        </w:rPr>
        <w:t xml:space="preserve">need to face the question of whether there is enough </w:t>
      </w:r>
      <w:r w:rsidR="00DC5105" w:rsidRPr="00DC5105">
        <w:rPr>
          <w:rFonts w:ascii="Times New Roman" w:hAnsi="Times New Roman" w:cs="Times New Roman"/>
          <w:i/>
          <w:sz w:val="24"/>
          <w:szCs w:val="24"/>
        </w:rPr>
        <w:t>quid pro quo</w:t>
      </w:r>
      <w:r w:rsidR="00DC5105">
        <w:rPr>
          <w:rFonts w:ascii="Times New Roman" w:hAnsi="Times New Roman" w:cs="Times New Roman"/>
          <w:sz w:val="24"/>
          <w:szCs w:val="24"/>
        </w:rPr>
        <w:t xml:space="preserve"> to justify maintain</w:t>
      </w:r>
      <w:r w:rsidR="00031375">
        <w:rPr>
          <w:rFonts w:ascii="Times New Roman" w:hAnsi="Times New Roman" w:cs="Times New Roman"/>
          <w:sz w:val="24"/>
          <w:szCs w:val="24"/>
        </w:rPr>
        <w:t xml:space="preserve">ing </w:t>
      </w:r>
      <w:r w:rsidR="00DC5105">
        <w:rPr>
          <w:rFonts w:ascii="Times New Roman" w:hAnsi="Times New Roman" w:cs="Times New Roman"/>
          <w:sz w:val="24"/>
          <w:szCs w:val="24"/>
        </w:rPr>
        <w:t xml:space="preserve">the treaty regime that is </w:t>
      </w:r>
      <w:r w:rsidR="00031375">
        <w:rPr>
          <w:rFonts w:ascii="Times New Roman" w:hAnsi="Times New Roman" w:cs="Times New Roman"/>
          <w:sz w:val="24"/>
          <w:szCs w:val="24"/>
        </w:rPr>
        <w:t>premised</w:t>
      </w:r>
      <w:r w:rsidR="00DC5105">
        <w:rPr>
          <w:rFonts w:ascii="Times New Roman" w:hAnsi="Times New Roman" w:cs="Times New Roman"/>
          <w:sz w:val="24"/>
          <w:szCs w:val="24"/>
        </w:rPr>
        <w:t xml:space="preserve"> on over-protection of foreign investors. </w:t>
      </w:r>
      <w:r w:rsidR="00677F44">
        <w:rPr>
          <w:rFonts w:ascii="Times New Roman" w:hAnsi="Times New Roman" w:cs="Times New Roman"/>
          <w:sz w:val="24"/>
          <w:szCs w:val="24"/>
        </w:rPr>
        <w:t>In deciding how to proceed and which models to use in drafting future investment protection policies, policymakers will face the c</w:t>
      </w:r>
      <w:r>
        <w:rPr>
          <w:rFonts w:ascii="Times New Roman" w:hAnsi="Times New Roman" w:cs="Times New Roman"/>
          <w:sz w:val="24"/>
          <w:szCs w:val="24"/>
        </w:rPr>
        <w:t xml:space="preserve">hoice which is, put crudely, </w:t>
      </w:r>
      <w:r w:rsidR="00677F44">
        <w:rPr>
          <w:rFonts w:ascii="Times New Roman" w:hAnsi="Times New Roman" w:cs="Times New Roman"/>
          <w:sz w:val="24"/>
          <w:szCs w:val="24"/>
        </w:rPr>
        <w:t>either to continue with the established but outdated and arguably dangerous investment treaty models that prioritise investment protection, or to create new models</w:t>
      </w:r>
      <w:r>
        <w:rPr>
          <w:rFonts w:ascii="Times New Roman" w:hAnsi="Times New Roman" w:cs="Times New Roman"/>
          <w:sz w:val="24"/>
          <w:szCs w:val="24"/>
        </w:rPr>
        <w:t>,</w:t>
      </w:r>
      <w:r w:rsidR="00677F44">
        <w:rPr>
          <w:rFonts w:ascii="Times New Roman" w:hAnsi="Times New Roman" w:cs="Times New Roman"/>
          <w:sz w:val="24"/>
          <w:szCs w:val="24"/>
        </w:rPr>
        <w:t xml:space="preserve"> </w:t>
      </w:r>
      <w:r w:rsidR="00031375">
        <w:rPr>
          <w:rFonts w:ascii="Times New Roman" w:hAnsi="Times New Roman" w:cs="Times New Roman"/>
          <w:sz w:val="24"/>
          <w:szCs w:val="24"/>
        </w:rPr>
        <w:t xml:space="preserve">perhaps </w:t>
      </w:r>
      <w:r w:rsidR="00677F44">
        <w:rPr>
          <w:rFonts w:ascii="Times New Roman" w:hAnsi="Times New Roman" w:cs="Times New Roman"/>
          <w:sz w:val="24"/>
          <w:szCs w:val="24"/>
        </w:rPr>
        <w:t>using as the benchmarks the UK legal system and protections it offers to its own investors and balancing investor rights with concrete and enforceable investor responsibilities.</w:t>
      </w:r>
      <w:r w:rsidR="0062790F">
        <w:rPr>
          <w:rFonts w:ascii="Times New Roman" w:hAnsi="Times New Roman" w:cs="Times New Roman"/>
          <w:sz w:val="24"/>
          <w:szCs w:val="24"/>
        </w:rPr>
        <w:t xml:space="preserve"> If Brexit is truly about ‘taking back control’, investment treaties should go beyond offering merely a hortatory acknowledgement of the state’s power to regulate in pursuit of public policy objectives. If post-Brexit Britain is to be transformed into a country that would work for all, treaty drafting and negotiation should become more transparent and inclusive, and the contribution of foreign investment to sustainable economic development—</w:t>
      </w:r>
      <w:r>
        <w:rPr>
          <w:rFonts w:ascii="Times New Roman" w:hAnsi="Times New Roman" w:cs="Times New Roman"/>
          <w:sz w:val="24"/>
          <w:szCs w:val="24"/>
        </w:rPr>
        <w:t>as well as</w:t>
      </w:r>
      <w:r w:rsidR="0062790F">
        <w:rPr>
          <w:rFonts w:ascii="Times New Roman" w:hAnsi="Times New Roman" w:cs="Times New Roman"/>
          <w:sz w:val="24"/>
          <w:szCs w:val="24"/>
        </w:rPr>
        <w:t xml:space="preserve"> the role of investment treaties in advancing this goal—need to be among the key negotiating objectives guiding those in charge of shaping future UK investment treaties. </w:t>
      </w:r>
    </w:p>
    <w:p w14:paraId="33F5406F" w14:textId="77777777" w:rsidR="00677F44" w:rsidRDefault="00677F44" w:rsidP="00D66C82">
      <w:pPr>
        <w:autoSpaceDE w:val="0"/>
        <w:autoSpaceDN w:val="0"/>
        <w:adjustRightInd w:val="0"/>
        <w:spacing w:after="0"/>
        <w:jc w:val="both"/>
        <w:rPr>
          <w:rFonts w:ascii="Times New Roman" w:hAnsi="Times New Roman" w:cs="Times New Roman"/>
          <w:sz w:val="24"/>
          <w:szCs w:val="24"/>
        </w:rPr>
      </w:pPr>
    </w:p>
    <w:p w14:paraId="71A4198F" w14:textId="77777777" w:rsidR="00B71BE5" w:rsidRPr="00D66C82" w:rsidRDefault="00B71BE5" w:rsidP="00D66C82">
      <w:pPr>
        <w:autoSpaceDE w:val="0"/>
        <w:autoSpaceDN w:val="0"/>
        <w:adjustRightInd w:val="0"/>
        <w:spacing w:after="0"/>
        <w:jc w:val="both"/>
        <w:rPr>
          <w:rFonts w:ascii="Times New Roman" w:hAnsi="Times New Roman" w:cs="Times New Roman"/>
          <w:sz w:val="24"/>
          <w:szCs w:val="24"/>
        </w:rPr>
      </w:pPr>
    </w:p>
    <w:p w14:paraId="128E7C89" w14:textId="77777777" w:rsidR="00D51000" w:rsidRPr="00D66C82" w:rsidRDefault="00D51000" w:rsidP="00D66C82">
      <w:pPr>
        <w:rPr>
          <w:rFonts w:ascii="Times New Roman" w:hAnsi="Times New Roman" w:cs="Times New Roman"/>
          <w:sz w:val="24"/>
          <w:szCs w:val="24"/>
        </w:rPr>
      </w:pPr>
    </w:p>
    <w:sectPr w:rsidR="00D51000" w:rsidRPr="00D66C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E7270" w14:textId="77777777" w:rsidR="00D0382A" w:rsidRDefault="00D0382A" w:rsidP="00B71BE5">
      <w:pPr>
        <w:spacing w:after="0" w:line="240" w:lineRule="auto"/>
      </w:pPr>
      <w:r>
        <w:separator/>
      </w:r>
    </w:p>
  </w:endnote>
  <w:endnote w:type="continuationSeparator" w:id="0">
    <w:p w14:paraId="7DA89447" w14:textId="77777777" w:rsidR="00D0382A" w:rsidRDefault="00D0382A" w:rsidP="00B7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abon-Roman">
    <w:altName w:val="Yu Gothic"/>
    <w:panose1 w:val="00000000000000000000"/>
    <w:charset w:val="80"/>
    <w:family w:val="auto"/>
    <w:notTrueType/>
    <w:pitch w:val="default"/>
    <w:sig w:usb0="00000003" w:usb1="08070000" w:usb2="00000010" w:usb3="00000000" w:csb0="00020001" w:csb1="00000000"/>
  </w:font>
  <w:font w:name="Brill-Roman">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StoneSerif">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ED3E3" w14:textId="77777777" w:rsidR="00D0382A" w:rsidRDefault="00D0382A" w:rsidP="00B71BE5">
      <w:pPr>
        <w:spacing w:after="0" w:line="240" w:lineRule="auto"/>
      </w:pPr>
      <w:r>
        <w:separator/>
      </w:r>
    </w:p>
  </w:footnote>
  <w:footnote w:type="continuationSeparator" w:id="0">
    <w:p w14:paraId="35B537CC" w14:textId="77777777" w:rsidR="00D0382A" w:rsidRDefault="00D0382A" w:rsidP="00B71BE5">
      <w:pPr>
        <w:spacing w:after="0" w:line="240" w:lineRule="auto"/>
      </w:pPr>
      <w:r>
        <w:continuationSeparator/>
      </w:r>
    </w:p>
  </w:footnote>
  <w:footnote w:id="1">
    <w:p w14:paraId="2390F3BA" w14:textId="1FD25DFD"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For references to deepening investment relations with the wider world and maximising wealth creation through supporting Foreign Direct Investment and Outward Direct Investment, see HM Government, ‘The United Kingdom’s exit from and new partnership with the European Union’ Cm 9417, presented to Parliament by the Prime Minister by Command of Her Majesty, February 2017, pp 54-5.</w:t>
      </w:r>
    </w:p>
  </w:footnote>
  <w:footnote w:id="2">
    <w:p w14:paraId="0AE2E66A" w14:textId="073DA9D5"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w:t>
      </w:r>
      <w:r w:rsidRPr="00FE20E0">
        <w:rPr>
          <w:rStyle w:val="BookTitle"/>
          <w:rFonts w:ascii="Times New Roman" w:hAnsi="Times New Roman" w:cs="Times New Roman"/>
          <w:b w:val="0"/>
          <w:i w:val="0"/>
        </w:rPr>
        <w:t xml:space="preserve">E </w:t>
      </w:r>
      <w:proofErr w:type="spellStart"/>
      <w:r w:rsidRPr="00FE20E0">
        <w:rPr>
          <w:rStyle w:val="BookTitle"/>
          <w:rFonts w:ascii="Times New Roman" w:hAnsi="Times New Roman" w:cs="Times New Roman"/>
          <w:b w:val="0"/>
          <w:i w:val="0"/>
        </w:rPr>
        <w:t>Denza</w:t>
      </w:r>
      <w:proofErr w:type="spellEnd"/>
      <w:r w:rsidRPr="00FE20E0">
        <w:rPr>
          <w:rStyle w:val="BookTitle"/>
          <w:rFonts w:ascii="Times New Roman" w:hAnsi="Times New Roman" w:cs="Times New Roman"/>
          <w:b w:val="0"/>
          <w:i w:val="0"/>
        </w:rPr>
        <w:t xml:space="preserve"> and S Brooks</w:t>
      </w:r>
      <w:r w:rsidRPr="00FE20E0">
        <w:rPr>
          <w:rFonts w:ascii="Times New Roman" w:hAnsi="Times New Roman" w:cs="Times New Roman"/>
        </w:rPr>
        <w:t xml:space="preserve">, ‘Investment Protection Treaties: United Kingdom Experience’ (1987) 36 </w:t>
      </w:r>
      <w:r w:rsidRPr="00FE20E0">
        <w:rPr>
          <w:rFonts w:ascii="Times New Roman" w:hAnsi="Times New Roman" w:cs="Times New Roman"/>
          <w:i/>
        </w:rPr>
        <w:t>International and Comparative Law Quarterly</w:t>
      </w:r>
      <w:r w:rsidRPr="00FE20E0">
        <w:rPr>
          <w:rFonts w:ascii="Times New Roman" w:hAnsi="Times New Roman" w:cs="Times New Roman"/>
        </w:rPr>
        <w:t xml:space="preserve"> 908, 909.</w:t>
      </w:r>
    </w:p>
  </w:footnote>
  <w:footnote w:id="3">
    <w:p w14:paraId="3DAE1AB1" w14:textId="4D28913E"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w:t>
      </w:r>
      <w:r w:rsidRPr="00FE20E0">
        <w:rPr>
          <w:rStyle w:val="TitleChar"/>
          <w:rFonts w:ascii="Times New Roman" w:hAnsi="Times New Roman" w:cs="Times New Roman"/>
          <w:sz w:val="20"/>
          <w:szCs w:val="20"/>
        </w:rPr>
        <w:t xml:space="preserve">L N </w:t>
      </w:r>
      <w:proofErr w:type="spellStart"/>
      <w:r w:rsidRPr="00FE20E0">
        <w:rPr>
          <w:rStyle w:val="TitleChar"/>
          <w:rFonts w:ascii="Times New Roman" w:hAnsi="Times New Roman" w:cs="Times New Roman"/>
          <w:sz w:val="20"/>
          <w:szCs w:val="20"/>
        </w:rPr>
        <w:t>Skovgaard</w:t>
      </w:r>
      <w:proofErr w:type="spellEnd"/>
      <w:r w:rsidRPr="00FE20E0">
        <w:rPr>
          <w:rStyle w:val="TitleChar"/>
          <w:rFonts w:ascii="Times New Roman" w:hAnsi="Times New Roman" w:cs="Times New Roman"/>
          <w:sz w:val="20"/>
          <w:szCs w:val="20"/>
        </w:rPr>
        <w:t xml:space="preserve"> </w:t>
      </w:r>
      <w:proofErr w:type="spellStart"/>
      <w:r w:rsidRPr="00FE20E0">
        <w:rPr>
          <w:rStyle w:val="TitleChar"/>
          <w:rFonts w:ascii="Times New Roman" w:hAnsi="Times New Roman" w:cs="Times New Roman"/>
          <w:sz w:val="20"/>
          <w:szCs w:val="20"/>
        </w:rPr>
        <w:t>Poulsen</w:t>
      </w:r>
      <w:proofErr w:type="spellEnd"/>
      <w:r w:rsidRPr="00FE20E0">
        <w:rPr>
          <w:rFonts w:ascii="Times New Roman" w:eastAsia="Times New Roman" w:hAnsi="Times New Roman" w:cs="Times New Roman"/>
          <w:lang w:val="en-US"/>
        </w:rPr>
        <w:t xml:space="preserve">, </w:t>
      </w:r>
      <w:r w:rsidRPr="00FE20E0">
        <w:rPr>
          <w:rFonts w:ascii="Times New Roman" w:eastAsia="Times New Roman" w:hAnsi="Times New Roman" w:cs="Times New Roman"/>
          <w:i/>
          <w:lang w:val="en-US"/>
        </w:rPr>
        <w:t>Bounded Rationality and Economic Diplomacy: The Politics of Investment Treaties in Developing Countries</w:t>
      </w:r>
      <w:r w:rsidRPr="00FE20E0">
        <w:rPr>
          <w:rFonts w:ascii="Times New Roman" w:eastAsia="Times New Roman" w:hAnsi="Times New Roman" w:cs="Times New Roman"/>
          <w:lang w:val="en-US"/>
        </w:rPr>
        <w:t>, Cambridge University Press, Cambridge 2015,</w:t>
      </w:r>
      <w:r w:rsidRPr="00FE20E0">
        <w:rPr>
          <w:rFonts w:ascii="Times New Roman" w:hAnsi="Times New Roman" w:cs="Times New Roman"/>
        </w:rPr>
        <w:t xml:space="preserve"> 48, also S Subedi, </w:t>
      </w:r>
      <w:r w:rsidRPr="00FE20E0">
        <w:rPr>
          <w:rFonts w:ascii="Times New Roman" w:hAnsi="Times New Roman" w:cs="Times New Roman"/>
          <w:i/>
        </w:rPr>
        <w:t>International Investment Law Reconciling Policy and Principle</w:t>
      </w:r>
      <w:r w:rsidRPr="00FE20E0">
        <w:rPr>
          <w:rFonts w:ascii="Times New Roman" w:hAnsi="Times New Roman" w:cs="Times New Roman"/>
        </w:rPr>
        <w:t>, 3</w:t>
      </w:r>
      <w:r w:rsidRPr="00FE20E0">
        <w:rPr>
          <w:rFonts w:ascii="Times New Roman" w:hAnsi="Times New Roman" w:cs="Times New Roman"/>
          <w:vertAlign w:val="superscript"/>
        </w:rPr>
        <w:t>rd</w:t>
      </w:r>
      <w:r w:rsidRPr="00FE20E0">
        <w:rPr>
          <w:rFonts w:ascii="Times New Roman" w:hAnsi="Times New Roman" w:cs="Times New Roman"/>
        </w:rPr>
        <w:t xml:space="preserve"> </w:t>
      </w:r>
      <w:proofErr w:type="spellStart"/>
      <w:r w:rsidRPr="00FE20E0">
        <w:rPr>
          <w:rFonts w:ascii="Times New Roman" w:hAnsi="Times New Roman" w:cs="Times New Roman"/>
        </w:rPr>
        <w:t>ed</w:t>
      </w:r>
      <w:proofErr w:type="spellEnd"/>
      <w:r w:rsidRPr="00FE20E0">
        <w:rPr>
          <w:rFonts w:ascii="Times New Roman" w:hAnsi="Times New Roman" w:cs="Times New Roman"/>
        </w:rPr>
        <w:t>, Hart Publishing 2016, chapter 4.</w:t>
      </w:r>
    </w:p>
  </w:footnote>
  <w:footnote w:id="4">
    <w:p w14:paraId="5B42DC41" w14:textId="46323D2A" w:rsidR="00FE20E0" w:rsidRPr="00FE20E0" w:rsidRDefault="00FE20E0" w:rsidP="00FE20E0">
      <w:pPr>
        <w:widowControl w:val="0"/>
        <w:spacing w:after="0" w:line="240" w:lineRule="auto"/>
        <w:contextualSpacing/>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For instance, Latin American states refused to include the international minimum standard into multilateral agreements during the interwar years. See also </w:t>
      </w:r>
      <w:r w:rsidRPr="00FE20E0">
        <w:rPr>
          <w:rStyle w:val="TitleChar"/>
          <w:rFonts w:ascii="Times New Roman" w:hAnsi="Times New Roman" w:cs="Times New Roman"/>
          <w:sz w:val="20"/>
          <w:szCs w:val="20"/>
        </w:rPr>
        <w:t xml:space="preserve">A </w:t>
      </w:r>
      <w:proofErr w:type="spellStart"/>
      <w:r w:rsidRPr="00FE20E0">
        <w:rPr>
          <w:rStyle w:val="TitleChar"/>
          <w:rFonts w:ascii="Times New Roman" w:hAnsi="Times New Roman" w:cs="Times New Roman"/>
          <w:sz w:val="20"/>
          <w:szCs w:val="20"/>
        </w:rPr>
        <w:t>Newcombe</w:t>
      </w:r>
      <w:proofErr w:type="spellEnd"/>
      <w:r w:rsidRPr="00FE20E0">
        <w:rPr>
          <w:rStyle w:val="TitleChar"/>
          <w:rFonts w:ascii="Times New Roman" w:hAnsi="Times New Roman" w:cs="Times New Roman"/>
          <w:sz w:val="20"/>
          <w:szCs w:val="20"/>
        </w:rPr>
        <w:t xml:space="preserve"> and L </w:t>
      </w:r>
      <w:proofErr w:type="spellStart"/>
      <w:r w:rsidRPr="00FE20E0">
        <w:rPr>
          <w:rStyle w:val="TitleChar"/>
          <w:rFonts w:ascii="Times New Roman" w:hAnsi="Times New Roman" w:cs="Times New Roman"/>
          <w:sz w:val="20"/>
          <w:szCs w:val="20"/>
        </w:rPr>
        <w:t>Paradell</w:t>
      </w:r>
      <w:proofErr w:type="spellEnd"/>
      <w:r w:rsidRPr="00FE20E0">
        <w:rPr>
          <w:rFonts w:ascii="Times New Roman" w:hAnsi="Times New Roman" w:cs="Times New Roman"/>
          <w:sz w:val="20"/>
          <w:szCs w:val="20"/>
        </w:rPr>
        <w:t xml:space="preserve">, </w:t>
      </w:r>
      <w:r w:rsidRPr="00FE20E0">
        <w:rPr>
          <w:rFonts w:ascii="Times New Roman" w:hAnsi="Times New Roman" w:cs="Times New Roman"/>
          <w:i/>
          <w:sz w:val="20"/>
          <w:szCs w:val="20"/>
        </w:rPr>
        <w:t>Law and Practice of Investment Treaties: Standards of Treatment</w:t>
      </w:r>
      <w:r w:rsidRPr="00FE20E0">
        <w:rPr>
          <w:rFonts w:ascii="Times New Roman" w:hAnsi="Times New Roman" w:cs="Times New Roman"/>
          <w:sz w:val="20"/>
          <w:szCs w:val="20"/>
        </w:rPr>
        <w:t xml:space="preserve">, Alphen </w:t>
      </w:r>
      <w:proofErr w:type="spellStart"/>
      <w:r w:rsidRPr="00FE20E0">
        <w:rPr>
          <w:rFonts w:ascii="Times New Roman" w:hAnsi="Times New Roman" w:cs="Times New Roman"/>
          <w:sz w:val="20"/>
          <w:szCs w:val="20"/>
        </w:rPr>
        <w:t>aan</w:t>
      </w:r>
      <w:proofErr w:type="spellEnd"/>
      <w:r w:rsidRPr="00FE20E0">
        <w:rPr>
          <w:rFonts w:ascii="Times New Roman" w:hAnsi="Times New Roman" w:cs="Times New Roman"/>
          <w:sz w:val="20"/>
          <w:szCs w:val="20"/>
        </w:rPr>
        <w:t xml:space="preserve"> den Rijn, Kluwer Law International, 2009, ch1, also S MONTT, State Liability in Investment Treaty Arbitration: Global Constitutional and Administrative Law in the BIT Generation, Oxford, Hart Publishing, 2009.</w:t>
      </w:r>
    </w:p>
  </w:footnote>
  <w:footnote w:id="5">
    <w:p w14:paraId="3EF6F5FE" w14:textId="49443BA0"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w:t>
      </w:r>
      <w:r w:rsidRPr="00FE20E0">
        <w:rPr>
          <w:rStyle w:val="TitleChar"/>
          <w:rFonts w:ascii="Times New Roman" w:hAnsi="Times New Roman" w:cs="Times New Roman"/>
          <w:sz w:val="20"/>
          <w:szCs w:val="20"/>
        </w:rPr>
        <w:t>K Miles</w:t>
      </w:r>
      <w:r w:rsidRPr="00FE20E0">
        <w:rPr>
          <w:rFonts w:ascii="Times New Roman" w:hAnsi="Times New Roman" w:cs="Times New Roman"/>
        </w:rPr>
        <w:t xml:space="preserve">, </w:t>
      </w:r>
      <w:r w:rsidRPr="00FE20E0">
        <w:rPr>
          <w:rFonts w:ascii="Times New Roman" w:hAnsi="Times New Roman" w:cs="Times New Roman"/>
          <w:i/>
        </w:rPr>
        <w:t>The Origins of International Investment Law: Empire, Environment and the Safeguarding of Capital</w:t>
      </w:r>
      <w:r w:rsidRPr="00FE20E0">
        <w:rPr>
          <w:rFonts w:ascii="Times New Roman" w:hAnsi="Times New Roman" w:cs="Times New Roman"/>
        </w:rPr>
        <w:t xml:space="preserve"> (Cambridge, Cambridge University Press, 2013) 97-100</w:t>
      </w:r>
    </w:p>
  </w:footnote>
  <w:footnote w:id="6">
    <w:p w14:paraId="54FD0005" w14:textId="06205661"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w:t>
      </w:r>
      <w:r w:rsidRPr="00FE20E0">
        <w:rPr>
          <w:rStyle w:val="TitleChar"/>
          <w:rFonts w:ascii="Times New Roman" w:hAnsi="Times New Roman" w:cs="Times New Roman"/>
          <w:sz w:val="20"/>
          <w:szCs w:val="20"/>
        </w:rPr>
        <w:t xml:space="preserve">H </w:t>
      </w:r>
      <w:proofErr w:type="spellStart"/>
      <w:r w:rsidRPr="00FE20E0">
        <w:rPr>
          <w:rStyle w:val="TitleChar"/>
          <w:rFonts w:ascii="Times New Roman" w:hAnsi="Times New Roman" w:cs="Times New Roman"/>
          <w:sz w:val="20"/>
          <w:szCs w:val="20"/>
        </w:rPr>
        <w:t>Shawcross</w:t>
      </w:r>
      <w:proofErr w:type="spellEnd"/>
      <w:r w:rsidRPr="00FE20E0">
        <w:rPr>
          <w:rFonts w:ascii="Times New Roman" w:hAnsi="Times New Roman" w:cs="Times New Roman"/>
        </w:rPr>
        <w:t xml:space="preserve">, ‘The Problems of Foreign Investment in International Law’ (1961) 102 </w:t>
      </w:r>
      <w:proofErr w:type="spellStart"/>
      <w:r w:rsidRPr="00FE20E0">
        <w:rPr>
          <w:rFonts w:ascii="Times New Roman" w:hAnsi="Times New Roman" w:cs="Times New Roman"/>
          <w:i/>
        </w:rPr>
        <w:t>Recueil</w:t>
      </w:r>
      <w:proofErr w:type="spellEnd"/>
      <w:r w:rsidRPr="00FE20E0">
        <w:rPr>
          <w:rFonts w:ascii="Times New Roman" w:hAnsi="Times New Roman" w:cs="Times New Roman"/>
          <w:i/>
        </w:rPr>
        <w:t xml:space="preserve"> des </w:t>
      </w:r>
      <w:proofErr w:type="spellStart"/>
      <w:r w:rsidRPr="00FE20E0">
        <w:rPr>
          <w:rFonts w:ascii="Times New Roman" w:hAnsi="Times New Roman" w:cs="Times New Roman"/>
          <w:i/>
        </w:rPr>
        <w:t>Cours</w:t>
      </w:r>
      <w:proofErr w:type="spellEnd"/>
      <w:r w:rsidRPr="00FE20E0">
        <w:rPr>
          <w:rFonts w:ascii="Times New Roman" w:hAnsi="Times New Roman" w:cs="Times New Roman"/>
        </w:rPr>
        <w:t xml:space="preserve"> 335, see also generally </w:t>
      </w:r>
      <w:r w:rsidRPr="00FE20E0">
        <w:rPr>
          <w:rStyle w:val="TitleChar"/>
          <w:rFonts w:ascii="Times New Roman" w:hAnsi="Times New Roman" w:cs="Times New Roman"/>
          <w:sz w:val="20"/>
          <w:szCs w:val="20"/>
        </w:rPr>
        <w:t xml:space="preserve">Andreas F. </w:t>
      </w:r>
      <w:proofErr w:type="spellStart"/>
      <w:r w:rsidRPr="00FE20E0">
        <w:rPr>
          <w:rStyle w:val="TitleChar"/>
          <w:rFonts w:ascii="Times New Roman" w:hAnsi="Times New Roman" w:cs="Times New Roman"/>
          <w:sz w:val="20"/>
          <w:szCs w:val="20"/>
        </w:rPr>
        <w:t>Lowenfeld</w:t>
      </w:r>
      <w:proofErr w:type="spellEnd"/>
      <w:r w:rsidRPr="00FE20E0">
        <w:rPr>
          <w:rFonts w:ascii="Times New Roman" w:hAnsi="Times New Roman" w:cs="Times New Roman"/>
        </w:rPr>
        <w:t xml:space="preserve">, ‘Investment Agreements and International Law (2003) 42 </w:t>
      </w:r>
      <w:r w:rsidRPr="00FE20E0">
        <w:rPr>
          <w:rFonts w:ascii="Times New Roman" w:hAnsi="Times New Roman" w:cs="Times New Roman"/>
          <w:i/>
        </w:rPr>
        <w:t>Columbia Journal of Transnational Law</w:t>
      </w:r>
      <w:r w:rsidRPr="00FE20E0">
        <w:rPr>
          <w:rFonts w:ascii="Times New Roman" w:hAnsi="Times New Roman" w:cs="Times New Roman"/>
        </w:rPr>
        <w:t xml:space="preserve"> 123.</w:t>
      </w:r>
    </w:p>
  </w:footnote>
  <w:footnote w:id="7">
    <w:p w14:paraId="01899393" w14:textId="5D02AA74"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G </w:t>
      </w:r>
      <w:proofErr w:type="spellStart"/>
      <w:r w:rsidRPr="00FE20E0">
        <w:rPr>
          <w:rFonts w:ascii="Times New Roman" w:hAnsi="Times New Roman" w:cs="Times New Roman"/>
        </w:rPr>
        <w:t>Schwarzenberger</w:t>
      </w:r>
      <w:proofErr w:type="spellEnd"/>
      <w:r w:rsidRPr="00FE20E0">
        <w:rPr>
          <w:rFonts w:ascii="Times New Roman" w:hAnsi="Times New Roman" w:cs="Times New Roman"/>
        </w:rPr>
        <w:t>, ‘The Abs-</w:t>
      </w:r>
      <w:proofErr w:type="spellStart"/>
      <w:r w:rsidRPr="00FE20E0">
        <w:rPr>
          <w:rFonts w:ascii="Times New Roman" w:hAnsi="Times New Roman" w:cs="Times New Roman"/>
        </w:rPr>
        <w:t>Shawcross</w:t>
      </w:r>
      <w:proofErr w:type="spellEnd"/>
      <w:r w:rsidRPr="00FE20E0">
        <w:rPr>
          <w:rFonts w:ascii="Times New Roman" w:hAnsi="Times New Roman" w:cs="Times New Roman"/>
        </w:rPr>
        <w:t xml:space="preserve"> Draft Convention on Investments Abroad: A Critical Commentary’ (1960) 9 </w:t>
      </w:r>
      <w:r w:rsidRPr="00FE20E0">
        <w:rPr>
          <w:rFonts w:ascii="Times New Roman" w:hAnsi="Times New Roman" w:cs="Times New Roman"/>
          <w:i/>
        </w:rPr>
        <w:t>J Public Law</w:t>
      </w:r>
      <w:r w:rsidRPr="00FE20E0">
        <w:rPr>
          <w:rFonts w:ascii="Times New Roman" w:hAnsi="Times New Roman" w:cs="Times New Roman"/>
        </w:rPr>
        <w:t xml:space="preserve"> 147</w:t>
      </w:r>
    </w:p>
  </w:footnote>
  <w:footnote w:id="8">
    <w:p w14:paraId="2F088F4B" w14:textId="15F4537A"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w:t>
      </w:r>
      <w:proofErr w:type="spellStart"/>
      <w:r w:rsidRPr="00FE20E0">
        <w:rPr>
          <w:rFonts w:ascii="Times New Roman" w:hAnsi="Times New Roman" w:cs="Times New Roman"/>
        </w:rPr>
        <w:t>Shawcross</w:t>
      </w:r>
      <w:proofErr w:type="spellEnd"/>
      <w:r w:rsidRPr="00FE20E0">
        <w:rPr>
          <w:rFonts w:ascii="Times New Roman" w:hAnsi="Times New Roman" w:cs="Times New Roman"/>
        </w:rPr>
        <w:t>, above n 6.</w:t>
      </w:r>
    </w:p>
  </w:footnote>
  <w:footnote w:id="9">
    <w:p w14:paraId="6931A6AC" w14:textId="77777777" w:rsidR="00FE20E0" w:rsidRPr="00FE20E0" w:rsidRDefault="00FE20E0" w:rsidP="00FE20E0">
      <w:pPr>
        <w:pStyle w:val="FootnoteText"/>
        <w:widowControl w:val="0"/>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OECD Draft Convention on the Protection of Foreign Property (1968) 7 </w:t>
      </w:r>
      <w:r w:rsidRPr="00FE20E0">
        <w:rPr>
          <w:rFonts w:ascii="Times New Roman" w:hAnsi="Times New Roman" w:cs="Times New Roman"/>
          <w:i/>
        </w:rPr>
        <w:t>ILM</w:t>
      </w:r>
      <w:r w:rsidRPr="00FE20E0">
        <w:rPr>
          <w:rFonts w:ascii="Times New Roman" w:hAnsi="Times New Roman" w:cs="Times New Roman"/>
        </w:rPr>
        <w:t xml:space="preserve"> 117.</w:t>
      </w:r>
    </w:p>
    <w:p w14:paraId="46E273D9" w14:textId="5851FFC9" w:rsidR="00FE20E0" w:rsidRPr="00FE20E0" w:rsidRDefault="00FE20E0" w:rsidP="00FE20E0">
      <w:pPr>
        <w:pStyle w:val="FootnoteText"/>
        <w:contextualSpacing/>
        <w:jc w:val="both"/>
        <w:rPr>
          <w:rFonts w:ascii="Times New Roman" w:hAnsi="Times New Roman" w:cs="Times New Roman"/>
        </w:rPr>
      </w:pPr>
    </w:p>
  </w:footnote>
  <w:footnote w:id="10">
    <w:p w14:paraId="766DF660" w14:textId="529E6A4E"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Montt, above n 4, p 76.</w:t>
      </w:r>
    </w:p>
  </w:footnote>
  <w:footnote w:id="11">
    <w:p w14:paraId="478D0FAF" w14:textId="7DDA84B7" w:rsidR="00FE20E0" w:rsidRPr="00FE20E0" w:rsidRDefault="00FE20E0" w:rsidP="00FE20E0">
      <w:pPr>
        <w:autoSpaceDE w:val="0"/>
        <w:autoSpaceDN w:val="0"/>
        <w:adjustRightInd w:val="0"/>
        <w:spacing w:after="0" w:line="240" w:lineRule="auto"/>
        <w:contextualSpacing/>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For an overview, see Anne van </w:t>
      </w:r>
      <w:proofErr w:type="spellStart"/>
      <w:r w:rsidRPr="00FE20E0">
        <w:rPr>
          <w:rFonts w:ascii="Times New Roman" w:hAnsi="Times New Roman" w:cs="Times New Roman"/>
          <w:sz w:val="20"/>
          <w:szCs w:val="20"/>
        </w:rPr>
        <w:t>Aaaken</w:t>
      </w:r>
      <w:proofErr w:type="spellEnd"/>
      <w:r w:rsidRPr="00FE20E0">
        <w:rPr>
          <w:rFonts w:ascii="Times New Roman" w:hAnsi="Times New Roman" w:cs="Times New Roman"/>
          <w:sz w:val="20"/>
          <w:szCs w:val="20"/>
        </w:rPr>
        <w:t xml:space="preserve">, Anne Van </w:t>
      </w:r>
      <w:proofErr w:type="spellStart"/>
      <w:r w:rsidRPr="00FE20E0">
        <w:rPr>
          <w:rFonts w:ascii="Times New Roman" w:hAnsi="Times New Roman" w:cs="Times New Roman"/>
          <w:sz w:val="20"/>
          <w:szCs w:val="20"/>
        </w:rPr>
        <w:t>Aaken</w:t>
      </w:r>
      <w:proofErr w:type="spellEnd"/>
      <w:r w:rsidRPr="00FE20E0">
        <w:rPr>
          <w:rFonts w:ascii="Times New Roman" w:hAnsi="Times New Roman" w:cs="Times New Roman"/>
          <w:sz w:val="20"/>
          <w:szCs w:val="20"/>
        </w:rPr>
        <w:t>, ‘</w:t>
      </w:r>
      <w:r w:rsidRPr="00FE20E0">
        <w:rPr>
          <w:rFonts w:ascii="Times New Roman" w:hAnsi="Times New Roman" w:cs="Times New Roman"/>
          <w:iCs/>
          <w:sz w:val="20"/>
          <w:szCs w:val="20"/>
        </w:rPr>
        <w:t>Primary and Secondary Remedies in International Investment Law and National State Liability: A Functional and Comparative View’</w:t>
      </w:r>
      <w:r w:rsidRPr="00FE20E0">
        <w:rPr>
          <w:rFonts w:ascii="Times New Roman" w:hAnsi="Times New Roman" w:cs="Times New Roman"/>
          <w:sz w:val="20"/>
          <w:szCs w:val="20"/>
        </w:rPr>
        <w:t xml:space="preserve"> </w:t>
      </w:r>
      <w:r w:rsidRPr="00FE20E0">
        <w:rPr>
          <w:rFonts w:ascii="Times New Roman" w:hAnsi="Times New Roman" w:cs="Times New Roman"/>
          <w:iCs/>
          <w:sz w:val="20"/>
          <w:szCs w:val="20"/>
        </w:rPr>
        <w:t xml:space="preserve">in </w:t>
      </w:r>
      <w:r w:rsidRPr="00FE20E0">
        <w:rPr>
          <w:rFonts w:ascii="Times New Roman" w:hAnsi="Times New Roman" w:cs="Times New Roman"/>
          <w:sz w:val="20"/>
          <w:szCs w:val="20"/>
        </w:rPr>
        <w:t xml:space="preserve">SW </w:t>
      </w:r>
      <w:proofErr w:type="spellStart"/>
      <w:r w:rsidRPr="00FE20E0">
        <w:rPr>
          <w:rFonts w:ascii="Times New Roman" w:hAnsi="Times New Roman" w:cs="Times New Roman"/>
          <w:sz w:val="20"/>
          <w:szCs w:val="20"/>
        </w:rPr>
        <w:t>Schill</w:t>
      </w:r>
      <w:proofErr w:type="spellEnd"/>
      <w:r w:rsidRPr="00FE20E0">
        <w:rPr>
          <w:rFonts w:ascii="Times New Roman" w:hAnsi="Times New Roman" w:cs="Times New Roman"/>
          <w:sz w:val="20"/>
          <w:szCs w:val="20"/>
        </w:rPr>
        <w:t xml:space="preserve"> (</w:t>
      </w:r>
      <w:proofErr w:type="spellStart"/>
      <w:r w:rsidRPr="00FE20E0">
        <w:rPr>
          <w:rFonts w:ascii="Times New Roman" w:hAnsi="Times New Roman" w:cs="Times New Roman"/>
          <w:sz w:val="20"/>
          <w:szCs w:val="20"/>
        </w:rPr>
        <w:t>ed</w:t>
      </w:r>
      <w:proofErr w:type="spellEnd"/>
      <w:r w:rsidRPr="00FE20E0">
        <w:rPr>
          <w:rFonts w:ascii="Times New Roman" w:hAnsi="Times New Roman" w:cs="Times New Roman"/>
          <w:sz w:val="20"/>
          <w:szCs w:val="20"/>
        </w:rPr>
        <w:t xml:space="preserve">), </w:t>
      </w:r>
      <w:r w:rsidRPr="00FE20E0">
        <w:rPr>
          <w:rFonts w:ascii="Times New Roman" w:hAnsi="Times New Roman" w:cs="Times New Roman"/>
          <w:i/>
          <w:sz w:val="20"/>
          <w:szCs w:val="20"/>
        </w:rPr>
        <w:t>International Investment Law and Comparative Public Law</w:t>
      </w:r>
      <w:r w:rsidRPr="00FE20E0">
        <w:rPr>
          <w:rFonts w:ascii="Times New Roman" w:hAnsi="Times New Roman" w:cs="Times New Roman"/>
          <w:sz w:val="20"/>
          <w:szCs w:val="20"/>
        </w:rPr>
        <w:t>, Oxford, OUP, 2010, p 721.</w:t>
      </w:r>
    </w:p>
  </w:footnote>
  <w:footnote w:id="12">
    <w:p w14:paraId="079AED51" w14:textId="73D0CD4C" w:rsidR="00FE20E0" w:rsidRPr="00FE20E0" w:rsidRDefault="00FE20E0" w:rsidP="00FE20E0">
      <w:pPr>
        <w:autoSpaceDE w:val="0"/>
        <w:autoSpaceDN w:val="0"/>
        <w:adjustRightInd w:val="0"/>
        <w:spacing w:after="0" w:line="240" w:lineRule="auto"/>
        <w:contextualSpacing/>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See Article 26 ICSID. See also C. </w:t>
      </w:r>
      <w:proofErr w:type="spellStart"/>
      <w:r w:rsidRPr="00FE20E0">
        <w:rPr>
          <w:rFonts w:ascii="Times New Roman" w:hAnsi="Times New Roman" w:cs="Times New Roman"/>
          <w:sz w:val="20"/>
          <w:szCs w:val="20"/>
        </w:rPr>
        <w:t>Schreuer</w:t>
      </w:r>
      <w:proofErr w:type="spellEnd"/>
      <w:r w:rsidRPr="00FE20E0">
        <w:rPr>
          <w:rFonts w:ascii="Times New Roman" w:hAnsi="Times New Roman" w:cs="Times New Roman"/>
          <w:sz w:val="20"/>
          <w:szCs w:val="20"/>
        </w:rPr>
        <w:t xml:space="preserve"> et al, </w:t>
      </w:r>
      <w:r w:rsidRPr="00FE20E0">
        <w:rPr>
          <w:rFonts w:ascii="Times New Roman" w:hAnsi="Times New Roman" w:cs="Times New Roman"/>
          <w:i/>
          <w:iCs/>
          <w:sz w:val="20"/>
          <w:szCs w:val="20"/>
        </w:rPr>
        <w:t>The ICSID Convention: A Commentary</w:t>
      </w:r>
      <w:r w:rsidRPr="00FE20E0">
        <w:rPr>
          <w:rFonts w:ascii="Times New Roman" w:hAnsi="Times New Roman" w:cs="Times New Roman"/>
          <w:sz w:val="20"/>
          <w:szCs w:val="20"/>
        </w:rPr>
        <w:t xml:space="preserve">, 2nd </w:t>
      </w:r>
      <w:proofErr w:type="spellStart"/>
      <w:r w:rsidRPr="00FE20E0">
        <w:rPr>
          <w:rFonts w:ascii="Times New Roman" w:hAnsi="Times New Roman" w:cs="Times New Roman"/>
          <w:sz w:val="20"/>
          <w:szCs w:val="20"/>
        </w:rPr>
        <w:t>ed</w:t>
      </w:r>
      <w:proofErr w:type="spellEnd"/>
      <w:r w:rsidRPr="00FE20E0">
        <w:rPr>
          <w:rFonts w:ascii="Times New Roman" w:hAnsi="Times New Roman" w:cs="Times New Roman"/>
          <w:sz w:val="20"/>
          <w:szCs w:val="20"/>
        </w:rPr>
        <w:t xml:space="preserve">, Cambridge, Cambridge University Press, 2009, pp 403–4, and the Report of the Executive Directors on the ICSID Convention (1993) 1 </w:t>
      </w:r>
      <w:r w:rsidRPr="00FE20E0">
        <w:rPr>
          <w:rFonts w:ascii="Times New Roman" w:hAnsi="Times New Roman" w:cs="Times New Roman"/>
          <w:i/>
          <w:sz w:val="20"/>
          <w:szCs w:val="20"/>
        </w:rPr>
        <w:t>ICSID Reports</w:t>
      </w:r>
      <w:r w:rsidRPr="00FE20E0">
        <w:rPr>
          <w:rFonts w:ascii="Times New Roman" w:hAnsi="Times New Roman" w:cs="Times New Roman"/>
          <w:sz w:val="20"/>
          <w:szCs w:val="20"/>
        </w:rPr>
        <w:t xml:space="preserve"> 28, para. 32.</w:t>
      </w:r>
    </w:p>
  </w:footnote>
  <w:footnote w:id="13">
    <w:p w14:paraId="1320FE9E" w14:textId="19B39885"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for instance </w:t>
      </w:r>
      <w:r w:rsidRPr="00FE20E0">
        <w:rPr>
          <w:rFonts w:ascii="Times New Roman" w:eastAsia="Sabon-Roman" w:hAnsi="Times New Roman" w:cs="Times New Roman"/>
          <w:i/>
          <w:iCs/>
        </w:rPr>
        <w:t xml:space="preserve">Republic of Argentina v NML Capital </w:t>
      </w:r>
      <w:r w:rsidRPr="00FE20E0">
        <w:rPr>
          <w:rFonts w:ascii="Times New Roman" w:eastAsia="Sabon-Roman" w:hAnsi="Times New Roman" w:cs="Times New Roman"/>
        </w:rPr>
        <w:t xml:space="preserve">134 </w:t>
      </w:r>
      <w:proofErr w:type="spellStart"/>
      <w:r w:rsidRPr="00FE20E0">
        <w:rPr>
          <w:rFonts w:ascii="Times New Roman" w:eastAsia="Sabon-Roman" w:hAnsi="Times New Roman" w:cs="Times New Roman"/>
        </w:rPr>
        <w:t>SCt</w:t>
      </w:r>
      <w:proofErr w:type="spellEnd"/>
      <w:r w:rsidRPr="00FE20E0">
        <w:rPr>
          <w:rFonts w:ascii="Times New Roman" w:eastAsia="Sabon-Roman" w:hAnsi="Times New Roman" w:cs="Times New Roman"/>
        </w:rPr>
        <w:t xml:space="preserve"> 2250 (2014).</w:t>
      </w:r>
    </w:p>
  </w:footnote>
  <w:footnote w:id="14">
    <w:p w14:paraId="7391C1AD" w14:textId="21E09F7A" w:rsidR="00FE20E0" w:rsidRPr="00FE20E0" w:rsidRDefault="00FE20E0" w:rsidP="00FE20E0">
      <w:pPr>
        <w:autoSpaceDE w:val="0"/>
        <w:autoSpaceDN w:val="0"/>
        <w:adjustRightInd w:val="0"/>
        <w:spacing w:after="0" w:line="240" w:lineRule="auto"/>
        <w:contextualSpacing/>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w:t>
      </w:r>
      <w:r w:rsidRPr="00FE20E0">
        <w:rPr>
          <w:rFonts w:ascii="Times New Roman" w:eastAsia="Brill-Roman" w:hAnsi="Times New Roman" w:cs="Times New Roman"/>
          <w:sz w:val="20"/>
          <w:szCs w:val="20"/>
        </w:rPr>
        <w:t xml:space="preserve">J </w:t>
      </w:r>
      <w:proofErr w:type="spellStart"/>
      <w:r w:rsidRPr="00FE20E0">
        <w:rPr>
          <w:rFonts w:ascii="Times New Roman" w:eastAsia="Brill-Roman" w:hAnsi="Times New Roman" w:cs="Times New Roman"/>
          <w:sz w:val="20"/>
          <w:szCs w:val="20"/>
        </w:rPr>
        <w:t>Kleinheisterkamp</w:t>
      </w:r>
      <w:proofErr w:type="spellEnd"/>
      <w:r w:rsidRPr="00FE20E0">
        <w:rPr>
          <w:rFonts w:ascii="Times New Roman" w:eastAsia="Brill-Roman" w:hAnsi="Times New Roman" w:cs="Times New Roman"/>
          <w:sz w:val="20"/>
          <w:szCs w:val="20"/>
        </w:rPr>
        <w:t xml:space="preserve">, ‘Investment Protection and EU law: The Intra- and Extra-EU Dimension of the Energy Charter Treaty’ (2012) 15(1) </w:t>
      </w:r>
      <w:r w:rsidRPr="00FE20E0">
        <w:rPr>
          <w:rFonts w:ascii="Times New Roman" w:eastAsia="Brill-Roman" w:hAnsi="Times New Roman" w:cs="Times New Roman"/>
          <w:i/>
          <w:sz w:val="20"/>
          <w:szCs w:val="20"/>
        </w:rPr>
        <w:t>JIEL</w:t>
      </w:r>
      <w:r w:rsidRPr="00FE20E0">
        <w:rPr>
          <w:rFonts w:ascii="Times New Roman" w:eastAsia="Brill-Roman" w:hAnsi="Times New Roman" w:cs="Times New Roman"/>
          <w:sz w:val="20"/>
          <w:szCs w:val="20"/>
        </w:rPr>
        <w:t xml:space="preserve"> 85, 97; see also S Hindelang, ‘Member State BITs – There’s Still (Some) Life in the Old Dog Yet: Incompatibility of Existing Member State BITs with EU Law and Possible Remedies’ in Karl P. </w:t>
      </w:r>
      <w:proofErr w:type="spellStart"/>
      <w:r w:rsidRPr="00FE20E0">
        <w:rPr>
          <w:rFonts w:ascii="Times New Roman" w:eastAsia="Brill-Roman" w:hAnsi="Times New Roman" w:cs="Times New Roman"/>
          <w:sz w:val="20"/>
          <w:szCs w:val="20"/>
        </w:rPr>
        <w:t>Sauvant</w:t>
      </w:r>
      <w:proofErr w:type="spellEnd"/>
      <w:r w:rsidRPr="00FE20E0">
        <w:rPr>
          <w:rFonts w:ascii="Times New Roman" w:eastAsia="Brill-Roman" w:hAnsi="Times New Roman" w:cs="Times New Roman"/>
          <w:sz w:val="20"/>
          <w:szCs w:val="20"/>
        </w:rPr>
        <w:t xml:space="preserve"> (</w:t>
      </w:r>
      <w:proofErr w:type="spellStart"/>
      <w:r w:rsidRPr="00FE20E0">
        <w:rPr>
          <w:rFonts w:ascii="Times New Roman" w:eastAsia="Brill-Roman" w:hAnsi="Times New Roman" w:cs="Times New Roman"/>
          <w:sz w:val="20"/>
          <w:szCs w:val="20"/>
        </w:rPr>
        <w:t>ed</w:t>
      </w:r>
      <w:proofErr w:type="spellEnd"/>
      <w:r w:rsidRPr="00FE20E0">
        <w:rPr>
          <w:rFonts w:ascii="Times New Roman" w:eastAsia="Brill-Roman" w:hAnsi="Times New Roman" w:cs="Times New Roman"/>
          <w:sz w:val="20"/>
          <w:szCs w:val="20"/>
        </w:rPr>
        <w:t xml:space="preserve">), </w:t>
      </w:r>
      <w:r w:rsidRPr="00FE20E0">
        <w:rPr>
          <w:rFonts w:ascii="Times New Roman" w:eastAsia="Brill-Roman" w:hAnsi="Times New Roman" w:cs="Times New Roman"/>
          <w:i/>
          <w:iCs/>
          <w:sz w:val="20"/>
          <w:szCs w:val="20"/>
        </w:rPr>
        <w:t>Yearbook on International Investment Law and Policy 2010–2011</w:t>
      </w:r>
      <w:r w:rsidRPr="00FE20E0">
        <w:rPr>
          <w:rFonts w:ascii="Times New Roman" w:eastAsia="Brill-Roman" w:hAnsi="Times New Roman" w:cs="Times New Roman"/>
          <w:iCs/>
          <w:sz w:val="20"/>
          <w:szCs w:val="20"/>
        </w:rPr>
        <w:t>, Oxford,</w:t>
      </w:r>
      <w:r w:rsidRPr="00FE20E0">
        <w:rPr>
          <w:rFonts w:ascii="Times New Roman" w:eastAsia="Brill-Roman" w:hAnsi="Times New Roman" w:cs="Times New Roman"/>
          <w:i/>
          <w:iCs/>
          <w:sz w:val="20"/>
          <w:szCs w:val="20"/>
        </w:rPr>
        <w:t xml:space="preserve"> </w:t>
      </w:r>
      <w:r w:rsidRPr="00FE20E0">
        <w:rPr>
          <w:rFonts w:ascii="Times New Roman" w:eastAsia="Brill-Roman" w:hAnsi="Times New Roman" w:cs="Times New Roman"/>
          <w:sz w:val="20"/>
          <w:szCs w:val="20"/>
        </w:rPr>
        <w:t>OUP 2012, p 227.</w:t>
      </w:r>
    </w:p>
  </w:footnote>
  <w:footnote w:id="15">
    <w:p w14:paraId="39BFECFA" w14:textId="55528D69" w:rsidR="00FE20E0" w:rsidRPr="00FE20E0" w:rsidRDefault="00FE20E0" w:rsidP="00FE20E0">
      <w:pPr>
        <w:autoSpaceDE w:val="0"/>
        <w:autoSpaceDN w:val="0"/>
        <w:adjustRightInd w:val="0"/>
        <w:spacing w:after="0" w:line="240" w:lineRule="auto"/>
        <w:contextualSpacing/>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w:t>
      </w:r>
      <w:r w:rsidRPr="00FE20E0">
        <w:rPr>
          <w:rFonts w:ascii="Times New Roman" w:eastAsia="Brill-Roman" w:hAnsi="Times New Roman" w:cs="Times New Roman"/>
          <w:sz w:val="20"/>
          <w:szCs w:val="20"/>
        </w:rPr>
        <w:t xml:space="preserve">CJEU, Case C-200/96, </w:t>
      </w:r>
      <w:r w:rsidRPr="00FE20E0">
        <w:rPr>
          <w:rFonts w:ascii="Times New Roman" w:eastAsia="Brill-Roman" w:hAnsi="Times New Roman" w:cs="Times New Roman"/>
          <w:i/>
          <w:iCs/>
          <w:sz w:val="20"/>
          <w:szCs w:val="20"/>
        </w:rPr>
        <w:t xml:space="preserve">Metronome </w:t>
      </w:r>
      <w:proofErr w:type="spellStart"/>
      <w:r w:rsidRPr="00FE20E0">
        <w:rPr>
          <w:rFonts w:ascii="Times New Roman" w:eastAsia="Brill-Roman" w:hAnsi="Times New Roman" w:cs="Times New Roman"/>
          <w:i/>
          <w:iCs/>
          <w:sz w:val="20"/>
          <w:szCs w:val="20"/>
        </w:rPr>
        <w:t>Musik</w:t>
      </w:r>
      <w:proofErr w:type="spellEnd"/>
      <w:r w:rsidRPr="00FE20E0">
        <w:rPr>
          <w:rFonts w:ascii="Times New Roman" w:eastAsia="Brill-Roman" w:hAnsi="Times New Roman" w:cs="Times New Roman"/>
          <w:i/>
          <w:iCs/>
          <w:sz w:val="20"/>
          <w:szCs w:val="20"/>
        </w:rPr>
        <w:t xml:space="preserve"> GmbH v Music Point </w:t>
      </w:r>
      <w:proofErr w:type="spellStart"/>
      <w:r w:rsidRPr="00FE20E0">
        <w:rPr>
          <w:rFonts w:ascii="Times New Roman" w:eastAsia="Brill-Roman" w:hAnsi="Times New Roman" w:cs="Times New Roman"/>
          <w:i/>
          <w:iCs/>
          <w:sz w:val="20"/>
          <w:szCs w:val="20"/>
        </w:rPr>
        <w:t>Hokamp</w:t>
      </w:r>
      <w:proofErr w:type="spellEnd"/>
      <w:r w:rsidRPr="00FE20E0">
        <w:rPr>
          <w:rFonts w:ascii="Times New Roman" w:eastAsia="Brill-Roman" w:hAnsi="Times New Roman" w:cs="Times New Roman"/>
          <w:i/>
          <w:iCs/>
          <w:sz w:val="20"/>
          <w:szCs w:val="20"/>
        </w:rPr>
        <w:t xml:space="preserve"> GmbH </w:t>
      </w:r>
      <w:r w:rsidRPr="00FE20E0">
        <w:rPr>
          <w:rFonts w:ascii="Times New Roman" w:eastAsia="Brill-Roman" w:hAnsi="Times New Roman" w:cs="Times New Roman"/>
          <w:sz w:val="20"/>
          <w:szCs w:val="20"/>
        </w:rPr>
        <w:t>[1998] ECR I-1953 para 21.</w:t>
      </w:r>
    </w:p>
  </w:footnote>
  <w:footnote w:id="16">
    <w:p w14:paraId="12F318A7" w14:textId="5EF1B166" w:rsidR="00FE20E0" w:rsidRPr="00FE20E0" w:rsidRDefault="00FE20E0" w:rsidP="00FE20E0">
      <w:pPr>
        <w:autoSpaceDE w:val="0"/>
        <w:autoSpaceDN w:val="0"/>
        <w:adjustRightInd w:val="0"/>
        <w:spacing w:after="0" w:line="240" w:lineRule="auto"/>
        <w:contextualSpacing/>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w:t>
      </w:r>
      <w:proofErr w:type="spellStart"/>
      <w:r w:rsidRPr="00FE20E0">
        <w:rPr>
          <w:rFonts w:ascii="Times New Roman" w:hAnsi="Times New Roman" w:cs="Times New Roman"/>
          <w:i/>
          <w:iCs/>
          <w:sz w:val="20"/>
          <w:szCs w:val="20"/>
        </w:rPr>
        <w:t>Renta</w:t>
      </w:r>
      <w:proofErr w:type="spellEnd"/>
      <w:r w:rsidRPr="00FE20E0">
        <w:rPr>
          <w:rFonts w:ascii="Times New Roman" w:hAnsi="Times New Roman" w:cs="Times New Roman"/>
          <w:i/>
          <w:iCs/>
          <w:sz w:val="20"/>
          <w:szCs w:val="20"/>
        </w:rPr>
        <w:t xml:space="preserve"> 4 SVSA, </w:t>
      </w:r>
      <w:proofErr w:type="spellStart"/>
      <w:r w:rsidRPr="00FE20E0">
        <w:rPr>
          <w:rFonts w:ascii="Times New Roman" w:hAnsi="Times New Roman" w:cs="Times New Roman"/>
          <w:i/>
          <w:iCs/>
          <w:sz w:val="20"/>
          <w:szCs w:val="20"/>
        </w:rPr>
        <w:t>Ahorro</w:t>
      </w:r>
      <w:proofErr w:type="spellEnd"/>
      <w:r w:rsidRPr="00FE20E0">
        <w:rPr>
          <w:rFonts w:ascii="Times New Roman" w:hAnsi="Times New Roman" w:cs="Times New Roman"/>
          <w:i/>
          <w:iCs/>
          <w:sz w:val="20"/>
          <w:szCs w:val="20"/>
        </w:rPr>
        <w:t xml:space="preserve"> </w:t>
      </w:r>
      <w:proofErr w:type="spellStart"/>
      <w:r w:rsidRPr="00FE20E0">
        <w:rPr>
          <w:rFonts w:ascii="Times New Roman" w:hAnsi="Times New Roman" w:cs="Times New Roman"/>
          <w:i/>
          <w:iCs/>
          <w:sz w:val="20"/>
          <w:szCs w:val="20"/>
        </w:rPr>
        <w:t>Corporación</w:t>
      </w:r>
      <w:proofErr w:type="spellEnd"/>
      <w:r w:rsidRPr="00FE20E0">
        <w:rPr>
          <w:rFonts w:ascii="Times New Roman" w:hAnsi="Times New Roman" w:cs="Times New Roman"/>
          <w:i/>
          <w:iCs/>
          <w:sz w:val="20"/>
          <w:szCs w:val="20"/>
        </w:rPr>
        <w:t xml:space="preserve"> </w:t>
      </w:r>
      <w:proofErr w:type="spellStart"/>
      <w:r w:rsidRPr="00FE20E0">
        <w:rPr>
          <w:rFonts w:ascii="Times New Roman" w:hAnsi="Times New Roman" w:cs="Times New Roman"/>
          <w:i/>
          <w:iCs/>
          <w:sz w:val="20"/>
          <w:szCs w:val="20"/>
        </w:rPr>
        <w:t>Emergentes</w:t>
      </w:r>
      <w:proofErr w:type="spellEnd"/>
      <w:r w:rsidRPr="00FE20E0">
        <w:rPr>
          <w:rFonts w:ascii="Times New Roman" w:hAnsi="Times New Roman" w:cs="Times New Roman"/>
          <w:i/>
          <w:iCs/>
          <w:sz w:val="20"/>
          <w:szCs w:val="20"/>
        </w:rPr>
        <w:t xml:space="preserve"> FI, </w:t>
      </w:r>
      <w:proofErr w:type="spellStart"/>
      <w:r w:rsidRPr="00FE20E0">
        <w:rPr>
          <w:rFonts w:ascii="Times New Roman" w:hAnsi="Times New Roman" w:cs="Times New Roman"/>
          <w:i/>
          <w:iCs/>
          <w:sz w:val="20"/>
          <w:szCs w:val="20"/>
        </w:rPr>
        <w:t>Ahorro</w:t>
      </w:r>
      <w:proofErr w:type="spellEnd"/>
      <w:r w:rsidRPr="00FE20E0">
        <w:rPr>
          <w:rFonts w:ascii="Times New Roman" w:hAnsi="Times New Roman" w:cs="Times New Roman"/>
          <w:i/>
          <w:iCs/>
          <w:sz w:val="20"/>
          <w:szCs w:val="20"/>
        </w:rPr>
        <w:t xml:space="preserve"> </w:t>
      </w:r>
      <w:proofErr w:type="spellStart"/>
      <w:r w:rsidRPr="00FE20E0">
        <w:rPr>
          <w:rFonts w:ascii="Times New Roman" w:hAnsi="Times New Roman" w:cs="Times New Roman"/>
          <w:i/>
          <w:iCs/>
          <w:sz w:val="20"/>
          <w:szCs w:val="20"/>
        </w:rPr>
        <w:t>Corporación</w:t>
      </w:r>
      <w:proofErr w:type="spellEnd"/>
      <w:r w:rsidRPr="00FE20E0">
        <w:rPr>
          <w:rFonts w:ascii="Times New Roman" w:hAnsi="Times New Roman" w:cs="Times New Roman"/>
          <w:i/>
          <w:iCs/>
          <w:sz w:val="20"/>
          <w:szCs w:val="20"/>
        </w:rPr>
        <w:t xml:space="preserve"> </w:t>
      </w:r>
      <w:proofErr w:type="spellStart"/>
      <w:r w:rsidRPr="00FE20E0">
        <w:rPr>
          <w:rFonts w:ascii="Times New Roman" w:hAnsi="Times New Roman" w:cs="Times New Roman"/>
          <w:i/>
          <w:iCs/>
          <w:sz w:val="20"/>
          <w:szCs w:val="20"/>
        </w:rPr>
        <w:t>Eurofondo</w:t>
      </w:r>
      <w:proofErr w:type="spellEnd"/>
      <w:r w:rsidRPr="00FE20E0">
        <w:rPr>
          <w:rFonts w:ascii="Times New Roman" w:hAnsi="Times New Roman" w:cs="Times New Roman"/>
          <w:i/>
          <w:iCs/>
          <w:sz w:val="20"/>
          <w:szCs w:val="20"/>
        </w:rPr>
        <w:t xml:space="preserve"> FI, </w:t>
      </w:r>
      <w:proofErr w:type="spellStart"/>
      <w:r w:rsidRPr="00FE20E0">
        <w:rPr>
          <w:rFonts w:ascii="Times New Roman" w:hAnsi="Times New Roman" w:cs="Times New Roman"/>
          <w:i/>
          <w:iCs/>
          <w:sz w:val="20"/>
          <w:szCs w:val="20"/>
        </w:rPr>
        <w:t>Rovime</w:t>
      </w:r>
      <w:proofErr w:type="spellEnd"/>
      <w:r w:rsidRPr="00FE20E0">
        <w:rPr>
          <w:rFonts w:ascii="Times New Roman" w:hAnsi="Times New Roman" w:cs="Times New Roman"/>
          <w:i/>
          <w:iCs/>
          <w:sz w:val="20"/>
          <w:szCs w:val="20"/>
        </w:rPr>
        <w:t xml:space="preserve"> </w:t>
      </w:r>
      <w:proofErr w:type="spellStart"/>
      <w:r w:rsidRPr="00FE20E0">
        <w:rPr>
          <w:rFonts w:ascii="Times New Roman" w:hAnsi="Times New Roman" w:cs="Times New Roman"/>
          <w:i/>
          <w:iCs/>
          <w:sz w:val="20"/>
          <w:szCs w:val="20"/>
        </w:rPr>
        <w:t>Inversiones</w:t>
      </w:r>
      <w:proofErr w:type="spellEnd"/>
      <w:r w:rsidRPr="00FE20E0">
        <w:rPr>
          <w:rFonts w:ascii="Times New Roman" w:hAnsi="Times New Roman" w:cs="Times New Roman"/>
          <w:i/>
          <w:iCs/>
          <w:sz w:val="20"/>
          <w:szCs w:val="20"/>
        </w:rPr>
        <w:t xml:space="preserve"> SICAV SA, Quasar de </w:t>
      </w:r>
      <w:proofErr w:type="spellStart"/>
      <w:r w:rsidRPr="00FE20E0">
        <w:rPr>
          <w:rFonts w:ascii="Times New Roman" w:hAnsi="Times New Roman" w:cs="Times New Roman"/>
          <w:i/>
          <w:iCs/>
          <w:sz w:val="20"/>
          <w:szCs w:val="20"/>
        </w:rPr>
        <w:t>Valors</w:t>
      </w:r>
      <w:proofErr w:type="spellEnd"/>
      <w:r w:rsidRPr="00FE20E0">
        <w:rPr>
          <w:rFonts w:ascii="Times New Roman" w:hAnsi="Times New Roman" w:cs="Times New Roman"/>
          <w:i/>
          <w:iCs/>
          <w:sz w:val="20"/>
          <w:szCs w:val="20"/>
        </w:rPr>
        <w:t xml:space="preserve"> SICAV SA, </w:t>
      </w:r>
      <w:proofErr w:type="spellStart"/>
      <w:r w:rsidRPr="00FE20E0">
        <w:rPr>
          <w:rFonts w:ascii="Times New Roman" w:hAnsi="Times New Roman" w:cs="Times New Roman"/>
          <w:i/>
          <w:iCs/>
          <w:sz w:val="20"/>
          <w:szCs w:val="20"/>
        </w:rPr>
        <w:t>Orgor</w:t>
      </w:r>
      <w:proofErr w:type="spellEnd"/>
      <w:r w:rsidRPr="00FE20E0">
        <w:rPr>
          <w:rFonts w:ascii="Times New Roman" w:hAnsi="Times New Roman" w:cs="Times New Roman"/>
          <w:i/>
          <w:iCs/>
          <w:sz w:val="20"/>
          <w:szCs w:val="20"/>
        </w:rPr>
        <w:t xml:space="preserve"> de </w:t>
      </w:r>
      <w:proofErr w:type="spellStart"/>
      <w:r w:rsidRPr="00FE20E0">
        <w:rPr>
          <w:rFonts w:ascii="Times New Roman" w:hAnsi="Times New Roman" w:cs="Times New Roman"/>
          <w:i/>
          <w:iCs/>
          <w:sz w:val="20"/>
          <w:szCs w:val="20"/>
        </w:rPr>
        <w:t>Valores</w:t>
      </w:r>
      <w:proofErr w:type="spellEnd"/>
      <w:r w:rsidRPr="00FE20E0">
        <w:rPr>
          <w:rFonts w:ascii="Times New Roman" w:hAnsi="Times New Roman" w:cs="Times New Roman"/>
          <w:i/>
          <w:iCs/>
          <w:sz w:val="20"/>
          <w:szCs w:val="20"/>
        </w:rPr>
        <w:t xml:space="preserve"> SICAV SA, GBI 9000 SICAV SA v The Russian Federation</w:t>
      </w:r>
      <w:r w:rsidRPr="00FE20E0">
        <w:rPr>
          <w:rFonts w:ascii="Times New Roman" w:eastAsia="Brill-Roman" w:hAnsi="Times New Roman" w:cs="Times New Roman"/>
          <w:sz w:val="20"/>
          <w:szCs w:val="20"/>
        </w:rPr>
        <w:t>, SCC No 24/2007, Award (20 July 2012) paras 21–23.</w:t>
      </w:r>
    </w:p>
  </w:footnote>
  <w:footnote w:id="17">
    <w:p w14:paraId="5703C7D0" w14:textId="083C219D" w:rsidR="00FE20E0" w:rsidRPr="00FE20E0" w:rsidRDefault="00FE20E0" w:rsidP="00FE20E0">
      <w:pPr>
        <w:pStyle w:val="FootnoteText"/>
        <w:widowControl w:val="0"/>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w:t>
      </w:r>
      <w:r w:rsidRPr="00FE20E0">
        <w:rPr>
          <w:rFonts w:ascii="Times New Roman" w:hAnsi="Times New Roman" w:cs="Times New Roman"/>
          <w:i/>
        </w:rPr>
        <w:t>Metalclad Corporation v Mexico</w:t>
      </w:r>
      <w:r w:rsidRPr="00FE20E0">
        <w:rPr>
          <w:rFonts w:ascii="Times New Roman" w:hAnsi="Times New Roman" w:cs="Times New Roman"/>
        </w:rPr>
        <w:t xml:space="preserve">, Award, 25 August 2000 (ICSID Case No ARB (AF)/97/1) (2001) 40 </w:t>
      </w:r>
      <w:r w:rsidRPr="00FE20E0">
        <w:rPr>
          <w:rFonts w:ascii="Times New Roman" w:hAnsi="Times New Roman" w:cs="Times New Roman"/>
          <w:i/>
        </w:rPr>
        <w:t>ILM</w:t>
      </w:r>
      <w:r w:rsidRPr="00FE20E0">
        <w:rPr>
          <w:rFonts w:ascii="Times New Roman" w:hAnsi="Times New Roman" w:cs="Times New Roman"/>
        </w:rPr>
        <w:t xml:space="preserve"> 36, para 103.</w:t>
      </w:r>
    </w:p>
  </w:footnote>
  <w:footnote w:id="18">
    <w:p w14:paraId="329EA9BB" w14:textId="77777777" w:rsidR="00FE20E0" w:rsidRPr="00FE20E0" w:rsidRDefault="00FE20E0" w:rsidP="00FE20E0">
      <w:pPr>
        <w:pStyle w:val="FootnoteText"/>
        <w:widowControl w:val="0"/>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i/>
        </w:rPr>
        <w:t xml:space="preserve"> </w:t>
      </w:r>
      <w:proofErr w:type="spellStart"/>
      <w:r w:rsidRPr="00FE20E0">
        <w:rPr>
          <w:rFonts w:ascii="Times New Roman" w:hAnsi="Times New Roman" w:cs="Times New Roman"/>
          <w:i/>
        </w:rPr>
        <w:t>Compañía</w:t>
      </w:r>
      <w:proofErr w:type="spellEnd"/>
      <w:r w:rsidRPr="00FE20E0">
        <w:rPr>
          <w:rFonts w:ascii="Times New Roman" w:hAnsi="Times New Roman" w:cs="Times New Roman"/>
          <w:i/>
        </w:rPr>
        <w:t xml:space="preserve"> del </w:t>
      </w:r>
      <w:proofErr w:type="spellStart"/>
      <w:r w:rsidRPr="00FE20E0">
        <w:rPr>
          <w:rFonts w:ascii="Times New Roman" w:hAnsi="Times New Roman" w:cs="Times New Roman"/>
          <w:i/>
        </w:rPr>
        <w:t>Desarrollo</w:t>
      </w:r>
      <w:proofErr w:type="spellEnd"/>
      <w:r w:rsidRPr="00FE20E0">
        <w:rPr>
          <w:rFonts w:ascii="Times New Roman" w:hAnsi="Times New Roman" w:cs="Times New Roman"/>
          <w:i/>
        </w:rPr>
        <w:t xml:space="preserve"> de Santa Elena SA v Costa Rica</w:t>
      </w:r>
      <w:r w:rsidRPr="00FE20E0">
        <w:rPr>
          <w:rFonts w:ascii="Times New Roman" w:hAnsi="Times New Roman" w:cs="Times New Roman"/>
        </w:rPr>
        <w:t>, Final Award, 17 February 2000 (ICSID Case No ARB/96/1) (2000) 439 ILM 1317, para 171.</w:t>
      </w:r>
    </w:p>
  </w:footnote>
  <w:footnote w:id="19">
    <w:p w14:paraId="13056C61" w14:textId="77777777"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w:t>
      </w:r>
    </w:p>
  </w:footnote>
  <w:footnote w:id="20">
    <w:p w14:paraId="27D7C792" w14:textId="205F9D50"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w:t>
      </w:r>
      <w:proofErr w:type="spellStart"/>
      <w:r w:rsidRPr="00FE20E0">
        <w:rPr>
          <w:rFonts w:ascii="Times New Roman" w:hAnsi="Times New Roman" w:cs="Times New Roman"/>
        </w:rPr>
        <w:t>eg</w:t>
      </w:r>
      <w:proofErr w:type="spellEnd"/>
      <w:r w:rsidRPr="00FE20E0">
        <w:rPr>
          <w:rFonts w:ascii="Times New Roman" w:hAnsi="Times New Roman" w:cs="Times New Roman"/>
        </w:rPr>
        <w:t xml:space="preserve"> J McIlroy, ‘Canada’s New Foreign Investment Protection and Promotion Agreement: Two Steps Forward, One Step Back?’ (2004) 5 </w:t>
      </w:r>
      <w:r w:rsidRPr="00FE20E0">
        <w:rPr>
          <w:rFonts w:ascii="Times New Roman" w:hAnsi="Times New Roman" w:cs="Times New Roman"/>
          <w:i/>
          <w:iCs/>
        </w:rPr>
        <w:t>Journal of World Investment and Trade</w:t>
      </w:r>
      <w:r w:rsidRPr="00FE20E0">
        <w:rPr>
          <w:rFonts w:ascii="Times New Roman" w:hAnsi="Times New Roman" w:cs="Times New Roman"/>
        </w:rPr>
        <w:t xml:space="preserve"> 621 also JE Mendenhall, ‘The Evolving U.S. Position on International Investment Protection and Its Impact on the U.S. Position in the Trans-Pacific Partnership Negotiations’ in NJ Calamita and M Sattorova (</w:t>
      </w:r>
      <w:proofErr w:type="spellStart"/>
      <w:r w:rsidRPr="00FE20E0">
        <w:rPr>
          <w:rFonts w:ascii="Times New Roman" w:hAnsi="Times New Roman" w:cs="Times New Roman"/>
        </w:rPr>
        <w:t>eds</w:t>
      </w:r>
      <w:proofErr w:type="spellEnd"/>
      <w:r w:rsidRPr="00FE20E0">
        <w:rPr>
          <w:rFonts w:ascii="Times New Roman" w:hAnsi="Times New Roman" w:cs="Times New Roman"/>
        </w:rPr>
        <w:t xml:space="preserve">), </w:t>
      </w:r>
      <w:r w:rsidRPr="00FE20E0">
        <w:rPr>
          <w:rFonts w:ascii="Times New Roman" w:hAnsi="Times New Roman" w:cs="Times New Roman"/>
          <w:i/>
          <w:iCs/>
        </w:rPr>
        <w:t xml:space="preserve">The Regionalization of International Investment Treaty Arrangements, </w:t>
      </w:r>
      <w:r w:rsidRPr="00FE20E0">
        <w:rPr>
          <w:rFonts w:ascii="Times New Roman" w:hAnsi="Times New Roman" w:cs="Times New Roman"/>
        </w:rPr>
        <w:t xml:space="preserve">London, BIICL, 2015, p 255.  </w:t>
      </w:r>
    </w:p>
  </w:footnote>
  <w:footnote w:id="21">
    <w:p w14:paraId="521B7112" w14:textId="3F9CA985"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Annex A to Article VI of the 2009 Canada—Czech Republic BIT.</w:t>
      </w:r>
    </w:p>
  </w:footnote>
  <w:footnote w:id="22">
    <w:p w14:paraId="6A634951" w14:textId="2876A9C9" w:rsidR="00FE20E0" w:rsidRPr="00FE20E0" w:rsidRDefault="00FE20E0" w:rsidP="00FE20E0">
      <w:pPr>
        <w:widowControl w:val="0"/>
        <w:spacing w:after="0" w:line="240" w:lineRule="auto"/>
        <w:contextualSpacing/>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JC </w:t>
      </w:r>
      <w:r w:rsidRPr="00FE20E0">
        <w:rPr>
          <w:rFonts w:ascii="Times New Roman" w:eastAsia="Arial Unicode MS" w:hAnsi="Times New Roman" w:cs="Times New Roman"/>
          <w:sz w:val="20"/>
          <w:szCs w:val="20"/>
        </w:rPr>
        <w:t xml:space="preserve">Thomas, ‘Reflections on Article 1105 of NAFTA: History, State Practice and the Influence of Commentators’ (2001) 17 </w:t>
      </w:r>
      <w:r w:rsidRPr="00FE20E0">
        <w:rPr>
          <w:rFonts w:ascii="Times New Roman" w:eastAsia="Arial Unicode MS" w:hAnsi="Times New Roman" w:cs="Times New Roman"/>
          <w:i/>
          <w:sz w:val="20"/>
          <w:szCs w:val="20"/>
        </w:rPr>
        <w:t>ICSID Review – FILJ</w:t>
      </w:r>
      <w:r w:rsidRPr="00FE20E0">
        <w:rPr>
          <w:rFonts w:ascii="Times New Roman" w:eastAsia="Arial Unicode MS" w:hAnsi="Times New Roman" w:cs="Times New Roman"/>
          <w:sz w:val="20"/>
          <w:szCs w:val="20"/>
        </w:rPr>
        <w:t xml:space="preserve"> 21.</w:t>
      </w:r>
    </w:p>
  </w:footnote>
  <w:footnote w:id="23">
    <w:p w14:paraId="4520641C" w14:textId="6B5C5850" w:rsidR="00FE20E0" w:rsidRPr="00FE20E0" w:rsidRDefault="00FE20E0" w:rsidP="00FE20E0">
      <w:pPr>
        <w:widowControl w:val="0"/>
        <w:spacing w:after="0" w:line="240" w:lineRule="auto"/>
        <w:contextualSpacing/>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w:t>
      </w:r>
      <w:proofErr w:type="spellStart"/>
      <w:r w:rsidRPr="00FE20E0">
        <w:rPr>
          <w:rFonts w:ascii="Times New Roman" w:hAnsi="Times New Roman" w:cs="Times New Roman"/>
          <w:i/>
          <w:sz w:val="20"/>
          <w:szCs w:val="20"/>
        </w:rPr>
        <w:t>Saluka</w:t>
      </w:r>
      <w:proofErr w:type="spellEnd"/>
      <w:r w:rsidRPr="00FE20E0">
        <w:rPr>
          <w:rFonts w:ascii="Times New Roman" w:hAnsi="Times New Roman" w:cs="Times New Roman"/>
          <w:i/>
          <w:sz w:val="20"/>
          <w:szCs w:val="20"/>
        </w:rPr>
        <w:t xml:space="preserve"> Investments BV v Czech Republic</w:t>
      </w:r>
      <w:r w:rsidRPr="00FE20E0">
        <w:rPr>
          <w:rFonts w:ascii="Times New Roman" w:hAnsi="Times New Roman" w:cs="Times New Roman"/>
          <w:sz w:val="20"/>
          <w:szCs w:val="20"/>
        </w:rPr>
        <w:t>, Partial Award, 17 March 2006 (PCA—UNCITRAL Arbitration Rules) para 293.</w:t>
      </w:r>
    </w:p>
    <w:p w14:paraId="01CDA359" w14:textId="77777777" w:rsidR="00FE20E0" w:rsidRPr="00FE20E0" w:rsidRDefault="00FE20E0" w:rsidP="00FE20E0">
      <w:pPr>
        <w:pStyle w:val="FootnoteText"/>
        <w:contextualSpacing/>
        <w:jc w:val="both"/>
        <w:rPr>
          <w:rFonts w:ascii="Times New Roman" w:hAnsi="Times New Roman" w:cs="Times New Roman"/>
        </w:rPr>
      </w:pPr>
    </w:p>
  </w:footnote>
  <w:footnote w:id="24">
    <w:p w14:paraId="49003EB6" w14:textId="34C78ECC" w:rsidR="00FE20E0" w:rsidRPr="00FE20E0" w:rsidRDefault="00FE20E0" w:rsidP="00FE20E0">
      <w:pPr>
        <w:pStyle w:val="Rfrence"/>
        <w:spacing w:before="0"/>
        <w:contextualSpacing/>
        <w:rPr>
          <w:rFonts w:cs="Times New Roman"/>
          <w:lang w:val="en-US"/>
        </w:rPr>
      </w:pPr>
      <w:r w:rsidRPr="00FE20E0">
        <w:rPr>
          <w:rStyle w:val="FootnoteReference"/>
          <w:rFonts w:cs="Times New Roman"/>
        </w:rPr>
        <w:footnoteRef/>
      </w:r>
      <w:r w:rsidRPr="00FE20E0">
        <w:rPr>
          <w:rFonts w:cs="Times New Roman"/>
          <w:lang w:val="en-US"/>
        </w:rPr>
        <w:t xml:space="preserve"> Z Douglas, </w:t>
      </w:r>
      <w:r w:rsidRPr="00FE20E0">
        <w:rPr>
          <w:rFonts w:cs="Times New Roman"/>
        </w:rPr>
        <w:t>‘</w:t>
      </w:r>
      <w:r w:rsidRPr="00FE20E0">
        <w:rPr>
          <w:rFonts w:cs="Times New Roman"/>
          <w:lang w:val="en-US"/>
        </w:rPr>
        <w:t xml:space="preserve">Nothing if Not Critical for Investment Treaty Arbitration: </w:t>
      </w:r>
      <w:r w:rsidRPr="00FE20E0">
        <w:rPr>
          <w:rFonts w:cs="Times New Roman"/>
          <w:i/>
          <w:lang w:val="en-US"/>
        </w:rPr>
        <w:t>Occidental</w:t>
      </w:r>
      <w:r w:rsidRPr="00FE20E0">
        <w:rPr>
          <w:rFonts w:cs="Times New Roman"/>
          <w:lang w:val="en-US"/>
        </w:rPr>
        <w:t xml:space="preserve">, </w:t>
      </w:r>
      <w:proofErr w:type="spellStart"/>
      <w:r w:rsidRPr="00FE20E0">
        <w:rPr>
          <w:rFonts w:cs="Times New Roman"/>
          <w:i/>
          <w:lang w:val="en-US"/>
        </w:rPr>
        <w:t>Eureko</w:t>
      </w:r>
      <w:proofErr w:type="spellEnd"/>
      <w:r w:rsidRPr="00FE20E0">
        <w:rPr>
          <w:rFonts w:cs="Times New Roman"/>
          <w:lang w:val="en-US"/>
        </w:rPr>
        <w:t xml:space="preserve">, and </w:t>
      </w:r>
      <w:proofErr w:type="spellStart"/>
      <w:r w:rsidRPr="00FE20E0">
        <w:rPr>
          <w:rFonts w:cs="Times New Roman"/>
          <w:i/>
          <w:lang w:val="en-US"/>
        </w:rPr>
        <w:t>Methanex</w:t>
      </w:r>
      <w:proofErr w:type="spellEnd"/>
      <w:r w:rsidRPr="00FE20E0">
        <w:rPr>
          <w:rFonts w:cs="Times New Roman"/>
        </w:rPr>
        <w:t xml:space="preserve">’ </w:t>
      </w:r>
      <w:r w:rsidRPr="00FE20E0">
        <w:rPr>
          <w:rFonts w:cs="Times New Roman"/>
          <w:lang w:val="en-US"/>
        </w:rPr>
        <w:t>(2006) 22</w:t>
      </w:r>
      <w:r w:rsidRPr="00FE20E0">
        <w:rPr>
          <w:rFonts w:cs="Times New Roman"/>
        </w:rPr>
        <w:t xml:space="preserve"> </w:t>
      </w:r>
      <w:r w:rsidRPr="00FE20E0">
        <w:rPr>
          <w:rFonts w:cs="Times New Roman"/>
          <w:i/>
          <w:lang w:val="en-US"/>
        </w:rPr>
        <w:t xml:space="preserve">Arbitration </w:t>
      </w:r>
      <w:proofErr w:type="spellStart"/>
      <w:r w:rsidRPr="00FE20E0">
        <w:rPr>
          <w:rFonts w:cs="Times New Roman"/>
          <w:i/>
          <w:lang w:val="en-US"/>
        </w:rPr>
        <w:t>Int</w:t>
      </w:r>
      <w:r w:rsidRPr="00FE20E0">
        <w:rPr>
          <w:rFonts w:cs="Times New Roman"/>
          <w:i/>
        </w:rPr>
        <w:t>ernationa</w:t>
      </w:r>
      <w:proofErr w:type="spellEnd"/>
      <w:r w:rsidRPr="00FE20E0">
        <w:rPr>
          <w:rFonts w:cs="Times New Roman"/>
          <w:i/>
          <w:lang w:val="en-US"/>
        </w:rPr>
        <w:t>l</w:t>
      </w:r>
      <w:r w:rsidRPr="00FE20E0">
        <w:rPr>
          <w:rFonts w:cs="Times New Roman"/>
          <w:lang w:val="en-US"/>
        </w:rPr>
        <w:t xml:space="preserve"> </w:t>
      </w:r>
      <w:r w:rsidRPr="00FE20E0">
        <w:rPr>
          <w:rFonts w:cs="Times New Roman"/>
        </w:rPr>
        <w:t>28</w:t>
      </w:r>
      <w:r w:rsidRPr="00FE20E0">
        <w:rPr>
          <w:rFonts w:cs="Times New Roman"/>
          <w:lang w:val="en-US"/>
        </w:rPr>
        <w:t>.</w:t>
      </w:r>
    </w:p>
  </w:footnote>
  <w:footnote w:id="25">
    <w:p w14:paraId="29729A7F" w14:textId="6F336BA5"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C Harlow, ‘Global Administrative Law: The Quest for Principles and Values’ (2006) 17 </w:t>
      </w:r>
      <w:r w:rsidRPr="00FE20E0">
        <w:rPr>
          <w:rFonts w:ascii="Times New Roman" w:hAnsi="Times New Roman" w:cs="Times New Roman"/>
          <w:i/>
        </w:rPr>
        <w:t>EJIL</w:t>
      </w:r>
      <w:r w:rsidRPr="00FE20E0">
        <w:rPr>
          <w:rFonts w:ascii="Times New Roman" w:hAnsi="Times New Roman" w:cs="Times New Roman"/>
        </w:rPr>
        <w:t xml:space="preserve"> 187, 193.</w:t>
      </w:r>
    </w:p>
  </w:footnote>
  <w:footnote w:id="26">
    <w:p w14:paraId="2C9DC478" w14:textId="70158112" w:rsidR="00FE20E0" w:rsidRPr="00FE20E0" w:rsidRDefault="00FE20E0" w:rsidP="00FE20E0">
      <w:pPr>
        <w:autoSpaceDE w:val="0"/>
        <w:autoSpaceDN w:val="0"/>
        <w:adjustRightInd w:val="0"/>
        <w:spacing w:after="0" w:line="240" w:lineRule="auto"/>
        <w:contextualSpacing/>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w:t>
      </w:r>
      <w:proofErr w:type="spellStart"/>
      <w:r w:rsidRPr="00FE20E0">
        <w:rPr>
          <w:rFonts w:ascii="Times New Roman" w:hAnsi="Times New Roman" w:cs="Times New Roman"/>
          <w:i/>
          <w:iCs/>
          <w:sz w:val="20"/>
          <w:szCs w:val="20"/>
        </w:rPr>
        <w:t>Eureko</w:t>
      </w:r>
      <w:proofErr w:type="spellEnd"/>
      <w:r w:rsidRPr="00FE20E0">
        <w:rPr>
          <w:rFonts w:ascii="Times New Roman" w:hAnsi="Times New Roman" w:cs="Times New Roman"/>
          <w:i/>
          <w:iCs/>
          <w:sz w:val="20"/>
          <w:szCs w:val="20"/>
        </w:rPr>
        <w:t xml:space="preserve"> v Slovak Republic</w:t>
      </w:r>
      <w:r w:rsidRPr="00FE20E0">
        <w:rPr>
          <w:rFonts w:ascii="Times New Roman" w:eastAsia="Brill-Roman" w:hAnsi="Times New Roman" w:cs="Times New Roman"/>
          <w:sz w:val="20"/>
          <w:szCs w:val="20"/>
        </w:rPr>
        <w:t>, PCA Case No. 2008–13, Award on Jurisdiction (26 October 2010) para 250.</w:t>
      </w:r>
    </w:p>
  </w:footnote>
  <w:footnote w:id="27">
    <w:p w14:paraId="0FA0320C" w14:textId="77E47CF2"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Mavluda Sattorova, “Investment treaty breach as internationally proscribed conduct: Shifting Scope, Evolving Objectives, Recalibrated remedies?,” 4(2) </w:t>
      </w:r>
      <w:r w:rsidRPr="00FE20E0">
        <w:rPr>
          <w:rFonts w:ascii="Times New Roman" w:hAnsi="Times New Roman" w:cs="Times New Roman"/>
          <w:i/>
          <w:iCs/>
        </w:rPr>
        <w:t xml:space="preserve">Trade Law and Development </w:t>
      </w:r>
      <w:r w:rsidRPr="00FE20E0">
        <w:rPr>
          <w:rFonts w:ascii="Times New Roman" w:hAnsi="Times New Roman" w:cs="Times New Roman"/>
        </w:rPr>
        <w:t>315 (2012)</w:t>
      </w:r>
    </w:p>
  </w:footnote>
  <w:footnote w:id="28">
    <w:p w14:paraId="24F1E136" w14:textId="77777777" w:rsidR="00FE20E0" w:rsidRPr="00FE20E0" w:rsidRDefault="00FE20E0" w:rsidP="00FE20E0">
      <w:pPr>
        <w:autoSpaceDE w:val="0"/>
        <w:autoSpaceDN w:val="0"/>
        <w:adjustRightInd w:val="0"/>
        <w:spacing w:after="0" w:line="240" w:lineRule="auto"/>
        <w:contextualSpacing/>
        <w:jc w:val="both"/>
        <w:rPr>
          <w:rFonts w:ascii="Times New Roman" w:eastAsia="Brill-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w:t>
      </w:r>
      <w:r w:rsidRPr="00FE20E0">
        <w:rPr>
          <w:rFonts w:ascii="Times New Roman" w:eastAsia="Brill-Roman" w:hAnsi="Times New Roman" w:cs="Times New Roman"/>
          <w:sz w:val="20"/>
          <w:szCs w:val="20"/>
        </w:rPr>
        <w:t xml:space="preserve">See Stephan W </w:t>
      </w:r>
      <w:proofErr w:type="spellStart"/>
      <w:r w:rsidRPr="00FE20E0">
        <w:rPr>
          <w:rFonts w:ascii="Times New Roman" w:eastAsia="Brill-Roman" w:hAnsi="Times New Roman" w:cs="Times New Roman"/>
          <w:sz w:val="20"/>
          <w:szCs w:val="20"/>
        </w:rPr>
        <w:t>Schill</w:t>
      </w:r>
      <w:proofErr w:type="spellEnd"/>
      <w:r w:rsidRPr="00FE20E0">
        <w:rPr>
          <w:rFonts w:ascii="Times New Roman" w:eastAsia="Brill-Roman" w:hAnsi="Times New Roman" w:cs="Times New Roman"/>
          <w:sz w:val="20"/>
          <w:szCs w:val="20"/>
        </w:rPr>
        <w:t>, ‘Enabling Private Ordering: Function, Scope and Effect of Umbrella</w:t>
      </w:r>
    </w:p>
    <w:p w14:paraId="2C0711AA" w14:textId="6E59A563" w:rsidR="00FE20E0" w:rsidRPr="00FE20E0" w:rsidRDefault="00FE20E0" w:rsidP="00FE20E0">
      <w:pPr>
        <w:pStyle w:val="FootnoteText"/>
        <w:contextualSpacing/>
        <w:jc w:val="both"/>
        <w:rPr>
          <w:rFonts w:ascii="Times New Roman" w:hAnsi="Times New Roman" w:cs="Times New Roman"/>
        </w:rPr>
      </w:pPr>
      <w:r w:rsidRPr="00FE20E0">
        <w:rPr>
          <w:rFonts w:ascii="Times New Roman" w:eastAsia="Brill-Roman" w:hAnsi="Times New Roman" w:cs="Times New Roman"/>
        </w:rPr>
        <w:t xml:space="preserve">Clauses in International Investment Treaties’ (2009) 18 </w:t>
      </w:r>
      <w:proofErr w:type="spellStart"/>
      <w:r w:rsidRPr="00FE20E0">
        <w:rPr>
          <w:rFonts w:ascii="Times New Roman" w:eastAsia="Brill-Roman" w:hAnsi="Times New Roman" w:cs="Times New Roman"/>
        </w:rPr>
        <w:t>Minn</w:t>
      </w:r>
      <w:proofErr w:type="spellEnd"/>
      <w:r w:rsidRPr="00FE20E0">
        <w:rPr>
          <w:rFonts w:ascii="Times New Roman" w:eastAsia="Brill-Roman" w:hAnsi="Times New Roman" w:cs="Times New Roman"/>
        </w:rPr>
        <w:t xml:space="preserve"> J Intl L 1.</w:t>
      </w:r>
    </w:p>
  </w:footnote>
  <w:footnote w:id="29">
    <w:p w14:paraId="3B86EA43" w14:textId="030DDB0C"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w:t>
      </w:r>
      <w:r w:rsidRPr="00FE20E0">
        <w:rPr>
          <w:rFonts w:ascii="Times New Roman" w:eastAsia="Brill-Roman" w:hAnsi="Times New Roman" w:cs="Times New Roman"/>
        </w:rPr>
        <w:t>The full text is available at &lt;http://investmentpolicyhub.unctad.org/IIA&gt;</w:t>
      </w:r>
    </w:p>
  </w:footnote>
  <w:footnote w:id="30">
    <w:p w14:paraId="41D5EECC" w14:textId="035792C1" w:rsidR="00FE20E0" w:rsidRPr="00FE20E0" w:rsidRDefault="00FE20E0" w:rsidP="00FE20E0">
      <w:pPr>
        <w:widowControl w:val="0"/>
        <w:spacing w:after="0" w:line="240" w:lineRule="auto"/>
        <w:contextualSpacing/>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AC Sinclair ‘The Origins of the Umbrella Clause in the International Law of Investment Protection’ (2004) 20 </w:t>
      </w:r>
      <w:r w:rsidRPr="00FE20E0">
        <w:rPr>
          <w:rFonts w:ascii="Times New Roman" w:hAnsi="Times New Roman" w:cs="Times New Roman"/>
          <w:i/>
          <w:sz w:val="20"/>
          <w:szCs w:val="20"/>
        </w:rPr>
        <w:t>Arbitration International</w:t>
      </w:r>
      <w:r w:rsidRPr="00FE20E0">
        <w:rPr>
          <w:rFonts w:ascii="Times New Roman" w:hAnsi="Times New Roman" w:cs="Times New Roman"/>
          <w:sz w:val="20"/>
          <w:szCs w:val="20"/>
        </w:rPr>
        <w:t xml:space="preserve"> 411, 431.</w:t>
      </w:r>
    </w:p>
  </w:footnote>
  <w:footnote w:id="31">
    <w:p w14:paraId="1DA9CE6B" w14:textId="7F03AF16"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DW </w:t>
      </w:r>
      <w:proofErr w:type="spellStart"/>
      <w:r w:rsidRPr="00FE20E0">
        <w:rPr>
          <w:rFonts w:ascii="Times New Roman" w:hAnsi="Times New Roman" w:cs="Times New Roman"/>
        </w:rPr>
        <w:t>Bowett</w:t>
      </w:r>
      <w:proofErr w:type="spellEnd"/>
      <w:r w:rsidRPr="00FE20E0">
        <w:rPr>
          <w:rFonts w:ascii="Times New Roman" w:hAnsi="Times New Roman" w:cs="Times New Roman"/>
        </w:rPr>
        <w:t xml:space="preserve">, ‘State Contracts with Aliens: Contemporary Developments on Compensation for Termination or Breach’ (1988) 59 </w:t>
      </w:r>
      <w:r w:rsidRPr="00FE20E0">
        <w:rPr>
          <w:rFonts w:ascii="Times New Roman" w:hAnsi="Times New Roman" w:cs="Times New Roman"/>
          <w:i/>
        </w:rPr>
        <w:t>British Yearbook of International Law</w:t>
      </w:r>
      <w:r w:rsidRPr="00FE20E0">
        <w:rPr>
          <w:rFonts w:ascii="Times New Roman" w:hAnsi="Times New Roman" w:cs="Times New Roman"/>
        </w:rPr>
        <w:t xml:space="preserve"> 49, 58.</w:t>
      </w:r>
    </w:p>
  </w:footnote>
  <w:footnote w:id="32">
    <w:p w14:paraId="1660B1D2" w14:textId="58517F43" w:rsidR="00FE20E0" w:rsidRPr="00FE20E0" w:rsidRDefault="00FE20E0" w:rsidP="00FE20E0">
      <w:pPr>
        <w:autoSpaceDE w:val="0"/>
        <w:autoSpaceDN w:val="0"/>
        <w:adjustRightInd w:val="0"/>
        <w:spacing w:after="0" w:line="240" w:lineRule="auto"/>
        <w:contextualSpacing/>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In this regard, the position of EU law is similar to that favoured in public international law as summarised in the </w:t>
      </w:r>
      <w:proofErr w:type="spellStart"/>
      <w:r w:rsidRPr="00FE20E0">
        <w:rPr>
          <w:rFonts w:ascii="Times New Roman" w:hAnsi="Times New Roman" w:cs="Times New Roman"/>
          <w:i/>
          <w:sz w:val="20"/>
          <w:szCs w:val="20"/>
        </w:rPr>
        <w:t>Ambatielos</w:t>
      </w:r>
      <w:proofErr w:type="spellEnd"/>
      <w:r w:rsidRPr="00FE20E0">
        <w:rPr>
          <w:rFonts w:ascii="Times New Roman" w:hAnsi="Times New Roman" w:cs="Times New Roman"/>
          <w:sz w:val="20"/>
          <w:szCs w:val="20"/>
        </w:rPr>
        <w:t xml:space="preserve"> case: ‘</w:t>
      </w:r>
      <w:r w:rsidRPr="00FE20E0">
        <w:rPr>
          <w:rFonts w:ascii="Times New Roman" w:eastAsia="Brill-Roman" w:hAnsi="Times New Roman" w:cs="Times New Roman"/>
          <w:sz w:val="20"/>
          <w:szCs w:val="20"/>
        </w:rPr>
        <w:t xml:space="preserve">It is generally accepted that, so long as it affords remedies in its Courts, a State is only directly responsible, on the international plane, for acts involving breaches of contract, where the breach is not a simple breach . . . but involves an obviously arbitrary or tortuous element, e.g. a confiscatory breach of contract – where the true basis of the international claim is the confiscation, rather than the breach </w:t>
      </w:r>
      <w:r w:rsidRPr="00FE20E0">
        <w:rPr>
          <w:rFonts w:ascii="Times New Roman" w:eastAsia="Brill-Roman" w:hAnsi="Times New Roman" w:cs="Times New Roman"/>
          <w:i/>
          <w:iCs/>
          <w:sz w:val="20"/>
          <w:szCs w:val="20"/>
        </w:rPr>
        <w:t>per se</w:t>
      </w:r>
      <w:r w:rsidRPr="00FE20E0">
        <w:rPr>
          <w:rFonts w:ascii="Times New Roman" w:hAnsi="Times New Roman" w:cs="Times New Roman"/>
          <w:sz w:val="20"/>
          <w:szCs w:val="20"/>
        </w:rPr>
        <w:t xml:space="preserve"> (</w:t>
      </w:r>
      <w:r w:rsidRPr="00FE20E0">
        <w:rPr>
          <w:rFonts w:ascii="Times New Roman" w:eastAsia="Brill-Roman" w:hAnsi="Times New Roman" w:cs="Times New Roman"/>
          <w:sz w:val="20"/>
          <w:szCs w:val="20"/>
        </w:rPr>
        <w:t>Gerald Fitzmaurice, ‘</w:t>
      </w:r>
      <w:proofErr w:type="spellStart"/>
      <w:r w:rsidRPr="00FE20E0">
        <w:rPr>
          <w:rFonts w:ascii="Times New Roman" w:eastAsia="Brill-Roman" w:hAnsi="Times New Roman" w:cs="Times New Roman"/>
          <w:sz w:val="20"/>
          <w:szCs w:val="20"/>
        </w:rPr>
        <w:t>Hersch</w:t>
      </w:r>
      <w:proofErr w:type="spellEnd"/>
      <w:r w:rsidRPr="00FE20E0">
        <w:rPr>
          <w:rFonts w:ascii="Times New Roman" w:eastAsia="Brill-Roman" w:hAnsi="Times New Roman" w:cs="Times New Roman"/>
          <w:sz w:val="20"/>
          <w:szCs w:val="20"/>
        </w:rPr>
        <w:t xml:space="preserve"> </w:t>
      </w:r>
      <w:proofErr w:type="spellStart"/>
      <w:r w:rsidRPr="00FE20E0">
        <w:rPr>
          <w:rFonts w:ascii="Times New Roman" w:eastAsia="Brill-Roman" w:hAnsi="Times New Roman" w:cs="Times New Roman"/>
          <w:sz w:val="20"/>
          <w:szCs w:val="20"/>
        </w:rPr>
        <w:t>Lauterpacht</w:t>
      </w:r>
      <w:proofErr w:type="spellEnd"/>
      <w:r w:rsidRPr="00FE20E0">
        <w:rPr>
          <w:rFonts w:ascii="Times New Roman" w:eastAsia="Brill-Roman" w:hAnsi="Times New Roman" w:cs="Times New Roman"/>
          <w:sz w:val="20"/>
          <w:szCs w:val="20"/>
        </w:rPr>
        <w:t xml:space="preserve"> – The Scholar as Judge – Part I’ (1961) 37 </w:t>
      </w:r>
      <w:r w:rsidRPr="00FE20E0">
        <w:rPr>
          <w:rFonts w:ascii="Times New Roman" w:eastAsia="Brill-Roman" w:hAnsi="Times New Roman" w:cs="Times New Roman"/>
          <w:i/>
          <w:sz w:val="20"/>
          <w:szCs w:val="20"/>
        </w:rPr>
        <w:t>British Yearbook of International Law</w:t>
      </w:r>
      <w:r w:rsidRPr="00FE20E0">
        <w:rPr>
          <w:rFonts w:ascii="Times New Roman" w:eastAsia="Brill-Roman" w:hAnsi="Times New Roman" w:cs="Times New Roman"/>
          <w:sz w:val="20"/>
          <w:szCs w:val="20"/>
        </w:rPr>
        <w:t xml:space="preserve"> 64-5; see also </w:t>
      </w:r>
      <w:r w:rsidRPr="00FE20E0">
        <w:rPr>
          <w:rFonts w:ascii="Times New Roman" w:hAnsi="Times New Roman" w:cs="Times New Roman"/>
          <w:sz w:val="20"/>
          <w:szCs w:val="20"/>
        </w:rPr>
        <w:t xml:space="preserve">GH Hackworth, </w:t>
      </w:r>
      <w:r w:rsidRPr="00FE20E0">
        <w:rPr>
          <w:rFonts w:ascii="Times New Roman" w:hAnsi="Times New Roman" w:cs="Times New Roman"/>
          <w:i/>
          <w:sz w:val="20"/>
          <w:szCs w:val="20"/>
        </w:rPr>
        <w:t>Digest of International Law</w:t>
      </w:r>
      <w:r w:rsidRPr="00FE20E0">
        <w:rPr>
          <w:rFonts w:ascii="Times New Roman" w:hAnsi="Times New Roman" w:cs="Times New Roman"/>
          <w:sz w:val="20"/>
          <w:szCs w:val="20"/>
        </w:rPr>
        <w:t xml:space="preserve">, US Government Printing Office, Washington 1943) </w:t>
      </w:r>
      <w:proofErr w:type="spellStart"/>
      <w:r w:rsidRPr="00FE20E0">
        <w:rPr>
          <w:rFonts w:ascii="Times New Roman" w:hAnsi="Times New Roman" w:cs="Times New Roman"/>
          <w:sz w:val="20"/>
          <w:szCs w:val="20"/>
        </w:rPr>
        <w:t>vol</w:t>
      </w:r>
      <w:proofErr w:type="spellEnd"/>
      <w:r w:rsidRPr="00FE20E0">
        <w:rPr>
          <w:rFonts w:ascii="Times New Roman" w:hAnsi="Times New Roman" w:cs="Times New Roman"/>
          <w:sz w:val="20"/>
          <w:szCs w:val="20"/>
        </w:rPr>
        <w:t xml:space="preserve"> 5, p 611</w:t>
      </w:r>
      <w:r w:rsidRPr="00FE20E0">
        <w:rPr>
          <w:rFonts w:ascii="Times New Roman" w:eastAsia="Brill-Roman" w:hAnsi="Times New Roman" w:cs="Times New Roman"/>
          <w:sz w:val="20"/>
          <w:szCs w:val="20"/>
        </w:rPr>
        <w:t xml:space="preserve">. </w:t>
      </w:r>
    </w:p>
  </w:footnote>
  <w:footnote w:id="33">
    <w:p w14:paraId="16927BB1" w14:textId="3D9931BD"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w:t>
      </w:r>
      <w:r w:rsidRPr="00FE20E0">
        <w:rPr>
          <w:rFonts w:ascii="Times New Roman" w:eastAsia="Brill-Roman" w:hAnsi="Times New Roman" w:cs="Times New Roman"/>
        </w:rPr>
        <w:t xml:space="preserve">CJEU, Case C-283/11 </w:t>
      </w:r>
      <w:r w:rsidRPr="00FE20E0">
        <w:rPr>
          <w:rFonts w:ascii="Times New Roman" w:eastAsia="Brill-Roman" w:hAnsi="Times New Roman" w:cs="Times New Roman"/>
          <w:i/>
          <w:iCs/>
        </w:rPr>
        <w:t xml:space="preserve">Sky </w:t>
      </w:r>
      <w:proofErr w:type="spellStart"/>
      <w:r w:rsidRPr="00FE20E0">
        <w:rPr>
          <w:rFonts w:ascii="Times New Roman" w:eastAsia="Brill-Roman" w:hAnsi="Times New Roman" w:cs="Times New Roman"/>
          <w:i/>
          <w:iCs/>
        </w:rPr>
        <w:t>Österreich</w:t>
      </w:r>
      <w:proofErr w:type="spellEnd"/>
      <w:r w:rsidRPr="00FE20E0">
        <w:rPr>
          <w:rFonts w:ascii="Times New Roman" w:eastAsia="Brill-Roman" w:hAnsi="Times New Roman" w:cs="Times New Roman"/>
          <w:i/>
          <w:iCs/>
        </w:rPr>
        <w:t xml:space="preserve"> GmbH v </w:t>
      </w:r>
      <w:proofErr w:type="spellStart"/>
      <w:r w:rsidRPr="00FE20E0">
        <w:rPr>
          <w:rFonts w:ascii="Times New Roman" w:eastAsia="Brill-Roman" w:hAnsi="Times New Roman" w:cs="Times New Roman"/>
          <w:i/>
          <w:iCs/>
        </w:rPr>
        <w:t>Österreichischer</w:t>
      </w:r>
      <w:proofErr w:type="spellEnd"/>
      <w:r w:rsidRPr="00FE20E0">
        <w:rPr>
          <w:rFonts w:ascii="Times New Roman" w:eastAsia="Brill-Roman" w:hAnsi="Times New Roman" w:cs="Times New Roman"/>
          <w:i/>
          <w:iCs/>
        </w:rPr>
        <w:t xml:space="preserve"> Rundfunk </w:t>
      </w:r>
      <w:r w:rsidRPr="00FE20E0">
        <w:rPr>
          <w:rFonts w:ascii="Times New Roman" w:eastAsia="Brill-Roman" w:hAnsi="Times New Roman" w:cs="Times New Roman"/>
        </w:rPr>
        <w:t>ECLI:EU:C:2013:28.</w:t>
      </w:r>
    </w:p>
  </w:footnote>
  <w:footnote w:id="34">
    <w:p w14:paraId="0C9FE3D6" w14:textId="21D7F9F9"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Ibid para 34</w:t>
      </w:r>
    </w:p>
  </w:footnote>
  <w:footnote w:id="35">
    <w:p w14:paraId="736A2CC6" w14:textId="0F00C661"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M Sattorova, “Investment treaty breach as internationally proscribed conduct: Shifting scope, evolving objectives, recalibrated remedies?,” (2012) 4(2) </w:t>
      </w:r>
      <w:r w:rsidRPr="00FE20E0">
        <w:rPr>
          <w:rFonts w:ascii="Times New Roman" w:hAnsi="Times New Roman" w:cs="Times New Roman"/>
          <w:i/>
          <w:iCs/>
        </w:rPr>
        <w:t xml:space="preserve">Trade Law and Development </w:t>
      </w:r>
      <w:r w:rsidRPr="00FE20E0">
        <w:rPr>
          <w:rFonts w:ascii="Times New Roman" w:hAnsi="Times New Roman" w:cs="Times New Roman"/>
        </w:rPr>
        <w:t xml:space="preserve">315. </w:t>
      </w:r>
    </w:p>
  </w:footnote>
  <w:footnote w:id="36">
    <w:p w14:paraId="73274050" w14:textId="77777777"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w:t>
      </w:r>
    </w:p>
  </w:footnote>
  <w:footnote w:id="37">
    <w:p w14:paraId="43DB3A91" w14:textId="181ED952"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In English law, for instance, although the crown remains </w:t>
      </w:r>
      <w:r w:rsidRPr="00FE20E0">
        <w:rPr>
          <w:rFonts w:ascii="Times New Roman" w:hAnsi="Times New Roman" w:cs="Times New Roman"/>
          <w:shd w:val="clear" w:color="auto" w:fill="FFFFFF"/>
        </w:rPr>
        <w:t xml:space="preserve">subject to the law, procedural requirements effectively delimited opportunities for redress in practice. See </w:t>
      </w:r>
      <w:r w:rsidRPr="00FE20E0">
        <w:rPr>
          <w:rFonts w:ascii="Times New Roman" w:hAnsi="Times New Roman" w:cs="Times New Roman"/>
        </w:rPr>
        <w:t xml:space="preserve">D </w:t>
      </w:r>
      <w:proofErr w:type="spellStart"/>
      <w:r w:rsidRPr="00FE20E0">
        <w:rPr>
          <w:rFonts w:ascii="Times New Roman" w:hAnsi="Times New Roman" w:cs="Times New Roman"/>
        </w:rPr>
        <w:t>Fairgrieve</w:t>
      </w:r>
      <w:proofErr w:type="spellEnd"/>
      <w:r w:rsidRPr="00FE20E0">
        <w:rPr>
          <w:rFonts w:ascii="Times New Roman" w:hAnsi="Times New Roman" w:cs="Times New Roman"/>
        </w:rPr>
        <w:t xml:space="preserve">, </w:t>
      </w:r>
      <w:r w:rsidRPr="00FE20E0">
        <w:rPr>
          <w:rFonts w:ascii="Times New Roman" w:hAnsi="Times New Roman" w:cs="Times New Roman"/>
          <w:i/>
        </w:rPr>
        <w:t>State Liability in Tort. A Comparative Law Study</w:t>
      </w:r>
      <w:r w:rsidRPr="00FE20E0">
        <w:rPr>
          <w:rFonts w:ascii="Times New Roman" w:hAnsi="Times New Roman" w:cs="Times New Roman"/>
        </w:rPr>
        <w:t xml:space="preserve">, Oxford, OUP, 200, p </w:t>
      </w:r>
      <w:r w:rsidRPr="00FE20E0">
        <w:rPr>
          <w:rFonts w:ascii="Times New Roman" w:hAnsi="Times New Roman" w:cs="Times New Roman"/>
          <w:shd w:val="clear" w:color="auto" w:fill="FFFFFF"/>
        </w:rPr>
        <w:t>8.</w:t>
      </w:r>
    </w:p>
  </w:footnote>
  <w:footnote w:id="38">
    <w:p w14:paraId="010AD713" w14:textId="4E540BDE" w:rsidR="00FE20E0" w:rsidRPr="00FE20E0" w:rsidRDefault="00FE20E0" w:rsidP="00FE20E0">
      <w:pPr>
        <w:pStyle w:val="Heading3"/>
        <w:spacing w:before="0" w:line="240" w:lineRule="auto"/>
        <w:jc w:val="both"/>
        <w:rPr>
          <w:rFonts w:ascii="Times New Roman" w:hAnsi="Times New Roman" w:cs="Times New Roman"/>
          <w:color w:val="auto"/>
          <w:sz w:val="20"/>
          <w:szCs w:val="20"/>
        </w:rPr>
      </w:pPr>
      <w:r w:rsidRPr="00FE20E0">
        <w:rPr>
          <w:rStyle w:val="FootnoteReference"/>
          <w:rFonts w:ascii="Times New Roman" w:hAnsi="Times New Roman" w:cs="Times New Roman"/>
          <w:color w:val="auto"/>
          <w:sz w:val="20"/>
          <w:szCs w:val="20"/>
        </w:rPr>
        <w:footnoteRef/>
      </w:r>
      <w:r w:rsidRPr="00FE20E0">
        <w:rPr>
          <w:rFonts w:ascii="Times New Roman" w:hAnsi="Times New Roman" w:cs="Times New Roman"/>
          <w:color w:val="auto"/>
          <w:sz w:val="20"/>
          <w:szCs w:val="20"/>
        </w:rPr>
        <w:t xml:space="preserve"> For an overview, see </w:t>
      </w:r>
      <w:r w:rsidRPr="00FE20E0">
        <w:rPr>
          <w:rFonts w:ascii="Times New Roman" w:hAnsi="Times New Roman" w:cs="Times New Roman"/>
          <w:bCs/>
          <w:color w:val="auto"/>
          <w:sz w:val="20"/>
          <w:szCs w:val="20"/>
        </w:rPr>
        <w:t xml:space="preserve">I </w:t>
      </w:r>
      <w:proofErr w:type="spellStart"/>
      <w:r w:rsidRPr="00FE20E0">
        <w:rPr>
          <w:rFonts w:ascii="Times New Roman" w:hAnsi="Times New Roman" w:cs="Times New Roman"/>
          <w:bCs/>
          <w:color w:val="auto"/>
          <w:sz w:val="20"/>
          <w:szCs w:val="20"/>
        </w:rPr>
        <w:t>Marboe</w:t>
      </w:r>
      <w:proofErr w:type="spellEnd"/>
      <w:r w:rsidRPr="00FE20E0">
        <w:rPr>
          <w:rFonts w:ascii="Times New Roman" w:hAnsi="Times New Roman" w:cs="Times New Roman"/>
          <w:bCs/>
          <w:color w:val="auto"/>
          <w:sz w:val="20"/>
          <w:szCs w:val="20"/>
        </w:rPr>
        <w:t>, ‘</w:t>
      </w:r>
      <w:hyperlink r:id="rId1" w:history="1">
        <w:r w:rsidRPr="00FE20E0">
          <w:rPr>
            <w:rStyle w:val="Hyperlink"/>
            <w:rFonts w:ascii="Times New Roman" w:hAnsi="Times New Roman" w:cs="Times New Roman"/>
            <w:bCs/>
            <w:color w:val="auto"/>
            <w:sz w:val="20"/>
            <w:szCs w:val="20"/>
          </w:rPr>
          <w:t>State Responsibility and Comparative State Liability for Administrative and Legislative Harm to Economic Interests</w:t>
        </w:r>
      </w:hyperlink>
      <w:r w:rsidRPr="00FE20E0">
        <w:rPr>
          <w:rFonts w:ascii="Times New Roman" w:hAnsi="Times New Roman" w:cs="Times New Roman"/>
          <w:bCs/>
          <w:color w:val="auto"/>
          <w:sz w:val="20"/>
          <w:szCs w:val="20"/>
        </w:rPr>
        <w:t xml:space="preserve">’ in </w:t>
      </w:r>
      <w:r w:rsidRPr="00FE20E0">
        <w:rPr>
          <w:rFonts w:ascii="Times New Roman" w:hAnsi="Times New Roman" w:cs="Times New Roman"/>
          <w:color w:val="auto"/>
          <w:sz w:val="20"/>
          <w:szCs w:val="20"/>
        </w:rPr>
        <w:t xml:space="preserve">SW </w:t>
      </w:r>
      <w:proofErr w:type="spellStart"/>
      <w:r w:rsidRPr="00FE20E0">
        <w:rPr>
          <w:rFonts w:ascii="Times New Roman" w:eastAsiaTheme="minorHAnsi" w:hAnsi="Times New Roman" w:cs="Times New Roman"/>
          <w:color w:val="auto"/>
          <w:sz w:val="20"/>
          <w:szCs w:val="20"/>
        </w:rPr>
        <w:t>Schill</w:t>
      </w:r>
      <w:proofErr w:type="spellEnd"/>
      <w:r w:rsidRPr="00FE20E0">
        <w:rPr>
          <w:rFonts w:ascii="Times New Roman" w:eastAsiaTheme="minorHAnsi" w:hAnsi="Times New Roman" w:cs="Times New Roman"/>
          <w:color w:val="auto"/>
          <w:sz w:val="20"/>
          <w:szCs w:val="20"/>
        </w:rPr>
        <w:t xml:space="preserve"> </w:t>
      </w:r>
      <w:r w:rsidRPr="00FE20E0">
        <w:rPr>
          <w:rFonts w:ascii="Times New Roman" w:hAnsi="Times New Roman" w:cs="Times New Roman"/>
          <w:color w:val="auto"/>
          <w:sz w:val="20"/>
          <w:szCs w:val="20"/>
        </w:rPr>
        <w:t>(</w:t>
      </w:r>
      <w:proofErr w:type="spellStart"/>
      <w:r w:rsidRPr="00FE20E0">
        <w:rPr>
          <w:rFonts w:ascii="Times New Roman" w:eastAsiaTheme="minorHAnsi" w:hAnsi="Times New Roman" w:cs="Times New Roman"/>
          <w:color w:val="auto"/>
          <w:sz w:val="20"/>
          <w:szCs w:val="20"/>
        </w:rPr>
        <w:t>ed</w:t>
      </w:r>
      <w:proofErr w:type="spellEnd"/>
      <w:r w:rsidRPr="00FE20E0">
        <w:rPr>
          <w:rFonts w:ascii="Times New Roman" w:hAnsi="Times New Roman" w:cs="Times New Roman"/>
          <w:color w:val="auto"/>
          <w:sz w:val="20"/>
          <w:szCs w:val="20"/>
        </w:rPr>
        <w:t>)</w:t>
      </w:r>
      <w:r w:rsidRPr="00FE20E0">
        <w:rPr>
          <w:rFonts w:ascii="Times New Roman" w:eastAsiaTheme="minorHAnsi" w:hAnsi="Times New Roman" w:cs="Times New Roman"/>
          <w:color w:val="auto"/>
          <w:sz w:val="20"/>
          <w:szCs w:val="20"/>
        </w:rPr>
        <w:t>,</w:t>
      </w:r>
      <w:r w:rsidRPr="00FE20E0">
        <w:rPr>
          <w:rFonts w:ascii="Times New Roman" w:hAnsi="Times New Roman" w:cs="Times New Roman"/>
          <w:color w:val="auto"/>
          <w:sz w:val="20"/>
          <w:szCs w:val="20"/>
        </w:rPr>
        <w:t xml:space="preserve"> </w:t>
      </w:r>
      <w:r w:rsidRPr="00FE20E0">
        <w:rPr>
          <w:rFonts w:ascii="Times New Roman" w:hAnsi="Times New Roman" w:cs="Times New Roman"/>
          <w:i/>
          <w:color w:val="auto"/>
          <w:sz w:val="20"/>
          <w:szCs w:val="20"/>
        </w:rPr>
        <w:t>International Investment Law and Comparative Public Law</w:t>
      </w:r>
      <w:r w:rsidRPr="00FE20E0">
        <w:rPr>
          <w:rFonts w:ascii="Times New Roman" w:hAnsi="Times New Roman" w:cs="Times New Roman"/>
          <w:color w:val="auto"/>
          <w:sz w:val="20"/>
          <w:szCs w:val="20"/>
        </w:rPr>
        <w:t>, Oxford, OUP, 2010, pp 382-99.</w:t>
      </w:r>
    </w:p>
  </w:footnote>
  <w:footnote w:id="39">
    <w:p w14:paraId="2BEFAC81" w14:textId="10351ED3"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w:t>
      </w:r>
      <w:proofErr w:type="spellStart"/>
      <w:r w:rsidRPr="00FE20E0">
        <w:rPr>
          <w:rFonts w:ascii="Times New Roman" w:hAnsi="Times New Roman" w:cs="Times New Roman"/>
        </w:rPr>
        <w:t>Fairgrieve</w:t>
      </w:r>
      <w:proofErr w:type="spellEnd"/>
      <w:r w:rsidRPr="00FE20E0">
        <w:rPr>
          <w:rFonts w:ascii="Times New Roman" w:hAnsi="Times New Roman" w:cs="Times New Roman"/>
        </w:rPr>
        <w:t>, above n 37, 133.</w:t>
      </w:r>
    </w:p>
  </w:footnote>
  <w:footnote w:id="40">
    <w:p w14:paraId="71855F83" w14:textId="738F8A9D"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w:t>
      </w:r>
      <w:r w:rsidRPr="00FE20E0">
        <w:rPr>
          <w:rFonts w:ascii="Times New Roman" w:hAnsi="Times New Roman" w:cs="Times New Roman"/>
          <w:lang w:eastAsia="en-GB"/>
        </w:rPr>
        <w:t xml:space="preserve">Investor-State Dispute Settlement: Summary Reports by Experts at 16th Freedom of Information Roundtable, Organization for Economic Cooperation and Development, Investment Division, 20 March 2012) </w:t>
      </w:r>
      <w:r w:rsidRPr="00FE20E0">
        <w:rPr>
          <w:rFonts w:ascii="Times New Roman" w:hAnsi="Times New Roman" w:cs="Times New Roman"/>
          <w:i/>
          <w:iCs/>
          <w:lang w:eastAsia="en-GB"/>
        </w:rPr>
        <w:t xml:space="preserve">available &lt; </w:t>
      </w:r>
      <w:hyperlink r:id="rId2" w:history="1">
        <w:r w:rsidRPr="00FE20E0">
          <w:rPr>
            <w:rStyle w:val="Hyperlink"/>
            <w:rFonts w:ascii="Times New Roman" w:hAnsi="Times New Roman" w:cs="Times New Roman"/>
            <w:color w:val="auto"/>
            <w:lang w:eastAsia="en-GB"/>
          </w:rPr>
          <w:t>http://www.oecd.org/daf/inv/investment-policy/50241347.pdf</w:t>
        </w:r>
      </w:hyperlink>
      <w:r w:rsidRPr="00FE20E0">
        <w:rPr>
          <w:rFonts w:ascii="Times New Roman" w:hAnsi="Times New Roman" w:cs="Times New Roman"/>
          <w:lang w:eastAsia="en-GB"/>
        </w:rPr>
        <w:t>&gt; accessed 01.04.2017</w:t>
      </w:r>
    </w:p>
  </w:footnote>
  <w:footnote w:id="41">
    <w:p w14:paraId="24AE1403" w14:textId="4D6225FD"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UNCTAD, </w:t>
      </w:r>
      <w:r w:rsidRPr="00FE20E0">
        <w:rPr>
          <w:rFonts w:ascii="Times New Roman" w:hAnsi="Times New Roman" w:cs="Times New Roman"/>
          <w:i/>
        </w:rPr>
        <w:t>Best Practices in Investment for Development. How to prevent and manage investor-State disputes: Lessons from Peru</w:t>
      </w:r>
      <w:r w:rsidRPr="00FE20E0">
        <w:rPr>
          <w:rFonts w:ascii="Times New Roman" w:hAnsi="Times New Roman" w:cs="Times New Roman"/>
        </w:rPr>
        <w:t xml:space="preserve">, </w:t>
      </w:r>
      <w:r w:rsidRPr="00FE20E0">
        <w:rPr>
          <w:rFonts w:ascii="Times New Roman" w:hAnsi="Times New Roman" w:cs="Times New Roman"/>
          <w:bCs/>
          <w:iCs/>
        </w:rPr>
        <w:t xml:space="preserve">Investment Advisory Series, Series B, number 10 (United Nations 2011) p </w:t>
      </w:r>
      <w:r w:rsidRPr="00FE20E0">
        <w:rPr>
          <w:rFonts w:ascii="Times New Roman" w:hAnsi="Times New Roman" w:cs="Times New Roman"/>
        </w:rPr>
        <w:t>8.</w:t>
      </w:r>
    </w:p>
  </w:footnote>
  <w:footnote w:id="42">
    <w:p w14:paraId="236FCF37" w14:textId="16EECE9B" w:rsidR="00FE20E0" w:rsidRPr="00FE20E0" w:rsidRDefault="00FE20E0" w:rsidP="00FE20E0">
      <w:pPr>
        <w:pStyle w:val="FootnoteText"/>
        <w:contextualSpacing/>
        <w:jc w:val="both"/>
        <w:rPr>
          <w:rFonts w:ascii="Times New Roman" w:hAnsi="Times New Roman" w:cs="Times New Roman"/>
          <w:bCs/>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w:t>
      </w:r>
      <w:r w:rsidRPr="00FE20E0">
        <w:rPr>
          <w:rFonts w:ascii="Times New Roman" w:hAnsi="Times New Roman" w:cs="Times New Roman"/>
          <w:bCs/>
        </w:rPr>
        <w:t xml:space="preserve">Philip Morris fails in PCA arbitration against Australia over plain packaging laws’, available </w:t>
      </w:r>
    </w:p>
    <w:p w14:paraId="323C2393" w14:textId="53B4454F" w:rsidR="00FE20E0" w:rsidRPr="00FE20E0" w:rsidRDefault="00AE5F5F" w:rsidP="00FE20E0">
      <w:pPr>
        <w:pStyle w:val="FootnoteText"/>
        <w:contextualSpacing/>
        <w:jc w:val="both"/>
        <w:rPr>
          <w:rFonts w:ascii="Times New Roman" w:hAnsi="Times New Roman" w:cs="Times New Roman"/>
        </w:rPr>
      </w:pPr>
      <w:hyperlink r:id="rId3" w:history="1">
        <w:r w:rsidR="00FE20E0" w:rsidRPr="00FE20E0">
          <w:rPr>
            <w:rStyle w:val="Hyperlink"/>
            <w:rFonts w:ascii="Times New Roman" w:hAnsi="Times New Roman" w:cs="Times New Roman"/>
            <w:color w:val="auto"/>
          </w:rPr>
          <w:t>https://www.iisd.org/itn/2016/02/29/philip-morris-fails-in-pca-arbitration-against-australia-over-plain-packaging-laws/</w:t>
        </w:r>
      </w:hyperlink>
      <w:r w:rsidR="00FE20E0" w:rsidRPr="00FE20E0">
        <w:rPr>
          <w:rFonts w:ascii="Times New Roman" w:hAnsi="Times New Roman" w:cs="Times New Roman"/>
        </w:rPr>
        <w:t xml:space="preserve"> accessed 1.04.2017</w:t>
      </w:r>
    </w:p>
  </w:footnote>
  <w:footnote w:id="43">
    <w:p w14:paraId="0EEE9DE8" w14:textId="7ABFE6B5"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This question was historically raised to examine the reasons why developing countries sign investment treaties that limit their sovereignty and hurt them financially. See AT </w:t>
      </w:r>
      <w:r w:rsidRPr="00FE20E0">
        <w:rPr>
          <w:rStyle w:val="documentbody"/>
          <w:rFonts w:ascii="Times New Roman" w:hAnsi="Times New Roman"/>
        </w:rPr>
        <w:t xml:space="preserve">Guzman, ‘Why LDCs Sign Treaties that Hurt Them: Explaining the Popularity of Bilateral Investment Treaties’ (1998) </w:t>
      </w:r>
      <w:r w:rsidRPr="00FE20E0">
        <w:rPr>
          <w:rStyle w:val="documentbody"/>
          <w:rFonts w:ascii="Times New Roman" w:hAnsi="Times New Roman"/>
          <w:i/>
        </w:rPr>
        <w:t>Virginia Journal of International Law</w:t>
      </w:r>
      <w:r w:rsidRPr="00FE20E0">
        <w:rPr>
          <w:rStyle w:val="documentbody"/>
          <w:rFonts w:ascii="Times New Roman" w:hAnsi="Times New Roman"/>
        </w:rPr>
        <w:t xml:space="preserve"> 639.</w:t>
      </w:r>
    </w:p>
  </w:footnote>
  <w:footnote w:id="44">
    <w:p w14:paraId="1CEAE735" w14:textId="0B8499D7" w:rsidR="00FE20E0" w:rsidRPr="00FE20E0" w:rsidRDefault="00FE20E0" w:rsidP="00FE20E0">
      <w:pPr>
        <w:spacing w:after="0" w:line="240" w:lineRule="auto"/>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See e.g. </w:t>
      </w:r>
      <w:r w:rsidRPr="00FE20E0">
        <w:rPr>
          <w:rFonts w:ascii="Times New Roman" w:hAnsi="Times New Roman" w:cs="Times New Roman"/>
          <w:iCs/>
          <w:sz w:val="20"/>
          <w:szCs w:val="20"/>
        </w:rPr>
        <w:t>M Sattorova</w:t>
      </w:r>
      <w:r w:rsidRPr="00FE20E0">
        <w:rPr>
          <w:rFonts w:ascii="Times New Roman" w:hAnsi="Times New Roman" w:cs="Times New Roman"/>
          <w:i/>
          <w:iCs/>
          <w:sz w:val="20"/>
          <w:szCs w:val="20"/>
        </w:rPr>
        <w:t>,</w:t>
      </w:r>
      <w:r w:rsidRPr="00FE20E0">
        <w:rPr>
          <w:rFonts w:ascii="Times New Roman" w:hAnsi="Times New Roman" w:cs="Times New Roman"/>
          <w:sz w:val="20"/>
          <w:szCs w:val="20"/>
        </w:rPr>
        <w:t xml:space="preserve"> </w:t>
      </w:r>
      <w:r w:rsidRPr="00FE20E0">
        <w:rPr>
          <w:rFonts w:ascii="Times New Roman" w:eastAsia="GungsuhChe" w:hAnsi="Times New Roman" w:cs="Times New Roman"/>
          <w:sz w:val="20"/>
          <w:szCs w:val="20"/>
          <w:lang w:val="en-US"/>
        </w:rPr>
        <w:t>‘Between regional harmonization and global fragmentation? The variable geometry and geography of investment treaty law through the prism of regulatory flexibility provisions’, in NJ Calamita and M Sattorova (</w:t>
      </w:r>
      <w:proofErr w:type="spellStart"/>
      <w:r w:rsidRPr="00FE20E0">
        <w:rPr>
          <w:rFonts w:ascii="Times New Roman" w:eastAsia="GungsuhChe" w:hAnsi="Times New Roman" w:cs="Times New Roman"/>
          <w:sz w:val="20"/>
          <w:szCs w:val="20"/>
          <w:lang w:val="en-US"/>
        </w:rPr>
        <w:t>eds</w:t>
      </w:r>
      <w:proofErr w:type="spellEnd"/>
      <w:r w:rsidRPr="00FE20E0">
        <w:rPr>
          <w:rFonts w:ascii="Times New Roman" w:eastAsia="GungsuhChe" w:hAnsi="Times New Roman" w:cs="Times New Roman"/>
          <w:sz w:val="20"/>
          <w:szCs w:val="20"/>
          <w:lang w:val="en-US"/>
        </w:rPr>
        <w:t xml:space="preserve">) </w:t>
      </w:r>
      <w:r w:rsidRPr="00FE20E0">
        <w:rPr>
          <w:rFonts w:ascii="Times New Roman" w:eastAsia="GungsuhChe" w:hAnsi="Times New Roman" w:cs="Times New Roman"/>
          <w:i/>
          <w:sz w:val="20"/>
          <w:szCs w:val="20"/>
          <w:lang w:val="en-US"/>
        </w:rPr>
        <w:t>Investment Treaty Law Current Issues Volume V: The Regionalization of International Investment Treaty Arrangements</w:t>
      </w:r>
      <w:r w:rsidRPr="00FE20E0">
        <w:rPr>
          <w:rFonts w:ascii="Times New Roman" w:eastAsia="GungsuhChe" w:hAnsi="Times New Roman" w:cs="Times New Roman"/>
          <w:sz w:val="20"/>
          <w:szCs w:val="20"/>
          <w:lang w:val="en-US"/>
        </w:rPr>
        <w:t>, London, BIICL, 2015, pp 277-305.</w:t>
      </w:r>
    </w:p>
  </w:footnote>
  <w:footnote w:id="45">
    <w:p w14:paraId="77AF4C7F" w14:textId="77777777" w:rsidR="00FE20E0" w:rsidRPr="00FE20E0" w:rsidRDefault="00FE20E0" w:rsidP="00FE20E0">
      <w:pPr>
        <w:pStyle w:val="Default"/>
        <w:contextualSpacing/>
        <w:jc w:val="both"/>
        <w:rPr>
          <w:color w:val="auto"/>
          <w:sz w:val="20"/>
          <w:szCs w:val="20"/>
        </w:rPr>
      </w:pPr>
      <w:r w:rsidRPr="00FE20E0">
        <w:rPr>
          <w:rStyle w:val="FootnoteReference"/>
          <w:color w:val="auto"/>
          <w:sz w:val="20"/>
          <w:szCs w:val="20"/>
        </w:rPr>
        <w:footnoteRef/>
      </w:r>
      <w:r w:rsidRPr="00FE20E0">
        <w:rPr>
          <w:color w:val="auto"/>
          <w:sz w:val="20"/>
          <w:szCs w:val="20"/>
        </w:rPr>
        <w:t xml:space="preserve"> Lee Williams, ‘What Is TTIP? And Six Reasons Why the Answer Should Scare You’ </w:t>
      </w:r>
      <w:r w:rsidRPr="00FE20E0">
        <w:rPr>
          <w:i/>
          <w:iCs/>
          <w:color w:val="auto"/>
          <w:sz w:val="20"/>
          <w:szCs w:val="20"/>
        </w:rPr>
        <w:t xml:space="preserve">The Independent </w:t>
      </w:r>
      <w:r w:rsidRPr="00FE20E0">
        <w:rPr>
          <w:color w:val="auto"/>
          <w:sz w:val="20"/>
          <w:szCs w:val="20"/>
        </w:rPr>
        <w:t xml:space="preserve">(6 October 2015) &lt;http://www.independent.co.uk/voices/comment/what-is-ttip-and-six-reasons-why-the-answer-should-scare-you-9779688.html&gt;.  </w:t>
      </w:r>
    </w:p>
  </w:footnote>
  <w:footnote w:id="46">
    <w:p w14:paraId="3BED5707" w14:textId="1B342A7F" w:rsidR="00FE20E0" w:rsidRPr="00FE20E0" w:rsidRDefault="00FE20E0" w:rsidP="00FE20E0">
      <w:pPr>
        <w:autoSpaceDE w:val="0"/>
        <w:autoSpaceDN w:val="0"/>
        <w:adjustRightInd w:val="0"/>
        <w:spacing w:after="0" w:line="240" w:lineRule="auto"/>
        <w:jc w:val="both"/>
        <w:rPr>
          <w:rFonts w:ascii="Times New Roman" w:eastAsia="Sabon-Roman" w:hAnsi="Times New Roman" w:cs="Times New Roman"/>
          <w:i/>
          <w:iCs/>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See e.g. </w:t>
      </w:r>
      <w:r w:rsidRPr="00FE20E0">
        <w:rPr>
          <w:rFonts w:ascii="Times New Roman" w:eastAsia="Sabon-Roman" w:hAnsi="Times New Roman" w:cs="Times New Roman"/>
          <w:sz w:val="20"/>
          <w:szCs w:val="20"/>
        </w:rPr>
        <w:t xml:space="preserve">Kyla </w:t>
      </w:r>
      <w:proofErr w:type="spellStart"/>
      <w:r w:rsidRPr="00FE20E0">
        <w:rPr>
          <w:rFonts w:ascii="Times New Roman" w:eastAsia="Sabon-Roman" w:hAnsi="Times New Roman" w:cs="Times New Roman"/>
          <w:sz w:val="20"/>
          <w:szCs w:val="20"/>
        </w:rPr>
        <w:t>Tienhaara</w:t>
      </w:r>
      <w:proofErr w:type="spellEnd"/>
      <w:r w:rsidRPr="00FE20E0">
        <w:rPr>
          <w:rFonts w:ascii="Times New Roman" w:eastAsia="Sabon-Roman" w:hAnsi="Times New Roman" w:cs="Times New Roman"/>
          <w:sz w:val="20"/>
          <w:szCs w:val="20"/>
        </w:rPr>
        <w:t xml:space="preserve"> , ‘ Regulatory Chill and the Threat of Arbitration : A View From Political Science ’ in Chester Brown and Kate Miles (</w:t>
      </w:r>
      <w:proofErr w:type="spellStart"/>
      <w:r w:rsidRPr="00FE20E0">
        <w:rPr>
          <w:rFonts w:ascii="Times New Roman" w:eastAsia="Sabon-Roman" w:hAnsi="Times New Roman" w:cs="Times New Roman"/>
          <w:sz w:val="20"/>
          <w:szCs w:val="20"/>
        </w:rPr>
        <w:t>eds</w:t>
      </w:r>
      <w:proofErr w:type="spellEnd"/>
      <w:r w:rsidRPr="00FE20E0">
        <w:rPr>
          <w:rFonts w:ascii="Times New Roman" w:eastAsia="Sabon-Roman" w:hAnsi="Times New Roman" w:cs="Times New Roman"/>
          <w:sz w:val="20"/>
          <w:szCs w:val="20"/>
        </w:rPr>
        <w:t xml:space="preserve">), </w:t>
      </w:r>
      <w:r w:rsidRPr="00FE20E0">
        <w:rPr>
          <w:rFonts w:ascii="Times New Roman" w:eastAsia="Sabon-Roman" w:hAnsi="Times New Roman" w:cs="Times New Roman"/>
          <w:i/>
          <w:iCs/>
          <w:sz w:val="20"/>
          <w:szCs w:val="20"/>
        </w:rPr>
        <w:t xml:space="preserve">Evolution in Investment Treaty Law and Arbitration, </w:t>
      </w:r>
      <w:r w:rsidRPr="00FE20E0">
        <w:rPr>
          <w:rFonts w:ascii="Times New Roman" w:eastAsia="Sabon-Roman" w:hAnsi="Times New Roman" w:cs="Times New Roman"/>
          <w:sz w:val="20"/>
          <w:szCs w:val="20"/>
        </w:rPr>
        <w:t>Cambridge, Cambridge University Press , 2011, pp 606 – 28.</w:t>
      </w:r>
    </w:p>
  </w:footnote>
  <w:footnote w:id="47">
    <w:p w14:paraId="49CE1259" w14:textId="77777777" w:rsidR="00FE20E0" w:rsidRPr="00FE20E0" w:rsidRDefault="00FE20E0" w:rsidP="00FE20E0">
      <w:pPr>
        <w:autoSpaceDE w:val="0"/>
        <w:autoSpaceDN w:val="0"/>
        <w:adjustRightInd w:val="0"/>
        <w:spacing w:after="0" w:line="240" w:lineRule="auto"/>
        <w:jc w:val="both"/>
        <w:rPr>
          <w:rFonts w:ascii="Times New Roman" w:hAnsi="Times New Roman" w:cs="Times New Roman"/>
          <w:bCs/>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w:t>
      </w:r>
      <w:proofErr w:type="spellStart"/>
      <w:r w:rsidRPr="00FE20E0">
        <w:rPr>
          <w:rFonts w:ascii="Times New Roman" w:hAnsi="Times New Roman" w:cs="Times New Roman"/>
          <w:bCs/>
          <w:sz w:val="20"/>
          <w:szCs w:val="20"/>
        </w:rPr>
        <w:t>Lauge</w:t>
      </w:r>
      <w:proofErr w:type="spellEnd"/>
      <w:r w:rsidRPr="00FE20E0">
        <w:rPr>
          <w:rFonts w:ascii="Times New Roman" w:hAnsi="Times New Roman" w:cs="Times New Roman"/>
          <w:bCs/>
          <w:sz w:val="20"/>
          <w:szCs w:val="20"/>
        </w:rPr>
        <w:t xml:space="preserve"> </w:t>
      </w:r>
      <w:proofErr w:type="spellStart"/>
      <w:r w:rsidRPr="00FE20E0">
        <w:rPr>
          <w:rFonts w:ascii="Times New Roman" w:hAnsi="Times New Roman" w:cs="Times New Roman"/>
          <w:bCs/>
          <w:sz w:val="20"/>
          <w:szCs w:val="20"/>
        </w:rPr>
        <w:t>Poulsen</w:t>
      </w:r>
      <w:proofErr w:type="spellEnd"/>
      <w:r w:rsidRPr="00FE20E0">
        <w:rPr>
          <w:rFonts w:ascii="Times New Roman" w:hAnsi="Times New Roman" w:cs="Times New Roman"/>
          <w:bCs/>
          <w:sz w:val="20"/>
          <w:szCs w:val="20"/>
        </w:rPr>
        <w:t xml:space="preserve">, Jonathan </w:t>
      </w:r>
      <w:proofErr w:type="spellStart"/>
      <w:r w:rsidRPr="00FE20E0">
        <w:rPr>
          <w:rFonts w:ascii="Times New Roman" w:hAnsi="Times New Roman" w:cs="Times New Roman"/>
          <w:bCs/>
          <w:sz w:val="20"/>
          <w:szCs w:val="20"/>
        </w:rPr>
        <w:t>Bonnitcha</w:t>
      </w:r>
      <w:proofErr w:type="spellEnd"/>
      <w:r w:rsidRPr="00FE20E0">
        <w:rPr>
          <w:rFonts w:ascii="Times New Roman" w:hAnsi="Times New Roman" w:cs="Times New Roman"/>
          <w:bCs/>
          <w:sz w:val="20"/>
          <w:szCs w:val="20"/>
        </w:rPr>
        <w:t xml:space="preserve"> and Jason </w:t>
      </w:r>
      <w:proofErr w:type="spellStart"/>
      <w:r w:rsidRPr="00FE20E0">
        <w:rPr>
          <w:rFonts w:ascii="Times New Roman" w:hAnsi="Times New Roman" w:cs="Times New Roman"/>
          <w:bCs/>
          <w:sz w:val="20"/>
          <w:szCs w:val="20"/>
        </w:rPr>
        <w:t>Yackee</w:t>
      </w:r>
      <w:proofErr w:type="spellEnd"/>
    </w:p>
    <w:p w14:paraId="40A6F5E9" w14:textId="0C99E2CA" w:rsidR="00FE20E0" w:rsidRPr="00FE20E0" w:rsidRDefault="00FE20E0" w:rsidP="00FE20E0">
      <w:pPr>
        <w:autoSpaceDE w:val="0"/>
        <w:autoSpaceDN w:val="0"/>
        <w:adjustRightInd w:val="0"/>
        <w:spacing w:after="0" w:line="240" w:lineRule="auto"/>
        <w:jc w:val="both"/>
        <w:rPr>
          <w:rFonts w:ascii="Times New Roman" w:hAnsi="Times New Roman" w:cs="Times New Roman"/>
          <w:bCs/>
          <w:sz w:val="20"/>
          <w:szCs w:val="20"/>
        </w:rPr>
      </w:pPr>
      <w:r w:rsidRPr="00FE20E0">
        <w:rPr>
          <w:rFonts w:ascii="Times New Roman" w:hAnsi="Times New Roman" w:cs="Times New Roman"/>
          <w:bCs/>
          <w:sz w:val="20"/>
          <w:szCs w:val="20"/>
        </w:rPr>
        <w:t>Transatlantic Investment Treaty Protection, Paper No. 3 in the CEPS-CTR Project on “TTIP in the Balance’’</w:t>
      </w:r>
    </w:p>
    <w:p w14:paraId="1B16A564" w14:textId="0A81835A" w:rsidR="00FE20E0" w:rsidRPr="00FE20E0" w:rsidRDefault="00FE20E0" w:rsidP="00FE20E0">
      <w:pPr>
        <w:pStyle w:val="FootnoteText"/>
        <w:contextualSpacing/>
        <w:jc w:val="both"/>
        <w:rPr>
          <w:rFonts w:ascii="Times New Roman" w:hAnsi="Times New Roman" w:cs="Times New Roman"/>
        </w:rPr>
      </w:pPr>
      <w:r w:rsidRPr="00FE20E0">
        <w:rPr>
          <w:rFonts w:ascii="Times New Roman" w:hAnsi="Times New Roman" w:cs="Times New Roman"/>
          <w:bCs/>
        </w:rPr>
        <w:t xml:space="preserve">and CEPS Special Report No. 102 / March 2015, </w:t>
      </w:r>
      <w:r w:rsidRPr="00FE20E0">
        <w:rPr>
          <w:rFonts w:ascii="Times New Roman" w:hAnsi="Times New Roman" w:cs="Times New Roman"/>
        </w:rPr>
        <w:t>p 28, available &lt;https://www.ceps.eu/system/files/SR102_ISDS.pdf&gt; accessed 1.04.2017.</w:t>
      </w:r>
    </w:p>
  </w:footnote>
  <w:footnote w:id="48">
    <w:p w14:paraId="0EE63809" w14:textId="299D3743"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The Commission consistently sought to eliminate any possibilities of the investment treaties that still remain in force being deployed in lieu of EU law.</w:t>
      </w:r>
    </w:p>
  </w:footnote>
  <w:footnote w:id="49">
    <w:p w14:paraId="615983B3" w14:textId="7E5E25AD" w:rsidR="00FE20E0" w:rsidRPr="00FE20E0" w:rsidRDefault="00FE20E0" w:rsidP="00FE20E0">
      <w:pPr>
        <w:autoSpaceDE w:val="0"/>
        <w:autoSpaceDN w:val="0"/>
        <w:adjustRightInd w:val="0"/>
        <w:spacing w:after="0" w:line="240" w:lineRule="auto"/>
        <w:contextualSpacing/>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See J </w:t>
      </w:r>
      <w:proofErr w:type="spellStart"/>
      <w:r w:rsidRPr="00FE20E0">
        <w:rPr>
          <w:rFonts w:ascii="Times New Roman" w:hAnsi="Times New Roman" w:cs="Times New Roman"/>
          <w:sz w:val="20"/>
          <w:szCs w:val="20"/>
        </w:rPr>
        <w:t>Kleinheisterkamp</w:t>
      </w:r>
      <w:proofErr w:type="spellEnd"/>
      <w:r w:rsidRPr="00FE20E0">
        <w:rPr>
          <w:rFonts w:ascii="Times New Roman" w:hAnsi="Times New Roman" w:cs="Times New Roman"/>
          <w:sz w:val="20"/>
          <w:szCs w:val="20"/>
        </w:rPr>
        <w:t xml:space="preserve">, ‘Investment Treaty Law and the Fear for Sovereignty: Transnational Challenges and Solutions’ </w:t>
      </w:r>
      <w:r w:rsidRPr="00FE20E0">
        <w:rPr>
          <w:rFonts w:ascii="Times New Roman" w:hAnsi="Times New Roman" w:cs="Times New Roman"/>
          <w:bCs/>
          <w:sz w:val="20"/>
          <w:szCs w:val="20"/>
        </w:rPr>
        <w:t xml:space="preserve">(2015) 78(5) Modern Law Review 793; also </w:t>
      </w:r>
      <w:r w:rsidRPr="00FE20E0">
        <w:rPr>
          <w:rFonts w:ascii="Times New Roman" w:hAnsi="Times New Roman" w:cs="Times New Roman"/>
          <w:sz w:val="20"/>
          <w:szCs w:val="20"/>
        </w:rPr>
        <w:t xml:space="preserve">N </w:t>
      </w:r>
      <w:proofErr w:type="spellStart"/>
      <w:r w:rsidRPr="00FE20E0">
        <w:rPr>
          <w:rFonts w:ascii="Times New Roman" w:hAnsi="Times New Roman" w:cs="Times New Roman"/>
          <w:sz w:val="20"/>
          <w:szCs w:val="20"/>
        </w:rPr>
        <w:t>Bernasconi-Osterwalder</w:t>
      </w:r>
      <w:proofErr w:type="spellEnd"/>
      <w:r w:rsidRPr="00FE20E0">
        <w:rPr>
          <w:rFonts w:ascii="Times New Roman" w:hAnsi="Times New Roman" w:cs="Times New Roman"/>
          <w:sz w:val="20"/>
          <w:szCs w:val="20"/>
        </w:rPr>
        <w:t xml:space="preserve"> Martin Dietrich </w:t>
      </w:r>
      <w:proofErr w:type="spellStart"/>
      <w:r w:rsidRPr="00FE20E0">
        <w:rPr>
          <w:rFonts w:ascii="Times New Roman" w:hAnsi="Times New Roman" w:cs="Times New Roman"/>
          <w:sz w:val="20"/>
          <w:szCs w:val="20"/>
        </w:rPr>
        <w:t>Brauch</w:t>
      </w:r>
      <w:proofErr w:type="spellEnd"/>
      <w:r w:rsidRPr="00FE20E0">
        <w:rPr>
          <w:rFonts w:ascii="Times New Roman" w:hAnsi="Times New Roman" w:cs="Times New Roman"/>
          <w:sz w:val="20"/>
          <w:szCs w:val="20"/>
        </w:rPr>
        <w:t xml:space="preserve">, ‘The State of Play in </w:t>
      </w:r>
      <w:proofErr w:type="spellStart"/>
      <w:r w:rsidRPr="00FE20E0">
        <w:rPr>
          <w:rFonts w:ascii="Times New Roman" w:hAnsi="Times New Roman" w:cs="Times New Roman"/>
          <w:sz w:val="20"/>
          <w:szCs w:val="20"/>
        </w:rPr>
        <w:t>Vattenfall</w:t>
      </w:r>
      <w:proofErr w:type="spellEnd"/>
      <w:r w:rsidRPr="00FE20E0">
        <w:rPr>
          <w:rFonts w:ascii="Times New Roman" w:hAnsi="Times New Roman" w:cs="Times New Roman"/>
          <w:sz w:val="20"/>
          <w:szCs w:val="20"/>
        </w:rPr>
        <w:t xml:space="preserve"> v. Germany II: Leaving the German public in the dark’, available at &lt;&lt;http://www.iisd.org/sites/default/files/publications/state-of-play-vattenfall-vs-germany-II-leaving-german-public-dark-en.pdf&gt;&gt;.</w:t>
      </w:r>
    </w:p>
  </w:footnote>
  <w:footnote w:id="50">
    <w:p w14:paraId="421E5566" w14:textId="42D19B3E"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e.g. B Choudhury, ‘Recapturing Public Power: Is Investment Arbitration’s Engagement of the Public Interest Contributing to the Democratic Deficit?’ (2008) 41 </w:t>
      </w:r>
      <w:proofErr w:type="spellStart"/>
      <w:r w:rsidRPr="00FE20E0">
        <w:rPr>
          <w:rFonts w:ascii="Times New Roman" w:hAnsi="Times New Roman" w:cs="Times New Roman"/>
          <w:i/>
        </w:rPr>
        <w:t>Vand</w:t>
      </w:r>
      <w:proofErr w:type="spellEnd"/>
      <w:r w:rsidRPr="00FE20E0">
        <w:rPr>
          <w:rFonts w:ascii="Times New Roman" w:hAnsi="Times New Roman" w:cs="Times New Roman"/>
          <w:i/>
        </w:rPr>
        <w:t xml:space="preserve"> J </w:t>
      </w:r>
      <w:proofErr w:type="spellStart"/>
      <w:r w:rsidRPr="00FE20E0">
        <w:rPr>
          <w:rFonts w:ascii="Times New Roman" w:hAnsi="Times New Roman" w:cs="Times New Roman"/>
          <w:i/>
        </w:rPr>
        <w:t>Transnatl</w:t>
      </w:r>
      <w:proofErr w:type="spellEnd"/>
      <w:r w:rsidRPr="00FE20E0">
        <w:rPr>
          <w:rFonts w:ascii="Times New Roman" w:hAnsi="Times New Roman" w:cs="Times New Roman"/>
        </w:rPr>
        <w:t xml:space="preserve"> L 775, also </w:t>
      </w:r>
      <w:r w:rsidRPr="00FE20E0">
        <w:rPr>
          <w:rFonts w:ascii="Times New Roman" w:hAnsi="Times New Roman" w:cs="Times New Roman"/>
          <w:lang w:val="en-US"/>
        </w:rPr>
        <w:t xml:space="preserve">G Sampliner, ‘Arbitration of Expropriation cases Under U.S. Investment Treaties—A Threat to Democracy or the Dog that Didn’t Bark?’(2003)18 </w:t>
      </w:r>
      <w:r w:rsidRPr="00FE20E0">
        <w:rPr>
          <w:rFonts w:ascii="Times New Roman" w:hAnsi="Times New Roman" w:cs="Times New Roman"/>
          <w:i/>
          <w:lang w:val="en-US"/>
        </w:rPr>
        <w:t>ICSID Rev-FILJ</w:t>
      </w:r>
      <w:r w:rsidRPr="00FE20E0">
        <w:rPr>
          <w:rFonts w:ascii="Times New Roman" w:hAnsi="Times New Roman" w:cs="Times New Roman"/>
          <w:lang w:val="en-US"/>
        </w:rPr>
        <w:t xml:space="preserve"> 1.</w:t>
      </w:r>
    </w:p>
  </w:footnote>
  <w:footnote w:id="51">
    <w:p w14:paraId="785CA1C1" w14:textId="0E04B846"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in particular Article 13 (1) (c) of the Energy Charter Treaty, signed 17 December 1994, entered into force 16 April 1998) 2080 UNTS 100.</w:t>
      </w:r>
    </w:p>
  </w:footnote>
  <w:footnote w:id="52">
    <w:p w14:paraId="2B559A3D" w14:textId="13208E07"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Poulsen, above n 3, p 68.</w:t>
      </w:r>
    </w:p>
  </w:footnote>
  <w:footnote w:id="53">
    <w:p w14:paraId="3614E671" w14:textId="023DAA15"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ibid.</w:t>
      </w:r>
    </w:p>
  </w:footnote>
  <w:footnote w:id="54">
    <w:p w14:paraId="58759FE5" w14:textId="4A945558"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e.g. </w:t>
      </w:r>
      <w:proofErr w:type="spellStart"/>
      <w:r w:rsidRPr="00FE20E0">
        <w:rPr>
          <w:rFonts w:ascii="Times New Roman" w:hAnsi="Times New Roman" w:cs="Times New Roman"/>
        </w:rPr>
        <w:t>Shawcross</w:t>
      </w:r>
      <w:proofErr w:type="spellEnd"/>
      <w:r w:rsidRPr="00FE20E0">
        <w:rPr>
          <w:rFonts w:ascii="Times New Roman" w:hAnsi="Times New Roman" w:cs="Times New Roman"/>
        </w:rPr>
        <w:t>, above n 6.</w:t>
      </w:r>
    </w:p>
  </w:footnote>
  <w:footnote w:id="55">
    <w:p w14:paraId="0E0AE54A" w14:textId="5EADE2BE"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w:t>
      </w:r>
      <w:proofErr w:type="spellStart"/>
      <w:r w:rsidRPr="00FE20E0">
        <w:rPr>
          <w:rFonts w:ascii="Times New Roman" w:hAnsi="Times New Roman" w:cs="Times New Roman"/>
        </w:rPr>
        <w:t>Denza</w:t>
      </w:r>
      <w:proofErr w:type="spellEnd"/>
      <w:r w:rsidRPr="00FE20E0">
        <w:rPr>
          <w:rFonts w:ascii="Times New Roman" w:hAnsi="Times New Roman" w:cs="Times New Roman"/>
        </w:rPr>
        <w:t xml:space="preserve"> and Brooks, above n 2, 911.</w:t>
      </w:r>
    </w:p>
  </w:footnote>
  <w:footnote w:id="56">
    <w:p w14:paraId="1856C7D6" w14:textId="0E863896" w:rsidR="00FE20E0" w:rsidRPr="00FE20E0" w:rsidRDefault="00FE20E0" w:rsidP="00FE20E0">
      <w:pPr>
        <w:autoSpaceDE w:val="0"/>
        <w:autoSpaceDN w:val="0"/>
        <w:adjustRightInd w:val="0"/>
        <w:spacing w:after="0" w:line="240" w:lineRule="auto"/>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Even though investment treaties were formally reciprocal, the rationale behind their creation was to protect investors from developed states investing in developing economies.</w:t>
      </w:r>
    </w:p>
  </w:footnote>
  <w:footnote w:id="57">
    <w:p w14:paraId="03331BE8" w14:textId="78FC2EC2" w:rsidR="00FE20E0" w:rsidRPr="00FE20E0" w:rsidRDefault="00FE20E0" w:rsidP="00FE20E0">
      <w:pPr>
        <w:autoSpaceDE w:val="0"/>
        <w:autoSpaceDN w:val="0"/>
        <w:adjustRightInd w:val="0"/>
        <w:spacing w:after="0" w:line="240" w:lineRule="auto"/>
        <w:jc w:val="both"/>
        <w:rPr>
          <w:rFonts w:ascii="Times New Roman" w:hAnsi="Times New Roman" w:cs="Times New Roman"/>
          <w:sz w:val="20"/>
          <w:szCs w:val="20"/>
        </w:rPr>
      </w:pPr>
      <w:r w:rsidRPr="00FE20E0">
        <w:rPr>
          <w:rStyle w:val="FootnoteReference"/>
          <w:rFonts w:ascii="Times New Roman" w:hAnsi="Times New Roman" w:cs="Times New Roman"/>
          <w:sz w:val="20"/>
          <w:szCs w:val="20"/>
        </w:rPr>
        <w:footnoteRef/>
      </w:r>
      <w:r w:rsidRPr="00FE20E0">
        <w:rPr>
          <w:rFonts w:ascii="Times New Roman" w:hAnsi="Times New Roman" w:cs="Times New Roman"/>
          <w:sz w:val="20"/>
          <w:szCs w:val="20"/>
        </w:rPr>
        <w:t xml:space="preserve"> Hansard HL Deb cols 1481–1482, cited in Calamita, NJ Calamita, ‘The British Bank Nationalizations: An International Law Perspective’ (2009) 58 </w:t>
      </w:r>
      <w:r w:rsidRPr="00FE20E0">
        <w:rPr>
          <w:rFonts w:ascii="Times New Roman" w:hAnsi="Times New Roman" w:cs="Times New Roman"/>
          <w:i/>
          <w:iCs/>
          <w:sz w:val="20"/>
          <w:szCs w:val="20"/>
        </w:rPr>
        <w:t xml:space="preserve">International &amp; Comparative Law Quarterly </w:t>
      </w:r>
      <w:r w:rsidRPr="00FE20E0">
        <w:rPr>
          <w:rFonts w:ascii="Times New Roman" w:hAnsi="Times New Roman" w:cs="Times New Roman"/>
          <w:sz w:val="20"/>
          <w:szCs w:val="20"/>
        </w:rPr>
        <w:t>58 119</w:t>
      </w:r>
      <w:r w:rsidRPr="00FE20E0">
        <w:rPr>
          <w:rFonts w:ascii="Times New Roman" w:hAnsi="Times New Roman" w:cs="Times New Roman"/>
          <w:i/>
          <w:iCs/>
          <w:sz w:val="20"/>
          <w:szCs w:val="20"/>
        </w:rPr>
        <w:t xml:space="preserve">, </w:t>
      </w:r>
      <w:r w:rsidRPr="00FE20E0">
        <w:rPr>
          <w:rFonts w:ascii="Times New Roman" w:hAnsi="Times New Roman" w:cs="Times New Roman"/>
          <w:sz w:val="20"/>
          <w:szCs w:val="20"/>
        </w:rPr>
        <w:t xml:space="preserve">1230. </w:t>
      </w:r>
    </w:p>
  </w:footnote>
  <w:footnote w:id="58">
    <w:p w14:paraId="1F272ED6" w14:textId="2DC13C5E"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e.g. </w:t>
      </w:r>
      <w:r w:rsidRPr="00FE20E0">
        <w:rPr>
          <w:rFonts w:ascii="Times New Roman" w:hAnsi="Times New Roman" w:cs="Times New Roman"/>
          <w:bCs/>
        </w:rPr>
        <w:t xml:space="preserve">KP </w:t>
      </w:r>
      <w:proofErr w:type="spellStart"/>
      <w:r w:rsidRPr="00FE20E0">
        <w:rPr>
          <w:rFonts w:ascii="Times New Roman" w:hAnsi="Times New Roman" w:cs="Times New Roman"/>
          <w:bCs/>
        </w:rPr>
        <w:t>Sauvant</w:t>
      </w:r>
      <w:proofErr w:type="spellEnd"/>
      <w:r w:rsidRPr="00FE20E0">
        <w:rPr>
          <w:rFonts w:ascii="Times New Roman" w:hAnsi="Times New Roman" w:cs="Times New Roman"/>
          <w:bCs/>
        </w:rPr>
        <w:t xml:space="preserve"> and LE Sachs (</w:t>
      </w:r>
      <w:proofErr w:type="spellStart"/>
      <w:r w:rsidRPr="00FE20E0">
        <w:rPr>
          <w:rFonts w:ascii="Times New Roman" w:hAnsi="Times New Roman" w:cs="Times New Roman"/>
          <w:bCs/>
        </w:rPr>
        <w:t>eds</w:t>
      </w:r>
      <w:proofErr w:type="spellEnd"/>
      <w:r w:rsidRPr="00FE20E0">
        <w:rPr>
          <w:rFonts w:ascii="Times New Roman" w:hAnsi="Times New Roman" w:cs="Times New Roman"/>
          <w:bCs/>
        </w:rPr>
        <w:t xml:space="preserve">) </w:t>
      </w:r>
      <w:r w:rsidRPr="00FE20E0">
        <w:rPr>
          <w:rFonts w:ascii="Times New Roman" w:hAnsi="Times New Roman" w:cs="Times New Roman"/>
        </w:rPr>
        <w:t>‘</w:t>
      </w:r>
      <w:r w:rsidRPr="00FE20E0">
        <w:rPr>
          <w:rFonts w:ascii="Times New Roman" w:hAnsi="Times New Roman" w:cs="Times New Roman"/>
          <w:bCs/>
          <w:i/>
        </w:rPr>
        <w:t>The Effect of Treaties on Foreign Direct Investment: Bilateral Investment Treaties, Double Taxation Treaties, and Investment Flows</w:t>
      </w:r>
      <w:r w:rsidRPr="00FE20E0">
        <w:rPr>
          <w:rFonts w:ascii="Times New Roman" w:hAnsi="Times New Roman" w:cs="Times New Roman"/>
          <w:bCs/>
        </w:rPr>
        <w:t xml:space="preserve">’, Oxford, OUP, 2009. </w:t>
      </w:r>
      <w:r w:rsidRPr="00FE20E0">
        <w:rPr>
          <w:rFonts w:ascii="Times New Roman" w:hAnsi="Times New Roman" w:cs="Times New Roman"/>
        </w:rPr>
        <w:t xml:space="preserve">See also J </w:t>
      </w:r>
      <w:proofErr w:type="spellStart"/>
      <w:r w:rsidRPr="00FE20E0">
        <w:rPr>
          <w:rFonts w:ascii="Times New Roman" w:hAnsi="Times New Roman" w:cs="Times New Roman"/>
        </w:rPr>
        <w:t>Yackee</w:t>
      </w:r>
      <w:proofErr w:type="spellEnd"/>
      <w:r w:rsidRPr="00FE20E0">
        <w:rPr>
          <w:rFonts w:ascii="Times New Roman" w:hAnsi="Times New Roman" w:cs="Times New Roman"/>
        </w:rPr>
        <w:t xml:space="preserve">, ‘Do Bilateral Investment Treaties Promote Foreign Direct Investment? Some Hints from Alternative Evidence’ (2010-2011) 51 </w:t>
      </w:r>
      <w:proofErr w:type="spellStart"/>
      <w:r w:rsidRPr="00FE20E0">
        <w:rPr>
          <w:rFonts w:ascii="Times New Roman" w:hAnsi="Times New Roman" w:cs="Times New Roman"/>
          <w:i/>
        </w:rPr>
        <w:t>Va</w:t>
      </w:r>
      <w:proofErr w:type="spellEnd"/>
      <w:r w:rsidRPr="00FE20E0">
        <w:rPr>
          <w:rFonts w:ascii="Times New Roman" w:hAnsi="Times New Roman" w:cs="Times New Roman"/>
          <w:i/>
        </w:rPr>
        <w:t xml:space="preserve"> J Intl L</w:t>
      </w:r>
      <w:r w:rsidRPr="00FE20E0">
        <w:rPr>
          <w:rFonts w:ascii="Times New Roman" w:hAnsi="Times New Roman" w:cs="Times New Roman"/>
        </w:rPr>
        <w:t xml:space="preserve"> 397.</w:t>
      </w:r>
    </w:p>
  </w:footnote>
  <w:footnote w:id="59">
    <w:p w14:paraId="0156734F" w14:textId="152296F1"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K </w:t>
      </w:r>
      <w:proofErr w:type="spellStart"/>
      <w:r w:rsidRPr="00FE20E0">
        <w:rPr>
          <w:rFonts w:ascii="Times New Roman" w:hAnsi="Times New Roman" w:cs="Times New Roman"/>
        </w:rPr>
        <w:t>Tienhaara</w:t>
      </w:r>
      <w:proofErr w:type="spellEnd"/>
      <w:r w:rsidRPr="00FE20E0">
        <w:rPr>
          <w:rFonts w:ascii="Times New Roman" w:hAnsi="Times New Roman" w:cs="Times New Roman"/>
        </w:rPr>
        <w:t xml:space="preserve">, </w:t>
      </w:r>
      <w:r w:rsidRPr="00FE20E0">
        <w:rPr>
          <w:rFonts w:ascii="Times New Roman" w:hAnsi="Times New Roman" w:cs="Times New Roman"/>
          <w:i/>
        </w:rPr>
        <w:t>The Expropriation of Environmental Governance: Protecting Foreign Investors at the Expense of Public Policy</w:t>
      </w:r>
      <w:r w:rsidRPr="00FE20E0">
        <w:rPr>
          <w:rFonts w:ascii="Times New Roman" w:hAnsi="Times New Roman" w:cs="Times New Roman"/>
        </w:rPr>
        <w:t>, Cambridge, Cambridge University Press, 2009, 59.</w:t>
      </w:r>
    </w:p>
  </w:footnote>
  <w:footnote w:id="60">
    <w:p w14:paraId="4FA5A8B6" w14:textId="4F7699AE"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Ibid.</w:t>
      </w:r>
    </w:p>
  </w:footnote>
  <w:footnote w:id="61">
    <w:p w14:paraId="75D021ED" w14:textId="7358CB14"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JE Stiglitz, ‘Regulating Multinational Corporations: Towards Principles of Cross- Border Legal Frameworks in a Globalized World Balancing Rights with Responsibilities’ (2008) 23 </w:t>
      </w:r>
      <w:r w:rsidRPr="00FE20E0">
        <w:rPr>
          <w:rFonts w:ascii="Times New Roman" w:hAnsi="Times New Roman" w:cs="Times New Roman"/>
          <w:i/>
        </w:rPr>
        <w:t>Am U Intl L Rev</w:t>
      </w:r>
      <w:r w:rsidRPr="00FE20E0">
        <w:rPr>
          <w:rFonts w:ascii="Times New Roman" w:hAnsi="Times New Roman" w:cs="Times New Roman"/>
        </w:rPr>
        <w:t xml:space="preserve"> 451, 455.</w:t>
      </w:r>
    </w:p>
  </w:footnote>
  <w:footnote w:id="62">
    <w:p w14:paraId="2984CF8C" w14:textId="3519D197"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C Tan, ‘The New Disciplinary Framework: Conditionality, New Aid Architecture and Global Economic Governance” in </w:t>
      </w:r>
      <w:r w:rsidRPr="00FE20E0">
        <w:rPr>
          <w:rFonts w:ascii="Times New Roman" w:hAnsi="Times New Roman" w:cs="Times New Roman"/>
          <w:bCs/>
        </w:rPr>
        <w:t xml:space="preserve">C Tan and J </w:t>
      </w:r>
      <w:proofErr w:type="spellStart"/>
      <w:r w:rsidRPr="00FE20E0">
        <w:rPr>
          <w:rFonts w:ascii="Times New Roman" w:hAnsi="Times New Roman" w:cs="Times New Roman"/>
          <w:bCs/>
        </w:rPr>
        <w:t>Faundez</w:t>
      </w:r>
      <w:proofErr w:type="spellEnd"/>
      <w:r w:rsidRPr="00FE20E0">
        <w:rPr>
          <w:rFonts w:ascii="Times New Roman" w:hAnsi="Times New Roman" w:cs="Times New Roman"/>
          <w:bCs/>
        </w:rPr>
        <w:t xml:space="preserve"> (</w:t>
      </w:r>
      <w:proofErr w:type="spellStart"/>
      <w:r w:rsidRPr="00FE20E0">
        <w:rPr>
          <w:rFonts w:ascii="Times New Roman" w:hAnsi="Times New Roman" w:cs="Times New Roman"/>
          <w:bCs/>
        </w:rPr>
        <w:t>eds</w:t>
      </w:r>
      <w:proofErr w:type="spellEnd"/>
      <w:r w:rsidRPr="00FE20E0">
        <w:rPr>
          <w:rFonts w:ascii="Times New Roman" w:hAnsi="Times New Roman" w:cs="Times New Roman"/>
          <w:bCs/>
        </w:rPr>
        <w:t xml:space="preserve">), </w:t>
      </w:r>
      <w:r w:rsidRPr="00FE20E0">
        <w:rPr>
          <w:rFonts w:ascii="Times New Roman" w:hAnsi="Times New Roman" w:cs="Times New Roman"/>
          <w:bCs/>
          <w:i/>
        </w:rPr>
        <w:t>International economic law, globalization and developing countries</w:t>
      </w:r>
      <w:r w:rsidRPr="00FE20E0">
        <w:rPr>
          <w:rFonts w:ascii="Times New Roman" w:hAnsi="Times New Roman" w:cs="Times New Roman"/>
          <w:bCs/>
        </w:rPr>
        <w:t xml:space="preserve">, </w:t>
      </w:r>
      <w:r w:rsidRPr="00FE20E0">
        <w:rPr>
          <w:rFonts w:ascii="Times New Roman" w:hAnsi="Times New Roman" w:cs="Times New Roman"/>
        </w:rPr>
        <w:t xml:space="preserve"> Cheltenham, Edward Elgar, 2010, p 122.</w:t>
      </w:r>
    </w:p>
  </w:footnote>
  <w:footnote w:id="63">
    <w:p w14:paraId="2162F196" w14:textId="3667EF4B"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w:t>
      </w:r>
      <w:r w:rsidRPr="00FE20E0">
        <w:rPr>
          <w:rFonts w:ascii="Times New Roman" w:hAnsi="Times New Roman" w:cs="Times New Roman"/>
          <w:bCs/>
        </w:rPr>
        <w:t xml:space="preserve">Statement from the new Prime Minister Theresa May, 13 July 2016, available at </w:t>
      </w:r>
      <w:hyperlink r:id="rId4" w:history="1">
        <w:r w:rsidRPr="00FE20E0">
          <w:rPr>
            <w:rStyle w:val="Hyperlink"/>
            <w:rFonts w:ascii="Times New Roman" w:hAnsi="Times New Roman" w:cs="Times New Roman"/>
            <w:color w:val="auto"/>
          </w:rPr>
          <w:t>https://www.gov.uk/government/speeches/statement-from-the-new-prime-minister-theresa-may</w:t>
        </w:r>
      </w:hyperlink>
      <w:r w:rsidRPr="00FE20E0">
        <w:rPr>
          <w:rFonts w:ascii="Times New Roman" w:hAnsi="Times New Roman" w:cs="Times New Roman"/>
        </w:rPr>
        <w:t>&gt; accessed 30.04.2017.</w:t>
      </w:r>
    </w:p>
  </w:footnote>
  <w:footnote w:id="64">
    <w:p w14:paraId="3474C3C1" w14:textId="62EE95AC"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C Harlow, ‘Global Administrative Law: The Quest for Principles and Values’ (2006) 17 </w:t>
      </w:r>
      <w:r w:rsidRPr="00FE20E0">
        <w:rPr>
          <w:rFonts w:ascii="Times New Roman" w:hAnsi="Times New Roman" w:cs="Times New Roman"/>
          <w:i/>
        </w:rPr>
        <w:t>EJIL</w:t>
      </w:r>
      <w:r w:rsidRPr="00FE20E0">
        <w:rPr>
          <w:rFonts w:ascii="Times New Roman" w:hAnsi="Times New Roman" w:cs="Times New Roman"/>
        </w:rPr>
        <w:t xml:space="preserve"> 187, 193.</w:t>
      </w:r>
    </w:p>
  </w:footnote>
  <w:footnote w:id="65">
    <w:p w14:paraId="7E86A32B" w14:textId="15479677"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P </w:t>
      </w:r>
      <w:proofErr w:type="spellStart"/>
      <w:r w:rsidRPr="00FE20E0">
        <w:rPr>
          <w:rFonts w:ascii="Times New Roman" w:hAnsi="Times New Roman" w:cs="Times New Roman"/>
        </w:rPr>
        <w:t>Cerny</w:t>
      </w:r>
      <w:proofErr w:type="spellEnd"/>
      <w:r w:rsidRPr="00FE20E0">
        <w:rPr>
          <w:rFonts w:ascii="Times New Roman" w:hAnsi="Times New Roman" w:cs="Times New Roman"/>
        </w:rPr>
        <w:t xml:space="preserve">, ‘Globalization and the End of Democracy’ (1999) 36 </w:t>
      </w:r>
      <w:r w:rsidRPr="00FE20E0">
        <w:rPr>
          <w:rFonts w:ascii="Times New Roman" w:hAnsi="Times New Roman" w:cs="Times New Roman"/>
          <w:i/>
        </w:rPr>
        <w:t>European Journal of Political Research</w:t>
      </w:r>
      <w:r w:rsidRPr="00FE20E0">
        <w:rPr>
          <w:rFonts w:ascii="Times New Roman" w:hAnsi="Times New Roman" w:cs="Times New Roman"/>
        </w:rPr>
        <w:t xml:space="preserve"> 1, 6.</w:t>
      </w:r>
    </w:p>
  </w:footnote>
  <w:footnote w:id="66">
    <w:p w14:paraId="118B2C55" w14:textId="177F8EE5"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generally D Schneiderman, </w:t>
      </w:r>
      <w:r w:rsidRPr="00FE20E0">
        <w:rPr>
          <w:rFonts w:ascii="Times New Roman" w:hAnsi="Times New Roman" w:cs="Times New Roman"/>
          <w:i/>
        </w:rPr>
        <w:t>Constitutionalizing Economic Globalization: Investment Rules and Democracy’s Promise</w:t>
      </w:r>
      <w:r w:rsidRPr="00FE20E0">
        <w:rPr>
          <w:rFonts w:ascii="Times New Roman" w:hAnsi="Times New Roman" w:cs="Times New Roman"/>
        </w:rPr>
        <w:t>, Cambridge, Cambridge University Press, 2008.</w:t>
      </w:r>
    </w:p>
  </w:footnote>
  <w:footnote w:id="67">
    <w:p w14:paraId="4A79C23B" w14:textId="27401088"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Art 11(4) TEU. </w:t>
      </w:r>
    </w:p>
  </w:footnote>
  <w:footnote w:id="68">
    <w:p w14:paraId="2E464174" w14:textId="5FC6E8DA"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For an overview, see A </w:t>
      </w:r>
      <w:proofErr w:type="spellStart"/>
      <w:r w:rsidRPr="00FE20E0">
        <w:rPr>
          <w:rFonts w:ascii="Times New Roman" w:hAnsi="Times New Roman" w:cs="Times New Roman"/>
        </w:rPr>
        <w:t>Warleigh</w:t>
      </w:r>
      <w:proofErr w:type="spellEnd"/>
      <w:r w:rsidRPr="00FE20E0">
        <w:rPr>
          <w:rFonts w:ascii="Times New Roman" w:hAnsi="Times New Roman" w:cs="Times New Roman"/>
        </w:rPr>
        <w:t xml:space="preserve">, ‘On the Path to Legitimacy? The EU Citizens Initiative Right from a Critical </w:t>
      </w:r>
      <w:proofErr w:type="spellStart"/>
      <w:r w:rsidRPr="00FE20E0">
        <w:rPr>
          <w:rFonts w:ascii="Times New Roman" w:hAnsi="Times New Roman" w:cs="Times New Roman"/>
        </w:rPr>
        <w:t>Deliberativist</w:t>
      </w:r>
      <w:proofErr w:type="spellEnd"/>
      <w:r w:rsidRPr="00FE20E0">
        <w:rPr>
          <w:rFonts w:ascii="Times New Roman" w:hAnsi="Times New Roman" w:cs="Times New Roman"/>
        </w:rPr>
        <w:t xml:space="preserve"> Perspective’ in C </w:t>
      </w:r>
      <w:proofErr w:type="spellStart"/>
      <w:r w:rsidRPr="00FE20E0">
        <w:rPr>
          <w:rFonts w:ascii="Times New Roman" w:hAnsi="Times New Roman" w:cs="Times New Roman"/>
        </w:rPr>
        <w:t>Ruzza</w:t>
      </w:r>
      <w:proofErr w:type="spellEnd"/>
      <w:r w:rsidRPr="00FE20E0">
        <w:rPr>
          <w:rFonts w:ascii="Times New Roman" w:hAnsi="Times New Roman" w:cs="Times New Roman"/>
        </w:rPr>
        <w:t xml:space="preserve"> and V Della Sala (</w:t>
      </w:r>
      <w:proofErr w:type="spellStart"/>
      <w:r w:rsidRPr="00FE20E0">
        <w:rPr>
          <w:rFonts w:ascii="Times New Roman" w:hAnsi="Times New Roman" w:cs="Times New Roman"/>
        </w:rPr>
        <w:t>eds</w:t>
      </w:r>
      <w:proofErr w:type="spellEnd"/>
      <w:r w:rsidRPr="00FE20E0">
        <w:rPr>
          <w:rFonts w:ascii="Times New Roman" w:hAnsi="Times New Roman" w:cs="Times New Roman"/>
        </w:rPr>
        <w:t xml:space="preserve">), </w:t>
      </w:r>
      <w:r w:rsidRPr="00FE20E0">
        <w:rPr>
          <w:rFonts w:ascii="Times New Roman" w:hAnsi="Times New Roman" w:cs="Times New Roman"/>
          <w:i/>
          <w:iCs/>
        </w:rPr>
        <w:t>Governance and civil society in the European Union</w:t>
      </w:r>
      <w:r w:rsidRPr="00FE20E0">
        <w:rPr>
          <w:rFonts w:ascii="Times New Roman" w:hAnsi="Times New Roman" w:cs="Times New Roman"/>
        </w:rPr>
        <w:t xml:space="preserve">, Manchester, Manchester University Press 2007, p 55; M Dougan, ‘What are we to make of the Citizens' Initiative?’ (2011) </w:t>
      </w:r>
      <w:proofErr w:type="spellStart"/>
      <w:r w:rsidRPr="00FE20E0">
        <w:rPr>
          <w:rFonts w:ascii="Times New Roman" w:hAnsi="Times New Roman" w:cs="Times New Roman"/>
          <w:i/>
        </w:rPr>
        <w:t>CMLRev</w:t>
      </w:r>
      <w:proofErr w:type="spellEnd"/>
      <w:r w:rsidRPr="00FE20E0">
        <w:rPr>
          <w:rFonts w:ascii="Times New Roman" w:hAnsi="Times New Roman" w:cs="Times New Roman"/>
        </w:rPr>
        <w:t xml:space="preserve"> 1807.</w:t>
      </w:r>
    </w:p>
  </w:footnote>
  <w:footnote w:id="69">
    <w:p w14:paraId="01D9F88B" w14:textId="77777777"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http://ec.europa.eu/citizens-initiative/public/initiatives/non-registered/details/2041</w:t>
      </w:r>
    </w:p>
  </w:footnote>
  <w:footnote w:id="70">
    <w:p w14:paraId="222096D5" w14:textId="77777777"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w:t>
      </w:r>
      <w:hyperlink r:id="rId5" w:history="1">
        <w:r w:rsidRPr="00FE20E0">
          <w:rPr>
            <w:rStyle w:val="Hyperlink"/>
            <w:rFonts w:ascii="Times New Roman" w:hAnsi="Times New Roman" w:cs="Times New Roman"/>
            <w:color w:val="auto"/>
          </w:rPr>
          <w:t>http://ec.europa.eu/citizens-initiative/public/documents/2552</w:t>
        </w:r>
      </w:hyperlink>
      <w:r w:rsidRPr="00FE20E0">
        <w:rPr>
          <w:rFonts w:ascii="Times New Roman" w:hAnsi="Times New Roman" w:cs="Times New Roman"/>
        </w:rPr>
        <w:t xml:space="preserve"> </w:t>
      </w:r>
    </w:p>
  </w:footnote>
  <w:footnote w:id="71">
    <w:p w14:paraId="718F17D5" w14:textId="7D150AD9"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e.g. the statement by the Commissioner Cecilia </w:t>
      </w:r>
      <w:proofErr w:type="spellStart"/>
      <w:r w:rsidRPr="00FE20E0">
        <w:rPr>
          <w:rFonts w:ascii="Times New Roman" w:hAnsi="Times New Roman" w:cs="Times New Roman"/>
        </w:rPr>
        <w:t>Malmstrom</w:t>
      </w:r>
      <w:proofErr w:type="spellEnd"/>
      <w:r w:rsidRPr="00FE20E0">
        <w:rPr>
          <w:rFonts w:ascii="Times New Roman" w:hAnsi="Times New Roman" w:cs="Times New Roman"/>
        </w:rPr>
        <w:t>, available at http://ec.europa.eu/commission/2014-2019/malmstrom/blog/investments-ttip-and-beyond-towards-international-investment-court_en.</w:t>
      </w:r>
    </w:p>
  </w:footnote>
  <w:footnote w:id="72">
    <w:p w14:paraId="19922C82" w14:textId="77777777"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w:t>
      </w:r>
      <w:proofErr w:type="spellStart"/>
      <w:r w:rsidRPr="00FE20E0">
        <w:rPr>
          <w:rFonts w:ascii="Times New Roman" w:hAnsi="Times New Roman" w:cs="Times New Roman"/>
        </w:rPr>
        <w:t>eg</w:t>
      </w:r>
      <w:proofErr w:type="spellEnd"/>
      <w:r w:rsidRPr="00FE20E0">
        <w:rPr>
          <w:rFonts w:ascii="Times New Roman" w:hAnsi="Times New Roman" w:cs="Times New Roman"/>
        </w:rPr>
        <w:t xml:space="preserve"> ‘</w:t>
      </w:r>
      <w:r w:rsidRPr="00FE20E0">
        <w:rPr>
          <w:rFonts w:ascii="Times New Roman" w:hAnsi="Times New Roman" w:cs="Times New Roman"/>
          <w:bCs/>
        </w:rPr>
        <w:t xml:space="preserve">European Commission pushes for full transparency for ISDS in current investment treaties’, available at </w:t>
      </w:r>
      <w:r w:rsidRPr="00FE20E0">
        <w:rPr>
          <w:rFonts w:ascii="Times New Roman" w:hAnsi="Times New Roman" w:cs="Times New Roman"/>
        </w:rPr>
        <w:t>http://europa.eu/rapid/press-release_IP-15-3881_en.htm.</w:t>
      </w:r>
    </w:p>
  </w:footnote>
  <w:footnote w:id="73">
    <w:p w14:paraId="17C240E2" w14:textId="2E06129F"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w:t>
      </w:r>
      <w:r w:rsidRPr="00FE20E0">
        <w:rPr>
          <w:rFonts w:ascii="Times New Roman" w:hAnsi="Times New Roman" w:cs="Times New Roman"/>
          <w:spacing w:val="12"/>
          <w:shd w:val="clear" w:color="auto" w:fill="FFFFFF"/>
        </w:rPr>
        <w:t>Malmström,</w:t>
      </w:r>
      <w:r w:rsidRPr="00FE20E0">
        <w:rPr>
          <w:rFonts w:ascii="Times New Roman" w:hAnsi="Times New Roman" w:cs="Times New Roman"/>
        </w:rPr>
        <w:t xml:space="preserve"> above n 71.</w:t>
      </w:r>
    </w:p>
  </w:footnote>
  <w:footnote w:id="74">
    <w:p w14:paraId="224CDB6C" w14:textId="29A43B32"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To the extent that US NGOs called for similar opportunities to be created for public engagement with investment and trade negotiations in the US. See e.g. a letter to </w:t>
      </w:r>
      <w:proofErr w:type="spellStart"/>
      <w:r w:rsidRPr="00FE20E0">
        <w:rPr>
          <w:rFonts w:ascii="Times New Roman" w:hAnsi="Times New Roman" w:cs="Times New Roman"/>
        </w:rPr>
        <w:t>Ambassdor</w:t>
      </w:r>
      <w:proofErr w:type="spellEnd"/>
      <w:r w:rsidRPr="00FE20E0">
        <w:rPr>
          <w:rFonts w:ascii="Times New Roman" w:hAnsi="Times New Roman" w:cs="Times New Roman"/>
        </w:rPr>
        <w:t xml:space="preserve"> </w:t>
      </w:r>
      <w:proofErr w:type="spellStart"/>
      <w:r w:rsidRPr="00FE20E0">
        <w:rPr>
          <w:rFonts w:ascii="Times New Roman" w:hAnsi="Times New Roman" w:cs="Times New Roman"/>
        </w:rPr>
        <w:t>Froman</w:t>
      </w:r>
      <w:proofErr w:type="spellEnd"/>
      <w:r w:rsidRPr="00FE20E0">
        <w:rPr>
          <w:rFonts w:ascii="Times New Roman" w:hAnsi="Times New Roman" w:cs="Times New Roman"/>
        </w:rPr>
        <w:t xml:space="preserve"> &lt; www.etuc.org/sites/www.etuc.org/files/press-release/files/letter_to_amb._froman_requesting_public_consultation_on_investment_2014.pdf&gt;..</w:t>
      </w:r>
    </w:p>
  </w:footnote>
  <w:footnote w:id="75">
    <w:p w14:paraId="798A7454" w14:textId="61AEA02C"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See PT </w:t>
      </w:r>
      <w:proofErr w:type="spellStart"/>
      <w:r w:rsidRPr="00FE20E0">
        <w:rPr>
          <w:rFonts w:ascii="Times New Roman" w:hAnsi="Times New Roman" w:cs="Times New Roman"/>
        </w:rPr>
        <w:t>Muchlinski</w:t>
      </w:r>
      <w:proofErr w:type="spellEnd"/>
      <w:r w:rsidRPr="00FE20E0">
        <w:rPr>
          <w:rFonts w:ascii="Times New Roman" w:hAnsi="Times New Roman" w:cs="Times New Roman"/>
        </w:rPr>
        <w:t>, ‘</w:t>
      </w:r>
      <w:r w:rsidRPr="00FE20E0">
        <w:rPr>
          <w:rFonts w:ascii="Times New Roman" w:hAnsi="Times New Roman" w:cs="Times New Roman"/>
          <w:bCs/>
        </w:rPr>
        <w:t xml:space="preserve">The Rise and Fall of the Multilateral Agreement on Investment: Where Now?’ (2000) </w:t>
      </w:r>
      <w:r w:rsidRPr="00FE20E0">
        <w:rPr>
          <w:rFonts w:ascii="Times New Roman" w:hAnsi="Times New Roman" w:cs="Times New Roman"/>
        </w:rPr>
        <w:t xml:space="preserve">34 </w:t>
      </w:r>
      <w:r w:rsidRPr="00FE20E0">
        <w:rPr>
          <w:rFonts w:ascii="Times New Roman" w:hAnsi="Times New Roman" w:cs="Times New Roman"/>
          <w:i/>
        </w:rPr>
        <w:t>Int'l L</w:t>
      </w:r>
      <w:r w:rsidRPr="00FE20E0">
        <w:rPr>
          <w:rFonts w:ascii="Times New Roman" w:hAnsi="Times New Roman" w:cs="Times New Roman"/>
        </w:rPr>
        <w:t xml:space="preserve"> 1033.</w:t>
      </w:r>
    </w:p>
  </w:footnote>
  <w:footnote w:id="76">
    <w:p w14:paraId="4F9DC043" w14:textId="3EEC4882"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ibid 1040</w:t>
      </w:r>
    </w:p>
  </w:footnote>
  <w:footnote w:id="77">
    <w:p w14:paraId="0DD9BA59" w14:textId="28FA0439" w:rsidR="00FE20E0" w:rsidRPr="00FE20E0" w:rsidRDefault="00FE20E0" w:rsidP="00FE20E0">
      <w:pPr>
        <w:pStyle w:val="Default"/>
        <w:contextualSpacing/>
        <w:jc w:val="both"/>
        <w:rPr>
          <w:color w:val="auto"/>
          <w:sz w:val="20"/>
          <w:szCs w:val="20"/>
        </w:rPr>
      </w:pPr>
      <w:r w:rsidRPr="00FE20E0">
        <w:rPr>
          <w:rStyle w:val="FootnoteReference"/>
          <w:color w:val="auto"/>
          <w:sz w:val="20"/>
          <w:szCs w:val="20"/>
        </w:rPr>
        <w:footnoteRef/>
      </w:r>
      <w:r w:rsidRPr="00FE20E0">
        <w:rPr>
          <w:color w:val="auto"/>
          <w:sz w:val="20"/>
          <w:szCs w:val="20"/>
        </w:rPr>
        <w:t xml:space="preserve"> K </w:t>
      </w:r>
      <w:proofErr w:type="spellStart"/>
      <w:r w:rsidRPr="00FE20E0">
        <w:rPr>
          <w:color w:val="auto"/>
          <w:sz w:val="20"/>
          <w:szCs w:val="20"/>
        </w:rPr>
        <w:t>Nowrot</w:t>
      </w:r>
      <w:proofErr w:type="spellEnd"/>
      <w:r w:rsidRPr="00FE20E0">
        <w:rPr>
          <w:color w:val="auto"/>
          <w:sz w:val="20"/>
          <w:szCs w:val="20"/>
        </w:rPr>
        <w:t>, ‘Legal Consequences of Globalization: The Status of Non-Governmental Organizations Under</w:t>
      </w:r>
      <w:r>
        <w:rPr>
          <w:color w:val="auto"/>
          <w:sz w:val="20"/>
          <w:szCs w:val="20"/>
        </w:rPr>
        <w:t xml:space="preserve"> International Law’ (1999) 6 </w:t>
      </w:r>
      <w:proofErr w:type="spellStart"/>
      <w:r w:rsidRPr="00FE20E0">
        <w:rPr>
          <w:i/>
          <w:color w:val="auto"/>
          <w:sz w:val="20"/>
          <w:szCs w:val="20"/>
        </w:rPr>
        <w:t>Ind</w:t>
      </w:r>
      <w:proofErr w:type="spellEnd"/>
      <w:r w:rsidRPr="00FE20E0">
        <w:rPr>
          <w:i/>
          <w:color w:val="auto"/>
          <w:sz w:val="20"/>
          <w:szCs w:val="20"/>
        </w:rPr>
        <w:t xml:space="preserve"> Law Journal</w:t>
      </w:r>
      <w:r w:rsidRPr="00FE20E0">
        <w:rPr>
          <w:color w:val="auto"/>
          <w:sz w:val="20"/>
          <w:szCs w:val="20"/>
        </w:rPr>
        <w:t xml:space="preserve"> 579, 586; see also Choudhury, above n 50.  </w:t>
      </w:r>
    </w:p>
  </w:footnote>
  <w:footnote w:id="78">
    <w:p w14:paraId="15EC08B0" w14:textId="42935BAC"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R </w:t>
      </w:r>
      <w:proofErr w:type="spellStart"/>
      <w:r w:rsidRPr="00FE20E0">
        <w:rPr>
          <w:rFonts w:ascii="Times New Roman" w:hAnsi="Times New Roman" w:cs="Times New Roman"/>
        </w:rPr>
        <w:t>Cotterrel</w:t>
      </w:r>
      <w:proofErr w:type="spellEnd"/>
      <w:r w:rsidRPr="00FE20E0">
        <w:rPr>
          <w:rFonts w:ascii="Times New Roman" w:hAnsi="Times New Roman" w:cs="Times New Roman"/>
        </w:rPr>
        <w:t>, ‘</w:t>
      </w:r>
      <w:r w:rsidRPr="00FE20E0">
        <w:rPr>
          <w:rFonts w:ascii="Times New Roman" w:hAnsi="Times New Roman" w:cs="Times New Roman"/>
          <w:shd w:val="clear" w:color="auto" w:fill="FFFFFF"/>
        </w:rPr>
        <w:t>Transnational Networks of Community and International Economic Law</w:t>
      </w:r>
      <w:r w:rsidRPr="00FE20E0">
        <w:rPr>
          <w:rFonts w:ascii="Times New Roman" w:hAnsi="Times New Roman" w:cs="Times New Roman"/>
        </w:rPr>
        <w:t>’ in A Perry-</w:t>
      </w:r>
      <w:proofErr w:type="spellStart"/>
      <w:r w:rsidRPr="00FE20E0">
        <w:rPr>
          <w:rFonts w:ascii="Times New Roman" w:hAnsi="Times New Roman" w:cs="Times New Roman"/>
        </w:rPr>
        <w:t>Kessaris</w:t>
      </w:r>
      <w:proofErr w:type="spellEnd"/>
      <w:r w:rsidRPr="00FE20E0">
        <w:rPr>
          <w:rFonts w:ascii="Times New Roman" w:hAnsi="Times New Roman" w:cs="Times New Roman"/>
        </w:rPr>
        <w:t xml:space="preserve"> (</w:t>
      </w:r>
      <w:proofErr w:type="spellStart"/>
      <w:r w:rsidRPr="00FE20E0">
        <w:rPr>
          <w:rFonts w:ascii="Times New Roman" w:hAnsi="Times New Roman" w:cs="Times New Roman"/>
        </w:rPr>
        <w:t>ed</w:t>
      </w:r>
      <w:proofErr w:type="spellEnd"/>
      <w:r w:rsidRPr="00FE20E0">
        <w:rPr>
          <w:rFonts w:ascii="Times New Roman" w:hAnsi="Times New Roman" w:cs="Times New Roman"/>
        </w:rPr>
        <w:t xml:space="preserve">), </w:t>
      </w:r>
      <w:r w:rsidRPr="00FE20E0">
        <w:rPr>
          <w:rFonts w:ascii="Times New Roman" w:hAnsi="Times New Roman" w:cs="Times New Roman"/>
          <w:i/>
        </w:rPr>
        <w:t>Socio-legal Approaches to International Economic Law: Text, Context, Subtext</w:t>
      </w:r>
      <w:r w:rsidRPr="00FE20E0">
        <w:rPr>
          <w:rFonts w:ascii="Times New Roman" w:hAnsi="Times New Roman" w:cs="Times New Roman"/>
        </w:rPr>
        <w:t>, Routledge, 2013, p 148.</w:t>
      </w:r>
    </w:p>
  </w:footnote>
  <w:footnote w:id="79">
    <w:p w14:paraId="132B7B20" w14:textId="119C8DE3" w:rsidR="00FE20E0" w:rsidRPr="00FE20E0" w:rsidRDefault="00FE20E0" w:rsidP="00FE20E0">
      <w:pPr>
        <w:pStyle w:val="FootnoteText"/>
        <w:contextualSpacing/>
        <w:jc w:val="both"/>
        <w:rPr>
          <w:rFonts w:ascii="Times New Roman" w:hAnsi="Times New Roman" w:cs="Times New Roman"/>
        </w:rPr>
      </w:pPr>
      <w:r w:rsidRPr="00FE20E0">
        <w:rPr>
          <w:rStyle w:val="FootnoteReference"/>
          <w:rFonts w:ascii="Times New Roman" w:hAnsi="Times New Roman" w:cs="Times New Roman"/>
        </w:rPr>
        <w:footnoteRef/>
      </w:r>
      <w:r w:rsidRPr="00FE20E0">
        <w:rPr>
          <w:rFonts w:ascii="Times New Roman" w:hAnsi="Times New Roman" w:cs="Times New Roman"/>
        </w:rPr>
        <w:t xml:space="preserve"> M </w:t>
      </w:r>
      <w:proofErr w:type="spellStart"/>
      <w:r w:rsidRPr="00FE20E0">
        <w:rPr>
          <w:rFonts w:ascii="Times New Roman" w:hAnsi="Times New Roman" w:cs="Times New Roman"/>
        </w:rPr>
        <w:t>Gehring</w:t>
      </w:r>
      <w:proofErr w:type="spellEnd"/>
      <w:r w:rsidRPr="00FE20E0">
        <w:rPr>
          <w:rFonts w:ascii="Times New Roman" w:hAnsi="Times New Roman" w:cs="Times New Roman"/>
        </w:rPr>
        <w:t xml:space="preserve"> and D Euler, ‘Public interest in investment arbitration’ in  D Euler, M </w:t>
      </w:r>
      <w:proofErr w:type="spellStart"/>
      <w:r w:rsidRPr="00FE20E0">
        <w:rPr>
          <w:rFonts w:ascii="Times New Roman" w:hAnsi="Times New Roman" w:cs="Times New Roman"/>
        </w:rPr>
        <w:t>Gehring</w:t>
      </w:r>
      <w:proofErr w:type="spellEnd"/>
      <w:r w:rsidRPr="00FE20E0">
        <w:rPr>
          <w:rFonts w:ascii="Times New Roman" w:hAnsi="Times New Roman" w:cs="Times New Roman"/>
        </w:rPr>
        <w:t xml:space="preserve"> and M Scherer, </w:t>
      </w:r>
      <w:r w:rsidRPr="00FE20E0">
        <w:rPr>
          <w:rFonts w:ascii="Times New Roman" w:hAnsi="Times New Roman" w:cs="Times New Roman"/>
          <w:i/>
        </w:rPr>
        <w:t>Transparency in International Investment Arbitration: A Guide to the UNCITRAL Rules on Transparency in Treaty-Based Investor-State Arbitration</w:t>
      </w:r>
      <w:r w:rsidRPr="00FE20E0">
        <w:rPr>
          <w:rFonts w:ascii="Times New Roman" w:hAnsi="Times New Roman" w:cs="Times New Roman"/>
        </w:rPr>
        <w:t>, Cambridge, Cambridge University Press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54A6"/>
    <w:multiLevelType w:val="hybridMultilevel"/>
    <w:tmpl w:val="5D6A36B8"/>
    <w:lvl w:ilvl="0" w:tplc="B63E1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7635F"/>
    <w:multiLevelType w:val="hybridMultilevel"/>
    <w:tmpl w:val="B9F69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C28E5"/>
    <w:multiLevelType w:val="hybridMultilevel"/>
    <w:tmpl w:val="E0522F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A2A14"/>
    <w:multiLevelType w:val="hybridMultilevel"/>
    <w:tmpl w:val="4098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29145B"/>
    <w:multiLevelType w:val="hybridMultilevel"/>
    <w:tmpl w:val="609218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E5"/>
    <w:rsid w:val="00020189"/>
    <w:rsid w:val="000234BF"/>
    <w:rsid w:val="00031375"/>
    <w:rsid w:val="00036A60"/>
    <w:rsid w:val="00056E51"/>
    <w:rsid w:val="00067657"/>
    <w:rsid w:val="00082D23"/>
    <w:rsid w:val="00084F19"/>
    <w:rsid w:val="000A0987"/>
    <w:rsid w:val="000C5FAF"/>
    <w:rsid w:val="000E0002"/>
    <w:rsid w:val="000E709B"/>
    <w:rsid w:val="000F1A41"/>
    <w:rsid w:val="000F5945"/>
    <w:rsid w:val="00107EAB"/>
    <w:rsid w:val="00124E31"/>
    <w:rsid w:val="001441C1"/>
    <w:rsid w:val="0015237C"/>
    <w:rsid w:val="001833A1"/>
    <w:rsid w:val="001A1B9E"/>
    <w:rsid w:val="001C04F9"/>
    <w:rsid w:val="00210BD2"/>
    <w:rsid w:val="00221000"/>
    <w:rsid w:val="00230D1B"/>
    <w:rsid w:val="002358A2"/>
    <w:rsid w:val="00252637"/>
    <w:rsid w:val="002565FB"/>
    <w:rsid w:val="00266FDB"/>
    <w:rsid w:val="00276F40"/>
    <w:rsid w:val="002A2C20"/>
    <w:rsid w:val="002B1B3A"/>
    <w:rsid w:val="002B494A"/>
    <w:rsid w:val="002F1087"/>
    <w:rsid w:val="00327D1F"/>
    <w:rsid w:val="0034582D"/>
    <w:rsid w:val="003970F1"/>
    <w:rsid w:val="003B4751"/>
    <w:rsid w:val="003C0C73"/>
    <w:rsid w:val="003C6BDA"/>
    <w:rsid w:val="003D5693"/>
    <w:rsid w:val="003D6EDE"/>
    <w:rsid w:val="003D72E4"/>
    <w:rsid w:val="003E46A6"/>
    <w:rsid w:val="003F1BCE"/>
    <w:rsid w:val="003F21E7"/>
    <w:rsid w:val="003F2C18"/>
    <w:rsid w:val="00413713"/>
    <w:rsid w:val="0043769F"/>
    <w:rsid w:val="004463D6"/>
    <w:rsid w:val="00447DC8"/>
    <w:rsid w:val="00463D8A"/>
    <w:rsid w:val="004A07BC"/>
    <w:rsid w:val="004B26CB"/>
    <w:rsid w:val="004C27A3"/>
    <w:rsid w:val="004D5248"/>
    <w:rsid w:val="004D7574"/>
    <w:rsid w:val="004E1C61"/>
    <w:rsid w:val="004F31F4"/>
    <w:rsid w:val="004F45DD"/>
    <w:rsid w:val="00507AE0"/>
    <w:rsid w:val="00545930"/>
    <w:rsid w:val="005520A2"/>
    <w:rsid w:val="00552719"/>
    <w:rsid w:val="00554171"/>
    <w:rsid w:val="00562FFD"/>
    <w:rsid w:val="00570261"/>
    <w:rsid w:val="00577EB6"/>
    <w:rsid w:val="00582C07"/>
    <w:rsid w:val="00583739"/>
    <w:rsid w:val="00585B8B"/>
    <w:rsid w:val="00597654"/>
    <w:rsid w:val="005A55CC"/>
    <w:rsid w:val="005B35D3"/>
    <w:rsid w:val="005D3D39"/>
    <w:rsid w:val="005F392A"/>
    <w:rsid w:val="00607F06"/>
    <w:rsid w:val="00614575"/>
    <w:rsid w:val="00620956"/>
    <w:rsid w:val="00623C05"/>
    <w:rsid w:val="00624107"/>
    <w:rsid w:val="0062790F"/>
    <w:rsid w:val="00631643"/>
    <w:rsid w:val="0063656F"/>
    <w:rsid w:val="0063670D"/>
    <w:rsid w:val="006406C1"/>
    <w:rsid w:val="00645E15"/>
    <w:rsid w:val="006471D6"/>
    <w:rsid w:val="00670199"/>
    <w:rsid w:val="00677F44"/>
    <w:rsid w:val="0068610D"/>
    <w:rsid w:val="006A4B75"/>
    <w:rsid w:val="006C0E2B"/>
    <w:rsid w:val="006E0688"/>
    <w:rsid w:val="006E49DE"/>
    <w:rsid w:val="006F672F"/>
    <w:rsid w:val="00745172"/>
    <w:rsid w:val="00757EE1"/>
    <w:rsid w:val="00774274"/>
    <w:rsid w:val="007826B7"/>
    <w:rsid w:val="007C7167"/>
    <w:rsid w:val="007E6719"/>
    <w:rsid w:val="00811948"/>
    <w:rsid w:val="00830D38"/>
    <w:rsid w:val="00835148"/>
    <w:rsid w:val="00836ED3"/>
    <w:rsid w:val="00847C06"/>
    <w:rsid w:val="00855E0A"/>
    <w:rsid w:val="00864C9E"/>
    <w:rsid w:val="008675C3"/>
    <w:rsid w:val="008735C0"/>
    <w:rsid w:val="008A485D"/>
    <w:rsid w:val="008B43CD"/>
    <w:rsid w:val="008C103F"/>
    <w:rsid w:val="008C62ED"/>
    <w:rsid w:val="008D550F"/>
    <w:rsid w:val="008E4341"/>
    <w:rsid w:val="008E7ADE"/>
    <w:rsid w:val="0090423F"/>
    <w:rsid w:val="0090713E"/>
    <w:rsid w:val="00922F03"/>
    <w:rsid w:val="0094380C"/>
    <w:rsid w:val="00951683"/>
    <w:rsid w:val="0095187E"/>
    <w:rsid w:val="009833A0"/>
    <w:rsid w:val="00987464"/>
    <w:rsid w:val="009A015A"/>
    <w:rsid w:val="009B4D42"/>
    <w:rsid w:val="009C6759"/>
    <w:rsid w:val="009C6B4F"/>
    <w:rsid w:val="009F0301"/>
    <w:rsid w:val="009F6C98"/>
    <w:rsid w:val="00A2261F"/>
    <w:rsid w:val="00A260FD"/>
    <w:rsid w:val="00A47C1F"/>
    <w:rsid w:val="00A66C7B"/>
    <w:rsid w:val="00A81324"/>
    <w:rsid w:val="00A917D6"/>
    <w:rsid w:val="00A91893"/>
    <w:rsid w:val="00AA5C5C"/>
    <w:rsid w:val="00AE5F5F"/>
    <w:rsid w:val="00AF7EFF"/>
    <w:rsid w:val="00B11CF5"/>
    <w:rsid w:val="00B20D77"/>
    <w:rsid w:val="00B416F0"/>
    <w:rsid w:val="00B44C55"/>
    <w:rsid w:val="00B63C36"/>
    <w:rsid w:val="00B656B7"/>
    <w:rsid w:val="00B71BE5"/>
    <w:rsid w:val="00BB4B8D"/>
    <w:rsid w:val="00BB5FA7"/>
    <w:rsid w:val="00BE0205"/>
    <w:rsid w:val="00C02172"/>
    <w:rsid w:val="00C02967"/>
    <w:rsid w:val="00C12CDA"/>
    <w:rsid w:val="00C204E7"/>
    <w:rsid w:val="00C343F0"/>
    <w:rsid w:val="00C451E6"/>
    <w:rsid w:val="00C550B2"/>
    <w:rsid w:val="00C6068E"/>
    <w:rsid w:val="00C772E6"/>
    <w:rsid w:val="00C84CDA"/>
    <w:rsid w:val="00C92A03"/>
    <w:rsid w:val="00CB3B90"/>
    <w:rsid w:val="00CB4C1B"/>
    <w:rsid w:val="00CD1A40"/>
    <w:rsid w:val="00CF0105"/>
    <w:rsid w:val="00CF4D51"/>
    <w:rsid w:val="00D0382A"/>
    <w:rsid w:val="00D039C4"/>
    <w:rsid w:val="00D06545"/>
    <w:rsid w:val="00D134C0"/>
    <w:rsid w:val="00D148AF"/>
    <w:rsid w:val="00D1600F"/>
    <w:rsid w:val="00D2213D"/>
    <w:rsid w:val="00D2260F"/>
    <w:rsid w:val="00D51000"/>
    <w:rsid w:val="00D62802"/>
    <w:rsid w:val="00D66C82"/>
    <w:rsid w:val="00D80CE8"/>
    <w:rsid w:val="00DB0EA0"/>
    <w:rsid w:val="00DB5DB4"/>
    <w:rsid w:val="00DC5105"/>
    <w:rsid w:val="00DC5AE7"/>
    <w:rsid w:val="00DE5201"/>
    <w:rsid w:val="00DE56BA"/>
    <w:rsid w:val="00DF4F5A"/>
    <w:rsid w:val="00E02668"/>
    <w:rsid w:val="00E0437F"/>
    <w:rsid w:val="00E103FF"/>
    <w:rsid w:val="00E125DD"/>
    <w:rsid w:val="00E13809"/>
    <w:rsid w:val="00E215CF"/>
    <w:rsid w:val="00E2483C"/>
    <w:rsid w:val="00E25A50"/>
    <w:rsid w:val="00E347DF"/>
    <w:rsid w:val="00E52D6B"/>
    <w:rsid w:val="00E72315"/>
    <w:rsid w:val="00E84205"/>
    <w:rsid w:val="00EC0B2B"/>
    <w:rsid w:val="00ED08F1"/>
    <w:rsid w:val="00EE5F94"/>
    <w:rsid w:val="00EF5951"/>
    <w:rsid w:val="00F42385"/>
    <w:rsid w:val="00F62F2E"/>
    <w:rsid w:val="00F71FA4"/>
    <w:rsid w:val="00F83B48"/>
    <w:rsid w:val="00F85227"/>
    <w:rsid w:val="00F85DAD"/>
    <w:rsid w:val="00FA1165"/>
    <w:rsid w:val="00FB4614"/>
    <w:rsid w:val="00FC511A"/>
    <w:rsid w:val="00FC7C83"/>
    <w:rsid w:val="00FE20E0"/>
    <w:rsid w:val="00FE32D2"/>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2B98"/>
  <w15:chartTrackingRefBased/>
  <w15:docId w15:val="{7AAA904F-E630-47A4-8B9C-C933B5FF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541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48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
    <w:basedOn w:val="Normal"/>
    <w:link w:val="FootnoteTextChar"/>
    <w:unhideWhenUsed/>
    <w:rsid w:val="00B71BE5"/>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w:basedOn w:val="DefaultParagraphFont"/>
    <w:link w:val="FootnoteText"/>
    <w:rsid w:val="00B71BE5"/>
    <w:rPr>
      <w:sz w:val="20"/>
      <w:szCs w:val="20"/>
    </w:rPr>
  </w:style>
  <w:style w:type="character" w:styleId="FootnoteReference">
    <w:name w:val="footnote reference"/>
    <w:aliases w:val="Ref,de nota al pie,FZ,ftref,Footnotes refss,註腳內容,de nota al pie + (Asian) MS Mincho,11 pt,Referencia nota al pie,Fago Fußnotenzeichen,Footnote Ref,16 Point,Superscript 6 Point,Style 21,Style 29,Style 11,Footnote Reference1,Ref1,4_G"/>
    <w:basedOn w:val="DefaultParagraphFont"/>
    <w:uiPriority w:val="99"/>
    <w:unhideWhenUsed/>
    <w:rsid w:val="00B71BE5"/>
    <w:rPr>
      <w:vertAlign w:val="superscript"/>
    </w:rPr>
  </w:style>
  <w:style w:type="character" w:styleId="Strong">
    <w:name w:val="Strong"/>
    <w:basedOn w:val="DefaultParagraphFont"/>
    <w:uiPriority w:val="22"/>
    <w:qFormat/>
    <w:rsid w:val="002A2C20"/>
    <w:rPr>
      <w:b/>
      <w:bCs/>
    </w:rPr>
  </w:style>
  <w:style w:type="paragraph" w:customStyle="1" w:styleId="Rfrence">
    <w:name w:val="Référence"/>
    <w:basedOn w:val="FootnoteText"/>
    <w:link w:val="RfrenceCar"/>
    <w:autoRedefine/>
    <w:qFormat/>
    <w:rsid w:val="00D134C0"/>
    <w:pPr>
      <w:spacing w:before="120"/>
      <w:jc w:val="both"/>
    </w:pPr>
    <w:rPr>
      <w:rFonts w:ascii="Times New Roman" w:hAnsi="Times New Roman"/>
    </w:rPr>
  </w:style>
  <w:style w:type="character" w:customStyle="1" w:styleId="RfrenceCar">
    <w:name w:val="Référence Car"/>
    <w:basedOn w:val="DefaultParagraphFont"/>
    <w:link w:val="Rfrence"/>
    <w:rsid w:val="00D134C0"/>
    <w:rPr>
      <w:rFonts w:ascii="Times New Roman" w:hAnsi="Times New Roman"/>
      <w:sz w:val="20"/>
      <w:szCs w:val="20"/>
    </w:rPr>
  </w:style>
  <w:style w:type="character" w:styleId="CommentReference">
    <w:name w:val="annotation reference"/>
    <w:basedOn w:val="DefaultParagraphFont"/>
    <w:uiPriority w:val="99"/>
    <w:semiHidden/>
    <w:unhideWhenUsed/>
    <w:rsid w:val="009B4D42"/>
    <w:rPr>
      <w:sz w:val="16"/>
      <w:szCs w:val="16"/>
    </w:rPr>
  </w:style>
  <w:style w:type="paragraph" w:styleId="CommentText">
    <w:name w:val="annotation text"/>
    <w:basedOn w:val="Normal"/>
    <w:link w:val="CommentTextChar"/>
    <w:uiPriority w:val="99"/>
    <w:semiHidden/>
    <w:unhideWhenUsed/>
    <w:rsid w:val="009B4D42"/>
    <w:pPr>
      <w:spacing w:line="240" w:lineRule="auto"/>
    </w:pPr>
    <w:rPr>
      <w:sz w:val="20"/>
      <w:szCs w:val="20"/>
    </w:rPr>
  </w:style>
  <w:style w:type="character" w:customStyle="1" w:styleId="CommentTextChar">
    <w:name w:val="Comment Text Char"/>
    <w:basedOn w:val="DefaultParagraphFont"/>
    <w:link w:val="CommentText"/>
    <w:uiPriority w:val="99"/>
    <w:semiHidden/>
    <w:rsid w:val="009B4D42"/>
    <w:rPr>
      <w:sz w:val="20"/>
      <w:szCs w:val="20"/>
    </w:rPr>
  </w:style>
  <w:style w:type="paragraph" w:styleId="CommentSubject">
    <w:name w:val="annotation subject"/>
    <w:basedOn w:val="CommentText"/>
    <w:next w:val="CommentText"/>
    <w:link w:val="CommentSubjectChar"/>
    <w:uiPriority w:val="99"/>
    <w:semiHidden/>
    <w:unhideWhenUsed/>
    <w:rsid w:val="009B4D42"/>
    <w:rPr>
      <w:b/>
      <w:bCs/>
    </w:rPr>
  </w:style>
  <w:style w:type="character" w:customStyle="1" w:styleId="CommentSubjectChar">
    <w:name w:val="Comment Subject Char"/>
    <w:basedOn w:val="CommentTextChar"/>
    <w:link w:val="CommentSubject"/>
    <w:uiPriority w:val="99"/>
    <w:semiHidden/>
    <w:rsid w:val="009B4D42"/>
    <w:rPr>
      <w:b/>
      <w:bCs/>
      <w:sz w:val="20"/>
      <w:szCs w:val="20"/>
    </w:rPr>
  </w:style>
  <w:style w:type="paragraph" w:styleId="BalloonText">
    <w:name w:val="Balloon Text"/>
    <w:basedOn w:val="Normal"/>
    <w:link w:val="BalloonTextChar"/>
    <w:uiPriority w:val="99"/>
    <w:semiHidden/>
    <w:unhideWhenUsed/>
    <w:rsid w:val="009B4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42"/>
    <w:rPr>
      <w:rFonts w:ascii="Segoe UI" w:hAnsi="Segoe UI" w:cs="Segoe UI"/>
      <w:sz w:val="18"/>
      <w:szCs w:val="18"/>
    </w:rPr>
  </w:style>
  <w:style w:type="paragraph" w:customStyle="1" w:styleId="Default">
    <w:name w:val="Default"/>
    <w:rsid w:val="00DB0EA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4614"/>
    <w:rPr>
      <w:color w:val="0000FF" w:themeColor="hyperlink"/>
      <w:u w:val="single"/>
    </w:rPr>
  </w:style>
  <w:style w:type="character" w:customStyle="1" w:styleId="Heading1Char">
    <w:name w:val="Heading 1 Char"/>
    <w:basedOn w:val="DefaultParagraphFont"/>
    <w:link w:val="Heading1"/>
    <w:uiPriority w:val="9"/>
    <w:rsid w:val="00F83B4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B4B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B8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B4B8D"/>
    <w:pPr>
      <w:ind w:left="720"/>
      <w:contextualSpacing/>
    </w:pPr>
  </w:style>
  <w:style w:type="character" w:customStyle="1" w:styleId="Heading2Char">
    <w:name w:val="Heading 2 Char"/>
    <w:basedOn w:val="DefaultParagraphFont"/>
    <w:link w:val="Heading2"/>
    <w:uiPriority w:val="9"/>
    <w:semiHidden/>
    <w:rsid w:val="00554171"/>
    <w:rPr>
      <w:rFonts w:asciiTheme="majorHAnsi" w:eastAsiaTheme="majorEastAsia" w:hAnsiTheme="majorHAnsi" w:cstheme="majorBidi"/>
      <w:color w:val="365F91" w:themeColor="accent1" w:themeShade="BF"/>
      <w:sz w:val="26"/>
      <w:szCs w:val="26"/>
    </w:rPr>
  </w:style>
  <w:style w:type="character" w:styleId="BookTitle">
    <w:name w:val="Book Title"/>
    <w:basedOn w:val="DefaultParagraphFont"/>
    <w:uiPriority w:val="33"/>
    <w:qFormat/>
    <w:rsid w:val="00554171"/>
    <w:rPr>
      <w:b/>
      <w:bCs/>
      <w:i/>
      <w:iCs/>
      <w:spacing w:val="5"/>
    </w:rPr>
  </w:style>
  <w:style w:type="character" w:customStyle="1" w:styleId="Heading3Char">
    <w:name w:val="Heading 3 Char"/>
    <w:basedOn w:val="DefaultParagraphFont"/>
    <w:link w:val="Heading3"/>
    <w:uiPriority w:val="9"/>
    <w:rsid w:val="00D148AF"/>
    <w:rPr>
      <w:rFonts w:asciiTheme="majorHAnsi" w:eastAsiaTheme="majorEastAsia" w:hAnsiTheme="majorHAnsi" w:cstheme="majorBidi"/>
      <w:color w:val="243F60" w:themeColor="accent1" w:themeShade="7F"/>
      <w:sz w:val="24"/>
      <w:szCs w:val="24"/>
    </w:rPr>
  </w:style>
  <w:style w:type="character" w:customStyle="1" w:styleId="Mention">
    <w:name w:val="Mention"/>
    <w:basedOn w:val="DefaultParagraphFont"/>
    <w:uiPriority w:val="99"/>
    <w:semiHidden/>
    <w:unhideWhenUsed/>
    <w:rsid w:val="00210BD2"/>
    <w:rPr>
      <w:color w:val="2B579A"/>
      <w:shd w:val="clear" w:color="auto" w:fill="E6E6E6"/>
    </w:rPr>
  </w:style>
  <w:style w:type="character" w:customStyle="1" w:styleId="documentbody">
    <w:name w:val="documentbody"/>
    <w:basedOn w:val="DefaultParagraphFont"/>
    <w:rsid w:val="00210B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953">
      <w:bodyDiv w:val="1"/>
      <w:marLeft w:val="0"/>
      <w:marRight w:val="0"/>
      <w:marTop w:val="0"/>
      <w:marBottom w:val="0"/>
      <w:divBdr>
        <w:top w:val="none" w:sz="0" w:space="0" w:color="auto"/>
        <w:left w:val="none" w:sz="0" w:space="0" w:color="auto"/>
        <w:bottom w:val="none" w:sz="0" w:space="0" w:color="auto"/>
        <w:right w:val="none" w:sz="0" w:space="0" w:color="auto"/>
      </w:divBdr>
    </w:div>
    <w:div w:id="128213050">
      <w:bodyDiv w:val="1"/>
      <w:marLeft w:val="0"/>
      <w:marRight w:val="0"/>
      <w:marTop w:val="0"/>
      <w:marBottom w:val="0"/>
      <w:divBdr>
        <w:top w:val="none" w:sz="0" w:space="0" w:color="auto"/>
        <w:left w:val="none" w:sz="0" w:space="0" w:color="auto"/>
        <w:bottom w:val="none" w:sz="0" w:space="0" w:color="auto"/>
        <w:right w:val="none" w:sz="0" w:space="0" w:color="auto"/>
      </w:divBdr>
    </w:div>
    <w:div w:id="443110952">
      <w:bodyDiv w:val="1"/>
      <w:marLeft w:val="0"/>
      <w:marRight w:val="0"/>
      <w:marTop w:val="0"/>
      <w:marBottom w:val="0"/>
      <w:divBdr>
        <w:top w:val="none" w:sz="0" w:space="0" w:color="auto"/>
        <w:left w:val="none" w:sz="0" w:space="0" w:color="auto"/>
        <w:bottom w:val="none" w:sz="0" w:space="0" w:color="auto"/>
        <w:right w:val="none" w:sz="0" w:space="0" w:color="auto"/>
      </w:divBdr>
    </w:div>
    <w:div w:id="568880023">
      <w:bodyDiv w:val="1"/>
      <w:marLeft w:val="0"/>
      <w:marRight w:val="0"/>
      <w:marTop w:val="0"/>
      <w:marBottom w:val="0"/>
      <w:divBdr>
        <w:top w:val="none" w:sz="0" w:space="0" w:color="auto"/>
        <w:left w:val="none" w:sz="0" w:space="0" w:color="auto"/>
        <w:bottom w:val="none" w:sz="0" w:space="0" w:color="auto"/>
        <w:right w:val="none" w:sz="0" w:space="0" w:color="auto"/>
      </w:divBdr>
    </w:div>
    <w:div w:id="1257445199">
      <w:bodyDiv w:val="1"/>
      <w:marLeft w:val="0"/>
      <w:marRight w:val="0"/>
      <w:marTop w:val="0"/>
      <w:marBottom w:val="0"/>
      <w:divBdr>
        <w:top w:val="none" w:sz="0" w:space="0" w:color="auto"/>
        <w:left w:val="none" w:sz="0" w:space="0" w:color="auto"/>
        <w:bottom w:val="none" w:sz="0" w:space="0" w:color="auto"/>
        <w:right w:val="none" w:sz="0" w:space="0" w:color="auto"/>
      </w:divBdr>
    </w:div>
    <w:div w:id="1440416130">
      <w:bodyDiv w:val="1"/>
      <w:marLeft w:val="0"/>
      <w:marRight w:val="0"/>
      <w:marTop w:val="0"/>
      <w:marBottom w:val="0"/>
      <w:divBdr>
        <w:top w:val="none" w:sz="0" w:space="0" w:color="auto"/>
        <w:left w:val="none" w:sz="0" w:space="0" w:color="auto"/>
        <w:bottom w:val="none" w:sz="0" w:space="0" w:color="auto"/>
        <w:right w:val="none" w:sz="0" w:space="0" w:color="auto"/>
      </w:divBdr>
    </w:div>
    <w:div w:id="1488397492">
      <w:bodyDiv w:val="1"/>
      <w:marLeft w:val="0"/>
      <w:marRight w:val="0"/>
      <w:marTop w:val="0"/>
      <w:marBottom w:val="0"/>
      <w:divBdr>
        <w:top w:val="none" w:sz="0" w:space="0" w:color="auto"/>
        <w:left w:val="none" w:sz="0" w:space="0" w:color="auto"/>
        <w:bottom w:val="none" w:sz="0" w:space="0" w:color="auto"/>
        <w:right w:val="none" w:sz="0" w:space="0" w:color="auto"/>
      </w:divBdr>
    </w:div>
    <w:div w:id="17824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isd.org/itn/2016/02/29/philip-morris-fails-in-pca-arbitration-against-australia-over-plain-packaging-laws/" TargetMode="External"/><Relationship Id="rId2" Type="http://schemas.openxmlformats.org/officeDocument/2006/relationships/hyperlink" Target="http://www.oecd.org/daf/inv/investment-policy/50241347.pdf" TargetMode="External"/><Relationship Id="rId1" Type="http://schemas.openxmlformats.org/officeDocument/2006/relationships/hyperlink" Target="http://www.oxfordscholarship.com/view/10.1093/acprof:oso/9780199589104.001.0001/acprof-9780199589104-chapter-12" TargetMode="External"/><Relationship Id="rId5" Type="http://schemas.openxmlformats.org/officeDocument/2006/relationships/hyperlink" Target="http://ec.europa.eu/citizens-initiative/public/documents/2552" TargetMode="External"/><Relationship Id="rId4" Type="http://schemas.openxmlformats.org/officeDocument/2006/relationships/hyperlink" Target="https://www.gov.uk/government/speeches/statement-from-the-new-prime-minister-theresa-m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6830</Words>
  <Characters>38933</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Sattorova</dc:creator>
  <cp:keywords/>
  <dc:description/>
  <cp:lastModifiedBy>Sattorova, Mavluda</cp:lastModifiedBy>
  <cp:revision>2</cp:revision>
  <dcterms:created xsi:type="dcterms:W3CDTF">2017-12-15T14:36:00Z</dcterms:created>
  <dcterms:modified xsi:type="dcterms:W3CDTF">2017-12-15T14:36:00Z</dcterms:modified>
</cp:coreProperties>
</file>