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1C6E" w14:textId="3407AAA5" w:rsidR="00E831B6" w:rsidRDefault="00F55EBB" w:rsidP="00F55EBB">
      <w:pPr>
        <w:spacing w:line="480" w:lineRule="auto"/>
        <w:ind w:left="5760" w:firstLine="720"/>
        <w:jc w:val="right"/>
        <w:rPr>
          <w:rFonts w:ascii="Calibri" w:hAnsi="Calibri"/>
          <w:b/>
          <w:sz w:val="24"/>
          <w:szCs w:val="24"/>
          <w:lang w:val="en-US"/>
        </w:rPr>
      </w:pPr>
      <w:r>
        <w:rPr>
          <w:rFonts w:ascii="Calibri" w:hAnsi="Calibri"/>
          <w:b/>
          <w:sz w:val="24"/>
          <w:szCs w:val="24"/>
          <w:lang w:val="en-US"/>
        </w:rPr>
        <w:t xml:space="preserve">November 30 </w:t>
      </w:r>
      <w:r w:rsidR="00E831B6">
        <w:rPr>
          <w:rFonts w:ascii="Calibri" w:hAnsi="Calibri"/>
          <w:b/>
          <w:sz w:val="24"/>
          <w:szCs w:val="24"/>
          <w:lang w:val="en-US"/>
        </w:rPr>
        <w:t>, 2017</w:t>
      </w:r>
    </w:p>
    <w:p w14:paraId="148D6F85" w14:textId="77777777" w:rsidR="00E831B6" w:rsidRPr="00677855" w:rsidRDefault="00E831B6" w:rsidP="00017836">
      <w:pPr>
        <w:spacing w:line="480" w:lineRule="auto"/>
        <w:jc w:val="both"/>
        <w:rPr>
          <w:rFonts w:ascii="Calibri" w:hAnsi="Calibri"/>
          <w:b/>
          <w:sz w:val="24"/>
          <w:szCs w:val="24"/>
          <w:lang w:val="en-US"/>
        </w:rPr>
      </w:pPr>
      <w:r>
        <w:rPr>
          <w:rFonts w:ascii="Calibri" w:hAnsi="Calibri"/>
          <w:b/>
          <w:sz w:val="24"/>
          <w:szCs w:val="24"/>
          <w:lang w:val="en-US"/>
        </w:rPr>
        <w:t>C</w:t>
      </w:r>
      <w:r w:rsidRPr="00677855">
        <w:rPr>
          <w:rFonts w:ascii="Calibri" w:hAnsi="Calibri"/>
          <w:b/>
          <w:sz w:val="24"/>
          <w:szCs w:val="24"/>
          <w:lang w:val="en-US"/>
        </w:rPr>
        <w:t xml:space="preserve">omparison of hepatic </w:t>
      </w:r>
      <w:r>
        <w:rPr>
          <w:rFonts w:ascii="Calibri" w:hAnsi="Calibri"/>
          <w:b/>
          <w:sz w:val="24"/>
          <w:szCs w:val="24"/>
          <w:lang w:val="en-US"/>
        </w:rPr>
        <w:t xml:space="preserve">2D </w:t>
      </w:r>
      <w:r w:rsidRPr="00677855">
        <w:rPr>
          <w:rFonts w:ascii="Calibri" w:hAnsi="Calibri"/>
          <w:b/>
          <w:sz w:val="24"/>
          <w:szCs w:val="24"/>
          <w:lang w:val="en-US"/>
        </w:rPr>
        <w:t>sandwich cultures and 3D spheroids for long-term toxicity applications</w:t>
      </w:r>
      <w:r>
        <w:rPr>
          <w:rFonts w:ascii="Calibri" w:hAnsi="Calibri"/>
          <w:b/>
          <w:sz w:val="24"/>
          <w:szCs w:val="24"/>
          <w:lang w:val="en-US"/>
        </w:rPr>
        <w:t>: A multi-center study</w:t>
      </w:r>
    </w:p>
    <w:p w14:paraId="10FC06B4" w14:textId="77777777" w:rsidR="00E831B6" w:rsidRPr="00677855" w:rsidRDefault="00E831B6" w:rsidP="00017836">
      <w:pPr>
        <w:spacing w:line="480" w:lineRule="auto"/>
        <w:jc w:val="both"/>
        <w:rPr>
          <w:rFonts w:ascii="Calibri" w:hAnsi="Calibri"/>
          <w:b/>
          <w:sz w:val="24"/>
          <w:szCs w:val="24"/>
          <w:lang w:val="en-US"/>
        </w:rPr>
      </w:pPr>
    </w:p>
    <w:p w14:paraId="2F99E283" w14:textId="77777777" w:rsidR="00E831B6" w:rsidRPr="0005529D" w:rsidRDefault="00E831B6" w:rsidP="00017836">
      <w:pPr>
        <w:spacing w:line="480" w:lineRule="auto"/>
        <w:jc w:val="both"/>
        <w:rPr>
          <w:lang w:val="en-US"/>
        </w:rPr>
      </w:pPr>
      <w:r w:rsidRPr="0005529D">
        <w:rPr>
          <w:lang w:val="en-US"/>
        </w:rPr>
        <w:t>Catherine C. Be</w:t>
      </w:r>
      <w:r>
        <w:rPr>
          <w:lang w:val="en-US"/>
        </w:rPr>
        <w:t>l</w:t>
      </w:r>
      <w:r w:rsidRPr="0005529D">
        <w:rPr>
          <w:lang w:val="en-US"/>
        </w:rPr>
        <w:t xml:space="preserve">l </w:t>
      </w:r>
      <w:r w:rsidRPr="00B27DBE">
        <w:rPr>
          <w:vertAlign w:val="superscript"/>
          <w:lang w:val="en-US"/>
        </w:rPr>
        <w:t>1,2</w:t>
      </w:r>
      <w:r w:rsidRPr="0005529D">
        <w:rPr>
          <w:lang w:val="en-US"/>
        </w:rPr>
        <w:t>, Anita C. A. Dankers</w:t>
      </w:r>
      <w:r w:rsidRPr="00B27DBE">
        <w:rPr>
          <w:vertAlign w:val="superscript"/>
          <w:lang w:val="en-US"/>
        </w:rPr>
        <w:t>3</w:t>
      </w:r>
      <w:r w:rsidRPr="0005529D">
        <w:rPr>
          <w:lang w:val="en-US"/>
        </w:rPr>
        <w:t>, Volker M. Lauschke</w:t>
      </w:r>
      <w:r w:rsidRPr="00B27DBE">
        <w:rPr>
          <w:vertAlign w:val="superscript"/>
          <w:lang w:val="en-US"/>
        </w:rPr>
        <w:t>1</w:t>
      </w:r>
      <w:r w:rsidRPr="0005529D">
        <w:rPr>
          <w:lang w:val="en-US"/>
        </w:rPr>
        <w:t xml:space="preserve"> , Rowena Sison-Young</w:t>
      </w:r>
      <w:r w:rsidRPr="00B27DBE">
        <w:rPr>
          <w:vertAlign w:val="superscript"/>
          <w:lang w:val="en-US"/>
        </w:rPr>
        <w:t>4</w:t>
      </w:r>
      <w:r w:rsidRPr="0005529D">
        <w:rPr>
          <w:lang w:val="en-US"/>
        </w:rPr>
        <w:t>, Roz Jenkins</w:t>
      </w:r>
      <w:r w:rsidRPr="00B27DBE">
        <w:rPr>
          <w:vertAlign w:val="superscript"/>
          <w:lang w:val="en-US"/>
        </w:rPr>
        <w:t>4</w:t>
      </w:r>
      <w:r w:rsidRPr="0005529D">
        <w:rPr>
          <w:lang w:val="en-US"/>
        </w:rPr>
        <w:t>, Cliff Rowe</w:t>
      </w:r>
      <w:r w:rsidRPr="00B27DBE">
        <w:rPr>
          <w:vertAlign w:val="superscript"/>
          <w:lang w:val="en-US"/>
        </w:rPr>
        <w:t>4</w:t>
      </w:r>
      <w:r w:rsidRPr="0005529D">
        <w:rPr>
          <w:lang w:val="en-US"/>
        </w:rPr>
        <w:t xml:space="preserve"> , Chris Goldring</w:t>
      </w:r>
      <w:r w:rsidRPr="00B27DBE">
        <w:rPr>
          <w:vertAlign w:val="superscript"/>
          <w:lang w:val="en-US"/>
        </w:rPr>
        <w:t>4</w:t>
      </w:r>
      <w:r w:rsidRPr="0005529D">
        <w:rPr>
          <w:lang w:val="en-US"/>
        </w:rPr>
        <w:t xml:space="preserve"> , Kevin Park</w:t>
      </w:r>
      <w:r w:rsidRPr="00B27DBE">
        <w:rPr>
          <w:vertAlign w:val="superscript"/>
          <w:lang w:val="en-US"/>
        </w:rPr>
        <w:t>4</w:t>
      </w:r>
      <w:r w:rsidRPr="0005529D">
        <w:rPr>
          <w:lang w:val="en-US"/>
        </w:rPr>
        <w:t>, Sophie Regan</w:t>
      </w:r>
      <w:r w:rsidRPr="00B27DBE">
        <w:rPr>
          <w:vertAlign w:val="superscript"/>
          <w:lang w:val="en-US"/>
        </w:rPr>
        <w:t>5</w:t>
      </w:r>
      <w:r w:rsidRPr="0005529D">
        <w:rPr>
          <w:lang w:val="en-US"/>
        </w:rPr>
        <w:t>, Tracy Walker</w:t>
      </w:r>
      <w:r w:rsidRPr="00B27DBE">
        <w:rPr>
          <w:vertAlign w:val="superscript"/>
          <w:lang w:val="en-US"/>
        </w:rPr>
        <w:t>6</w:t>
      </w:r>
      <w:r w:rsidRPr="0005529D">
        <w:rPr>
          <w:lang w:val="en-US"/>
        </w:rPr>
        <w:t xml:space="preserve">, </w:t>
      </w:r>
      <w:r>
        <w:rPr>
          <w:lang w:val="en-US"/>
        </w:rPr>
        <w:t xml:space="preserve"> </w:t>
      </w:r>
      <w:r w:rsidRPr="0005529D">
        <w:rPr>
          <w:lang w:val="en-US"/>
        </w:rPr>
        <w:t>Chris Schofield</w:t>
      </w:r>
      <w:r w:rsidRPr="00B337A4">
        <w:rPr>
          <w:vertAlign w:val="superscript"/>
          <w:lang w:val="en-US"/>
        </w:rPr>
        <w:t>7</w:t>
      </w:r>
      <w:r w:rsidRPr="0005529D">
        <w:rPr>
          <w:lang w:val="en-US"/>
        </w:rPr>
        <w:t>,</w:t>
      </w:r>
      <w:r>
        <w:rPr>
          <w:lang w:val="en-US"/>
        </w:rPr>
        <w:t xml:space="preserve"> </w:t>
      </w:r>
      <w:r w:rsidRPr="0005529D">
        <w:rPr>
          <w:lang w:val="en-US"/>
        </w:rPr>
        <w:t>Audrey Baze</w:t>
      </w:r>
      <w:r>
        <w:rPr>
          <w:vertAlign w:val="superscript"/>
          <w:lang w:val="en-US"/>
        </w:rPr>
        <w:t>8,9</w:t>
      </w:r>
      <w:r w:rsidRPr="0005529D">
        <w:rPr>
          <w:lang w:val="en-US"/>
        </w:rPr>
        <w:t xml:space="preserve"> , Alison J. Foster</w:t>
      </w:r>
      <w:r w:rsidRPr="00B337A4">
        <w:rPr>
          <w:vertAlign w:val="superscript"/>
          <w:lang w:val="en-US"/>
        </w:rPr>
        <w:t>5</w:t>
      </w:r>
      <w:r w:rsidRPr="0005529D">
        <w:rPr>
          <w:lang w:val="en-US"/>
        </w:rPr>
        <w:t>, Dominic Williams</w:t>
      </w:r>
      <w:r w:rsidRPr="00B27DBE">
        <w:rPr>
          <w:vertAlign w:val="superscript"/>
          <w:lang w:val="en-US"/>
        </w:rPr>
        <w:t>5</w:t>
      </w:r>
      <w:r w:rsidRPr="0005529D">
        <w:rPr>
          <w:lang w:val="en-US"/>
        </w:rPr>
        <w:t>, Amy W. M. van de Ven</w:t>
      </w:r>
      <w:r w:rsidRPr="0088352F">
        <w:rPr>
          <w:vertAlign w:val="superscript"/>
          <w:lang w:val="en-US"/>
        </w:rPr>
        <w:t>3</w:t>
      </w:r>
      <w:r w:rsidRPr="0005529D">
        <w:rPr>
          <w:lang w:val="en-US"/>
        </w:rPr>
        <w:t xml:space="preserve"> , Frank </w:t>
      </w:r>
      <w:r>
        <w:rPr>
          <w:lang w:val="en-US"/>
        </w:rPr>
        <w:t>J</w:t>
      </w:r>
      <w:r w:rsidRPr="0005529D">
        <w:rPr>
          <w:lang w:val="en-US"/>
        </w:rPr>
        <w:t>acobs</w:t>
      </w:r>
      <w:r w:rsidRPr="0088352F">
        <w:rPr>
          <w:vertAlign w:val="superscript"/>
          <w:lang w:val="en-US"/>
        </w:rPr>
        <w:t>3</w:t>
      </w:r>
      <w:r w:rsidRPr="0005529D">
        <w:rPr>
          <w:lang w:val="en-US"/>
        </w:rPr>
        <w:t>, Jos van Houdt</w:t>
      </w:r>
      <w:r w:rsidRPr="00D86E6D">
        <w:rPr>
          <w:vertAlign w:val="superscript"/>
          <w:lang w:val="en-US"/>
        </w:rPr>
        <w:t>3</w:t>
      </w:r>
      <w:r w:rsidRPr="0005529D">
        <w:rPr>
          <w:lang w:val="en-US"/>
        </w:rPr>
        <w:t>, Tuula Lähteenmäki</w:t>
      </w:r>
      <w:r>
        <w:rPr>
          <w:vertAlign w:val="superscript"/>
          <w:lang w:val="en-US"/>
        </w:rPr>
        <w:t>10</w:t>
      </w:r>
      <w:r w:rsidRPr="0005529D">
        <w:rPr>
          <w:lang w:val="en-US"/>
        </w:rPr>
        <w:t xml:space="preserve"> , Jan Snoeys</w:t>
      </w:r>
      <w:r w:rsidRPr="00D86E6D">
        <w:rPr>
          <w:vertAlign w:val="superscript"/>
          <w:lang w:val="en-US"/>
        </w:rPr>
        <w:t>3</w:t>
      </w:r>
      <w:r w:rsidRPr="0005529D">
        <w:rPr>
          <w:lang w:val="en-US"/>
        </w:rPr>
        <w:t>, Satu Juhila</w:t>
      </w:r>
      <w:r w:rsidRPr="00D86E6D">
        <w:rPr>
          <w:vertAlign w:val="superscript"/>
          <w:lang w:val="en-US"/>
        </w:rPr>
        <w:t>10</w:t>
      </w:r>
      <w:r w:rsidRPr="0005529D">
        <w:rPr>
          <w:lang w:val="en-US"/>
        </w:rPr>
        <w:t>, Lysiane Richert</w:t>
      </w:r>
      <w:r w:rsidRPr="00D86E6D">
        <w:rPr>
          <w:vertAlign w:val="superscript"/>
          <w:lang w:val="en-US"/>
        </w:rPr>
        <w:t>8,1</w:t>
      </w:r>
      <w:r>
        <w:rPr>
          <w:vertAlign w:val="superscript"/>
          <w:lang w:val="en-US"/>
        </w:rPr>
        <w:t>1</w:t>
      </w:r>
      <w:r w:rsidRPr="0005529D">
        <w:rPr>
          <w:lang w:val="en-US"/>
        </w:rPr>
        <w:t xml:space="preserve"> , Magnus Ingelman-Sundberg</w:t>
      </w:r>
      <w:r w:rsidRPr="00D86E6D">
        <w:rPr>
          <w:vertAlign w:val="superscript"/>
          <w:lang w:val="en-US"/>
        </w:rPr>
        <w:t>1</w:t>
      </w:r>
      <w:r w:rsidRPr="0005529D">
        <w:rPr>
          <w:lang w:val="en-US"/>
        </w:rPr>
        <w:t>.</w:t>
      </w:r>
    </w:p>
    <w:p w14:paraId="3D937B21" w14:textId="77777777" w:rsidR="00E831B6" w:rsidRDefault="00E831B6" w:rsidP="00017836">
      <w:pPr>
        <w:spacing w:line="480" w:lineRule="auto"/>
        <w:jc w:val="both"/>
        <w:rPr>
          <w:rFonts w:ascii="Calibri" w:hAnsi="Calibri"/>
          <w:sz w:val="24"/>
          <w:szCs w:val="24"/>
          <w:lang w:val="en-US"/>
        </w:rPr>
      </w:pPr>
    </w:p>
    <w:p w14:paraId="5DE77C06" w14:textId="77777777" w:rsidR="00E831B6" w:rsidRPr="0088352F" w:rsidRDefault="00E831B6" w:rsidP="00017836">
      <w:pPr>
        <w:spacing w:line="480" w:lineRule="auto"/>
        <w:jc w:val="both"/>
        <w:rPr>
          <w:rFonts w:ascii="Calibri" w:hAnsi="Calibri"/>
          <w:b/>
          <w:sz w:val="24"/>
          <w:szCs w:val="24"/>
          <w:lang w:val="en-US"/>
        </w:rPr>
      </w:pPr>
      <w:r w:rsidRPr="0088352F">
        <w:rPr>
          <w:rFonts w:ascii="Calibri" w:hAnsi="Calibri"/>
          <w:b/>
          <w:sz w:val="24"/>
          <w:szCs w:val="24"/>
          <w:lang w:val="en-US"/>
        </w:rPr>
        <w:t>Affiliations</w:t>
      </w:r>
    </w:p>
    <w:p w14:paraId="148DE69F" w14:textId="77777777" w:rsidR="00E831B6" w:rsidRPr="00B27DBE" w:rsidRDefault="00E831B6" w:rsidP="00017836">
      <w:pPr>
        <w:pStyle w:val="Ingetavstnd"/>
        <w:numPr>
          <w:ilvl w:val="0"/>
          <w:numId w:val="9"/>
        </w:numPr>
        <w:spacing w:line="480" w:lineRule="auto"/>
        <w:rPr>
          <w:lang w:val="en-US"/>
        </w:rPr>
      </w:pPr>
      <w:r w:rsidRPr="00B27DBE">
        <w:rPr>
          <w:lang w:val="en-US"/>
        </w:rPr>
        <w:t>Department of Physiology and Pharmacology, Section of Pharmacogenetics, Karolinska Institutet, Stockholm, Sweden</w:t>
      </w:r>
    </w:p>
    <w:p w14:paraId="22D51F94" w14:textId="77777777" w:rsidR="00E831B6" w:rsidRPr="00B27DBE" w:rsidRDefault="00E831B6" w:rsidP="00017836">
      <w:pPr>
        <w:pStyle w:val="Ingetavstnd"/>
        <w:numPr>
          <w:ilvl w:val="0"/>
          <w:numId w:val="9"/>
        </w:numPr>
        <w:spacing w:line="480" w:lineRule="auto"/>
        <w:rPr>
          <w:lang w:val="en-US"/>
        </w:rPr>
      </w:pPr>
      <w:r w:rsidRPr="00B27DBE">
        <w:rPr>
          <w:lang w:val="en-US"/>
        </w:rPr>
        <w:t xml:space="preserve">Pathology, Drug Safety and Metabolism, </w:t>
      </w:r>
      <w:r>
        <w:rPr>
          <w:lang w:val="en-US"/>
        </w:rPr>
        <w:t xml:space="preserve">IMED Biotech Unit, </w:t>
      </w:r>
      <w:r w:rsidRPr="00B27DBE">
        <w:rPr>
          <w:lang w:val="en-US"/>
        </w:rPr>
        <w:t>AstraZeneca, Gothenburg, Sweden</w:t>
      </w:r>
    </w:p>
    <w:p w14:paraId="652944FC" w14:textId="77777777" w:rsidR="00E831B6" w:rsidRPr="00B27DBE" w:rsidRDefault="00E831B6" w:rsidP="00017836">
      <w:pPr>
        <w:pStyle w:val="Ingetavstnd"/>
        <w:numPr>
          <w:ilvl w:val="0"/>
          <w:numId w:val="9"/>
        </w:numPr>
        <w:spacing w:line="480" w:lineRule="auto"/>
        <w:rPr>
          <w:lang w:val="en-US"/>
        </w:rPr>
      </w:pPr>
      <w:r w:rsidRPr="00B27DBE">
        <w:t>Department of Pharmacokinetics, Dynamics and Metabolism, Janssen Pharmaceutical Companies of Johnson &amp; Johnson, Beerse, Belgium</w:t>
      </w:r>
    </w:p>
    <w:p w14:paraId="7B4857AD" w14:textId="77777777" w:rsidR="00E831B6" w:rsidRPr="00B27DBE" w:rsidRDefault="00E831B6" w:rsidP="00017836">
      <w:pPr>
        <w:pStyle w:val="Ingetavstnd"/>
        <w:numPr>
          <w:ilvl w:val="0"/>
          <w:numId w:val="9"/>
        </w:numPr>
        <w:spacing w:line="480" w:lineRule="auto"/>
        <w:rPr>
          <w:lang w:val="en-US"/>
        </w:rPr>
      </w:pPr>
      <w:r w:rsidRPr="00B27DBE">
        <w:rPr>
          <w:lang w:val="en-US"/>
        </w:rPr>
        <w:t>MRC Centre for Drug Safety Science, Department of Molecular and Clinical Pharmacology, University of Liverpool, Liverpool, United Kingdom</w:t>
      </w:r>
    </w:p>
    <w:p w14:paraId="215889C7" w14:textId="789A9289" w:rsidR="00E831B6" w:rsidRPr="00B27DBE" w:rsidRDefault="00E831B6" w:rsidP="00017836">
      <w:pPr>
        <w:pStyle w:val="Ingetavstnd"/>
        <w:numPr>
          <w:ilvl w:val="0"/>
          <w:numId w:val="9"/>
        </w:numPr>
        <w:spacing w:line="480" w:lineRule="auto"/>
        <w:rPr>
          <w:lang w:val="en-US"/>
        </w:rPr>
      </w:pPr>
      <w:r>
        <w:rPr>
          <w:lang w:val="en-US"/>
        </w:rPr>
        <w:t xml:space="preserve">Safety and ADME Translational Science, </w:t>
      </w:r>
      <w:r w:rsidRPr="00B27DBE">
        <w:rPr>
          <w:lang w:val="en-US"/>
        </w:rPr>
        <w:t>Drug Safety and Metabolism,</w:t>
      </w:r>
      <w:r>
        <w:rPr>
          <w:lang w:val="en-US"/>
        </w:rPr>
        <w:t xml:space="preserve"> IMED Biotech Unit,</w:t>
      </w:r>
      <w:r w:rsidRPr="00B27DBE">
        <w:rPr>
          <w:lang w:val="en-US"/>
        </w:rPr>
        <w:t xml:space="preserve"> AstraZeneca, </w:t>
      </w:r>
      <w:r w:rsidRPr="00B27DBE">
        <w:t>Cambridge, UK.</w:t>
      </w:r>
    </w:p>
    <w:p w14:paraId="5CAA4992" w14:textId="77777777" w:rsidR="00E831B6" w:rsidRPr="00B27DBE" w:rsidRDefault="00E831B6" w:rsidP="00017836">
      <w:pPr>
        <w:pStyle w:val="Ingetavstnd"/>
        <w:numPr>
          <w:ilvl w:val="0"/>
          <w:numId w:val="9"/>
        </w:numPr>
        <w:spacing w:line="480" w:lineRule="auto"/>
        <w:rPr>
          <w:lang w:val="en-US"/>
        </w:rPr>
      </w:pPr>
      <w:r w:rsidRPr="00B27DBE">
        <w:rPr>
          <w:lang w:val="en-US"/>
        </w:rPr>
        <w:t>Investigative Safety &amp; Drug Metabolism, GlaxoSmithKline Research and Development, Park Road, Ware, Hertfordshire, SG12 0DP, United Kingdom</w:t>
      </w:r>
    </w:p>
    <w:p w14:paraId="0BD53B50" w14:textId="77777777" w:rsidR="00E831B6" w:rsidRPr="00B27DBE" w:rsidRDefault="00E831B6" w:rsidP="00017836">
      <w:pPr>
        <w:pStyle w:val="Ingetavstnd"/>
        <w:numPr>
          <w:ilvl w:val="0"/>
          <w:numId w:val="9"/>
        </w:numPr>
        <w:spacing w:line="480" w:lineRule="auto"/>
        <w:rPr>
          <w:lang w:val="en-US"/>
        </w:rPr>
      </w:pPr>
      <w:r w:rsidRPr="00B27DBE">
        <w:rPr>
          <w:lang w:val="en-US"/>
        </w:rPr>
        <w:lastRenderedPageBreak/>
        <w:t>GSK, Medicines Research Centre, Gunnels Wood Road, Stevenage, Hertfordshire, SG1 2NY, UK</w:t>
      </w:r>
    </w:p>
    <w:p w14:paraId="0E51144D" w14:textId="77777777" w:rsidR="00E831B6" w:rsidRPr="00B27DBE" w:rsidRDefault="00E831B6" w:rsidP="00017836">
      <w:pPr>
        <w:pStyle w:val="Ingetavstnd"/>
        <w:numPr>
          <w:ilvl w:val="0"/>
          <w:numId w:val="9"/>
        </w:numPr>
        <w:spacing w:line="480" w:lineRule="auto"/>
        <w:rPr>
          <w:lang w:val="en-US"/>
        </w:rPr>
      </w:pPr>
      <w:r w:rsidRPr="00B27DBE">
        <w:rPr>
          <w:lang w:val="en-US"/>
        </w:rPr>
        <w:t>KalyCell, Plobsheim, France</w:t>
      </w:r>
    </w:p>
    <w:p w14:paraId="57849634" w14:textId="77777777" w:rsidR="00E831B6" w:rsidRPr="00B27DBE" w:rsidRDefault="00E831B6" w:rsidP="00017836">
      <w:pPr>
        <w:pStyle w:val="Ingetavstnd"/>
        <w:numPr>
          <w:ilvl w:val="0"/>
          <w:numId w:val="9"/>
        </w:numPr>
        <w:spacing w:line="480" w:lineRule="auto"/>
        <w:rPr>
          <w:rFonts w:cs="Times New Roman"/>
          <w:lang w:val="fr-FR"/>
        </w:rPr>
      </w:pPr>
      <w:r w:rsidRPr="00B27DBE">
        <w:rPr>
          <w:rFonts w:cs="Times New Roman"/>
          <w:lang w:val="fr-FR"/>
        </w:rPr>
        <w:t>UNISTRA, Strasbourg, France</w:t>
      </w:r>
    </w:p>
    <w:p w14:paraId="148326A1" w14:textId="77777777" w:rsidR="00E831B6" w:rsidRPr="00B27DBE" w:rsidRDefault="00E831B6" w:rsidP="00017836">
      <w:pPr>
        <w:pStyle w:val="Ingetavstnd"/>
        <w:numPr>
          <w:ilvl w:val="0"/>
          <w:numId w:val="9"/>
        </w:numPr>
        <w:spacing w:line="480" w:lineRule="auto"/>
        <w:rPr>
          <w:lang w:val="en-US"/>
        </w:rPr>
      </w:pPr>
      <w:r w:rsidRPr="00B27DBE">
        <w:rPr>
          <w:lang w:val="en-US"/>
        </w:rPr>
        <w:t xml:space="preserve">In Vitro Biology, Orion Pharma, Espoo, Finland </w:t>
      </w:r>
    </w:p>
    <w:p w14:paraId="066DAAE2" w14:textId="77777777" w:rsidR="00E831B6" w:rsidRPr="00B27DBE" w:rsidRDefault="00E831B6" w:rsidP="00017836">
      <w:pPr>
        <w:pStyle w:val="Ingetavstnd"/>
        <w:numPr>
          <w:ilvl w:val="0"/>
          <w:numId w:val="9"/>
        </w:numPr>
        <w:spacing w:line="480" w:lineRule="auto"/>
        <w:rPr>
          <w:rFonts w:ascii="Times New Roman" w:eastAsia="Times New Roman" w:hAnsi="Times New Roman" w:cs="Times New Roman"/>
          <w:lang w:val="fr-FR" w:eastAsia="fr-FR"/>
        </w:rPr>
      </w:pPr>
      <w:r w:rsidRPr="00B27DBE">
        <w:rPr>
          <w:rFonts w:eastAsia="Times New Roman" w:cstheme="minorHAnsi"/>
          <w:bCs/>
          <w:lang w:val="fr-FR" w:eastAsia="fr-FR"/>
        </w:rPr>
        <w:t>PEPITE EA4267, Univ. Bourgogne Franche-Comté, Besançon , France</w:t>
      </w:r>
      <w:r w:rsidRPr="00B27DBE">
        <w:rPr>
          <w:rFonts w:ascii="Times New Roman" w:eastAsia="Times New Roman" w:hAnsi="Times New Roman" w:cs="Times New Roman"/>
          <w:b/>
          <w:bCs/>
          <w:lang w:val="fr-FR" w:eastAsia="fr-FR"/>
        </w:rPr>
        <w:t xml:space="preserve"> </w:t>
      </w:r>
    </w:p>
    <w:p w14:paraId="38416303" w14:textId="77777777" w:rsidR="00E831B6" w:rsidRPr="00214A24" w:rsidRDefault="00E831B6" w:rsidP="00017836">
      <w:pPr>
        <w:spacing w:line="480" w:lineRule="auto"/>
        <w:jc w:val="both"/>
        <w:rPr>
          <w:rFonts w:ascii="Calibri" w:hAnsi="Calibri"/>
          <w:sz w:val="24"/>
          <w:szCs w:val="24"/>
          <w:lang w:val="fr-FR"/>
        </w:rPr>
      </w:pPr>
    </w:p>
    <w:p w14:paraId="3F804BCC" w14:textId="77777777" w:rsidR="00E831B6" w:rsidRPr="00214A24" w:rsidRDefault="00E831B6" w:rsidP="00017836">
      <w:pPr>
        <w:spacing w:line="480" w:lineRule="auto"/>
        <w:jc w:val="both"/>
        <w:rPr>
          <w:rFonts w:ascii="Calibri" w:hAnsi="Calibri"/>
          <w:sz w:val="24"/>
          <w:szCs w:val="24"/>
          <w:lang w:val="fr-FR"/>
        </w:rPr>
      </w:pPr>
    </w:p>
    <w:p w14:paraId="37E8A58E" w14:textId="77777777" w:rsidR="00E831B6" w:rsidRPr="00214A24" w:rsidRDefault="00E831B6" w:rsidP="00017836">
      <w:pPr>
        <w:spacing w:line="480" w:lineRule="auto"/>
        <w:jc w:val="both"/>
        <w:rPr>
          <w:rFonts w:ascii="Calibri" w:hAnsi="Calibri"/>
          <w:sz w:val="24"/>
          <w:szCs w:val="24"/>
          <w:lang w:val="fr-FR"/>
        </w:rPr>
      </w:pPr>
    </w:p>
    <w:p w14:paraId="73240742" w14:textId="77777777" w:rsidR="00E831B6" w:rsidRPr="00214A24" w:rsidRDefault="00E831B6" w:rsidP="00017836">
      <w:pPr>
        <w:spacing w:line="480" w:lineRule="auto"/>
        <w:jc w:val="both"/>
        <w:rPr>
          <w:rFonts w:ascii="Calibri" w:hAnsi="Calibri"/>
          <w:sz w:val="24"/>
          <w:szCs w:val="24"/>
          <w:lang w:val="fr-FR"/>
        </w:rPr>
      </w:pPr>
    </w:p>
    <w:p w14:paraId="4837648A" w14:textId="77777777" w:rsidR="00E831B6" w:rsidRPr="0005529D" w:rsidRDefault="00E831B6" w:rsidP="00017836">
      <w:pPr>
        <w:spacing w:line="480" w:lineRule="auto"/>
        <w:jc w:val="both"/>
        <w:rPr>
          <w:rFonts w:ascii="Calibri" w:hAnsi="Calibri"/>
          <w:b/>
          <w:sz w:val="24"/>
          <w:szCs w:val="24"/>
          <w:lang w:val="en-US"/>
        </w:rPr>
      </w:pPr>
      <w:r w:rsidRPr="0005529D">
        <w:rPr>
          <w:rFonts w:ascii="Calibri" w:hAnsi="Calibri"/>
          <w:b/>
          <w:sz w:val="24"/>
          <w:szCs w:val="24"/>
          <w:lang w:val="en-US"/>
        </w:rPr>
        <w:t>Address correspondence to:</w:t>
      </w:r>
    </w:p>
    <w:p w14:paraId="1018DBD3" w14:textId="77777777" w:rsidR="00E831B6" w:rsidRPr="0005529D" w:rsidRDefault="00E831B6" w:rsidP="00017836">
      <w:pPr>
        <w:pStyle w:val="Ingetavstnd"/>
        <w:spacing w:line="480" w:lineRule="auto"/>
        <w:rPr>
          <w:lang w:val="en-US"/>
        </w:rPr>
      </w:pPr>
      <w:r w:rsidRPr="0005529D">
        <w:rPr>
          <w:lang w:val="en-US"/>
        </w:rPr>
        <w:t xml:space="preserve">Dr Magnus Ingelman-Sundberg </w:t>
      </w:r>
    </w:p>
    <w:p w14:paraId="24B5F164" w14:textId="77777777" w:rsidR="00E831B6" w:rsidRDefault="00E831B6" w:rsidP="00017836">
      <w:pPr>
        <w:pStyle w:val="Ingetavstnd"/>
        <w:spacing w:line="480" w:lineRule="auto"/>
        <w:rPr>
          <w:lang w:val="en-US"/>
        </w:rPr>
      </w:pPr>
      <w:r w:rsidRPr="0005529D">
        <w:rPr>
          <w:lang w:val="en-US"/>
        </w:rPr>
        <w:t>Department of Physiology and Pharmacology</w:t>
      </w:r>
      <w:r>
        <w:rPr>
          <w:lang w:val="en-US"/>
        </w:rPr>
        <w:t xml:space="preserve">, </w:t>
      </w:r>
    </w:p>
    <w:p w14:paraId="72FA4498" w14:textId="77777777" w:rsidR="00E831B6" w:rsidRDefault="00E831B6" w:rsidP="00017836">
      <w:pPr>
        <w:pStyle w:val="Ingetavstnd"/>
        <w:spacing w:line="480" w:lineRule="auto"/>
        <w:rPr>
          <w:lang w:val="en-US"/>
        </w:rPr>
      </w:pPr>
      <w:r w:rsidRPr="0005529D">
        <w:rPr>
          <w:lang w:val="en-US"/>
        </w:rPr>
        <w:t>Section of Pharmacogenetics</w:t>
      </w:r>
      <w:r>
        <w:rPr>
          <w:lang w:val="en-US"/>
        </w:rPr>
        <w:t xml:space="preserve">, </w:t>
      </w:r>
    </w:p>
    <w:p w14:paraId="06266F10" w14:textId="77777777" w:rsidR="00E831B6" w:rsidRDefault="00E831B6" w:rsidP="00017836">
      <w:pPr>
        <w:pStyle w:val="Ingetavstnd"/>
        <w:spacing w:line="480" w:lineRule="auto"/>
        <w:rPr>
          <w:lang w:val="en-US"/>
        </w:rPr>
      </w:pPr>
      <w:r w:rsidRPr="0005529D">
        <w:rPr>
          <w:lang w:val="en-US"/>
        </w:rPr>
        <w:t>Karolinska Institutet</w:t>
      </w:r>
      <w:r>
        <w:rPr>
          <w:lang w:val="en-US"/>
        </w:rPr>
        <w:t xml:space="preserve">, </w:t>
      </w:r>
      <w:r w:rsidRPr="0005529D">
        <w:rPr>
          <w:lang w:val="en-US"/>
        </w:rPr>
        <w:t>SE-171 77 Stockholm, Sweden</w:t>
      </w:r>
      <w:r>
        <w:rPr>
          <w:lang w:val="en-US"/>
        </w:rPr>
        <w:t xml:space="preserve">, </w:t>
      </w:r>
    </w:p>
    <w:p w14:paraId="0B7F6566" w14:textId="77777777" w:rsidR="00E831B6" w:rsidRPr="0005529D" w:rsidRDefault="00E831B6" w:rsidP="00017836">
      <w:pPr>
        <w:pStyle w:val="Ingetavstnd"/>
        <w:spacing w:line="480" w:lineRule="auto"/>
        <w:rPr>
          <w:lang w:val="en-US"/>
        </w:rPr>
      </w:pPr>
      <w:r w:rsidRPr="0005529D">
        <w:rPr>
          <w:lang w:val="en-US"/>
        </w:rPr>
        <w:t xml:space="preserve">Tel +4670-6017590: email: </w:t>
      </w:r>
      <w:hyperlink r:id="rId7" w:history="1">
        <w:r w:rsidRPr="0005529D">
          <w:rPr>
            <w:rStyle w:val="Hyperlnk"/>
            <w:rFonts w:ascii="Calibri" w:hAnsi="Calibri"/>
            <w:sz w:val="24"/>
            <w:szCs w:val="24"/>
            <w:lang w:val="en-US"/>
          </w:rPr>
          <w:t>magnus.ingelman-sundberg@ki.se</w:t>
        </w:r>
      </w:hyperlink>
    </w:p>
    <w:p w14:paraId="3161B074" w14:textId="77777777" w:rsidR="00E831B6" w:rsidRPr="0005529D" w:rsidRDefault="00E831B6" w:rsidP="00017836">
      <w:pPr>
        <w:spacing w:line="480" w:lineRule="auto"/>
        <w:jc w:val="both"/>
        <w:rPr>
          <w:rFonts w:ascii="Calibri" w:hAnsi="Calibri"/>
          <w:sz w:val="24"/>
          <w:szCs w:val="24"/>
          <w:lang w:val="en-US"/>
        </w:rPr>
      </w:pPr>
    </w:p>
    <w:p w14:paraId="0BBB270A" w14:textId="77777777" w:rsidR="00E831B6" w:rsidRPr="0005529D" w:rsidRDefault="00E831B6" w:rsidP="00017836">
      <w:pPr>
        <w:spacing w:line="480" w:lineRule="auto"/>
        <w:jc w:val="both"/>
        <w:rPr>
          <w:rFonts w:ascii="Calibri" w:hAnsi="Calibri"/>
          <w:sz w:val="24"/>
          <w:szCs w:val="24"/>
          <w:lang w:val="en-US"/>
        </w:rPr>
      </w:pPr>
    </w:p>
    <w:p w14:paraId="25D55665" w14:textId="77777777" w:rsidR="00E831B6" w:rsidRPr="0005529D" w:rsidRDefault="00E831B6" w:rsidP="00017836">
      <w:pPr>
        <w:spacing w:line="480" w:lineRule="auto"/>
        <w:jc w:val="both"/>
        <w:rPr>
          <w:rFonts w:ascii="Calibri" w:hAnsi="Calibri"/>
          <w:sz w:val="24"/>
          <w:szCs w:val="24"/>
          <w:lang w:val="en-US"/>
        </w:rPr>
      </w:pPr>
      <w:r w:rsidRPr="0088352F">
        <w:rPr>
          <w:rFonts w:ascii="Calibri" w:hAnsi="Calibri"/>
          <w:b/>
          <w:sz w:val="24"/>
          <w:szCs w:val="24"/>
          <w:lang w:val="en-US"/>
        </w:rPr>
        <w:t>Running title</w:t>
      </w:r>
      <w:r w:rsidRPr="0005529D">
        <w:rPr>
          <w:rFonts w:ascii="Calibri" w:hAnsi="Calibri"/>
          <w:sz w:val="24"/>
          <w:szCs w:val="24"/>
          <w:lang w:val="en-US"/>
        </w:rPr>
        <w:t xml:space="preserve">: </w:t>
      </w:r>
      <w:r w:rsidRPr="0088352F">
        <w:rPr>
          <w:rFonts w:ascii="Calibri" w:hAnsi="Calibri"/>
          <w:i/>
          <w:sz w:val="24"/>
          <w:szCs w:val="24"/>
          <w:lang w:val="en-US"/>
        </w:rPr>
        <w:t>In vitro</w:t>
      </w:r>
      <w:r>
        <w:rPr>
          <w:rFonts w:ascii="Calibri" w:hAnsi="Calibri"/>
          <w:sz w:val="24"/>
          <w:szCs w:val="24"/>
          <w:lang w:val="en-US"/>
        </w:rPr>
        <w:t xml:space="preserve"> drug</w:t>
      </w:r>
      <w:r w:rsidRPr="0005529D">
        <w:rPr>
          <w:rFonts w:ascii="Calibri" w:hAnsi="Calibri"/>
          <w:sz w:val="24"/>
          <w:szCs w:val="24"/>
          <w:lang w:val="en-US"/>
        </w:rPr>
        <w:t xml:space="preserve"> hepatotoxicity </w:t>
      </w:r>
      <w:r>
        <w:rPr>
          <w:rFonts w:ascii="Calibri" w:hAnsi="Calibri"/>
          <w:sz w:val="24"/>
          <w:szCs w:val="24"/>
          <w:lang w:val="en-US"/>
        </w:rPr>
        <w:t>evaluation</w:t>
      </w:r>
    </w:p>
    <w:p w14:paraId="0460172B" w14:textId="77777777" w:rsidR="00E831B6" w:rsidRPr="0033728F" w:rsidRDefault="00E831B6" w:rsidP="00017836">
      <w:pPr>
        <w:spacing w:line="480" w:lineRule="auto"/>
        <w:jc w:val="both"/>
        <w:rPr>
          <w:rFonts w:ascii="Calibri" w:hAnsi="Calibri"/>
          <w:sz w:val="24"/>
          <w:szCs w:val="24"/>
          <w:lang w:val="en-US"/>
        </w:rPr>
      </w:pPr>
    </w:p>
    <w:p w14:paraId="7565821E"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br w:type="page"/>
      </w:r>
    </w:p>
    <w:p w14:paraId="523DAD43"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lastRenderedPageBreak/>
        <w:t>Abstract</w:t>
      </w:r>
    </w:p>
    <w:p w14:paraId="06E69970" w14:textId="2BB6849E" w:rsidR="00E831B6" w:rsidRDefault="00E831B6" w:rsidP="000A7195">
      <w:pPr>
        <w:spacing w:line="480" w:lineRule="auto"/>
        <w:jc w:val="both"/>
        <w:rPr>
          <w:rFonts w:ascii="Calibri" w:hAnsi="Calibri"/>
          <w:sz w:val="24"/>
          <w:szCs w:val="24"/>
          <w:lang w:val="en-US"/>
        </w:rPr>
      </w:pPr>
      <w:r w:rsidRPr="00677855">
        <w:rPr>
          <w:rFonts w:ascii="Calibri" w:hAnsi="Calibri"/>
          <w:sz w:val="24"/>
          <w:szCs w:val="24"/>
          <w:lang w:val="en-US"/>
        </w:rPr>
        <w:t xml:space="preserve">Primary human hepatocytes (PHH) </w:t>
      </w:r>
      <w:r>
        <w:rPr>
          <w:rFonts w:ascii="Calibri" w:hAnsi="Calibri"/>
          <w:sz w:val="24"/>
          <w:szCs w:val="24"/>
          <w:lang w:val="en-US"/>
        </w:rPr>
        <w:t>are commonly used</w:t>
      </w:r>
      <w:r w:rsidRPr="00677855">
        <w:rPr>
          <w:rFonts w:ascii="Calibri" w:hAnsi="Calibri"/>
          <w:sz w:val="24"/>
          <w:szCs w:val="24"/>
          <w:lang w:val="en-US"/>
        </w:rPr>
        <w:t xml:space="preserve"> for </w:t>
      </w:r>
      <w:r w:rsidRPr="00677855">
        <w:rPr>
          <w:rFonts w:ascii="Calibri" w:hAnsi="Calibri"/>
          <w:i/>
          <w:sz w:val="24"/>
          <w:szCs w:val="24"/>
          <w:lang w:val="en-US"/>
        </w:rPr>
        <w:t>in vitro</w:t>
      </w:r>
      <w:r w:rsidRPr="00677855">
        <w:rPr>
          <w:rFonts w:ascii="Calibri" w:hAnsi="Calibri"/>
          <w:sz w:val="24"/>
          <w:szCs w:val="24"/>
          <w:lang w:val="en-US"/>
        </w:rPr>
        <w:t xml:space="preserve"> studies of drug-induced liver injury. However, when cultured as 2D monolayers</w:t>
      </w:r>
      <w:r>
        <w:rPr>
          <w:rFonts w:ascii="Calibri" w:hAnsi="Calibri"/>
          <w:sz w:val="24"/>
          <w:szCs w:val="24"/>
          <w:lang w:val="en-US"/>
        </w:rPr>
        <w:t>,</w:t>
      </w:r>
      <w:r w:rsidRPr="00677855">
        <w:rPr>
          <w:rFonts w:ascii="Calibri" w:hAnsi="Calibri"/>
          <w:sz w:val="24"/>
          <w:szCs w:val="24"/>
          <w:lang w:val="en-US"/>
        </w:rPr>
        <w:t xml:space="preserve"> PHH lose crucial hepatic functions within hours. This dedifferentiation can be ameliorated when PHH are cultured in sandwich configuration (2Dsw)</w:t>
      </w:r>
      <w:r w:rsidRPr="00412239">
        <w:rPr>
          <w:rFonts w:ascii="Calibri" w:hAnsi="Calibri"/>
          <w:sz w:val="24"/>
          <w:szCs w:val="24"/>
          <w:lang w:val="en-US"/>
        </w:rPr>
        <w:t xml:space="preserve">, particularly </w:t>
      </w:r>
      <w:r>
        <w:rPr>
          <w:rFonts w:ascii="Calibri" w:hAnsi="Calibri"/>
          <w:sz w:val="24"/>
          <w:szCs w:val="24"/>
          <w:lang w:val="en-US"/>
        </w:rPr>
        <w:t>when cultures are regularly re-overlaid</w:t>
      </w:r>
      <w:r w:rsidRPr="00412239">
        <w:rPr>
          <w:rFonts w:ascii="Calibri" w:hAnsi="Calibri"/>
          <w:sz w:val="24"/>
          <w:szCs w:val="24"/>
          <w:lang w:val="en-US"/>
        </w:rPr>
        <w:t xml:space="preserve"> </w:t>
      </w:r>
      <w:r>
        <w:rPr>
          <w:rFonts w:ascii="Calibri" w:hAnsi="Calibri"/>
          <w:sz w:val="24"/>
          <w:szCs w:val="24"/>
          <w:lang w:val="en-US"/>
        </w:rPr>
        <w:t>with</w:t>
      </w:r>
      <w:r w:rsidRPr="00412239">
        <w:rPr>
          <w:rFonts w:ascii="Calibri" w:hAnsi="Calibri"/>
          <w:sz w:val="24"/>
          <w:szCs w:val="24"/>
          <w:lang w:val="en-US"/>
        </w:rPr>
        <w:t xml:space="preserve"> extracellular matrix</w:t>
      </w:r>
      <w:r>
        <w:rPr>
          <w:rFonts w:ascii="Calibri" w:hAnsi="Calibri"/>
          <w:sz w:val="24"/>
          <w:szCs w:val="24"/>
          <w:lang w:val="en-US"/>
        </w:rPr>
        <w:t>,</w:t>
      </w:r>
      <w:r w:rsidRPr="00677855">
        <w:rPr>
          <w:rFonts w:ascii="Calibri" w:hAnsi="Calibri"/>
          <w:sz w:val="24"/>
          <w:szCs w:val="24"/>
          <w:lang w:val="en-US"/>
        </w:rPr>
        <w:t xml:space="preserve"> or </w:t>
      </w:r>
      <w:r>
        <w:rPr>
          <w:rFonts w:ascii="Calibri" w:hAnsi="Calibri"/>
          <w:sz w:val="24"/>
          <w:szCs w:val="24"/>
          <w:lang w:val="en-US"/>
        </w:rPr>
        <w:t xml:space="preserve">as </w:t>
      </w:r>
      <w:r w:rsidRPr="00677855">
        <w:rPr>
          <w:rFonts w:ascii="Calibri" w:hAnsi="Calibri"/>
          <w:sz w:val="24"/>
          <w:szCs w:val="24"/>
          <w:lang w:val="en-US"/>
        </w:rPr>
        <w:t xml:space="preserve">3D spheroids. In this study, </w:t>
      </w:r>
      <w:r>
        <w:rPr>
          <w:rFonts w:ascii="Calibri" w:hAnsi="Calibri"/>
          <w:sz w:val="24"/>
          <w:szCs w:val="24"/>
          <w:lang w:val="en-US"/>
        </w:rPr>
        <w:t xml:space="preserve">the </w:t>
      </w:r>
      <w:r w:rsidRPr="00842AFF">
        <w:rPr>
          <w:rFonts w:ascii="Calibri" w:hAnsi="Calibri"/>
          <w:sz w:val="24"/>
          <w:szCs w:val="24"/>
          <w:lang w:val="en-US"/>
        </w:rPr>
        <w:t>six participating laboratories</w:t>
      </w:r>
      <w:r>
        <w:rPr>
          <w:rFonts w:ascii="Calibri" w:hAnsi="Calibri"/>
          <w:sz w:val="24"/>
          <w:szCs w:val="24"/>
          <w:lang w:val="en-US"/>
        </w:rPr>
        <w:t xml:space="preserve"> </w:t>
      </w:r>
      <w:r w:rsidRPr="00677855">
        <w:rPr>
          <w:rFonts w:ascii="Calibri" w:hAnsi="Calibri"/>
          <w:sz w:val="24"/>
          <w:szCs w:val="24"/>
          <w:lang w:val="en-US"/>
        </w:rPr>
        <w:t>evaluated the robustness of the</w:t>
      </w:r>
      <w:r>
        <w:rPr>
          <w:rFonts w:ascii="Calibri" w:hAnsi="Calibri"/>
          <w:sz w:val="24"/>
          <w:szCs w:val="24"/>
          <w:lang w:val="en-US"/>
        </w:rPr>
        <w:t>se</w:t>
      </w:r>
      <w:r w:rsidRPr="00677855">
        <w:rPr>
          <w:rFonts w:ascii="Calibri" w:hAnsi="Calibri"/>
          <w:sz w:val="24"/>
          <w:szCs w:val="24"/>
          <w:lang w:val="en-US"/>
        </w:rPr>
        <w:t xml:space="preserve"> two model systems </w:t>
      </w:r>
      <w:r>
        <w:rPr>
          <w:rFonts w:ascii="Calibri" w:hAnsi="Calibri"/>
          <w:sz w:val="24"/>
          <w:szCs w:val="24"/>
          <w:lang w:val="en-US"/>
        </w:rPr>
        <w:t>made from cryopreserved PHH from the same donors</w:t>
      </w:r>
      <w:r w:rsidRPr="00677855">
        <w:rPr>
          <w:rFonts w:ascii="Calibri" w:hAnsi="Calibri"/>
          <w:sz w:val="24"/>
          <w:szCs w:val="24"/>
          <w:lang w:val="en-US"/>
        </w:rPr>
        <w:t xml:space="preserve"> considering both inter-donor and inter-lab variability and compared their suitability for use in repeated-dose toxicity studies</w:t>
      </w:r>
      <w:r>
        <w:rPr>
          <w:rFonts w:ascii="Calibri" w:hAnsi="Calibri"/>
          <w:sz w:val="24"/>
          <w:szCs w:val="24"/>
          <w:lang w:val="en-US"/>
        </w:rPr>
        <w:t xml:space="preserve"> using 5 different hepatotoxins with </w:t>
      </w:r>
      <w:r w:rsidRPr="00677855">
        <w:rPr>
          <w:rFonts w:ascii="Calibri" w:hAnsi="Calibri"/>
          <w:sz w:val="24"/>
          <w:szCs w:val="24"/>
          <w:lang w:val="en-US"/>
        </w:rPr>
        <w:t>different toxicity mechanisms</w:t>
      </w:r>
      <w:r>
        <w:rPr>
          <w:rFonts w:ascii="Calibri" w:hAnsi="Calibri"/>
          <w:sz w:val="24"/>
          <w:szCs w:val="24"/>
          <w:lang w:val="en-US"/>
        </w:rPr>
        <w:t xml:space="preserve">. </w:t>
      </w:r>
      <w:r w:rsidRPr="00677855">
        <w:rPr>
          <w:rFonts w:ascii="Calibri" w:hAnsi="Calibri"/>
          <w:sz w:val="24"/>
          <w:szCs w:val="24"/>
          <w:lang w:val="en-US"/>
        </w:rPr>
        <w:t xml:space="preserve">We found that expression levels of proteins involved in drug absorption, distribution, metabolism and excretion, </w:t>
      </w:r>
      <w:r>
        <w:rPr>
          <w:rFonts w:ascii="Calibri" w:hAnsi="Calibri"/>
          <w:sz w:val="24"/>
          <w:szCs w:val="24"/>
          <w:lang w:val="en-US"/>
        </w:rPr>
        <w:t>as well as catalytic activities of five different CYPs</w:t>
      </w:r>
      <w:r w:rsidRPr="00677855">
        <w:rPr>
          <w:rFonts w:ascii="Calibri" w:hAnsi="Calibri"/>
          <w:sz w:val="24"/>
          <w:szCs w:val="24"/>
          <w:lang w:val="en-US"/>
        </w:rPr>
        <w:t xml:space="preserve">, were significantly higher </w:t>
      </w:r>
      <w:r>
        <w:rPr>
          <w:rFonts w:ascii="Calibri" w:hAnsi="Calibri"/>
          <w:sz w:val="24"/>
          <w:szCs w:val="24"/>
          <w:lang w:val="en-US"/>
        </w:rPr>
        <w:t xml:space="preserve">in 3D </w:t>
      </w:r>
      <w:r w:rsidRPr="00677855">
        <w:rPr>
          <w:rFonts w:ascii="Calibri" w:hAnsi="Calibri"/>
          <w:sz w:val="24"/>
          <w:szCs w:val="24"/>
          <w:lang w:val="en-US"/>
        </w:rPr>
        <w:t>spheroid culture</w:t>
      </w:r>
      <w:r>
        <w:rPr>
          <w:rFonts w:ascii="Calibri" w:hAnsi="Calibri"/>
          <w:sz w:val="24"/>
          <w:szCs w:val="24"/>
          <w:lang w:val="en-US"/>
        </w:rPr>
        <w:t>s</w:t>
      </w:r>
      <w:r w:rsidRPr="00677855">
        <w:rPr>
          <w:rFonts w:ascii="Calibri" w:hAnsi="Calibri"/>
          <w:sz w:val="24"/>
          <w:szCs w:val="24"/>
          <w:lang w:val="en-US"/>
        </w:rPr>
        <w:t xml:space="preserve">, potentially affecting the exposure of the cells to drugs and their metabolites. Furthermore, global proteomic analyses revealed that PHH in 3D spheroid configuration were temporally stable whereas proteomes from the same donors in </w:t>
      </w:r>
      <w:r>
        <w:rPr>
          <w:rFonts w:ascii="Calibri" w:hAnsi="Calibri"/>
          <w:sz w:val="24"/>
          <w:szCs w:val="24"/>
          <w:lang w:val="en-US"/>
        </w:rPr>
        <w:t>2Dsw</w:t>
      </w:r>
      <w:r w:rsidRPr="00677855">
        <w:rPr>
          <w:rFonts w:ascii="Calibri" w:hAnsi="Calibri"/>
          <w:sz w:val="24"/>
          <w:szCs w:val="24"/>
          <w:lang w:val="en-US"/>
        </w:rPr>
        <w:t xml:space="preserve"> cultures </w:t>
      </w:r>
      <w:r>
        <w:rPr>
          <w:rFonts w:ascii="Calibri" w:hAnsi="Calibri"/>
          <w:sz w:val="24"/>
          <w:szCs w:val="24"/>
          <w:lang w:val="en-US"/>
        </w:rPr>
        <w:t>showed</w:t>
      </w:r>
      <w:r w:rsidRPr="00677855">
        <w:rPr>
          <w:rFonts w:ascii="Calibri" w:hAnsi="Calibri"/>
          <w:sz w:val="24"/>
          <w:szCs w:val="24"/>
          <w:lang w:val="en-US"/>
        </w:rPr>
        <w:t xml:space="preserve"> substantial alterations in protein expression patterns</w:t>
      </w:r>
      <w:r>
        <w:rPr>
          <w:rFonts w:ascii="Calibri" w:hAnsi="Calibri"/>
          <w:sz w:val="24"/>
          <w:szCs w:val="24"/>
          <w:lang w:val="en-US"/>
        </w:rPr>
        <w:t xml:space="preserve"> over the 14 days in culture.</w:t>
      </w:r>
      <w:r w:rsidRPr="00677855">
        <w:rPr>
          <w:rFonts w:ascii="Calibri" w:hAnsi="Calibri"/>
          <w:sz w:val="24"/>
          <w:szCs w:val="24"/>
          <w:lang w:val="en-US"/>
        </w:rPr>
        <w:t xml:space="preserve"> Overall, spheroid cultures were more sensitive to </w:t>
      </w:r>
      <w:r>
        <w:rPr>
          <w:rFonts w:ascii="Calibri" w:hAnsi="Calibri"/>
          <w:sz w:val="24"/>
          <w:szCs w:val="24"/>
          <w:lang w:val="en-US"/>
        </w:rPr>
        <w:t xml:space="preserve">the </w:t>
      </w:r>
      <w:r w:rsidRPr="00677855">
        <w:rPr>
          <w:rFonts w:ascii="Calibri" w:hAnsi="Calibri"/>
          <w:sz w:val="24"/>
          <w:szCs w:val="24"/>
          <w:lang w:val="en-US"/>
        </w:rPr>
        <w:t xml:space="preserve">hepatotoxic compounds </w:t>
      </w:r>
      <w:r>
        <w:rPr>
          <w:rFonts w:ascii="Calibri" w:hAnsi="Calibri"/>
          <w:sz w:val="24"/>
          <w:szCs w:val="24"/>
          <w:lang w:val="en-US"/>
        </w:rPr>
        <w:t>investigated,</w:t>
      </w:r>
      <w:r w:rsidRPr="00677855">
        <w:rPr>
          <w:rFonts w:ascii="Calibri" w:hAnsi="Calibri"/>
          <w:sz w:val="24"/>
          <w:szCs w:val="24"/>
          <w:lang w:val="en-US"/>
        </w:rPr>
        <w:t xml:space="preserve"> particularly upon long-term exposures</w:t>
      </w:r>
      <w:r>
        <w:rPr>
          <w:rFonts w:ascii="Calibri" w:hAnsi="Calibri"/>
          <w:sz w:val="24"/>
          <w:szCs w:val="24"/>
          <w:lang w:val="en-US"/>
        </w:rPr>
        <w:t xml:space="preserve">, across testing sites with little </w:t>
      </w:r>
      <w:r w:rsidRPr="00677855">
        <w:rPr>
          <w:rFonts w:ascii="Calibri" w:hAnsi="Calibri"/>
          <w:sz w:val="24"/>
          <w:szCs w:val="24"/>
          <w:lang w:val="en-US"/>
        </w:rPr>
        <w:t xml:space="preserve">inter-laboratory </w:t>
      </w:r>
      <w:r>
        <w:rPr>
          <w:rFonts w:ascii="Calibri" w:hAnsi="Calibri"/>
          <w:sz w:val="24"/>
          <w:szCs w:val="24"/>
          <w:lang w:val="en-US"/>
        </w:rPr>
        <w:t xml:space="preserve">or inter-donor </w:t>
      </w:r>
      <w:r w:rsidRPr="00677855">
        <w:rPr>
          <w:rFonts w:ascii="Calibri" w:hAnsi="Calibri"/>
          <w:sz w:val="24"/>
          <w:szCs w:val="24"/>
          <w:lang w:val="en-US"/>
        </w:rPr>
        <w:t>variability</w:t>
      </w:r>
      <w:r>
        <w:rPr>
          <w:rFonts w:ascii="Calibri" w:hAnsi="Calibri"/>
          <w:sz w:val="24"/>
          <w:szCs w:val="24"/>
          <w:lang w:val="en-US"/>
        </w:rPr>
        <w:t xml:space="preserve">. </w:t>
      </w:r>
      <w:r w:rsidRPr="00677855">
        <w:rPr>
          <w:rFonts w:ascii="Calibri" w:hAnsi="Calibri"/>
          <w:sz w:val="24"/>
          <w:szCs w:val="24"/>
          <w:lang w:val="en-US"/>
        </w:rPr>
        <w:t>The data presented here suggest that repeated-dosing regime</w:t>
      </w:r>
      <w:r>
        <w:rPr>
          <w:rFonts w:ascii="Calibri" w:hAnsi="Calibri"/>
          <w:sz w:val="24"/>
          <w:szCs w:val="24"/>
          <w:lang w:val="en-US"/>
        </w:rPr>
        <w:t>n</w:t>
      </w:r>
      <w:r w:rsidRPr="00677855">
        <w:rPr>
          <w:rFonts w:ascii="Calibri" w:hAnsi="Calibri"/>
          <w:sz w:val="24"/>
          <w:szCs w:val="24"/>
          <w:lang w:val="en-US"/>
        </w:rPr>
        <w:t xml:space="preserve">s improve the predictivity of </w:t>
      </w:r>
      <w:r w:rsidRPr="00677855">
        <w:rPr>
          <w:rFonts w:ascii="Calibri" w:hAnsi="Calibri"/>
          <w:i/>
          <w:sz w:val="24"/>
          <w:szCs w:val="24"/>
          <w:lang w:val="en-US"/>
        </w:rPr>
        <w:t>in vitro</w:t>
      </w:r>
      <w:r w:rsidRPr="00677855">
        <w:rPr>
          <w:rFonts w:ascii="Calibri" w:hAnsi="Calibri"/>
          <w:sz w:val="24"/>
          <w:szCs w:val="24"/>
          <w:lang w:val="en-US"/>
        </w:rPr>
        <w:t xml:space="preserve"> toxicity assays, and that PHH spheroids provide a sensitive and robust system for </w:t>
      </w:r>
      <w:r>
        <w:rPr>
          <w:rFonts w:ascii="Calibri" w:hAnsi="Calibri"/>
          <w:sz w:val="24"/>
          <w:szCs w:val="24"/>
          <w:lang w:val="en-US"/>
        </w:rPr>
        <w:t xml:space="preserve">long-term </w:t>
      </w:r>
      <w:r w:rsidRPr="00677855">
        <w:rPr>
          <w:rFonts w:ascii="Calibri" w:hAnsi="Calibri"/>
          <w:sz w:val="24"/>
          <w:szCs w:val="24"/>
          <w:lang w:val="en-US"/>
        </w:rPr>
        <w:t xml:space="preserve">mechanistic studies of </w:t>
      </w:r>
      <w:r>
        <w:rPr>
          <w:rFonts w:ascii="Calibri" w:hAnsi="Calibri"/>
          <w:sz w:val="24"/>
          <w:szCs w:val="24"/>
          <w:lang w:val="en-US"/>
        </w:rPr>
        <w:t xml:space="preserve">drug-induced </w:t>
      </w:r>
      <w:r w:rsidRPr="00677855">
        <w:rPr>
          <w:rFonts w:ascii="Calibri" w:hAnsi="Calibri"/>
          <w:sz w:val="24"/>
          <w:szCs w:val="24"/>
          <w:lang w:val="en-US"/>
        </w:rPr>
        <w:t>hepatotoxicity</w:t>
      </w:r>
      <w:r>
        <w:rPr>
          <w:rFonts w:ascii="Calibri" w:hAnsi="Calibri"/>
          <w:sz w:val="24"/>
          <w:szCs w:val="24"/>
          <w:lang w:val="en-US"/>
        </w:rPr>
        <w:t>, whereas the 2Dsw system has a more dedifferentiated phenotype and lower sensitivity to detect hepatotoxicity</w:t>
      </w:r>
      <w:r w:rsidRPr="00677855">
        <w:rPr>
          <w:rFonts w:ascii="Calibri" w:hAnsi="Calibri"/>
          <w:sz w:val="24"/>
          <w:szCs w:val="24"/>
          <w:lang w:val="en-US"/>
        </w:rPr>
        <w:t xml:space="preserve">. </w:t>
      </w:r>
    </w:p>
    <w:p w14:paraId="579912F6"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Introduction</w:t>
      </w:r>
    </w:p>
    <w:p w14:paraId="267946D4" w14:textId="77777777"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lastRenderedPageBreak/>
        <w:t>Before a new medicine can reach the market, significant safety considerations must be met. However, despite rigorous testing regimens, some severe adverse drug reactions (ADRs) are still only identified in the late stages of drug development and even post</w:t>
      </w:r>
      <w:r>
        <w:rPr>
          <w:rFonts w:ascii="Calibri" w:hAnsi="Calibri"/>
          <w:sz w:val="24"/>
          <w:szCs w:val="24"/>
          <w:lang w:val="en-US"/>
        </w:rPr>
        <w:t xml:space="preserve"> </w:t>
      </w:r>
      <w:r w:rsidRPr="00677855">
        <w:rPr>
          <w:rFonts w:ascii="Calibri" w:hAnsi="Calibri"/>
          <w:sz w:val="24"/>
          <w:szCs w:val="24"/>
          <w:lang w:val="en-US"/>
        </w:rPr>
        <w:t xml:space="preserve">marketing, resulting in increased patient morbidity and costly drug withdrawals. Hepatotoxicity remains one of the most frequent causes of compound attrition and late stage failures </w:t>
      </w:r>
      <w:r>
        <w:rPr>
          <w:rFonts w:ascii="Calibri" w:hAnsi="Calibri"/>
          <w:noProof/>
          <w:sz w:val="24"/>
          <w:szCs w:val="24"/>
          <w:lang w:val="en-US"/>
        </w:rPr>
        <w:t>(Cook</w:t>
      </w:r>
      <w:r w:rsidRPr="007D68DF">
        <w:rPr>
          <w:rFonts w:ascii="Calibri" w:hAnsi="Calibri"/>
          <w:i/>
          <w:noProof/>
          <w:sz w:val="24"/>
          <w:szCs w:val="24"/>
          <w:lang w:val="en-US"/>
        </w:rPr>
        <w:t xml:space="preserve"> et al.</w:t>
      </w:r>
      <w:r>
        <w:rPr>
          <w:rFonts w:ascii="Calibri" w:hAnsi="Calibri"/>
          <w:noProof/>
          <w:sz w:val="24"/>
          <w:szCs w:val="24"/>
          <w:lang w:val="en-US"/>
        </w:rPr>
        <w:t>, 2014)</w:t>
      </w:r>
      <w:r w:rsidRPr="00677855">
        <w:rPr>
          <w:rFonts w:ascii="Calibri" w:hAnsi="Calibri"/>
          <w:sz w:val="24"/>
          <w:szCs w:val="24"/>
          <w:lang w:val="en-US"/>
        </w:rPr>
        <w:t xml:space="preserve">. Current models to predict hepatotoxicity before a compound enters clinical stages include animal models and </w:t>
      </w:r>
      <w:r w:rsidRPr="00677855">
        <w:rPr>
          <w:rFonts w:ascii="Calibri" w:hAnsi="Calibri"/>
          <w:i/>
          <w:sz w:val="24"/>
          <w:szCs w:val="24"/>
          <w:lang w:val="en-US"/>
        </w:rPr>
        <w:t>in vitro</w:t>
      </w:r>
      <w:r w:rsidRPr="00677855">
        <w:rPr>
          <w:rFonts w:ascii="Calibri" w:hAnsi="Calibri"/>
          <w:sz w:val="24"/>
          <w:szCs w:val="24"/>
          <w:lang w:val="en-US"/>
        </w:rPr>
        <w:t xml:space="preserve"> assays. The predictive power of animal models </w:t>
      </w:r>
      <w:r>
        <w:rPr>
          <w:rFonts w:ascii="Calibri" w:hAnsi="Calibri"/>
          <w:sz w:val="24"/>
          <w:szCs w:val="24"/>
          <w:lang w:val="en-US"/>
        </w:rPr>
        <w:t xml:space="preserve">however </w:t>
      </w:r>
      <w:r w:rsidRPr="00677855">
        <w:rPr>
          <w:rFonts w:ascii="Calibri" w:hAnsi="Calibri"/>
          <w:sz w:val="24"/>
          <w:szCs w:val="24"/>
          <w:lang w:val="en-US"/>
        </w:rPr>
        <w:t xml:space="preserve">is limited </w:t>
      </w:r>
      <w:r>
        <w:rPr>
          <w:rFonts w:ascii="Calibri" w:hAnsi="Calibri"/>
          <w:sz w:val="24"/>
          <w:szCs w:val="24"/>
          <w:lang w:val="en-US"/>
        </w:rPr>
        <w:t xml:space="preserve">due </w:t>
      </w:r>
      <w:r w:rsidRPr="00677855">
        <w:rPr>
          <w:rFonts w:ascii="Calibri" w:hAnsi="Calibri"/>
          <w:sz w:val="24"/>
          <w:szCs w:val="24"/>
          <w:lang w:val="en-US"/>
        </w:rPr>
        <w:t xml:space="preserve">to substantial </w:t>
      </w:r>
      <w:r>
        <w:rPr>
          <w:rFonts w:ascii="Calibri" w:hAnsi="Calibri"/>
          <w:sz w:val="24"/>
          <w:szCs w:val="24"/>
          <w:lang w:val="en-US"/>
        </w:rPr>
        <w:t xml:space="preserve">inter-species </w:t>
      </w:r>
      <w:r w:rsidRPr="00677855">
        <w:rPr>
          <w:rFonts w:ascii="Calibri" w:hAnsi="Calibri"/>
          <w:sz w:val="24"/>
          <w:szCs w:val="24"/>
          <w:lang w:val="en-US"/>
        </w:rPr>
        <w:t xml:space="preserve">differences in expression and activities of </w:t>
      </w:r>
      <w:r>
        <w:rPr>
          <w:rFonts w:ascii="Calibri" w:hAnsi="Calibri"/>
          <w:sz w:val="24"/>
          <w:szCs w:val="24"/>
          <w:lang w:val="en-US"/>
        </w:rPr>
        <w:t>enzymes and transporters</w:t>
      </w:r>
      <w:r w:rsidRPr="00677855">
        <w:rPr>
          <w:rFonts w:ascii="Calibri" w:hAnsi="Calibri"/>
          <w:sz w:val="24"/>
          <w:szCs w:val="24"/>
          <w:lang w:val="en-US"/>
        </w:rPr>
        <w:t xml:space="preserve"> involved in drug absorption, distribution, metabolism and excretion (ADME), resulting in discrepant pharmacokinetic parameters and metabolic fates of the tested compounds </w:t>
      </w:r>
      <w:r>
        <w:rPr>
          <w:rFonts w:ascii="Calibri" w:hAnsi="Calibri"/>
          <w:noProof/>
          <w:sz w:val="24"/>
          <w:szCs w:val="24"/>
          <w:lang w:val="en-US"/>
        </w:rPr>
        <w:t>(Martignoni</w:t>
      </w:r>
      <w:r w:rsidRPr="007D68DF">
        <w:rPr>
          <w:rFonts w:ascii="Calibri" w:hAnsi="Calibri"/>
          <w:i/>
          <w:noProof/>
          <w:sz w:val="24"/>
          <w:szCs w:val="24"/>
          <w:lang w:val="en-US"/>
        </w:rPr>
        <w:t xml:space="preserve"> et al.</w:t>
      </w:r>
      <w:r>
        <w:rPr>
          <w:rFonts w:ascii="Calibri" w:hAnsi="Calibri"/>
          <w:noProof/>
          <w:sz w:val="24"/>
          <w:szCs w:val="24"/>
          <w:lang w:val="en-US"/>
        </w:rPr>
        <w:t>, 2006)</w:t>
      </w:r>
      <w:r w:rsidRPr="00677855">
        <w:rPr>
          <w:rFonts w:ascii="Calibri" w:hAnsi="Calibri"/>
          <w:sz w:val="24"/>
          <w:szCs w:val="24"/>
          <w:lang w:val="en-US"/>
        </w:rPr>
        <w:t xml:space="preserve">. Consequently, a large-scale investigation of human and animal toxicity events </w:t>
      </w:r>
      <w:r>
        <w:rPr>
          <w:rFonts w:ascii="Calibri" w:hAnsi="Calibri"/>
          <w:sz w:val="24"/>
          <w:szCs w:val="24"/>
          <w:lang w:val="en-US"/>
        </w:rPr>
        <w:t>associated with</w:t>
      </w:r>
      <w:r w:rsidRPr="00677855">
        <w:rPr>
          <w:rFonts w:ascii="Calibri" w:hAnsi="Calibri"/>
          <w:sz w:val="24"/>
          <w:szCs w:val="24"/>
          <w:lang w:val="en-US"/>
        </w:rPr>
        <w:t xml:space="preserve"> 150 compounds found that rodent </w:t>
      </w:r>
      <w:r>
        <w:rPr>
          <w:rFonts w:ascii="Calibri" w:hAnsi="Calibri"/>
          <w:sz w:val="24"/>
          <w:szCs w:val="24"/>
          <w:lang w:val="en-US"/>
        </w:rPr>
        <w:t xml:space="preserve">(primarily rat) </w:t>
      </w:r>
      <w:r w:rsidRPr="00677855">
        <w:rPr>
          <w:rFonts w:ascii="Calibri" w:hAnsi="Calibri"/>
          <w:sz w:val="24"/>
          <w:szCs w:val="24"/>
          <w:lang w:val="en-US"/>
        </w:rPr>
        <w:t xml:space="preserve">and non-rodent </w:t>
      </w:r>
      <w:r>
        <w:rPr>
          <w:rFonts w:ascii="Calibri" w:hAnsi="Calibri"/>
          <w:sz w:val="24"/>
          <w:szCs w:val="24"/>
          <w:lang w:val="en-US"/>
        </w:rPr>
        <w:t xml:space="preserve">(primarily dog) </w:t>
      </w:r>
      <w:r w:rsidRPr="00677855">
        <w:rPr>
          <w:rFonts w:ascii="Calibri" w:hAnsi="Calibri"/>
          <w:sz w:val="24"/>
          <w:szCs w:val="24"/>
          <w:lang w:val="en-US"/>
        </w:rPr>
        <w:t xml:space="preserve">animal models predicted only around 50% of the human hepatotoxicity events </w:t>
      </w:r>
      <w:r>
        <w:rPr>
          <w:rFonts w:ascii="Calibri" w:hAnsi="Calibri"/>
          <w:sz w:val="24"/>
          <w:szCs w:val="24"/>
          <w:lang w:val="en-US"/>
        </w:rPr>
        <w:t>attributed to these</w:t>
      </w:r>
      <w:r w:rsidRPr="00677855">
        <w:rPr>
          <w:rFonts w:ascii="Calibri" w:hAnsi="Calibri"/>
          <w:sz w:val="24"/>
          <w:szCs w:val="24"/>
          <w:lang w:val="en-US"/>
        </w:rPr>
        <w:t xml:space="preserve"> </w:t>
      </w:r>
      <w:r>
        <w:rPr>
          <w:rFonts w:ascii="Calibri" w:hAnsi="Calibri"/>
          <w:sz w:val="24"/>
          <w:szCs w:val="24"/>
          <w:lang w:val="en-US"/>
        </w:rPr>
        <w:t>drugs</w:t>
      </w:r>
      <w:r w:rsidRPr="00677855">
        <w:rPr>
          <w:rFonts w:ascii="Calibri" w:hAnsi="Calibri"/>
          <w:sz w:val="24"/>
          <w:szCs w:val="24"/>
          <w:lang w:val="en-US"/>
        </w:rPr>
        <w:t xml:space="preserve"> </w:t>
      </w:r>
      <w:r>
        <w:rPr>
          <w:rFonts w:ascii="Calibri" w:hAnsi="Calibri"/>
          <w:noProof/>
          <w:sz w:val="24"/>
          <w:szCs w:val="24"/>
          <w:lang w:val="en-US"/>
        </w:rPr>
        <w:t>(Olson</w:t>
      </w:r>
      <w:r w:rsidRPr="007D68DF">
        <w:rPr>
          <w:rFonts w:ascii="Calibri" w:hAnsi="Calibri"/>
          <w:i/>
          <w:noProof/>
          <w:sz w:val="24"/>
          <w:szCs w:val="24"/>
          <w:lang w:val="en-US"/>
        </w:rPr>
        <w:t xml:space="preserve"> et al.</w:t>
      </w:r>
      <w:r>
        <w:rPr>
          <w:rFonts w:ascii="Calibri" w:hAnsi="Calibri"/>
          <w:noProof/>
          <w:sz w:val="24"/>
          <w:szCs w:val="24"/>
          <w:lang w:val="en-US"/>
        </w:rPr>
        <w:t>, 2000)</w:t>
      </w:r>
      <w:r w:rsidRPr="00677855">
        <w:rPr>
          <w:rFonts w:ascii="Calibri" w:hAnsi="Calibri"/>
          <w:sz w:val="24"/>
          <w:szCs w:val="24"/>
          <w:lang w:val="en-US"/>
        </w:rPr>
        <w:t>.</w:t>
      </w:r>
    </w:p>
    <w:p w14:paraId="159EF63B" w14:textId="77777777" w:rsidR="00E831B6" w:rsidRPr="00677855" w:rsidRDefault="00E831B6" w:rsidP="00017836">
      <w:pPr>
        <w:spacing w:line="480" w:lineRule="auto"/>
        <w:jc w:val="both"/>
        <w:rPr>
          <w:rFonts w:ascii="Calibri" w:hAnsi="Calibri"/>
          <w:sz w:val="24"/>
          <w:szCs w:val="24"/>
          <w:lang w:val="en-US"/>
        </w:rPr>
      </w:pPr>
    </w:p>
    <w:p w14:paraId="0E58E64A" w14:textId="164BFEE2"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In contrast to animal studies, </w:t>
      </w:r>
      <w:r w:rsidRPr="00677855">
        <w:rPr>
          <w:rFonts w:ascii="Calibri" w:hAnsi="Calibri"/>
          <w:i/>
          <w:sz w:val="24"/>
          <w:szCs w:val="24"/>
          <w:lang w:val="en-US"/>
        </w:rPr>
        <w:t>in vitro</w:t>
      </w:r>
      <w:r w:rsidRPr="00677855">
        <w:rPr>
          <w:rFonts w:ascii="Calibri" w:hAnsi="Calibri"/>
          <w:sz w:val="24"/>
          <w:szCs w:val="24"/>
          <w:lang w:val="en-US"/>
        </w:rPr>
        <w:t xml:space="preserve"> assays</w:t>
      </w:r>
      <w:r w:rsidR="00017836">
        <w:rPr>
          <w:rFonts w:ascii="Calibri" w:hAnsi="Calibri"/>
          <w:sz w:val="24"/>
          <w:szCs w:val="24"/>
          <w:lang w:val="en-US"/>
        </w:rPr>
        <w:t>,</w:t>
      </w:r>
      <w:r w:rsidRPr="00677855">
        <w:rPr>
          <w:rFonts w:ascii="Calibri" w:hAnsi="Calibri"/>
          <w:sz w:val="24"/>
          <w:szCs w:val="24"/>
          <w:lang w:val="en-US"/>
        </w:rPr>
        <w:t xml:space="preserve"> which utilize human cells, </w:t>
      </w:r>
      <w:r>
        <w:rPr>
          <w:rFonts w:ascii="Calibri" w:hAnsi="Calibri"/>
          <w:sz w:val="24"/>
          <w:szCs w:val="24"/>
          <w:lang w:val="en-US"/>
        </w:rPr>
        <w:t xml:space="preserve">represent models that </w:t>
      </w:r>
      <w:r w:rsidRPr="00677855">
        <w:rPr>
          <w:rFonts w:ascii="Calibri" w:hAnsi="Calibri"/>
          <w:sz w:val="24"/>
          <w:szCs w:val="24"/>
          <w:lang w:val="en-US"/>
        </w:rPr>
        <w:t>offer the potential to investigate human-specific toxicity profiles</w:t>
      </w:r>
      <w:r>
        <w:rPr>
          <w:rFonts w:ascii="Calibri" w:hAnsi="Calibri"/>
          <w:sz w:val="24"/>
          <w:szCs w:val="24"/>
          <w:lang w:val="en-US"/>
        </w:rPr>
        <w:t xml:space="preserve"> </w:t>
      </w:r>
      <w:r w:rsidR="00017836">
        <w:rPr>
          <w:rFonts w:ascii="Calibri" w:hAnsi="Calibri"/>
          <w:sz w:val="24"/>
          <w:szCs w:val="24"/>
          <w:lang w:val="en-US"/>
        </w:rPr>
        <w:t>(</w:t>
      </w:r>
      <w:r w:rsidR="003936F6">
        <w:rPr>
          <w:rFonts w:ascii="Calibri" w:hAnsi="Calibri"/>
          <w:sz w:val="24"/>
          <w:szCs w:val="24"/>
          <w:lang w:val="en-US"/>
        </w:rPr>
        <w:t xml:space="preserve">Soldatow </w:t>
      </w:r>
      <w:r w:rsidR="003936F6" w:rsidRPr="000A7195">
        <w:rPr>
          <w:rFonts w:ascii="Calibri" w:hAnsi="Calibri"/>
          <w:i/>
          <w:sz w:val="24"/>
          <w:szCs w:val="24"/>
          <w:lang w:val="en-US"/>
        </w:rPr>
        <w:t>et al</w:t>
      </w:r>
      <w:r w:rsidR="003936F6">
        <w:rPr>
          <w:rFonts w:ascii="Calibri" w:hAnsi="Calibri"/>
          <w:sz w:val="24"/>
          <w:szCs w:val="24"/>
          <w:lang w:val="en-US"/>
        </w:rPr>
        <w:t xml:space="preserve">., 2013; </w:t>
      </w:r>
      <w:r w:rsidRPr="00017836">
        <w:rPr>
          <w:rFonts w:ascii="Calibri" w:hAnsi="Calibri"/>
          <w:noProof/>
          <w:sz w:val="24"/>
          <w:szCs w:val="24"/>
          <w:lang w:val="en-US"/>
        </w:rPr>
        <w:t>Ewart</w:t>
      </w:r>
      <w:r w:rsidR="00017836" w:rsidRPr="000A7195">
        <w:rPr>
          <w:rFonts w:ascii="Calibri" w:hAnsi="Calibri"/>
          <w:noProof/>
          <w:sz w:val="24"/>
          <w:szCs w:val="24"/>
          <w:lang w:val="en-US"/>
        </w:rPr>
        <w:t xml:space="preserve"> </w:t>
      </w:r>
      <w:r w:rsidR="00017836" w:rsidRPr="000A7195">
        <w:rPr>
          <w:rFonts w:ascii="Calibri" w:hAnsi="Calibri"/>
          <w:i/>
          <w:noProof/>
          <w:sz w:val="24"/>
          <w:szCs w:val="24"/>
          <w:lang w:val="en-US"/>
        </w:rPr>
        <w:t>et al</w:t>
      </w:r>
      <w:r w:rsidR="00017836" w:rsidRPr="000A7195">
        <w:rPr>
          <w:rFonts w:ascii="Calibri" w:hAnsi="Calibri"/>
          <w:noProof/>
          <w:sz w:val="24"/>
          <w:szCs w:val="24"/>
          <w:lang w:val="en-US"/>
        </w:rPr>
        <w:t>., 2017)</w:t>
      </w:r>
      <w:r>
        <w:rPr>
          <w:rFonts w:ascii="Calibri" w:hAnsi="Calibri"/>
          <w:sz w:val="24"/>
          <w:szCs w:val="24"/>
          <w:lang w:val="en-US"/>
        </w:rPr>
        <w:t>.</w:t>
      </w:r>
      <w:r w:rsidRPr="00677855">
        <w:rPr>
          <w:rFonts w:ascii="Calibri" w:hAnsi="Calibri"/>
          <w:sz w:val="24"/>
          <w:szCs w:val="24"/>
          <w:lang w:val="en-US"/>
        </w:rPr>
        <w:t xml:space="preserve"> </w:t>
      </w:r>
      <w:r>
        <w:rPr>
          <w:rFonts w:ascii="Calibri" w:hAnsi="Calibri"/>
          <w:sz w:val="24"/>
          <w:szCs w:val="24"/>
          <w:lang w:val="en-US"/>
        </w:rPr>
        <w:t xml:space="preserve">For the evaluation of drug-induced liver injury (DILI), </w:t>
      </w:r>
      <w:r w:rsidRPr="00622558">
        <w:rPr>
          <w:rFonts w:ascii="Calibri" w:hAnsi="Calibri"/>
          <w:sz w:val="24"/>
          <w:szCs w:val="24"/>
          <w:lang w:val="en-US"/>
        </w:rPr>
        <w:t>p</w:t>
      </w:r>
      <w:r w:rsidRPr="00677855">
        <w:rPr>
          <w:rFonts w:ascii="Calibri" w:hAnsi="Calibri"/>
          <w:sz w:val="24"/>
          <w:szCs w:val="24"/>
          <w:lang w:val="en-US"/>
        </w:rPr>
        <w:t xml:space="preserve">rimary human hepatocytes (PHH) </w:t>
      </w:r>
      <w:r>
        <w:rPr>
          <w:rFonts w:ascii="Calibri" w:hAnsi="Calibri"/>
          <w:sz w:val="24"/>
          <w:szCs w:val="24"/>
          <w:lang w:val="en-US"/>
        </w:rPr>
        <w:t>have been</w:t>
      </w:r>
      <w:r w:rsidRPr="00677855">
        <w:rPr>
          <w:rFonts w:ascii="Calibri" w:hAnsi="Calibri"/>
          <w:sz w:val="24"/>
          <w:szCs w:val="24"/>
          <w:lang w:val="en-US"/>
        </w:rPr>
        <w:t xml:space="preserve"> considered the gold standard model </w:t>
      </w:r>
      <w:r>
        <w:rPr>
          <w:rFonts w:ascii="Calibri" w:hAnsi="Calibri"/>
          <w:noProof/>
          <w:sz w:val="24"/>
          <w:szCs w:val="24"/>
          <w:lang w:val="en-US"/>
        </w:rPr>
        <w:t>(Gómez-Lechón</w:t>
      </w:r>
      <w:r w:rsidRPr="007D68DF">
        <w:rPr>
          <w:rFonts w:ascii="Calibri" w:hAnsi="Calibri"/>
          <w:i/>
          <w:noProof/>
          <w:sz w:val="24"/>
          <w:szCs w:val="24"/>
          <w:lang w:val="en-US"/>
        </w:rPr>
        <w:t xml:space="preserve"> et al.</w:t>
      </w:r>
      <w:r>
        <w:rPr>
          <w:rFonts w:ascii="Calibri" w:hAnsi="Calibri"/>
          <w:noProof/>
          <w:sz w:val="24"/>
          <w:szCs w:val="24"/>
          <w:lang w:val="en-US"/>
        </w:rPr>
        <w:t>, 2014;  Sison-Young</w:t>
      </w:r>
      <w:r w:rsidRPr="007D68DF">
        <w:rPr>
          <w:rFonts w:ascii="Calibri" w:hAnsi="Calibri"/>
          <w:i/>
          <w:noProof/>
          <w:sz w:val="24"/>
          <w:szCs w:val="24"/>
          <w:lang w:val="en-US"/>
        </w:rPr>
        <w:t xml:space="preserve"> et al.</w:t>
      </w:r>
      <w:r>
        <w:rPr>
          <w:rFonts w:ascii="Calibri" w:hAnsi="Calibri"/>
          <w:noProof/>
          <w:sz w:val="24"/>
          <w:szCs w:val="24"/>
          <w:lang w:val="en-US"/>
        </w:rPr>
        <w:t>, 2017)</w:t>
      </w:r>
      <w:r w:rsidRPr="00677855">
        <w:rPr>
          <w:rFonts w:ascii="Calibri" w:hAnsi="Calibri"/>
          <w:sz w:val="24"/>
          <w:szCs w:val="24"/>
          <w:lang w:val="en-US"/>
        </w:rPr>
        <w:t>. In conventional 2D monolayer cultures however, PHH rapidly dedifferentiate within hours after plating and lose hepatic functions, such as albumin production and drug metabolizing enzyme activity</w:t>
      </w:r>
      <w:r>
        <w:rPr>
          <w:rFonts w:ascii="Calibri" w:hAnsi="Calibri"/>
          <w:sz w:val="24"/>
          <w:szCs w:val="24"/>
          <w:lang w:val="en-US"/>
        </w:rPr>
        <w:t xml:space="preserve"> </w:t>
      </w:r>
      <w:r>
        <w:rPr>
          <w:rFonts w:ascii="Calibri" w:hAnsi="Calibri"/>
          <w:noProof/>
          <w:sz w:val="24"/>
          <w:szCs w:val="24"/>
          <w:lang w:val="en-US"/>
        </w:rPr>
        <w:t>(den Braver-Sewradj</w:t>
      </w:r>
      <w:r w:rsidRPr="007D68DF">
        <w:rPr>
          <w:rFonts w:ascii="Calibri" w:hAnsi="Calibri"/>
          <w:i/>
          <w:noProof/>
          <w:sz w:val="24"/>
          <w:szCs w:val="24"/>
          <w:lang w:val="en-US"/>
        </w:rPr>
        <w:t xml:space="preserve"> et al.</w:t>
      </w:r>
      <w:r>
        <w:rPr>
          <w:rFonts w:ascii="Calibri" w:hAnsi="Calibri"/>
          <w:noProof/>
          <w:sz w:val="24"/>
          <w:szCs w:val="24"/>
          <w:lang w:val="en-US"/>
        </w:rPr>
        <w:t>, 2016)</w:t>
      </w:r>
      <w:r w:rsidRPr="00677855">
        <w:rPr>
          <w:rFonts w:ascii="Calibri" w:hAnsi="Calibri"/>
          <w:sz w:val="24"/>
          <w:szCs w:val="24"/>
          <w:lang w:val="en-US"/>
        </w:rPr>
        <w:t xml:space="preserve">, which </w:t>
      </w:r>
      <w:r w:rsidRPr="00677855">
        <w:rPr>
          <w:rFonts w:ascii="Calibri" w:hAnsi="Calibri"/>
          <w:sz w:val="24"/>
          <w:szCs w:val="24"/>
          <w:lang w:val="en-US"/>
        </w:rPr>
        <w:lastRenderedPageBreak/>
        <w:t xml:space="preserve">severely limits their predictive </w:t>
      </w:r>
      <w:r>
        <w:rPr>
          <w:rFonts w:ascii="Calibri" w:hAnsi="Calibri"/>
          <w:sz w:val="24"/>
          <w:szCs w:val="24"/>
          <w:lang w:val="en-US"/>
        </w:rPr>
        <w:t>capacity</w:t>
      </w:r>
      <w:r w:rsidRPr="00677855">
        <w:rPr>
          <w:rFonts w:ascii="Calibri" w:hAnsi="Calibri"/>
          <w:sz w:val="24"/>
          <w:szCs w:val="24"/>
          <w:lang w:val="en-US"/>
        </w:rPr>
        <w:t xml:space="preserve">, particularly where chemically reactive metabolites are implicated in the toxicity mechanisms </w:t>
      </w:r>
      <w:r>
        <w:rPr>
          <w:rFonts w:ascii="Calibri" w:hAnsi="Calibri"/>
          <w:noProof/>
          <w:sz w:val="24"/>
          <w:szCs w:val="24"/>
          <w:lang w:val="en-US"/>
        </w:rPr>
        <w:t>(Heslop</w:t>
      </w:r>
      <w:r w:rsidRPr="007D68DF">
        <w:rPr>
          <w:rFonts w:ascii="Calibri" w:hAnsi="Calibri"/>
          <w:i/>
          <w:noProof/>
          <w:sz w:val="24"/>
          <w:szCs w:val="24"/>
          <w:lang w:val="en-US"/>
        </w:rPr>
        <w:t xml:space="preserve"> et al.</w:t>
      </w:r>
      <w:r>
        <w:rPr>
          <w:rFonts w:ascii="Calibri" w:hAnsi="Calibri"/>
          <w:noProof/>
          <w:sz w:val="24"/>
          <w:szCs w:val="24"/>
          <w:lang w:val="en-US"/>
        </w:rPr>
        <w:t>, 2016;  Lauschke</w:t>
      </w:r>
      <w:r w:rsidRPr="007D68DF">
        <w:rPr>
          <w:rFonts w:ascii="Calibri" w:hAnsi="Calibri"/>
          <w:i/>
          <w:noProof/>
          <w:sz w:val="24"/>
          <w:szCs w:val="24"/>
          <w:lang w:val="en-US"/>
        </w:rPr>
        <w:t xml:space="preserve"> et al.</w:t>
      </w:r>
      <w:r>
        <w:rPr>
          <w:rFonts w:ascii="Calibri" w:hAnsi="Calibri"/>
          <w:noProof/>
          <w:sz w:val="24"/>
          <w:szCs w:val="24"/>
          <w:lang w:val="en-US"/>
        </w:rPr>
        <w:t>, 2016b)</w:t>
      </w:r>
      <w:r w:rsidRPr="00677855">
        <w:rPr>
          <w:rFonts w:ascii="Calibri" w:hAnsi="Calibri"/>
          <w:sz w:val="24"/>
          <w:szCs w:val="24"/>
          <w:lang w:val="en-US"/>
        </w:rPr>
        <w:t>.</w:t>
      </w:r>
    </w:p>
    <w:p w14:paraId="038768D9" w14:textId="77777777" w:rsidR="00E831B6" w:rsidRPr="00677855" w:rsidRDefault="00E831B6" w:rsidP="00017836">
      <w:pPr>
        <w:spacing w:line="480" w:lineRule="auto"/>
        <w:jc w:val="both"/>
        <w:rPr>
          <w:rFonts w:ascii="Calibri" w:hAnsi="Calibri"/>
          <w:sz w:val="24"/>
          <w:szCs w:val="24"/>
          <w:lang w:val="en-US"/>
        </w:rPr>
      </w:pPr>
    </w:p>
    <w:p w14:paraId="7CCDF6A3" w14:textId="77777777"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To prevent or ameliorate the dedifferentiation of PHH </w:t>
      </w:r>
      <w:r w:rsidRPr="00677855">
        <w:rPr>
          <w:rFonts w:ascii="Calibri" w:hAnsi="Calibri"/>
          <w:i/>
          <w:sz w:val="24"/>
          <w:szCs w:val="24"/>
          <w:lang w:val="en-US"/>
        </w:rPr>
        <w:t>in vitro</w:t>
      </w:r>
      <w:r w:rsidRPr="00677855">
        <w:rPr>
          <w:rFonts w:ascii="Calibri" w:hAnsi="Calibri"/>
          <w:sz w:val="24"/>
          <w:szCs w:val="24"/>
          <w:lang w:val="en-US"/>
        </w:rPr>
        <w:t xml:space="preserve"> a variety of methods have been presented</w:t>
      </w:r>
      <w:r>
        <w:rPr>
          <w:rFonts w:ascii="Calibri" w:hAnsi="Calibri"/>
          <w:sz w:val="24"/>
          <w:szCs w:val="24"/>
          <w:lang w:val="en-US"/>
        </w:rPr>
        <w:t>, including sandwich cultures, spheroid models and microfluidic systems</w:t>
      </w:r>
      <w:r w:rsidRPr="00677855">
        <w:rPr>
          <w:rFonts w:ascii="Calibri" w:hAnsi="Calibri"/>
          <w:sz w:val="24"/>
          <w:szCs w:val="24"/>
          <w:lang w:val="en-US"/>
        </w:rPr>
        <w:t xml:space="preserve"> </w:t>
      </w:r>
      <w:r>
        <w:rPr>
          <w:rFonts w:ascii="Calibri" w:hAnsi="Calibri"/>
          <w:noProof/>
          <w:sz w:val="24"/>
          <w:szCs w:val="24"/>
          <w:lang w:val="en-US"/>
        </w:rPr>
        <w:t>(Lauschke</w:t>
      </w:r>
      <w:r w:rsidRPr="007D68DF">
        <w:rPr>
          <w:rFonts w:ascii="Calibri" w:hAnsi="Calibri"/>
          <w:i/>
          <w:noProof/>
          <w:sz w:val="24"/>
          <w:szCs w:val="24"/>
          <w:lang w:val="en-US"/>
        </w:rPr>
        <w:t xml:space="preserve"> et al.</w:t>
      </w:r>
      <w:r>
        <w:rPr>
          <w:rFonts w:ascii="Calibri" w:hAnsi="Calibri"/>
          <w:noProof/>
          <w:sz w:val="24"/>
          <w:szCs w:val="24"/>
          <w:lang w:val="en-US"/>
        </w:rPr>
        <w:t>, 2016a)</w:t>
      </w:r>
      <w:r w:rsidRPr="00677855">
        <w:rPr>
          <w:rFonts w:ascii="Calibri" w:hAnsi="Calibri"/>
          <w:sz w:val="24"/>
          <w:szCs w:val="24"/>
          <w:lang w:val="en-US"/>
        </w:rPr>
        <w:t>. Overlaying 2D cultures of PHH with a thin layer of extracellular matrix (ECM) proteins</w:t>
      </w:r>
      <w:r>
        <w:rPr>
          <w:rFonts w:ascii="Calibri" w:hAnsi="Calibri"/>
          <w:sz w:val="24"/>
          <w:szCs w:val="24"/>
          <w:lang w:val="en-US"/>
        </w:rPr>
        <w:t xml:space="preserve"> after attachment </w:t>
      </w:r>
      <w:r w:rsidRPr="00677855">
        <w:rPr>
          <w:rFonts w:ascii="Calibri" w:hAnsi="Calibri"/>
          <w:sz w:val="24"/>
          <w:szCs w:val="24"/>
          <w:lang w:val="en-US"/>
        </w:rPr>
        <w:t xml:space="preserve">mimics the physiological microenvironment of hepatocytes </w:t>
      </w:r>
      <w:r w:rsidRPr="00677855">
        <w:rPr>
          <w:rFonts w:ascii="Calibri" w:hAnsi="Calibri"/>
          <w:i/>
          <w:sz w:val="24"/>
          <w:szCs w:val="24"/>
          <w:lang w:val="en-US"/>
        </w:rPr>
        <w:t>in vivo</w:t>
      </w:r>
      <w:r w:rsidRPr="00677855">
        <w:rPr>
          <w:rFonts w:ascii="Calibri" w:hAnsi="Calibri"/>
          <w:sz w:val="24"/>
          <w:szCs w:val="24"/>
          <w:lang w:val="en-US"/>
        </w:rPr>
        <w:t xml:space="preserve">, in which cells interact with ECM components in the space of Disse, and improves polarization into distinct apical and basolateral domains </w:t>
      </w:r>
      <w:r>
        <w:rPr>
          <w:rFonts w:ascii="Calibri" w:hAnsi="Calibri"/>
          <w:noProof/>
          <w:sz w:val="24"/>
          <w:szCs w:val="24"/>
          <w:lang w:val="en-US"/>
        </w:rPr>
        <w:t>(Treyer and Müsch, 2013)</w:t>
      </w:r>
      <w:r w:rsidRPr="00677855">
        <w:rPr>
          <w:rFonts w:ascii="Calibri" w:hAnsi="Calibri"/>
          <w:sz w:val="24"/>
          <w:szCs w:val="24"/>
          <w:lang w:val="en-US"/>
        </w:rPr>
        <w:t xml:space="preserve">. While PHH in </w:t>
      </w:r>
      <w:r>
        <w:rPr>
          <w:rFonts w:ascii="Calibri" w:hAnsi="Calibri"/>
          <w:sz w:val="24"/>
          <w:szCs w:val="24"/>
          <w:lang w:val="en-US"/>
        </w:rPr>
        <w:t xml:space="preserve">such a </w:t>
      </w:r>
      <w:r w:rsidRPr="00677855">
        <w:rPr>
          <w:rFonts w:ascii="Calibri" w:hAnsi="Calibri"/>
          <w:sz w:val="24"/>
          <w:szCs w:val="24"/>
          <w:lang w:val="en-US"/>
        </w:rPr>
        <w:t xml:space="preserve">sandwich configuration exhibit improved stability of cellular phenotypes and form functional bile canalicular networks, dedifferentiation </w:t>
      </w:r>
      <w:r>
        <w:rPr>
          <w:rFonts w:ascii="Calibri" w:hAnsi="Calibri"/>
          <w:sz w:val="24"/>
          <w:szCs w:val="24"/>
          <w:lang w:val="en-US"/>
        </w:rPr>
        <w:t xml:space="preserve">however remains, as evidenced by indications of </w:t>
      </w:r>
      <w:r w:rsidRPr="00086317">
        <w:rPr>
          <w:rFonts w:ascii="Calibri" w:hAnsi="Calibri"/>
          <w:sz w:val="24"/>
          <w:szCs w:val="24"/>
          <w:lang w:val="en-US"/>
        </w:rPr>
        <w:t xml:space="preserve">epithelial-to-mesenchymal transition </w:t>
      </w:r>
      <w:r>
        <w:rPr>
          <w:rFonts w:ascii="Calibri" w:hAnsi="Calibri"/>
          <w:sz w:val="24"/>
          <w:szCs w:val="24"/>
          <w:lang w:val="en-US"/>
        </w:rPr>
        <w:t>and decreases in</w:t>
      </w:r>
      <w:r w:rsidRPr="00677855">
        <w:rPr>
          <w:rFonts w:ascii="Calibri" w:hAnsi="Calibri"/>
          <w:sz w:val="24"/>
          <w:szCs w:val="24"/>
          <w:lang w:val="en-US"/>
        </w:rPr>
        <w:t xml:space="preserve"> albumin secretion </w:t>
      </w:r>
      <w:r>
        <w:rPr>
          <w:rFonts w:ascii="Calibri" w:hAnsi="Calibri"/>
          <w:sz w:val="24"/>
          <w:szCs w:val="24"/>
          <w:lang w:val="en-US"/>
        </w:rPr>
        <w:t>and</w:t>
      </w:r>
      <w:r w:rsidRPr="00677855">
        <w:rPr>
          <w:rFonts w:ascii="Calibri" w:hAnsi="Calibri"/>
          <w:sz w:val="24"/>
          <w:szCs w:val="24"/>
          <w:lang w:val="en-US"/>
        </w:rPr>
        <w:t xml:space="preserve"> urea production </w:t>
      </w:r>
      <w:r>
        <w:rPr>
          <w:rFonts w:ascii="Calibri" w:hAnsi="Calibri"/>
          <w:sz w:val="24"/>
          <w:szCs w:val="24"/>
          <w:lang w:val="en-US"/>
        </w:rPr>
        <w:t>after two weeks in culture</w:t>
      </w:r>
      <w:r w:rsidRPr="00677855">
        <w:rPr>
          <w:rFonts w:ascii="Calibri" w:hAnsi="Calibri"/>
          <w:sz w:val="24"/>
          <w:szCs w:val="24"/>
          <w:lang w:val="en-US"/>
        </w:rPr>
        <w:t xml:space="preserve"> </w:t>
      </w:r>
      <w:r>
        <w:rPr>
          <w:rFonts w:ascii="Calibri" w:hAnsi="Calibri"/>
          <w:noProof/>
          <w:sz w:val="24"/>
          <w:szCs w:val="24"/>
          <w:lang w:val="en-US"/>
        </w:rPr>
        <w:t>(Rowe</w:t>
      </w:r>
      <w:r w:rsidRPr="007D68DF">
        <w:rPr>
          <w:rFonts w:ascii="Calibri" w:hAnsi="Calibri"/>
          <w:i/>
          <w:noProof/>
          <w:sz w:val="24"/>
          <w:szCs w:val="24"/>
          <w:lang w:val="en-US"/>
        </w:rPr>
        <w:t xml:space="preserve"> et al.</w:t>
      </w:r>
      <w:r>
        <w:rPr>
          <w:rFonts w:ascii="Calibri" w:hAnsi="Calibri"/>
          <w:noProof/>
          <w:sz w:val="24"/>
          <w:szCs w:val="24"/>
          <w:lang w:val="en-US"/>
        </w:rPr>
        <w:t>, 2013)</w:t>
      </w:r>
      <w:r w:rsidRPr="00677855">
        <w:rPr>
          <w:rFonts w:ascii="Calibri" w:hAnsi="Calibri"/>
          <w:sz w:val="24"/>
          <w:szCs w:val="24"/>
          <w:lang w:val="en-US"/>
        </w:rPr>
        <w:t xml:space="preserve">. Thus, </w:t>
      </w:r>
      <w:r>
        <w:rPr>
          <w:rFonts w:ascii="Calibri" w:hAnsi="Calibri"/>
          <w:sz w:val="24"/>
          <w:szCs w:val="24"/>
          <w:lang w:val="en-US"/>
        </w:rPr>
        <w:t xml:space="preserve">such </w:t>
      </w:r>
      <w:r w:rsidRPr="00677855">
        <w:rPr>
          <w:rFonts w:ascii="Calibri" w:hAnsi="Calibri"/>
          <w:sz w:val="24"/>
          <w:szCs w:val="24"/>
          <w:lang w:val="en-US"/>
        </w:rPr>
        <w:t xml:space="preserve">sandwich cultures are primarily used for short-term studies of hepatic uptake and transporter function and have been successfully applied to delineate mechanisms underlying cholestatic toxicity </w:t>
      </w:r>
      <w:r>
        <w:rPr>
          <w:rFonts w:ascii="Calibri" w:hAnsi="Calibri"/>
          <w:noProof/>
          <w:sz w:val="24"/>
          <w:szCs w:val="24"/>
          <w:lang w:val="en-US"/>
        </w:rPr>
        <w:t>(Burbank</w:t>
      </w:r>
      <w:r w:rsidRPr="007D68DF">
        <w:rPr>
          <w:rFonts w:ascii="Calibri" w:hAnsi="Calibri"/>
          <w:i/>
          <w:noProof/>
          <w:sz w:val="24"/>
          <w:szCs w:val="24"/>
          <w:lang w:val="en-US"/>
        </w:rPr>
        <w:t xml:space="preserve"> et al.</w:t>
      </w:r>
      <w:r>
        <w:rPr>
          <w:rFonts w:ascii="Calibri" w:hAnsi="Calibri"/>
          <w:noProof/>
          <w:sz w:val="24"/>
          <w:szCs w:val="24"/>
          <w:lang w:val="en-US"/>
        </w:rPr>
        <w:t>, 2016;  Chatterjee</w:t>
      </w:r>
      <w:r w:rsidRPr="007D68DF">
        <w:rPr>
          <w:rFonts w:ascii="Calibri" w:hAnsi="Calibri"/>
          <w:i/>
          <w:noProof/>
          <w:sz w:val="24"/>
          <w:szCs w:val="24"/>
          <w:lang w:val="en-US"/>
        </w:rPr>
        <w:t xml:space="preserve"> et al.</w:t>
      </w:r>
      <w:r>
        <w:rPr>
          <w:rFonts w:ascii="Calibri" w:hAnsi="Calibri"/>
          <w:noProof/>
          <w:sz w:val="24"/>
          <w:szCs w:val="24"/>
          <w:lang w:val="en-US"/>
        </w:rPr>
        <w:t>, 2014;  De Bruyn</w:t>
      </w:r>
      <w:r w:rsidRPr="007D68DF">
        <w:rPr>
          <w:rFonts w:ascii="Calibri" w:hAnsi="Calibri"/>
          <w:i/>
          <w:noProof/>
          <w:sz w:val="24"/>
          <w:szCs w:val="24"/>
          <w:lang w:val="en-US"/>
        </w:rPr>
        <w:t xml:space="preserve"> et al.</w:t>
      </w:r>
      <w:r>
        <w:rPr>
          <w:rFonts w:ascii="Calibri" w:hAnsi="Calibri"/>
          <w:noProof/>
          <w:sz w:val="24"/>
          <w:szCs w:val="24"/>
          <w:lang w:val="en-US"/>
        </w:rPr>
        <w:t>, 2013;  Oorts</w:t>
      </w:r>
      <w:r w:rsidRPr="007D68DF">
        <w:rPr>
          <w:rFonts w:ascii="Calibri" w:hAnsi="Calibri"/>
          <w:i/>
          <w:noProof/>
          <w:sz w:val="24"/>
          <w:szCs w:val="24"/>
          <w:lang w:val="en-US"/>
        </w:rPr>
        <w:t xml:space="preserve"> et al.</w:t>
      </w:r>
      <w:r>
        <w:rPr>
          <w:rFonts w:ascii="Calibri" w:hAnsi="Calibri"/>
          <w:noProof/>
          <w:sz w:val="24"/>
          <w:szCs w:val="24"/>
          <w:lang w:val="en-US"/>
        </w:rPr>
        <w:t>, 2016)</w:t>
      </w:r>
      <w:r w:rsidRPr="00677855">
        <w:rPr>
          <w:rFonts w:ascii="Calibri" w:hAnsi="Calibri"/>
          <w:sz w:val="24"/>
          <w:szCs w:val="24"/>
          <w:lang w:val="en-US"/>
        </w:rPr>
        <w:t>.</w:t>
      </w:r>
      <w:r w:rsidRPr="0044080B">
        <w:rPr>
          <w:rFonts w:ascii="Calibri" w:hAnsi="Calibri"/>
          <w:sz w:val="24"/>
          <w:szCs w:val="24"/>
          <w:lang w:val="en-US"/>
        </w:rPr>
        <w:t xml:space="preserve"> </w:t>
      </w:r>
      <w:r>
        <w:rPr>
          <w:rFonts w:ascii="Calibri" w:hAnsi="Calibri"/>
          <w:sz w:val="24"/>
          <w:szCs w:val="24"/>
          <w:lang w:val="en-US"/>
        </w:rPr>
        <w:t xml:space="preserve">However, sandwich cultures in which the ECM </w:t>
      </w:r>
      <w:r w:rsidRPr="008B6E98">
        <w:rPr>
          <w:rFonts w:ascii="Calibri" w:hAnsi="Calibri"/>
          <w:sz w:val="24"/>
          <w:szCs w:val="24"/>
          <w:lang w:val="en-US"/>
        </w:rPr>
        <w:t xml:space="preserve">overlay </w:t>
      </w:r>
      <w:r>
        <w:rPr>
          <w:rFonts w:ascii="Calibri" w:hAnsi="Calibri"/>
          <w:sz w:val="24"/>
          <w:szCs w:val="24"/>
          <w:lang w:val="en-US"/>
        </w:rPr>
        <w:t xml:space="preserve">is renewed </w:t>
      </w:r>
      <w:r w:rsidRPr="008B6E98">
        <w:rPr>
          <w:rFonts w:ascii="Calibri" w:hAnsi="Calibri"/>
          <w:sz w:val="24"/>
          <w:szCs w:val="24"/>
          <w:lang w:val="en-US"/>
        </w:rPr>
        <w:t>every 3</w:t>
      </w:r>
      <w:r>
        <w:rPr>
          <w:rFonts w:ascii="Calibri" w:hAnsi="Calibri"/>
          <w:sz w:val="24"/>
          <w:szCs w:val="24"/>
          <w:lang w:val="en-US"/>
        </w:rPr>
        <w:t xml:space="preserve">-4 </w:t>
      </w:r>
      <w:r w:rsidRPr="008B6E98">
        <w:rPr>
          <w:rFonts w:ascii="Calibri" w:hAnsi="Calibri"/>
          <w:sz w:val="24"/>
          <w:szCs w:val="24"/>
          <w:lang w:val="en-US"/>
        </w:rPr>
        <w:t>day</w:t>
      </w:r>
      <w:r>
        <w:rPr>
          <w:rFonts w:ascii="Calibri" w:hAnsi="Calibri"/>
          <w:sz w:val="24"/>
          <w:szCs w:val="24"/>
          <w:lang w:val="en-US"/>
        </w:rPr>
        <w:t xml:space="preserve">s, </w:t>
      </w:r>
      <w:r w:rsidRPr="00677855">
        <w:rPr>
          <w:rFonts w:ascii="Calibri" w:hAnsi="Calibri"/>
          <w:sz w:val="24"/>
          <w:szCs w:val="24"/>
          <w:lang w:val="en-US"/>
        </w:rPr>
        <w:t>hereafter referred to as sandwich cultures (2Dsw),</w:t>
      </w:r>
      <w:r w:rsidRPr="008B6E98">
        <w:rPr>
          <w:rFonts w:ascii="Calibri" w:hAnsi="Calibri"/>
          <w:sz w:val="24"/>
          <w:szCs w:val="24"/>
          <w:lang w:val="en-US"/>
        </w:rPr>
        <w:t xml:space="preserve"> </w:t>
      </w:r>
      <w:r>
        <w:rPr>
          <w:rFonts w:ascii="Calibri" w:hAnsi="Calibri"/>
          <w:sz w:val="24"/>
          <w:szCs w:val="24"/>
          <w:lang w:val="en-US"/>
        </w:rPr>
        <w:t xml:space="preserve">reduces dedifferentiation and extends </w:t>
      </w:r>
      <w:r w:rsidRPr="008B6E98">
        <w:rPr>
          <w:rFonts w:ascii="Calibri" w:hAnsi="Calibri"/>
          <w:sz w:val="24"/>
          <w:szCs w:val="24"/>
          <w:lang w:val="en-US"/>
        </w:rPr>
        <w:t>culture (and exposure) times up to 14</w:t>
      </w:r>
      <w:r>
        <w:rPr>
          <w:rFonts w:ascii="Calibri" w:hAnsi="Calibri"/>
          <w:sz w:val="24"/>
          <w:szCs w:val="24"/>
          <w:lang w:val="en-US"/>
        </w:rPr>
        <w:t xml:space="preserve"> </w:t>
      </w:r>
      <w:r w:rsidRPr="008B6E98">
        <w:rPr>
          <w:rFonts w:ascii="Calibri" w:hAnsi="Calibri"/>
          <w:sz w:val="24"/>
          <w:szCs w:val="24"/>
          <w:lang w:val="en-US"/>
        </w:rPr>
        <w:t>days</w:t>
      </w:r>
      <w:r>
        <w:rPr>
          <w:rFonts w:ascii="Calibri" w:hAnsi="Calibri"/>
          <w:sz w:val="24"/>
          <w:szCs w:val="24"/>
          <w:lang w:val="en-US"/>
        </w:rPr>
        <w:t xml:space="preserve">, thus providing a promising tool to investigate long-term hepatotoxicity </w:t>
      </w:r>
      <w:r>
        <w:rPr>
          <w:rFonts w:ascii="Calibri" w:hAnsi="Calibri"/>
          <w:noProof/>
          <w:sz w:val="24"/>
          <w:szCs w:val="24"/>
          <w:lang w:val="en-US"/>
        </w:rPr>
        <w:t>(Bellwon</w:t>
      </w:r>
      <w:r w:rsidRPr="007D68DF">
        <w:rPr>
          <w:rFonts w:ascii="Calibri" w:hAnsi="Calibri"/>
          <w:i/>
          <w:noProof/>
          <w:sz w:val="24"/>
          <w:szCs w:val="24"/>
          <w:lang w:val="en-US"/>
        </w:rPr>
        <w:t xml:space="preserve"> et al.</w:t>
      </w:r>
      <w:r>
        <w:rPr>
          <w:rFonts w:ascii="Calibri" w:hAnsi="Calibri"/>
          <w:noProof/>
          <w:sz w:val="24"/>
          <w:szCs w:val="24"/>
          <w:lang w:val="en-US"/>
        </w:rPr>
        <w:t>, 2015;  Parmentier</w:t>
      </w:r>
      <w:r w:rsidRPr="007D68DF">
        <w:rPr>
          <w:rFonts w:ascii="Calibri" w:hAnsi="Calibri"/>
          <w:i/>
          <w:noProof/>
          <w:sz w:val="24"/>
          <w:szCs w:val="24"/>
          <w:lang w:val="en-US"/>
        </w:rPr>
        <w:t xml:space="preserve"> et al.</w:t>
      </w:r>
      <w:r>
        <w:rPr>
          <w:rFonts w:ascii="Calibri" w:hAnsi="Calibri"/>
          <w:noProof/>
          <w:sz w:val="24"/>
          <w:szCs w:val="24"/>
          <w:lang w:val="en-US"/>
        </w:rPr>
        <w:t>, 2013)</w:t>
      </w:r>
      <w:r>
        <w:rPr>
          <w:rFonts w:ascii="Calibri" w:hAnsi="Calibri"/>
          <w:sz w:val="24"/>
          <w:szCs w:val="24"/>
          <w:lang w:val="en-US"/>
        </w:rPr>
        <w:t xml:space="preserve">. </w:t>
      </w:r>
    </w:p>
    <w:p w14:paraId="047BD90F" w14:textId="77777777" w:rsidR="00E831B6" w:rsidRPr="00677855" w:rsidRDefault="00E831B6" w:rsidP="00017836">
      <w:pPr>
        <w:spacing w:line="480" w:lineRule="auto"/>
        <w:jc w:val="both"/>
        <w:rPr>
          <w:rFonts w:ascii="Calibri" w:hAnsi="Calibri"/>
          <w:sz w:val="24"/>
          <w:szCs w:val="24"/>
          <w:lang w:val="en-US"/>
        </w:rPr>
      </w:pPr>
    </w:p>
    <w:p w14:paraId="1E42C215" w14:textId="62A633E0"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Culturing PHH as spheroidal structures generated by gravitational aggregation in hanging- drop</w:t>
      </w:r>
      <w:r>
        <w:rPr>
          <w:rFonts w:ascii="Calibri" w:hAnsi="Calibri"/>
          <w:sz w:val="24"/>
          <w:szCs w:val="24"/>
          <w:lang w:val="en-US"/>
        </w:rPr>
        <w:t>s</w:t>
      </w:r>
      <w:r w:rsidRPr="00677855">
        <w:rPr>
          <w:rFonts w:ascii="Calibri" w:hAnsi="Calibri"/>
          <w:sz w:val="24"/>
          <w:szCs w:val="24"/>
          <w:lang w:val="en-US"/>
        </w:rPr>
        <w:t xml:space="preserve"> or on ultralow attachment (ULA) surfaces represents another emerging high-</w:t>
      </w:r>
      <w:r w:rsidRPr="00677855">
        <w:rPr>
          <w:rFonts w:ascii="Calibri" w:hAnsi="Calibri"/>
          <w:sz w:val="24"/>
          <w:szCs w:val="24"/>
          <w:lang w:val="en-US"/>
        </w:rPr>
        <w:lastRenderedPageBreak/>
        <w:t xml:space="preserve">throughput compatible method for assessing compound liabilities. Importantly, whole proteome analyses revealed that the molecular phenotypes of </w:t>
      </w:r>
      <w:r w:rsidRPr="00677855">
        <w:rPr>
          <w:rFonts w:ascii="Calibri" w:hAnsi="Calibri"/>
          <w:i/>
          <w:sz w:val="24"/>
          <w:szCs w:val="24"/>
          <w:lang w:val="en-US"/>
        </w:rPr>
        <w:t>in vivo</w:t>
      </w:r>
      <w:r w:rsidRPr="00677855">
        <w:rPr>
          <w:rFonts w:ascii="Calibri" w:hAnsi="Calibri"/>
          <w:sz w:val="24"/>
          <w:szCs w:val="24"/>
          <w:lang w:val="en-US"/>
        </w:rPr>
        <w:t xml:space="preserve"> liver tissues are conserved in spheroid cultures, thus rendering this model system suitable to study </w:t>
      </w:r>
      <w:r w:rsidRPr="00677855">
        <w:rPr>
          <w:rFonts w:ascii="Calibri" w:hAnsi="Calibri"/>
          <w:bCs/>
          <w:sz w:val="24"/>
          <w:szCs w:val="24"/>
          <w:lang w:val="en-US"/>
        </w:rPr>
        <w:t xml:space="preserve">liver functions and drug-induced liver injury in a microphysiological setting </w:t>
      </w:r>
      <w:r>
        <w:rPr>
          <w:rFonts w:ascii="Calibri" w:hAnsi="Calibri"/>
          <w:bCs/>
          <w:noProof/>
          <w:sz w:val="24"/>
          <w:szCs w:val="24"/>
          <w:lang w:val="en-US"/>
        </w:rPr>
        <w:t>(Bell</w:t>
      </w:r>
      <w:r w:rsidRPr="007D68DF">
        <w:rPr>
          <w:rFonts w:ascii="Calibri" w:hAnsi="Calibri"/>
          <w:bCs/>
          <w:i/>
          <w:noProof/>
          <w:sz w:val="24"/>
          <w:szCs w:val="24"/>
          <w:lang w:val="en-US"/>
        </w:rPr>
        <w:t xml:space="preserve"> et al.</w:t>
      </w:r>
      <w:r>
        <w:rPr>
          <w:rFonts w:ascii="Calibri" w:hAnsi="Calibri"/>
          <w:bCs/>
          <w:noProof/>
          <w:sz w:val="24"/>
          <w:szCs w:val="24"/>
          <w:lang w:val="en-US"/>
        </w:rPr>
        <w:t>, 2016)</w:t>
      </w:r>
      <w:r w:rsidRPr="00677855">
        <w:rPr>
          <w:rFonts w:ascii="Calibri" w:hAnsi="Calibri"/>
          <w:bCs/>
          <w:sz w:val="24"/>
          <w:szCs w:val="24"/>
          <w:lang w:val="en-US"/>
        </w:rPr>
        <w:t xml:space="preserve">. Hepatic spheroids are phenotypically and functionally stable over at least five weeks in culture and maintain </w:t>
      </w:r>
      <w:r w:rsidRPr="00677855">
        <w:rPr>
          <w:rFonts w:ascii="Calibri" w:hAnsi="Calibri"/>
          <w:sz w:val="24"/>
          <w:szCs w:val="24"/>
          <w:lang w:val="en-US"/>
        </w:rPr>
        <w:t xml:space="preserve">endogenous </w:t>
      </w:r>
      <w:r w:rsidRPr="00017836">
        <w:rPr>
          <w:rFonts w:ascii="Calibri" w:hAnsi="Calibri"/>
          <w:sz w:val="24"/>
          <w:szCs w:val="24"/>
          <w:lang w:val="en-US"/>
        </w:rPr>
        <w:t>hepatic functions, such as albumin and urea production as well as glycogen storage</w:t>
      </w:r>
      <w:r w:rsidRPr="00017836">
        <w:rPr>
          <w:rFonts w:ascii="Calibri" w:hAnsi="Calibri"/>
          <w:bCs/>
          <w:sz w:val="24"/>
          <w:szCs w:val="24"/>
          <w:lang w:val="en-US"/>
        </w:rPr>
        <w:t xml:space="preserve"> </w:t>
      </w:r>
      <w:r w:rsidRPr="00017836">
        <w:rPr>
          <w:rFonts w:ascii="Calibri" w:hAnsi="Calibri"/>
          <w:bCs/>
          <w:noProof/>
          <w:sz w:val="24"/>
          <w:szCs w:val="24"/>
          <w:lang w:val="en-US"/>
        </w:rPr>
        <w:t>(</w:t>
      </w:r>
      <w:r w:rsidR="00017836" w:rsidRPr="000A7195">
        <w:rPr>
          <w:rFonts w:ascii="Calibri" w:hAnsi="Calibri"/>
          <w:bCs/>
          <w:noProof/>
          <w:sz w:val="24"/>
          <w:szCs w:val="24"/>
          <w:lang w:val="en-US"/>
        </w:rPr>
        <w:t xml:space="preserve">Bell </w:t>
      </w:r>
      <w:r w:rsidR="00017836" w:rsidRPr="000A7195">
        <w:rPr>
          <w:rFonts w:ascii="Calibri" w:hAnsi="Calibri"/>
          <w:bCs/>
          <w:i/>
          <w:noProof/>
          <w:sz w:val="24"/>
          <w:szCs w:val="24"/>
          <w:lang w:val="en-US"/>
        </w:rPr>
        <w:t>et al</w:t>
      </w:r>
      <w:r w:rsidR="00017836" w:rsidRPr="000A7195">
        <w:rPr>
          <w:rFonts w:ascii="Calibri" w:hAnsi="Calibri"/>
          <w:bCs/>
          <w:noProof/>
          <w:sz w:val="24"/>
          <w:szCs w:val="24"/>
          <w:lang w:val="en-US"/>
        </w:rPr>
        <w:t xml:space="preserve">., 2016; Messner </w:t>
      </w:r>
      <w:r w:rsidR="00017836" w:rsidRPr="000A7195">
        <w:rPr>
          <w:rFonts w:ascii="Calibri" w:hAnsi="Calibri"/>
          <w:bCs/>
          <w:i/>
          <w:noProof/>
          <w:sz w:val="24"/>
          <w:szCs w:val="24"/>
          <w:lang w:val="en-US"/>
        </w:rPr>
        <w:t>et al</w:t>
      </w:r>
      <w:r w:rsidR="00017836" w:rsidRPr="000A7195">
        <w:rPr>
          <w:rFonts w:ascii="Calibri" w:hAnsi="Calibri"/>
          <w:bCs/>
          <w:noProof/>
          <w:sz w:val="24"/>
          <w:szCs w:val="24"/>
          <w:lang w:val="en-US"/>
        </w:rPr>
        <w:t>., 2017)</w:t>
      </w:r>
      <w:r w:rsidRPr="00017836">
        <w:rPr>
          <w:rFonts w:ascii="Calibri" w:hAnsi="Calibri"/>
          <w:sz w:val="24"/>
          <w:szCs w:val="24"/>
          <w:lang w:val="en-US"/>
        </w:rPr>
        <w:t>. Furthermore</w:t>
      </w:r>
      <w:r w:rsidRPr="00677855">
        <w:rPr>
          <w:rFonts w:ascii="Calibri" w:hAnsi="Calibri"/>
          <w:sz w:val="24"/>
          <w:szCs w:val="24"/>
          <w:lang w:val="en-US"/>
        </w:rPr>
        <w:t xml:space="preserve">, PHH spheroids retain drug metabolizing capacities and metabolic profiles of freshly isolated </w:t>
      </w:r>
      <w:r>
        <w:rPr>
          <w:rFonts w:ascii="Calibri" w:hAnsi="Calibri"/>
          <w:sz w:val="24"/>
          <w:szCs w:val="24"/>
          <w:lang w:val="en-US"/>
        </w:rPr>
        <w:t xml:space="preserve">or cryopreserved </w:t>
      </w:r>
      <w:r w:rsidRPr="00677855">
        <w:rPr>
          <w:rFonts w:ascii="Calibri" w:hAnsi="Calibri"/>
          <w:sz w:val="24"/>
          <w:szCs w:val="24"/>
          <w:lang w:val="en-US"/>
        </w:rPr>
        <w:t>hepatocytes</w:t>
      </w:r>
      <w:r>
        <w:rPr>
          <w:rFonts w:ascii="Calibri" w:hAnsi="Calibri"/>
          <w:sz w:val="24"/>
          <w:szCs w:val="24"/>
          <w:lang w:val="en-US"/>
        </w:rPr>
        <w:t>,</w:t>
      </w:r>
      <w:r w:rsidRPr="00677855">
        <w:rPr>
          <w:rFonts w:ascii="Calibri" w:hAnsi="Calibri"/>
          <w:sz w:val="24"/>
          <w:szCs w:val="24"/>
          <w:lang w:val="en-US"/>
        </w:rPr>
        <w:t xml:space="preserve"> </w:t>
      </w:r>
      <w:r>
        <w:rPr>
          <w:rFonts w:ascii="Calibri" w:hAnsi="Calibri"/>
          <w:sz w:val="24"/>
          <w:szCs w:val="24"/>
          <w:lang w:val="en-US"/>
        </w:rPr>
        <w:t>enabling</w:t>
      </w:r>
      <w:r w:rsidRPr="00677855">
        <w:rPr>
          <w:rFonts w:ascii="Calibri" w:hAnsi="Calibri"/>
          <w:sz w:val="24"/>
          <w:szCs w:val="24"/>
          <w:lang w:val="en-US"/>
        </w:rPr>
        <w:t xml:space="preserve"> </w:t>
      </w:r>
      <w:r>
        <w:rPr>
          <w:rFonts w:ascii="Calibri" w:hAnsi="Calibri"/>
          <w:sz w:val="24"/>
          <w:szCs w:val="24"/>
          <w:lang w:val="en-US"/>
        </w:rPr>
        <w:t>the emulation of</w:t>
      </w:r>
      <w:r w:rsidRPr="00677855">
        <w:rPr>
          <w:rFonts w:ascii="Calibri" w:hAnsi="Calibri"/>
          <w:sz w:val="24"/>
          <w:szCs w:val="24"/>
          <w:lang w:val="en-US"/>
        </w:rPr>
        <w:t xml:space="preserve"> pharmacokinetic differences between donors, rendering them suitable for </w:t>
      </w:r>
      <w:r w:rsidRPr="00677855">
        <w:rPr>
          <w:rFonts w:ascii="Calibri" w:hAnsi="Calibri"/>
          <w:i/>
          <w:sz w:val="24"/>
          <w:szCs w:val="24"/>
          <w:lang w:val="en-US"/>
        </w:rPr>
        <w:t>in vitro</w:t>
      </w:r>
      <w:r w:rsidRPr="00677855">
        <w:rPr>
          <w:rFonts w:ascii="Calibri" w:hAnsi="Calibri"/>
          <w:sz w:val="24"/>
          <w:szCs w:val="24"/>
          <w:lang w:val="en-US"/>
        </w:rPr>
        <w:t xml:space="preserve"> studies of long-term drug metabolism </w:t>
      </w:r>
      <w:r>
        <w:rPr>
          <w:rFonts w:ascii="Calibri" w:hAnsi="Calibri"/>
          <w:noProof/>
          <w:sz w:val="24"/>
          <w:szCs w:val="24"/>
          <w:lang w:val="en-US"/>
        </w:rPr>
        <w:t>(Vorrink</w:t>
      </w:r>
      <w:r w:rsidRPr="007D68DF">
        <w:rPr>
          <w:rFonts w:ascii="Calibri" w:hAnsi="Calibri"/>
          <w:i/>
          <w:noProof/>
          <w:sz w:val="24"/>
          <w:szCs w:val="24"/>
          <w:lang w:val="en-US"/>
        </w:rPr>
        <w:t xml:space="preserve"> et al.</w:t>
      </w:r>
      <w:r>
        <w:rPr>
          <w:rFonts w:ascii="Calibri" w:hAnsi="Calibri"/>
          <w:noProof/>
          <w:sz w:val="24"/>
          <w:szCs w:val="24"/>
          <w:lang w:val="en-US"/>
        </w:rPr>
        <w:t>, 2017)</w:t>
      </w:r>
      <w:r w:rsidRPr="00677855">
        <w:rPr>
          <w:rFonts w:ascii="Calibri" w:hAnsi="Calibri"/>
          <w:sz w:val="24"/>
          <w:szCs w:val="24"/>
          <w:lang w:val="en-US"/>
        </w:rPr>
        <w:t>.</w:t>
      </w:r>
    </w:p>
    <w:p w14:paraId="021C6ADC" w14:textId="77777777" w:rsidR="00E831B6" w:rsidRPr="00677855" w:rsidRDefault="00E831B6" w:rsidP="00017836">
      <w:pPr>
        <w:spacing w:line="480" w:lineRule="auto"/>
        <w:jc w:val="both"/>
        <w:rPr>
          <w:rFonts w:ascii="Calibri" w:hAnsi="Calibri"/>
          <w:sz w:val="24"/>
          <w:szCs w:val="24"/>
          <w:lang w:val="en-US"/>
        </w:rPr>
      </w:pPr>
    </w:p>
    <w:p w14:paraId="173C3B7D" w14:textId="3F487A81"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Despite available characterization data of </w:t>
      </w:r>
      <w:r>
        <w:rPr>
          <w:rFonts w:ascii="Calibri" w:hAnsi="Calibri"/>
          <w:sz w:val="24"/>
          <w:szCs w:val="24"/>
          <w:lang w:val="en-US"/>
        </w:rPr>
        <w:t>2Dsw</w:t>
      </w:r>
      <w:r w:rsidRPr="00677855">
        <w:rPr>
          <w:rFonts w:ascii="Calibri" w:hAnsi="Calibri"/>
          <w:sz w:val="24"/>
          <w:szCs w:val="24"/>
          <w:lang w:val="en-US"/>
        </w:rPr>
        <w:t xml:space="preserve"> and </w:t>
      </w:r>
      <w:r>
        <w:rPr>
          <w:rFonts w:ascii="Calibri" w:hAnsi="Calibri"/>
          <w:sz w:val="24"/>
          <w:szCs w:val="24"/>
          <w:lang w:val="en-US"/>
        </w:rPr>
        <w:t xml:space="preserve">3D </w:t>
      </w:r>
      <w:r w:rsidRPr="00677855">
        <w:rPr>
          <w:rFonts w:ascii="Calibri" w:hAnsi="Calibri"/>
          <w:sz w:val="24"/>
          <w:szCs w:val="24"/>
          <w:lang w:val="en-US"/>
        </w:rPr>
        <w:t>spheroid cultures, no comparison of the two systems has been reported in long-term cultures. In this study we therefore comprehensively compared the changes in cellular phenotypes during long-term cultures using global proteomic analyses and benchmark</w:t>
      </w:r>
      <w:r>
        <w:rPr>
          <w:rFonts w:ascii="Calibri" w:hAnsi="Calibri"/>
          <w:sz w:val="24"/>
          <w:szCs w:val="24"/>
          <w:lang w:val="en-US"/>
        </w:rPr>
        <w:t>ed</w:t>
      </w:r>
      <w:r w:rsidRPr="00677855">
        <w:rPr>
          <w:rFonts w:ascii="Calibri" w:hAnsi="Calibri"/>
          <w:sz w:val="24"/>
          <w:szCs w:val="24"/>
          <w:lang w:val="en-US"/>
        </w:rPr>
        <w:t xml:space="preserve"> </w:t>
      </w:r>
      <w:r>
        <w:rPr>
          <w:rFonts w:ascii="Calibri" w:hAnsi="Calibri"/>
          <w:sz w:val="24"/>
          <w:szCs w:val="24"/>
          <w:lang w:val="en-US"/>
        </w:rPr>
        <w:t xml:space="preserve">cryopreserved </w:t>
      </w:r>
      <w:r w:rsidRPr="00677855">
        <w:rPr>
          <w:rFonts w:ascii="Calibri" w:hAnsi="Calibri"/>
          <w:sz w:val="24"/>
          <w:szCs w:val="24"/>
          <w:lang w:val="en-US"/>
        </w:rPr>
        <w:t xml:space="preserve">PHH </w:t>
      </w:r>
      <w:r>
        <w:rPr>
          <w:rFonts w:ascii="Calibri" w:hAnsi="Calibri"/>
          <w:sz w:val="24"/>
          <w:szCs w:val="24"/>
          <w:lang w:val="en-US"/>
        </w:rPr>
        <w:t xml:space="preserve">in 3D </w:t>
      </w:r>
      <w:r w:rsidRPr="00677855">
        <w:rPr>
          <w:rFonts w:ascii="Calibri" w:hAnsi="Calibri"/>
          <w:sz w:val="24"/>
          <w:szCs w:val="24"/>
          <w:lang w:val="en-US"/>
        </w:rPr>
        <w:t>spheroid</w:t>
      </w:r>
      <w:r>
        <w:rPr>
          <w:rFonts w:ascii="Calibri" w:hAnsi="Calibri"/>
          <w:sz w:val="24"/>
          <w:szCs w:val="24"/>
          <w:lang w:val="en-US"/>
        </w:rPr>
        <w:t xml:space="preserve"> and</w:t>
      </w:r>
      <w:r w:rsidRPr="00677855">
        <w:rPr>
          <w:rFonts w:ascii="Calibri" w:hAnsi="Calibri"/>
          <w:sz w:val="24"/>
          <w:szCs w:val="24"/>
          <w:lang w:val="en-US"/>
        </w:rPr>
        <w:t xml:space="preserve"> </w:t>
      </w:r>
      <w:r>
        <w:rPr>
          <w:rFonts w:ascii="Calibri" w:hAnsi="Calibri"/>
          <w:sz w:val="24"/>
          <w:szCs w:val="24"/>
          <w:lang w:val="en-US"/>
        </w:rPr>
        <w:t>2Dsw</w:t>
      </w:r>
      <w:r w:rsidRPr="00677855">
        <w:rPr>
          <w:rFonts w:ascii="Calibri" w:hAnsi="Calibri"/>
          <w:sz w:val="24"/>
          <w:szCs w:val="24"/>
          <w:lang w:val="en-US"/>
        </w:rPr>
        <w:t xml:space="preserve"> cultures in repeated dose toxicity assays. In addition, we assessed the robustness of the two model systems considering both inter-donor and </w:t>
      </w:r>
      <w:r>
        <w:rPr>
          <w:rFonts w:ascii="Calibri" w:hAnsi="Calibri"/>
          <w:sz w:val="24"/>
          <w:szCs w:val="24"/>
          <w:lang w:val="en-US"/>
        </w:rPr>
        <w:t xml:space="preserve">inter-laboratory </w:t>
      </w:r>
      <w:r w:rsidRPr="00677855">
        <w:rPr>
          <w:rFonts w:ascii="Calibri" w:hAnsi="Calibri"/>
          <w:sz w:val="24"/>
          <w:szCs w:val="24"/>
          <w:lang w:val="en-US"/>
        </w:rPr>
        <w:t xml:space="preserve">variability and compared their suitability for use in repeated-dose toxicity studies in a multi-center study </w:t>
      </w:r>
      <w:r>
        <w:rPr>
          <w:rFonts w:ascii="Calibri" w:hAnsi="Calibri"/>
          <w:sz w:val="24"/>
          <w:szCs w:val="24"/>
          <w:lang w:val="en-US"/>
        </w:rPr>
        <w:t>across</w:t>
      </w:r>
      <w:r w:rsidRPr="00677855">
        <w:rPr>
          <w:rFonts w:ascii="Calibri" w:hAnsi="Calibri"/>
          <w:sz w:val="24"/>
          <w:szCs w:val="24"/>
          <w:lang w:val="en-US"/>
        </w:rPr>
        <w:t xml:space="preserve"> both academic and industrial laboratories</w:t>
      </w:r>
      <w:r>
        <w:rPr>
          <w:rFonts w:ascii="Calibri" w:hAnsi="Calibri"/>
          <w:sz w:val="24"/>
          <w:szCs w:val="24"/>
          <w:lang w:val="en-US"/>
        </w:rPr>
        <w:t xml:space="preserve"> within the IMI - MIP-DILI project</w:t>
      </w:r>
      <w:r w:rsidRPr="00677855">
        <w:rPr>
          <w:rFonts w:ascii="Calibri" w:hAnsi="Calibri"/>
          <w:sz w:val="24"/>
          <w:szCs w:val="24"/>
          <w:lang w:val="en-US"/>
        </w:rPr>
        <w:t xml:space="preserve">. </w:t>
      </w:r>
    </w:p>
    <w:p w14:paraId="7CC2DB6A" w14:textId="77777777" w:rsidR="00E831B6" w:rsidRPr="00677855" w:rsidRDefault="00E831B6" w:rsidP="00017836">
      <w:pPr>
        <w:spacing w:line="480" w:lineRule="auto"/>
        <w:jc w:val="both"/>
        <w:rPr>
          <w:rFonts w:ascii="Calibri" w:hAnsi="Calibri"/>
          <w:sz w:val="24"/>
          <w:szCs w:val="24"/>
          <w:lang w:val="en-US"/>
        </w:rPr>
      </w:pPr>
    </w:p>
    <w:p w14:paraId="5A685A68" w14:textId="77777777" w:rsidR="00E831B6" w:rsidRPr="00677855" w:rsidRDefault="00E831B6" w:rsidP="00017836">
      <w:pPr>
        <w:spacing w:line="480" w:lineRule="auto"/>
        <w:jc w:val="both"/>
        <w:rPr>
          <w:rFonts w:ascii="Calibri" w:hAnsi="Calibri"/>
          <w:sz w:val="24"/>
          <w:szCs w:val="24"/>
          <w:lang w:val="en-US"/>
        </w:rPr>
      </w:pPr>
    </w:p>
    <w:p w14:paraId="70612D02"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lastRenderedPageBreak/>
        <w:t>Materials and methods</w:t>
      </w:r>
    </w:p>
    <w:p w14:paraId="5B088EC6" w14:textId="77777777"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A harmonized protocol was generated and circulated to all six participating laboratories. Three </w:t>
      </w:r>
      <w:r>
        <w:rPr>
          <w:rFonts w:ascii="Calibri" w:hAnsi="Calibri"/>
          <w:sz w:val="24"/>
          <w:szCs w:val="24"/>
          <w:lang w:val="en-US"/>
        </w:rPr>
        <w:t>cryopreserved PHH</w:t>
      </w:r>
      <w:r w:rsidRPr="00677855">
        <w:rPr>
          <w:rFonts w:ascii="Calibri" w:hAnsi="Calibri"/>
          <w:sz w:val="24"/>
          <w:szCs w:val="24"/>
          <w:lang w:val="en-US"/>
        </w:rPr>
        <w:t xml:space="preserve"> donors were used in the study, and the experimental setup was designed with the aim of repeating the 3D</w:t>
      </w:r>
      <w:r>
        <w:rPr>
          <w:rFonts w:ascii="Calibri" w:hAnsi="Calibri"/>
          <w:sz w:val="24"/>
          <w:szCs w:val="24"/>
          <w:lang w:val="en-US"/>
        </w:rPr>
        <w:t xml:space="preserve"> spheroid</w:t>
      </w:r>
      <w:r w:rsidRPr="00677855">
        <w:rPr>
          <w:rFonts w:ascii="Calibri" w:hAnsi="Calibri"/>
          <w:sz w:val="24"/>
          <w:szCs w:val="24"/>
          <w:lang w:val="en-US"/>
        </w:rPr>
        <w:t xml:space="preserve"> incubations at least three times across different laboratories for each of these donors. In addition, two labs performed 3D </w:t>
      </w:r>
      <w:r>
        <w:rPr>
          <w:rFonts w:ascii="Calibri" w:hAnsi="Calibri"/>
          <w:sz w:val="24"/>
          <w:szCs w:val="24"/>
          <w:lang w:val="en-US"/>
        </w:rPr>
        <w:t xml:space="preserve">spheroid </w:t>
      </w:r>
      <w:r w:rsidRPr="00677855">
        <w:rPr>
          <w:rFonts w:ascii="Calibri" w:hAnsi="Calibri"/>
          <w:sz w:val="24"/>
          <w:szCs w:val="24"/>
          <w:lang w:val="en-US"/>
        </w:rPr>
        <w:t xml:space="preserve">cytotoxicity experiments for all three donors at the same site (Table 1). </w:t>
      </w:r>
    </w:p>
    <w:p w14:paraId="725A353E" w14:textId="77777777" w:rsidR="00E831B6" w:rsidRDefault="00E831B6" w:rsidP="00017836">
      <w:pPr>
        <w:spacing w:line="480" w:lineRule="auto"/>
        <w:jc w:val="both"/>
        <w:rPr>
          <w:rFonts w:ascii="Calibri" w:hAnsi="Calibri"/>
          <w:sz w:val="24"/>
          <w:szCs w:val="24"/>
          <w:lang w:val="en-US"/>
        </w:rPr>
      </w:pPr>
    </w:p>
    <w:p w14:paraId="09B97A45" w14:textId="77777777" w:rsidR="00E831B6" w:rsidRPr="0033728F" w:rsidRDefault="00E831B6" w:rsidP="00017836">
      <w:pPr>
        <w:spacing w:line="480" w:lineRule="auto"/>
        <w:jc w:val="both"/>
        <w:rPr>
          <w:rFonts w:ascii="Calibri" w:hAnsi="Calibri"/>
          <w:b/>
          <w:sz w:val="24"/>
          <w:szCs w:val="24"/>
          <w:lang w:val="en-US"/>
        </w:rPr>
      </w:pPr>
      <w:r>
        <w:rPr>
          <w:rFonts w:ascii="Calibri" w:hAnsi="Calibri"/>
          <w:b/>
          <w:sz w:val="24"/>
          <w:szCs w:val="24"/>
          <w:lang w:val="en-US"/>
        </w:rPr>
        <w:t>Chemicals and r</w:t>
      </w:r>
      <w:r w:rsidRPr="0033728F">
        <w:rPr>
          <w:rFonts w:ascii="Calibri" w:hAnsi="Calibri"/>
          <w:b/>
          <w:sz w:val="24"/>
          <w:szCs w:val="24"/>
          <w:lang w:val="en-US"/>
        </w:rPr>
        <w:t>eagents</w:t>
      </w:r>
    </w:p>
    <w:p w14:paraId="2B946E87" w14:textId="5A9083B3" w:rsidR="00E831B6" w:rsidRDefault="00E831B6" w:rsidP="00017836">
      <w:pPr>
        <w:spacing w:line="480" w:lineRule="auto"/>
        <w:jc w:val="both"/>
        <w:rPr>
          <w:rFonts w:ascii="Calibri" w:hAnsi="Calibri"/>
          <w:sz w:val="24"/>
          <w:szCs w:val="24"/>
          <w:lang w:val="en-US"/>
        </w:rPr>
      </w:pPr>
      <w:r w:rsidRPr="0033728F">
        <w:rPr>
          <w:rFonts w:ascii="Calibri" w:hAnsi="Calibri"/>
          <w:bCs/>
          <w:sz w:val="24"/>
          <w:szCs w:val="24"/>
          <w:lang w:val="en-US"/>
        </w:rPr>
        <w:t xml:space="preserve">Matrigel </w:t>
      </w:r>
      <w:r>
        <w:rPr>
          <w:rFonts w:ascii="Calibri" w:hAnsi="Calibri"/>
          <w:bCs/>
          <w:sz w:val="24"/>
          <w:szCs w:val="24"/>
          <w:lang w:val="en-US"/>
        </w:rPr>
        <w:t xml:space="preserve">was obtained </w:t>
      </w:r>
      <w:r w:rsidRPr="0033728F">
        <w:rPr>
          <w:rFonts w:ascii="Calibri" w:hAnsi="Calibri"/>
          <w:bCs/>
          <w:sz w:val="24"/>
          <w:szCs w:val="24"/>
          <w:lang w:val="en-US"/>
        </w:rPr>
        <w:t xml:space="preserve">from Corning (Avon, France), </w:t>
      </w:r>
      <w:r>
        <w:rPr>
          <w:rFonts w:ascii="Calibri" w:hAnsi="Calibri"/>
          <w:bCs/>
          <w:sz w:val="24"/>
          <w:szCs w:val="24"/>
          <w:lang w:val="en-US"/>
        </w:rPr>
        <w:t>b</w:t>
      </w:r>
      <w:r w:rsidRPr="0033728F">
        <w:rPr>
          <w:rFonts w:ascii="Calibri" w:hAnsi="Calibri"/>
          <w:bCs/>
          <w:sz w:val="24"/>
          <w:szCs w:val="24"/>
          <w:lang w:val="en-US"/>
        </w:rPr>
        <w:t xml:space="preserve">osentan was </w:t>
      </w:r>
      <w:r>
        <w:rPr>
          <w:rFonts w:ascii="Calibri" w:hAnsi="Calibri"/>
          <w:bCs/>
          <w:sz w:val="24"/>
          <w:szCs w:val="24"/>
          <w:lang w:val="en-US"/>
        </w:rPr>
        <w:t xml:space="preserve">purchased </w:t>
      </w:r>
      <w:r w:rsidRPr="0033728F">
        <w:rPr>
          <w:rFonts w:ascii="Calibri" w:hAnsi="Calibri"/>
          <w:bCs/>
          <w:sz w:val="24"/>
          <w:szCs w:val="24"/>
          <w:lang w:val="en-US"/>
        </w:rPr>
        <w:t>from Sequoia (Pangbour</w:t>
      </w:r>
      <w:r>
        <w:rPr>
          <w:rFonts w:ascii="Calibri" w:hAnsi="Calibri"/>
          <w:bCs/>
          <w:sz w:val="24"/>
          <w:szCs w:val="24"/>
          <w:lang w:val="en-US"/>
        </w:rPr>
        <w:t>ne, UK) and f</w:t>
      </w:r>
      <w:r w:rsidRPr="0033728F">
        <w:rPr>
          <w:rFonts w:ascii="Calibri" w:hAnsi="Calibri"/>
          <w:bCs/>
          <w:sz w:val="24"/>
          <w:szCs w:val="24"/>
          <w:lang w:val="en-US"/>
        </w:rPr>
        <w:t xml:space="preserve">ialuridine from Carbosynth (Berkshire, UK). </w:t>
      </w:r>
      <w:r>
        <w:rPr>
          <w:rFonts w:ascii="Calibri" w:hAnsi="Calibri"/>
          <w:bCs/>
          <w:sz w:val="24"/>
          <w:szCs w:val="24"/>
          <w:lang w:val="en-US"/>
        </w:rPr>
        <w:t xml:space="preserve">Pioglitazone and troglitazone were obtained from </w:t>
      </w:r>
      <w:r w:rsidRPr="0092458F">
        <w:rPr>
          <w:rFonts w:ascii="Calibri" w:hAnsi="Calibri"/>
          <w:bCs/>
          <w:sz w:val="24"/>
          <w:szCs w:val="24"/>
          <w:lang w:val="en-US"/>
        </w:rPr>
        <w:t xml:space="preserve">AstraZeneca Compound Management, AstraZeneca R&amp;D </w:t>
      </w:r>
      <w:r>
        <w:rPr>
          <w:rFonts w:ascii="Calibri" w:hAnsi="Calibri"/>
          <w:bCs/>
          <w:sz w:val="24"/>
          <w:szCs w:val="24"/>
          <w:lang w:val="en-US"/>
        </w:rPr>
        <w:t>(</w:t>
      </w:r>
      <w:r w:rsidRPr="0092458F">
        <w:rPr>
          <w:rFonts w:ascii="Calibri" w:hAnsi="Calibri"/>
          <w:bCs/>
          <w:sz w:val="24"/>
          <w:szCs w:val="24"/>
          <w:lang w:val="en-US"/>
        </w:rPr>
        <w:t>Macclesfield, UK</w:t>
      </w:r>
      <w:r>
        <w:rPr>
          <w:rFonts w:ascii="Calibri" w:hAnsi="Calibri"/>
          <w:bCs/>
          <w:sz w:val="24"/>
          <w:szCs w:val="24"/>
          <w:lang w:val="en-US"/>
        </w:rPr>
        <w:t>).</w:t>
      </w:r>
      <w:r w:rsidRPr="0092458F">
        <w:rPr>
          <w:rFonts w:ascii="Calibri" w:hAnsi="Calibri"/>
          <w:bCs/>
          <w:sz w:val="24"/>
          <w:szCs w:val="24"/>
          <w:lang w:val="en-US"/>
        </w:rPr>
        <w:t xml:space="preserve"> </w:t>
      </w:r>
      <w:r>
        <w:rPr>
          <w:rFonts w:ascii="Calibri" w:hAnsi="Calibri"/>
          <w:bCs/>
          <w:sz w:val="24"/>
          <w:szCs w:val="24"/>
          <w:lang w:val="en-US"/>
        </w:rPr>
        <w:t xml:space="preserve">Hyclone </w:t>
      </w:r>
      <w:r w:rsidRPr="0033728F">
        <w:rPr>
          <w:rFonts w:ascii="Calibri" w:hAnsi="Calibri"/>
          <w:bCs/>
          <w:sz w:val="24"/>
          <w:szCs w:val="24"/>
          <w:lang w:val="en-US"/>
        </w:rPr>
        <w:t xml:space="preserve">Fetal Bovine Serum (FBS) was </w:t>
      </w:r>
      <w:r>
        <w:rPr>
          <w:rFonts w:ascii="Calibri" w:hAnsi="Calibri"/>
          <w:bCs/>
          <w:sz w:val="24"/>
          <w:szCs w:val="24"/>
          <w:lang w:val="en-US"/>
        </w:rPr>
        <w:t>obtained from</w:t>
      </w:r>
      <w:r w:rsidRPr="0033728F">
        <w:rPr>
          <w:rFonts w:ascii="Calibri" w:hAnsi="Calibri"/>
          <w:bCs/>
          <w:sz w:val="24"/>
          <w:szCs w:val="24"/>
          <w:lang w:val="en-US"/>
        </w:rPr>
        <w:t xml:space="preserve"> Thermofisher</w:t>
      </w:r>
      <w:r>
        <w:rPr>
          <w:rFonts w:ascii="Calibri" w:hAnsi="Calibri"/>
          <w:bCs/>
          <w:sz w:val="24"/>
          <w:szCs w:val="24"/>
          <w:lang w:val="en-US"/>
        </w:rPr>
        <w:t xml:space="preserve"> (</w:t>
      </w:r>
      <w:r w:rsidRPr="0033728F">
        <w:rPr>
          <w:rFonts w:ascii="Calibri" w:hAnsi="Calibri"/>
          <w:bCs/>
          <w:sz w:val="24"/>
          <w:szCs w:val="24"/>
          <w:lang w:val="en-US"/>
        </w:rPr>
        <w:t xml:space="preserve">Sweden). </w:t>
      </w:r>
      <w:r w:rsidRPr="00D51B6A">
        <w:rPr>
          <w:rFonts w:ascii="Calibri" w:hAnsi="Calibri"/>
          <w:sz w:val="24"/>
          <w:szCs w:val="24"/>
          <w:lang w:val="en-US"/>
        </w:rPr>
        <w:t>All</w:t>
      </w:r>
      <w:r>
        <w:rPr>
          <w:rFonts w:ascii="Calibri" w:hAnsi="Calibri"/>
          <w:sz w:val="24"/>
          <w:szCs w:val="24"/>
          <w:lang w:val="en-US"/>
        </w:rPr>
        <w:t xml:space="preserve"> other</w:t>
      </w:r>
      <w:r w:rsidRPr="00D51B6A">
        <w:rPr>
          <w:rFonts w:ascii="Calibri" w:hAnsi="Calibri"/>
          <w:sz w:val="24"/>
          <w:szCs w:val="24"/>
          <w:lang w:val="en-US"/>
        </w:rPr>
        <w:t xml:space="preserve"> reagents were purchased from Sigma-</w:t>
      </w:r>
      <w:r w:rsidRPr="00B55F91">
        <w:rPr>
          <w:rFonts w:ascii="Calibri" w:hAnsi="Calibri"/>
          <w:sz w:val="24"/>
          <w:szCs w:val="24"/>
          <w:lang w:val="en-US"/>
        </w:rPr>
        <w:t>Aldrich (</w:t>
      </w:r>
      <w:r w:rsidRPr="00F12AB0">
        <w:rPr>
          <w:rFonts w:ascii="Calibri" w:hAnsi="Calibri"/>
          <w:bCs/>
          <w:sz w:val="24"/>
          <w:szCs w:val="24"/>
          <w:lang w:val="en-US"/>
        </w:rPr>
        <w:t xml:space="preserve">St-Quentin-Fallavier, </w:t>
      </w:r>
      <w:r w:rsidRPr="000A7195">
        <w:rPr>
          <w:rFonts w:ascii="Calibri" w:hAnsi="Calibri"/>
          <w:bCs/>
          <w:sz w:val="24"/>
          <w:szCs w:val="24"/>
          <w:lang w:val="en-US"/>
        </w:rPr>
        <w:t>France</w:t>
      </w:r>
      <w:r w:rsidRPr="000A7195">
        <w:rPr>
          <w:rFonts w:ascii="Calibri" w:hAnsi="Calibri"/>
          <w:sz w:val="24"/>
          <w:szCs w:val="24"/>
          <w:lang w:val="en-US"/>
        </w:rPr>
        <w:t>) unless otherwise stated. Cell culture maintenance media comprised Williams’ E</w:t>
      </w:r>
      <w:r w:rsidRPr="00DD1E37">
        <w:rPr>
          <w:rFonts w:ascii="Calibri" w:hAnsi="Calibri"/>
          <w:sz w:val="24"/>
          <w:szCs w:val="24"/>
          <w:lang w:val="en-US"/>
        </w:rPr>
        <w:t xml:space="preserve"> medium supplemented with 10 µg/ml insulin, 5.5 µg/ml transferrin, 6.7 ng/ml sodium selenite, 100 U/ml penicillin, 100 µg/ml strept</w:t>
      </w:r>
      <w:r>
        <w:rPr>
          <w:rFonts w:ascii="Calibri" w:hAnsi="Calibri"/>
          <w:sz w:val="24"/>
          <w:szCs w:val="24"/>
          <w:lang w:val="en-US"/>
        </w:rPr>
        <w:t xml:space="preserve">omycin and 100 nM dexamethasone.       </w:t>
      </w:r>
      <w:r w:rsidRPr="0033728F">
        <w:rPr>
          <w:rFonts w:ascii="Calibri" w:hAnsi="Calibri"/>
          <w:sz w:val="24"/>
          <w:szCs w:val="24"/>
          <w:lang w:val="en-US"/>
        </w:rPr>
        <w:t xml:space="preserve">Wherever possible, reagents were obtained from the same batch/lot. </w:t>
      </w:r>
    </w:p>
    <w:p w14:paraId="7860F320" w14:textId="77777777" w:rsidR="00E831B6" w:rsidRPr="00677855" w:rsidRDefault="00E831B6" w:rsidP="00017836">
      <w:pPr>
        <w:spacing w:line="480" w:lineRule="auto"/>
        <w:jc w:val="both"/>
        <w:rPr>
          <w:rFonts w:ascii="Calibri" w:hAnsi="Calibri"/>
          <w:sz w:val="24"/>
          <w:szCs w:val="24"/>
          <w:lang w:val="en-US"/>
        </w:rPr>
      </w:pPr>
    </w:p>
    <w:p w14:paraId="3A5C1AC5"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Cell culture</w:t>
      </w:r>
    </w:p>
    <w:p w14:paraId="7A7BD30D" w14:textId="77777777" w:rsidR="00E831B6" w:rsidRDefault="00E831B6" w:rsidP="00017836">
      <w:pPr>
        <w:spacing w:line="480" w:lineRule="auto"/>
        <w:jc w:val="both"/>
        <w:rPr>
          <w:rFonts w:ascii="Calibri" w:hAnsi="Calibri"/>
          <w:sz w:val="24"/>
          <w:szCs w:val="24"/>
        </w:rPr>
      </w:pPr>
      <w:r w:rsidRPr="0033728F">
        <w:rPr>
          <w:rFonts w:ascii="Calibri" w:hAnsi="Calibri"/>
          <w:bCs/>
          <w:sz w:val="24"/>
          <w:szCs w:val="24"/>
          <w:lang w:val="en-US"/>
        </w:rPr>
        <w:t xml:space="preserve">Cryopreserved PHH from the three donors used in the present study were provided by KaLy-Cell (Plobsheim, France) (Table 2). They were pre-characterized for long-term culture in a re-overlayed sandwich (2Dsw) configuration by KaLy-Cell and for 3D-spheroid aggregation and </w:t>
      </w:r>
      <w:r w:rsidRPr="0033728F">
        <w:rPr>
          <w:rFonts w:ascii="Calibri" w:hAnsi="Calibri"/>
          <w:bCs/>
          <w:sz w:val="24"/>
          <w:szCs w:val="24"/>
          <w:lang w:val="en-US"/>
        </w:rPr>
        <w:lastRenderedPageBreak/>
        <w:t xml:space="preserve">culture by </w:t>
      </w:r>
      <w:r w:rsidRPr="0033728F">
        <w:rPr>
          <w:rFonts w:ascii="Calibri" w:hAnsi="Calibri"/>
          <w:sz w:val="24"/>
          <w:szCs w:val="24"/>
          <w:lang w:val="en-US"/>
        </w:rPr>
        <w:t>Karolinska Institutet.</w:t>
      </w:r>
      <w:r w:rsidRPr="0033728F" w:rsidDel="0033728F">
        <w:rPr>
          <w:rFonts w:ascii="Calibri" w:hAnsi="Calibri"/>
          <w:sz w:val="24"/>
          <w:szCs w:val="24"/>
          <w:lang w:val="en-US"/>
        </w:rPr>
        <w:t xml:space="preserve"> </w:t>
      </w:r>
      <w:r w:rsidRPr="00664817">
        <w:rPr>
          <w:rFonts w:ascii="Calibri" w:hAnsi="Calibri"/>
          <w:sz w:val="24"/>
          <w:szCs w:val="24"/>
        </w:rPr>
        <w:t xml:space="preserve">The human biological samples were </w:t>
      </w:r>
      <w:r>
        <w:rPr>
          <w:rFonts w:ascii="Calibri" w:hAnsi="Calibri"/>
          <w:sz w:val="24"/>
          <w:szCs w:val="24"/>
        </w:rPr>
        <w:t xml:space="preserve">acquired in agreement with ethic regulations </w:t>
      </w:r>
      <w:r w:rsidRPr="00664817">
        <w:rPr>
          <w:rFonts w:ascii="Calibri" w:hAnsi="Calibri"/>
          <w:sz w:val="24"/>
          <w:szCs w:val="24"/>
        </w:rPr>
        <w:t xml:space="preserve">and their research use was in accord with the terms of the informed consents. </w:t>
      </w:r>
      <w:r>
        <w:rPr>
          <w:rFonts w:ascii="Calibri" w:hAnsi="Calibri"/>
          <w:sz w:val="24"/>
          <w:szCs w:val="24"/>
        </w:rPr>
        <w:t>The experimental outline for the comparison of 2Dsw and 3D spheroid cultures is depicted in Figure 1.</w:t>
      </w:r>
    </w:p>
    <w:p w14:paraId="7B5C919B" w14:textId="77777777" w:rsidR="00E831B6" w:rsidRDefault="00E831B6" w:rsidP="00017836">
      <w:pPr>
        <w:spacing w:line="480" w:lineRule="auto"/>
        <w:jc w:val="both"/>
        <w:rPr>
          <w:rFonts w:ascii="Calibri" w:hAnsi="Calibri"/>
          <w:sz w:val="24"/>
          <w:szCs w:val="24"/>
        </w:rPr>
      </w:pPr>
    </w:p>
    <w:p w14:paraId="294AD920" w14:textId="77777777" w:rsidR="00E831B6" w:rsidRPr="005869DD" w:rsidRDefault="00E831B6" w:rsidP="00017836">
      <w:pPr>
        <w:spacing w:line="480" w:lineRule="auto"/>
        <w:jc w:val="both"/>
        <w:rPr>
          <w:rFonts w:ascii="Calibri" w:hAnsi="Calibri"/>
          <w:b/>
          <w:i/>
          <w:sz w:val="24"/>
          <w:szCs w:val="24"/>
        </w:rPr>
      </w:pPr>
      <w:r w:rsidRPr="005869DD">
        <w:rPr>
          <w:rFonts w:ascii="Calibri" w:hAnsi="Calibri"/>
          <w:b/>
          <w:i/>
          <w:sz w:val="24"/>
          <w:szCs w:val="24"/>
        </w:rPr>
        <w:t>2Dsw culture</w:t>
      </w:r>
    </w:p>
    <w:p w14:paraId="3778772B" w14:textId="2B4D29E5" w:rsidR="00E831B6" w:rsidRDefault="00E831B6" w:rsidP="00017836">
      <w:pPr>
        <w:spacing w:line="480" w:lineRule="auto"/>
        <w:jc w:val="both"/>
        <w:rPr>
          <w:rFonts w:ascii="Calibri" w:hAnsi="Calibri"/>
          <w:sz w:val="24"/>
          <w:szCs w:val="24"/>
          <w:lang w:val="en-US"/>
        </w:rPr>
      </w:pPr>
      <w:r w:rsidRPr="00B55F91">
        <w:rPr>
          <w:rFonts w:ascii="Calibri" w:hAnsi="Calibri"/>
          <w:sz w:val="24"/>
          <w:szCs w:val="24"/>
          <w:lang w:val="en-US"/>
        </w:rPr>
        <w:t xml:space="preserve">Cryopreserved </w:t>
      </w:r>
      <w:r>
        <w:rPr>
          <w:rFonts w:ascii="Calibri" w:hAnsi="Calibri"/>
          <w:sz w:val="24"/>
          <w:szCs w:val="24"/>
          <w:lang w:val="en-US"/>
        </w:rPr>
        <w:t xml:space="preserve">PHH were thawed </w:t>
      </w:r>
      <w:r w:rsidRPr="0054631D">
        <w:rPr>
          <w:rFonts w:cstheme="minorHAnsi"/>
          <w:sz w:val="24"/>
          <w:szCs w:val="24"/>
          <w:lang w:val="en-US"/>
        </w:rPr>
        <w:t xml:space="preserve">at 37⁰C </w:t>
      </w:r>
      <w:r w:rsidRPr="0054631D">
        <w:rPr>
          <w:rFonts w:cstheme="minorHAnsi"/>
          <w:bCs/>
          <w:sz w:val="24"/>
          <w:szCs w:val="24"/>
          <w:lang w:val="en-US"/>
        </w:rPr>
        <w:t>(1-2</w:t>
      </w:r>
      <w:r>
        <w:rPr>
          <w:rFonts w:cstheme="minorHAnsi"/>
          <w:bCs/>
          <w:sz w:val="24"/>
          <w:szCs w:val="24"/>
          <w:lang w:val="en-US"/>
        </w:rPr>
        <w:t xml:space="preserve"> </w:t>
      </w:r>
      <w:r w:rsidRPr="0054631D">
        <w:rPr>
          <w:rFonts w:cstheme="minorHAnsi"/>
          <w:bCs/>
          <w:sz w:val="24"/>
          <w:szCs w:val="24"/>
          <w:lang w:val="en-US"/>
        </w:rPr>
        <w:t xml:space="preserve">min in water bath), transferred </w:t>
      </w:r>
      <w:r>
        <w:rPr>
          <w:rFonts w:cstheme="minorHAnsi"/>
          <w:bCs/>
          <w:sz w:val="24"/>
          <w:szCs w:val="24"/>
          <w:lang w:val="en-US"/>
        </w:rPr>
        <w:t>to</w:t>
      </w:r>
      <w:r w:rsidRPr="0054631D">
        <w:rPr>
          <w:rFonts w:cstheme="minorHAnsi"/>
          <w:bCs/>
          <w:sz w:val="24"/>
          <w:szCs w:val="24"/>
          <w:lang w:val="en-US"/>
        </w:rPr>
        <w:t xml:space="preserve"> 50</w:t>
      </w:r>
      <w:r>
        <w:rPr>
          <w:rFonts w:cstheme="minorHAnsi"/>
          <w:bCs/>
          <w:sz w:val="24"/>
          <w:szCs w:val="24"/>
          <w:lang w:val="en-US"/>
        </w:rPr>
        <w:t xml:space="preserve"> </w:t>
      </w:r>
      <w:r w:rsidRPr="0054631D">
        <w:rPr>
          <w:rFonts w:cstheme="minorHAnsi"/>
          <w:bCs/>
          <w:sz w:val="24"/>
          <w:szCs w:val="24"/>
          <w:lang w:val="en-US"/>
        </w:rPr>
        <w:t xml:space="preserve">mL of </w:t>
      </w:r>
      <w:r>
        <w:rPr>
          <w:rFonts w:cstheme="minorHAnsi"/>
          <w:bCs/>
          <w:sz w:val="24"/>
          <w:szCs w:val="24"/>
          <w:lang w:val="en-US"/>
        </w:rPr>
        <w:t>Universal Cryopreservation Recovery Media</w:t>
      </w:r>
      <w:r w:rsidRPr="0054631D">
        <w:rPr>
          <w:rFonts w:cstheme="minorHAnsi"/>
          <w:bCs/>
          <w:sz w:val="24"/>
          <w:szCs w:val="24"/>
          <w:lang w:val="en-US"/>
        </w:rPr>
        <w:t xml:space="preserve"> (IVAL, Colombia) and centrifuged </w:t>
      </w:r>
      <w:r>
        <w:rPr>
          <w:rFonts w:cstheme="minorHAnsi"/>
          <w:bCs/>
          <w:sz w:val="24"/>
          <w:szCs w:val="24"/>
          <w:lang w:val="en-US"/>
        </w:rPr>
        <w:t xml:space="preserve">at </w:t>
      </w:r>
      <w:r w:rsidRPr="0054631D">
        <w:rPr>
          <w:rFonts w:cstheme="minorHAnsi"/>
          <w:bCs/>
          <w:sz w:val="24"/>
          <w:szCs w:val="24"/>
          <w:lang w:val="en-US"/>
        </w:rPr>
        <w:t>100</w:t>
      </w:r>
      <w:r>
        <w:rPr>
          <w:rFonts w:cstheme="minorHAnsi"/>
          <w:bCs/>
          <w:sz w:val="24"/>
          <w:szCs w:val="24"/>
          <w:lang w:val="en-US"/>
        </w:rPr>
        <w:t xml:space="preserve"> </w:t>
      </w:r>
      <w:r w:rsidRPr="0054631D">
        <w:rPr>
          <w:rFonts w:cstheme="minorHAnsi"/>
          <w:bCs/>
          <w:sz w:val="24"/>
          <w:szCs w:val="24"/>
          <w:lang w:val="en-US"/>
        </w:rPr>
        <w:t>g</w:t>
      </w:r>
      <w:r>
        <w:rPr>
          <w:rFonts w:cstheme="minorHAnsi"/>
          <w:bCs/>
          <w:sz w:val="24"/>
          <w:szCs w:val="24"/>
          <w:lang w:val="en-US"/>
        </w:rPr>
        <w:t xml:space="preserve"> for</w:t>
      </w:r>
      <w:r w:rsidRPr="0054631D">
        <w:rPr>
          <w:rFonts w:cstheme="minorHAnsi"/>
          <w:bCs/>
          <w:sz w:val="24"/>
          <w:szCs w:val="24"/>
          <w:lang w:val="en-US"/>
        </w:rPr>
        <w:t xml:space="preserve"> 10</w:t>
      </w:r>
      <w:r>
        <w:rPr>
          <w:rFonts w:cstheme="minorHAnsi"/>
          <w:bCs/>
          <w:sz w:val="24"/>
          <w:szCs w:val="24"/>
          <w:lang w:val="en-US"/>
        </w:rPr>
        <w:t xml:space="preserve"> </w:t>
      </w:r>
      <w:r w:rsidRPr="0054631D">
        <w:rPr>
          <w:rFonts w:cstheme="minorHAnsi"/>
          <w:bCs/>
          <w:sz w:val="24"/>
          <w:szCs w:val="24"/>
          <w:lang w:val="en-US"/>
        </w:rPr>
        <w:t xml:space="preserve">min. </w:t>
      </w:r>
      <w:r>
        <w:rPr>
          <w:rFonts w:cstheme="minorHAnsi"/>
          <w:bCs/>
          <w:sz w:val="24"/>
          <w:szCs w:val="24"/>
          <w:lang w:val="en-US"/>
        </w:rPr>
        <w:t>Viable cells were</w:t>
      </w:r>
      <w:r w:rsidRPr="0054631D">
        <w:rPr>
          <w:rFonts w:cstheme="minorHAnsi"/>
          <w:bCs/>
          <w:sz w:val="24"/>
          <w:szCs w:val="24"/>
          <w:lang w:val="en-US"/>
        </w:rPr>
        <w:t xml:space="preserve"> </w:t>
      </w:r>
      <w:r w:rsidRPr="0054631D">
        <w:rPr>
          <w:rFonts w:cstheme="minorHAnsi"/>
          <w:sz w:val="24"/>
          <w:szCs w:val="24"/>
          <w:lang w:val="en-US"/>
        </w:rPr>
        <w:t xml:space="preserve">counted by </w:t>
      </w:r>
      <w:r w:rsidRPr="0054631D">
        <w:rPr>
          <w:rFonts w:cstheme="minorHAnsi"/>
          <w:bCs/>
          <w:sz w:val="24"/>
          <w:szCs w:val="24"/>
          <w:lang w:val="en-US"/>
        </w:rPr>
        <w:t xml:space="preserve">Trypan Blue exclusion </w:t>
      </w:r>
      <w:r w:rsidRPr="0054631D">
        <w:rPr>
          <w:rFonts w:cstheme="minorHAnsi"/>
          <w:sz w:val="24"/>
          <w:szCs w:val="24"/>
          <w:lang w:val="en-US"/>
        </w:rPr>
        <w:t>and diluted to the appropriate concentration in</w:t>
      </w:r>
      <w:r w:rsidRPr="0033728F">
        <w:rPr>
          <w:rFonts w:ascii="Calibri" w:hAnsi="Calibri"/>
          <w:sz w:val="24"/>
          <w:szCs w:val="24"/>
          <w:lang w:val="en-US"/>
        </w:rPr>
        <w:t xml:space="preserve"> </w:t>
      </w:r>
      <w:r>
        <w:rPr>
          <w:rFonts w:ascii="Calibri" w:hAnsi="Calibri"/>
          <w:sz w:val="24"/>
          <w:szCs w:val="24"/>
          <w:lang w:val="en-US"/>
        </w:rPr>
        <w:t xml:space="preserve">PHH maintenance medium  supplemented with 10% fetal bovine serum (FBS). A minimum viability of 80% was required in order to proceed with the experiment.  </w:t>
      </w:r>
      <w:r w:rsidRPr="0033728F">
        <w:rPr>
          <w:rFonts w:ascii="Calibri" w:hAnsi="Calibri"/>
          <w:sz w:val="24"/>
          <w:szCs w:val="24"/>
          <w:lang w:val="en-US"/>
        </w:rPr>
        <w:t xml:space="preserve">Cells were seeded at a density of 70,000 </w:t>
      </w:r>
      <w:r>
        <w:rPr>
          <w:rFonts w:ascii="Calibri" w:hAnsi="Calibri"/>
          <w:sz w:val="24"/>
          <w:szCs w:val="24"/>
          <w:lang w:val="en-US"/>
        </w:rPr>
        <w:t xml:space="preserve">viable </w:t>
      </w:r>
      <w:r w:rsidRPr="0033728F">
        <w:rPr>
          <w:rFonts w:ascii="Calibri" w:hAnsi="Calibri"/>
          <w:sz w:val="24"/>
          <w:szCs w:val="24"/>
          <w:lang w:val="en-US"/>
        </w:rPr>
        <w:t xml:space="preserve">cells/well on Collagen I-Biocoat 96-well plates for cytotoxicity and CYP activity assessment and 400,000 </w:t>
      </w:r>
      <w:r>
        <w:rPr>
          <w:rFonts w:ascii="Calibri" w:hAnsi="Calibri"/>
          <w:sz w:val="24"/>
          <w:szCs w:val="24"/>
          <w:lang w:val="en-US"/>
        </w:rPr>
        <w:t xml:space="preserve">viable </w:t>
      </w:r>
      <w:r w:rsidRPr="0033728F">
        <w:rPr>
          <w:rFonts w:ascii="Calibri" w:hAnsi="Calibri"/>
          <w:sz w:val="24"/>
          <w:szCs w:val="24"/>
          <w:lang w:val="en-US"/>
        </w:rPr>
        <w:t xml:space="preserve">cells/well on Collagen I- Biocoat 24-well plates for proteomic assessment. </w:t>
      </w:r>
      <w:r w:rsidRPr="0033728F">
        <w:rPr>
          <w:rFonts w:ascii="Calibri" w:hAnsi="Calibri"/>
          <w:bCs/>
          <w:sz w:val="24"/>
          <w:szCs w:val="24"/>
          <w:lang w:val="en-US"/>
        </w:rPr>
        <w:t xml:space="preserve">After 4 to 6 hours </w:t>
      </w:r>
      <w:r>
        <w:rPr>
          <w:rFonts w:ascii="Calibri" w:hAnsi="Calibri"/>
          <w:bCs/>
          <w:sz w:val="24"/>
          <w:szCs w:val="24"/>
          <w:lang w:val="en-US"/>
        </w:rPr>
        <w:t>attachment</w:t>
      </w:r>
      <w:r w:rsidRPr="0033728F">
        <w:rPr>
          <w:rFonts w:ascii="Calibri" w:hAnsi="Calibri"/>
          <w:bCs/>
          <w:sz w:val="24"/>
          <w:szCs w:val="24"/>
          <w:lang w:val="en-US"/>
        </w:rPr>
        <w:t xml:space="preserve"> at 37°C with 5</w:t>
      </w:r>
      <w:r>
        <w:rPr>
          <w:rFonts w:ascii="Calibri" w:hAnsi="Calibri"/>
          <w:bCs/>
          <w:sz w:val="24"/>
          <w:szCs w:val="24"/>
          <w:lang w:val="en-US"/>
        </w:rPr>
        <w:t xml:space="preserve"> </w:t>
      </w:r>
      <w:r w:rsidRPr="0033728F">
        <w:rPr>
          <w:rFonts w:ascii="Calibri" w:hAnsi="Calibri"/>
          <w:bCs/>
          <w:sz w:val="24"/>
          <w:szCs w:val="24"/>
          <w:lang w:val="en-US"/>
        </w:rPr>
        <w:t>% CO</w:t>
      </w:r>
      <w:r w:rsidRPr="00F12AB0">
        <w:rPr>
          <w:rFonts w:ascii="Calibri" w:hAnsi="Calibri"/>
          <w:bCs/>
          <w:sz w:val="24"/>
          <w:szCs w:val="24"/>
          <w:vertAlign w:val="subscript"/>
          <w:lang w:val="en-US"/>
        </w:rPr>
        <w:t>2</w:t>
      </w:r>
      <w:r w:rsidRPr="0033728F">
        <w:rPr>
          <w:rFonts w:ascii="Calibri" w:hAnsi="Calibri"/>
          <w:bCs/>
          <w:sz w:val="24"/>
          <w:szCs w:val="24"/>
          <w:lang w:val="en-US"/>
        </w:rPr>
        <w:t xml:space="preserve">, </w:t>
      </w:r>
      <w:r>
        <w:rPr>
          <w:rFonts w:ascii="Calibri" w:hAnsi="Calibri"/>
          <w:bCs/>
          <w:sz w:val="24"/>
          <w:szCs w:val="24"/>
          <w:lang w:val="en-US"/>
        </w:rPr>
        <w:t>PHH culture</w:t>
      </w:r>
      <w:r w:rsidRPr="0033728F">
        <w:rPr>
          <w:rFonts w:ascii="Calibri" w:hAnsi="Calibri"/>
          <w:bCs/>
          <w:sz w:val="24"/>
          <w:szCs w:val="24"/>
          <w:lang w:val="en-US"/>
        </w:rPr>
        <w:t xml:space="preserve"> medium was renewed and cells were incubated overnight. </w:t>
      </w:r>
      <w:r w:rsidRPr="000A7195">
        <w:rPr>
          <w:rFonts w:ascii="Calibri" w:hAnsi="Calibri"/>
          <w:bCs/>
          <w:sz w:val="24"/>
          <w:szCs w:val="24"/>
          <w:lang w:val="en-US"/>
        </w:rPr>
        <w:t xml:space="preserve">The following day, cells were overlaid with </w:t>
      </w:r>
      <w:r w:rsidR="001E5DD7" w:rsidRPr="000A7195">
        <w:rPr>
          <w:rFonts w:ascii="Calibri" w:hAnsi="Calibri"/>
          <w:bCs/>
          <w:sz w:val="24"/>
          <w:szCs w:val="24"/>
          <w:lang w:val="en-US"/>
        </w:rPr>
        <w:t xml:space="preserve">ice–cold </w:t>
      </w:r>
      <w:r w:rsidRPr="000A7195">
        <w:rPr>
          <w:rFonts w:ascii="Calibri" w:hAnsi="Calibri"/>
          <w:bCs/>
          <w:sz w:val="24"/>
          <w:szCs w:val="24"/>
          <w:lang w:val="en-US"/>
        </w:rPr>
        <w:t xml:space="preserve">matrigel (0.25 mg/mL) </w:t>
      </w:r>
      <w:r w:rsidR="001E5DD7" w:rsidRPr="000A7195">
        <w:rPr>
          <w:rFonts w:ascii="Calibri" w:hAnsi="Calibri"/>
          <w:bCs/>
          <w:sz w:val="24"/>
          <w:szCs w:val="24"/>
          <w:lang w:val="en-US"/>
        </w:rPr>
        <w:t xml:space="preserve">diluted </w:t>
      </w:r>
      <w:r w:rsidRPr="000A7195">
        <w:rPr>
          <w:rFonts w:ascii="Calibri" w:hAnsi="Calibri"/>
          <w:bCs/>
          <w:sz w:val="24"/>
          <w:szCs w:val="24"/>
          <w:lang w:val="en-US"/>
        </w:rPr>
        <w:t xml:space="preserve">in PHH </w:t>
      </w:r>
      <w:r w:rsidR="007C7C74" w:rsidRPr="000A7195">
        <w:rPr>
          <w:rFonts w:ascii="Calibri" w:hAnsi="Calibri"/>
          <w:bCs/>
          <w:sz w:val="24"/>
          <w:szCs w:val="24"/>
          <w:lang w:val="en-US"/>
        </w:rPr>
        <w:t>maintenance medium</w:t>
      </w:r>
      <w:r w:rsidR="001E5DD7" w:rsidRPr="000A7195">
        <w:rPr>
          <w:rFonts w:ascii="Calibri" w:hAnsi="Calibri"/>
          <w:bCs/>
          <w:sz w:val="24"/>
          <w:szCs w:val="24"/>
          <w:lang w:val="en-US"/>
        </w:rPr>
        <w:t xml:space="preserve"> </w:t>
      </w:r>
      <w:r w:rsidRPr="000A7195">
        <w:rPr>
          <w:rFonts w:ascii="Calibri" w:hAnsi="Calibri"/>
          <w:bCs/>
          <w:sz w:val="24"/>
          <w:szCs w:val="24"/>
          <w:lang w:val="en-US"/>
        </w:rPr>
        <w:t>From the first</w:t>
      </w:r>
      <w:r w:rsidRPr="0033728F">
        <w:rPr>
          <w:rFonts w:ascii="Calibri" w:hAnsi="Calibri"/>
          <w:bCs/>
          <w:sz w:val="24"/>
          <w:szCs w:val="24"/>
          <w:lang w:val="en-US"/>
        </w:rPr>
        <w:t xml:space="preserve"> day of compound incubation, </w:t>
      </w:r>
      <w:r>
        <w:rPr>
          <w:rFonts w:ascii="Calibri" w:hAnsi="Calibri"/>
          <w:bCs/>
          <w:sz w:val="24"/>
          <w:szCs w:val="24"/>
          <w:lang w:val="en-US"/>
        </w:rPr>
        <w:t xml:space="preserve">FBS-free </w:t>
      </w:r>
      <w:r>
        <w:rPr>
          <w:rFonts w:ascii="Calibri" w:hAnsi="Calibri"/>
          <w:sz w:val="24"/>
          <w:szCs w:val="24"/>
          <w:lang w:val="en-US"/>
        </w:rPr>
        <w:t xml:space="preserve">PHH culture medium </w:t>
      </w:r>
      <w:r w:rsidRPr="0054631D">
        <w:rPr>
          <w:rFonts w:cstheme="minorHAnsi"/>
          <w:bCs/>
          <w:sz w:val="24"/>
          <w:szCs w:val="24"/>
          <w:lang w:val="en-US"/>
        </w:rPr>
        <w:t xml:space="preserve">was renewed every two/three days and cells were </w:t>
      </w:r>
      <w:r w:rsidRPr="0033728F">
        <w:rPr>
          <w:rFonts w:ascii="Calibri" w:hAnsi="Calibri"/>
          <w:bCs/>
          <w:sz w:val="24"/>
          <w:szCs w:val="24"/>
          <w:lang w:val="en-US"/>
        </w:rPr>
        <w:t>overla</w:t>
      </w:r>
      <w:r>
        <w:rPr>
          <w:rFonts w:ascii="Calibri" w:hAnsi="Calibri"/>
          <w:bCs/>
          <w:sz w:val="24"/>
          <w:szCs w:val="24"/>
          <w:lang w:val="en-US"/>
        </w:rPr>
        <w:t>id</w:t>
      </w:r>
      <w:r w:rsidRPr="0033728F">
        <w:rPr>
          <w:rFonts w:ascii="Calibri" w:hAnsi="Calibri"/>
          <w:bCs/>
          <w:sz w:val="24"/>
          <w:szCs w:val="24"/>
          <w:lang w:val="en-US"/>
        </w:rPr>
        <w:t xml:space="preserve"> </w:t>
      </w:r>
      <w:r w:rsidRPr="0054631D">
        <w:rPr>
          <w:rFonts w:cstheme="minorHAnsi"/>
          <w:bCs/>
          <w:sz w:val="24"/>
          <w:szCs w:val="24"/>
          <w:lang w:val="en-US"/>
        </w:rPr>
        <w:t>with Matrigel every three/four days as previously describe</w:t>
      </w:r>
      <w:r>
        <w:rPr>
          <w:rFonts w:cstheme="minorHAnsi"/>
          <w:bCs/>
          <w:sz w:val="24"/>
          <w:szCs w:val="24"/>
          <w:lang w:val="en-US"/>
        </w:rPr>
        <w:t xml:space="preserve">d </w:t>
      </w:r>
      <w:r>
        <w:rPr>
          <w:rFonts w:ascii="Calibri" w:hAnsi="Calibri"/>
          <w:noProof/>
          <w:sz w:val="24"/>
          <w:szCs w:val="24"/>
          <w:lang w:val="en-US"/>
        </w:rPr>
        <w:t>(Parmentier</w:t>
      </w:r>
      <w:r w:rsidRPr="007D68DF">
        <w:rPr>
          <w:rFonts w:ascii="Calibri" w:hAnsi="Calibri"/>
          <w:i/>
          <w:noProof/>
          <w:sz w:val="24"/>
          <w:szCs w:val="24"/>
          <w:lang w:val="en-US"/>
        </w:rPr>
        <w:t xml:space="preserve"> et al.</w:t>
      </w:r>
      <w:r>
        <w:rPr>
          <w:rFonts w:ascii="Calibri" w:hAnsi="Calibri"/>
          <w:noProof/>
          <w:sz w:val="24"/>
          <w:szCs w:val="24"/>
          <w:lang w:val="en-US"/>
        </w:rPr>
        <w:t>, 2017)</w:t>
      </w:r>
      <w:r>
        <w:rPr>
          <w:rFonts w:ascii="Calibri" w:hAnsi="Calibri"/>
          <w:sz w:val="24"/>
          <w:szCs w:val="24"/>
          <w:lang w:val="en-US"/>
        </w:rPr>
        <w:t xml:space="preserve"> (Fig. 1)</w:t>
      </w:r>
      <w:r w:rsidRPr="00677855">
        <w:rPr>
          <w:rFonts w:ascii="Calibri" w:hAnsi="Calibri"/>
          <w:sz w:val="24"/>
          <w:szCs w:val="24"/>
          <w:lang w:val="en-US"/>
        </w:rPr>
        <w:t xml:space="preserve">. </w:t>
      </w:r>
    </w:p>
    <w:p w14:paraId="23807E98" w14:textId="77777777" w:rsidR="00E831B6" w:rsidRDefault="00E831B6" w:rsidP="00017836">
      <w:pPr>
        <w:spacing w:line="480" w:lineRule="auto"/>
        <w:jc w:val="both"/>
        <w:rPr>
          <w:rFonts w:ascii="Calibri" w:hAnsi="Calibri"/>
          <w:sz w:val="24"/>
          <w:szCs w:val="24"/>
          <w:lang w:val="en-US"/>
        </w:rPr>
      </w:pPr>
    </w:p>
    <w:p w14:paraId="13855C1F" w14:textId="77777777" w:rsidR="00E831B6" w:rsidRPr="009538B4" w:rsidRDefault="00E831B6" w:rsidP="00017836">
      <w:pPr>
        <w:spacing w:line="480" w:lineRule="auto"/>
        <w:jc w:val="both"/>
        <w:rPr>
          <w:rFonts w:ascii="Calibri" w:hAnsi="Calibri"/>
          <w:b/>
          <w:i/>
          <w:sz w:val="24"/>
          <w:szCs w:val="24"/>
        </w:rPr>
      </w:pPr>
      <w:r>
        <w:rPr>
          <w:rFonts w:ascii="Calibri" w:hAnsi="Calibri"/>
          <w:b/>
          <w:i/>
          <w:sz w:val="24"/>
          <w:szCs w:val="24"/>
        </w:rPr>
        <w:t>3D spheroid</w:t>
      </w:r>
      <w:r w:rsidRPr="009538B4">
        <w:rPr>
          <w:rFonts w:ascii="Calibri" w:hAnsi="Calibri"/>
          <w:b/>
          <w:i/>
          <w:sz w:val="24"/>
          <w:szCs w:val="24"/>
        </w:rPr>
        <w:t xml:space="preserve"> culture</w:t>
      </w:r>
    </w:p>
    <w:p w14:paraId="04A72D04" w14:textId="5CBB784F" w:rsidR="007C7C74" w:rsidRDefault="00E831B6" w:rsidP="002C1A1A">
      <w:pPr>
        <w:spacing w:line="480" w:lineRule="auto"/>
        <w:jc w:val="both"/>
        <w:rPr>
          <w:rFonts w:ascii="Calibri" w:hAnsi="Calibri"/>
          <w:sz w:val="24"/>
          <w:szCs w:val="24"/>
          <w:lang w:val="en-US"/>
        </w:rPr>
      </w:pPr>
      <w:r w:rsidRPr="0033728F">
        <w:rPr>
          <w:rFonts w:ascii="Calibri" w:hAnsi="Calibri"/>
          <w:bCs/>
          <w:sz w:val="24"/>
          <w:szCs w:val="24"/>
          <w:lang w:val="en-US"/>
        </w:rPr>
        <w:lastRenderedPageBreak/>
        <w:t>Cryopreserved PHH were thawed as described above and seeded</w:t>
      </w:r>
      <w:r w:rsidRPr="0033728F">
        <w:rPr>
          <w:rFonts w:ascii="Calibri" w:hAnsi="Calibri"/>
          <w:sz w:val="24"/>
          <w:szCs w:val="24"/>
          <w:lang w:val="en-US"/>
        </w:rPr>
        <w:t xml:space="preserve"> </w:t>
      </w:r>
      <w:r>
        <w:rPr>
          <w:rFonts w:ascii="Calibri" w:hAnsi="Calibri"/>
          <w:sz w:val="24"/>
          <w:szCs w:val="24"/>
          <w:lang w:val="en-US"/>
        </w:rPr>
        <w:t xml:space="preserve">in PHH maintenance medium supplemented with 10% FBS </w:t>
      </w:r>
      <w:r w:rsidRPr="0033728F">
        <w:rPr>
          <w:rFonts w:ascii="Calibri" w:hAnsi="Calibri"/>
          <w:sz w:val="24"/>
          <w:szCs w:val="24"/>
          <w:lang w:val="en-US"/>
        </w:rPr>
        <w:t>as previously reported</w:t>
      </w:r>
      <w:r w:rsidR="00017836">
        <w:rPr>
          <w:rFonts w:ascii="Calibri" w:hAnsi="Calibri"/>
          <w:sz w:val="24"/>
          <w:szCs w:val="24"/>
          <w:lang w:val="en-US"/>
        </w:rPr>
        <w:t xml:space="preserve"> (Bell </w:t>
      </w:r>
      <w:r w:rsidR="00017836" w:rsidRPr="000A7195">
        <w:rPr>
          <w:rFonts w:ascii="Calibri" w:hAnsi="Calibri"/>
          <w:i/>
          <w:sz w:val="24"/>
          <w:szCs w:val="24"/>
          <w:lang w:val="en-US"/>
        </w:rPr>
        <w:t>et al</w:t>
      </w:r>
      <w:r w:rsidR="00017836">
        <w:rPr>
          <w:rFonts w:ascii="Calibri" w:hAnsi="Calibri"/>
          <w:sz w:val="24"/>
          <w:szCs w:val="24"/>
          <w:lang w:val="en-US"/>
        </w:rPr>
        <w:t>., 2016)</w:t>
      </w:r>
      <w:r w:rsidRPr="0033728F">
        <w:rPr>
          <w:rFonts w:ascii="Calibri" w:hAnsi="Calibri"/>
          <w:bCs/>
          <w:sz w:val="24"/>
          <w:szCs w:val="24"/>
          <w:lang w:val="en-US"/>
        </w:rPr>
        <w:t>.</w:t>
      </w:r>
      <w:r w:rsidRPr="0033728F">
        <w:rPr>
          <w:rFonts w:ascii="Calibri" w:hAnsi="Calibri"/>
          <w:sz w:val="24"/>
          <w:szCs w:val="24"/>
          <w:lang w:val="en-US"/>
        </w:rPr>
        <w:t xml:space="preserve"> Briefly, 1</w:t>
      </w:r>
      <w:r>
        <w:rPr>
          <w:rFonts w:ascii="Calibri" w:hAnsi="Calibri"/>
          <w:sz w:val="24"/>
          <w:szCs w:val="24"/>
          <w:lang w:val="en-US"/>
        </w:rPr>
        <w:t>,</w:t>
      </w:r>
      <w:r w:rsidRPr="0033728F">
        <w:rPr>
          <w:rFonts w:ascii="Calibri" w:hAnsi="Calibri"/>
          <w:sz w:val="24"/>
          <w:szCs w:val="24"/>
          <w:lang w:val="en-US"/>
        </w:rPr>
        <w:t>500</w:t>
      </w:r>
      <w:r>
        <w:rPr>
          <w:rFonts w:ascii="Calibri" w:hAnsi="Calibri"/>
          <w:sz w:val="24"/>
          <w:szCs w:val="24"/>
          <w:lang w:val="en-US"/>
        </w:rPr>
        <w:t xml:space="preserve"> viable</w:t>
      </w:r>
      <w:r w:rsidRPr="0033728F">
        <w:rPr>
          <w:rFonts w:ascii="Calibri" w:hAnsi="Calibri"/>
          <w:sz w:val="24"/>
          <w:szCs w:val="24"/>
          <w:lang w:val="en-US"/>
        </w:rPr>
        <w:t xml:space="preserve"> cells/well were seeded in 96-well ultra-low attachment plates </w:t>
      </w:r>
      <w:r>
        <w:rPr>
          <w:rFonts w:ascii="Calibri" w:hAnsi="Calibri"/>
          <w:sz w:val="24"/>
          <w:szCs w:val="24"/>
          <w:lang w:val="en-US"/>
        </w:rPr>
        <w:t xml:space="preserve">(Corning, USA) </w:t>
      </w:r>
      <w:r w:rsidRPr="0033728F">
        <w:rPr>
          <w:rFonts w:ascii="Calibri" w:hAnsi="Calibri"/>
          <w:sz w:val="24"/>
          <w:szCs w:val="24"/>
          <w:lang w:val="en-US"/>
        </w:rPr>
        <w:t>and centrifuged for 2 minutes at 125</w:t>
      </w:r>
      <w:r>
        <w:rPr>
          <w:rFonts w:ascii="Calibri" w:hAnsi="Calibri"/>
          <w:sz w:val="24"/>
          <w:szCs w:val="24"/>
          <w:lang w:val="en-US"/>
        </w:rPr>
        <w:t xml:space="preserve"> </w:t>
      </w:r>
      <w:r w:rsidRPr="0033728F">
        <w:rPr>
          <w:rFonts w:ascii="Calibri" w:hAnsi="Calibri"/>
          <w:sz w:val="24"/>
          <w:szCs w:val="24"/>
          <w:lang w:val="en-US"/>
        </w:rPr>
        <w:t>g.</w:t>
      </w:r>
      <w:r w:rsidRPr="0033728F" w:rsidDel="000B0042">
        <w:rPr>
          <w:rFonts w:ascii="Calibri" w:hAnsi="Calibri"/>
          <w:sz w:val="24"/>
          <w:szCs w:val="24"/>
          <w:lang w:val="en-US"/>
        </w:rPr>
        <w:t xml:space="preserve"> </w:t>
      </w:r>
      <w:r w:rsidRPr="0033728F">
        <w:rPr>
          <w:rFonts w:ascii="Calibri" w:hAnsi="Calibri"/>
          <w:sz w:val="24"/>
          <w:szCs w:val="24"/>
          <w:lang w:val="en-US"/>
        </w:rPr>
        <w:t xml:space="preserve">After 4-5 days, a 50% medium change was performed with FBS-free medium. Medium was then exchanged daily until </w:t>
      </w:r>
      <w:r>
        <w:rPr>
          <w:rFonts w:ascii="Calibri" w:hAnsi="Calibri"/>
          <w:sz w:val="24"/>
          <w:szCs w:val="24"/>
          <w:lang w:val="en-US"/>
        </w:rPr>
        <w:t>spheroids were fully formed (day 7-10)</w:t>
      </w:r>
      <w:r w:rsidRPr="0033728F">
        <w:rPr>
          <w:rFonts w:ascii="Calibri" w:hAnsi="Calibri"/>
          <w:sz w:val="24"/>
          <w:szCs w:val="24"/>
          <w:lang w:val="en-US"/>
        </w:rPr>
        <w:t xml:space="preserve"> so that by the time compound exposures began negligible levels of FBS remained in the well. Dosing medium was renewed every two/three days, according to t</w:t>
      </w:r>
      <w:r>
        <w:rPr>
          <w:rFonts w:ascii="Calibri" w:hAnsi="Calibri"/>
          <w:sz w:val="24"/>
          <w:szCs w:val="24"/>
          <w:lang w:val="en-US"/>
        </w:rPr>
        <w:t>he experimental design provided in Figure 1.</w:t>
      </w:r>
      <w:r w:rsidRPr="0033728F">
        <w:rPr>
          <w:rFonts w:ascii="Calibri" w:hAnsi="Calibri"/>
          <w:sz w:val="24"/>
          <w:szCs w:val="24"/>
          <w:lang w:val="en-US"/>
        </w:rPr>
        <w:t xml:space="preserve"> </w:t>
      </w:r>
      <w:r w:rsidR="002C1A1A" w:rsidRPr="002C1A1A">
        <w:rPr>
          <w:rFonts w:ascii="Calibri" w:hAnsi="Calibri"/>
          <w:sz w:val="24"/>
          <w:szCs w:val="24"/>
          <w:lang w:val="en-US"/>
        </w:rPr>
        <w:t>Prior to performing the main ring-trial a ‘pilot’ ring trial was performed in which each of the labs generated and maintained spheroids for 14 days, measuring ATP periodically. They also treated their spheroids with troglitazone and pioglitazone.</w:t>
      </w:r>
      <w:r w:rsidR="00740E01">
        <w:rPr>
          <w:rFonts w:ascii="Calibri" w:hAnsi="Calibri"/>
          <w:sz w:val="24"/>
          <w:szCs w:val="24"/>
          <w:lang w:val="en-US"/>
        </w:rPr>
        <w:t xml:space="preserve"> The experimental set up was done following a detailed protocol provided from Karolinska to all participating partners. </w:t>
      </w:r>
      <w:r w:rsidR="002C1A1A" w:rsidRPr="002C1A1A">
        <w:rPr>
          <w:rFonts w:ascii="Calibri" w:hAnsi="Calibri"/>
          <w:sz w:val="24"/>
          <w:szCs w:val="24"/>
          <w:lang w:val="en-US"/>
        </w:rPr>
        <w:t xml:space="preserve"> This had to be completed successfully </w:t>
      </w:r>
      <w:r w:rsidR="004261F3" w:rsidRPr="004261F3">
        <w:rPr>
          <w:rFonts w:ascii="Calibri" w:hAnsi="Calibri"/>
          <w:sz w:val="24"/>
          <w:szCs w:val="24"/>
          <w:lang w:val="en-US"/>
        </w:rPr>
        <w:t xml:space="preserve">with regard to spheroid aggregation, morphology and viability </w:t>
      </w:r>
      <w:r w:rsidR="002C1A1A" w:rsidRPr="002C1A1A">
        <w:rPr>
          <w:rFonts w:ascii="Calibri" w:hAnsi="Calibri"/>
          <w:sz w:val="24"/>
          <w:szCs w:val="24"/>
          <w:lang w:val="en-US"/>
        </w:rPr>
        <w:t xml:space="preserve">before continuing to the full ring trial. </w:t>
      </w:r>
    </w:p>
    <w:p w14:paraId="0E0AB5AC" w14:textId="77777777" w:rsidR="007C7C74" w:rsidRDefault="007C7C74" w:rsidP="002C1A1A">
      <w:pPr>
        <w:spacing w:line="480" w:lineRule="auto"/>
        <w:jc w:val="both"/>
        <w:rPr>
          <w:rFonts w:ascii="Calibri" w:hAnsi="Calibri"/>
          <w:sz w:val="24"/>
          <w:szCs w:val="24"/>
          <w:lang w:val="en-US"/>
        </w:rPr>
      </w:pPr>
    </w:p>
    <w:p w14:paraId="7E2BCF00" w14:textId="5642D30C" w:rsidR="00E831B6" w:rsidRPr="002C1A1A" w:rsidRDefault="002C1A1A" w:rsidP="002C1A1A">
      <w:pPr>
        <w:spacing w:line="480" w:lineRule="auto"/>
        <w:jc w:val="both"/>
        <w:rPr>
          <w:rFonts w:ascii="Calibri" w:hAnsi="Calibri"/>
          <w:sz w:val="24"/>
          <w:szCs w:val="24"/>
          <w:lang w:val="en-US"/>
        </w:rPr>
      </w:pPr>
      <w:r w:rsidRPr="002C1A1A">
        <w:rPr>
          <w:rFonts w:ascii="Calibri" w:hAnsi="Calibri"/>
          <w:sz w:val="24"/>
          <w:szCs w:val="24"/>
          <w:lang w:val="en-US"/>
        </w:rPr>
        <w:t>Finally for data to be included in the overall analysis, ATP levels in control spheroids/sandwich cultures needed to remain within an acceptable range i</w:t>
      </w:r>
      <w:r w:rsidR="004261F3">
        <w:rPr>
          <w:rFonts w:ascii="Calibri" w:hAnsi="Calibri"/>
          <w:sz w:val="24"/>
          <w:szCs w:val="24"/>
          <w:lang w:val="en-US"/>
        </w:rPr>
        <w:t>.</w:t>
      </w:r>
      <w:r w:rsidRPr="002C1A1A">
        <w:rPr>
          <w:rFonts w:ascii="Calibri" w:hAnsi="Calibri"/>
          <w:sz w:val="24"/>
          <w:szCs w:val="24"/>
          <w:lang w:val="en-US"/>
        </w:rPr>
        <w:t xml:space="preserve">e. &gt;50% of </w:t>
      </w:r>
      <w:r w:rsidR="00F55EBB">
        <w:rPr>
          <w:rFonts w:ascii="Calibri" w:hAnsi="Calibri"/>
          <w:sz w:val="24"/>
          <w:szCs w:val="24"/>
          <w:lang w:val="en-US"/>
        </w:rPr>
        <w:t xml:space="preserve">the levels at </w:t>
      </w:r>
      <w:r w:rsidRPr="002C1A1A">
        <w:rPr>
          <w:rFonts w:ascii="Calibri" w:hAnsi="Calibri"/>
          <w:sz w:val="24"/>
          <w:szCs w:val="24"/>
          <w:lang w:val="en-US"/>
        </w:rPr>
        <w:t>day 0</w:t>
      </w:r>
    </w:p>
    <w:p w14:paraId="71B1269D" w14:textId="77777777" w:rsidR="00E831B6" w:rsidRPr="00677855" w:rsidRDefault="00E831B6" w:rsidP="00017836">
      <w:pPr>
        <w:spacing w:line="480" w:lineRule="auto"/>
        <w:jc w:val="both"/>
        <w:rPr>
          <w:rFonts w:ascii="Calibri" w:hAnsi="Calibri"/>
          <w:sz w:val="24"/>
          <w:szCs w:val="24"/>
          <w:lang w:val="en-US"/>
        </w:rPr>
      </w:pPr>
    </w:p>
    <w:p w14:paraId="3423395D" w14:textId="77777777" w:rsidR="00E831B6" w:rsidRPr="005869DD" w:rsidRDefault="00E831B6" w:rsidP="00017836">
      <w:pPr>
        <w:spacing w:line="480" w:lineRule="auto"/>
        <w:jc w:val="both"/>
        <w:rPr>
          <w:rFonts w:ascii="Calibri" w:hAnsi="Calibri"/>
          <w:b/>
          <w:i/>
          <w:sz w:val="24"/>
          <w:szCs w:val="24"/>
          <w:lang w:val="en-US"/>
        </w:rPr>
      </w:pPr>
      <w:r w:rsidRPr="005869DD">
        <w:rPr>
          <w:rFonts w:ascii="Calibri" w:hAnsi="Calibri"/>
          <w:b/>
          <w:i/>
          <w:sz w:val="24"/>
          <w:szCs w:val="24"/>
          <w:lang w:val="en-US"/>
        </w:rPr>
        <w:t>Proteomics</w:t>
      </w:r>
    </w:p>
    <w:p w14:paraId="465C8704" w14:textId="5A6B5CAE"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The phenotype of </w:t>
      </w:r>
      <w:r>
        <w:rPr>
          <w:rFonts w:ascii="Calibri" w:hAnsi="Calibri"/>
          <w:sz w:val="24"/>
          <w:szCs w:val="24"/>
          <w:lang w:val="en-US"/>
        </w:rPr>
        <w:t>cryopreserved PHH</w:t>
      </w:r>
      <w:r w:rsidRPr="00677855">
        <w:rPr>
          <w:rFonts w:ascii="Calibri" w:hAnsi="Calibri"/>
          <w:sz w:val="24"/>
          <w:szCs w:val="24"/>
          <w:lang w:val="en-US"/>
        </w:rPr>
        <w:t xml:space="preserve"> cultured in the two cell </w:t>
      </w:r>
      <w:r>
        <w:rPr>
          <w:rFonts w:ascii="Calibri" w:hAnsi="Calibri"/>
          <w:sz w:val="24"/>
          <w:szCs w:val="24"/>
          <w:lang w:val="en-US"/>
        </w:rPr>
        <w:t>models</w:t>
      </w:r>
      <w:r w:rsidRPr="00677855">
        <w:rPr>
          <w:rFonts w:ascii="Calibri" w:hAnsi="Calibri"/>
          <w:sz w:val="24"/>
          <w:szCs w:val="24"/>
          <w:lang w:val="en-US"/>
        </w:rPr>
        <w:t xml:space="preserve"> was determined by </w:t>
      </w:r>
      <w:r>
        <w:rPr>
          <w:rFonts w:ascii="Calibri" w:hAnsi="Calibri"/>
          <w:sz w:val="24"/>
          <w:szCs w:val="24"/>
          <w:lang w:val="en-US"/>
        </w:rPr>
        <w:t>semi-</w:t>
      </w:r>
      <w:r w:rsidRPr="00677855">
        <w:rPr>
          <w:rFonts w:ascii="Calibri" w:hAnsi="Calibri"/>
          <w:sz w:val="24"/>
          <w:szCs w:val="24"/>
          <w:lang w:val="en-US"/>
        </w:rPr>
        <w:t xml:space="preserve">quantitative proteomics. Samples </w:t>
      </w:r>
      <w:r>
        <w:rPr>
          <w:rFonts w:ascii="Calibri" w:hAnsi="Calibri"/>
          <w:sz w:val="24"/>
          <w:szCs w:val="24"/>
          <w:lang w:val="en-US"/>
        </w:rPr>
        <w:t xml:space="preserve">from three donors </w:t>
      </w:r>
      <w:r w:rsidRPr="00677855">
        <w:rPr>
          <w:rFonts w:ascii="Calibri" w:hAnsi="Calibri"/>
          <w:sz w:val="24"/>
          <w:szCs w:val="24"/>
          <w:lang w:val="en-US"/>
        </w:rPr>
        <w:t>were prepared at d</w:t>
      </w:r>
      <w:r>
        <w:rPr>
          <w:rFonts w:ascii="Calibri" w:hAnsi="Calibri"/>
          <w:sz w:val="24"/>
          <w:szCs w:val="24"/>
          <w:lang w:val="en-US"/>
        </w:rPr>
        <w:t xml:space="preserve">ay </w:t>
      </w:r>
      <w:r w:rsidRPr="00677855">
        <w:rPr>
          <w:rFonts w:ascii="Calibri" w:hAnsi="Calibri"/>
          <w:sz w:val="24"/>
          <w:szCs w:val="24"/>
          <w:lang w:val="en-US"/>
        </w:rPr>
        <w:t>0 and d</w:t>
      </w:r>
      <w:r>
        <w:rPr>
          <w:rFonts w:ascii="Calibri" w:hAnsi="Calibri"/>
          <w:sz w:val="24"/>
          <w:szCs w:val="24"/>
          <w:lang w:val="en-US"/>
        </w:rPr>
        <w:t xml:space="preserve">ay </w:t>
      </w:r>
      <w:r w:rsidRPr="00677855">
        <w:rPr>
          <w:rFonts w:ascii="Calibri" w:hAnsi="Calibri"/>
          <w:sz w:val="24"/>
          <w:szCs w:val="24"/>
          <w:lang w:val="en-US"/>
        </w:rPr>
        <w:t xml:space="preserve">14 for each of the respective </w:t>
      </w:r>
      <w:r w:rsidRPr="00671A4F">
        <w:rPr>
          <w:rFonts w:ascii="Calibri" w:hAnsi="Calibri"/>
          <w:i/>
          <w:sz w:val="24"/>
          <w:szCs w:val="24"/>
          <w:lang w:val="en-US"/>
        </w:rPr>
        <w:t xml:space="preserve">in vitro </w:t>
      </w:r>
      <w:r w:rsidRPr="00677855">
        <w:rPr>
          <w:rFonts w:ascii="Calibri" w:hAnsi="Calibri"/>
          <w:sz w:val="24"/>
          <w:szCs w:val="24"/>
          <w:lang w:val="en-US"/>
        </w:rPr>
        <w:t xml:space="preserve">culture formats in order to have comparable data relating to the cytotoxicity experiments. </w:t>
      </w:r>
      <w:r>
        <w:rPr>
          <w:rFonts w:ascii="Calibri" w:hAnsi="Calibri"/>
          <w:sz w:val="24"/>
          <w:szCs w:val="24"/>
          <w:lang w:val="en-US"/>
        </w:rPr>
        <w:t>Furthermore, freshly thawed samples</w:t>
      </w:r>
      <w:r w:rsidRPr="00A90C07">
        <w:rPr>
          <w:rFonts w:ascii="Calibri" w:hAnsi="Calibri"/>
          <w:sz w:val="24"/>
          <w:szCs w:val="24"/>
          <w:lang w:val="en-US"/>
        </w:rPr>
        <w:t xml:space="preserve"> were snap-frozen for </w:t>
      </w:r>
      <w:r w:rsidRPr="00A90C07">
        <w:rPr>
          <w:rFonts w:ascii="Calibri" w:hAnsi="Calibri"/>
          <w:sz w:val="24"/>
          <w:szCs w:val="24"/>
          <w:lang w:val="en-US"/>
        </w:rPr>
        <w:lastRenderedPageBreak/>
        <w:t>comparative proteomic assessment. For 2Dsw</w:t>
      </w:r>
      <w:r>
        <w:rPr>
          <w:rFonts w:ascii="Calibri" w:hAnsi="Calibri"/>
          <w:sz w:val="24"/>
          <w:szCs w:val="24"/>
          <w:lang w:val="en-US"/>
        </w:rPr>
        <w:t xml:space="preserve"> </w:t>
      </w:r>
      <w:r w:rsidRPr="00A90C07">
        <w:rPr>
          <w:rFonts w:ascii="Calibri" w:hAnsi="Calibri"/>
          <w:sz w:val="24"/>
          <w:szCs w:val="24"/>
          <w:lang w:val="en-US"/>
        </w:rPr>
        <w:t xml:space="preserve">samples, cells from 3 wells </w:t>
      </w:r>
      <w:r>
        <w:rPr>
          <w:rFonts w:ascii="Calibri" w:hAnsi="Calibri"/>
          <w:sz w:val="24"/>
          <w:szCs w:val="24"/>
          <w:lang w:val="en-US"/>
        </w:rPr>
        <w:t>of a 24-well plate</w:t>
      </w:r>
      <w:r w:rsidRPr="00A90C07">
        <w:rPr>
          <w:rFonts w:ascii="Calibri" w:hAnsi="Calibri"/>
          <w:sz w:val="24"/>
          <w:szCs w:val="24"/>
          <w:lang w:val="en-US"/>
        </w:rPr>
        <w:t xml:space="preserve"> </w:t>
      </w:r>
      <w:r w:rsidRPr="00677855">
        <w:rPr>
          <w:rFonts w:ascii="Calibri" w:hAnsi="Calibri"/>
          <w:sz w:val="24"/>
          <w:szCs w:val="24"/>
          <w:lang w:val="en-US"/>
        </w:rPr>
        <w:t>were washed twice in PBS and harvested by gentle scraping. Cells were then centrifuged at 900</w:t>
      </w:r>
      <w:r>
        <w:rPr>
          <w:rFonts w:ascii="Calibri" w:hAnsi="Calibri"/>
          <w:sz w:val="24"/>
          <w:szCs w:val="24"/>
          <w:lang w:val="en-US"/>
        </w:rPr>
        <w:t xml:space="preserve"> </w:t>
      </w:r>
      <w:r w:rsidRPr="00677855">
        <w:rPr>
          <w:rFonts w:ascii="Calibri" w:hAnsi="Calibri"/>
          <w:sz w:val="24"/>
          <w:szCs w:val="24"/>
          <w:lang w:val="en-US"/>
        </w:rPr>
        <w:t>g for 7 minutes (4⁰C) and snap-frozen.</w:t>
      </w:r>
      <w:r>
        <w:rPr>
          <w:rFonts w:ascii="Calibri" w:hAnsi="Calibri"/>
          <w:sz w:val="24"/>
          <w:szCs w:val="24"/>
          <w:lang w:val="en-US"/>
        </w:rPr>
        <w:t xml:space="preserve"> All 2Dsw samples were generated at KaLy Cell.  </w:t>
      </w:r>
      <w:r w:rsidRPr="00677855">
        <w:rPr>
          <w:rFonts w:ascii="Calibri" w:hAnsi="Calibri"/>
          <w:sz w:val="24"/>
          <w:szCs w:val="24"/>
          <w:lang w:val="en-US"/>
        </w:rPr>
        <w:t xml:space="preserve">For 3D samples, spheroids from 7 plates were pooled, washed in PBS, pelleted and snap-frozen. All samples were stored at -70⁰C prior to analysis. </w:t>
      </w:r>
      <w:r w:rsidR="007C7C74">
        <w:rPr>
          <w:rFonts w:ascii="Calibri" w:hAnsi="Calibri"/>
          <w:sz w:val="24"/>
          <w:szCs w:val="24"/>
          <w:lang w:val="en-US"/>
        </w:rPr>
        <w:t>All 3D samples were generated at KI.</w:t>
      </w:r>
      <w:r w:rsidR="007C7C74" w:rsidRPr="005869DD">
        <w:rPr>
          <w:rFonts w:ascii="Calibri" w:hAnsi="Calibri"/>
          <w:sz w:val="24"/>
          <w:szCs w:val="24"/>
        </w:rPr>
        <w:t xml:space="preserve"> </w:t>
      </w:r>
      <w:r w:rsidRPr="005869DD">
        <w:rPr>
          <w:rFonts w:ascii="Calibri" w:hAnsi="Calibri"/>
          <w:sz w:val="24"/>
          <w:szCs w:val="24"/>
        </w:rPr>
        <w:t xml:space="preserve">For iTRAQ analysis, </w:t>
      </w:r>
      <w:r w:rsidRPr="005869DD">
        <w:rPr>
          <w:rFonts w:ascii="Calibri" w:hAnsi="Calibri"/>
          <w:sz w:val="24"/>
          <w:szCs w:val="24"/>
          <w:lang w:val="en"/>
        </w:rPr>
        <w:t>each cell pellet was thawed and lysed immediately by sonication in an equal volume of 0.5 M triethylammonium bicarbonate/0.1</w:t>
      </w:r>
      <w:r>
        <w:rPr>
          <w:rFonts w:ascii="Calibri" w:hAnsi="Calibri"/>
          <w:sz w:val="24"/>
          <w:szCs w:val="24"/>
          <w:lang w:val="en"/>
        </w:rPr>
        <w:t xml:space="preserve"> </w:t>
      </w:r>
      <w:r w:rsidRPr="005869DD">
        <w:rPr>
          <w:rFonts w:ascii="Calibri" w:hAnsi="Calibri"/>
          <w:sz w:val="24"/>
          <w:szCs w:val="24"/>
          <w:lang w:val="en"/>
        </w:rPr>
        <w:t>% sodium dodecyl sulfate (SDS). The cell lysate was centrifuged at 14</w:t>
      </w:r>
      <w:r>
        <w:rPr>
          <w:rFonts w:ascii="Calibri" w:hAnsi="Calibri"/>
          <w:sz w:val="24"/>
          <w:szCs w:val="24"/>
          <w:lang w:val="en"/>
        </w:rPr>
        <w:t>,</w:t>
      </w:r>
      <w:r w:rsidRPr="005869DD">
        <w:rPr>
          <w:rFonts w:ascii="Calibri" w:hAnsi="Calibri"/>
          <w:sz w:val="24"/>
          <w:szCs w:val="24"/>
          <w:lang w:val="en"/>
        </w:rPr>
        <w:t>000 g for 15 min at 4°C and the supernatant collected. Protein concentration was determined by the Bradford assay</w:t>
      </w:r>
      <w:r w:rsidRPr="005869DD">
        <w:rPr>
          <w:rFonts w:ascii="Calibri" w:hAnsi="Calibri"/>
          <w:sz w:val="24"/>
          <w:szCs w:val="24"/>
        </w:rPr>
        <w:t>. Sample labelling was performed according to the manufacturer’s instructions (</w:t>
      </w:r>
      <w:r w:rsidRPr="005869DD">
        <w:rPr>
          <w:rFonts w:ascii="Calibri" w:hAnsi="Calibri"/>
          <w:sz w:val="24"/>
          <w:szCs w:val="24"/>
          <w:lang w:val="en"/>
        </w:rPr>
        <w:t>AB Sciex</w:t>
      </w:r>
      <w:r w:rsidRPr="005869DD">
        <w:rPr>
          <w:rFonts w:ascii="Calibri" w:hAnsi="Calibri"/>
          <w:sz w:val="24"/>
          <w:szCs w:val="24"/>
        </w:rPr>
        <w:t>). Briefly, 100 μg of protein in 20 μL was denatured, reduced and capped with MMTS according to the protocol. Samples were subsequently digested with trypsin overnight, and labelled with iTRAQ isobaric tags 113-121. Samples were subjected to cation exchange chromatography, to remove unbound trypsin and reagent. The digests were diluted to 4 mL with 10 mM potassium dihydrogen phosphate/25% ACN (w/v). The pH of the samples was adjusted to &lt;3 using phosphoric acid prior to frac</w:t>
      </w:r>
      <w:r w:rsidRPr="000735FC">
        <w:rPr>
          <w:rFonts w:ascii="Calibri" w:hAnsi="Calibri"/>
          <w:sz w:val="24"/>
          <w:szCs w:val="24"/>
        </w:rPr>
        <w:t>tionation on a Polysulfoethyl A</w:t>
      </w:r>
      <w:r w:rsidRPr="005869DD">
        <w:rPr>
          <w:rFonts w:ascii="Calibri" w:hAnsi="Calibri"/>
          <w:sz w:val="24"/>
          <w:szCs w:val="24"/>
        </w:rPr>
        <w:t xml:space="preserve"> strong cation-</w:t>
      </w:r>
      <w:r w:rsidRPr="00B76B31">
        <w:rPr>
          <w:rFonts w:ascii="Calibri" w:hAnsi="Calibri"/>
          <w:sz w:val="24"/>
          <w:szCs w:val="24"/>
        </w:rPr>
        <w:t xml:space="preserve">exchange column (200 × 4.6mm, </w:t>
      </w:r>
      <w:r w:rsidRPr="00F12AB0">
        <w:rPr>
          <w:rFonts w:ascii="Calibri" w:hAnsi="Calibri"/>
          <w:sz w:val="24"/>
          <w:szCs w:val="24"/>
        </w:rPr>
        <w:t>5 μm</w:t>
      </w:r>
      <w:r w:rsidRPr="00B76B31">
        <w:rPr>
          <w:rFonts w:ascii="Calibri" w:hAnsi="Calibri"/>
          <w:sz w:val="24"/>
          <w:szCs w:val="24"/>
        </w:rPr>
        <w:t>, 300Å; Poly LC, Columbia, MD). Fractions of 2 mL</w:t>
      </w:r>
      <w:r w:rsidRPr="005869DD">
        <w:rPr>
          <w:rFonts w:ascii="Calibri" w:hAnsi="Calibri"/>
          <w:sz w:val="24"/>
          <w:szCs w:val="24"/>
        </w:rPr>
        <w:t xml:space="preserve"> were collected and dried by centrifugation under vacuum (SpeedVac, Eppendorf). Fractions were reconstituted in 1 mL of 0.1 % TFA and were subsequently desalted using a mRP Hi Recovery protein column 4.6 x 50 mm (Agilent) on an Infinity 1260 HPLC system (Agilent) prior to mass spectrometric analysis.</w:t>
      </w:r>
      <w:r>
        <w:rPr>
          <w:rFonts w:ascii="Calibri" w:hAnsi="Calibri"/>
          <w:sz w:val="24"/>
          <w:szCs w:val="24"/>
        </w:rPr>
        <w:t xml:space="preserve"> </w:t>
      </w:r>
      <w:r w:rsidRPr="005869DD">
        <w:rPr>
          <w:rFonts w:ascii="Calibri" w:hAnsi="Calibri"/>
          <w:sz w:val="24"/>
          <w:szCs w:val="24"/>
        </w:rPr>
        <w:t xml:space="preserve">Desalted fractions were reconstituted in 40 </w:t>
      </w:r>
      <w:r w:rsidRPr="0016022E">
        <w:rPr>
          <w:rFonts w:ascii="Calibri" w:hAnsi="Calibri"/>
          <w:sz w:val="24"/>
          <w:szCs w:val="24"/>
        </w:rPr>
        <w:t>μ</w:t>
      </w:r>
      <w:r w:rsidRPr="00035CA0">
        <w:rPr>
          <w:rFonts w:ascii="Calibri" w:hAnsi="Calibri"/>
          <w:sz w:val="24"/>
          <w:szCs w:val="24"/>
        </w:rPr>
        <w:t>l</w:t>
      </w:r>
      <w:r w:rsidRPr="005869DD">
        <w:rPr>
          <w:rFonts w:ascii="Calibri" w:hAnsi="Calibri"/>
          <w:sz w:val="24"/>
          <w:szCs w:val="24"/>
        </w:rPr>
        <w:t xml:space="preserve"> 0.1 % formic acid and 5 </w:t>
      </w:r>
      <w:r w:rsidRPr="0016022E">
        <w:rPr>
          <w:rFonts w:ascii="Calibri" w:hAnsi="Calibri"/>
          <w:sz w:val="24"/>
          <w:szCs w:val="24"/>
        </w:rPr>
        <w:t>μ</w:t>
      </w:r>
      <w:r w:rsidRPr="00035CA0">
        <w:rPr>
          <w:rFonts w:ascii="Calibri" w:hAnsi="Calibri"/>
          <w:sz w:val="24"/>
          <w:szCs w:val="24"/>
        </w:rPr>
        <w:t>l</w:t>
      </w:r>
      <w:r w:rsidRPr="005869DD">
        <w:rPr>
          <w:rFonts w:ascii="Calibri" w:hAnsi="Calibri"/>
          <w:sz w:val="24"/>
          <w:szCs w:val="24"/>
        </w:rPr>
        <w:t xml:space="preserve"> aliquots were delivered into a Triple TOF 6600 (Sciex) via </w:t>
      </w:r>
      <w:r w:rsidRPr="005869DD">
        <w:rPr>
          <w:rFonts w:ascii="Calibri" w:hAnsi="Calibri"/>
          <w:sz w:val="24"/>
          <w:szCs w:val="24"/>
          <w:lang w:val="en-US"/>
        </w:rPr>
        <w:t>an Eksigent NanoLC 400 System (Sciex) mounted with a NanoAcquity 5 µm, 180 µm x 20 mm C</w:t>
      </w:r>
      <w:r w:rsidRPr="005869DD">
        <w:rPr>
          <w:rFonts w:ascii="Calibri" w:hAnsi="Calibri"/>
          <w:sz w:val="24"/>
          <w:szCs w:val="24"/>
          <w:vertAlign w:val="subscript"/>
          <w:lang w:val="en-US"/>
        </w:rPr>
        <w:t>18</w:t>
      </w:r>
      <w:r w:rsidRPr="005869DD">
        <w:rPr>
          <w:rFonts w:ascii="Calibri" w:hAnsi="Calibri"/>
          <w:sz w:val="24"/>
          <w:szCs w:val="24"/>
          <w:lang w:val="en-US"/>
        </w:rPr>
        <w:t xml:space="preserve"> trap and 1.7 µm, 75 µm X 250 mm analytical column (Waters). A NanoSpray III source was fitted with a 10 μm inner diameter PicoTip emitter (New Objective). </w:t>
      </w:r>
      <w:r w:rsidRPr="005869DD">
        <w:rPr>
          <w:rFonts w:ascii="Calibri" w:hAnsi="Calibri"/>
          <w:sz w:val="24"/>
          <w:szCs w:val="24"/>
          <w:lang w:val="en-US"/>
        </w:rPr>
        <w:lastRenderedPageBreak/>
        <w:t xml:space="preserve">A gradient of 2−50% ACN/0.1 </w:t>
      </w:r>
      <w:r w:rsidRPr="000735FC">
        <w:rPr>
          <w:rFonts w:ascii="Calibri" w:hAnsi="Calibri"/>
          <w:sz w:val="24"/>
          <w:szCs w:val="24"/>
          <w:lang w:val="en-US"/>
        </w:rPr>
        <w:t>%</w:t>
      </w:r>
      <w:r w:rsidRPr="005869DD">
        <w:rPr>
          <w:rFonts w:ascii="Calibri" w:hAnsi="Calibri"/>
          <w:sz w:val="24"/>
          <w:szCs w:val="24"/>
          <w:lang w:val="en-US"/>
        </w:rPr>
        <w:t xml:space="preserve"> formic acid (v/v) over 90 min was applied to the columns at a fl</w:t>
      </w:r>
      <w:r w:rsidRPr="000735FC">
        <w:rPr>
          <w:rFonts w:ascii="Calibri" w:hAnsi="Calibri"/>
          <w:sz w:val="24"/>
          <w:szCs w:val="24"/>
          <w:lang w:val="en-US"/>
        </w:rPr>
        <w:t>ow rate of 300 nl</w:t>
      </w:r>
      <w:r w:rsidRPr="005869DD">
        <w:rPr>
          <w:rFonts w:ascii="Calibri" w:hAnsi="Calibri"/>
          <w:sz w:val="24"/>
          <w:szCs w:val="24"/>
          <w:lang w:val="en-US"/>
        </w:rPr>
        <w:t>/min. The mass spectrometer was o</w:t>
      </w:r>
      <w:r w:rsidRPr="005869DD">
        <w:rPr>
          <w:rFonts w:ascii="Calibri" w:hAnsi="Calibri"/>
          <w:sz w:val="24"/>
          <w:szCs w:val="24"/>
        </w:rPr>
        <w:t>perated in positive ion mode (Analyst TF1.7) with survey scans of 250 ms, MS/MS accumulation time of 100 ms and with monitoring of the 25 most intense</w:t>
      </w:r>
      <w:r w:rsidRPr="000735FC">
        <w:rPr>
          <w:rFonts w:ascii="Calibri" w:hAnsi="Calibri"/>
          <w:sz w:val="24"/>
          <w:szCs w:val="24"/>
        </w:rPr>
        <w:t xml:space="preserve"> ions (total cycle time 2.5 s).</w:t>
      </w:r>
      <w:r w:rsidRPr="005869DD">
        <w:rPr>
          <w:rFonts w:ascii="Calibri" w:hAnsi="Calibri"/>
          <w:sz w:val="24"/>
          <w:szCs w:val="24"/>
        </w:rPr>
        <w:t xml:space="preserve"> Data were searched using ProteinPilot 5 software (Sciex) against the latest UniProt database with iTRAQ as a variable modification and MMTS as the cysteine alkylating reagent. The reversed database was used as a decoy to determine the false discovery rate (FDR) for protein identification, and only those proteins identified at greater than 1% FDR were evaluated further.</w:t>
      </w:r>
      <w:r w:rsidRPr="00677855">
        <w:rPr>
          <w:rFonts w:ascii="Calibri" w:hAnsi="Calibri"/>
          <w:sz w:val="24"/>
          <w:szCs w:val="24"/>
          <w:lang w:val="en-US"/>
        </w:rPr>
        <w:t xml:space="preserve"> Principle component analyses (PCA) were performed using Qlucore Omics Explorer</w:t>
      </w:r>
      <w:r w:rsidRPr="00677855">
        <w:rPr>
          <w:rFonts w:ascii="Calibri" w:hAnsi="Calibri" w:cs="Times"/>
          <w:lang w:val="en-US"/>
        </w:rPr>
        <w:t xml:space="preserve"> </w:t>
      </w:r>
      <w:r w:rsidRPr="00677855">
        <w:rPr>
          <w:rFonts w:ascii="Calibri" w:hAnsi="Calibri"/>
          <w:sz w:val="24"/>
          <w:szCs w:val="24"/>
          <w:lang w:val="en-US"/>
        </w:rPr>
        <w:t xml:space="preserve">3.1 (Qlucore, Lund, Sweden). Differentially affected pathways in 2Dsw and 3D spheroid culture were identified using overrepresentation enrichment analyses using WebGestalt </w:t>
      </w:r>
      <w:r>
        <w:rPr>
          <w:rFonts w:ascii="Calibri" w:hAnsi="Calibri"/>
          <w:noProof/>
          <w:sz w:val="24"/>
          <w:szCs w:val="24"/>
          <w:lang w:val="en-US"/>
        </w:rPr>
        <w:t>(Wang</w:t>
      </w:r>
      <w:r w:rsidRPr="007D68DF">
        <w:rPr>
          <w:rFonts w:ascii="Calibri" w:hAnsi="Calibri"/>
          <w:i/>
          <w:noProof/>
          <w:sz w:val="24"/>
          <w:szCs w:val="24"/>
          <w:lang w:val="en-US"/>
        </w:rPr>
        <w:t xml:space="preserve"> et al.</w:t>
      </w:r>
      <w:r>
        <w:rPr>
          <w:rFonts w:ascii="Calibri" w:hAnsi="Calibri"/>
          <w:noProof/>
          <w:sz w:val="24"/>
          <w:szCs w:val="24"/>
          <w:lang w:val="en-US"/>
        </w:rPr>
        <w:t>, 2013)</w:t>
      </w:r>
      <w:r w:rsidRPr="00677855">
        <w:rPr>
          <w:rFonts w:ascii="Calibri" w:hAnsi="Calibri"/>
          <w:sz w:val="24"/>
          <w:szCs w:val="24"/>
          <w:lang w:val="en-US"/>
        </w:rPr>
        <w:t>. For whole proteome analyses Benjamini-Hochberg multiple testing correction was applied with a false discovery rate (FDR) of 5%. For comparisons between groups, p-values refer to two-tailed heteroscedastic t-tests unless specified otherwise. Results were considered significant when p&lt;0.05.</w:t>
      </w:r>
    </w:p>
    <w:p w14:paraId="66B4834F" w14:textId="77777777" w:rsidR="00E831B6" w:rsidRPr="00677855" w:rsidRDefault="00E831B6" w:rsidP="00017836">
      <w:pPr>
        <w:spacing w:line="480" w:lineRule="auto"/>
        <w:jc w:val="both"/>
        <w:rPr>
          <w:rFonts w:ascii="Calibri" w:hAnsi="Calibri"/>
          <w:sz w:val="24"/>
          <w:szCs w:val="24"/>
          <w:lang w:val="en-US"/>
        </w:rPr>
      </w:pPr>
    </w:p>
    <w:p w14:paraId="361E6C41" w14:textId="77777777" w:rsidR="00E831B6" w:rsidRPr="00677855" w:rsidRDefault="00E831B6" w:rsidP="00017836">
      <w:pPr>
        <w:spacing w:line="480" w:lineRule="auto"/>
        <w:jc w:val="both"/>
        <w:rPr>
          <w:rFonts w:ascii="Calibri" w:hAnsi="Calibri"/>
          <w:b/>
          <w:sz w:val="24"/>
          <w:szCs w:val="24"/>
          <w:lang w:val="en-US"/>
        </w:rPr>
      </w:pPr>
      <w:r>
        <w:rPr>
          <w:rFonts w:ascii="Calibri" w:hAnsi="Calibri"/>
          <w:b/>
          <w:sz w:val="24"/>
          <w:szCs w:val="24"/>
          <w:lang w:val="en-US"/>
        </w:rPr>
        <w:t>Cytochrome P450</w:t>
      </w:r>
      <w:r w:rsidRPr="00677855">
        <w:rPr>
          <w:rFonts w:ascii="Calibri" w:hAnsi="Calibri"/>
          <w:b/>
          <w:sz w:val="24"/>
          <w:szCs w:val="24"/>
          <w:lang w:val="en-US"/>
        </w:rPr>
        <w:t xml:space="preserve"> activity</w:t>
      </w:r>
      <w:r>
        <w:rPr>
          <w:rFonts w:ascii="Calibri" w:hAnsi="Calibri"/>
          <w:b/>
          <w:sz w:val="24"/>
          <w:szCs w:val="24"/>
          <w:lang w:val="en-US"/>
        </w:rPr>
        <w:t xml:space="preserve"> quantifications</w:t>
      </w:r>
    </w:p>
    <w:p w14:paraId="482BCB6F" w14:textId="40DA2E22" w:rsidR="00E831B6" w:rsidRPr="00A90C07" w:rsidRDefault="00E831B6" w:rsidP="00017836">
      <w:pPr>
        <w:spacing w:line="480" w:lineRule="auto"/>
        <w:jc w:val="both"/>
        <w:rPr>
          <w:rFonts w:ascii="Calibri" w:hAnsi="Calibri"/>
          <w:sz w:val="24"/>
          <w:szCs w:val="24"/>
        </w:rPr>
      </w:pPr>
      <w:r>
        <w:rPr>
          <w:rFonts w:ascii="Calibri" w:hAnsi="Calibri"/>
          <w:sz w:val="24"/>
          <w:szCs w:val="24"/>
          <w:lang w:val="en-US"/>
        </w:rPr>
        <w:t xml:space="preserve">A comparison of CYP450 activity in the two culture formats was performed at Janssen. </w:t>
      </w:r>
      <w:r w:rsidRPr="00B76B31">
        <w:rPr>
          <w:rFonts w:ascii="Calibri" w:hAnsi="Calibri"/>
          <w:sz w:val="24"/>
          <w:szCs w:val="24"/>
          <w:lang w:val="en-US"/>
        </w:rPr>
        <w:t xml:space="preserve">PHH </w:t>
      </w:r>
      <w:r>
        <w:rPr>
          <w:rFonts w:ascii="Calibri" w:hAnsi="Calibri"/>
          <w:sz w:val="24"/>
          <w:szCs w:val="24"/>
          <w:lang w:val="en-US"/>
        </w:rPr>
        <w:t xml:space="preserve">cultures from donor 1 </w:t>
      </w:r>
      <w:r w:rsidRPr="00B76B31">
        <w:rPr>
          <w:rFonts w:ascii="Calibri" w:hAnsi="Calibri"/>
          <w:sz w:val="24"/>
          <w:szCs w:val="24"/>
          <w:lang w:val="en-US"/>
        </w:rPr>
        <w:t xml:space="preserve">were treated with a cocktail consisting of the probe substrates </w:t>
      </w:r>
      <w:r w:rsidRPr="006F0DED">
        <w:rPr>
          <w:rFonts w:ascii="Calibri" w:hAnsi="Calibri"/>
          <w:sz w:val="24"/>
          <w:szCs w:val="24"/>
          <w:lang w:val="en-US"/>
        </w:rPr>
        <w:t xml:space="preserve">phenacetin (100 µM), </w:t>
      </w:r>
      <w:r>
        <w:rPr>
          <w:rFonts w:ascii="Calibri" w:hAnsi="Calibri"/>
          <w:sz w:val="24"/>
          <w:szCs w:val="24"/>
          <w:lang w:val="en-US"/>
        </w:rPr>
        <w:t>amodiaquine (10 µM),</w:t>
      </w:r>
      <w:r w:rsidRPr="006F0DED">
        <w:t xml:space="preserve"> </w:t>
      </w:r>
      <w:r w:rsidRPr="006F0DED">
        <w:rPr>
          <w:rFonts w:ascii="Calibri" w:hAnsi="Calibri"/>
          <w:sz w:val="24"/>
          <w:szCs w:val="24"/>
          <w:lang w:val="en-US"/>
        </w:rPr>
        <w:t>tolbutamide (100 µM)</w:t>
      </w:r>
      <w:r>
        <w:rPr>
          <w:rFonts w:ascii="Calibri" w:hAnsi="Calibri"/>
          <w:sz w:val="24"/>
          <w:szCs w:val="24"/>
          <w:lang w:val="en-US"/>
        </w:rPr>
        <w:t>, dextromethorphan (15 µM) and</w:t>
      </w:r>
      <w:r w:rsidRPr="006F0DED">
        <w:rPr>
          <w:rFonts w:ascii="Calibri" w:hAnsi="Calibri"/>
          <w:sz w:val="24"/>
          <w:szCs w:val="24"/>
          <w:lang w:val="en-US"/>
        </w:rPr>
        <w:t xml:space="preserve"> </w:t>
      </w:r>
      <w:r>
        <w:rPr>
          <w:rFonts w:ascii="Calibri" w:hAnsi="Calibri"/>
          <w:sz w:val="24"/>
          <w:szCs w:val="24"/>
          <w:lang w:val="en-US"/>
        </w:rPr>
        <w:t xml:space="preserve"> </w:t>
      </w:r>
      <w:r w:rsidRPr="00B76B31">
        <w:rPr>
          <w:rFonts w:ascii="Calibri" w:hAnsi="Calibri"/>
          <w:sz w:val="24"/>
          <w:szCs w:val="24"/>
          <w:lang w:val="en-US"/>
        </w:rPr>
        <w:t>midazolam (10 µM), and to determine the activities of CYP1A2, CYP2C8</w:t>
      </w:r>
      <w:r>
        <w:rPr>
          <w:rFonts w:ascii="Calibri" w:hAnsi="Calibri"/>
          <w:sz w:val="24"/>
          <w:szCs w:val="24"/>
          <w:lang w:val="en-US"/>
        </w:rPr>
        <w:t>,</w:t>
      </w:r>
      <w:r w:rsidRPr="00B76B31">
        <w:rPr>
          <w:rFonts w:ascii="Calibri" w:hAnsi="Calibri"/>
          <w:sz w:val="24"/>
          <w:szCs w:val="24"/>
          <w:lang w:val="en-US"/>
        </w:rPr>
        <w:t xml:space="preserve"> CYP2C9</w:t>
      </w:r>
      <w:r>
        <w:rPr>
          <w:rFonts w:ascii="Calibri" w:hAnsi="Calibri"/>
          <w:sz w:val="24"/>
          <w:szCs w:val="24"/>
          <w:lang w:val="en-US"/>
        </w:rPr>
        <w:t xml:space="preserve">, </w:t>
      </w:r>
      <w:r w:rsidRPr="00B76B31">
        <w:rPr>
          <w:rFonts w:ascii="Calibri" w:hAnsi="Calibri"/>
          <w:sz w:val="24"/>
          <w:szCs w:val="24"/>
          <w:lang w:val="en-US"/>
        </w:rPr>
        <w:t>CYP2D6,</w:t>
      </w:r>
      <w:r>
        <w:rPr>
          <w:rFonts w:ascii="Calibri" w:hAnsi="Calibri"/>
          <w:sz w:val="24"/>
          <w:szCs w:val="24"/>
          <w:lang w:val="en-US"/>
        </w:rPr>
        <w:t xml:space="preserve"> </w:t>
      </w:r>
      <w:r w:rsidRPr="00B76B31">
        <w:rPr>
          <w:rFonts w:ascii="Calibri" w:hAnsi="Calibri"/>
          <w:sz w:val="24"/>
          <w:szCs w:val="24"/>
          <w:lang w:val="en-US"/>
        </w:rPr>
        <w:t>CYP3A4, respectively. After 2h and 8h medium was collected and frozen. Metabolite formation (</w:t>
      </w:r>
      <w:r w:rsidRPr="006F0DED">
        <w:rPr>
          <w:rFonts w:ascii="Calibri" w:hAnsi="Calibri"/>
          <w:sz w:val="24"/>
          <w:szCs w:val="24"/>
          <w:lang w:val="en-US"/>
        </w:rPr>
        <w:t>acetaminophen</w:t>
      </w:r>
      <w:r>
        <w:rPr>
          <w:rFonts w:ascii="Calibri" w:hAnsi="Calibri"/>
          <w:sz w:val="24"/>
          <w:szCs w:val="24"/>
          <w:lang w:val="en-US"/>
        </w:rPr>
        <w:t>,</w:t>
      </w:r>
      <w:r w:rsidRPr="006F0DED">
        <w:rPr>
          <w:rFonts w:ascii="Calibri" w:hAnsi="Calibri"/>
          <w:sz w:val="24"/>
          <w:szCs w:val="24"/>
          <w:lang w:val="en-US"/>
        </w:rPr>
        <w:t xml:space="preserve"> desethyl-amodiaquine,</w:t>
      </w:r>
      <w:r w:rsidRPr="006F0DED">
        <w:t xml:space="preserve"> </w:t>
      </w:r>
      <w:r w:rsidRPr="006F0DED">
        <w:rPr>
          <w:rFonts w:ascii="Calibri" w:hAnsi="Calibri"/>
          <w:sz w:val="24"/>
          <w:szCs w:val="24"/>
          <w:lang w:val="en-US"/>
        </w:rPr>
        <w:t>4-OH-tolbutamide</w:t>
      </w:r>
      <w:r>
        <w:rPr>
          <w:rFonts w:ascii="Calibri" w:hAnsi="Calibri"/>
          <w:sz w:val="24"/>
          <w:szCs w:val="24"/>
          <w:lang w:val="en-US"/>
        </w:rPr>
        <w:t xml:space="preserve">, </w:t>
      </w:r>
      <w:r w:rsidRPr="006F0DED">
        <w:rPr>
          <w:rFonts w:ascii="Calibri" w:hAnsi="Calibri"/>
          <w:sz w:val="24"/>
          <w:szCs w:val="24"/>
          <w:lang w:val="en-US"/>
        </w:rPr>
        <w:t>dextrorphan</w:t>
      </w:r>
      <w:r>
        <w:rPr>
          <w:rFonts w:ascii="Calibri" w:hAnsi="Calibri"/>
          <w:sz w:val="24"/>
          <w:szCs w:val="24"/>
          <w:lang w:val="en-US"/>
        </w:rPr>
        <w:t xml:space="preserve"> and </w:t>
      </w:r>
      <w:r w:rsidRPr="006F0DED">
        <w:rPr>
          <w:rFonts w:ascii="Calibri" w:hAnsi="Calibri"/>
          <w:sz w:val="24"/>
          <w:szCs w:val="24"/>
          <w:lang w:val="en-US"/>
        </w:rPr>
        <w:t xml:space="preserve"> </w:t>
      </w:r>
      <w:r w:rsidRPr="000D5045">
        <w:rPr>
          <w:rFonts w:ascii="Calibri" w:hAnsi="Calibri"/>
          <w:sz w:val="24"/>
          <w:szCs w:val="24"/>
          <w:lang w:val="en-US"/>
        </w:rPr>
        <w:t>1-OH-midazolam</w:t>
      </w:r>
      <w:r>
        <w:rPr>
          <w:rFonts w:ascii="Calibri" w:hAnsi="Calibri"/>
          <w:sz w:val="24"/>
          <w:szCs w:val="24"/>
          <w:lang w:val="en-US"/>
        </w:rPr>
        <w:t xml:space="preserve">) </w:t>
      </w:r>
      <w:r w:rsidRPr="00B76B31">
        <w:rPr>
          <w:rFonts w:ascii="Calibri" w:hAnsi="Calibri"/>
          <w:sz w:val="24"/>
          <w:szCs w:val="24"/>
          <w:lang w:val="en-US"/>
        </w:rPr>
        <w:t xml:space="preserve">, , was quantified on a Shimadzu Nexera SIL-30AC system (Shimadzu Corp., </w:t>
      </w:r>
      <w:r w:rsidRPr="00B76B31">
        <w:rPr>
          <w:rFonts w:ascii="Calibri" w:hAnsi="Calibri"/>
          <w:sz w:val="24"/>
          <w:szCs w:val="24"/>
          <w:lang w:val="en-US"/>
        </w:rPr>
        <w:lastRenderedPageBreak/>
        <w:t>Kyoto, Japan) connected to a SCIEX QTRAP 6500 mass spectrometer (SCIEX, Ontario, Canada) (for determining 4-OH-</w:t>
      </w:r>
      <w:r>
        <w:rPr>
          <w:rFonts w:ascii="Calibri" w:hAnsi="Calibri"/>
          <w:sz w:val="24"/>
          <w:szCs w:val="24"/>
          <w:lang w:val="en-US"/>
        </w:rPr>
        <w:t>t</w:t>
      </w:r>
      <w:r w:rsidRPr="00B76B31">
        <w:rPr>
          <w:rFonts w:ascii="Calibri" w:hAnsi="Calibri"/>
          <w:sz w:val="24"/>
          <w:szCs w:val="24"/>
          <w:lang w:val="en-US"/>
        </w:rPr>
        <w:t xml:space="preserve">olbutamide and </w:t>
      </w:r>
      <w:r>
        <w:rPr>
          <w:rFonts w:ascii="Calibri" w:hAnsi="Calibri"/>
          <w:sz w:val="24"/>
          <w:szCs w:val="24"/>
          <w:lang w:val="en-US"/>
        </w:rPr>
        <w:t>p</w:t>
      </w:r>
      <w:r w:rsidRPr="00B76B31">
        <w:rPr>
          <w:rFonts w:ascii="Calibri" w:hAnsi="Calibri"/>
          <w:sz w:val="24"/>
          <w:szCs w:val="24"/>
          <w:lang w:val="en-US"/>
        </w:rPr>
        <w:t>henacetin) or a SCIEX API-4000 (SCIEX) (for determining 1-OH-</w:t>
      </w:r>
      <w:r>
        <w:rPr>
          <w:rFonts w:ascii="Calibri" w:hAnsi="Calibri"/>
          <w:sz w:val="24"/>
          <w:szCs w:val="24"/>
          <w:lang w:val="en-US"/>
        </w:rPr>
        <w:t>m</w:t>
      </w:r>
      <w:r w:rsidRPr="00B76B31">
        <w:rPr>
          <w:rFonts w:ascii="Calibri" w:hAnsi="Calibri"/>
          <w:sz w:val="24"/>
          <w:szCs w:val="24"/>
          <w:lang w:val="en-US"/>
        </w:rPr>
        <w:t>idazolam, desethyl-amodiaquine, and dextrorphan) equipped with an ionization source operated in negative (4-OH-tolbutamide) or positive (desethyl-amodiaquine, 1-OH-midazolam, dextrorphan, acetaminophen) mode. Separation was carried out at 50°C using either a Waters Acquity C18 BEH 1.7 µm- 50 x 2.1 mm ID (Waters Corp., MA, USA- For midazolam and dextromethorphan) or a Waters Acquity</w:t>
      </w:r>
      <w:r w:rsidRPr="00B76B31">
        <w:rPr>
          <w:rFonts w:ascii="Calibri" w:hAnsi="Calibri"/>
          <w:sz w:val="24"/>
          <w:szCs w:val="24"/>
        </w:rPr>
        <w:t xml:space="preserve"> </w:t>
      </w:r>
      <w:r w:rsidRPr="00B76B31">
        <w:rPr>
          <w:rFonts w:ascii="Calibri" w:hAnsi="Calibri"/>
          <w:sz w:val="24"/>
          <w:szCs w:val="24"/>
          <w:lang w:val="en-US"/>
        </w:rPr>
        <w:t>HSS T3 1.8µm 2.1*100mm (Waters Corp., MA, USA- For Phenacetin, Amodiaquine or Tolbutamide). All data collection, processing, and analysis was performed with Analyst® software (v1.6.2; SCIEX). The lower limit of quantification (LLOQ) was set at 0.5 ng/ml, 2.0 ng/ml, 0.1 ng/ml, 0.1 ng/ml and 0.5 ng/ml for acetaminophen, desethyl-amodiaquine, 4-OH-tolbutamide, dextrorphan and 1-OH-midazolam, respectively.</w:t>
      </w:r>
      <w:r>
        <w:rPr>
          <w:rFonts w:ascii="Calibri" w:hAnsi="Calibri"/>
          <w:sz w:val="24"/>
          <w:szCs w:val="24"/>
          <w:lang w:val="en-US"/>
        </w:rPr>
        <w:t xml:space="preserve"> </w:t>
      </w:r>
      <w:r w:rsidRPr="00A90C07">
        <w:rPr>
          <w:rFonts w:ascii="Calibri" w:hAnsi="Calibri"/>
          <w:sz w:val="24"/>
          <w:szCs w:val="24"/>
        </w:rPr>
        <w:t>All results are expressed as pmol metabolite formed/h/million seeded cells from single spheroid</w:t>
      </w:r>
      <w:r>
        <w:rPr>
          <w:rFonts w:ascii="Calibri" w:hAnsi="Calibri"/>
          <w:sz w:val="24"/>
          <w:szCs w:val="24"/>
        </w:rPr>
        <w:t>s</w:t>
      </w:r>
      <w:r w:rsidRPr="00A90C07">
        <w:rPr>
          <w:rFonts w:ascii="Calibri" w:hAnsi="Calibri"/>
          <w:sz w:val="24"/>
          <w:szCs w:val="24"/>
        </w:rPr>
        <w:t xml:space="preserve"> or 2Dsw culture wells.</w:t>
      </w:r>
    </w:p>
    <w:p w14:paraId="532848A6" w14:textId="77777777" w:rsidR="00E831B6" w:rsidRPr="00B76B31" w:rsidRDefault="00E831B6" w:rsidP="00017836">
      <w:pPr>
        <w:spacing w:line="480" w:lineRule="auto"/>
        <w:jc w:val="both"/>
        <w:rPr>
          <w:rFonts w:ascii="Calibri" w:hAnsi="Calibri"/>
          <w:sz w:val="24"/>
          <w:szCs w:val="24"/>
          <w:lang w:val="en-US"/>
        </w:rPr>
      </w:pPr>
    </w:p>
    <w:p w14:paraId="4B77F4A7" w14:textId="77777777" w:rsidR="00E831B6" w:rsidRPr="00677855" w:rsidRDefault="00E831B6" w:rsidP="00017836">
      <w:pPr>
        <w:spacing w:line="480" w:lineRule="auto"/>
        <w:jc w:val="both"/>
        <w:rPr>
          <w:rFonts w:ascii="Calibri" w:hAnsi="Calibri"/>
          <w:b/>
          <w:sz w:val="24"/>
          <w:szCs w:val="24"/>
          <w:lang w:val="en-US"/>
        </w:rPr>
      </w:pPr>
    </w:p>
    <w:p w14:paraId="53F1772B" w14:textId="77777777" w:rsidR="00E831B6" w:rsidRPr="00677855" w:rsidRDefault="00E831B6" w:rsidP="00017836">
      <w:pPr>
        <w:spacing w:line="480" w:lineRule="auto"/>
        <w:jc w:val="both"/>
        <w:rPr>
          <w:rFonts w:ascii="Calibri" w:hAnsi="Calibri"/>
          <w:b/>
          <w:sz w:val="24"/>
          <w:szCs w:val="24"/>
          <w:lang w:val="en-US"/>
        </w:rPr>
      </w:pPr>
      <w:r>
        <w:rPr>
          <w:rFonts w:ascii="Calibri" w:hAnsi="Calibri"/>
          <w:b/>
          <w:sz w:val="24"/>
          <w:szCs w:val="24"/>
          <w:lang w:val="en-US"/>
        </w:rPr>
        <w:t>I</w:t>
      </w:r>
      <w:r w:rsidRPr="00677855">
        <w:rPr>
          <w:rFonts w:ascii="Calibri" w:hAnsi="Calibri"/>
          <w:b/>
          <w:sz w:val="24"/>
          <w:szCs w:val="24"/>
          <w:lang w:val="en-US"/>
        </w:rPr>
        <w:t>ncubation</w:t>
      </w:r>
      <w:r>
        <w:rPr>
          <w:rFonts w:ascii="Calibri" w:hAnsi="Calibri"/>
          <w:b/>
          <w:sz w:val="24"/>
          <w:szCs w:val="24"/>
          <w:lang w:val="en-US"/>
        </w:rPr>
        <w:t>s with test compounds</w:t>
      </w:r>
    </w:p>
    <w:p w14:paraId="717597EA" w14:textId="3E88F05A" w:rsidR="00E831B6" w:rsidRPr="00D05E3A"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Six </w:t>
      </w:r>
      <w:r>
        <w:rPr>
          <w:rFonts w:ascii="Calibri" w:hAnsi="Calibri"/>
          <w:sz w:val="24"/>
          <w:szCs w:val="24"/>
          <w:lang w:val="en-US"/>
        </w:rPr>
        <w:t xml:space="preserve">test </w:t>
      </w:r>
      <w:r w:rsidRPr="00677855">
        <w:rPr>
          <w:rFonts w:ascii="Calibri" w:hAnsi="Calibri"/>
          <w:sz w:val="24"/>
          <w:szCs w:val="24"/>
          <w:lang w:val="en-US"/>
        </w:rPr>
        <w:t xml:space="preserve">compounds were selected for </w:t>
      </w:r>
      <w:r>
        <w:rPr>
          <w:rFonts w:ascii="Calibri" w:hAnsi="Calibri"/>
          <w:sz w:val="24"/>
          <w:szCs w:val="24"/>
          <w:lang w:val="en-US"/>
        </w:rPr>
        <w:t xml:space="preserve">hepatotoxicity </w:t>
      </w:r>
      <w:r w:rsidRPr="00677855">
        <w:rPr>
          <w:rFonts w:ascii="Calibri" w:hAnsi="Calibri"/>
          <w:sz w:val="24"/>
          <w:szCs w:val="24"/>
          <w:lang w:val="en-US"/>
        </w:rPr>
        <w:t>investigation from the MIP-DILI training set</w:t>
      </w:r>
      <w:r>
        <w:rPr>
          <w:rFonts w:ascii="Calibri" w:hAnsi="Calibri"/>
          <w:sz w:val="24"/>
          <w:szCs w:val="24"/>
          <w:lang w:val="en-US"/>
        </w:rPr>
        <w:t xml:space="preserve"> </w:t>
      </w:r>
      <w:r>
        <w:rPr>
          <w:rFonts w:ascii="Calibri" w:hAnsi="Calibri"/>
          <w:noProof/>
          <w:sz w:val="24"/>
          <w:szCs w:val="24"/>
          <w:lang w:val="en-US"/>
        </w:rPr>
        <w:t>(Dragovic</w:t>
      </w:r>
      <w:r w:rsidRPr="007D68DF">
        <w:rPr>
          <w:rFonts w:ascii="Calibri" w:hAnsi="Calibri"/>
          <w:i/>
          <w:noProof/>
          <w:sz w:val="24"/>
          <w:szCs w:val="24"/>
          <w:lang w:val="en-US"/>
        </w:rPr>
        <w:t xml:space="preserve"> et al.</w:t>
      </w:r>
      <w:r>
        <w:rPr>
          <w:rFonts w:ascii="Calibri" w:hAnsi="Calibri"/>
          <w:noProof/>
          <w:sz w:val="24"/>
          <w:szCs w:val="24"/>
          <w:lang w:val="en-US"/>
        </w:rPr>
        <w:t>, 2016)</w:t>
      </w:r>
      <w:r>
        <w:rPr>
          <w:rFonts w:ascii="Calibri" w:hAnsi="Calibri"/>
          <w:sz w:val="24"/>
          <w:szCs w:val="24"/>
          <w:lang w:val="en-US"/>
        </w:rPr>
        <w:t xml:space="preserve"> (</w:t>
      </w:r>
      <w:r w:rsidRPr="00677855">
        <w:rPr>
          <w:rFonts w:ascii="Calibri" w:hAnsi="Calibri"/>
          <w:sz w:val="24"/>
          <w:szCs w:val="24"/>
          <w:lang w:val="en-US"/>
        </w:rPr>
        <w:t>acetaminophen (APAP), bosentan, diclofenac, fialuridine, pioglitazone and troglitazone</w:t>
      </w:r>
      <w:r>
        <w:rPr>
          <w:rFonts w:ascii="Calibri" w:hAnsi="Calibri"/>
          <w:sz w:val="24"/>
          <w:szCs w:val="24"/>
          <w:lang w:val="en-US"/>
        </w:rPr>
        <w:t xml:space="preserve">) and cells </w:t>
      </w:r>
      <w:r w:rsidR="002C1A1A">
        <w:rPr>
          <w:rFonts w:ascii="Calibri" w:hAnsi="Calibri"/>
          <w:sz w:val="24"/>
          <w:szCs w:val="24"/>
          <w:lang w:val="en-US"/>
        </w:rPr>
        <w:t xml:space="preserve">from three different donors </w:t>
      </w:r>
      <w:r>
        <w:rPr>
          <w:rFonts w:ascii="Calibri" w:hAnsi="Calibri"/>
          <w:sz w:val="24"/>
          <w:szCs w:val="24"/>
          <w:lang w:val="en-US"/>
        </w:rPr>
        <w:t xml:space="preserve">were dosed in 2Dsw and 3D spheroid culture as </w:t>
      </w:r>
      <w:r w:rsidRPr="005C3644">
        <w:rPr>
          <w:rFonts w:ascii="Calibri" w:hAnsi="Calibri"/>
          <w:sz w:val="24"/>
          <w:szCs w:val="24"/>
          <w:lang w:val="en-US"/>
        </w:rPr>
        <w:t>indicated (Figure 1</w:t>
      </w:r>
      <w:r>
        <w:rPr>
          <w:rFonts w:ascii="Calibri" w:hAnsi="Calibri"/>
          <w:sz w:val="24"/>
          <w:szCs w:val="24"/>
          <w:lang w:val="en-US"/>
        </w:rPr>
        <w:t xml:space="preserve"> and Table 1</w:t>
      </w:r>
      <w:r w:rsidRPr="005C3644">
        <w:rPr>
          <w:rFonts w:ascii="Calibri" w:hAnsi="Calibri"/>
          <w:sz w:val="24"/>
          <w:szCs w:val="24"/>
          <w:lang w:val="en-US"/>
        </w:rPr>
        <w:t>).</w:t>
      </w:r>
      <w:r w:rsidRPr="00677855">
        <w:rPr>
          <w:rFonts w:ascii="Calibri" w:hAnsi="Calibri"/>
          <w:sz w:val="24"/>
          <w:szCs w:val="24"/>
          <w:lang w:val="en-US"/>
        </w:rPr>
        <w:t xml:space="preserve"> </w:t>
      </w:r>
      <w:r>
        <w:rPr>
          <w:rFonts w:ascii="Calibri" w:hAnsi="Calibri"/>
          <w:sz w:val="24"/>
          <w:szCs w:val="24"/>
          <w:lang w:val="en-US"/>
        </w:rPr>
        <w:t xml:space="preserve">Compound concentrations tested are provided in Table 3. </w:t>
      </w:r>
      <w:r w:rsidRPr="00677855">
        <w:rPr>
          <w:rFonts w:ascii="Calibri" w:hAnsi="Calibri"/>
          <w:sz w:val="24"/>
          <w:szCs w:val="24"/>
          <w:lang w:val="en-US"/>
        </w:rPr>
        <w:t xml:space="preserve">These represented hepatotoxic compounds with diverse toxicity mechanisms. Pioglitazone was included as a </w:t>
      </w:r>
      <w:r>
        <w:rPr>
          <w:rFonts w:ascii="Calibri" w:hAnsi="Calibri"/>
          <w:sz w:val="24"/>
          <w:szCs w:val="24"/>
          <w:lang w:val="en-US"/>
        </w:rPr>
        <w:t>structural analogue of troglitazone with reduced hepatic liabilities</w:t>
      </w:r>
      <w:r w:rsidRPr="00677855">
        <w:rPr>
          <w:rFonts w:ascii="Calibri" w:hAnsi="Calibri"/>
          <w:sz w:val="24"/>
          <w:szCs w:val="24"/>
          <w:lang w:val="en-US"/>
        </w:rPr>
        <w:t xml:space="preserve">. Stock solutions were made in DMSO and diluted in FBS-free </w:t>
      </w:r>
      <w:r>
        <w:rPr>
          <w:rFonts w:ascii="Calibri" w:hAnsi="Calibri"/>
          <w:sz w:val="24"/>
          <w:szCs w:val="24"/>
          <w:lang w:val="en-US"/>
        </w:rPr>
        <w:t xml:space="preserve">PHH </w:t>
      </w:r>
      <w:r w:rsidRPr="00677855">
        <w:rPr>
          <w:rFonts w:ascii="Calibri" w:hAnsi="Calibri"/>
          <w:sz w:val="24"/>
          <w:szCs w:val="24"/>
          <w:lang w:val="en-US"/>
        </w:rPr>
        <w:t xml:space="preserve">culture </w:t>
      </w:r>
      <w:r w:rsidRPr="00677855">
        <w:rPr>
          <w:rFonts w:ascii="Calibri" w:hAnsi="Calibri"/>
          <w:sz w:val="24"/>
          <w:szCs w:val="24"/>
          <w:lang w:val="en-US"/>
        </w:rPr>
        <w:lastRenderedPageBreak/>
        <w:t xml:space="preserve">medium to </w:t>
      </w:r>
      <w:r>
        <w:rPr>
          <w:rFonts w:ascii="Calibri" w:hAnsi="Calibri"/>
          <w:sz w:val="24"/>
          <w:szCs w:val="24"/>
          <w:lang w:val="en-US"/>
        </w:rPr>
        <w:t>yield</w:t>
      </w:r>
      <w:r w:rsidRPr="00677855">
        <w:rPr>
          <w:rFonts w:ascii="Calibri" w:hAnsi="Calibri"/>
          <w:sz w:val="24"/>
          <w:szCs w:val="24"/>
          <w:lang w:val="en-US"/>
        </w:rPr>
        <w:t xml:space="preserve"> a maximum </w:t>
      </w:r>
      <w:r>
        <w:rPr>
          <w:rFonts w:ascii="Calibri" w:hAnsi="Calibri"/>
          <w:sz w:val="24"/>
          <w:szCs w:val="24"/>
          <w:lang w:val="en-US"/>
        </w:rPr>
        <w:t>final</w:t>
      </w:r>
      <w:r w:rsidRPr="00677855">
        <w:rPr>
          <w:rFonts w:ascii="Calibri" w:hAnsi="Calibri"/>
          <w:sz w:val="24"/>
          <w:szCs w:val="24"/>
          <w:lang w:val="en-US"/>
        </w:rPr>
        <w:t xml:space="preserve"> concentration of DMSO of 0.5</w:t>
      </w:r>
      <w:r>
        <w:rPr>
          <w:rFonts w:ascii="Calibri" w:hAnsi="Calibri"/>
          <w:sz w:val="24"/>
          <w:szCs w:val="24"/>
          <w:lang w:val="en-US"/>
        </w:rPr>
        <w:t xml:space="preserve"> </w:t>
      </w:r>
      <w:r w:rsidRPr="00677855">
        <w:rPr>
          <w:rFonts w:ascii="Calibri" w:hAnsi="Calibri"/>
          <w:sz w:val="24"/>
          <w:szCs w:val="24"/>
          <w:lang w:val="en-US"/>
        </w:rPr>
        <w:t xml:space="preserve">%. APAP and diclofenac were dissolved directly in </w:t>
      </w:r>
      <w:r>
        <w:rPr>
          <w:rFonts w:ascii="Calibri" w:hAnsi="Calibri"/>
          <w:sz w:val="24"/>
          <w:szCs w:val="24"/>
          <w:lang w:val="en-US"/>
        </w:rPr>
        <w:t xml:space="preserve">PHH culture </w:t>
      </w:r>
      <w:r w:rsidRPr="00677855">
        <w:rPr>
          <w:rFonts w:ascii="Calibri" w:hAnsi="Calibri"/>
          <w:sz w:val="24"/>
          <w:szCs w:val="24"/>
          <w:lang w:val="en-US"/>
        </w:rPr>
        <w:t xml:space="preserve">medium. </w:t>
      </w:r>
      <w:r w:rsidRPr="00D05E3A">
        <w:rPr>
          <w:rFonts w:ascii="Calibri" w:hAnsi="Calibri"/>
          <w:sz w:val="24"/>
          <w:szCs w:val="24"/>
          <w:lang w:val="en-US"/>
        </w:rPr>
        <w:t>On each treatment day, 100</w:t>
      </w:r>
      <w:r>
        <w:rPr>
          <w:rFonts w:ascii="Calibri" w:hAnsi="Calibri"/>
          <w:sz w:val="24"/>
          <w:szCs w:val="24"/>
          <w:lang w:val="en-US"/>
        </w:rPr>
        <w:t xml:space="preserve"> </w:t>
      </w:r>
      <w:r w:rsidRPr="00D05E3A">
        <w:rPr>
          <w:rFonts w:ascii="Calibri" w:hAnsi="Calibri"/>
          <w:sz w:val="24"/>
          <w:szCs w:val="24"/>
          <w:lang w:val="en-US"/>
        </w:rPr>
        <w:t>µL of medium from cells in 2Dsw culture was removed and replaced with 100</w:t>
      </w:r>
      <w:r>
        <w:rPr>
          <w:rFonts w:ascii="Calibri" w:hAnsi="Calibri"/>
          <w:sz w:val="24"/>
          <w:szCs w:val="24"/>
          <w:lang w:val="en-US"/>
        </w:rPr>
        <w:t xml:space="preserve"> </w:t>
      </w:r>
      <w:r w:rsidRPr="00D05E3A">
        <w:rPr>
          <w:rFonts w:ascii="Calibri" w:hAnsi="Calibri"/>
          <w:sz w:val="24"/>
          <w:szCs w:val="24"/>
          <w:lang w:val="en-US"/>
        </w:rPr>
        <w:t>µl of the drug solution</w:t>
      </w:r>
      <w:r>
        <w:rPr>
          <w:rFonts w:ascii="Calibri" w:hAnsi="Calibri"/>
          <w:sz w:val="24"/>
          <w:szCs w:val="24"/>
          <w:lang w:val="en-US"/>
        </w:rPr>
        <w:t>. For 3D spheroids,</w:t>
      </w:r>
      <w:r w:rsidRPr="00D05E3A">
        <w:rPr>
          <w:rFonts w:ascii="Calibri" w:hAnsi="Calibri"/>
          <w:sz w:val="24"/>
          <w:szCs w:val="24"/>
          <w:lang w:val="en-US"/>
        </w:rPr>
        <w:t xml:space="preserve"> 70</w:t>
      </w:r>
      <w:r>
        <w:rPr>
          <w:rFonts w:ascii="Calibri" w:hAnsi="Calibri"/>
          <w:sz w:val="24"/>
          <w:szCs w:val="24"/>
          <w:lang w:val="en-US"/>
        </w:rPr>
        <w:t xml:space="preserve"> </w:t>
      </w:r>
      <w:r w:rsidRPr="00D05E3A">
        <w:rPr>
          <w:rFonts w:ascii="Calibri" w:hAnsi="Calibri"/>
          <w:sz w:val="24"/>
          <w:szCs w:val="24"/>
          <w:lang w:val="en-US"/>
        </w:rPr>
        <w:t>µl of medium was removed and replaced with 70</w:t>
      </w:r>
      <w:r>
        <w:rPr>
          <w:rFonts w:ascii="Calibri" w:hAnsi="Calibri"/>
          <w:sz w:val="24"/>
          <w:szCs w:val="24"/>
          <w:lang w:val="en-US"/>
        </w:rPr>
        <w:t xml:space="preserve"> </w:t>
      </w:r>
      <w:r w:rsidRPr="00D05E3A">
        <w:rPr>
          <w:rFonts w:ascii="Calibri" w:hAnsi="Calibri"/>
          <w:sz w:val="24"/>
          <w:szCs w:val="24"/>
          <w:lang w:val="en-US"/>
        </w:rPr>
        <w:t>µl of the drug solution. The spheroids were allowed to settle, prior to performing a second 70</w:t>
      </w:r>
      <w:r>
        <w:rPr>
          <w:rFonts w:ascii="Calibri" w:hAnsi="Calibri"/>
          <w:sz w:val="24"/>
          <w:szCs w:val="24"/>
          <w:lang w:val="en-US"/>
        </w:rPr>
        <w:t xml:space="preserve"> </w:t>
      </w:r>
      <w:r w:rsidRPr="00D05E3A">
        <w:rPr>
          <w:rFonts w:ascii="Calibri" w:hAnsi="Calibri"/>
          <w:sz w:val="24"/>
          <w:szCs w:val="24"/>
          <w:lang w:val="en-US"/>
        </w:rPr>
        <w:t>µl medium change with the drug solution.</w:t>
      </w:r>
    </w:p>
    <w:p w14:paraId="4751F068" w14:textId="77777777" w:rsidR="00E831B6" w:rsidRDefault="00E831B6" w:rsidP="00017836">
      <w:pPr>
        <w:spacing w:line="480" w:lineRule="auto"/>
        <w:jc w:val="both"/>
        <w:rPr>
          <w:rFonts w:ascii="Calibri" w:hAnsi="Calibri"/>
          <w:sz w:val="24"/>
          <w:szCs w:val="24"/>
          <w:lang w:val="en-US"/>
        </w:rPr>
      </w:pPr>
    </w:p>
    <w:p w14:paraId="2D809E20" w14:textId="77777777" w:rsidR="00E831B6" w:rsidRPr="00D05E3A" w:rsidRDefault="00E831B6" w:rsidP="00017836">
      <w:pPr>
        <w:spacing w:line="480" w:lineRule="auto"/>
        <w:jc w:val="both"/>
        <w:rPr>
          <w:rFonts w:ascii="Calibri" w:hAnsi="Calibri"/>
          <w:sz w:val="24"/>
          <w:szCs w:val="24"/>
          <w:lang w:val="en-US"/>
        </w:rPr>
      </w:pPr>
      <w:r w:rsidRPr="005869DD">
        <w:rPr>
          <w:rFonts w:ascii="Calibri" w:hAnsi="Calibri"/>
          <w:b/>
          <w:sz w:val="24"/>
          <w:szCs w:val="24"/>
          <w:lang w:val="en-US"/>
        </w:rPr>
        <w:t>Viability measurements</w:t>
      </w:r>
    </w:p>
    <w:p w14:paraId="3A3EEB05" w14:textId="3A5D1408"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At 72</w:t>
      </w:r>
      <w:r>
        <w:rPr>
          <w:rFonts w:ascii="Calibri" w:hAnsi="Calibri"/>
          <w:sz w:val="24"/>
          <w:szCs w:val="24"/>
          <w:lang w:val="en-US"/>
        </w:rPr>
        <w:t xml:space="preserve"> </w:t>
      </w:r>
      <w:r w:rsidRPr="00677855">
        <w:rPr>
          <w:rFonts w:ascii="Calibri" w:hAnsi="Calibri"/>
          <w:sz w:val="24"/>
          <w:szCs w:val="24"/>
          <w:lang w:val="en-US"/>
        </w:rPr>
        <w:t xml:space="preserve">h (single treatment), </w:t>
      </w:r>
      <w:r>
        <w:rPr>
          <w:rFonts w:ascii="Calibri" w:hAnsi="Calibri"/>
          <w:sz w:val="24"/>
          <w:szCs w:val="24"/>
          <w:lang w:val="en-US"/>
        </w:rPr>
        <w:t xml:space="preserve">day </w:t>
      </w:r>
      <w:r w:rsidRPr="00677855">
        <w:rPr>
          <w:rFonts w:ascii="Calibri" w:hAnsi="Calibri"/>
          <w:sz w:val="24"/>
          <w:szCs w:val="24"/>
          <w:lang w:val="en-US"/>
        </w:rPr>
        <w:t xml:space="preserve">7 (three treatments) and </w:t>
      </w:r>
      <w:r>
        <w:rPr>
          <w:rFonts w:ascii="Calibri" w:hAnsi="Calibri"/>
          <w:sz w:val="24"/>
          <w:szCs w:val="24"/>
          <w:lang w:val="en-US"/>
        </w:rPr>
        <w:t xml:space="preserve">day </w:t>
      </w:r>
      <w:r w:rsidRPr="00677855">
        <w:rPr>
          <w:rFonts w:ascii="Calibri" w:hAnsi="Calibri"/>
          <w:sz w:val="24"/>
          <w:szCs w:val="24"/>
          <w:lang w:val="en-US"/>
        </w:rPr>
        <w:t xml:space="preserve">14 (six treatments), viability was determined by measuring cellular ATP using </w:t>
      </w:r>
      <w:r>
        <w:rPr>
          <w:rFonts w:ascii="Calibri" w:hAnsi="Calibri"/>
          <w:sz w:val="24"/>
          <w:szCs w:val="24"/>
          <w:lang w:val="en-US"/>
        </w:rPr>
        <w:t xml:space="preserve">the </w:t>
      </w:r>
      <w:r w:rsidRPr="00677855">
        <w:rPr>
          <w:rFonts w:ascii="Calibri" w:hAnsi="Calibri"/>
          <w:sz w:val="24"/>
          <w:szCs w:val="24"/>
          <w:lang w:val="en-US"/>
        </w:rPr>
        <w:t>CellTiter</w:t>
      </w:r>
      <w:r>
        <w:rPr>
          <w:rFonts w:ascii="Calibri" w:hAnsi="Calibri"/>
          <w:sz w:val="24"/>
          <w:szCs w:val="24"/>
          <w:lang w:val="en-US"/>
        </w:rPr>
        <w:t>-</w:t>
      </w:r>
      <w:r w:rsidRPr="00677855">
        <w:rPr>
          <w:rFonts w:ascii="Calibri" w:hAnsi="Calibri"/>
          <w:sz w:val="24"/>
          <w:szCs w:val="24"/>
          <w:lang w:val="en-US"/>
        </w:rPr>
        <w:t>Glo</w:t>
      </w:r>
      <w:r>
        <w:rPr>
          <w:rFonts w:ascii="Calibri" w:hAnsi="Calibri"/>
          <w:sz w:val="24"/>
          <w:szCs w:val="24"/>
          <w:lang w:val="en-US"/>
        </w:rPr>
        <w:t>®</w:t>
      </w:r>
      <w:r w:rsidRPr="00677855">
        <w:rPr>
          <w:rFonts w:ascii="Calibri" w:hAnsi="Calibri"/>
          <w:sz w:val="24"/>
          <w:szCs w:val="24"/>
          <w:lang w:val="en-US"/>
        </w:rPr>
        <w:t xml:space="preserve"> </w:t>
      </w:r>
      <w:r>
        <w:rPr>
          <w:rFonts w:ascii="Calibri" w:hAnsi="Calibri"/>
          <w:sz w:val="24"/>
          <w:szCs w:val="24"/>
          <w:lang w:val="en-US"/>
        </w:rPr>
        <w:t xml:space="preserve">kit </w:t>
      </w:r>
      <w:r w:rsidRPr="00677855">
        <w:rPr>
          <w:rFonts w:ascii="Calibri" w:hAnsi="Calibri"/>
          <w:sz w:val="24"/>
          <w:szCs w:val="24"/>
          <w:lang w:val="en-US"/>
        </w:rPr>
        <w:t>(Promega</w:t>
      </w:r>
      <w:r>
        <w:rPr>
          <w:rFonts w:ascii="Calibri" w:hAnsi="Calibri"/>
          <w:sz w:val="24"/>
          <w:szCs w:val="24"/>
          <w:lang w:val="en-US"/>
        </w:rPr>
        <w:t xml:space="preserve">, Sweden </w:t>
      </w:r>
      <w:r w:rsidRPr="009F11B4">
        <w:rPr>
          <w:rFonts w:ascii="Calibri" w:hAnsi="Calibri"/>
          <w:sz w:val="24"/>
          <w:szCs w:val="24"/>
          <w:lang w:val="en-US"/>
        </w:rPr>
        <w:t>or France</w:t>
      </w:r>
      <w:r w:rsidRPr="00677855">
        <w:rPr>
          <w:rFonts w:ascii="Calibri" w:hAnsi="Calibri"/>
          <w:sz w:val="24"/>
          <w:szCs w:val="24"/>
          <w:lang w:val="en-US"/>
        </w:rPr>
        <w:t>). Blank values were subtracted from all wells. Curve-fitting was performed at a single site using the sigmoidal dose response function in GraphPad Prism, constrained at both 0 and 100. EC</w:t>
      </w:r>
      <w:r w:rsidRPr="00677855">
        <w:rPr>
          <w:rFonts w:ascii="Calibri" w:hAnsi="Calibri"/>
          <w:sz w:val="24"/>
          <w:szCs w:val="24"/>
          <w:vertAlign w:val="subscript"/>
          <w:lang w:val="en-US"/>
        </w:rPr>
        <w:t>50</w:t>
      </w:r>
      <w:r w:rsidRPr="00677855">
        <w:rPr>
          <w:rFonts w:ascii="Calibri" w:hAnsi="Calibri"/>
          <w:sz w:val="24"/>
          <w:szCs w:val="24"/>
          <w:lang w:val="en-US"/>
        </w:rPr>
        <w:t xml:space="preserve"> values corresponding to the concentration of the compound causing a 50% reduction in viability</w:t>
      </w:r>
      <w:r>
        <w:rPr>
          <w:rFonts w:ascii="Calibri" w:hAnsi="Calibri"/>
          <w:sz w:val="24"/>
          <w:szCs w:val="24"/>
          <w:lang w:val="en-US"/>
        </w:rPr>
        <w:t xml:space="preserve"> </w:t>
      </w:r>
      <w:r w:rsidRPr="00677855">
        <w:rPr>
          <w:rFonts w:ascii="Calibri" w:hAnsi="Calibri"/>
          <w:sz w:val="24"/>
          <w:szCs w:val="24"/>
          <w:lang w:val="en-US"/>
        </w:rPr>
        <w:t>were computed for each compound and time</w:t>
      </w:r>
      <w:r>
        <w:rPr>
          <w:rFonts w:ascii="Calibri" w:hAnsi="Calibri"/>
          <w:sz w:val="24"/>
          <w:szCs w:val="24"/>
          <w:lang w:val="en-US"/>
        </w:rPr>
        <w:t xml:space="preserve"> </w:t>
      </w:r>
      <w:r w:rsidRPr="00677855">
        <w:rPr>
          <w:rFonts w:ascii="Calibri" w:hAnsi="Calibri"/>
          <w:sz w:val="24"/>
          <w:szCs w:val="24"/>
          <w:lang w:val="en-US"/>
        </w:rPr>
        <w:t>point.</w:t>
      </w:r>
      <w:r>
        <w:rPr>
          <w:rFonts w:ascii="Calibri" w:hAnsi="Calibri"/>
          <w:sz w:val="24"/>
          <w:szCs w:val="24"/>
          <w:lang w:val="en-US"/>
        </w:rPr>
        <w:t xml:space="preserve"> p-values refer to heteroscedastic two-tailed t-tests unless otherwise stated. Values of p&lt;0.05 were considered significant. For data to be included in the analysis</w:t>
      </w:r>
      <w:r w:rsidR="009216C3">
        <w:rPr>
          <w:rFonts w:ascii="Calibri" w:hAnsi="Calibri"/>
          <w:sz w:val="24"/>
          <w:szCs w:val="24"/>
          <w:lang w:val="en-US"/>
        </w:rPr>
        <w:t>,</w:t>
      </w:r>
      <w:r>
        <w:rPr>
          <w:rFonts w:ascii="Calibri" w:hAnsi="Calibri"/>
          <w:sz w:val="24"/>
          <w:szCs w:val="24"/>
          <w:lang w:val="en-US"/>
        </w:rPr>
        <w:t xml:space="preserve"> ATP values in control wells should not decrease by &gt;50% over the 14 day culture period. </w:t>
      </w:r>
    </w:p>
    <w:p w14:paraId="1ACAFDE7" w14:textId="77777777" w:rsidR="00E831B6" w:rsidRPr="00677855" w:rsidRDefault="00E831B6" w:rsidP="00017836">
      <w:pPr>
        <w:spacing w:line="480" w:lineRule="auto"/>
        <w:jc w:val="both"/>
        <w:rPr>
          <w:rFonts w:ascii="Calibri" w:hAnsi="Calibri"/>
          <w:sz w:val="24"/>
          <w:szCs w:val="24"/>
          <w:lang w:val="en-US"/>
        </w:rPr>
      </w:pPr>
    </w:p>
    <w:p w14:paraId="787B4DA6" w14:textId="77777777" w:rsidR="00E831B6" w:rsidRPr="00677855" w:rsidRDefault="00E831B6" w:rsidP="00017836">
      <w:pPr>
        <w:spacing w:line="480" w:lineRule="auto"/>
        <w:jc w:val="both"/>
        <w:rPr>
          <w:rFonts w:ascii="Calibri" w:hAnsi="Calibri"/>
          <w:sz w:val="24"/>
          <w:szCs w:val="24"/>
          <w:lang w:val="en-US"/>
        </w:rPr>
      </w:pPr>
    </w:p>
    <w:p w14:paraId="2D5EC521" w14:textId="77777777" w:rsidR="00E831B6" w:rsidRPr="00677855" w:rsidRDefault="00E831B6" w:rsidP="00017836">
      <w:pPr>
        <w:spacing w:line="480" w:lineRule="auto"/>
        <w:rPr>
          <w:rFonts w:ascii="Calibri" w:hAnsi="Calibri"/>
          <w:b/>
          <w:sz w:val="24"/>
          <w:szCs w:val="24"/>
          <w:lang w:val="en-US"/>
        </w:rPr>
      </w:pPr>
      <w:r w:rsidRPr="00677855">
        <w:rPr>
          <w:rFonts w:ascii="Calibri" w:hAnsi="Calibri"/>
          <w:b/>
          <w:sz w:val="24"/>
          <w:szCs w:val="24"/>
          <w:lang w:val="en-US"/>
        </w:rPr>
        <w:t>Results</w:t>
      </w:r>
    </w:p>
    <w:p w14:paraId="27BD4527"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Primary human hepatocytes cultured in 3D spheroids and 2Dsw cultures exhibit distinct molecular phenotypes</w:t>
      </w:r>
    </w:p>
    <w:p w14:paraId="2312AB8E" w14:textId="43983BF4" w:rsidR="00E831B6" w:rsidRPr="00677855" w:rsidRDefault="00E831B6" w:rsidP="00017836">
      <w:pPr>
        <w:spacing w:line="480" w:lineRule="auto"/>
        <w:jc w:val="both"/>
        <w:rPr>
          <w:rFonts w:ascii="Calibri" w:hAnsi="Calibri"/>
          <w:sz w:val="24"/>
          <w:szCs w:val="24"/>
          <w:lang w:val="en-US"/>
        </w:rPr>
      </w:pPr>
      <w:r>
        <w:rPr>
          <w:rFonts w:ascii="Calibri" w:hAnsi="Calibri"/>
          <w:sz w:val="24"/>
          <w:szCs w:val="24"/>
          <w:lang w:val="en-US"/>
        </w:rPr>
        <w:lastRenderedPageBreak/>
        <w:t xml:space="preserve">For our comparative study we used the treatment protocol for re-overlaid </w:t>
      </w:r>
      <w:r w:rsidRPr="00677855">
        <w:rPr>
          <w:rFonts w:ascii="Calibri" w:hAnsi="Calibri"/>
          <w:sz w:val="24"/>
          <w:szCs w:val="24"/>
          <w:lang w:val="en-US"/>
        </w:rPr>
        <w:t>2D sandwich (2Dsw) and 3D spheroid culture</w:t>
      </w:r>
      <w:r>
        <w:rPr>
          <w:rFonts w:ascii="Calibri" w:hAnsi="Calibri"/>
          <w:sz w:val="24"/>
          <w:szCs w:val="24"/>
          <w:lang w:val="en-US"/>
        </w:rPr>
        <w:t>s</w:t>
      </w:r>
      <w:r w:rsidRPr="00677855">
        <w:rPr>
          <w:rFonts w:ascii="Calibri" w:hAnsi="Calibri"/>
          <w:sz w:val="24"/>
          <w:szCs w:val="24"/>
          <w:lang w:val="en-US"/>
        </w:rPr>
        <w:t xml:space="preserve"> </w:t>
      </w:r>
      <w:r>
        <w:rPr>
          <w:rFonts w:ascii="Calibri" w:hAnsi="Calibri"/>
          <w:sz w:val="24"/>
          <w:szCs w:val="24"/>
          <w:lang w:val="en-US"/>
        </w:rPr>
        <w:t>as illustrated in Figure 1 and</w:t>
      </w:r>
      <w:r w:rsidRPr="00677855">
        <w:rPr>
          <w:rFonts w:ascii="Calibri" w:hAnsi="Calibri"/>
          <w:sz w:val="24"/>
          <w:szCs w:val="24"/>
          <w:lang w:val="en-US"/>
        </w:rPr>
        <w:t xml:space="preserve"> monitored phenotypic changes over the course of two weeks using global proteomic analyses. </w:t>
      </w:r>
      <w:r w:rsidR="002A3DB6">
        <w:rPr>
          <w:rFonts w:ascii="Calibri" w:hAnsi="Calibri"/>
          <w:sz w:val="24"/>
          <w:szCs w:val="24"/>
          <w:lang w:val="en-US"/>
        </w:rPr>
        <w:t>The morphology of 2</w:t>
      </w:r>
      <w:r w:rsidR="00C35E0D">
        <w:rPr>
          <w:rFonts w:ascii="Calibri" w:hAnsi="Calibri"/>
          <w:sz w:val="24"/>
          <w:szCs w:val="24"/>
          <w:lang w:val="en-US"/>
        </w:rPr>
        <w:t>D</w:t>
      </w:r>
      <w:r w:rsidR="002A3DB6">
        <w:rPr>
          <w:rFonts w:ascii="Calibri" w:hAnsi="Calibri"/>
          <w:sz w:val="24"/>
          <w:szCs w:val="24"/>
          <w:lang w:val="en-US"/>
        </w:rPr>
        <w:t xml:space="preserve">sw and 3D spheroids constructed from one donor in </w:t>
      </w:r>
      <w:r w:rsidR="0075710A">
        <w:rPr>
          <w:rFonts w:ascii="Calibri" w:hAnsi="Calibri"/>
          <w:sz w:val="24"/>
          <w:szCs w:val="24"/>
          <w:lang w:val="en-US"/>
        </w:rPr>
        <w:t>5</w:t>
      </w:r>
      <w:r w:rsidR="002A3DB6">
        <w:rPr>
          <w:rFonts w:ascii="Calibri" w:hAnsi="Calibri"/>
          <w:sz w:val="24"/>
          <w:szCs w:val="24"/>
          <w:lang w:val="en-US"/>
        </w:rPr>
        <w:t xml:space="preserve"> different laboratories is shown in Supplementary Figure 1. </w:t>
      </w:r>
      <w:r w:rsidRPr="00677855">
        <w:rPr>
          <w:rFonts w:ascii="Calibri" w:hAnsi="Calibri"/>
          <w:sz w:val="24"/>
          <w:szCs w:val="24"/>
          <w:lang w:val="en-US"/>
        </w:rPr>
        <w:t xml:space="preserve">Compared to freshly </w:t>
      </w:r>
      <w:r>
        <w:rPr>
          <w:rFonts w:ascii="Calibri" w:hAnsi="Calibri"/>
          <w:sz w:val="24"/>
          <w:szCs w:val="24"/>
          <w:lang w:val="en-US"/>
        </w:rPr>
        <w:t>thawed</w:t>
      </w:r>
      <w:r w:rsidRPr="00677855">
        <w:rPr>
          <w:rFonts w:ascii="Calibri" w:hAnsi="Calibri"/>
          <w:sz w:val="24"/>
          <w:szCs w:val="24"/>
          <w:lang w:val="en-US"/>
        </w:rPr>
        <w:t xml:space="preserve"> ce</w:t>
      </w:r>
      <w:bookmarkStart w:id="0" w:name="_GoBack"/>
      <w:bookmarkEnd w:id="0"/>
      <w:r w:rsidRPr="00677855">
        <w:rPr>
          <w:rFonts w:ascii="Calibri" w:hAnsi="Calibri"/>
          <w:sz w:val="24"/>
          <w:szCs w:val="24"/>
          <w:lang w:val="en-US"/>
        </w:rPr>
        <w:t>lls, PHH in sandwich configuration rapidly lose proteins involved in various metabolic pathways, including amino acid metabolism and biosynthesis, glycolysis and gluconeogenesis as well as homeostasis of the glutathione system</w:t>
      </w:r>
      <w:r>
        <w:rPr>
          <w:rFonts w:ascii="Calibri" w:hAnsi="Calibri"/>
          <w:sz w:val="24"/>
          <w:szCs w:val="24"/>
          <w:lang w:val="en-US"/>
        </w:rPr>
        <w:t xml:space="preserve">, whereas these proteins are generally upregulated after aggregation in </w:t>
      </w:r>
      <w:r w:rsidRPr="00A90C07">
        <w:rPr>
          <w:rFonts w:ascii="Calibri" w:hAnsi="Calibri"/>
          <w:sz w:val="24"/>
          <w:szCs w:val="24"/>
          <w:lang w:val="en-US"/>
        </w:rPr>
        <w:t xml:space="preserve">3D spheroids </w:t>
      </w:r>
      <w:r w:rsidRPr="00677855">
        <w:rPr>
          <w:rFonts w:ascii="Calibri" w:hAnsi="Calibri"/>
          <w:sz w:val="24"/>
          <w:szCs w:val="24"/>
          <w:lang w:val="en-US"/>
        </w:rPr>
        <w:t xml:space="preserve">(Figure </w:t>
      </w:r>
      <w:r>
        <w:rPr>
          <w:rFonts w:ascii="Calibri" w:hAnsi="Calibri"/>
          <w:sz w:val="24"/>
          <w:szCs w:val="24"/>
          <w:lang w:val="en-US"/>
        </w:rPr>
        <w:t>2</w:t>
      </w:r>
      <w:r w:rsidRPr="00677855">
        <w:rPr>
          <w:rFonts w:ascii="Calibri" w:hAnsi="Calibri"/>
          <w:sz w:val="24"/>
          <w:szCs w:val="24"/>
          <w:lang w:val="en-US"/>
        </w:rPr>
        <w:t xml:space="preserve">). Furthermore, compared to freshly thawed cells and 3D spheroids, PHH </w:t>
      </w:r>
      <w:r>
        <w:rPr>
          <w:rFonts w:ascii="Calibri" w:hAnsi="Calibri"/>
          <w:sz w:val="24"/>
          <w:szCs w:val="24"/>
          <w:lang w:val="en-US"/>
        </w:rPr>
        <w:t xml:space="preserve">in 2Dsw culture </w:t>
      </w:r>
      <w:r w:rsidRPr="00677855">
        <w:rPr>
          <w:rFonts w:ascii="Calibri" w:hAnsi="Calibri"/>
          <w:sz w:val="24"/>
          <w:szCs w:val="24"/>
          <w:lang w:val="en-US"/>
        </w:rPr>
        <w:t>exhibit significantly lower levels of various ADME proteins, such as CYP2A6, CYP2B6 and CYP3A4, various GSTs and the thiamine transporter OCT1</w:t>
      </w:r>
      <w:r>
        <w:rPr>
          <w:rFonts w:ascii="Calibri" w:hAnsi="Calibri"/>
          <w:sz w:val="24"/>
          <w:szCs w:val="24"/>
          <w:lang w:val="en-US"/>
        </w:rPr>
        <w:t xml:space="preserve"> (Figure 2)</w:t>
      </w:r>
      <w:r w:rsidRPr="00677855">
        <w:rPr>
          <w:rFonts w:ascii="Calibri" w:hAnsi="Calibri"/>
          <w:sz w:val="24"/>
          <w:szCs w:val="24"/>
          <w:lang w:val="en-US"/>
        </w:rPr>
        <w:t xml:space="preserve"> </w:t>
      </w:r>
      <w:r>
        <w:rPr>
          <w:rFonts w:ascii="Calibri" w:hAnsi="Calibri"/>
          <w:noProof/>
          <w:sz w:val="24"/>
          <w:szCs w:val="24"/>
          <w:lang w:val="en-US"/>
        </w:rPr>
        <w:t>(Chen</w:t>
      </w:r>
      <w:r w:rsidRPr="007D68DF">
        <w:rPr>
          <w:rFonts w:ascii="Calibri" w:hAnsi="Calibri"/>
          <w:i/>
          <w:noProof/>
          <w:sz w:val="24"/>
          <w:szCs w:val="24"/>
          <w:lang w:val="en-US"/>
        </w:rPr>
        <w:t xml:space="preserve"> et al.</w:t>
      </w:r>
      <w:r>
        <w:rPr>
          <w:rFonts w:ascii="Calibri" w:hAnsi="Calibri"/>
          <w:noProof/>
          <w:sz w:val="24"/>
          <w:szCs w:val="24"/>
          <w:lang w:val="en-US"/>
        </w:rPr>
        <w:t>, 2014;  den Braver-Sewradj, den Braver, Vermeulen, Commandeur, Richert and Vos, 2016)</w:t>
      </w:r>
      <w:r w:rsidRPr="00677855">
        <w:rPr>
          <w:rFonts w:ascii="Calibri" w:hAnsi="Calibri"/>
          <w:sz w:val="24"/>
          <w:szCs w:val="24"/>
          <w:lang w:val="en-US"/>
        </w:rPr>
        <w:t>. Conversely, 2Dsw cultures demonstrated a significant increase in complement system components (FDR=2*10</w:t>
      </w:r>
      <w:r w:rsidRPr="00677855">
        <w:rPr>
          <w:rFonts w:ascii="Calibri" w:hAnsi="Calibri"/>
          <w:sz w:val="24"/>
          <w:szCs w:val="24"/>
          <w:vertAlign w:val="superscript"/>
          <w:lang w:val="en-US"/>
        </w:rPr>
        <w:t>-5</w:t>
      </w:r>
      <w:r w:rsidRPr="00677855">
        <w:rPr>
          <w:rFonts w:ascii="Calibri" w:hAnsi="Calibri"/>
          <w:sz w:val="24"/>
          <w:szCs w:val="24"/>
          <w:lang w:val="en-US"/>
        </w:rPr>
        <w:t>) and lysosomal proteins (FDR=4*10</w:t>
      </w:r>
      <w:r w:rsidRPr="00677855">
        <w:rPr>
          <w:rFonts w:ascii="Calibri" w:hAnsi="Calibri"/>
          <w:sz w:val="24"/>
          <w:szCs w:val="24"/>
          <w:vertAlign w:val="superscript"/>
          <w:lang w:val="en-US"/>
        </w:rPr>
        <w:t>-3</w:t>
      </w:r>
      <w:r w:rsidRPr="00677855">
        <w:rPr>
          <w:rFonts w:ascii="Calibri" w:hAnsi="Calibri"/>
          <w:sz w:val="24"/>
          <w:szCs w:val="24"/>
          <w:lang w:val="en-US"/>
        </w:rPr>
        <w:t>) particularly after later culture stages (</w:t>
      </w:r>
      <w:r>
        <w:rPr>
          <w:rFonts w:ascii="Calibri" w:hAnsi="Calibri"/>
          <w:sz w:val="24"/>
          <w:szCs w:val="24"/>
          <w:lang w:val="en-US"/>
        </w:rPr>
        <w:t>day 14</w:t>
      </w:r>
      <w:r w:rsidRPr="00677855">
        <w:rPr>
          <w:rFonts w:ascii="Calibri" w:hAnsi="Calibri"/>
          <w:sz w:val="24"/>
          <w:szCs w:val="24"/>
          <w:lang w:val="en-US"/>
        </w:rPr>
        <w:t>), indicative of an increase in degradative processes and cellular demise. Levels of spliceosome components (FDR=2*10</w:t>
      </w:r>
      <w:r w:rsidRPr="00677855">
        <w:rPr>
          <w:rFonts w:ascii="Calibri" w:hAnsi="Calibri"/>
          <w:sz w:val="24"/>
          <w:szCs w:val="24"/>
          <w:vertAlign w:val="superscript"/>
          <w:lang w:val="en-US"/>
        </w:rPr>
        <w:t>-5</w:t>
      </w:r>
      <w:r w:rsidRPr="00677855">
        <w:rPr>
          <w:rFonts w:ascii="Calibri" w:hAnsi="Calibri"/>
          <w:sz w:val="24"/>
          <w:szCs w:val="24"/>
          <w:lang w:val="en-US"/>
        </w:rPr>
        <w:t>) and proteins involved in valin</w:t>
      </w:r>
      <w:r>
        <w:rPr>
          <w:rFonts w:ascii="Calibri" w:hAnsi="Calibri"/>
          <w:sz w:val="24"/>
          <w:szCs w:val="24"/>
          <w:lang w:val="en-US"/>
        </w:rPr>
        <w:t>e</w:t>
      </w:r>
      <w:r w:rsidRPr="00677855">
        <w:rPr>
          <w:rFonts w:ascii="Calibri" w:hAnsi="Calibri"/>
          <w:sz w:val="24"/>
          <w:szCs w:val="24"/>
          <w:lang w:val="en-US"/>
        </w:rPr>
        <w:t xml:space="preserve"> and leucin</w:t>
      </w:r>
      <w:r>
        <w:rPr>
          <w:rFonts w:ascii="Calibri" w:hAnsi="Calibri"/>
          <w:sz w:val="24"/>
          <w:szCs w:val="24"/>
          <w:lang w:val="en-US"/>
        </w:rPr>
        <w:t>e</w:t>
      </w:r>
      <w:r w:rsidRPr="00677855">
        <w:rPr>
          <w:rFonts w:ascii="Calibri" w:hAnsi="Calibri"/>
          <w:sz w:val="24"/>
          <w:szCs w:val="24"/>
          <w:lang w:val="en-US"/>
        </w:rPr>
        <w:t xml:space="preserve"> degradation (FDR=2*10</w:t>
      </w:r>
      <w:r w:rsidRPr="00677855">
        <w:rPr>
          <w:rFonts w:ascii="Calibri" w:hAnsi="Calibri"/>
          <w:sz w:val="24"/>
          <w:szCs w:val="24"/>
          <w:vertAlign w:val="superscript"/>
          <w:lang w:val="en-US"/>
        </w:rPr>
        <w:t>-5</w:t>
      </w:r>
      <w:r w:rsidRPr="00677855">
        <w:rPr>
          <w:rFonts w:ascii="Calibri" w:hAnsi="Calibri"/>
          <w:sz w:val="24"/>
          <w:szCs w:val="24"/>
          <w:lang w:val="en-US"/>
        </w:rPr>
        <w:t>) were significantly reduced in 3D spheroid cultures. Furthermore, 3D spheroids showed reduced levels of ALDH2, CYP2C8, CYP4A11 and the UGTs UGT1A4 and UGT2B10</w:t>
      </w:r>
      <w:r>
        <w:rPr>
          <w:rFonts w:ascii="Calibri" w:hAnsi="Calibri"/>
          <w:sz w:val="24"/>
          <w:szCs w:val="24"/>
          <w:lang w:val="en-US"/>
        </w:rPr>
        <w:t xml:space="preserve"> as compared to freshly thawed cells</w:t>
      </w:r>
      <w:r w:rsidRPr="00677855">
        <w:rPr>
          <w:rFonts w:ascii="Calibri" w:hAnsi="Calibri"/>
          <w:sz w:val="24"/>
          <w:szCs w:val="24"/>
          <w:lang w:val="en-US"/>
        </w:rPr>
        <w:t>.</w:t>
      </w:r>
    </w:p>
    <w:p w14:paraId="1E4C3DE1" w14:textId="30904C6A" w:rsidR="00E831B6" w:rsidRPr="009538B4"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Overall, we found that 4.6</w:t>
      </w:r>
      <w:r>
        <w:rPr>
          <w:rFonts w:ascii="Calibri" w:hAnsi="Calibri"/>
          <w:sz w:val="24"/>
          <w:szCs w:val="24"/>
          <w:lang w:val="en-US"/>
        </w:rPr>
        <w:t xml:space="preserve"> </w:t>
      </w:r>
      <w:r w:rsidRPr="00677855">
        <w:rPr>
          <w:rFonts w:ascii="Calibri" w:hAnsi="Calibri"/>
          <w:sz w:val="24"/>
          <w:szCs w:val="24"/>
          <w:lang w:val="en-US"/>
        </w:rPr>
        <w:t>% (n=132) and 6</w:t>
      </w:r>
      <w:r>
        <w:rPr>
          <w:rFonts w:ascii="Calibri" w:hAnsi="Calibri"/>
          <w:sz w:val="24"/>
          <w:szCs w:val="24"/>
          <w:lang w:val="en-US"/>
        </w:rPr>
        <w:t xml:space="preserve"> </w:t>
      </w:r>
      <w:r w:rsidRPr="00677855">
        <w:rPr>
          <w:rFonts w:ascii="Calibri" w:hAnsi="Calibri"/>
          <w:sz w:val="24"/>
          <w:szCs w:val="24"/>
          <w:lang w:val="en-US"/>
        </w:rPr>
        <w:t>% (n=172) of the 2</w:t>
      </w:r>
      <w:r>
        <w:rPr>
          <w:rFonts w:ascii="Calibri" w:hAnsi="Calibri"/>
          <w:sz w:val="24"/>
          <w:szCs w:val="24"/>
          <w:lang w:val="en-US"/>
        </w:rPr>
        <w:t>,</w:t>
      </w:r>
      <w:r w:rsidRPr="00677855">
        <w:rPr>
          <w:rFonts w:ascii="Calibri" w:hAnsi="Calibri"/>
          <w:sz w:val="24"/>
          <w:szCs w:val="24"/>
          <w:lang w:val="en-US"/>
        </w:rPr>
        <w:t>847 proteins we identified were significantly downregulated with a fold-change &gt; 3 compared to freshly thawed cells in 2Dsw culture at day 0 and day 14, respectively</w:t>
      </w:r>
      <w:r w:rsidR="00AE7208">
        <w:rPr>
          <w:rFonts w:ascii="Calibri" w:hAnsi="Calibri"/>
          <w:sz w:val="24"/>
          <w:szCs w:val="24"/>
          <w:lang w:val="en-US"/>
        </w:rPr>
        <w:t xml:space="preserve"> </w:t>
      </w:r>
      <w:r w:rsidRPr="00677855">
        <w:rPr>
          <w:rFonts w:ascii="Calibri" w:hAnsi="Calibri"/>
          <w:sz w:val="24"/>
          <w:szCs w:val="24"/>
          <w:lang w:val="en-US"/>
        </w:rPr>
        <w:t xml:space="preserve">(Figure </w:t>
      </w:r>
      <w:r w:rsidR="00507A4F">
        <w:rPr>
          <w:rFonts w:ascii="Calibri" w:hAnsi="Calibri"/>
          <w:sz w:val="24"/>
          <w:szCs w:val="24"/>
          <w:lang w:val="en-US"/>
        </w:rPr>
        <w:t>3A</w:t>
      </w:r>
      <w:r w:rsidRPr="00677855">
        <w:rPr>
          <w:rFonts w:ascii="Calibri" w:hAnsi="Calibri"/>
          <w:sz w:val="24"/>
          <w:szCs w:val="24"/>
          <w:lang w:val="en-US"/>
        </w:rPr>
        <w:t>,</w:t>
      </w:r>
      <w:r w:rsidR="00507A4F">
        <w:rPr>
          <w:rFonts w:ascii="Calibri" w:hAnsi="Calibri"/>
          <w:sz w:val="24"/>
          <w:szCs w:val="24"/>
          <w:lang w:val="en-US"/>
        </w:rPr>
        <w:t>B</w:t>
      </w:r>
      <w:r w:rsidRPr="00677855">
        <w:rPr>
          <w:rFonts w:ascii="Calibri" w:hAnsi="Calibri"/>
          <w:sz w:val="24"/>
          <w:szCs w:val="24"/>
          <w:lang w:val="en-US"/>
        </w:rPr>
        <w:t xml:space="preserve">). In contrast, levels of only </w:t>
      </w:r>
      <w:r>
        <w:rPr>
          <w:rFonts w:ascii="Calibri" w:hAnsi="Calibri"/>
          <w:sz w:val="24"/>
          <w:szCs w:val="24"/>
          <w:lang w:val="en-US"/>
        </w:rPr>
        <w:t>0.9 % (n=</w:t>
      </w:r>
      <w:r w:rsidRPr="00677855">
        <w:rPr>
          <w:rFonts w:ascii="Calibri" w:hAnsi="Calibri"/>
          <w:sz w:val="24"/>
          <w:szCs w:val="24"/>
          <w:lang w:val="en-US"/>
        </w:rPr>
        <w:t>26</w:t>
      </w:r>
      <w:r>
        <w:rPr>
          <w:rFonts w:ascii="Calibri" w:hAnsi="Calibri"/>
          <w:sz w:val="24"/>
          <w:szCs w:val="24"/>
          <w:lang w:val="en-US"/>
        </w:rPr>
        <w:t>) and 2.7 % (n=76)</w:t>
      </w:r>
      <w:r w:rsidRPr="00677855">
        <w:rPr>
          <w:rFonts w:ascii="Calibri" w:hAnsi="Calibri"/>
          <w:sz w:val="24"/>
          <w:szCs w:val="24"/>
          <w:lang w:val="en-US"/>
        </w:rPr>
        <w:t xml:space="preserve"> proteins were significantly reduced in 3D spheroids at day 0 and day 14, respectively. </w:t>
      </w:r>
      <w:r w:rsidR="00236694">
        <w:rPr>
          <w:rFonts w:ascii="Calibri" w:hAnsi="Calibri"/>
          <w:sz w:val="24"/>
          <w:szCs w:val="24"/>
          <w:lang w:val="en-US"/>
        </w:rPr>
        <w:t>Downregulated ADME proteins included CYP3A4 (28-fold downregulation) and</w:t>
      </w:r>
      <w:r w:rsidR="00236694" w:rsidRPr="00236694">
        <w:rPr>
          <w:rFonts w:ascii="Calibri" w:hAnsi="Calibri"/>
          <w:sz w:val="24"/>
          <w:szCs w:val="24"/>
          <w:lang w:val="en-US"/>
        </w:rPr>
        <w:t xml:space="preserve"> </w:t>
      </w:r>
      <w:r w:rsidR="00236694" w:rsidRPr="00236694">
        <w:rPr>
          <w:rFonts w:ascii="Calibri" w:hAnsi="Calibri"/>
          <w:sz w:val="24"/>
          <w:szCs w:val="24"/>
          <w:lang w:val="en-US"/>
        </w:rPr>
        <w:lastRenderedPageBreak/>
        <w:t xml:space="preserve">CYP2E1 (17-fold downregulation) </w:t>
      </w:r>
      <w:r w:rsidR="00236694">
        <w:rPr>
          <w:rFonts w:ascii="Calibri" w:hAnsi="Calibri"/>
          <w:sz w:val="24"/>
          <w:szCs w:val="24"/>
          <w:lang w:val="en-US"/>
        </w:rPr>
        <w:t>in 2Dsw culture as well as CYP2A6 (42-fold and 6.8-fold downregulation in 2Dsw and 3D spheroids, respectively)</w:t>
      </w:r>
      <w:r w:rsidR="00236694" w:rsidRPr="00236694">
        <w:rPr>
          <w:rFonts w:ascii="Calibri" w:hAnsi="Calibri"/>
          <w:sz w:val="24"/>
          <w:szCs w:val="24"/>
          <w:lang w:val="en-US"/>
        </w:rPr>
        <w:t xml:space="preserve"> </w:t>
      </w:r>
      <w:r w:rsidR="00236694">
        <w:rPr>
          <w:rFonts w:ascii="Calibri" w:hAnsi="Calibri"/>
          <w:sz w:val="24"/>
          <w:szCs w:val="24"/>
          <w:lang w:val="en-US"/>
        </w:rPr>
        <w:t>and</w:t>
      </w:r>
      <w:r w:rsidR="00236694" w:rsidRPr="00236694">
        <w:rPr>
          <w:rFonts w:ascii="Calibri" w:hAnsi="Calibri"/>
          <w:sz w:val="24"/>
          <w:szCs w:val="24"/>
          <w:lang w:val="en-US"/>
        </w:rPr>
        <w:t xml:space="preserve"> CYP2D6 (6.3-fold </w:t>
      </w:r>
      <w:r w:rsidR="00236694">
        <w:rPr>
          <w:rFonts w:ascii="Calibri" w:hAnsi="Calibri"/>
          <w:sz w:val="24"/>
          <w:szCs w:val="24"/>
          <w:lang w:val="en-US"/>
        </w:rPr>
        <w:t xml:space="preserve">and 4.6-fold </w:t>
      </w:r>
      <w:r w:rsidR="00236694" w:rsidRPr="00236694">
        <w:rPr>
          <w:rFonts w:ascii="Calibri" w:hAnsi="Calibri"/>
          <w:sz w:val="24"/>
          <w:szCs w:val="24"/>
          <w:lang w:val="en-US"/>
        </w:rPr>
        <w:t>downregulation</w:t>
      </w:r>
      <w:r w:rsidR="00236694">
        <w:rPr>
          <w:rFonts w:ascii="Calibri" w:hAnsi="Calibri"/>
          <w:sz w:val="24"/>
          <w:szCs w:val="24"/>
          <w:lang w:val="en-US"/>
        </w:rPr>
        <w:t xml:space="preserve"> in 2Dsw and 3D spheroids, respectively</w:t>
      </w:r>
      <w:r w:rsidR="00236694" w:rsidRPr="00236694">
        <w:rPr>
          <w:rFonts w:ascii="Calibri" w:hAnsi="Calibri"/>
          <w:sz w:val="24"/>
          <w:szCs w:val="24"/>
          <w:lang w:val="en-US"/>
        </w:rPr>
        <w:t xml:space="preserve">) </w:t>
      </w:r>
      <w:r w:rsidR="00236694">
        <w:rPr>
          <w:rFonts w:ascii="Calibri" w:hAnsi="Calibri"/>
          <w:sz w:val="24"/>
          <w:szCs w:val="24"/>
          <w:lang w:val="en-US"/>
        </w:rPr>
        <w:t>in both culture paradigms</w:t>
      </w:r>
      <w:r w:rsidR="00CE24F8">
        <w:rPr>
          <w:rFonts w:ascii="Calibri" w:hAnsi="Calibri"/>
          <w:sz w:val="24"/>
          <w:szCs w:val="24"/>
          <w:lang w:val="en-US"/>
        </w:rPr>
        <w:t xml:space="preserve"> (Table 4). </w:t>
      </w:r>
      <w:r w:rsidRPr="00677855">
        <w:rPr>
          <w:rFonts w:ascii="Calibri" w:hAnsi="Calibri"/>
          <w:sz w:val="24"/>
          <w:szCs w:val="24"/>
          <w:lang w:val="en-US"/>
        </w:rPr>
        <w:t xml:space="preserve">Importantly, the affected gene sets in 2Dsw and 3D spheroid culture overlapped only marginally with 8 proteins being dysregulated in all conditions (Figure </w:t>
      </w:r>
      <w:r w:rsidR="00507A4F">
        <w:rPr>
          <w:rFonts w:ascii="Calibri" w:hAnsi="Calibri"/>
          <w:sz w:val="24"/>
          <w:szCs w:val="24"/>
          <w:lang w:val="en-US"/>
        </w:rPr>
        <w:t>3C</w:t>
      </w:r>
      <w:r w:rsidRPr="00677855">
        <w:rPr>
          <w:rFonts w:ascii="Calibri" w:hAnsi="Calibri"/>
          <w:sz w:val="24"/>
          <w:szCs w:val="24"/>
          <w:lang w:val="en-US"/>
        </w:rPr>
        <w:t xml:space="preserve">). Most prominent among these was the downregulation of the alcohol dehydrogenase ADH1A (8- and 74-fold in 2Dsw and 3- and 13-fold in 3D spheroids at day 0 and day 14, respectively) and of the serine dehydratase/threonine deaminase SDS (7- and 25-fold in 2Dsw and 9- and 22-fold in 3D spheroids at day 0 and day 14, respectively) as well as the upregulation of the fatty acid desaturase FADS2 (3- and 17-fold in 2Dsw and 11- and 8-fold in 3D spheroids at day 0 and day 14, respectively). Furthermore, levels of apolipoproteins, such as APOB, APOC1, APOC2 and APOE, were strongly increased mostly in 3D </w:t>
      </w:r>
      <w:r>
        <w:rPr>
          <w:rFonts w:ascii="Calibri" w:hAnsi="Calibri"/>
          <w:sz w:val="24"/>
          <w:szCs w:val="24"/>
          <w:lang w:val="en-US"/>
        </w:rPr>
        <w:t xml:space="preserve">spheroid </w:t>
      </w:r>
      <w:r w:rsidRPr="00677855">
        <w:rPr>
          <w:rFonts w:ascii="Calibri" w:hAnsi="Calibri"/>
          <w:sz w:val="24"/>
          <w:szCs w:val="24"/>
          <w:lang w:val="en-US"/>
        </w:rPr>
        <w:t xml:space="preserve">culture, suggesting that the </w:t>
      </w:r>
      <w:r>
        <w:rPr>
          <w:rFonts w:ascii="Calibri" w:hAnsi="Calibri"/>
          <w:sz w:val="24"/>
          <w:szCs w:val="24"/>
          <w:lang w:val="en-US"/>
        </w:rPr>
        <w:t xml:space="preserve">molecular constituents necessary for the </w:t>
      </w:r>
      <w:r w:rsidRPr="00677855">
        <w:rPr>
          <w:rFonts w:ascii="Calibri" w:hAnsi="Calibri"/>
          <w:sz w:val="24"/>
          <w:szCs w:val="24"/>
          <w:lang w:val="en-US"/>
        </w:rPr>
        <w:t xml:space="preserve">formation of chylomicrons remain </w:t>
      </w:r>
      <w:r>
        <w:rPr>
          <w:rFonts w:ascii="Calibri" w:hAnsi="Calibri"/>
          <w:sz w:val="24"/>
          <w:szCs w:val="24"/>
          <w:lang w:val="en-US"/>
        </w:rPr>
        <w:t>present</w:t>
      </w:r>
      <w:r w:rsidRPr="00677855">
        <w:rPr>
          <w:rFonts w:ascii="Calibri" w:hAnsi="Calibri"/>
          <w:sz w:val="24"/>
          <w:szCs w:val="24"/>
          <w:lang w:val="en-US"/>
        </w:rPr>
        <w:t xml:space="preserve"> </w:t>
      </w:r>
      <w:r w:rsidRPr="00677855">
        <w:rPr>
          <w:rFonts w:ascii="Calibri" w:hAnsi="Calibri"/>
          <w:i/>
          <w:sz w:val="24"/>
          <w:szCs w:val="24"/>
          <w:lang w:val="en-US"/>
        </w:rPr>
        <w:t>in vitro</w:t>
      </w:r>
      <w:r w:rsidRPr="00677855">
        <w:rPr>
          <w:rFonts w:ascii="Calibri" w:hAnsi="Calibri"/>
          <w:sz w:val="24"/>
          <w:szCs w:val="24"/>
          <w:lang w:val="en-US"/>
        </w:rPr>
        <w:t>. The translational elongation factor EEF1A1, which delivers tRNAs to the ribosome was strongly downregulated in 2Dsw culture (17- and 9-fold at day 0 and day 14, respectively), suggesting deficits in protein biosynthesis,</w:t>
      </w:r>
      <w:r>
        <w:rPr>
          <w:rFonts w:ascii="Calibri" w:hAnsi="Calibri"/>
          <w:sz w:val="24"/>
          <w:szCs w:val="24"/>
          <w:lang w:val="en-US"/>
        </w:rPr>
        <w:t xml:space="preserve"> whereas its</w:t>
      </w:r>
      <w:r w:rsidRPr="00677855">
        <w:rPr>
          <w:rFonts w:ascii="Calibri" w:hAnsi="Calibri"/>
          <w:sz w:val="24"/>
          <w:szCs w:val="24"/>
          <w:lang w:val="en-US"/>
        </w:rPr>
        <w:t xml:space="preserve"> levels were unaffected in 3D spheroids. Similar trends were observed for the peroxiredoxins PRDX1 (15- and 33-fold downregulation in 2Dsw at day 0 and day 14, respectively), PRDX2 (16- and 42-fold downregulation) and PRDX6 (12- and 53-fold downregulation) in 2Dsw configuration but not in 3D spheroids (all changes &lt;2-fold at all time points). </w:t>
      </w:r>
      <w:r w:rsidRPr="009538B4">
        <w:rPr>
          <w:rFonts w:ascii="Calibri" w:hAnsi="Calibri"/>
          <w:sz w:val="24"/>
          <w:szCs w:val="24"/>
          <w:lang w:val="en-US"/>
        </w:rPr>
        <w:t xml:space="preserve">Proteins that were significantly affected in 3D </w:t>
      </w:r>
      <w:r>
        <w:rPr>
          <w:rFonts w:ascii="Calibri" w:hAnsi="Calibri"/>
          <w:sz w:val="24"/>
          <w:szCs w:val="24"/>
          <w:lang w:val="en-US"/>
        </w:rPr>
        <w:t xml:space="preserve">spheroid </w:t>
      </w:r>
      <w:r w:rsidRPr="009538B4">
        <w:rPr>
          <w:rFonts w:ascii="Calibri" w:hAnsi="Calibri"/>
          <w:sz w:val="24"/>
          <w:szCs w:val="24"/>
          <w:lang w:val="en-US"/>
        </w:rPr>
        <w:t xml:space="preserve">but not in 2Dsw culture include upregulation of the aldoketoreductases AKR1B10 (33- and 56-fold upregulation in 3D </w:t>
      </w:r>
      <w:r>
        <w:rPr>
          <w:rFonts w:ascii="Calibri" w:hAnsi="Calibri"/>
          <w:sz w:val="24"/>
          <w:szCs w:val="24"/>
          <w:lang w:val="en-US"/>
        </w:rPr>
        <w:t xml:space="preserve">spheroids </w:t>
      </w:r>
      <w:r w:rsidRPr="009538B4">
        <w:rPr>
          <w:rFonts w:ascii="Calibri" w:hAnsi="Calibri"/>
          <w:sz w:val="24"/>
          <w:szCs w:val="24"/>
          <w:lang w:val="en-US"/>
        </w:rPr>
        <w:t xml:space="preserve">at day 0 and day 14, respectively), AKR1C1 (17- and 12-fold upregulation) and AKR1C2 (21- and 24-fold upregulation) as well as the thioredoxin reductase TXNRD1 (10- and 11-fold upregulation). </w:t>
      </w:r>
    </w:p>
    <w:p w14:paraId="6DEEABAA" w14:textId="1E62C152" w:rsidR="00E831B6" w:rsidRPr="00677855" w:rsidRDefault="00E831B6" w:rsidP="00017836">
      <w:pPr>
        <w:spacing w:line="480" w:lineRule="auto"/>
        <w:jc w:val="both"/>
        <w:rPr>
          <w:rFonts w:ascii="Calibri" w:hAnsi="Calibri"/>
          <w:b/>
          <w:sz w:val="24"/>
          <w:szCs w:val="24"/>
          <w:lang w:val="en-US"/>
        </w:rPr>
      </w:pPr>
      <w:r w:rsidRPr="00677855">
        <w:rPr>
          <w:rFonts w:ascii="Calibri" w:hAnsi="Calibri"/>
          <w:sz w:val="24"/>
          <w:szCs w:val="24"/>
          <w:lang w:val="en-US"/>
        </w:rPr>
        <w:lastRenderedPageBreak/>
        <w:t xml:space="preserve">Importantly, while spheroids remained </w:t>
      </w:r>
      <w:r>
        <w:rPr>
          <w:rFonts w:ascii="Calibri" w:hAnsi="Calibri"/>
          <w:sz w:val="24"/>
          <w:szCs w:val="24"/>
          <w:lang w:val="en-US"/>
        </w:rPr>
        <w:t xml:space="preserve">overall </w:t>
      </w:r>
      <w:r w:rsidRPr="00677855">
        <w:rPr>
          <w:rFonts w:ascii="Calibri" w:hAnsi="Calibri"/>
          <w:sz w:val="24"/>
          <w:szCs w:val="24"/>
          <w:lang w:val="en-US"/>
        </w:rPr>
        <w:t>phenotypically stable</w:t>
      </w:r>
      <w:r>
        <w:rPr>
          <w:rFonts w:ascii="Calibri" w:hAnsi="Calibri"/>
          <w:sz w:val="24"/>
          <w:szCs w:val="24"/>
          <w:lang w:val="en-US"/>
        </w:rPr>
        <w:t xml:space="preserve"> after aggregation</w:t>
      </w:r>
      <w:r w:rsidRPr="00677855">
        <w:rPr>
          <w:rFonts w:ascii="Calibri" w:hAnsi="Calibri"/>
          <w:sz w:val="24"/>
          <w:szCs w:val="24"/>
          <w:lang w:val="en-US"/>
        </w:rPr>
        <w:t xml:space="preserve">, the proteomes of 2Dsw cultures changed considerably during two weeks in culture, an effect that was observed for all three donors tested (Figure </w:t>
      </w:r>
      <w:r w:rsidR="00507A4F">
        <w:rPr>
          <w:rFonts w:ascii="Calibri" w:hAnsi="Calibri"/>
          <w:sz w:val="24"/>
          <w:szCs w:val="24"/>
          <w:lang w:val="en-US"/>
        </w:rPr>
        <w:t>3D</w:t>
      </w:r>
      <w:r w:rsidRPr="00677855">
        <w:rPr>
          <w:rFonts w:ascii="Calibri" w:hAnsi="Calibri"/>
          <w:sz w:val="24"/>
          <w:szCs w:val="24"/>
          <w:lang w:val="en-US"/>
        </w:rPr>
        <w:t xml:space="preserve">). To estimate the effects of culture </w:t>
      </w:r>
      <w:r>
        <w:rPr>
          <w:rFonts w:ascii="Calibri" w:hAnsi="Calibri"/>
          <w:sz w:val="24"/>
          <w:szCs w:val="24"/>
          <w:lang w:val="en-US"/>
        </w:rPr>
        <w:t>format</w:t>
      </w:r>
      <w:r w:rsidRPr="00677855">
        <w:rPr>
          <w:rFonts w:ascii="Calibri" w:hAnsi="Calibri"/>
          <w:sz w:val="24"/>
          <w:szCs w:val="24"/>
          <w:lang w:val="en-US"/>
        </w:rPr>
        <w:t xml:space="preserve"> on drug ADME, we focused on 25 proteins with importance for hepatic functionality (Figure </w:t>
      </w:r>
      <w:r w:rsidR="00507A4F">
        <w:rPr>
          <w:rFonts w:ascii="Calibri" w:hAnsi="Calibri"/>
          <w:sz w:val="24"/>
          <w:szCs w:val="24"/>
          <w:lang w:val="en-US"/>
        </w:rPr>
        <w:t>3E</w:t>
      </w:r>
      <w:r w:rsidRPr="00677855">
        <w:rPr>
          <w:rFonts w:ascii="Calibri" w:hAnsi="Calibri"/>
          <w:sz w:val="24"/>
          <w:szCs w:val="24"/>
          <w:lang w:val="en-US"/>
        </w:rPr>
        <w:t xml:space="preserve">). Overall, expression of pivotal phase I and phase II enzymes was elevated in 3D spheroids compared to 2Dsw cultures at both time points. The largest discrepancies between 2Dsw and 3D spheroids were seen in the expression of CYP3A4, whose expression was elevated by 5- and 27-fold </w:t>
      </w:r>
      <w:r>
        <w:rPr>
          <w:rFonts w:ascii="Calibri" w:hAnsi="Calibri"/>
          <w:sz w:val="24"/>
          <w:szCs w:val="24"/>
          <w:lang w:val="en-US"/>
        </w:rPr>
        <w:t xml:space="preserve">in 3D spheroids </w:t>
      </w:r>
      <w:r w:rsidRPr="00677855">
        <w:rPr>
          <w:rFonts w:ascii="Calibri" w:hAnsi="Calibri"/>
          <w:sz w:val="24"/>
          <w:szCs w:val="24"/>
          <w:lang w:val="en-US"/>
        </w:rPr>
        <w:t xml:space="preserve">at day 0 and day 14, respectively. Similarly, expression of CYP1A2 was 4- (day 0) and 25-fold (day 14) higher in 3D spheroids. </w:t>
      </w:r>
      <w:r>
        <w:rPr>
          <w:rFonts w:ascii="Calibri" w:hAnsi="Calibri"/>
          <w:sz w:val="24"/>
          <w:szCs w:val="24"/>
          <w:lang w:val="en-US"/>
        </w:rPr>
        <w:t>In contrast, l</w:t>
      </w:r>
      <w:r w:rsidRPr="00677855">
        <w:rPr>
          <w:rFonts w:ascii="Calibri" w:hAnsi="Calibri"/>
          <w:sz w:val="24"/>
          <w:szCs w:val="24"/>
          <w:lang w:val="en-US"/>
        </w:rPr>
        <w:t xml:space="preserve">evels of CYP2C8 and CYP2C9 </w:t>
      </w:r>
      <w:r>
        <w:rPr>
          <w:rFonts w:ascii="Calibri" w:hAnsi="Calibri"/>
          <w:sz w:val="24"/>
          <w:szCs w:val="24"/>
          <w:lang w:val="en-US"/>
        </w:rPr>
        <w:t xml:space="preserve">as well as of the </w:t>
      </w:r>
      <w:r w:rsidRPr="00677855">
        <w:rPr>
          <w:rFonts w:ascii="Calibri" w:hAnsi="Calibri"/>
          <w:sz w:val="24"/>
          <w:szCs w:val="24"/>
          <w:lang w:val="en-US"/>
        </w:rPr>
        <w:t xml:space="preserve">drug transporters MDR1, MRP6 and OATP1B1 were increased in sandwich configuration. Expression of the canalicular efflux transporter BSEP, inhibition of which must be investigated prior to a drug’s regulatory approval, was however indistinguishable between the two models. </w:t>
      </w:r>
    </w:p>
    <w:p w14:paraId="783C8B2C" w14:textId="77777777" w:rsidR="00E831B6" w:rsidRDefault="00E831B6" w:rsidP="00017836">
      <w:pPr>
        <w:spacing w:line="480" w:lineRule="auto"/>
        <w:jc w:val="both"/>
        <w:rPr>
          <w:rFonts w:ascii="Calibri" w:hAnsi="Calibri"/>
          <w:b/>
          <w:sz w:val="24"/>
          <w:szCs w:val="24"/>
          <w:lang w:val="en-US"/>
        </w:rPr>
      </w:pPr>
    </w:p>
    <w:p w14:paraId="45B3FEE9" w14:textId="77777777" w:rsidR="00E831B6" w:rsidRPr="009538B4" w:rsidRDefault="00E831B6" w:rsidP="00017836">
      <w:pPr>
        <w:spacing w:line="480" w:lineRule="auto"/>
        <w:jc w:val="both"/>
        <w:rPr>
          <w:rFonts w:ascii="Calibri" w:hAnsi="Calibri"/>
          <w:b/>
          <w:sz w:val="24"/>
          <w:szCs w:val="24"/>
          <w:lang w:val="en-US"/>
        </w:rPr>
      </w:pPr>
      <w:r w:rsidRPr="009538B4">
        <w:rPr>
          <w:rFonts w:ascii="Calibri" w:hAnsi="Calibri"/>
          <w:b/>
          <w:sz w:val="24"/>
          <w:szCs w:val="24"/>
          <w:lang w:val="en-US"/>
        </w:rPr>
        <w:t xml:space="preserve">Phase I metabolic activity is overall higher and more stable in </w:t>
      </w:r>
      <w:r>
        <w:rPr>
          <w:rFonts w:ascii="Calibri" w:hAnsi="Calibri"/>
          <w:b/>
          <w:sz w:val="24"/>
          <w:szCs w:val="24"/>
          <w:lang w:val="en-US"/>
        </w:rPr>
        <w:t xml:space="preserve">long-term </w:t>
      </w:r>
      <w:r w:rsidRPr="009538B4">
        <w:rPr>
          <w:rFonts w:ascii="Calibri" w:hAnsi="Calibri"/>
          <w:b/>
          <w:sz w:val="24"/>
          <w:szCs w:val="24"/>
          <w:lang w:val="en-US"/>
        </w:rPr>
        <w:t xml:space="preserve">3D spheroids compared to 2D sandwich cultures </w:t>
      </w:r>
    </w:p>
    <w:p w14:paraId="25470816" w14:textId="4D9F3922" w:rsidR="00E831B6" w:rsidRPr="009538B4" w:rsidRDefault="00E831B6" w:rsidP="00017836">
      <w:pPr>
        <w:spacing w:line="480" w:lineRule="auto"/>
        <w:jc w:val="both"/>
        <w:rPr>
          <w:rFonts w:ascii="Calibri" w:hAnsi="Calibri"/>
          <w:sz w:val="24"/>
          <w:szCs w:val="24"/>
          <w:lang w:val="en-US"/>
        </w:rPr>
      </w:pPr>
      <w:r>
        <w:rPr>
          <w:rFonts w:ascii="Calibri" w:hAnsi="Calibri"/>
          <w:sz w:val="24"/>
          <w:szCs w:val="24"/>
          <w:lang w:val="en-US"/>
        </w:rPr>
        <w:t>Hepatic pharmacokinetics is a key factor determining drug clearance. Moreover, c</w:t>
      </w:r>
      <w:r w:rsidRPr="009538B4">
        <w:rPr>
          <w:rFonts w:ascii="Calibri" w:hAnsi="Calibri"/>
          <w:sz w:val="24"/>
          <w:szCs w:val="24"/>
          <w:lang w:val="en-US"/>
        </w:rPr>
        <w:t xml:space="preserve">hemically reactive metabolites are frequently </w:t>
      </w:r>
      <w:r>
        <w:rPr>
          <w:rFonts w:ascii="Calibri" w:hAnsi="Calibri"/>
          <w:sz w:val="24"/>
          <w:szCs w:val="24"/>
          <w:lang w:val="en-US"/>
        </w:rPr>
        <w:t xml:space="preserve">formed and </w:t>
      </w:r>
      <w:r w:rsidRPr="009538B4">
        <w:rPr>
          <w:rFonts w:ascii="Calibri" w:hAnsi="Calibri"/>
          <w:sz w:val="24"/>
          <w:szCs w:val="24"/>
          <w:lang w:val="en-US"/>
        </w:rPr>
        <w:t xml:space="preserve">cited as a major cause of adverse drug reactions and hepatotoxicity </w:t>
      </w:r>
      <w:r>
        <w:rPr>
          <w:rFonts w:ascii="Calibri" w:hAnsi="Calibri"/>
          <w:noProof/>
          <w:sz w:val="24"/>
          <w:szCs w:val="24"/>
          <w:lang w:val="en-US"/>
        </w:rPr>
        <w:t>(Park</w:t>
      </w:r>
      <w:r w:rsidRPr="007D68DF">
        <w:rPr>
          <w:rFonts w:ascii="Calibri" w:hAnsi="Calibri"/>
          <w:i/>
          <w:noProof/>
          <w:sz w:val="24"/>
          <w:szCs w:val="24"/>
          <w:lang w:val="en-US"/>
        </w:rPr>
        <w:t xml:space="preserve"> et al.</w:t>
      </w:r>
      <w:r>
        <w:rPr>
          <w:rFonts w:ascii="Calibri" w:hAnsi="Calibri"/>
          <w:noProof/>
          <w:sz w:val="24"/>
          <w:szCs w:val="24"/>
          <w:lang w:val="en-US"/>
        </w:rPr>
        <w:t>, 2011;  Thompson</w:t>
      </w:r>
      <w:r w:rsidRPr="007D68DF">
        <w:rPr>
          <w:rFonts w:ascii="Calibri" w:hAnsi="Calibri"/>
          <w:i/>
          <w:noProof/>
          <w:sz w:val="24"/>
          <w:szCs w:val="24"/>
          <w:lang w:val="en-US"/>
        </w:rPr>
        <w:t xml:space="preserve"> et al.</w:t>
      </w:r>
      <w:r>
        <w:rPr>
          <w:rFonts w:ascii="Calibri" w:hAnsi="Calibri"/>
          <w:noProof/>
          <w:sz w:val="24"/>
          <w:szCs w:val="24"/>
          <w:lang w:val="en-US"/>
        </w:rPr>
        <w:t>, 2016)</w:t>
      </w:r>
      <w:r w:rsidRPr="009538B4">
        <w:rPr>
          <w:rFonts w:ascii="Calibri" w:hAnsi="Calibri"/>
          <w:sz w:val="24"/>
          <w:szCs w:val="24"/>
          <w:lang w:val="en-US"/>
        </w:rPr>
        <w:t>. We therefore analyzed the enzymatic activity of CYP1A2, CY</w:t>
      </w:r>
      <w:r>
        <w:rPr>
          <w:rFonts w:ascii="Calibri" w:hAnsi="Calibri"/>
          <w:sz w:val="24"/>
          <w:szCs w:val="24"/>
          <w:lang w:val="en-US"/>
        </w:rPr>
        <w:t>P2C8, CYP2C9, CYP2D6 and CYP3A4</w:t>
      </w:r>
      <w:r w:rsidRPr="009538B4">
        <w:rPr>
          <w:rFonts w:ascii="Calibri" w:hAnsi="Calibri"/>
          <w:sz w:val="24"/>
          <w:szCs w:val="24"/>
          <w:lang w:val="en-US"/>
        </w:rPr>
        <w:t xml:space="preserve"> that jointly account for &gt;</w:t>
      </w:r>
      <w:r>
        <w:rPr>
          <w:rFonts w:ascii="Calibri" w:hAnsi="Calibri"/>
          <w:sz w:val="24"/>
          <w:szCs w:val="24"/>
          <w:lang w:val="en-US"/>
        </w:rPr>
        <w:t>7</w:t>
      </w:r>
      <w:r w:rsidRPr="009538B4">
        <w:rPr>
          <w:rFonts w:ascii="Calibri" w:hAnsi="Calibri"/>
          <w:sz w:val="24"/>
          <w:szCs w:val="24"/>
          <w:lang w:val="en-US"/>
        </w:rPr>
        <w:t xml:space="preserve">0% of all clinically relevant phase I reactions </w:t>
      </w:r>
      <w:r>
        <w:rPr>
          <w:rFonts w:ascii="Calibri" w:hAnsi="Calibri"/>
          <w:noProof/>
          <w:sz w:val="24"/>
          <w:szCs w:val="24"/>
          <w:lang w:val="en-US"/>
        </w:rPr>
        <w:t>(Evans and Relling, 1999)</w:t>
      </w:r>
      <w:r w:rsidRPr="009538B4">
        <w:rPr>
          <w:rFonts w:ascii="Calibri" w:hAnsi="Calibri"/>
          <w:sz w:val="24"/>
          <w:szCs w:val="24"/>
          <w:lang w:val="en-US"/>
        </w:rPr>
        <w:t xml:space="preserve"> by monitoring the formation of metabolites via LC-MS/MS throughout 14 days </w:t>
      </w:r>
      <w:r>
        <w:rPr>
          <w:rFonts w:ascii="Calibri" w:hAnsi="Calibri"/>
          <w:sz w:val="24"/>
          <w:szCs w:val="24"/>
          <w:lang w:val="en-US"/>
        </w:rPr>
        <w:t xml:space="preserve">after spheroid or sandwich formation (Figure </w:t>
      </w:r>
      <w:r w:rsidR="00507A4F">
        <w:rPr>
          <w:rFonts w:ascii="Calibri" w:hAnsi="Calibri"/>
          <w:sz w:val="24"/>
          <w:szCs w:val="24"/>
          <w:lang w:val="en-US"/>
        </w:rPr>
        <w:t>4</w:t>
      </w:r>
      <w:r>
        <w:rPr>
          <w:rFonts w:ascii="Calibri" w:hAnsi="Calibri"/>
          <w:sz w:val="24"/>
          <w:szCs w:val="24"/>
          <w:lang w:val="en-US"/>
        </w:rPr>
        <w:t>)</w:t>
      </w:r>
      <w:r w:rsidRPr="009538B4">
        <w:rPr>
          <w:rFonts w:ascii="Calibri" w:hAnsi="Calibri"/>
          <w:sz w:val="24"/>
          <w:szCs w:val="24"/>
          <w:lang w:val="en-US"/>
        </w:rPr>
        <w:t xml:space="preserve">. </w:t>
      </w:r>
    </w:p>
    <w:p w14:paraId="310E0CDC" w14:textId="77777777" w:rsidR="00E831B6" w:rsidRPr="009538B4" w:rsidRDefault="00E831B6" w:rsidP="00017836">
      <w:pPr>
        <w:spacing w:line="480" w:lineRule="auto"/>
        <w:jc w:val="both"/>
        <w:rPr>
          <w:rFonts w:ascii="Calibri" w:hAnsi="Calibri"/>
          <w:sz w:val="24"/>
          <w:szCs w:val="24"/>
          <w:lang w:val="en-US"/>
        </w:rPr>
      </w:pPr>
      <w:r>
        <w:rPr>
          <w:rFonts w:ascii="Calibri" w:hAnsi="Calibri"/>
          <w:sz w:val="24"/>
          <w:szCs w:val="24"/>
          <w:lang w:val="en-US"/>
        </w:rPr>
        <w:lastRenderedPageBreak/>
        <w:t xml:space="preserve">CYP1A2, CYP3A4 and CYP2C8 activities, </w:t>
      </w:r>
      <w:r w:rsidRPr="00A90C07">
        <w:rPr>
          <w:rFonts w:ascii="Calibri" w:hAnsi="Calibri"/>
          <w:sz w:val="24"/>
          <w:szCs w:val="24"/>
          <w:lang w:val="en-US"/>
        </w:rPr>
        <w:t>when expressed per million seeded cells,</w:t>
      </w:r>
      <w:r>
        <w:rPr>
          <w:rFonts w:ascii="Calibri" w:hAnsi="Calibri"/>
          <w:sz w:val="24"/>
          <w:szCs w:val="24"/>
          <w:lang w:val="en-US"/>
        </w:rPr>
        <w:t xml:space="preserve"> were substantially higher in 3D spheroid cultures throughout the entire culture time. Particularly desethylamodiaquine formation was increased more than 100-fold in 3D spheroids compared to 2Dsw culture. In contrast, activities of CYP2D6 and CYP2C9 were similar between the two culture methods during the first 10 days of culture and PHH in spheroid cultures exhibited higher activities only after longer culture periods (12 days and more). Overall, </w:t>
      </w:r>
      <w:r w:rsidRPr="009538B4">
        <w:rPr>
          <w:rFonts w:ascii="Calibri" w:hAnsi="Calibri"/>
          <w:sz w:val="24"/>
          <w:szCs w:val="24"/>
          <w:lang w:val="en-US"/>
        </w:rPr>
        <w:t xml:space="preserve">metabolic </w:t>
      </w:r>
      <w:r>
        <w:rPr>
          <w:rFonts w:ascii="Calibri" w:hAnsi="Calibri"/>
          <w:sz w:val="24"/>
          <w:szCs w:val="24"/>
          <w:lang w:val="en-US"/>
        </w:rPr>
        <w:t>activities</w:t>
      </w:r>
      <w:r w:rsidRPr="009538B4">
        <w:rPr>
          <w:rFonts w:ascii="Calibri" w:hAnsi="Calibri"/>
          <w:sz w:val="24"/>
          <w:szCs w:val="24"/>
          <w:lang w:val="en-US"/>
        </w:rPr>
        <w:t xml:space="preserve"> in </w:t>
      </w:r>
      <w:r>
        <w:rPr>
          <w:rFonts w:ascii="Calibri" w:hAnsi="Calibri"/>
          <w:sz w:val="24"/>
          <w:szCs w:val="24"/>
          <w:lang w:val="en-US"/>
        </w:rPr>
        <w:t xml:space="preserve">3D </w:t>
      </w:r>
      <w:r w:rsidRPr="009538B4">
        <w:rPr>
          <w:rFonts w:ascii="Calibri" w:hAnsi="Calibri"/>
          <w:sz w:val="24"/>
          <w:szCs w:val="24"/>
          <w:lang w:val="en-US"/>
        </w:rPr>
        <w:t xml:space="preserve">spheroids remained </w:t>
      </w:r>
      <w:r>
        <w:rPr>
          <w:rFonts w:ascii="Calibri" w:hAnsi="Calibri"/>
          <w:sz w:val="24"/>
          <w:szCs w:val="24"/>
          <w:lang w:val="en-US"/>
        </w:rPr>
        <w:t xml:space="preserve">high and </w:t>
      </w:r>
      <w:r w:rsidRPr="009538B4">
        <w:rPr>
          <w:rFonts w:ascii="Calibri" w:hAnsi="Calibri"/>
          <w:sz w:val="24"/>
          <w:szCs w:val="24"/>
          <w:lang w:val="en-US"/>
        </w:rPr>
        <w:t xml:space="preserve">stable </w:t>
      </w:r>
      <w:r>
        <w:rPr>
          <w:rFonts w:ascii="Calibri" w:hAnsi="Calibri"/>
          <w:sz w:val="24"/>
          <w:szCs w:val="24"/>
          <w:lang w:val="en-US"/>
        </w:rPr>
        <w:t>during two weeks and none of the tested enzymes decreased &gt;2.5-fold in activity. In contrast</w:t>
      </w:r>
      <w:r w:rsidRPr="009538B4">
        <w:rPr>
          <w:rFonts w:ascii="Calibri" w:hAnsi="Calibri"/>
          <w:sz w:val="24"/>
          <w:szCs w:val="24"/>
          <w:lang w:val="en-US"/>
        </w:rPr>
        <w:t xml:space="preserve">, </w:t>
      </w:r>
      <w:r>
        <w:rPr>
          <w:rFonts w:ascii="Calibri" w:hAnsi="Calibri"/>
          <w:sz w:val="24"/>
          <w:szCs w:val="24"/>
          <w:lang w:val="en-US"/>
        </w:rPr>
        <w:t xml:space="preserve">activities of CYP2C8, CYP2C9, CYP2D6 and CYP3A4 decreased 4-30-fold over the course of two weeks when cryopreserved PHH from the same donor were cultured in 2Dsw configuration. </w:t>
      </w:r>
      <w:r w:rsidRPr="00677855">
        <w:rPr>
          <w:rFonts w:ascii="Calibri" w:hAnsi="Calibri"/>
          <w:sz w:val="24"/>
          <w:szCs w:val="24"/>
          <w:lang w:val="en-US"/>
        </w:rPr>
        <w:t xml:space="preserve">Combined, these data indicate that the choice of culture method substantially affects the metabolic capacity of PHH, which might </w:t>
      </w:r>
      <w:r>
        <w:rPr>
          <w:rFonts w:ascii="Calibri" w:hAnsi="Calibri"/>
          <w:sz w:val="24"/>
          <w:szCs w:val="24"/>
          <w:lang w:val="en-US"/>
        </w:rPr>
        <w:t>translate into</w:t>
      </w:r>
      <w:r w:rsidRPr="00677855">
        <w:rPr>
          <w:rFonts w:ascii="Calibri" w:hAnsi="Calibri"/>
          <w:sz w:val="24"/>
          <w:szCs w:val="24"/>
          <w:lang w:val="en-US"/>
        </w:rPr>
        <w:t xml:space="preserve"> differences in </w:t>
      </w:r>
      <w:r>
        <w:rPr>
          <w:rFonts w:ascii="Calibri" w:hAnsi="Calibri"/>
          <w:sz w:val="24"/>
          <w:szCs w:val="24"/>
          <w:lang w:val="en-US"/>
        </w:rPr>
        <w:t>drug metabolism and susceptibility to DILI</w:t>
      </w:r>
      <w:r w:rsidRPr="00677855">
        <w:rPr>
          <w:rFonts w:ascii="Calibri" w:hAnsi="Calibri"/>
          <w:sz w:val="24"/>
          <w:szCs w:val="24"/>
          <w:lang w:val="en-US"/>
        </w:rPr>
        <w:t>.</w:t>
      </w:r>
    </w:p>
    <w:p w14:paraId="031017BC" w14:textId="77777777" w:rsidR="00E831B6" w:rsidRPr="00677855" w:rsidRDefault="00E831B6" w:rsidP="00017836">
      <w:pPr>
        <w:spacing w:line="480" w:lineRule="auto"/>
        <w:jc w:val="both"/>
        <w:rPr>
          <w:rFonts w:ascii="Calibri" w:hAnsi="Calibri"/>
          <w:b/>
          <w:sz w:val="24"/>
          <w:szCs w:val="24"/>
          <w:lang w:val="en-US"/>
        </w:rPr>
      </w:pPr>
    </w:p>
    <w:p w14:paraId="1B6B4989" w14:textId="77777777" w:rsidR="00E831B6" w:rsidRPr="00D92DEE"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 xml:space="preserve">Differential sensitivity of </w:t>
      </w:r>
      <w:r>
        <w:rPr>
          <w:rFonts w:ascii="Calibri" w:hAnsi="Calibri"/>
          <w:b/>
          <w:sz w:val="24"/>
          <w:szCs w:val="24"/>
          <w:lang w:val="en-US"/>
        </w:rPr>
        <w:t xml:space="preserve">cryopreserved </w:t>
      </w:r>
      <w:r w:rsidRPr="00677855">
        <w:rPr>
          <w:rFonts w:ascii="Calibri" w:hAnsi="Calibri"/>
          <w:b/>
          <w:sz w:val="24"/>
          <w:szCs w:val="24"/>
          <w:lang w:val="en-US"/>
        </w:rPr>
        <w:t xml:space="preserve">PHH cultured in 2Dsw and 3D spheroids to </w:t>
      </w:r>
      <w:r w:rsidRPr="00D92DEE">
        <w:rPr>
          <w:rFonts w:ascii="Calibri" w:hAnsi="Calibri"/>
          <w:b/>
          <w:sz w:val="24"/>
          <w:szCs w:val="24"/>
          <w:lang w:val="en-US"/>
        </w:rPr>
        <w:t xml:space="preserve">chronic exposure </w:t>
      </w:r>
      <w:r>
        <w:rPr>
          <w:rFonts w:ascii="Calibri" w:hAnsi="Calibri"/>
          <w:b/>
          <w:sz w:val="24"/>
          <w:szCs w:val="24"/>
          <w:lang w:val="en-US"/>
        </w:rPr>
        <w:t>with</w:t>
      </w:r>
      <w:r w:rsidRPr="00D92DEE">
        <w:rPr>
          <w:rFonts w:ascii="Calibri" w:hAnsi="Calibri"/>
          <w:b/>
          <w:sz w:val="24"/>
          <w:szCs w:val="24"/>
          <w:lang w:val="en-US"/>
        </w:rPr>
        <w:t xml:space="preserve"> model DILI compounds</w:t>
      </w:r>
    </w:p>
    <w:p w14:paraId="7DF0D620" w14:textId="73B968CC"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We next evaluated the effects of </w:t>
      </w:r>
      <w:r>
        <w:rPr>
          <w:rFonts w:ascii="Calibri" w:hAnsi="Calibri"/>
          <w:sz w:val="24"/>
          <w:szCs w:val="24"/>
          <w:lang w:val="en-US"/>
        </w:rPr>
        <w:t xml:space="preserve">the choice of </w:t>
      </w:r>
      <w:r w:rsidRPr="00677855">
        <w:rPr>
          <w:rFonts w:ascii="Calibri" w:hAnsi="Calibri"/>
          <w:sz w:val="24"/>
          <w:szCs w:val="24"/>
          <w:lang w:val="en-US"/>
        </w:rPr>
        <w:t xml:space="preserve">culture format on the sensitivity of cells to model hepatotoxic compounds in a multi-center study. To allow for an accurate comparison, we first established that </w:t>
      </w:r>
      <w:r>
        <w:rPr>
          <w:rFonts w:ascii="Calibri" w:hAnsi="Calibri"/>
          <w:sz w:val="24"/>
          <w:szCs w:val="24"/>
          <w:lang w:val="en-US"/>
        </w:rPr>
        <w:t xml:space="preserve">cryopreserved </w:t>
      </w:r>
      <w:r w:rsidRPr="00677855">
        <w:rPr>
          <w:rFonts w:ascii="Calibri" w:hAnsi="Calibri"/>
          <w:sz w:val="24"/>
          <w:szCs w:val="24"/>
          <w:lang w:val="en-US"/>
        </w:rPr>
        <w:t>PHH in 2Dsw and 3D spheroid</w:t>
      </w:r>
      <w:r w:rsidRPr="00677855">
        <w:rPr>
          <w:rFonts w:ascii="Calibri" w:hAnsi="Calibri"/>
          <w:b/>
          <w:sz w:val="24"/>
          <w:szCs w:val="24"/>
          <w:lang w:val="en-US"/>
        </w:rPr>
        <w:t xml:space="preserve"> </w:t>
      </w:r>
      <w:r w:rsidRPr="00677855">
        <w:rPr>
          <w:rFonts w:ascii="Calibri" w:hAnsi="Calibri"/>
          <w:sz w:val="24"/>
          <w:szCs w:val="24"/>
          <w:lang w:val="en-US"/>
        </w:rPr>
        <w:t xml:space="preserve">culture formats remained viable throughout the entire 2-week period (Figure </w:t>
      </w:r>
      <w:r w:rsidR="00507A4F">
        <w:rPr>
          <w:rFonts w:ascii="Calibri" w:hAnsi="Calibri"/>
          <w:sz w:val="24"/>
          <w:szCs w:val="24"/>
          <w:lang w:val="en-US"/>
        </w:rPr>
        <w:t>5</w:t>
      </w:r>
      <w:r w:rsidRPr="00677855">
        <w:rPr>
          <w:rFonts w:ascii="Calibri" w:hAnsi="Calibri"/>
          <w:sz w:val="24"/>
          <w:szCs w:val="24"/>
          <w:lang w:val="en-US"/>
        </w:rPr>
        <w:t xml:space="preserve">A). </w:t>
      </w:r>
      <w:r>
        <w:rPr>
          <w:rFonts w:ascii="Calibri" w:hAnsi="Calibri"/>
          <w:sz w:val="24"/>
          <w:szCs w:val="24"/>
          <w:lang w:val="en-US"/>
        </w:rPr>
        <w:t xml:space="preserve">Cryopreserved PHH </w:t>
      </w:r>
      <w:r w:rsidRPr="00677855">
        <w:rPr>
          <w:rFonts w:ascii="Calibri" w:hAnsi="Calibri"/>
          <w:sz w:val="24"/>
          <w:szCs w:val="24"/>
          <w:lang w:val="en-US"/>
        </w:rPr>
        <w:t xml:space="preserve">from each donor, cultured in either 2Dsw or 3D spheroid configuration, were then treated with hepatotoxins that exert their toxicity through different mechanisms for </w:t>
      </w:r>
      <w:r>
        <w:rPr>
          <w:rFonts w:ascii="Calibri" w:hAnsi="Calibri"/>
          <w:sz w:val="24"/>
          <w:szCs w:val="24"/>
          <w:lang w:val="en-US"/>
        </w:rPr>
        <w:t>72 hours</w:t>
      </w:r>
      <w:r w:rsidRPr="00677855">
        <w:rPr>
          <w:rFonts w:ascii="Calibri" w:hAnsi="Calibri"/>
          <w:sz w:val="24"/>
          <w:szCs w:val="24"/>
          <w:lang w:val="en-US"/>
        </w:rPr>
        <w:t xml:space="preserve"> (single treatment), 7 days (three treatments) and 14 days (six treatments). Specifically, we chose i) acetaminophen (APAP), as a model compound for toxicity via reactive metabolites</w:t>
      </w:r>
      <w:r>
        <w:rPr>
          <w:rFonts w:ascii="Calibri" w:hAnsi="Calibri"/>
          <w:sz w:val="24"/>
          <w:szCs w:val="24"/>
          <w:lang w:val="en-US"/>
        </w:rPr>
        <w:t xml:space="preserve"> (Figure </w:t>
      </w:r>
      <w:r w:rsidR="00507A4F">
        <w:rPr>
          <w:rFonts w:ascii="Calibri" w:hAnsi="Calibri"/>
          <w:sz w:val="24"/>
          <w:szCs w:val="24"/>
          <w:lang w:val="en-US"/>
        </w:rPr>
        <w:lastRenderedPageBreak/>
        <w:t>5</w:t>
      </w:r>
      <w:r>
        <w:rPr>
          <w:rFonts w:ascii="Calibri" w:hAnsi="Calibri"/>
          <w:sz w:val="24"/>
          <w:szCs w:val="24"/>
          <w:lang w:val="en-US"/>
        </w:rPr>
        <w:t>B)</w:t>
      </w:r>
      <w:r w:rsidRPr="00677855">
        <w:rPr>
          <w:rFonts w:ascii="Calibri" w:hAnsi="Calibri"/>
          <w:sz w:val="24"/>
          <w:szCs w:val="24"/>
          <w:lang w:val="en-US"/>
        </w:rPr>
        <w:t>, ii) the bile salt export pump (BSEP) inhibitor bosentan</w:t>
      </w:r>
      <w:r>
        <w:rPr>
          <w:rFonts w:ascii="Calibri" w:hAnsi="Calibri"/>
          <w:sz w:val="24"/>
          <w:szCs w:val="24"/>
          <w:lang w:val="en-US"/>
        </w:rPr>
        <w:t xml:space="preserve"> (Figure </w:t>
      </w:r>
      <w:r w:rsidR="00507A4F">
        <w:rPr>
          <w:rFonts w:ascii="Calibri" w:hAnsi="Calibri"/>
          <w:sz w:val="24"/>
          <w:szCs w:val="24"/>
          <w:lang w:val="en-US"/>
        </w:rPr>
        <w:t>5</w:t>
      </w:r>
      <w:r>
        <w:rPr>
          <w:rFonts w:ascii="Calibri" w:hAnsi="Calibri"/>
          <w:sz w:val="24"/>
          <w:szCs w:val="24"/>
          <w:lang w:val="en-US"/>
        </w:rPr>
        <w:t>C)</w:t>
      </w:r>
      <w:r w:rsidRPr="00677855">
        <w:rPr>
          <w:rFonts w:ascii="Calibri" w:hAnsi="Calibri"/>
          <w:sz w:val="24"/>
          <w:szCs w:val="24"/>
          <w:lang w:val="en-US"/>
        </w:rPr>
        <w:t xml:space="preserve">, iii) diclofenac, as an inhibitor of mitochondrial ATP synthesis </w:t>
      </w:r>
      <w:r>
        <w:rPr>
          <w:rFonts w:ascii="Calibri" w:hAnsi="Calibri"/>
          <w:sz w:val="24"/>
          <w:szCs w:val="24"/>
          <w:lang w:val="en-US"/>
        </w:rPr>
        <w:t xml:space="preserve">(Figure </w:t>
      </w:r>
      <w:r w:rsidR="00507A4F">
        <w:rPr>
          <w:rFonts w:ascii="Calibri" w:hAnsi="Calibri"/>
          <w:sz w:val="24"/>
          <w:szCs w:val="24"/>
          <w:lang w:val="en-US"/>
        </w:rPr>
        <w:t>5</w:t>
      </w:r>
      <w:r>
        <w:rPr>
          <w:rFonts w:ascii="Calibri" w:hAnsi="Calibri"/>
          <w:sz w:val="24"/>
          <w:szCs w:val="24"/>
          <w:lang w:val="en-US"/>
        </w:rPr>
        <w:t xml:space="preserve">D), </w:t>
      </w:r>
      <w:r w:rsidRPr="00677855">
        <w:rPr>
          <w:rFonts w:ascii="Calibri" w:hAnsi="Calibri"/>
          <w:sz w:val="24"/>
          <w:szCs w:val="24"/>
          <w:lang w:val="en-US"/>
        </w:rPr>
        <w:t>iv) fialuridine, which causes depletion of mitochondrial DNA</w:t>
      </w:r>
      <w:r>
        <w:rPr>
          <w:rFonts w:ascii="Calibri" w:hAnsi="Calibri"/>
          <w:sz w:val="24"/>
          <w:szCs w:val="24"/>
          <w:lang w:val="en-US"/>
        </w:rPr>
        <w:t xml:space="preserve"> (Figure </w:t>
      </w:r>
      <w:r w:rsidR="00507A4F">
        <w:rPr>
          <w:rFonts w:ascii="Calibri" w:hAnsi="Calibri"/>
          <w:sz w:val="24"/>
          <w:szCs w:val="24"/>
          <w:lang w:val="en-US"/>
        </w:rPr>
        <w:t>5</w:t>
      </w:r>
      <w:r>
        <w:rPr>
          <w:rFonts w:ascii="Calibri" w:hAnsi="Calibri"/>
          <w:sz w:val="24"/>
          <w:szCs w:val="24"/>
          <w:lang w:val="en-US"/>
        </w:rPr>
        <w:t xml:space="preserve">E) and v) troglitazone, that inhibits β-oxidation by blocking long-chain acyl-CoA synthase (ACSL; Figure </w:t>
      </w:r>
      <w:r w:rsidR="00507A4F">
        <w:rPr>
          <w:rFonts w:ascii="Calibri" w:hAnsi="Calibri"/>
          <w:sz w:val="24"/>
          <w:szCs w:val="24"/>
          <w:lang w:val="en-US"/>
        </w:rPr>
        <w:t>5</w:t>
      </w:r>
      <w:r>
        <w:rPr>
          <w:rFonts w:ascii="Calibri" w:hAnsi="Calibri"/>
          <w:sz w:val="24"/>
          <w:szCs w:val="24"/>
          <w:lang w:val="en-US"/>
        </w:rPr>
        <w:t xml:space="preserve">F) </w:t>
      </w:r>
      <w:r>
        <w:rPr>
          <w:rFonts w:ascii="Calibri" w:hAnsi="Calibri"/>
          <w:noProof/>
          <w:sz w:val="24"/>
          <w:szCs w:val="24"/>
          <w:lang w:val="en-US"/>
        </w:rPr>
        <w:t>(Lauschke and Ingelman-Sundberg, 2016)</w:t>
      </w:r>
      <w:r>
        <w:rPr>
          <w:rFonts w:ascii="Calibri" w:hAnsi="Calibri"/>
          <w:sz w:val="24"/>
          <w:szCs w:val="24"/>
          <w:lang w:val="en-US"/>
        </w:rPr>
        <w:t xml:space="preserve">. </w:t>
      </w:r>
      <w:r w:rsidRPr="00677855">
        <w:rPr>
          <w:rFonts w:ascii="Calibri" w:hAnsi="Calibri"/>
          <w:sz w:val="24"/>
          <w:szCs w:val="24"/>
          <w:lang w:val="en-US"/>
        </w:rPr>
        <w:t xml:space="preserve">PHH in </w:t>
      </w:r>
      <w:r>
        <w:rPr>
          <w:rFonts w:ascii="Calibri" w:hAnsi="Calibri"/>
          <w:sz w:val="24"/>
          <w:szCs w:val="24"/>
          <w:lang w:val="en-US"/>
        </w:rPr>
        <w:t xml:space="preserve">3D </w:t>
      </w:r>
      <w:r w:rsidRPr="00677855">
        <w:rPr>
          <w:rFonts w:ascii="Calibri" w:hAnsi="Calibri"/>
          <w:sz w:val="24"/>
          <w:szCs w:val="24"/>
          <w:lang w:val="en-US"/>
        </w:rPr>
        <w:t xml:space="preserve">spheroid cultures were </w:t>
      </w:r>
      <w:r>
        <w:rPr>
          <w:rFonts w:ascii="Calibri" w:hAnsi="Calibri"/>
          <w:sz w:val="24"/>
          <w:szCs w:val="24"/>
          <w:lang w:val="en-US"/>
        </w:rPr>
        <w:t xml:space="preserve">overall </w:t>
      </w:r>
      <w:r w:rsidRPr="00677855">
        <w:rPr>
          <w:rFonts w:ascii="Calibri" w:hAnsi="Calibri"/>
          <w:sz w:val="24"/>
          <w:szCs w:val="24"/>
          <w:lang w:val="en-US"/>
        </w:rPr>
        <w:t xml:space="preserve">more sensitive and detected toxicity of </w:t>
      </w:r>
      <w:r>
        <w:rPr>
          <w:rFonts w:ascii="Calibri" w:hAnsi="Calibri"/>
          <w:sz w:val="24"/>
          <w:szCs w:val="24"/>
          <w:lang w:val="en-US"/>
        </w:rPr>
        <w:t>all five hepatotoxins</w:t>
      </w:r>
      <w:r w:rsidRPr="00677855">
        <w:rPr>
          <w:rFonts w:ascii="Calibri" w:hAnsi="Calibri"/>
          <w:sz w:val="24"/>
          <w:szCs w:val="24"/>
          <w:lang w:val="en-US"/>
        </w:rPr>
        <w:t xml:space="preserve"> at clinically relevant concentrations (&lt;10x therapeutic exposure levels) after repeated exposures</w:t>
      </w:r>
      <w:r>
        <w:rPr>
          <w:rFonts w:ascii="Calibri" w:hAnsi="Calibri"/>
          <w:sz w:val="24"/>
          <w:szCs w:val="24"/>
          <w:lang w:val="en-US"/>
        </w:rPr>
        <w:t xml:space="preserve">. In contrast, cryopreserved PHH in 2Dsw configuration exhibited substantially lower </w:t>
      </w:r>
      <w:r w:rsidRPr="00677855">
        <w:rPr>
          <w:rFonts w:ascii="Calibri" w:hAnsi="Calibri"/>
          <w:sz w:val="24"/>
          <w:szCs w:val="24"/>
          <w:lang w:val="en-US"/>
        </w:rPr>
        <w:t>sensitivities</w:t>
      </w:r>
      <w:r>
        <w:rPr>
          <w:rFonts w:ascii="Calibri" w:hAnsi="Calibri"/>
          <w:sz w:val="24"/>
          <w:szCs w:val="24"/>
          <w:lang w:val="en-US"/>
        </w:rPr>
        <w:t xml:space="preserve"> to APAP, diclofenac, fialuridine and troglitazone after long-term exposure when using</w:t>
      </w:r>
      <w:r w:rsidRPr="004A789B">
        <w:rPr>
          <w:rFonts w:ascii="Calibri" w:hAnsi="Calibri"/>
          <w:sz w:val="24"/>
          <w:szCs w:val="24"/>
          <w:lang w:val="en-US"/>
        </w:rPr>
        <w:t xml:space="preserve"> the chosen treatment regimen</w:t>
      </w:r>
      <w:r>
        <w:rPr>
          <w:rFonts w:ascii="Calibri" w:hAnsi="Calibri"/>
          <w:sz w:val="24"/>
          <w:szCs w:val="24"/>
          <w:lang w:val="en-US"/>
        </w:rPr>
        <w:t>. Thus,</w:t>
      </w:r>
      <w:r w:rsidRPr="009E160B">
        <w:rPr>
          <w:rFonts w:ascii="Calibri" w:hAnsi="Calibri"/>
          <w:sz w:val="24"/>
          <w:szCs w:val="24"/>
          <w:lang w:val="en-US"/>
        </w:rPr>
        <w:t xml:space="preserve"> EC</w:t>
      </w:r>
      <w:r w:rsidRPr="009E160B">
        <w:rPr>
          <w:rFonts w:ascii="Calibri" w:hAnsi="Calibri"/>
          <w:sz w:val="24"/>
          <w:szCs w:val="24"/>
          <w:vertAlign w:val="subscript"/>
          <w:lang w:val="en-US"/>
        </w:rPr>
        <w:t>50</w:t>
      </w:r>
      <w:r w:rsidRPr="009E160B">
        <w:rPr>
          <w:rFonts w:ascii="Calibri" w:hAnsi="Calibri"/>
          <w:sz w:val="24"/>
          <w:szCs w:val="24"/>
          <w:lang w:val="en-US"/>
        </w:rPr>
        <w:t xml:space="preserve"> </w:t>
      </w:r>
      <w:r>
        <w:rPr>
          <w:rFonts w:ascii="Calibri" w:hAnsi="Calibri"/>
          <w:sz w:val="24"/>
          <w:szCs w:val="24"/>
          <w:lang w:val="en-US"/>
        </w:rPr>
        <w:t xml:space="preserve">values </w:t>
      </w:r>
      <w:r w:rsidRPr="009E160B">
        <w:rPr>
          <w:rFonts w:ascii="Calibri" w:hAnsi="Calibri"/>
          <w:sz w:val="24"/>
          <w:szCs w:val="24"/>
          <w:lang w:val="en-US"/>
        </w:rPr>
        <w:t>could not be attained in any of the cryopreserved PHH donors in 2Dsw culture with diclofenac and fialuridine.</w:t>
      </w:r>
      <w:r>
        <w:rPr>
          <w:rFonts w:ascii="Calibri" w:hAnsi="Calibri"/>
          <w:sz w:val="24"/>
          <w:szCs w:val="24"/>
          <w:lang w:val="en-US"/>
        </w:rPr>
        <w:t xml:space="preserve"> The sensitivity of PHH in 2Dsw culture towards </w:t>
      </w:r>
      <w:r w:rsidRPr="00677855">
        <w:rPr>
          <w:rFonts w:ascii="Calibri" w:hAnsi="Calibri"/>
          <w:sz w:val="24"/>
          <w:szCs w:val="24"/>
          <w:lang w:val="en-US"/>
        </w:rPr>
        <w:t xml:space="preserve">the cholestatic agent bosentan </w:t>
      </w:r>
      <w:r>
        <w:rPr>
          <w:rFonts w:ascii="Calibri" w:hAnsi="Calibri"/>
          <w:sz w:val="24"/>
          <w:szCs w:val="24"/>
          <w:lang w:val="en-US"/>
        </w:rPr>
        <w:t>was however higher as compared to 3D spheroids after 7 days, whereas at 14 days an equal sensitivity was registered for the two systems.</w:t>
      </w:r>
    </w:p>
    <w:p w14:paraId="1B5373CD" w14:textId="77777777" w:rsidR="00E831B6" w:rsidRPr="00677855" w:rsidRDefault="00E831B6" w:rsidP="00017836">
      <w:pPr>
        <w:spacing w:line="480" w:lineRule="auto"/>
        <w:jc w:val="both"/>
        <w:rPr>
          <w:rFonts w:ascii="Calibri" w:hAnsi="Calibri"/>
          <w:sz w:val="24"/>
          <w:szCs w:val="24"/>
          <w:lang w:val="en-US"/>
        </w:rPr>
      </w:pPr>
    </w:p>
    <w:p w14:paraId="6B8E41C8" w14:textId="77777777" w:rsidR="00E831B6" w:rsidRPr="00D92DEE" w:rsidRDefault="00E831B6" w:rsidP="00017836">
      <w:pPr>
        <w:spacing w:line="480" w:lineRule="auto"/>
        <w:jc w:val="both"/>
        <w:rPr>
          <w:rFonts w:ascii="Calibri" w:hAnsi="Calibri"/>
          <w:b/>
          <w:sz w:val="24"/>
          <w:szCs w:val="24"/>
          <w:lang w:val="en-US"/>
        </w:rPr>
      </w:pPr>
      <w:r w:rsidRPr="00D92DEE">
        <w:rPr>
          <w:rFonts w:ascii="Calibri" w:hAnsi="Calibri"/>
          <w:b/>
          <w:sz w:val="24"/>
          <w:szCs w:val="24"/>
          <w:lang w:val="en-US"/>
        </w:rPr>
        <w:t>C</w:t>
      </w:r>
      <w:r>
        <w:rPr>
          <w:rFonts w:ascii="Calibri" w:hAnsi="Calibri"/>
          <w:b/>
          <w:sz w:val="24"/>
          <w:szCs w:val="24"/>
          <w:lang w:val="en-US"/>
        </w:rPr>
        <w:t>ryopres</w:t>
      </w:r>
      <w:r w:rsidRPr="00D92DEE">
        <w:rPr>
          <w:rFonts w:ascii="Calibri" w:hAnsi="Calibri"/>
          <w:b/>
          <w:sz w:val="24"/>
          <w:szCs w:val="24"/>
          <w:lang w:val="en-US"/>
        </w:rPr>
        <w:t>e</w:t>
      </w:r>
      <w:r>
        <w:rPr>
          <w:rFonts w:ascii="Calibri" w:hAnsi="Calibri"/>
          <w:b/>
          <w:sz w:val="24"/>
          <w:szCs w:val="24"/>
          <w:lang w:val="en-US"/>
        </w:rPr>
        <w:t>r</w:t>
      </w:r>
      <w:r w:rsidRPr="00D92DEE">
        <w:rPr>
          <w:rFonts w:ascii="Calibri" w:hAnsi="Calibri"/>
          <w:b/>
          <w:sz w:val="24"/>
          <w:szCs w:val="24"/>
          <w:lang w:val="en-US"/>
        </w:rPr>
        <w:t xml:space="preserve">ved PHH spheroids better discriminate between toxicity of troglitazone and its </w:t>
      </w:r>
      <w:r>
        <w:rPr>
          <w:rFonts w:ascii="Calibri" w:hAnsi="Calibri"/>
          <w:b/>
          <w:sz w:val="24"/>
          <w:szCs w:val="24"/>
          <w:lang w:val="en-US"/>
        </w:rPr>
        <w:t xml:space="preserve">less </w:t>
      </w:r>
      <w:r w:rsidRPr="00D92DEE">
        <w:rPr>
          <w:rFonts w:ascii="Calibri" w:hAnsi="Calibri"/>
          <w:b/>
          <w:sz w:val="24"/>
          <w:szCs w:val="24"/>
          <w:lang w:val="en-US"/>
        </w:rPr>
        <w:t xml:space="preserve">toxic analogue pioglitazone </w:t>
      </w:r>
    </w:p>
    <w:p w14:paraId="4B7E8C58" w14:textId="38766BD9"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We evaluated the specificity of the model systems by comparing the toxicity of the hepatotoxic thiazolidinedione troglitazone to its </w:t>
      </w:r>
      <w:r>
        <w:rPr>
          <w:rFonts w:ascii="Calibri" w:hAnsi="Calibri"/>
          <w:sz w:val="24"/>
          <w:szCs w:val="24"/>
          <w:lang w:val="en-US"/>
        </w:rPr>
        <w:t xml:space="preserve">less </w:t>
      </w:r>
      <w:r w:rsidRPr="00677855">
        <w:rPr>
          <w:rFonts w:ascii="Calibri" w:hAnsi="Calibri"/>
          <w:sz w:val="24"/>
          <w:szCs w:val="24"/>
          <w:lang w:val="en-US"/>
        </w:rPr>
        <w:t xml:space="preserve">toxic structural analogue pioglitazone, whose exposure levels </w:t>
      </w:r>
      <w:r w:rsidRPr="00677855">
        <w:rPr>
          <w:rFonts w:ascii="Calibri" w:hAnsi="Calibri"/>
          <w:i/>
          <w:sz w:val="24"/>
          <w:szCs w:val="24"/>
          <w:lang w:val="en-US"/>
        </w:rPr>
        <w:t>in vivo</w:t>
      </w:r>
      <w:r w:rsidRPr="00677855">
        <w:rPr>
          <w:rFonts w:ascii="Calibri" w:hAnsi="Calibri"/>
          <w:sz w:val="24"/>
          <w:szCs w:val="24"/>
          <w:lang w:val="en-US"/>
        </w:rPr>
        <w:t xml:space="preserve"> are very similar (troglitazone = </w:t>
      </w:r>
      <w:r>
        <w:rPr>
          <w:rFonts w:ascii="Calibri" w:hAnsi="Calibri"/>
          <w:sz w:val="24"/>
          <w:szCs w:val="24"/>
          <w:lang w:val="en-US"/>
        </w:rPr>
        <w:t xml:space="preserve">3.6 </w:t>
      </w:r>
      <w:r w:rsidRPr="00677855">
        <w:rPr>
          <w:rFonts w:ascii="Calibri" w:hAnsi="Calibri"/>
          <w:sz w:val="24"/>
          <w:szCs w:val="24"/>
          <w:lang w:val="en-US"/>
        </w:rPr>
        <w:t>µM</w:t>
      </w:r>
      <w:r>
        <w:rPr>
          <w:rFonts w:ascii="Calibri" w:hAnsi="Calibri"/>
          <w:sz w:val="24"/>
          <w:szCs w:val="24"/>
          <w:lang w:val="en-US"/>
        </w:rPr>
        <w:t xml:space="preserve"> at recommended daily dose of 400 mg;</w:t>
      </w:r>
      <w:r w:rsidRPr="00677855">
        <w:rPr>
          <w:rFonts w:ascii="Calibri" w:hAnsi="Calibri"/>
          <w:sz w:val="24"/>
          <w:szCs w:val="24"/>
          <w:lang w:val="en-US"/>
        </w:rPr>
        <w:t xml:space="preserve"> pioglitazone = 2.</w:t>
      </w:r>
      <w:r>
        <w:rPr>
          <w:rFonts w:ascii="Calibri" w:hAnsi="Calibri"/>
          <w:sz w:val="24"/>
          <w:szCs w:val="24"/>
          <w:lang w:val="en-US"/>
        </w:rPr>
        <w:t xml:space="preserve">9 </w:t>
      </w:r>
      <w:r w:rsidRPr="00677855">
        <w:rPr>
          <w:rFonts w:ascii="Calibri" w:hAnsi="Calibri"/>
          <w:sz w:val="24"/>
          <w:szCs w:val="24"/>
          <w:lang w:val="en-US"/>
        </w:rPr>
        <w:t>µM</w:t>
      </w:r>
      <w:r>
        <w:rPr>
          <w:rFonts w:ascii="Calibri" w:hAnsi="Calibri"/>
          <w:sz w:val="24"/>
          <w:szCs w:val="24"/>
          <w:lang w:val="en-US"/>
        </w:rPr>
        <w:t xml:space="preserve"> at recommended daily dose of 30 mg; </w:t>
      </w:r>
      <w:r>
        <w:rPr>
          <w:rFonts w:ascii="Calibri" w:hAnsi="Calibri"/>
          <w:noProof/>
          <w:sz w:val="24"/>
          <w:szCs w:val="24"/>
          <w:lang w:val="en-US"/>
        </w:rPr>
        <w:t>(Loi</w:t>
      </w:r>
      <w:r w:rsidRPr="007D68DF">
        <w:rPr>
          <w:rFonts w:ascii="Calibri" w:hAnsi="Calibri"/>
          <w:i/>
          <w:noProof/>
          <w:sz w:val="24"/>
          <w:szCs w:val="24"/>
          <w:lang w:val="en-US"/>
        </w:rPr>
        <w:t xml:space="preserve"> et al.</w:t>
      </w:r>
      <w:r>
        <w:rPr>
          <w:rFonts w:ascii="Calibri" w:hAnsi="Calibri"/>
          <w:noProof/>
          <w:sz w:val="24"/>
          <w:szCs w:val="24"/>
          <w:lang w:val="en-US"/>
        </w:rPr>
        <w:t>, 1999;  Wong</w:t>
      </w:r>
      <w:r w:rsidRPr="007D68DF">
        <w:rPr>
          <w:rFonts w:ascii="Calibri" w:hAnsi="Calibri"/>
          <w:i/>
          <w:noProof/>
          <w:sz w:val="24"/>
          <w:szCs w:val="24"/>
          <w:lang w:val="en-US"/>
        </w:rPr>
        <w:t xml:space="preserve"> et al.</w:t>
      </w:r>
      <w:r>
        <w:rPr>
          <w:rFonts w:ascii="Calibri" w:hAnsi="Calibri"/>
          <w:noProof/>
          <w:sz w:val="24"/>
          <w:szCs w:val="24"/>
          <w:lang w:val="en-US"/>
        </w:rPr>
        <w:t>, 2004)</w:t>
      </w:r>
      <w:r w:rsidRPr="00677855">
        <w:rPr>
          <w:rFonts w:ascii="Calibri" w:hAnsi="Calibri"/>
          <w:sz w:val="24"/>
          <w:szCs w:val="24"/>
          <w:lang w:val="en-US"/>
        </w:rPr>
        <w:t xml:space="preserve">). </w:t>
      </w:r>
      <w:r>
        <w:rPr>
          <w:rFonts w:ascii="Calibri" w:hAnsi="Calibri"/>
          <w:sz w:val="24"/>
          <w:szCs w:val="24"/>
          <w:lang w:val="en-US"/>
        </w:rPr>
        <w:t>The t</w:t>
      </w:r>
      <w:r w:rsidRPr="00677855">
        <w:rPr>
          <w:rFonts w:ascii="Calibri" w:hAnsi="Calibri"/>
          <w:sz w:val="24"/>
          <w:szCs w:val="24"/>
          <w:lang w:val="en-US"/>
        </w:rPr>
        <w:t>oxicity of troglitazone was successfully identified in 3D spheroids at relevant concentrations already after 72</w:t>
      </w:r>
      <w:r>
        <w:rPr>
          <w:rFonts w:ascii="Calibri" w:hAnsi="Calibri"/>
          <w:sz w:val="24"/>
          <w:szCs w:val="24"/>
          <w:lang w:val="en-US"/>
        </w:rPr>
        <w:t xml:space="preserve"> hours</w:t>
      </w:r>
      <w:r w:rsidRPr="00677855">
        <w:rPr>
          <w:rFonts w:ascii="Calibri" w:hAnsi="Calibri"/>
          <w:sz w:val="24"/>
          <w:szCs w:val="24"/>
          <w:lang w:val="en-US"/>
        </w:rPr>
        <w:t xml:space="preserve"> by al</w:t>
      </w:r>
      <w:r>
        <w:rPr>
          <w:rFonts w:ascii="Calibri" w:hAnsi="Calibri"/>
          <w:sz w:val="24"/>
          <w:szCs w:val="24"/>
          <w:lang w:val="en-US"/>
        </w:rPr>
        <w:t xml:space="preserve">l three donors tested (Figure </w:t>
      </w:r>
      <w:r w:rsidR="00507A4F">
        <w:rPr>
          <w:rFonts w:ascii="Calibri" w:hAnsi="Calibri"/>
          <w:sz w:val="24"/>
          <w:szCs w:val="24"/>
          <w:lang w:val="en-US"/>
        </w:rPr>
        <w:t>5</w:t>
      </w:r>
      <w:r w:rsidRPr="00B514E7">
        <w:rPr>
          <w:rFonts w:ascii="Calibri" w:hAnsi="Calibri"/>
          <w:sz w:val="24"/>
          <w:szCs w:val="24"/>
          <w:lang w:val="en-US"/>
        </w:rPr>
        <w:t>F</w:t>
      </w:r>
      <w:r w:rsidRPr="00677855">
        <w:rPr>
          <w:rFonts w:ascii="Calibri" w:hAnsi="Calibri"/>
          <w:sz w:val="24"/>
          <w:szCs w:val="24"/>
          <w:lang w:val="en-US"/>
        </w:rPr>
        <w:t>)</w:t>
      </w:r>
      <w:r>
        <w:rPr>
          <w:rFonts w:ascii="Calibri" w:hAnsi="Calibri"/>
          <w:sz w:val="24"/>
          <w:szCs w:val="24"/>
          <w:lang w:val="en-US"/>
        </w:rPr>
        <w:t xml:space="preserve">, whereas in the </w:t>
      </w:r>
      <w:r w:rsidRPr="00677855">
        <w:rPr>
          <w:rFonts w:ascii="Calibri" w:hAnsi="Calibri"/>
          <w:sz w:val="24"/>
          <w:szCs w:val="24"/>
          <w:lang w:val="en-US"/>
        </w:rPr>
        <w:t xml:space="preserve">2Dsw culture only one of the three donors indicated troglitazone toxicity. Pioglitazone </w:t>
      </w:r>
      <w:r w:rsidRPr="00677855">
        <w:rPr>
          <w:rFonts w:ascii="Calibri" w:hAnsi="Calibri"/>
          <w:sz w:val="24"/>
          <w:szCs w:val="24"/>
          <w:lang w:val="en-US"/>
        </w:rPr>
        <w:lastRenderedPageBreak/>
        <w:t xml:space="preserve">was non-toxic </w:t>
      </w:r>
      <w:r>
        <w:rPr>
          <w:rFonts w:ascii="Calibri" w:hAnsi="Calibri"/>
          <w:sz w:val="24"/>
          <w:szCs w:val="24"/>
          <w:lang w:val="en-US"/>
        </w:rPr>
        <w:t>in</w:t>
      </w:r>
      <w:r w:rsidRPr="00677855">
        <w:rPr>
          <w:rFonts w:ascii="Calibri" w:hAnsi="Calibri"/>
          <w:sz w:val="24"/>
          <w:szCs w:val="24"/>
          <w:lang w:val="en-US"/>
        </w:rPr>
        <w:t xml:space="preserve"> both </w:t>
      </w:r>
      <w:r>
        <w:rPr>
          <w:rFonts w:ascii="Calibri" w:hAnsi="Calibri"/>
          <w:sz w:val="24"/>
          <w:szCs w:val="24"/>
          <w:lang w:val="en-US"/>
        </w:rPr>
        <w:t xml:space="preserve">3D </w:t>
      </w:r>
      <w:r w:rsidRPr="00677855">
        <w:rPr>
          <w:rFonts w:ascii="Calibri" w:hAnsi="Calibri"/>
          <w:sz w:val="24"/>
          <w:szCs w:val="24"/>
          <w:lang w:val="en-US"/>
        </w:rPr>
        <w:t>spheroid and 2Dsw cultures</w:t>
      </w:r>
      <w:r>
        <w:rPr>
          <w:rFonts w:ascii="Calibri" w:hAnsi="Calibri"/>
          <w:sz w:val="24"/>
          <w:szCs w:val="24"/>
          <w:lang w:val="en-US"/>
        </w:rPr>
        <w:t xml:space="preserve"> (Figure </w:t>
      </w:r>
      <w:r w:rsidR="00507A4F">
        <w:rPr>
          <w:rFonts w:ascii="Calibri" w:hAnsi="Calibri"/>
          <w:sz w:val="24"/>
          <w:szCs w:val="24"/>
          <w:lang w:val="en-US"/>
        </w:rPr>
        <w:t>5</w:t>
      </w:r>
      <w:r>
        <w:rPr>
          <w:rFonts w:ascii="Calibri" w:hAnsi="Calibri"/>
          <w:sz w:val="24"/>
          <w:szCs w:val="24"/>
          <w:lang w:val="en-US"/>
        </w:rPr>
        <w:t>G)</w:t>
      </w:r>
      <w:r w:rsidRPr="00677855">
        <w:rPr>
          <w:rFonts w:ascii="Calibri" w:hAnsi="Calibri"/>
          <w:sz w:val="24"/>
          <w:szCs w:val="24"/>
          <w:lang w:val="en-US"/>
        </w:rPr>
        <w:t>. Furthermore, the ratio between concentrations at which toxicity of pioglitazone and troglitazone is observed, is significantly higher in 3D culture compared to 2Dsw</w:t>
      </w:r>
      <w:r>
        <w:rPr>
          <w:rFonts w:ascii="Calibri" w:hAnsi="Calibri"/>
          <w:sz w:val="24"/>
          <w:szCs w:val="24"/>
          <w:lang w:val="en-US"/>
        </w:rPr>
        <w:t xml:space="preserve"> (p&lt;0.001)</w:t>
      </w:r>
      <w:r w:rsidRPr="00677855">
        <w:rPr>
          <w:rFonts w:ascii="Calibri" w:hAnsi="Calibri"/>
          <w:sz w:val="24"/>
          <w:szCs w:val="24"/>
          <w:lang w:val="en-US"/>
        </w:rPr>
        <w:t>, indicative of elevated specificity of PHH in spheroid configuration (</w:t>
      </w:r>
      <w:r>
        <w:rPr>
          <w:rFonts w:ascii="Calibri" w:hAnsi="Calibri"/>
          <w:sz w:val="24"/>
          <w:szCs w:val="24"/>
          <w:lang w:val="en-US"/>
        </w:rPr>
        <w:t xml:space="preserve">Supplementary Figure </w:t>
      </w:r>
      <w:r w:rsidR="002A3DB6">
        <w:rPr>
          <w:rFonts w:ascii="Calibri" w:hAnsi="Calibri"/>
          <w:sz w:val="24"/>
          <w:szCs w:val="24"/>
          <w:lang w:val="en-US"/>
        </w:rPr>
        <w:t>2</w:t>
      </w:r>
      <w:r w:rsidRPr="00677855">
        <w:rPr>
          <w:rFonts w:ascii="Calibri" w:hAnsi="Calibri"/>
          <w:sz w:val="24"/>
          <w:szCs w:val="24"/>
          <w:lang w:val="en-US"/>
        </w:rPr>
        <w:t xml:space="preserve">). </w:t>
      </w:r>
    </w:p>
    <w:p w14:paraId="50DADB04" w14:textId="77777777" w:rsidR="00E831B6" w:rsidRPr="00677855" w:rsidRDefault="00E831B6" w:rsidP="00017836">
      <w:pPr>
        <w:spacing w:line="480" w:lineRule="auto"/>
        <w:jc w:val="both"/>
        <w:rPr>
          <w:rFonts w:ascii="Calibri" w:hAnsi="Calibri"/>
          <w:b/>
          <w:sz w:val="24"/>
          <w:szCs w:val="24"/>
          <w:lang w:val="en-US"/>
        </w:rPr>
      </w:pPr>
    </w:p>
    <w:p w14:paraId="77111A7E"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Robustness of 2Dsw and 3D spheroid culture assays</w:t>
      </w:r>
    </w:p>
    <w:p w14:paraId="66323F25" w14:textId="4C021301" w:rsidR="00E831B6" w:rsidRPr="006A681D" w:rsidRDefault="00E831B6" w:rsidP="00017836">
      <w:pPr>
        <w:spacing w:line="480" w:lineRule="auto"/>
        <w:jc w:val="both"/>
        <w:rPr>
          <w:rFonts w:ascii="Calibri" w:hAnsi="Calibri"/>
          <w:sz w:val="24"/>
          <w:szCs w:val="24"/>
          <w:lang w:val="en-US"/>
        </w:rPr>
      </w:pPr>
      <w:r w:rsidRPr="006A681D">
        <w:rPr>
          <w:rFonts w:ascii="Calibri" w:hAnsi="Calibri"/>
          <w:sz w:val="24"/>
          <w:szCs w:val="24"/>
          <w:lang w:val="en-US"/>
        </w:rPr>
        <w:t xml:space="preserve">Inter-individual differences can impact upon both the efficacy and safety of new medicines and are therefore important to consider already during the early stages of drug development. In particular, genetic polymorphisms in drug metabolizing enzymes can influence both the bioactivation of compounds to chemically reactive metabolites as well as detoxification and clearance of these products. To assess the effects of inter-individual variability we evaluated hepatocytes from three </w:t>
      </w:r>
      <w:r>
        <w:rPr>
          <w:rFonts w:ascii="Calibri" w:hAnsi="Calibri"/>
          <w:sz w:val="24"/>
          <w:szCs w:val="24"/>
          <w:lang w:val="en-US"/>
        </w:rPr>
        <w:t xml:space="preserve">different </w:t>
      </w:r>
      <w:r w:rsidRPr="006A681D">
        <w:rPr>
          <w:rFonts w:ascii="Calibri" w:hAnsi="Calibri"/>
          <w:sz w:val="24"/>
          <w:szCs w:val="24"/>
          <w:lang w:val="en-US"/>
        </w:rPr>
        <w:t>donors in 3D spheroids and 2D</w:t>
      </w:r>
      <w:r>
        <w:rPr>
          <w:rFonts w:ascii="Calibri" w:hAnsi="Calibri"/>
          <w:sz w:val="24"/>
          <w:szCs w:val="24"/>
          <w:lang w:val="en-US"/>
        </w:rPr>
        <w:t xml:space="preserve">sw </w:t>
      </w:r>
      <w:r w:rsidRPr="006A681D">
        <w:rPr>
          <w:rFonts w:ascii="Calibri" w:hAnsi="Calibri"/>
          <w:sz w:val="24"/>
          <w:szCs w:val="24"/>
          <w:lang w:val="en-US"/>
        </w:rPr>
        <w:t xml:space="preserve">cultures (Figure </w:t>
      </w:r>
      <w:r w:rsidR="00507A4F">
        <w:rPr>
          <w:rFonts w:ascii="Calibri" w:hAnsi="Calibri"/>
          <w:sz w:val="24"/>
          <w:szCs w:val="24"/>
          <w:lang w:val="en-US"/>
        </w:rPr>
        <w:t>5</w:t>
      </w:r>
      <w:r w:rsidRPr="006A681D">
        <w:rPr>
          <w:rFonts w:ascii="Calibri" w:hAnsi="Calibri"/>
          <w:sz w:val="24"/>
          <w:szCs w:val="24"/>
          <w:lang w:val="en-US"/>
        </w:rPr>
        <w:t>B-G). We observed that the variability in sensitivity between the donors evaluated in this study were overall minor and outweighed by differences due to the choice of culture</w:t>
      </w:r>
      <w:r>
        <w:rPr>
          <w:rFonts w:ascii="Calibri" w:hAnsi="Calibri"/>
          <w:sz w:val="24"/>
          <w:szCs w:val="24"/>
          <w:lang w:val="en-US"/>
        </w:rPr>
        <w:t xml:space="preserve"> method</w:t>
      </w:r>
      <w:r w:rsidRPr="006A681D">
        <w:rPr>
          <w:rFonts w:ascii="Calibri" w:hAnsi="Calibri"/>
          <w:sz w:val="24"/>
          <w:szCs w:val="24"/>
          <w:lang w:val="en-US"/>
        </w:rPr>
        <w:t xml:space="preserve">. </w:t>
      </w:r>
      <w:r>
        <w:rPr>
          <w:rFonts w:ascii="Calibri" w:hAnsi="Calibri"/>
          <w:sz w:val="24"/>
          <w:szCs w:val="24"/>
          <w:lang w:val="en-US"/>
        </w:rPr>
        <w:t>Notably</w:t>
      </w:r>
      <w:r w:rsidRPr="006A681D">
        <w:rPr>
          <w:rFonts w:ascii="Calibri" w:hAnsi="Calibri"/>
          <w:sz w:val="24"/>
          <w:szCs w:val="24"/>
          <w:lang w:val="en-US"/>
        </w:rPr>
        <w:t xml:space="preserve">, one donor </w:t>
      </w:r>
      <w:r>
        <w:rPr>
          <w:rFonts w:ascii="Calibri" w:hAnsi="Calibri"/>
          <w:sz w:val="24"/>
          <w:szCs w:val="24"/>
          <w:lang w:val="en-US"/>
        </w:rPr>
        <w:t xml:space="preserve">(donor 3) </w:t>
      </w:r>
      <w:r w:rsidRPr="006A681D">
        <w:rPr>
          <w:rFonts w:ascii="Calibri" w:hAnsi="Calibri"/>
          <w:sz w:val="24"/>
          <w:szCs w:val="24"/>
          <w:lang w:val="en-US"/>
        </w:rPr>
        <w:t xml:space="preserve">exhibited </w:t>
      </w:r>
      <w:r>
        <w:rPr>
          <w:rFonts w:ascii="Calibri" w:hAnsi="Calibri"/>
          <w:sz w:val="24"/>
          <w:szCs w:val="24"/>
          <w:lang w:val="en-US"/>
        </w:rPr>
        <w:t xml:space="preserve">a higher sensitivity to APAP but a lower sensitivity to bosentan compared to the other donors, suggesting that variability between donors might be compound specific (Figure </w:t>
      </w:r>
      <w:r w:rsidR="00507A4F">
        <w:rPr>
          <w:rFonts w:ascii="Calibri" w:hAnsi="Calibri"/>
          <w:sz w:val="24"/>
          <w:szCs w:val="24"/>
          <w:lang w:val="en-US"/>
        </w:rPr>
        <w:t>5</w:t>
      </w:r>
      <w:r>
        <w:rPr>
          <w:rFonts w:ascii="Calibri" w:hAnsi="Calibri"/>
          <w:sz w:val="24"/>
          <w:szCs w:val="24"/>
          <w:lang w:val="en-US"/>
        </w:rPr>
        <w:t xml:space="preserve">B,C). </w:t>
      </w:r>
    </w:p>
    <w:p w14:paraId="30AD5385" w14:textId="069FE003" w:rsidR="00E831B6" w:rsidRPr="005E6085" w:rsidRDefault="00E831B6" w:rsidP="00017836">
      <w:pPr>
        <w:spacing w:line="480" w:lineRule="auto"/>
        <w:jc w:val="both"/>
        <w:rPr>
          <w:rFonts w:ascii="Calibri" w:hAnsi="Calibri"/>
          <w:sz w:val="24"/>
          <w:szCs w:val="24"/>
          <w:lang w:val="en-US"/>
        </w:rPr>
      </w:pPr>
      <w:r>
        <w:rPr>
          <w:rFonts w:ascii="Calibri" w:hAnsi="Calibri"/>
          <w:sz w:val="24"/>
          <w:szCs w:val="24"/>
          <w:lang w:val="en-US"/>
        </w:rPr>
        <w:t xml:space="preserve">We moreover evaluated the robustness of both culture methods across participating laboratories by comparing EC50 values generated at multiple sites for donor 1. </w:t>
      </w:r>
      <w:r w:rsidRPr="006A681D">
        <w:rPr>
          <w:rFonts w:ascii="Calibri" w:hAnsi="Calibri"/>
          <w:sz w:val="24"/>
          <w:szCs w:val="24"/>
          <w:lang w:val="en-US"/>
        </w:rPr>
        <w:t xml:space="preserve">Most importantly, data that was generated across multiple sites was highly </w:t>
      </w:r>
      <w:r>
        <w:rPr>
          <w:rFonts w:ascii="Calibri" w:hAnsi="Calibri"/>
          <w:sz w:val="24"/>
          <w:szCs w:val="24"/>
          <w:lang w:val="en-US"/>
        </w:rPr>
        <w:t>similar</w:t>
      </w:r>
      <w:r w:rsidRPr="006A681D">
        <w:rPr>
          <w:rFonts w:ascii="Calibri" w:hAnsi="Calibri"/>
          <w:sz w:val="24"/>
          <w:szCs w:val="24"/>
          <w:lang w:val="en-US"/>
        </w:rPr>
        <w:t xml:space="preserve"> for both culture systems, with </w:t>
      </w:r>
      <w:r>
        <w:rPr>
          <w:rFonts w:ascii="Calibri" w:hAnsi="Calibri"/>
          <w:sz w:val="24"/>
          <w:szCs w:val="24"/>
          <w:lang w:val="en-US"/>
        </w:rPr>
        <w:t xml:space="preserve">an </w:t>
      </w:r>
      <w:r w:rsidRPr="009538B4">
        <w:rPr>
          <w:rFonts w:ascii="Calibri" w:hAnsi="Calibri"/>
          <w:sz w:val="24"/>
          <w:szCs w:val="24"/>
          <w:lang w:val="en-US"/>
        </w:rPr>
        <w:t>inter-laboratory</w:t>
      </w:r>
      <w:r>
        <w:rPr>
          <w:rFonts w:ascii="Calibri" w:hAnsi="Calibri"/>
          <w:sz w:val="24"/>
          <w:szCs w:val="24"/>
          <w:lang w:val="en-US"/>
        </w:rPr>
        <w:t xml:space="preserve"> coefficient of variation</w:t>
      </w:r>
      <w:r w:rsidRPr="006A681D">
        <w:rPr>
          <w:rFonts w:ascii="Calibri" w:hAnsi="Calibri"/>
          <w:sz w:val="24"/>
          <w:szCs w:val="24"/>
          <w:lang w:val="en-US"/>
        </w:rPr>
        <w:t xml:space="preserve"> </w:t>
      </w:r>
      <w:r>
        <w:rPr>
          <w:rFonts w:ascii="Calibri" w:hAnsi="Calibri"/>
          <w:sz w:val="24"/>
          <w:szCs w:val="24"/>
          <w:lang w:val="en-US"/>
        </w:rPr>
        <w:t xml:space="preserve">of 31% ± 18% S.D. and 53% </w:t>
      </w:r>
      <w:r w:rsidRPr="009538B4">
        <w:rPr>
          <w:rFonts w:ascii="Calibri" w:hAnsi="Calibri"/>
          <w:sz w:val="24"/>
          <w:szCs w:val="24"/>
          <w:lang w:val="en-US"/>
        </w:rPr>
        <w:t>±</w:t>
      </w:r>
      <w:r>
        <w:rPr>
          <w:rFonts w:ascii="Calibri" w:hAnsi="Calibri"/>
          <w:sz w:val="24"/>
          <w:szCs w:val="24"/>
          <w:lang w:val="en-US"/>
        </w:rPr>
        <w:t xml:space="preserve"> 36% S.D. for</w:t>
      </w:r>
      <w:r w:rsidRPr="006A681D">
        <w:rPr>
          <w:rFonts w:ascii="Calibri" w:hAnsi="Calibri"/>
          <w:sz w:val="24"/>
          <w:szCs w:val="24"/>
          <w:lang w:val="en-US"/>
        </w:rPr>
        <w:t xml:space="preserve"> 2Dsw cultures </w:t>
      </w:r>
      <w:r>
        <w:rPr>
          <w:rFonts w:ascii="Calibri" w:hAnsi="Calibri"/>
          <w:sz w:val="24"/>
          <w:szCs w:val="24"/>
          <w:lang w:val="en-US"/>
        </w:rPr>
        <w:t>and</w:t>
      </w:r>
      <w:r w:rsidRPr="006A681D">
        <w:rPr>
          <w:rFonts w:ascii="Calibri" w:hAnsi="Calibri"/>
          <w:sz w:val="24"/>
          <w:szCs w:val="24"/>
          <w:lang w:val="en-US"/>
        </w:rPr>
        <w:t xml:space="preserve"> 3D spheroids</w:t>
      </w:r>
      <w:r>
        <w:rPr>
          <w:rFonts w:ascii="Calibri" w:hAnsi="Calibri"/>
          <w:sz w:val="24"/>
          <w:szCs w:val="24"/>
          <w:lang w:val="en-US"/>
        </w:rPr>
        <w:t>, respectively</w:t>
      </w:r>
    </w:p>
    <w:p w14:paraId="0469F06F" w14:textId="77777777" w:rsidR="00E831B6" w:rsidRPr="00677855" w:rsidRDefault="00E831B6" w:rsidP="00017836">
      <w:pPr>
        <w:spacing w:line="480" w:lineRule="auto"/>
        <w:jc w:val="both"/>
        <w:rPr>
          <w:rFonts w:ascii="Calibri" w:hAnsi="Calibri"/>
          <w:b/>
          <w:sz w:val="24"/>
          <w:szCs w:val="24"/>
          <w:lang w:val="en-US"/>
        </w:rPr>
      </w:pPr>
    </w:p>
    <w:p w14:paraId="6F398101"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Discussion</w:t>
      </w:r>
    </w:p>
    <w:p w14:paraId="0C16E36D" w14:textId="77777777"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Drug-induced liver injury continues to present a significant challenge for the pharmaceutical industry, with late-stage and post-marketing attritions constituting serious consequences of failure to detect hepatotoxicity pre-clinically. Approximately 18% of compounds withdrawn from the market between 1953 and 2013 were due to hepatotoxicity </w:t>
      </w:r>
      <w:r>
        <w:rPr>
          <w:rFonts w:ascii="Calibri" w:hAnsi="Calibri"/>
          <w:noProof/>
          <w:sz w:val="24"/>
          <w:szCs w:val="24"/>
          <w:lang w:val="en-US"/>
        </w:rPr>
        <w:t>(Onakpoya</w:t>
      </w:r>
      <w:r w:rsidRPr="007D68DF">
        <w:rPr>
          <w:rFonts w:ascii="Calibri" w:hAnsi="Calibri"/>
          <w:i/>
          <w:noProof/>
          <w:sz w:val="24"/>
          <w:szCs w:val="24"/>
          <w:lang w:val="en-US"/>
        </w:rPr>
        <w:t xml:space="preserve"> et al.</w:t>
      </w:r>
      <w:r>
        <w:rPr>
          <w:rFonts w:ascii="Calibri" w:hAnsi="Calibri"/>
          <w:noProof/>
          <w:sz w:val="24"/>
          <w:szCs w:val="24"/>
          <w:lang w:val="en-US"/>
        </w:rPr>
        <w:t>, 2016)</w:t>
      </w:r>
      <w:r w:rsidRPr="00677855">
        <w:rPr>
          <w:rFonts w:ascii="Calibri" w:hAnsi="Calibri"/>
          <w:sz w:val="24"/>
          <w:szCs w:val="24"/>
          <w:lang w:val="en-US"/>
        </w:rPr>
        <w:t xml:space="preserve">, making the liver the most frequent site of ADRs leading to compound failure. </w:t>
      </w:r>
      <w:r w:rsidRPr="00677855">
        <w:rPr>
          <w:rFonts w:ascii="Calibri" w:hAnsi="Calibri"/>
          <w:i/>
          <w:sz w:val="24"/>
          <w:szCs w:val="24"/>
          <w:lang w:val="en-US"/>
        </w:rPr>
        <w:t>In vitro</w:t>
      </w:r>
      <w:r w:rsidRPr="00677855">
        <w:rPr>
          <w:rFonts w:ascii="Calibri" w:hAnsi="Calibri"/>
          <w:sz w:val="24"/>
          <w:szCs w:val="24"/>
          <w:lang w:val="en-US"/>
        </w:rPr>
        <w:t xml:space="preserve"> systems that accurately predict the hepatotoxicity of new compounds are important tools for improving pre-clinical safety. In particular, systems in which repeated dose regimes can be accommodated and in which toxicity can be observed at concentrations approximating </w:t>
      </w:r>
      <w:r w:rsidRPr="00677855">
        <w:rPr>
          <w:rFonts w:ascii="Calibri" w:hAnsi="Calibri"/>
          <w:i/>
          <w:sz w:val="24"/>
          <w:szCs w:val="24"/>
          <w:lang w:val="en-US"/>
        </w:rPr>
        <w:t>in vivo</w:t>
      </w:r>
      <w:r w:rsidRPr="00677855">
        <w:rPr>
          <w:rFonts w:ascii="Calibri" w:hAnsi="Calibri"/>
          <w:sz w:val="24"/>
          <w:szCs w:val="24"/>
          <w:lang w:val="en-US"/>
        </w:rPr>
        <w:t xml:space="preserve"> exposure levels would provide an important step towards better identification of compounds that pose a risk to patient safety. </w:t>
      </w:r>
    </w:p>
    <w:p w14:paraId="651F7AFA" w14:textId="77777777" w:rsidR="00E831B6" w:rsidRPr="00677855" w:rsidRDefault="00E831B6" w:rsidP="00017836">
      <w:pPr>
        <w:spacing w:line="480" w:lineRule="auto"/>
        <w:jc w:val="both"/>
        <w:rPr>
          <w:rFonts w:ascii="Calibri" w:hAnsi="Calibri"/>
          <w:sz w:val="24"/>
          <w:szCs w:val="24"/>
          <w:lang w:val="en-US"/>
        </w:rPr>
      </w:pPr>
    </w:p>
    <w:p w14:paraId="03BDB35F" w14:textId="781181E3"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In order to constitute a suitable system for prediction of human drug metabolism </w:t>
      </w:r>
      <w:r w:rsidR="0044442A">
        <w:rPr>
          <w:rFonts w:ascii="Calibri" w:hAnsi="Calibri"/>
          <w:sz w:val="24"/>
          <w:szCs w:val="24"/>
          <w:lang w:val="en-US"/>
        </w:rPr>
        <w:t xml:space="preserve">and drug toxicity </w:t>
      </w:r>
      <w:r w:rsidRPr="00677855">
        <w:rPr>
          <w:rFonts w:ascii="Calibri" w:hAnsi="Calibri"/>
          <w:sz w:val="24"/>
          <w:szCs w:val="24"/>
          <w:lang w:val="en-US"/>
        </w:rPr>
        <w:t xml:space="preserve">it is of fundamental importance that the culture method supports the long-term maintenance of relevant cellular phenotypes. We here compared the effects of 3D spheroid and 2Dsw culture on the proteome signatures of PHH from the same donors. Importantly, we found that the choice of culture method has pronounced </w:t>
      </w:r>
      <w:r>
        <w:rPr>
          <w:rFonts w:ascii="Calibri" w:hAnsi="Calibri"/>
          <w:sz w:val="24"/>
          <w:szCs w:val="24"/>
          <w:lang w:val="en-US"/>
        </w:rPr>
        <w:t>influence</w:t>
      </w:r>
      <w:r w:rsidRPr="00677855">
        <w:rPr>
          <w:rFonts w:ascii="Calibri" w:hAnsi="Calibri"/>
          <w:sz w:val="24"/>
          <w:szCs w:val="24"/>
          <w:lang w:val="en-US"/>
        </w:rPr>
        <w:t xml:space="preserve"> on protein levels and functionality. </w:t>
      </w:r>
      <w:r>
        <w:rPr>
          <w:rFonts w:ascii="Calibri" w:hAnsi="Calibri"/>
          <w:sz w:val="24"/>
          <w:szCs w:val="24"/>
          <w:lang w:val="en-US"/>
        </w:rPr>
        <w:t>C</w:t>
      </w:r>
      <w:r w:rsidRPr="009538B4">
        <w:rPr>
          <w:rFonts w:ascii="Calibri" w:hAnsi="Calibri"/>
          <w:sz w:val="24"/>
          <w:szCs w:val="24"/>
          <w:lang w:val="en-US"/>
        </w:rPr>
        <w:t>ells in 2Dsw culture showed perturbed glycolysis and gluconeogenesis, reminiscent of PHH in 2D monolayer culture</w:t>
      </w:r>
      <w:r w:rsidR="00017836">
        <w:rPr>
          <w:rFonts w:ascii="Calibri" w:hAnsi="Calibri"/>
          <w:sz w:val="24"/>
          <w:szCs w:val="24"/>
          <w:lang w:val="en-US"/>
        </w:rPr>
        <w:t xml:space="preserve"> (Bell </w:t>
      </w:r>
      <w:r w:rsidR="00017836" w:rsidRPr="000A7195">
        <w:rPr>
          <w:rFonts w:ascii="Calibri" w:hAnsi="Calibri"/>
          <w:i/>
          <w:sz w:val="24"/>
          <w:szCs w:val="24"/>
          <w:lang w:val="en-US"/>
        </w:rPr>
        <w:t>et al</w:t>
      </w:r>
      <w:r w:rsidR="00017836">
        <w:rPr>
          <w:rFonts w:ascii="Calibri" w:hAnsi="Calibri"/>
          <w:sz w:val="24"/>
          <w:szCs w:val="24"/>
          <w:lang w:val="en-US"/>
        </w:rPr>
        <w:t>., 2016)</w:t>
      </w:r>
      <w:r>
        <w:rPr>
          <w:rFonts w:ascii="Calibri" w:hAnsi="Calibri"/>
          <w:sz w:val="24"/>
          <w:szCs w:val="24"/>
          <w:lang w:val="en-US"/>
        </w:rPr>
        <w:t xml:space="preserve">, indicating that certain aspects of hepatocyte dedifferentiation are not prevented in sandwich configuration in agreement with previous studies </w:t>
      </w:r>
      <w:r>
        <w:rPr>
          <w:rFonts w:ascii="Calibri" w:hAnsi="Calibri"/>
          <w:noProof/>
          <w:sz w:val="24"/>
          <w:szCs w:val="24"/>
          <w:lang w:val="en-US"/>
        </w:rPr>
        <w:t>(Rowe</w:t>
      </w:r>
      <w:r w:rsidRPr="007D68DF">
        <w:rPr>
          <w:rFonts w:ascii="Calibri" w:hAnsi="Calibri"/>
          <w:i/>
          <w:noProof/>
          <w:sz w:val="24"/>
          <w:szCs w:val="24"/>
          <w:lang w:val="en-US"/>
        </w:rPr>
        <w:t xml:space="preserve"> et al.</w:t>
      </w:r>
      <w:r>
        <w:rPr>
          <w:rFonts w:ascii="Calibri" w:hAnsi="Calibri"/>
          <w:noProof/>
          <w:sz w:val="24"/>
          <w:szCs w:val="24"/>
          <w:lang w:val="en-US"/>
        </w:rPr>
        <w:t>, 2010)</w:t>
      </w:r>
      <w:r w:rsidRPr="009538B4">
        <w:rPr>
          <w:rFonts w:ascii="Calibri" w:hAnsi="Calibri"/>
          <w:sz w:val="24"/>
          <w:szCs w:val="24"/>
          <w:lang w:val="en-US"/>
        </w:rPr>
        <w:t xml:space="preserve">. </w:t>
      </w:r>
      <w:r>
        <w:rPr>
          <w:rFonts w:ascii="Calibri" w:hAnsi="Calibri"/>
          <w:sz w:val="24"/>
          <w:szCs w:val="24"/>
          <w:lang w:val="en-US"/>
        </w:rPr>
        <w:t>Furthermore</w:t>
      </w:r>
      <w:r w:rsidRPr="00677855">
        <w:rPr>
          <w:rFonts w:ascii="Calibri" w:hAnsi="Calibri"/>
          <w:sz w:val="24"/>
          <w:szCs w:val="24"/>
          <w:lang w:val="en-US"/>
        </w:rPr>
        <w:t xml:space="preserve">, we found that </w:t>
      </w:r>
      <w:r>
        <w:rPr>
          <w:rFonts w:ascii="Calibri" w:hAnsi="Calibri"/>
          <w:sz w:val="24"/>
          <w:szCs w:val="24"/>
          <w:lang w:val="en-US"/>
        </w:rPr>
        <w:t xml:space="preserve">cryopreserved </w:t>
      </w:r>
      <w:r w:rsidRPr="00677855">
        <w:rPr>
          <w:rFonts w:ascii="Calibri" w:hAnsi="Calibri"/>
          <w:sz w:val="24"/>
          <w:szCs w:val="24"/>
          <w:lang w:val="en-US"/>
        </w:rPr>
        <w:t xml:space="preserve">PHH in sandwich configuration displayed significant perturbations of the redox system, indicated by </w:t>
      </w:r>
      <w:r w:rsidRPr="00677855">
        <w:rPr>
          <w:rFonts w:ascii="Calibri" w:hAnsi="Calibri"/>
          <w:sz w:val="24"/>
          <w:szCs w:val="24"/>
          <w:lang w:val="en-US"/>
        </w:rPr>
        <w:lastRenderedPageBreak/>
        <w:t xml:space="preserve">a downregulation of various glutathione S-transferases (GSTs) as well as rapid decline of multiple peroxiredoxins, suggesting a lower capacity to detoxify reactive metabolic intermediates. </w:t>
      </w:r>
      <w:r>
        <w:rPr>
          <w:rFonts w:ascii="Calibri" w:hAnsi="Calibri"/>
          <w:sz w:val="24"/>
          <w:szCs w:val="24"/>
          <w:lang w:val="en-US"/>
        </w:rPr>
        <w:t>Besides causing differences in molecular phenotypes, the choice of culture method also influenced</w:t>
      </w:r>
      <w:r w:rsidRPr="00D34FB4">
        <w:rPr>
          <w:rFonts w:ascii="Calibri" w:hAnsi="Calibri"/>
          <w:sz w:val="24"/>
          <w:szCs w:val="24"/>
          <w:lang w:val="en-US"/>
        </w:rPr>
        <w:t xml:space="preserve"> the stability thereof, as </w:t>
      </w:r>
      <w:r>
        <w:rPr>
          <w:rFonts w:ascii="Calibri" w:hAnsi="Calibri"/>
          <w:sz w:val="24"/>
          <w:szCs w:val="24"/>
          <w:lang w:val="en-US"/>
        </w:rPr>
        <w:t xml:space="preserve">cryopreserved </w:t>
      </w:r>
      <w:r w:rsidRPr="00677855">
        <w:rPr>
          <w:rFonts w:ascii="Calibri" w:hAnsi="Calibri"/>
          <w:sz w:val="24"/>
          <w:szCs w:val="24"/>
          <w:lang w:val="en-US"/>
        </w:rPr>
        <w:t xml:space="preserve">PHH cultured in 2Dsw but not in </w:t>
      </w:r>
      <w:r>
        <w:rPr>
          <w:rFonts w:ascii="Calibri" w:hAnsi="Calibri"/>
          <w:sz w:val="24"/>
          <w:szCs w:val="24"/>
          <w:lang w:val="en-US"/>
        </w:rPr>
        <w:t xml:space="preserve">3D </w:t>
      </w:r>
      <w:r w:rsidRPr="00677855">
        <w:rPr>
          <w:rFonts w:ascii="Calibri" w:hAnsi="Calibri"/>
          <w:sz w:val="24"/>
          <w:szCs w:val="24"/>
          <w:lang w:val="en-US"/>
        </w:rPr>
        <w:t xml:space="preserve">spheroid configuration underwent significant alterations </w:t>
      </w:r>
      <w:r>
        <w:rPr>
          <w:rFonts w:ascii="Calibri" w:hAnsi="Calibri"/>
          <w:sz w:val="24"/>
          <w:szCs w:val="24"/>
          <w:lang w:val="en-US"/>
        </w:rPr>
        <w:t>of</w:t>
      </w:r>
      <w:r w:rsidRPr="00677855">
        <w:rPr>
          <w:rFonts w:ascii="Calibri" w:hAnsi="Calibri"/>
          <w:sz w:val="24"/>
          <w:szCs w:val="24"/>
          <w:lang w:val="en-US"/>
        </w:rPr>
        <w:t xml:space="preserve"> protein signatures </w:t>
      </w:r>
      <w:r>
        <w:rPr>
          <w:rFonts w:ascii="Calibri" w:hAnsi="Calibri"/>
          <w:sz w:val="24"/>
          <w:szCs w:val="24"/>
          <w:lang w:val="en-US"/>
        </w:rPr>
        <w:t xml:space="preserve">in long-term </w:t>
      </w:r>
      <w:r w:rsidRPr="00677855">
        <w:rPr>
          <w:rFonts w:ascii="Calibri" w:hAnsi="Calibri"/>
          <w:sz w:val="24"/>
          <w:szCs w:val="24"/>
          <w:lang w:val="en-US"/>
        </w:rPr>
        <w:t>culture</w:t>
      </w:r>
      <w:r>
        <w:rPr>
          <w:rFonts w:ascii="Calibri" w:hAnsi="Calibri"/>
          <w:sz w:val="24"/>
          <w:szCs w:val="24"/>
          <w:lang w:val="en-US"/>
        </w:rPr>
        <w:t xml:space="preserve">, </w:t>
      </w:r>
      <w:r w:rsidRPr="00677855">
        <w:rPr>
          <w:rFonts w:ascii="Calibri" w:hAnsi="Calibri"/>
          <w:sz w:val="24"/>
          <w:szCs w:val="24"/>
          <w:lang w:val="en-US"/>
        </w:rPr>
        <w:t xml:space="preserve">which further translated into </w:t>
      </w:r>
      <w:r>
        <w:rPr>
          <w:rFonts w:ascii="Calibri" w:hAnsi="Calibri"/>
          <w:sz w:val="24"/>
          <w:szCs w:val="24"/>
          <w:lang w:val="en-US"/>
        </w:rPr>
        <w:t>less stable</w:t>
      </w:r>
      <w:r w:rsidRPr="00677855">
        <w:rPr>
          <w:rFonts w:ascii="Calibri" w:hAnsi="Calibri"/>
          <w:sz w:val="24"/>
          <w:szCs w:val="24"/>
          <w:lang w:val="en-US"/>
        </w:rPr>
        <w:t xml:space="preserve"> metabolic activities.</w:t>
      </w:r>
      <w:r>
        <w:rPr>
          <w:rFonts w:ascii="Calibri" w:hAnsi="Calibri"/>
          <w:sz w:val="24"/>
          <w:szCs w:val="24"/>
          <w:lang w:val="en-US"/>
        </w:rPr>
        <w:t xml:space="preserve"> These findings are in agreement with previous studies that described</w:t>
      </w:r>
      <w:r w:rsidRPr="00677855">
        <w:rPr>
          <w:rFonts w:ascii="Calibri" w:hAnsi="Calibri"/>
          <w:sz w:val="24"/>
          <w:szCs w:val="24"/>
          <w:lang w:val="en-US"/>
        </w:rPr>
        <w:t xml:space="preserve"> </w:t>
      </w:r>
      <w:r>
        <w:rPr>
          <w:rFonts w:ascii="Calibri" w:hAnsi="Calibri"/>
          <w:sz w:val="24"/>
          <w:szCs w:val="24"/>
          <w:lang w:val="en-US"/>
        </w:rPr>
        <w:t>sudden</w:t>
      </w:r>
      <w:r w:rsidRPr="009E160B">
        <w:rPr>
          <w:rFonts w:ascii="Calibri" w:hAnsi="Calibri"/>
          <w:sz w:val="24"/>
          <w:szCs w:val="24"/>
          <w:lang w:val="en-US"/>
        </w:rPr>
        <w:t xml:space="preserve"> decreases in phase I and phase II </w:t>
      </w:r>
      <w:r>
        <w:rPr>
          <w:rFonts w:ascii="Calibri" w:hAnsi="Calibri"/>
          <w:sz w:val="24"/>
          <w:szCs w:val="24"/>
          <w:lang w:val="en-US"/>
        </w:rPr>
        <w:t xml:space="preserve">activities in PHH upon plating </w:t>
      </w:r>
      <w:r w:rsidRPr="009E160B">
        <w:rPr>
          <w:rFonts w:ascii="Calibri" w:hAnsi="Calibri"/>
          <w:sz w:val="24"/>
          <w:szCs w:val="24"/>
          <w:vertAlign w:val="superscript"/>
          <w:lang w:val="en-US"/>
        </w:rPr>
        <w:t>7</w:t>
      </w:r>
      <w:r w:rsidRPr="009E160B">
        <w:rPr>
          <w:rFonts w:ascii="Calibri" w:hAnsi="Calibri"/>
          <w:sz w:val="24"/>
          <w:szCs w:val="24"/>
          <w:lang w:val="en-US"/>
        </w:rPr>
        <w:t>.</w:t>
      </w:r>
      <w:r>
        <w:rPr>
          <w:rFonts w:ascii="Calibri" w:hAnsi="Calibri"/>
          <w:sz w:val="24"/>
          <w:szCs w:val="24"/>
          <w:lang w:val="en-US"/>
        </w:rPr>
        <w:t xml:space="preserve"> M</w:t>
      </w:r>
      <w:r w:rsidRPr="00D83C79">
        <w:rPr>
          <w:rFonts w:ascii="Calibri" w:hAnsi="Calibri"/>
          <w:sz w:val="24"/>
          <w:szCs w:val="24"/>
          <w:lang w:val="en-US"/>
        </w:rPr>
        <w:t>etabolic activity determinations have however shown a relative stability in 2Dsw culture when regularly re-overlayed up to 14 days of culture</w:t>
      </w:r>
      <w:r>
        <w:rPr>
          <w:rFonts w:ascii="Calibri" w:hAnsi="Calibri"/>
          <w:sz w:val="24"/>
          <w:szCs w:val="24"/>
          <w:lang w:val="en-US"/>
        </w:rPr>
        <w:t xml:space="preserve"> </w:t>
      </w:r>
      <w:r w:rsidR="00017836">
        <w:rPr>
          <w:rFonts w:ascii="Calibri" w:hAnsi="Calibri"/>
          <w:sz w:val="24"/>
          <w:szCs w:val="24"/>
          <w:lang w:val="en-US"/>
        </w:rPr>
        <w:t xml:space="preserve">(Bellwon </w:t>
      </w:r>
      <w:r w:rsidR="00017836" w:rsidRPr="000A7195">
        <w:rPr>
          <w:rFonts w:ascii="Calibri" w:hAnsi="Calibri"/>
          <w:i/>
          <w:sz w:val="24"/>
          <w:szCs w:val="24"/>
          <w:lang w:val="en-US"/>
        </w:rPr>
        <w:t>et al</w:t>
      </w:r>
      <w:r w:rsidR="00017836">
        <w:rPr>
          <w:rFonts w:ascii="Calibri" w:hAnsi="Calibri"/>
          <w:sz w:val="24"/>
          <w:szCs w:val="24"/>
          <w:lang w:val="en-US"/>
        </w:rPr>
        <w:t>., 2015)</w:t>
      </w:r>
      <w:r>
        <w:rPr>
          <w:rFonts w:ascii="Calibri" w:hAnsi="Calibri"/>
          <w:sz w:val="24"/>
          <w:szCs w:val="24"/>
          <w:lang w:val="en-US"/>
        </w:rPr>
        <w:t xml:space="preserve">, when </w:t>
      </w:r>
      <w:r w:rsidRPr="009E160B">
        <w:rPr>
          <w:rFonts w:ascii="Calibri" w:hAnsi="Calibri"/>
          <w:sz w:val="24"/>
          <w:szCs w:val="24"/>
          <w:lang w:val="en-US"/>
        </w:rPr>
        <w:t xml:space="preserve">activities were normalized to </w:t>
      </w:r>
      <w:r>
        <w:rPr>
          <w:rFonts w:ascii="Calibri" w:hAnsi="Calibri"/>
          <w:sz w:val="24"/>
          <w:szCs w:val="24"/>
          <w:lang w:val="en-US"/>
        </w:rPr>
        <w:t>protein amount instead of seeded cell numbers</w:t>
      </w:r>
      <w:r w:rsidRPr="00D83C79">
        <w:rPr>
          <w:rFonts w:ascii="Calibri" w:hAnsi="Calibri"/>
          <w:sz w:val="24"/>
          <w:szCs w:val="24"/>
          <w:lang w:val="en-US"/>
        </w:rPr>
        <w:t xml:space="preserve">. The data from the present study </w:t>
      </w:r>
      <w:r>
        <w:rPr>
          <w:rFonts w:ascii="Calibri" w:hAnsi="Calibri"/>
          <w:sz w:val="24"/>
          <w:szCs w:val="24"/>
          <w:lang w:val="en-US"/>
        </w:rPr>
        <w:t xml:space="preserve">might </w:t>
      </w:r>
      <w:r w:rsidRPr="00D83C79">
        <w:rPr>
          <w:rFonts w:ascii="Calibri" w:hAnsi="Calibri"/>
          <w:sz w:val="24"/>
          <w:szCs w:val="24"/>
          <w:lang w:val="en-US"/>
        </w:rPr>
        <w:t>suggest that proteomic signature is a more sensitive marker of the differentiated status of PHH cultures.</w:t>
      </w:r>
    </w:p>
    <w:p w14:paraId="52B0CB43" w14:textId="3E6193FA" w:rsidR="0044442A" w:rsidRDefault="0044442A" w:rsidP="00017836">
      <w:pPr>
        <w:spacing w:line="480" w:lineRule="auto"/>
        <w:jc w:val="both"/>
        <w:rPr>
          <w:rFonts w:ascii="Calibri" w:hAnsi="Calibri"/>
          <w:sz w:val="24"/>
          <w:szCs w:val="24"/>
          <w:lang w:val="en-US"/>
        </w:rPr>
      </w:pPr>
      <w:r>
        <w:rPr>
          <w:rFonts w:ascii="Calibri" w:hAnsi="Calibri"/>
          <w:sz w:val="24"/>
          <w:szCs w:val="24"/>
          <w:lang w:val="en-US"/>
        </w:rPr>
        <w:t>In general</w:t>
      </w:r>
      <w:r w:rsidR="00F55EBB">
        <w:rPr>
          <w:rFonts w:ascii="Calibri" w:hAnsi="Calibri"/>
          <w:sz w:val="24"/>
          <w:szCs w:val="24"/>
          <w:lang w:val="en-US"/>
        </w:rPr>
        <w:t>,</w:t>
      </w:r>
      <w:r>
        <w:rPr>
          <w:rFonts w:ascii="Calibri" w:hAnsi="Calibri"/>
          <w:sz w:val="24"/>
          <w:szCs w:val="24"/>
          <w:lang w:val="en-US"/>
        </w:rPr>
        <w:t xml:space="preserve"> different cells from different donors </w:t>
      </w:r>
      <w:r w:rsidR="000710A6">
        <w:rPr>
          <w:rFonts w:ascii="Calibri" w:hAnsi="Calibri"/>
          <w:sz w:val="24"/>
          <w:szCs w:val="24"/>
          <w:lang w:val="en-US"/>
        </w:rPr>
        <w:t xml:space="preserve">can </w:t>
      </w:r>
      <w:r>
        <w:rPr>
          <w:rFonts w:ascii="Calibri" w:hAnsi="Calibri"/>
          <w:sz w:val="24"/>
          <w:szCs w:val="24"/>
          <w:lang w:val="en-US"/>
        </w:rPr>
        <w:t>differ in quality and in order to be able to draw correct conclusions from the long term experiments i</w:t>
      </w:r>
      <w:r w:rsidR="000710A6">
        <w:rPr>
          <w:rFonts w:ascii="Calibri" w:hAnsi="Calibri"/>
          <w:sz w:val="24"/>
          <w:szCs w:val="24"/>
          <w:lang w:val="en-US"/>
        </w:rPr>
        <w:t>t</w:t>
      </w:r>
      <w:r>
        <w:rPr>
          <w:rFonts w:ascii="Calibri" w:hAnsi="Calibri"/>
          <w:sz w:val="24"/>
          <w:szCs w:val="24"/>
          <w:lang w:val="en-US"/>
        </w:rPr>
        <w:t xml:space="preserve"> is important to continuously monitor the viability e.g. measuring the ATP values and that this does not drop below 50 % of initial values at the first day of spheroid culture.. </w:t>
      </w:r>
    </w:p>
    <w:p w14:paraId="1F97023B" w14:textId="77777777" w:rsidR="00E831B6" w:rsidRDefault="00E831B6" w:rsidP="00017836">
      <w:pPr>
        <w:spacing w:line="480" w:lineRule="auto"/>
        <w:jc w:val="both"/>
        <w:rPr>
          <w:rFonts w:ascii="Calibri" w:hAnsi="Calibri"/>
          <w:sz w:val="24"/>
          <w:szCs w:val="24"/>
          <w:lang w:val="en-US"/>
        </w:rPr>
      </w:pPr>
    </w:p>
    <w:p w14:paraId="7F3D462E" w14:textId="77777777" w:rsidR="00E831B6" w:rsidRDefault="00E831B6" w:rsidP="00017836">
      <w:pPr>
        <w:spacing w:line="480" w:lineRule="auto"/>
        <w:jc w:val="both"/>
        <w:rPr>
          <w:rFonts w:ascii="Calibri" w:hAnsi="Calibri"/>
          <w:sz w:val="24"/>
          <w:szCs w:val="24"/>
          <w:lang w:val="en-US"/>
        </w:rPr>
      </w:pPr>
      <w:r w:rsidRPr="000735FC">
        <w:rPr>
          <w:rFonts w:ascii="Calibri" w:hAnsi="Calibri"/>
          <w:sz w:val="24"/>
          <w:szCs w:val="24"/>
          <w:lang w:val="en-US"/>
        </w:rPr>
        <w:t xml:space="preserve">Importantly, </w:t>
      </w:r>
      <w:r>
        <w:rPr>
          <w:rFonts w:ascii="Calibri" w:hAnsi="Calibri"/>
          <w:sz w:val="24"/>
          <w:szCs w:val="24"/>
          <w:lang w:val="en-US"/>
        </w:rPr>
        <w:t>the illustrated</w:t>
      </w:r>
      <w:r w:rsidRPr="000735FC">
        <w:rPr>
          <w:rFonts w:ascii="Calibri" w:hAnsi="Calibri"/>
          <w:sz w:val="24"/>
          <w:szCs w:val="24"/>
          <w:lang w:val="en-US"/>
        </w:rPr>
        <w:t xml:space="preserve"> </w:t>
      </w:r>
      <w:r>
        <w:rPr>
          <w:rFonts w:ascii="Calibri" w:hAnsi="Calibri"/>
          <w:sz w:val="24"/>
          <w:szCs w:val="24"/>
          <w:lang w:val="en-US"/>
        </w:rPr>
        <w:t>variables</w:t>
      </w:r>
      <w:r w:rsidRPr="000735FC">
        <w:rPr>
          <w:rFonts w:ascii="Calibri" w:hAnsi="Calibri"/>
          <w:sz w:val="24"/>
          <w:szCs w:val="24"/>
          <w:lang w:val="en-US"/>
        </w:rPr>
        <w:t xml:space="preserve"> likely contribute to the observed differences in sensitivity towards the hepatotoxic model compounds included in our </w:t>
      </w:r>
      <w:r>
        <w:rPr>
          <w:rFonts w:ascii="Calibri" w:hAnsi="Calibri"/>
          <w:sz w:val="24"/>
          <w:szCs w:val="24"/>
          <w:lang w:val="en-US"/>
        </w:rPr>
        <w:t xml:space="preserve">long-term </w:t>
      </w:r>
      <w:r w:rsidRPr="000735FC">
        <w:rPr>
          <w:rFonts w:ascii="Calibri" w:hAnsi="Calibri"/>
          <w:sz w:val="24"/>
          <w:szCs w:val="24"/>
          <w:lang w:val="en-US"/>
        </w:rPr>
        <w:t xml:space="preserve">cytotoxicity studies. </w:t>
      </w:r>
      <w:r>
        <w:rPr>
          <w:rFonts w:ascii="Calibri" w:hAnsi="Calibri"/>
          <w:sz w:val="24"/>
          <w:szCs w:val="24"/>
          <w:lang w:val="en-US"/>
        </w:rPr>
        <w:t>PHH in</w:t>
      </w:r>
      <w:r w:rsidRPr="000735FC">
        <w:rPr>
          <w:rFonts w:ascii="Calibri" w:hAnsi="Calibri"/>
          <w:sz w:val="24"/>
          <w:szCs w:val="24"/>
          <w:lang w:val="en-US"/>
        </w:rPr>
        <w:t xml:space="preserve"> 3D </w:t>
      </w:r>
      <w:r>
        <w:rPr>
          <w:rFonts w:ascii="Calibri" w:hAnsi="Calibri"/>
          <w:sz w:val="24"/>
          <w:szCs w:val="24"/>
          <w:lang w:val="en-US"/>
        </w:rPr>
        <w:t xml:space="preserve">spheroid </w:t>
      </w:r>
      <w:r w:rsidRPr="000735FC">
        <w:rPr>
          <w:rFonts w:ascii="Calibri" w:hAnsi="Calibri"/>
          <w:sz w:val="24"/>
          <w:szCs w:val="24"/>
          <w:lang w:val="en-US"/>
        </w:rPr>
        <w:t>configuration showed enhanced sensitivity to compounds that exert toxicity via mitochondrial perturbation involving uncoupling of oxidative phosphorylation, blocking of β-oxidation or depletion of mitochondrial DNA, at clinically relevant concentrations, whereas cells from the same donors in 2D culture</w:t>
      </w:r>
      <w:r>
        <w:rPr>
          <w:rFonts w:ascii="Calibri" w:hAnsi="Calibri"/>
          <w:sz w:val="24"/>
          <w:szCs w:val="24"/>
          <w:lang w:val="en-US"/>
        </w:rPr>
        <w:t>s</w:t>
      </w:r>
      <w:r w:rsidRPr="000735FC">
        <w:rPr>
          <w:rFonts w:ascii="Calibri" w:hAnsi="Calibri"/>
          <w:sz w:val="24"/>
          <w:szCs w:val="24"/>
          <w:lang w:val="en-US"/>
        </w:rPr>
        <w:t xml:space="preserve"> were much less </w:t>
      </w:r>
      <w:r w:rsidRPr="000735FC">
        <w:rPr>
          <w:rFonts w:ascii="Calibri" w:hAnsi="Calibri"/>
          <w:sz w:val="24"/>
          <w:szCs w:val="24"/>
          <w:lang w:val="en-US"/>
        </w:rPr>
        <w:lastRenderedPageBreak/>
        <w:t xml:space="preserve">sensitive. </w:t>
      </w:r>
      <w:r>
        <w:rPr>
          <w:rFonts w:ascii="Calibri" w:hAnsi="Calibri"/>
          <w:sz w:val="24"/>
          <w:szCs w:val="24"/>
          <w:lang w:val="en-US"/>
        </w:rPr>
        <w:t>Notably,</w:t>
      </w:r>
      <w:r w:rsidRPr="000735FC">
        <w:rPr>
          <w:rFonts w:ascii="Calibri" w:hAnsi="Calibri"/>
          <w:sz w:val="24"/>
          <w:szCs w:val="24"/>
          <w:lang w:val="en-US"/>
        </w:rPr>
        <w:t xml:space="preserve"> there</w:t>
      </w:r>
      <w:r>
        <w:rPr>
          <w:rFonts w:ascii="Calibri" w:hAnsi="Calibri"/>
          <w:sz w:val="24"/>
          <w:szCs w:val="24"/>
          <w:lang w:val="en-US"/>
        </w:rPr>
        <w:t xml:space="preserve"> is considerable evidence that phase I</w:t>
      </w:r>
      <w:r w:rsidRPr="000735FC">
        <w:rPr>
          <w:rFonts w:ascii="Calibri" w:hAnsi="Calibri"/>
          <w:sz w:val="24"/>
          <w:szCs w:val="24"/>
          <w:lang w:val="en-US"/>
        </w:rPr>
        <w:t xml:space="preserve"> bioactivation is a requisite step in the sequence of events leading to liver damage followin</w:t>
      </w:r>
      <w:r>
        <w:rPr>
          <w:rFonts w:ascii="Calibri" w:hAnsi="Calibri"/>
          <w:sz w:val="24"/>
          <w:szCs w:val="24"/>
          <w:lang w:val="en-US"/>
        </w:rPr>
        <w:t xml:space="preserve">g exposure to many drugs with </w:t>
      </w:r>
      <w:r w:rsidRPr="000735FC">
        <w:rPr>
          <w:rFonts w:ascii="Calibri" w:hAnsi="Calibri"/>
          <w:sz w:val="24"/>
          <w:szCs w:val="24"/>
          <w:lang w:val="en-US"/>
        </w:rPr>
        <w:t>DILI liabilit</w:t>
      </w:r>
      <w:r>
        <w:rPr>
          <w:rFonts w:ascii="Calibri" w:hAnsi="Calibri"/>
          <w:sz w:val="24"/>
          <w:szCs w:val="24"/>
          <w:lang w:val="en-US"/>
        </w:rPr>
        <w:t>ies</w:t>
      </w:r>
      <w:r w:rsidRPr="000735FC">
        <w:rPr>
          <w:rFonts w:ascii="Calibri" w:hAnsi="Calibri"/>
          <w:sz w:val="24"/>
          <w:szCs w:val="24"/>
          <w:lang w:val="en-US"/>
        </w:rPr>
        <w:t>.</w:t>
      </w:r>
      <w:r>
        <w:rPr>
          <w:rFonts w:ascii="Calibri" w:hAnsi="Calibri"/>
          <w:sz w:val="24"/>
          <w:szCs w:val="24"/>
          <w:lang w:val="en-US"/>
        </w:rPr>
        <w:t xml:space="preserve"> </w:t>
      </w:r>
      <w:r w:rsidRPr="000735FC">
        <w:rPr>
          <w:rFonts w:ascii="Calibri" w:hAnsi="Calibri"/>
          <w:sz w:val="24"/>
          <w:szCs w:val="24"/>
          <w:lang w:val="en-US"/>
        </w:rPr>
        <w:t xml:space="preserve">We detected robustly higher levels of </w:t>
      </w:r>
      <w:r>
        <w:rPr>
          <w:rFonts w:ascii="Calibri" w:hAnsi="Calibri"/>
          <w:sz w:val="24"/>
          <w:szCs w:val="24"/>
          <w:lang w:val="en-US"/>
        </w:rPr>
        <w:t>CYP1A2 and CYP</w:t>
      </w:r>
      <w:r w:rsidRPr="000735FC">
        <w:rPr>
          <w:rFonts w:ascii="Calibri" w:hAnsi="Calibri"/>
          <w:sz w:val="24"/>
          <w:szCs w:val="24"/>
          <w:lang w:val="en-US"/>
        </w:rPr>
        <w:t>3A4 activity (Fig</w:t>
      </w:r>
      <w:r>
        <w:rPr>
          <w:rFonts w:ascii="Calibri" w:hAnsi="Calibri"/>
          <w:sz w:val="24"/>
          <w:szCs w:val="24"/>
          <w:lang w:val="en-US"/>
        </w:rPr>
        <w:t>.</w:t>
      </w:r>
      <w:r w:rsidRPr="000735FC">
        <w:rPr>
          <w:rFonts w:ascii="Calibri" w:hAnsi="Calibri"/>
          <w:sz w:val="24"/>
          <w:szCs w:val="24"/>
          <w:lang w:val="en-US"/>
        </w:rPr>
        <w:t xml:space="preserve"> 2) in 3D versus 2D culture</w:t>
      </w:r>
      <w:r>
        <w:rPr>
          <w:rFonts w:ascii="Calibri" w:hAnsi="Calibri"/>
          <w:sz w:val="24"/>
          <w:szCs w:val="24"/>
          <w:lang w:val="en-US"/>
        </w:rPr>
        <w:t xml:space="preserve"> and</w:t>
      </w:r>
      <w:r w:rsidRPr="000735FC">
        <w:rPr>
          <w:rFonts w:ascii="Calibri" w:hAnsi="Calibri"/>
          <w:sz w:val="24"/>
          <w:szCs w:val="24"/>
          <w:lang w:val="en-US"/>
        </w:rPr>
        <w:t xml:space="preserve"> both of these P450s have been implicated in the bioactivation of acetaminophen to its reactive and toxic intermediate, NAPQI </w:t>
      </w:r>
      <w:r>
        <w:rPr>
          <w:rFonts w:ascii="Calibri" w:hAnsi="Calibri"/>
          <w:noProof/>
          <w:sz w:val="24"/>
          <w:szCs w:val="24"/>
          <w:lang w:val="en-US"/>
        </w:rPr>
        <w:t>(Laine</w:t>
      </w:r>
      <w:r w:rsidRPr="007D68DF">
        <w:rPr>
          <w:rFonts w:ascii="Calibri" w:hAnsi="Calibri"/>
          <w:i/>
          <w:noProof/>
          <w:sz w:val="24"/>
          <w:szCs w:val="24"/>
          <w:lang w:val="en-US"/>
        </w:rPr>
        <w:t xml:space="preserve"> et al.</w:t>
      </w:r>
      <w:r>
        <w:rPr>
          <w:rFonts w:ascii="Calibri" w:hAnsi="Calibri"/>
          <w:noProof/>
          <w:sz w:val="24"/>
          <w:szCs w:val="24"/>
          <w:lang w:val="en-US"/>
        </w:rPr>
        <w:t>, 2009)</w:t>
      </w:r>
      <w:r w:rsidRPr="000735FC">
        <w:rPr>
          <w:rFonts w:ascii="Calibri" w:hAnsi="Calibri"/>
          <w:sz w:val="24"/>
          <w:szCs w:val="24"/>
          <w:lang w:val="en-US"/>
        </w:rPr>
        <w:t xml:space="preserve">. This is consistent with </w:t>
      </w:r>
      <w:r w:rsidRPr="007D68DF">
        <w:rPr>
          <w:rFonts w:ascii="Calibri" w:hAnsi="Calibri"/>
          <w:sz w:val="24"/>
          <w:szCs w:val="24"/>
          <w:lang w:val="en-US"/>
        </w:rPr>
        <w:t>our finding of increased APAP sensitivity in 3D spheroid versus 2Dsw culture after long-term exposure. Moreover</w:t>
      </w:r>
      <w:r>
        <w:rPr>
          <w:rFonts w:ascii="Calibri" w:hAnsi="Calibri"/>
          <w:sz w:val="24"/>
          <w:szCs w:val="24"/>
          <w:lang w:val="en-US"/>
        </w:rPr>
        <w:t>, t</w:t>
      </w:r>
      <w:r w:rsidRPr="000735FC">
        <w:rPr>
          <w:rFonts w:ascii="Calibri" w:hAnsi="Calibri"/>
          <w:sz w:val="24"/>
          <w:szCs w:val="24"/>
          <w:lang w:val="en-US"/>
        </w:rPr>
        <w:t>he 3D configuration was also more sensitive to diclofenac exposure</w:t>
      </w:r>
      <w:r>
        <w:rPr>
          <w:rFonts w:ascii="Calibri" w:hAnsi="Calibri"/>
          <w:sz w:val="24"/>
          <w:szCs w:val="24"/>
          <w:lang w:val="en-US"/>
        </w:rPr>
        <w:t>, again in agreement with</w:t>
      </w:r>
      <w:r w:rsidRPr="000735FC">
        <w:rPr>
          <w:rFonts w:ascii="Calibri" w:hAnsi="Calibri"/>
          <w:sz w:val="24"/>
          <w:szCs w:val="24"/>
          <w:lang w:val="en-US"/>
        </w:rPr>
        <w:t xml:space="preserve"> higher activities of </w:t>
      </w:r>
      <w:r>
        <w:rPr>
          <w:rFonts w:ascii="Calibri" w:hAnsi="Calibri"/>
          <w:sz w:val="24"/>
          <w:szCs w:val="24"/>
          <w:lang w:val="en-US"/>
        </w:rPr>
        <w:t>CYP</w:t>
      </w:r>
      <w:r w:rsidRPr="000735FC">
        <w:rPr>
          <w:rFonts w:ascii="Calibri" w:hAnsi="Calibri"/>
          <w:sz w:val="24"/>
          <w:szCs w:val="24"/>
          <w:lang w:val="en-US"/>
        </w:rPr>
        <w:t>3A4</w:t>
      </w:r>
      <w:r>
        <w:rPr>
          <w:rFonts w:ascii="Calibri" w:hAnsi="Calibri"/>
          <w:sz w:val="24"/>
          <w:szCs w:val="24"/>
          <w:lang w:val="en-US"/>
        </w:rPr>
        <w:t xml:space="preserve"> and CYP2C8 </w:t>
      </w:r>
      <w:r w:rsidRPr="000735FC">
        <w:rPr>
          <w:rFonts w:ascii="Calibri" w:hAnsi="Calibri"/>
          <w:sz w:val="24"/>
          <w:szCs w:val="24"/>
          <w:lang w:val="en-US"/>
        </w:rPr>
        <w:t>in 3D culture</w:t>
      </w:r>
      <w:r>
        <w:rPr>
          <w:rFonts w:ascii="Calibri" w:hAnsi="Calibri"/>
          <w:sz w:val="24"/>
          <w:szCs w:val="24"/>
          <w:lang w:val="en-US"/>
        </w:rPr>
        <w:t>s, which are both</w:t>
      </w:r>
      <w:r w:rsidRPr="000735FC">
        <w:rPr>
          <w:rFonts w:ascii="Calibri" w:hAnsi="Calibri"/>
          <w:sz w:val="24"/>
          <w:szCs w:val="24"/>
          <w:lang w:val="en-US"/>
        </w:rPr>
        <w:t xml:space="preserve"> implicated in</w:t>
      </w:r>
      <w:r>
        <w:rPr>
          <w:rFonts w:ascii="Calibri" w:hAnsi="Calibri"/>
          <w:sz w:val="24"/>
          <w:szCs w:val="24"/>
          <w:lang w:val="en-US"/>
        </w:rPr>
        <w:t xml:space="preserve"> diclofenac toxicity</w:t>
      </w:r>
      <w:r w:rsidRPr="000735FC">
        <w:rPr>
          <w:rFonts w:ascii="Calibri" w:hAnsi="Calibri"/>
          <w:sz w:val="24"/>
          <w:szCs w:val="24"/>
          <w:lang w:val="en-US"/>
        </w:rPr>
        <w:t xml:space="preserve"> </w:t>
      </w:r>
      <w:r>
        <w:rPr>
          <w:rFonts w:ascii="Calibri" w:hAnsi="Calibri"/>
          <w:noProof/>
          <w:sz w:val="24"/>
          <w:szCs w:val="24"/>
          <w:lang w:val="en-US"/>
        </w:rPr>
        <w:t>(Bort</w:t>
      </w:r>
      <w:r w:rsidRPr="007D68DF">
        <w:rPr>
          <w:rFonts w:ascii="Calibri" w:hAnsi="Calibri"/>
          <w:i/>
          <w:noProof/>
          <w:sz w:val="24"/>
          <w:szCs w:val="24"/>
          <w:lang w:val="en-US"/>
        </w:rPr>
        <w:t xml:space="preserve"> et al.</w:t>
      </w:r>
      <w:r>
        <w:rPr>
          <w:rFonts w:ascii="Calibri" w:hAnsi="Calibri"/>
          <w:noProof/>
          <w:sz w:val="24"/>
          <w:szCs w:val="24"/>
          <w:lang w:val="en-US"/>
        </w:rPr>
        <w:t>, 1999)</w:t>
      </w:r>
      <w:r>
        <w:rPr>
          <w:rFonts w:ascii="Calibri" w:hAnsi="Calibri"/>
          <w:sz w:val="24"/>
          <w:szCs w:val="24"/>
          <w:lang w:val="en-US"/>
        </w:rPr>
        <w:t>.</w:t>
      </w:r>
      <w:r w:rsidRPr="000735FC">
        <w:rPr>
          <w:rFonts w:ascii="Calibri" w:hAnsi="Calibri"/>
          <w:sz w:val="24"/>
          <w:szCs w:val="24"/>
          <w:lang w:val="en-US"/>
        </w:rPr>
        <w:t xml:space="preserve"> Similarly, formation of reactive metabolites from troglitazone can occur</w:t>
      </w:r>
      <w:r>
        <w:rPr>
          <w:rFonts w:ascii="Calibri" w:hAnsi="Calibri"/>
          <w:sz w:val="24"/>
          <w:szCs w:val="24"/>
          <w:lang w:val="en-US"/>
        </w:rPr>
        <w:t xml:space="preserve"> through the activity of CYP</w:t>
      </w:r>
      <w:r w:rsidRPr="000735FC">
        <w:rPr>
          <w:rFonts w:ascii="Calibri" w:hAnsi="Calibri"/>
          <w:sz w:val="24"/>
          <w:szCs w:val="24"/>
          <w:lang w:val="en-US"/>
        </w:rPr>
        <w:t xml:space="preserve">3A4 </w:t>
      </w:r>
      <w:r>
        <w:rPr>
          <w:rFonts w:ascii="Calibri" w:hAnsi="Calibri"/>
          <w:sz w:val="24"/>
          <w:szCs w:val="24"/>
          <w:lang w:val="en-US"/>
        </w:rPr>
        <w:t>and CYP</w:t>
      </w:r>
      <w:r w:rsidRPr="000735FC">
        <w:rPr>
          <w:rFonts w:ascii="Calibri" w:hAnsi="Calibri"/>
          <w:sz w:val="24"/>
          <w:szCs w:val="24"/>
          <w:lang w:val="en-US"/>
        </w:rPr>
        <w:t>2C8, which may explain increased sensitivity in 3D versus 2D in this study</w:t>
      </w:r>
      <w:r>
        <w:rPr>
          <w:rFonts w:ascii="Calibri" w:hAnsi="Calibri"/>
          <w:sz w:val="24"/>
          <w:szCs w:val="24"/>
          <w:lang w:val="en-US"/>
        </w:rPr>
        <w:t xml:space="preserve"> </w:t>
      </w:r>
      <w:r>
        <w:rPr>
          <w:rFonts w:ascii="Calibri" w:hAnsi="Calibri"/>
          <w:noProof/>
          <w:sz w:val="24"/>
          <w:szCs w:val="24"/>
          <w:lang w:val="en-US"/>
        </w:rPr>
        <w:t>(Yamamoto</w:t>
      </w:r>
      <w:r w:rsidRPr="007D68DF">
        <w:rPr>
          <w:rFonts w:ascii="Calibri" w:hAnsi="Calibri"/>
          <w:i/>
          <w:noProof/>
          <w:sz w:val="24"/>
          <w:szCs w:val="24"/>
          <w:lang w:val="en-US"/>
        </w:rPr>
        <w:t xml:space="preserve"> et al.</w:t>
      </w:r>
      <w:r>
        <w:rPr>
          <w:rFonts w:ascii="Calibri" w:hAnsi="Calibri"/>
          <w:noProof/>
          <w:sz w:val="24"/>
          <w:szCs w:val="24"/>
          <w:lang w:val="en-US"/>
        </w:rPr>
        <w:t>, 2002;  Yamazaki</w:t>
      </w:r>
      <w:r w:rsidRPr="007D68DF">
        <w:rPr>
          <w:rFonts w:ascii="Calibri" w:hAnsi="Calibri"/>
          <w:i/>
          <w:noProof/>
          <w:sz w:val="24"/>
          <w:szCs w:val="24"/>
          <w:lang w:val="en-US"/>
        </w:rPr>
        <w:t xml:space="preserve"> et al.</w:t>
      </w:r>
      <w:r>
        <w:rPr>
          <w:rFonts w:ascii="Calibri" w:hAnsi="Calibri"/>
          <w:noProof/>
          <w:sz w:val="24"/>
          <w:szCs w:val="24"/>
          <w:lang w:val="en-US"/>
        </w:rPr>
        <w:t>, 1999)</w:t>
      </w:r>
      <w:r w:rsidRPr="000735FC">
        <w:rPr>
          <w:rFonts w:ascii="Calibri" w:hAnsi="Calibri"/>
          <w:sz w:val="24"/>
          <w:szCs w:val="24"/>
          <w:lang w:val="en-US"/>
        </w:rPr>
        <w:t>. Nevertheless, all of these associations will need to be verified through pharmacological intervention, for example through 1-aminobenzotriazole-mediated pan-</w:t>
      </w:r>
      <w:r>
        <w:rPr>
          <w:rFonts w:ascii="Calibri" w:hAnsi="Calibri"/>
          <w:sz w:val="24"/>
          <w:szCs w:val="24"/>
          <w:lang w:val="en-US"/>
        </w:rPr>
        <w:t>CYP</w:t>
      </w:r>
      <w:r w:rsidRPr="000735FC">
        <w:rPr>
          <w:rFonts w:ascii="Calibri" w:hAnsi="Calibri"/>
          <w:sz w:val="24"/>
          <w:szCs w:val="24"/>
          <w:lang w:val="en-US"/>
        </w:rPr>
        <w:t xml:space="preserve"> inhibition.  </w:t>
      </w:r>
    </w:p>
    <w:p w14:paraId="6CBA4E1E" w14:textId="77777777" w:rsidR="00E831B6" w:rsidRDefault="00E831B6" w:rsidP="00017836">
      <w:pPr>
        <w:spacing w:line="480" w:lineRule="auto"/>
        <w:jc w:val="both"/>
        <w:rPr>
          <w:rFonts w:ascii="Calibri" w:hAnsi="Calibri"/>
          <w:sz w:val="24"/>
          <w:szCs w:val="24"/>
          <w:lang w:val="en-US"/>
        </w:rPr>
      </w:pPr>
    </w:p>
    <w:p w14:paraId="4253B508" w14:textId="1C7DA4C7" w:rsidR="00E831B6" w:rsidRPr="000735FC" w:rsidRDefault="00E831B6" w:rsidP="00017836">
      <w:pPr>
        <w:spacing w:line="480" w:lineRule="auto"/>
        <w:jc w:val="both"/>
        <w:rPr>
          <w:rFonts w:ascii="Calibri" w:hAnsi="Calibri"/>
          <w:sz w:val="24"/>
          <w:szCs w:val="24"/>
          <w:lang w:val="en-US"/>
        </w:rPr>
      </w:pPr>
      <w:r w:rsidRPr="000735FC">
        <w:rPr>
          <w:rFonts w:ascii="Calibri" w:hAnsi="Calibri"/>
          <w:sz w:val="24"/>
          <w:szCs w:val="24"/>
          <w:lang w:val="en-US"/>
        </w:rPr>
        <w:t>In the case of fialuridine</w:t>
      </w:r>
      <w:r>
        <w:rPr>
          <w:rFonts w:ascii="Calibri" w:hAnsi="Calibri"/>
          <w:sz w:val="24"/>
          <w:szCs w:val="24"/>
          <w:lang w:val="en-US"/>
        </w:rPr>
        <w:t>,</w:t>
      </w:r>
      <w:r w:rsidRPr="00B4603D">
        <w:rPr>
          <w:rFonts w:ascii="Calibri" w:hAnsi="Calibri"/>
          <w:sz w:val="24"/>
          <w:szCs w:val="24"/>
          <w:lang w:val="en-US"/>
        </w:rPr>
        <w:t xml:space="preserve"> </w:t>
      </w:r>
      <w:r>
        <w:rPr>
          <w:rFonts w:ascii="Calibri" w:hAnsi="Calibri"/>
          <w:sz w:val="24"/>
          <w:szCs w:val="24"/>
          <w:lang w:val="en-US"/>
        </w:rPr>
        <w:t>t</w:t>
      </w:r>
      <w:r w:rsidRPr="000735FC">
        <w:rPr>
          <w:rFonts w:ascii="Calibri" w:hAnsi="Calibri"/>
          <w:sz w:val="24"/>
          <w:szCs w:val="24"/>
          <w:lang w:val="en-US"/>
        </w:rPr>
        <w:t xml:space="preserve">he proteomic dataset does not support an obvious correlation </w:t>
      </w:r>
      <w:r>
        <w:rPr>
          <w:rFonts w:ascii="Calibri" w:hAnsi="Calibri"/>
          <w:sz w:val="24"/>
          <w:szCs w:val="24"/>
          <w:lang w:val="en-US"/>
        </w:rPr>
        <w:t>of the expression levels of various proteins</w:t>
      </w:r>
      <w:r w:rsidRPr="00B4603D">
        <w:rPr>
          <w:rFonts w:ascii="Calibri" w:hAnsi="Calibri"/>
          <w:sz w:val="24"/>
          <w:szCs w:val="24"/>
          <w:lang w:val="en-US"/>
        </w:rPr>
        <w:t xml:space="preserve"> </w:t>
      </w:r>
      <w:r w:rsidRPr="000735FC">
        <w:rPr>
          <w:rFonts w:ascii="Calibri" w:hAnsi="Calibri"/>
          <w:sz w:val="24"/>
          <w:szCs w:val="24"/>
          <w:lang w:val="en-US"/>
        </w:rPr>
        <w:t>known to play a role in the uptake of fialuridine into the mitochondria and its metabolism to the active triphosphate moiety</w:t>
      </w:r>
      <w:r>
        <w:rPr>
          <w:rFonts w:ascii="Calibri" w:hAnsi="Calibri"/>
          <w:sz w:val="24"/>
          <w:szCs w:val="24"/>
          <w:lang w:val="en-US"/>
        </w:rPr>
        <w:t xml:space="preserve">, such as </w:t>
      </w:r>
      <w:r w:rsidRPr="000735FC">
        <w:rPr>
          <w:rFonts w:ascii="Calibri" w:hAnsi="Calibri"/>
          <w:sz w:val="24"/>
          <w:szCs w:val="24"/>
          <w:lang w:val="en-US"/>
        </w:rPr>
        <w:t>ENT1, TK2 and TMPK</w:t>
      </w:r>
      <w:r>
        <w:rPr>
          <w:rFonts w:ascii="Calibri" w:hAnsi="Calibri"/>
          <w:sz w:val="24"/>
          <w:szCs w:val="24"/>
          <w:lang w:val="en-US"/>
        </w:rPr>
        <w:t>, with differences in sensitivity.</w:t>
      </w:r>
      <w:r w:rsidRPr="00B4603D">
        <w:rPr>
          <w:rFonts w:ascii="Calibri" w:hAnsi="Calibri"/>
          <w:sz w:val="24"/>
          <w:szCs w:val="24"/>
          <w:lang w:val="en-US"/>
        </w:rPr>
        <w:t xml:space="preserve"> </w:t>
      </w:r>
      <w:r w:rsidRPr="000735FC">
        <w:rPr>
          <w:rFonts w:ascii="Calibri" w:hAnsi="Calibri"/>
          <w:sz w:val="24"/>
          <w:szCs w:val="24"/>
          <w:lang w:val="en-US"/>
        </w:rPr>
        <w:t>Nevertheless, differences in activity of these proteins, or indeed in the overall physiology of the mitochondria between 3D and 2D</w:t>
      </w:r>
      <w:r>
        <w:rPr>
          <w:rFonts w:ascii="Calibri" w:hAnsi="Calibri"/>
          <w:sz w:val="24"/>
          <w:szCs w:val="24"/>
          <w:lang w:val="en-US"/>
        </w:rPr>
        <w:t>sw</w:t>
      </w:r>
      <w:r w:rsidRPr="000735FC">
        <w:rPr>
          <w:rFonts w:ascii="Calibri" w:hAnsi="Calibri"/>
          <w:sz w:val="24"/>
          <w:szCs w:val="24"/>
          <w:lang w:val="en-US"/>
        </w:rPr>
        <w:t>, are possible and need to be tested to gain further understanding of how these models can be used for particular DILI liabilities.</w:t>
      </w:r>
      <w:r>
        <w:rPr>
          <w:rFonts w:ascii="Calibri" w:hAnsi="Calibri"/>
          <w:sz w:val="24"/>
          <w:szCs w:val="24"/>
          <w:lang w:val="en-US"/>
        </w:rPr>
        <w:t xml:space="preserve"> </w:t>
      </w:r>
      <w:r w:rsidRPr="000735FC">
        <w:rPr>
          <w:rFonts w:ascii="Calibri" w:hAnsi="Calibri"/>
          <w:sz w:val="24"/>
          <w:szCs w:val="24"/>
          <w:lang w:val="en-US"/>
        </w:rPr>
        <w:t>In contrast, 2D</w:t>
      </w:r>
      <w:r>
        <w:rPr>
          <w:rFonts w:ascii="Calibri" w:hAnsi="Calibri"/>
          <w:sz w:val="24"/>
          <w:szCs w:val="24"/>
          <w:lang w:val="en-US"/>
        </w:rPr>
        <w:t>sw</w:t>
      </w:r>
      <w:r w:rsidRPr="000735FC">
        <w:rPr>
          <w:rFonts w:ascii="Calibri" w:hAnsi="Calibri"/>
          <w:sz w:val="24"/>
          <w:szCs w:val="24"/>
          <w:lang w:val="en-US"/>
        </w:rPr>
        <w:t xml:space="preserve"> cultures accurately detected toxicity of the cholestatic agent bosentan, </w:t>
      </w:r>
      <w:r>
        <w:rPr>
          <w:rFonts w:ascii="Calibri" w:hAnsi="Calibri"/>
          <w:sz w:val="24"/>
          <w:szCs w:val="24"/>
          <w:lang w:val="en-US"/>
        </w:rPr>
        <w:t>which</w:t>
      </w:r>
      <w:r w:rsidRPr="000735FC">
        <w:rPr>
          <w:rFonts w:ascii="Calibri" w:hAnsi="Calibri"/>
          <w:sz w:val="24"/>
          <w:szCs w:val="24"/>
          <w:lang w:val="en-US"/>
        </w:rPr>
        <w:t xml:space="preserve"> is supported by the presence of functional bile </w:t>
      </w:r>
      <w:r w:rsidRPr="000735FC">
        <w:rPr>
          <w:rFonts w:ascii="Calibri" w:hAnsi="Calibri"/>
          <w:sz w:val="24"/>
          <w:szCs w:val="24"/>
          <w:lang w:val="en-US"/>
        </w:rPr>
        <w:lastRenderedPageBreak/>
        <w:t>canalicular networks and maintained physiologically relevant expression levels of bile transporters, including BSEP and members of the MRP an</w:t>
      </w:r>
      <w:r>
        <w:rPr>
          <w:rFonts w:ascii="Calibri" w:hAnsi="Calibri"/>
          <w:sz w:val="24"/>
          <w:szCs w:val="24"/>
          <w:lang w:val="en-US"/>
        </w:rPr>
        <w:t>d OATP families of transporters</w:t>
      </w:r>
      <w:r w:rsidRPr="000735FC">
        <w:rPr>
          <w:rFonts w:ascii="Calibri" w:hAnsi="Calibri"/>
          <w:sz w:val="24"/>
          <w:szCs w:val="24"/>
          <w:lang w:val="en-US"/>
        </w:rPr>
        <w:t>.  These findings are in agreement with previous studies that demonstrated the 2Dsw cultures are reliable tools for the prediction of cholestatic liabilities</w:t>
      </w:r>
      <w:r w:rsidR="00017836">
        <w:rPr>
          <w:rFonts w:ascii="Calibri" w:hAnsi="Calibri"/>
          <w:sz w:val="24"/>
          <w:szCs w:val="24"/>
          <w:lang w:val="en-US"/>
        </w:rPr>
        <w:t xml:space="preserve"> (Chatterjee </w:t>
      </w:r>
      <w:r w:rsidR="00017836" w:rsidRPr="000A7195">
        <w:rPr>
          <w:rFonts w:ascii="Calibri" w:hAnsi="Calibri"/>
          <w:i/>
          <w:sz w:val="24"/>
          <w:szCs w:val="24"/>
          <w:lang w:val="en-US"/>
        </w:rPr>
        <w:t>et al</w:t>
      </w:r>
      <w:r w:rsidR="00017836">
        <w:rPr>
          <w:rFonts w:ascii="Calibri" w:hAnsi="Calibri"/>
          <w:sz w:val="24"/>
          <w:szCs w:val="24"/>
          <w:lang w:val="en-US"/>
        </w:rPr>
        <w:t xml:space="preserve">., 2014; Oorts </w:t>
      </w:r>
      <w:r w:rsidR="00017836" w:rsidRPr="000A7195">
        <w:rPr>
          <w:rFonts w:ascii="Calibri" w:hAnsi="Calibri"/>
          <w:i/>
          <w:sz w:val="24"/>
          <w:szCs w:val="24"/>
          <w:lang w:val="en-US"/>
        </w:rPr>
        <w:t>et al</w:t>
      </w:r>
      <w:r w:rsidR="00017836">
        <w:rPr>
          <w:rFonts w:ascii="Calibri" w:hAnsi="Calibri"/>
          <w:sz w:val="24"/>
          <w:szCs w:val="24"/>
          <w:lang w:val="en-US"/>
        </w:rPr>
        <w:t>., 2016).</w:t>
      </w:r>
      <w:r>
        <w:rPr>
          <w:rFonts w:ascii="Calibri" w:hAnsi="Calibri"/>
          <w:sz w:val="24"/>
          <w:szCs w:val="24"/>
          <w:lang w:val="en-US"/>
        </w:rPr>
        <w:t xml:space="preserve"> However, f</w:t>
      </w:r>
      <w:r w:rsidRPr="000735FC">
        <w:rPr>
          <w:rFonts w:ascii="Calibri" w:hAnsi="Calibri"/>
          <w:sz w:val="24"/>
          <w:szCs w:val="24"/>
          <w:lang w:val="en-US"/>
        </w:rPr>
        <w:t xml:space="preserve">or all of the </w:t>
      </w:r>
      <w:r>
        <w:rPr>
          <w:rFonts w:ascii="Calibri" w:hAnsi="Calibri"/>
          <w:sz w:val="24"/>
          <w:szCs w:val="24"/>
          <w:lang w:val="en-US"/>
        </w:rPr>
        <w:t xml:space="preserve">test </w:t>
      </w:r>
      <w:r w:rsidRPr="000735FC">
        <w:rPr>
          <w:rFonts w:ascii="Calibri" w:hAnsi="Calibri"/>
          <w:sz w:val="24"/>
          <w:szCs w:val="24"/>
          <w:lang w:val="en-US"/>
        </w:rPr>
        <w:t>compounds, clearance data will eventually be required in follow-up studies to bridge sensitivity to chemical exposure.</w:t>
      </w:r>
    </w:p>
    <w:p w14:paraId="2054CF8C" w14:textId="77777777" w:rsidR="00E831B6" w:rsidRPr="00677855" w:rsidRDefault="00E831B6" w:rsidP="00017836">
      <w:pPr>
        <w:spacing w:line="480" w:lineRule="auto"/>
        <w:jc w:val="both"/>
        <w:rPr>
          <w:rFonts w:ascii="Calibri" w:hAnsi="Calibri"/>
          <w:sz w:val="24"/>
          <w:szCs w:val="24"/>
          <w:lang w:val="en-US"/>
        </w:rPr>
      </w:pPr>
    </w:p>
    <w:p w14:paraId="70AAE6F4" w14:textId="71B1CE92" w:rsidR="00E831B6"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A crucial prerequisite for more wide-spread dissemination of any platform for toxicity testing are large-scale validation studies, ideally performed in a multi-center setting. In the present study we assessed the robustness of the platforms towards inter-individual variability between donors and variability between participating laboratories. A variety of patient-specific factors, such as physiological parameters, environmental exposures or genetic predisposition have been described that influence risk and severity of adverse drug reactions. Previous studies have reported only minor inter-individual differences in PHH 2D monolayer cultures</w:t>
      </w:r>
      <w:r>
        <w:rPr>
          <w:rFonts w:ascii="Calibri" w:hAnsi="Calibri"/>
          <w:sz w:val="24"/>
          <w:szCs w:val="24"/>
          <w:lang w:val="en-US"/>
        </w:rPr>
        <w:t xml:space="preserve"> when using EC</w:t>
      </w:r>
      <w:r w:rsidRPr="0054631D">
        <w:rPr>
          <w:rFonts w:ascii="Calibri" w:hAnsi="Calibri"/>
          <w:sz w:val="24"/>
          <w:szCs w:val="24"/>
          <w:vertAlign w:val="subscript"/>
          <w:lang w:val="en-US"/>
        </w:rPr>
        <w:t>50</w:t>
      </w:r>
      <w:r w:rsidRPr="00D83C79">
        <w:rPr>
          <w:rFonts w:ascii="Calibri" w:hAnsi="Calibri"/>
          <w:sz w:val="24"/>
          <w:szCs w:val="24"/>
          <w:lang w:val="en-US"/>
        </w:rPr>
        <w:t xml:space="preserve"> values </w:t>
      </w:r>
      <w:r>
        <w:rPr>
          <w:rFonts w:ascii="Calibri" w:hAnsi="Calibri"/>
          <w:sz w:val="24"/>
          <w:szCs w:val="24"/>
          <w:lang w:val="en-US"/>
        </w:rPr>
        <w:t>as readout</w:t>
      </w:r>
      <w:r w:rsidR="00017836">
        <w:rPr>
          <w:rFonts w:ascii="Calibri" w:hAnsi="Calibri"/>
          <w:sz w:val="24"/>
          <w:szCs w:val="24"/>
          <w:lang w:val="en-US"/>
        </w:rPr>
        <w:t xml:space="preserve"> (Sison-Young </w:t>
      </w:r>
      <w:r w:rsidR="00017836" w:rsidRPr="000A7195">
        <w:rPr>
          <w:rFonts w:ascii="Calibri" w:hAnsi="Calibri"/>
          <w:i/>
          <w:sz w:val="24"/>
          <w:szCs w:val="24"/>
          <w:lang w:val="en-US"/>
        </w:rPr>
        <w:t>et al</w:t>
      </w:r>
      <w:r w:rsidR="00017836">
        <w:rPr>
          <w:rFonts w:ascii="Calibri" w:hAnsi="Calibri"/>
          <w:sz w:val="24"/>
          <w:szCs w:val="24"/>
          <w:lang w:val="en-US"/>
        </w:rPr>
        <w:t>., 201</w:t>
      </w:r>
      <w:r w:rsidR="000A7195">
        <w:rPr>
          <w:rFonts w:ascii="Calibri" w:hAnsi="Calibri"/>
          <w:sz w:val="24"/>
          <w:szCs w:val="24"/>
          <w:lang w:val="en-US"/>
        </w:rPr>
        <w:t>6</w:t>
      </w:r>
      <w:r w:rsidR="00017836">
        <w:rPr>
          <w:rFonts w:ascii="Calibri" w:hAnsi="Calibri"/>
          <w:sz w:val="24"/>
          <w:szCs w:val="24"/>
          <w:lang w:val="en-US"/>
        </w:rPr>
        <w:t>)</w:t>
      </w:r>
      <w:r w:rsidRPr="00677855">
        <w:rPr>
          <w:rFonts w:ascii="Calibri" w:hAnsi="Calibri"/>
          <w:sz w:val="24"/>
          <w:szCs w:val="24"/>
          <w:lang w:val="en-US"/>
        </w:rPr>
        <w:t xml:space="preserve"> and, in agreement with these findings, we did not detect significant differences between donors for any of the compounds tested. </w:t>
      </w:r>
      <w:r w:rsidRPr="00AE7E40">
        <w:rPr>
          <w:rFonts w:ascii="Calibri" w:hAnsi="Calibri"/>
          <w:sz w:val="24"/>
          <w:szCs w:val="24"/>
          <w:lang w:val="en-US"/>
        </w:rPr>
        <w:t xml:space="preserve">When applying a daily treatment protocol and using the highest non-cytotoxic concentration as readout, inter-donor variability was </w:t>
      </w:r>
      <w:r>
        <w:rPr>
          <w:rFonts w:ascii="Calibri" w:hAnsi="Calibri"/>
          <w:sz w:val="24"/>
          <w:szCs w:val="24"/>
          <w:lang w:val="en-US"/>
        </w:rPr>
        <w:t xml:space="preserve">previously </w:t>
      </w:r>
      <w:r w:rsidRPr="00AE7E40">
        <w:rPr>
          <w:rFonts w:ascii="Calibri" w:hAnsi="Calibri"/>
          <w:sz w:val="24"/>
          <w:szCs w:val="24"/>
          <w:lang w:val="en-US"/>
        </w:rPr>
        <w:t xml:space="preserve">seen with APAP and diclofenac after short-term </w:t>
      </w:r>
      <w:r>
        <w:rPr>
          <w:rFonts w:ascii="Calibri" w:hAnsi="Calibri"/>
          <w:sz w:val="24"/>
          <w:szCs w:val="24"/>
          <w:lang w:val="en-US"/>
        </w:rPr>
        <w:t xml:space="preserve">(72h) </w:t>
      </w:r>
      <w:r w:rsidRPr="00AE7E40">
        <w:rPr>
          <w:rFonts w:ascii="Calibri" w:hAnsi="Calibri"/>
          <w:sz w:val="24"/>
          <w:szCs w:val="24"/>
          <w:lang w:val="en-US"/>
        </w:rPr>
        <w:t xml:space="preserve">treatment of PHH in 2Dsw </w:t>
      </w:r>
      <w:r>
        <w:rPr>
          <w:rFonts w:ascii="Calibri" w:hAnsi="Calibri"/>
          <w:noProof/>
          <w:sz w:val="24"/>
          <w:szCs w:val="24"/>
          <w:lang w:val="en-US"/>
        </w:rPr>
        <w:t>(Richert</w:t>
      </w:r>
      <w:r w:rsidRPr="007D68DF">
        <w:rPr>
          <w:rFonts w:ascii="Calibri" w:hAnsi="Calibri"/>
          <w:i/>
          <w:noProof/>
          <w:sz w:val="24"/>
          <w:szCs w:val="24"/>
          <w:lang w:val="en-US"/>
        </w:rPr>
        <w:t xml:space="preserve"> et al.</w:t>
      </w:r>
      <w:r>
        <w:rPr>
          <w:rFonts w:ascii="Calibri" w:hAnsi="Calibri"/>
          <w:noProof/>
          <w:sz w:val="24"/>
          <w:szCs w:val="24"/>
          <w:lang w:val="en-US"/>
        </w:rPr>
        <w:t>, 2016)</w:t>
      </w:r>
      <w:r w:rsidRPr="00AE7E40">
        <w:rPr>
          <w:rFonts w:ascii="Calibri" w:hAnsi="Calibri"/>
          <w:sz w:val="24"/>
          <w:szCs w:val="24"/>
          <w:lang w:val="en-US"/>
        </w:rPr>
        <w:t xml:space="preserve">. This was not seen in the present study after long-term treatment, most probably due the </w:t>
      </w:r>
      <w:r>
        <w:rPr>
          <w:rFonts w:ascii="Calibri" w:hAnsi="Calibri"/>
          <w:sz w:val="24"/>
          <w:szCs w:val="24"/>
          <w:lang w:val="en-US"/>
        </w:rPr>
        <w:t xml:space="preserve">gradual </w:t>
      </w:r>
      <w:r w:rsidRPr="00AE7E40">
        <w:rPr>
          <w:rFonts w:ascii="Calibri" w:hAnsi="Calibri"/>
          <w:sz w:val="24"/>
          <w:szCs w:val="24"/>
          <w:lang w:val="en-US"/>
        </w:rPr>
        <w:t xml:space="preserve">loss of CYP activities that play a role in the cytotoxicity of both compounds (Figure </w:t>
      </w:r>
      <w:r w:rsidR="00507A4F">
        <w:rPr>
          <w:rFonts w:ascii="Calibri" w:hAnsi="Calibri"/>
          <w:sz w:val="24"/>
          <w:szCs w:val="24"/>
          <w:lang w:val="en-US"/>
        </w:rPr>
        <w:t>4</w:t>
      </w:r>
      <w:r w:rsidRPr="00AE7E40">
        <w:rPr>
          <w:rFonts w:ascii="Calibri" w:hAnsi="Calibri"/>
          <w:sz w:val="24"/>
          <w:szCs w:val="24"/>
          <w:lang w:val="en-US"/>
        </w:rPr>
        <w:t xml:space="preserve">). </w:t>
      </w:r>
      <w:r>
        <w:rPr>
          <w:rFonts w:ascii="Calibri" w:hAnsi="Calibri"/>
          <w:sz w:val="24"/>
          <w:szCs w:val="24"/>
          <w:lang w:val="en-US"/>
        </w:rPr>
        <w:t>A</w:t>
      </w:r>
      <w:r w:rsidRPr="00677855">
        <w:rPr>
          <w:rFonts w:ascii="Calibri" w:hAnsi="Calibri"/>
          <w:sz w:val="24"/>
          <w:szCs w:val="24"/>
          <w:lang w:val="en-US"/>
        </w:rPr>
        <w:t xml:space="preserve">s </w:t>
      </w:r>
      <w:r w:rsidRPr="00677855">
        <w:rPr>
          <w:rFonts w:ascii="Calibri" w:hAnsi="Calibri"/>
          <w:i/>
          <w:sz w:val="24"/>
          <w:szCs w:val="24"/>
          <w:lang w:val="en-US"/>
        </w:rPr>
        <w:t>CYP</w:t>
      </w:r>
      <w:r w:rsidRPr="00677855">
        <w:rPr>
          <w:rFonts w:ascii="Calibri" w:hAnsi="Calibri"/>
          <w:sz w:val="24"/>
          <w:szCs w:val="24"/>
          <w:lang w:val="en-US"/>
        </w:rPr>
        <w:t xml:space="preserve"> genes are highly variable between populations </w:t>
      </w:r>
      <w:r>
        <w:rPr>
          <w:rFonts w:ascii="Calibri" w:hAnsi="Calibri"/>
          <w:noProof/>
          <w:sz w:val="24"/>
          <w:szCs w:val="24"/>
          <w:lang w:val="en-US"/>
        </w:rPr>
        <w:t>(Zhou</w:t>
      </w:r>
      <w:r w:rsidRPr="007D68DF">
        <w:rPr>
          <w:rFonts w:ascii="Calibri" w:hAnsi="Calibri"/>
          <w:i/>
          <w:noProof/>
          <w:sz w:val="24"/>
          <w:szCs w:val="24"/>
          <w:lang w:val="en-US"/>
        </w:rPr>
        <w:t xml:space="preserve"> et al.</w:t>
      </w:r>
      <w:r>
        <w:rPr>
          <w:rFonts w:ascii="Calibri" w:hAnsi="Calibri"/>
          <w:noProof/>
          <w:sz w:val="24"/>
          <w:szCs w:val="24"/>
          <w:lang w:val="en-US"/>
        </w:rPr>
        <w:t>, 2017)</w:t>
      </w:r>
      <w:r w:rsidRPr="00677855">
        <w:rPr>
          <w:rFonts w:ascii="Calibri" w:hAnsi="Calibri"/>
          <w:sz w:val="24"/>
          <w:szCs w:val="24"/>
          <w:lang w:val="en-US"/>
        </w:rPr>
        <w:t xml:space="preserve"> and previous studies already showed that genotypic differences can alter the pharmacokinetics of the respective </w:t>
      </w:r>
      <w:r w:rsidRPr="00677855">
        <w:rPr>
          <w:rFonts w:ascii="Calibri" w:hAnsi="Calibri"/>
          <w:sz w:val="24"/>
          <w:szCs w:val="24"/>
          <w:lang w:val="en-US"/>
        </w:rPr>
        <w:lastRenderedPageBreak/>
        <w:t>substrates</w:t>
      </w:r>
      <w:r w:rsidR="00017836">
        <w:rPr>
          <w:rFonts w:ascii="Calibri" w:hAnsi="Calibri"/>
          <w:sz w:val="24"/>
          <w:szCs w:val="24"/>
          <w:lang w:val="en-US"/>
        </w:rPr>
        <w:t xml:space="preserve"> (Vorrink </w:t>
      </w:r>
      <w:r w:rsidR="00017836" w:rsidRPr="000A7195">
        <w:rPr>
          <w:rFonts w:ascii="Calibri" w:hAnsi="Calibri"/>
          <w:i/>
          <w:sz w:val="24"/>
          <w:szCs w:val="24"/>
          <w:lang w:val="en-US"/>
        </w:rPr>
        <w:t>et al</w:t>
      </w:r>
      <w:r w:rsidR="00017836">
        <w:rPr>
          <w:rFonts w:ascii="Calibri" w:hAnsi="Calibri"/>
          <w:sz w:val="24"/>
          <w:szCs w:val="24"/>
          <w:lang w:val="en-US"/>
        </w:rPr>
        <w:t>., 2017)</w:t>
      </w:r>
      <w:r w:rsidRPr="00677855">
        <w:rPr>
          <w:rFonts w:ascii="Calibri" w:hAnsi="Calibri"/>
          <w:sz w:val="24"/>
          <w:szCs w:val="24"/>
          <w:lang w:val="en-US"/>
        </w:rPr>
        <w:t xml:space="preserve">, it is likely that larger scale investigations with donors from different ethnic backgrounds and with selected genotypes of interest will reveal </w:t>
      </w:r>
      <w:r>
        <w:rPr>
          <w:rFonts w:ascii="Calibri" w:hAnsi="Calibri"/>
          <w:sz w:val="24"/>
          <w:szCs w:val="24"/>
          <w:lang w:val="en-US"/>
        </w:rPr>
        <w:t>more noticeable</w:t>
      </w:r>
      <w:r w:rsidRPr="00677855">
        <w:rPr>
          <w:rFonts w:ascii="Calibri" w:hAnsi="Calibri"/>
          <w:sz w:val="24"/>
          <w:szCs w:val="24"/>
          <w:lang w:val="en-US"/>
        </w:rPr>
        <w:t xml:space="preserve"> differences in drug sensitivities between donors also </w:t>
      </w:r>
      <w:r w:rsidRPr="00677855">
        <w:rPr>
          <w:rFonts w:ascii="Calibri" w:hAnsi="Calibri"/>
          <w:i/>
          <w:sz w:val="24"/>
          <w:szCs w:val="24"/>
          <w:lang w:val="en-US"/>
        </w:rPr>
        <w:t>in vitro</w:t>
      </w:r>
      <w:r w:rsidRPr="00677855">
        <w:rPr>
          <w:rFonts w:ascii="Calibri" w:hAnsi="Calibri"/>
          <w:sz w:val="24"/>
          <w:szCs w:val="24"/>
          <w:lang w:val="en-US"/>
        </w:rPr>
        <w:t xml:space="preserve">. Importantly, using the harmonized protocol that was adhered to by all partners in this study, inter-laboratory variability was overall </w:t>
      </w:r>
      <w:r>
        <w:rPr>
          <w:rFonts w:ascii="Calibri" w:hAnsi="Calibri"/>
          <w:sz w:val="24"/>
          <w:szCs w:val="24"/>
          <w:lang w:val="en-US"/>
        </w:rPr>
        <w:t>quite</w:t>
      </w:r>
      <w:r w:rsidRPr="00677855">
        <w:rPr>
          <w:rFonts w:ascii="Calibri" w:hAnsi="Calibri"/>
          <w:sz w:val="24"/>
          <w:szCs w:val="24"/>
          <w:lang w:val="en-US"/>
        </w:rPr>
        <w:t xml:space="preserve"> similar between 2Dsw and 3D spheroid cultures</w:t>
      </w:r>
      <w:r>
        <w:rPr>
          <w:rFonts w:ascii="Calibri" w:hAnsi="Calibri"/>
          <w:sz w:val="24"/>
          <w:szCs w:val="24"/>
          <w:lang w:val="en-US"/>
        </w:rPr>
        <w:t xml:space="preserve"> when considering the EC50 values obtained for the hepatoxic compounds</w:t>
      </w:r>
      <w:r w:rsidRPr="00677855">
        <w:rPr>
          <w:rFonts w:ascii="Calibri" w:hAnsi="Calibri"/>
          <w:sz w:val="24"/>
          <w:szCs w:val="24"/>
          <w:lang w:val="en-US"/>
        </w:rPr>
        <w:t xml:space="preserve"> (CV between labs</w:t>
      </w:r>
      <w:r>
        <w:rPr>
          <w:rFonts w:ascii="Calibri" w:hAnsi="Calibri"/>
          <w:sz w:val="24"/>
          <w:szCs w:val="24"/>
          <w:lang w:val="en-US"/>
        </w:rPr>
        <w:t xml:space="preserve"> (donor 1)</w:t>
      </w:r>
      <w:r w:rsidRPr="00677855">
        <w:rPr>
          <w:rFonts w:ascii="Calibri" w:hAnsi="Calibri"/>
          <w:sz w:val="24"/>
          <w:szCs w:val="24"/>
          <w:lang w:val="en-US"/>
        </w:rPr>
        <w:t>: 31±18% S.D. in 2Dsw and 53±36% S.D. in 3D spheroids; p=0.054).</w:t>
      </w:r>
    </w:p>
    <w:p w14:paraId="676B0836" w14:textId="77777777" w:rsidR="00E831B6" w:rsidRPr="00677855" w:rsidRDefault="00E831B6" w:rsidP="00017836">
      <w:pPr>
        <w:spacing w:line="480" w:lineRule="auto"/>
        <w:jc w:val="both"/>
        <w:rPr>
          <w:rFonts w:ascii="Calibri" w:hAnsi="Calibri"/>
          <w:sz w:val="24"/>
          <w:szCs w:val="24"/>
          <w:lang w:val="en-US"/>
        </w:rPr>
      </w:pPr>
    </w:p>
    <w:p w14:paraId="1026FD46" w14:textId="77777777"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In this study we evaluated the sensitivity of 2Dsw and 3D spheroid models using cytotoxicity as an endpoint. However, more complex endpoints, which can resolve more subtle alterations in cellular health or molecular phenotypes, might better separate the cell models. Indeed, gene expression alterations specific for cholestatis, steatosis or genotoxicity have been identified in </w:t>
      </w:r>
      <w:r>
        <w:rPr>
          <w:rFonts w:ascii="Calibri" w:hAnsi="Calibri"/>
          <w:sz w:val="24"/>
          <w:szCs w:val="24"/>
          <w:lang w:val="en-US"/>
        </w:rPr>
        <w:t xml:space="preserve">cryopreserved </w:t>
      </w:r>
      <w:r w:rsidRPr="00677855">
        <w:rPr>
          <w:rFonts w:ascii="Calibri" w:hAnsi="Calibri"/>
          <w:sz w:val="24"/>
          <w:szCs w:val="24"/>
          <w:lang w:val="en-US"/>
        </w:rPr>
        <w:t xml:space="preserve">PHH spheroids that precede cytotoxicity and inform about underlying toxicity mechanisms </w:t>
      </w:r>
      <w:r>
        <w:rPr>
          <w:rFonts w:ascii="Calibri" w:hAnsi="Calibri"/>
          <w:noProof/>
          <w:sz w:val="24"/>
          <w:szCs w:val="24"/>
          <w:lang w:val="en-US"/>
        </w:rPr>
        <w:t>(Bell</w:t>
      </w:r>
      <w:r w:rsidRPr="007D68DF">
        <w:rPr>
          <w:rFonts w:ascii="Calibri" w:hAnsi="Calibri"/>
          <w:i/>
          <w:noProof/>
          <w:sz w:val="24"/>
          <w:szCs w:val="24"/>
          <w:lang w:val="en-US"/>
        </w:rPr>
        <w:t xml:space="preserve"> et al.</w:t>
      </w:r>
      <w:r>
        <w:rPr>
          <w:rFonts w:ascii="Calibri" w:hAnsi="Calibri"/>
          <w:noProof/>
          <w:sz w:val="24"/>
          <w:szCs w:val="24"/>
          <w:lang w:val="en-US"/>
        </w:rPr>
        <w:t>, 2017)</w:t>
      </w:r>
      <w:r w:rsidRPr="00677855">
        <w:rPr>
          <w:rFonts w:ascii="Calibri" w:hAnsi="Calibri"/>
          <w:sz w:val="24"/>
          <w:szCs w:val="24"/>
          <w:lang w:val="en-US"/>
        </w:rPr>
        <w:t xml:space="preserve">. Furthermore, image-based screening approaches that automatically integrate various endpoints, such as nuclear and cell shape and size, mitochondrial membrane potential, phospholipid accumulation, apoptosis or cytoskeleton integrity have been shown to improve hepatotoxicity predictions </w:t>
      </w:r>
      <w:r>
        <w:rPr>
          <w:rFonts w:ascii="Calibri" w:hAnsi="Calibri"/>
          <w:noProof/>
          <w:sz w:val="24"/>
          <w:szCs w:val="24"/>
          <w:lang w:val="en-US"/>
        </w:rPr>
        <w:t>(Sirenko</w:t>
      </w:r>
      <w:r w:rsidRPr="007D68DF">
        <w:rPr>
          <w:rFonts w:ascii="Calibri" w:hAnsi="Calibri"/>
          <w:i/>
          <w:noProof/>
          <w:sz w:val="24"/>
          <w:szCs w:val="24"/>
          <w:lang w:val="en-US"/>
        </w:rPr>
        <w:t xml:space="preserve"> et al.</w:t>
      </w:r>
      <w:r>
        <w:rPr>
          <w:rFonts w:ascii="Calibri" w:hAnsi="Calibri"/>
          <w:noProof/>
          <w:sz w:val="24"/>
          <w:szCs w:val="24"/>
          <w:lang w:val="en-US"/>
        </w:rPr>
        <w:t>, 2014)</w:t>
      </w:r>
      <w:r w:rsidRPr="00677855">
        <w:rPr>
          <w:rFonts w:ascii="Calibri" w:hAnsi="Calibri"/>
          <w:sz w:val="24"/>
          <w:szCs w:val="24"/>
          <w:lang w:val="en-US"/>
        </w:rPr>
        <w:t xml:space="preserve">. </w:t>
      </w:r>
    </w:p>
    <w:p w14:paraId="42CF315C" w14:textId="77777777" w:rsidR="00E831B6" w:rsidRPr="00677855"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 xml:space="preserve">In conclusion, we benchmarked PHH </w:t>
      </w:r>
      <w:r>
        <w:rPr>
          <w:rFonts w:ascii="Calibri" w:hAnsi="Calibri"/>
          <w:sz w:val="24"/>
          <w:szCs w:val="24"/>
          <w:lang w:val="en-US"/>
        </w:rPr>
        <w:t xml:space="preserve">as 3D </w:t>
      </w:r>
      <w:r w:rsidRPr="00677855">
        <w:rPr>
          <w:rFonts w:ascii="Calibri" w:hAnsi="Calibri"/>
          <w:sz w:val="24"/>
          <w:szCs w:val="24"/>
          <w:lang w:val="en-US"/>
        </w:rPr>
        <w:t>spheroid culture model against 2D</w:t>
      </w:r>
      <w:r>
        <w:rPr>
          <w:rFonts w:ascii="Calibri" w:hAnsi="Calibri"/>
          <w:sz w:val="24"/>
          <w:szCs w:val="24"/>
          <w:lang w:val="en-US"/>
        </w:rPr>
        <w:t xml:space="preserve">sw cultures </w:t>
      </w:r>
      <w:r w:rsidRPr="00677855">
        <w:rPr>
          <w:rFonts w:ascii="Calibri" w:hAnsi="Calibri"/>
          <w:sz w:val="24"/>
          <w:szCs w:val="24"/>
          <w:lang w:val="en-US"/>
        </w:rPr>
        <w:t xml:space="preserve">established from the same donors and found that 3D spheroids were more functionally stable and exhibited increased sensitivity </w:t>
      </w:r>
      <w:r>
        <w:rPr>
          <w:rFonts w:ascii="Calibri" w:hAnsi="Calibri"/>
          <w:sz w:val="24"/>
          <w:szCs w:val="24"/>
          <w:lang w:val="en-US"/>
        </w:rPr>
        <w:t xml:space="preserve">after long-term repeated exposures </w:t>
      </w:r>
      <w:r w:rsidRPr="00677855">
        <w:rPr>
          <w:rFonts w:ascii="Calibri" w:hAnsi="Calibri"/>
          <w:sz w:val="24"/>
          <w:szCs w:val="24"/>
          <w:lang w:val="en-US"/>
        </w:rPr>
        <w:t xml:space="preserve">for the detection of hepatotoxicity </w:t>
      </w:r>
      <w:r>
        <w:rPr>
          <w:rFonts w:ascii="Calibri" w:hAnsi="Calibri"/>
          <w:sz w:val="24"/>
          <w:szCs w:val="24"/>
          <w:lang w:val="en-US"/>
        </w:rPr>
        <w:t xml:space="preserve">presumably </w:t>
      </w:r>
      <w:r w:rsidRPr="00677855">
        <w:rPr>
          <w:rFonts w:ascii="Calibri" w:hAnsi="Calibri"/>
          <w:sz w:val="24"/>
          <w:szCs w:val="24"/>
          <w:lang w:val="en-US"/>
        </w:rPr>
        <w:t xml:space="preserve">due to reactive metabolites or mitochondrial perturbations, including inhibition of β-oxidation or mitochondrial respiration, uncoupling of oxidative </w:t>
      </w:r>
      <w:r w:rsidRPr="00677855">
        <w:rPr>
          <w:rFonts w:ascii="Calibri" w:hAnsi="Calibri"/>
          <w:sz w:val="24"/>
          <w:szCs w:val="24"/>
          <w:lang w:val="en-US"/>
        </w:rPr>
        <w:lastRenderedPageBreak/>
        <w:t>phosphorylation or mitochondrial DNA depletion, such as that induced by APAP, diclofenac, fialuridine and troglitazone, whereas both paradigms performed equally well for the detection of cholestatic liabilities, as exemplified by bosentan. Furthermore, our proteomic and functional analyses revealed important culture method-induced differences in phase I and phase II enzymes as well as drug transporters, which are underlying the differential sensitivity to hepatotoxins. Lastly, this study was successful in setting up a robust culture protocol at multiple sites, allowing to exploit the phenotype of hepatocytes cultured in 3D spheroid configuration for future screening applications as well as mechanistic studies.</w:t>
      </w:r>
    </w:p>
    <w:p w14:paraId="21A5627A" w14:textId="77777777" w:rsidR="00E831B6" w:rsidRPr="00677855" w:rsidRDefault="00E831B6" w:rsidP="00017836">
      <w:pPr>
        <w:spacing w:line="480" w:lineRule="auto"/>
        <w:jc w:val="both"/>
        <w:rPr>
          <w:rFonts w:ascii="Calibri" w:hAnsi="Calibri"/>
          <w:sz w:val="24"/>
          <w:szCs w:val="24"/>
          <w:lang w:val="en-US"/>
        </w:rPr>
      </w:pPr>
    </w:p>
    <w:p w14:paraId="60BFA3CE" w14:textId="77777777" w:rsidR="00E831B6" w:rsidRPr="00677855" w:rsidRDefault="00E831B6" w:rsidP="00017836">
      <w:pPr>
        <w:spacing w:line="480" w:lineRule="auto"/>
        <w:jc w:val="both"/>
        <w:rPr>
          <w:rFonts w:ascii="Calibri" w:hAnsi="Calibri"/>
          <w:sz w:val="24"/>
          <w:szCs w:val="24"/>
          <w:lang w:val="en-US"/>
        </w:rPr>
      </w:pPr>
    </w:p>
    <w:p w14:paraId="32FC0C99"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Acknowledgements</w:t>
      </w:r>
    </w:p>
    <w:p w14:paraId="0A7C1F9A" w14:textId="77777777" w:rsidR="00E831B6" w:rsidRPr="00677855" w:rsidRDefault="00E831B6" w:rsidP="00017836">
      <w:pPr>
        <w:spacing w:line="480" w:lineRule="auto"/>
        <w:jc w:val="both"/>
        <w:rPr>
          <w:rFonts w:ascii="Calibri" w:hAnsi="Calibri" w:cs="Times New Roman"/>
          <w:sz w:val="24"/>
          <w:szCs w:val="24"/>
          <w:lang w:val="en-US"/>
        </w:rPr>
      </w:pPr>
      <w:r w:rsidRPr="00677855">
        <w:rPr>
          <w:rFonts w:ascii="Calibri" w:hAnsi="Calibri" w:cs="Times New Roman"/>
          <w:sz w:val="24"/>
          <w:szCs w:val="24"/>
          <w:lang w:val="en-US"/>
        </w:rPr>
        <w:t>This study was supported by the Innovative Medicine Initiative project MIP-DILI [115336] and by the Swedish Research Council [</w:t>
      </w:r>
      <w:r>
        <w:rPr>
          <w:rFonts w:ascii="Calibri" w:hAnsi="Calibri" w:cs="Times New Roman"/>
          <w:sz w:val="24"/>
          <w:szCs w:val="24"/>
          <w:lang w:val="en-US"/>
        </w:rPr>
        <w:t xml:space="preserve">2016- 06222, </w:t>
      </w:r>
      <w:r w:rsidRPr="00677855">
        <w:rPr>
          <w:rFonts w:ascii="Calibri" w:hAnsi="Calibri" w:cs="Times New Roman"/>
          <w:sz w:val="24"/>
          <w:szCs w:val="24"/>
          <w:lang w:val="en-US"/>
        </w:rPr>
        <w:t>2016-01153 and 2016-01154].</w:t>
      </w:r>
      <w:r>
        <w:rPr>
          <w:rFonts w:ascii="Calibri" w:hAnsi="Calibri" w:cs="Times New Roman"/>
          <w:sz w:val="24"/>
          <w:szCs w:val="24"/>
          <w:lang w:val="en-US"/>
        </w:rPr>
        <w:t xml:space="preserve"> </w:t>
      </w:r>
      <w:r w:rsidRPr="00214A24">
        <w:rPr>
          <w:rFonts w:ascii="Calibri" w:hAnsi="Calibri" w:cs="Times New Roman"/>
          <w:sz w:val="24"/>
          <w:szCs w:val="24"/>
          <w:lang w:val="en-US"/>
        </w:rPr>
        <w:t xml:space="preserve">We express our gratitude to Profs. P. Bachellier (Hôpital de Hautepierre, Avenue Molière 67100 Strasbourg, France) </w:t>
      </w:r>
      <w:r w:rsidRPr="00AE7E40">
        <w:rPr>
          <w:rFonts w:ascii="Calibri" w:hAnsi="Calibri" w:cs="Times New Roman"/>
          <w:sz w:val="24"/>
          <w:szCs w:val="24"/>
          <w:lang w:val="en-US"/>
        </w:rPr>
        <w:t xml:space="preserve">and B. Heyd </w:t>
      </w:r>
      <w:r>
        <w:rPr>
          <w:rFonts w:ascii="Calibri" w:hAnsi="Calibri" w:cs="Times New Roman"/>
          <w:sz w:val="24"/>
          <w:szCs w:val="24"/>
          <w:lang w:val="en-US"/>
        </w:rPr>
        <w:t>(</w:t>
      </w:r>
      <w:r w:rsidRPr="00AE7E40">
        <w:rPr>
          <w:rFonts w:ascii="Calibri" w:hAnsi="Calibri" w:cs="Times New Roman"/>
          <w:sz w:val="24"/>
          <w:szCs w:val="24"/>
        </w:rPr>
        <w:t xml:space="preserve">Hôpital Jean Minjoz, 3 Boulevard Alexandre Fleming 25000 Besançon, France) </w:t>
      </w:r>
      <w:r w:rsidRPr="00AE7E40">
        <w:rPr>
          <w:rFonts w:ascii="Calibri" w:hAnsi="Calibri" w:cs="Times New Roman"/>
          <w:sz w:val="24"/>
          <w:szCs w:val="24"/>
          <w:lang w:val="en-US"/>
        </w:rPr>
        <w:t>for providing liver samples</w:t>
      </w:r>
      <w:r>
        <w:rPr>
          <w:rFonts w:ascii="Calibri" w:hAnsi="Calibri" w:cs="Times New Roman"/>
          <w:sz w:val="24"/>
          <w:szCs w:val="24"/>
          <w:lang w:val="en-US"/>
        </w:rPr>
        <w:t>.</w:t>
      </w:r>
      <w:r w:rsidRPr="00677855">
        <w:rPr>
          <w:rFonts w:ascii="Calibri" w:hAnsi="Calibri" w:cs="Times New Roman"/>
          <w:sz w:val="24"/>
          <w:szCs w:val="24"/>
          <w:lang w:val="en-US"/>
        </w:rPr>
        <w:t xml:space="preserve"> </w:t>
      </w:r>
    </w:p>
    <w:p w14:paraId="56D51E80" w14:textId="77777777" w:rsidR="00E831B6" w:rsidRPr="00677855" w:rsidRDefault="00E831B6" w:rsidP="00017836">
      <w:pPr>
        <w:spacing w:line="480" w:lineRule="auto"/>
        <w:jc w:val="both"/>
        <w:rPr>
          <w:rFonts w:ascii="Calibri" w:hAnsi="Calibri"/>
          <w:sz w:val="24"/>
          <w:szCs w:val="24"/>
          <w:lang w:val="en-US"/>
        </w:rPr>
      </w:pPr>
    </w:p>
    <w:p w14:paraId="4900003F" w14:textId="77777777" w:rsidR="00E831B6" w:rsidRPr="00677855" w:rsidRDefault="00E831B6" w:rsidP="00017836">
      <w:pPr>
        <w:spacing w:line="480" w:lineRule="auto"/>
        <w:jc w:val="both"/>
        <w:rPr>
          <w:rFonts w:ascii="Calibri" w:hAnsi="Calibri"/>
          <w:sz w:val="24"/>
          <w:szCs w:val="24"/>
          <w:lang w:val="en-US"/>
        </w:rPr>
      </w:pPr>
    </w:p>
    <w:p w14:paraId="2016525F"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Conflict of interest</w:t>
      </w:r>
    </w:p>
    <w:p w14:paraId="1362C60E" w14:textId="77777777" w:rsidR="00E831B6" w:rsidRPr="00CB4ECF" w:rsidRDefault="00E831B6" w:rsidP="00017836">
      <w:pPr>
        <w:spacing w:line="480" w:lineRule="auto"/>
        <w:jc w:val="both"/>
        <w:rPr>
          <w:rFonts w:ascii="Calibri" w:hAnsi="Calibri"/>
          <w:sz w:val="24"/>
          <w:szCs w:val="24"/>
          <w:lang w:val="en-US"/>
        </w:rPr>
      </w:pPr>
      <w:r w:rsidRPr="00677855">
        <w:rPr>
          <w:rFonts w:ascii="Calibri" w:hAnsi="Calibri"/>
          <w:sz w:val="24"/>
          <w:szCs w:val="24"/>
          <w:lang w:val="en-US"/>
        </w:rPr>
        <w:t>V.M.L. and M.I.-S. are co-founders and owners of HepaPredict AB.</w:t>
      </w:r>
      <w:r>
        <w:rPr>
          <w:rFonts w:ascii="Calibri" w:hAnsi="Calibri"/>
          <w:sz w:val="24"/>
          <w:szCs w:val="24"/>
          <w:lang w:val="en-US"/>
        </w:rPr>
        <w:t xml:space="preserve"> </w:t>
      </w:r>
      <w:r w:rsidRPr="00CB4ECF">
        <w:rPr>
          <w:rFonts w:ascii="Calibri" w:hAnsi="Calibri"/>
          <w:sz w:val="24"/>
          <w:szCs w:val="24"/>
          <w:lang w:val="en-US"/>
        </w:rPr>
        <w:t xml:space="preserve">CCB, DW, SR and AF are employed at AstraZeneca, LR is a co-founder of KaLy Cell, LR and AB are employed at KaLy </w:t>
      </w:r>
      <w:r w:rsidRPr="00CB4ECF">
        <w:rPr>
          <w:rFonts w:ascii="Calibri" w:hAnsi="Calibri"/>
          <w:sz w:val="24"/>
          <w:szCs w:val="24"/>
          <w:lang w:val="en-US"/>
        </w:rPr>
        <w:lastRenderedPageBreak/>
        <w:t>Cell, SJ and Tl are employees of Orion OY, TW and CS are employed at GSK, AvdV, FJ, JvH</w:t>
      </w:r>
      <w:r>
        <w:rPr>
          <w:rFonts w:ascii="Calibri" w:hAnsi="Calibri"/>
          <w:sz w:val="24"/>
          <w:szCs w:val="24"/>
          <w:lang w:val="en-US"/>
        </w:rPr>
        <w:t xml:space="preserve"> and JS are emplo</w:t>
      </w:r>
      <w:r w:rsidRPr="00CB4ECF">
        <w:rPr>
          <w:rFonts w:ascii="Calibri" w:hAnsi="Calibri"/>
          <w:sz w:val="24"/>
          <w:szCs w:val="24"/>
          <w:lang w:val="en-US"/>
        </w:rPr>
        <w:t>y</w:t>
      </w:r>
      <w:r>
        <w:rPr>
          <w:rFonts w:ascii="Calibri" w:hAnsi="Calibri"/>
          <w:sz w:val="24"/>
          <w:szCs w:val="24"/>
          <w:lang w:val="en-US"/>
        </w:rPr>
        <w:t>e</w:t>
      </w:r>
      <w:r w:rsidRPr="00CB4ECF">
        <w:rPr>
          <w:rFonts w:ascii="Calibri" w:hAnsi="Calibri"/>
          <w:sz w:val="24"/>
          <w:szCs w:val="24"/>
          <w:lang w:val="en-US"/>
        </w:rPr>
        <w:t>d at Janssen Pharmaceutical Companies of Johnson&amp;Johnson.</w:t>
      </w:r>
    </w:p>
    <w:p w14:paraId="4F54BBC3" w14:textId="77777777" w:rsidR="00E831B6" w:rsidRDefault="00E831B6" w:rsidP="00017836">
      <w:pPr>
        <w:spacing w:line="480" w:lineRule="auto"/>
        <w:jc w:val="both"/>
        <w:rPr>
          <w:rFonts w:ascii="Calibri" w:hAnsi="Calibri"/>
          <w:sz w:val="24"/>
          <w:szCs w:val="24"/>
          <w:lang w:val="en-US"/>
        </w:rPr>
      </w:pPr>
    </w:p>
    <w:p w14:paraId="00B3F5EB" w14:textId="77777777" w:rsidR="00E831B6" w:rsidRPr="00D86E6D" w:rsidRDefault="00E831B6" w:rsidP="00017836">
      <w:pPr>
        <w:spacing w:line="480" w:lineRule="auto"/>
        <w:jc w:val="both"/>
        <w:rPr>
          <w:rFonts w:ascii="Calibri" w:hAnsi="Calibri"/>
          <w:b/>
          <w:sz w:val="24"/>
          <w:szCs w:val="24"/>
          <w:lang w:val="en-US"/>
        </w:rPr>
      </w:pPr>
      <w:r w:rsidRPr="00D86E6D">
        <w:rPr>
          <w:rFonts w:ascii="Calibri" w:hAnsi="Calibri"/>
          <w:b/>
          <w:sz w:val="24"/>
          <w:szCs w:val="24"/>
          <w:lang w:val="en-US"/>
        </w:rPr>
        <w:t>Author contributions</w:t>
      </w:r>
    </w:p>
    <w:p w14:paraId="12EDF631" w14:textId="77777777" w:rsidR="00E831B6" w:rsidRPr="00D86E6D" w:rsidRDefault="00E831B6" w:rsidP="00017836">
      <w:pPr>
        <w:spacing w:line="480" w:lineRule="auto"/>
        <w:jc w:val="both"/>
        <w:rPr>
          <w:rFonts w:ascii="Calibri" w:hAnsi="Calibri"/>
          <w:sz w:val="24"/>
          <w:szCs w:val="24"/>
          <w:lang w:val="en-US"/>
        </w:rPr>
      </w:pPr>
      <w:r w:rsidRPr="00D86E6D">
        <w:rPr>
          <w:rFonts w:ascii="Calibri" w:hAnsi="Calibri"/>
          <w:sz w:val="24"/>
          <w:szCs w:val="24"/>
          <w:lang w:val="en-US"/>
        </w:rPr>
        <w:t>Project lead and planning: CCB, , LR, JS, MIS</w:t>
      </w:r>
    </w:p>
    <w:p w14:paraId="4E0A63A8" w14:textId="77777777" w:rsidR="00E831B6" w:rsidRPr="00D86E6D" w:rsidRDefault="00E831B6" w:rsidP="00017836">
      <w:pPr>
        <w:spacing w:line="480" w:lineRule="auto"/>
        <w:jc w:val="both"/>
        <w:rPr>
          <w:rFonts w:ascii="Calibri" w:hAnsi="Calibri"/>
          <w:sz w:val="24"/>
          <w:szCs w:val="24"/>
          <w:lang w:val="en-US"/>
        </w:rPr>
      </w:pPr>
      <w:r w:rsidRPr="00D86E6D">
        <w:rPr>
          <w:rFonts w:ascii="Calibri" w:hAnsi="Calibri"/>
          <w:sz w:val="24"/>
          <w:szCs w:val="24"/>
          <w:lang w:val="en-US"/>
        </w:rPr>
        <w:t xml:space="preserve">Experimental work: </w:t>
      </w:r>
      <w:r>
        <w:rPr>
          <w:rFonts w:ascii="Calibri" w:hAnsi="Calibri"/>
          <w:sz w:val="24"/>
          <w:szCs w:val="24"/>
          <w:lang w:val="en-US"/>
        </w:rPr>
        <w:t xml:space="preserve">AB, </w:t>
      </w:r>
      <w:r w:rsidRPr="00D86E6D">
        <w:rPr>
          <w:rFonts w:ascii="Calibri" w:hAnsi="Calibri"/>
          <w:sz w:val="24"/>
          <w:szCs w:val="24"/>
          <w:lang w:val="en-US"/>
        </w:rPr>
        <w:t xml:space="preserve">AD, AvdV, FJ, JvH, TW, </w:t>
      </w:r>
      <w:r>
        <w:rPr>
          <w:rFonts w:ascii="Calibri" w:hAnsi="Calibri"/>
          <w:sz w:val="24"/>
          <w:szCs w:val="24"/>
          <w:lang w:val="en-US"/>
        </w:rPr>
        <w:t xml:space="preserve">SR, </w:t>
      </w:r>
      <w:r w:rsidRPr="00D86E6D">
        <w:rPr>
          <w:rFonts w:ascii="Calibri" w:hAnsi="Calibri"/>
          <w:sz w:val="24"/>
          <w:szCs w:val="24"/>
          <w:lang w:val="en-US"/>
        </w:rPr>
        <w:t xml:space="preserve">CS, AF, RSY, </w:t>
      </w:r>
      <w:r>
        <w:rPr>
          <w:rFonts w:ascii="Calibri" w:hAnsi="Calibri"/>
          <w:sz w:val="24"/>
          <w:szCs w:val="24"/>
          <w:lang w:val="en-US"/>
        </w:rPr>
        <w:t>CCB</w:t>
      </w:r>
    </w:p>
    <w:p w14:paraId="7F9E0FAA" w14:textId="77777777" w:rsidR="00E831B6" w:rsidRPr="00D86E6D" w:rsidRDefault="00E831B6" w:rsidP="00017836">
      <w:pPr>
        <w:spacing w:line="480" w:lineRule="auto"/>
        <w:jc w:val="both"/>
        <w:rPr>
          <w:rFonts w:ascii="Calibri" w:hAnsi="Calibri"/>
          <w:sz w:val="24"/>
          <w:szCs w:val="24"/>
          <w:lang w:val="en-US"/>
        </w:rPr>
      </w:pPr>
      <w:r w:rsidRPr="00D86E6D">
        <w:rPr>
          <w:rFonts w:ascii="Calibri" w:hAnsi="Calibri"/>
          <w:sz w:val="24"/>
          <w:szCs w:val="24"/>
          <w:lang w:val="en-US"/>
        </w:rPr>
        <w:t>Data analyses: VML, CCB, TL, SJ, R</w:t>
      </w:r>
      <w:r>
        <w:rPr>
          <w:rFonts w:ascii="Calibri" w:hAnsi="Calibri"/>
          <w:sz w:val="24"/>
          <w:szCs w:val="24"/>
          <w:lang w:val="en-US"/>
        </w:rPr>
        <w:t>J</w:t>
      </w:r>
      <w:r w:rsidRPr="00D86E6D">
        <w:rPr>
          <w:rFonts w:ascii="Calibri" w:hAnsi="Calibri"/>
          <w:sz w:val="24"/>
          <w:szCs w:val="24"/>
          <w:lang w:val="en-US"/>
        </w:rPr>
        <w:t>, AF, DW, CR, AB, LR, MIS</w:t>
      </w:r>
    </w:p>
    <w:p w14:paraId="6DCBD701" w14:textId="77777777" w:rsidR="00E831B6" w:rsidRPr="00D86E6D" w:rsidRDefault="00E831B6" w:rsidP="00017836">
      <w:pPr>
        <w:spacing w:line="480" w:lineRule="auto"/>
        <w:jc w:val="both"/>
        <w:rPr>
          <w:rFonts w:ascii="Calibri" w:hAnsi="Calibri"/>
          <w:sz w:val="24"/>
          <w:szCs w:val="24"/>
          <w:lang w:val="en-US"/>
        </w:rPr>
      </w:pPr>
      <w:r w:rsidRPr="00D86E6D">
        <w:rPr>
          <w:rFonts w:ascii="Calibri" w:hAnsi="Calibri"/>
          <w:sz w:val="24"/>
          <w:szCs w:val="24"/>
          <w:lang w:val="en-US"/>
        </w:rPr>
        <w:t>Manuscript writing and/or editing: VML, CCB, KP, AF, DW</w:t>
      </w:r>
      <w:r>
        <w:rPr>
          <w:rFonts w:ascii="Calibri" w:hAnsi="Calibri"/>
          <w:sz w:val="24"/>
          <w:szCs w:val="24"/>
          <w:lang w:val="en-US"/>
        </w:rPr>
        <w:t>,</w:t>
      </w:r>
      <w:r w:rsidRPr="00D86E6D">
        <w:rPr>
          <w:rFonts w:ascii="Calibri" w:hAnsi="Calibri"/>
          <w:sz w:val="24"/>
          <w:szCs w:val="24"/>
          <w:lang w:val="en-US"/>
        </w:rPr>
        <w:t xml:space="preserve"> AB, LR, MIS</w:t>
      </w:r>
    </w:p>
    <w:p w14:paraId="40043115" w14:textId="77777777" w:rsidR="00E831B6" w:rsidRPr="00677855" w:rsidRDefault="00E831B6" w:rsidP="00017836">
      <w:pPr>
        <w:spacing w:line="480" w:lineRule="auto"/>
        <w:jc w:val="both"/>
        <w:rPr>
          <w:rFonts w:ascii="Calibri" w:hAnsi="Calibri"/>
          <w:sz w:val="24"/>
          <w:szCs w:val="24"/>
          <w:lang w:val="en-US"/>
        </w:rPr>
      </w:pPr>
    </w:p>
    <w:p w14:paraId="7BDBC5DF" w14:textId="77777777" w:rsidR="00E831B6" w:rsidRDefault="00E831B6" w:rsidP="00017836">
      <w:pPr>
        <w:spacing w:line="480" w:lineRule="auto"/>
        <w:rPr>
          <w:rFonts w:ascii="Calibri" w:hAnsi="Calibri"/>
          <w:sz w:val="24"/>
          <w:szCs w:val="24"/>
          <w:lang w:val="en-US"/>
        </w:rPr>
      </w:pPr>
      <w:r>
        <w:rPr>
          <w:rFonts w:ascii="Calibri" w:hAnsi="Calibri"/>
          <w:sz w:val="24"/>
          <w:szCs w:val="24"/>
          <w:lang w:val="en-US"/>
        </w:rPr>
        <w:br w:type="page"/>
      </w:r>
    </w:p>
    <w:p w14:paraId="3942F4A6" w14:textId="77777777" w:rsidR="00E831B6" w:rsidRPr="00677855" w:rsidRDefault="00E831B6" w:rsidP="00017836">
      <w:pPr>
        <w:spacing w:line="480" w:lineRule="auto"/>
        <w:jc w:val="both"/>
        <w:rPr>
          <w:rFonts w:ascii="Calibri" w:hAnsi="Calibri"/>
          <w:sz w:val="24"/>
          <w:szCs w:val="24"/>
          <w:lang w:val="en-US"/>
        </w:rPr>
      </w:pPr>
    </w:p>
    <w:p w14:paraId="58B048DD"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Tables</w:t>
      </w:r>
    </w:p>
    <w:p w14:paraId="7DE827D7" w14:textId="2386CD7F"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Table 1. Distribution of experiment</w:t>
      </w:r>
      <w:r>
        <w:rPr>
          <w:rFonts w:ascii="Calibri" w:hAnsi="Calibri"/>
          <w:b/>
          <w:sz w:val="24"/>
          <w:szCs w:val="24"/>
          <w:lang w:val="en-US"/>
        </w:rPr>
        <w:t>al work</w:t>
      </w:r>
      <w:r w:rsidRPr="00677855">
        <w:rPr>
          <w:rFonts w:ascii="Calibri" w:hAnsi="Calibri"/>
          <w:b/>
          <w:sz w:val="24"/>
          <w:szCs w:val="24"/>
          <w:lang w:val="en-US"/>
        </w:rPr>
        <w:t xml:space="preserve"> among the participating laboratories. </w:t>
      </w:r>
      <w:r>
        <w:rPr>
          <w:rFonts w:ascii="Calibri" w:hAnsi="Calibri"/>
          <w:b/>
          <w:sz w:val="24"/>
          <w:szCs w:val="24"/>
          <w:lang w:val="en-US"/>
        </w:rPr>
        <w:t xml:space="preserve">  </w:t>
      </w:r>
    </w:p>
    <w:tbl>
      <w:tblPr>
        <w:tblStyle w:val="Tabellrutnt"/>
        <w:tblW w:w="0" w:type="auto"/>
        <w:tblLayout w:type="fixed"/>
        <w:tblLook w:val="04A0" w:firstRow="1" w:lastRow="0" w:firstColumn="1" w:lastColumn="0" w:noHBand="0" w:noVBand="1"/>
      </w:tblPr>
      <w:tblGrid>
        <w:gridCol w:w="1767"/>
        <w:gridCol w:w="922"/>
        <w:gridCol w:w="992"/>
        <w:gridCol w:w="992"/>
        <w:gridCol w:w="992"/>
        <w:gridCol w:w="993"/>
        <w:gridCol w:w="992"/>
      </w:tblGrid>
      <w:tr w:rsidR="00E831B6" w14:paraId="77A565B6" w14:textId="77777777" w:rsidTr="00017836">
        <w:trPr>
          <w:trHeight w:val="281"/>
        </w:trPr>
        <w:tc>
          <w:tcPr>
            <w:tcW w:w="1767" w:type="dxa"/>
            <w:tcBorders>
              <w:top w:val="single" w:sz="4" w:space="0" w:color="FFFFFF" w:themeColor="background1"/>
              <w:left w:val="single" w:sz="4" w:space="0" w:color="FFFFFF" w:themeColor="background1"/>
            </w:tcBorders>
          </w:tcPr>
          <w:p w14:paraId="1D0A275F" w14:textId="77777777" w:rsidR="00E831B6" w:rsidRDefault="00E831B6" w:rsidP="00017836"/>
        </w:tc>
        <w:tc>
          <w:tcPr>
            <w:tcW w:w="1914" w:type="dxa"/>
            <w:gridSpan w:val="2"/>
            <w:shd w:val="clear" w:color="auto" w:fill="EEECE1" w:themeFill="background2"/>
          </w:tcPr>
          <w:p w14:paraId="29952508" w14:textId="77777777" w:rsidR="00E831B6" w:rsidRPr="009D16B2" w:rsidRDefault="00E831B6" w:rsidP="00017836">
            <w:pPr>
              <w:jc w:val="center"/>
              <w:rPr>
                <w:b/>
              </w:rPr>
            </w:pPr>
            <w:r w:rsidRPr="009D16B2">
              <w:rPr>
                <w:b/>
              </w:rPr>
              <w:t>Proteomics</w:t>
            </w:r>
          </w:p>
        </w:tc>
        <w:tc>
          <w:tcPr>
            <w:tcW w:w="1984" w:type="dxa"/>
            <w:gridSpan w:val="2"/>
            <w:shd w:val="clear" w:color="auto" w:fill="EEECE1" w:themeFill="background2"/>
          </w:tcPr>
          <w:p w14:paraId="59BA5C40" w14:textId="77777777" w:rsidR="00E831B6" w:rsidRPr="009D16B2" w:rsidRDefault="00E831B6" w:rsidP="00017836">
            <w:pPr>
              <w:jc w:val="center"/>
              <w:rPr>
                <w:b/>
              </w:rPr>
            </w:pPr>
            <w:r w:rsidRPr="009D16B2">
              <w:rPr>
                <w:b/>
              </w:rPr>
              <w:t>CYP activity</w:t>
            </w:r>
          </w:p>
        </w:tc>
        <w:tc>
          <w:tcPr>
            <w:tcW w:w="1985" w:type="dxa"/>
            <w:gridSpan w:val="2"/>
            <w:shd w:val="clear" w:color="auto" w:fill="EEECE1" w:themeFill="background2"/>
          </w:tcPr>
          <w:p w14:paraId="5D71F3DE" w14:textId="77777777" w:rsidR="00E831B6" w:rsidRPr="009D16B2" w:rsidRDefault="00E831B6" w:rsidP="00017836">
            <w:pPr>
              <w:jc w:val="center"/>
              <w:rPr>
                <w:b/>
              </w:rPr>
            </w:pPr>
            <w:r w:rsidRPr="009D16B2">
              <w:rPr>
                <w:b/>
              </w:rPr>
              <w:t>Cytotoxicity</w:t>
            </w:r>
          </w:p>
        </w:tc>
      </w:tr>
      <w:tr w:rsidR="00E831B6" w14:paraId="71104A15" w14:textId="77777777" w:rsidTr="00017836">
        <w:trPr>
          <w:trHeight w:val="266"/>
        </w:trPr>
        <w:tc>
          <w:tcPr>
            <w:tcW w:w="1767" w:type="dxa"/>
            <w:shd w:val="clear" w:color="auto" w:fill="EEECE1" w:themeFill="background2"/>
          </w:tcPr>
          <w:p w14:paraId="1F3BDDB2" w14:textId="77777777" w:rsidR="00E831B6" w:rsidRPr="009D16B2" w:rsidRDefault="00E831B6" w:rsidP="00017836">
            <w:pPr>
              <w:rPr>
                <w:b/>
              </w:rPr>
            </w:pPr>
            <w:r w:rsidRPr="009D16B2">
              <w:rPr>
                <w:b/>
              </w:rPr>
              <w:t>Laboratory</w:t>
            </w:r>
          </w:p>
        </w:tc>
        <w:tc>
          <w:tcPr>
            <w:tcW w:w="922" w:type="dxa"/>
            <w:shd w:val="clear" w:color="auto" w:fill="EEECE1" w:themeFill="background2"/>
          </w:tcPr>
          <w:p w14:paraId="56B4C2C4" w14:textId="77777777" w:rsidR="00E831B6" w:rsidRDefault="00E831B6" w:rsidP="00017836">
            <w:pPr>
              <w:jc w:val="center"/>
            </w:pPr>
            <w:r>
              <w:rPr>
                <w:lang w:val="sv-SE"/>
              </w:rPr>
              <w:t>2Dsw</w:t>
            </w:r>
          </w:p>
        </w:tc>
        <w:tc>
          <w:tcPr>
            <w:tcW w:w="992" w:type="dxa"/>
            <w:shd w:val="clear" w:color="auto" w:fill="EEECE1" w:themeFill="background2"/>
          </w:tcPr>
          <w:p w14:paraId="6FA0AF85" w14:textId="77777777" w:rsidR="00E831B6" w:rsidRDefault="00E831B6" w:rsidP="00017836">
            <w:pPr>
              <w:jc w:val="center"/>
            </w:pPr>
            <w:r>
              <w:t>3D</w:t>
            </w:r>
          </w:p>
        </w:tc>
        <w:tc>
          <w:tcPr>
            <w:tcW w:w="992" w:type="dxa"/>
            <w:shd w:val="clear" w:color="auto" w:fill="EEECE1" w:themeFill="background2"/>
          </w:tcPr>
          <w:p w14:paraId="027A64C0" w14:textId="77777777" w:rsidR="00E831B6" w:rsidRDefault="00E831B6" w:rsidP="00017836">
            <w:pPr>
              <w:jc w:val="center"/>
            </w:pPr>
            <w:r>
              <w:t>2Dsw</w:t>
            </w:r>
          </w:p>
        </w:tc>
        <w:tc>
          <w:tcPr>
            <w:tcW w:w="992" w:type="dxa"/>
            <w:shd w:val="clear" w:color="auto" w:fill="EEECE1" w:themeFill="background2"/>
          </w:tcPr>
          <w:p w14:paraId="2C77CEBA" w14:textId="77777777" w:rsidR="00E831B6" w:rsidRDefault="00E831B6" w:rsidP="00017836">
            <w:pPr>
              <w:jc w:val="center"/>
            </w:pPr>
            <w:r>
              <w:t>3D</w:t>
            </w:r>
          </w:p>
        </w:tc>
        <w:tc>
          <w:tcPr>
            <w:tcW w:w="993" w:type="dxa"/>
            <w:tcBorders>
              <w:bottom w:val="single" w:sz="4" w:space="0" w:color="auto"/>
            </w:tcBorders>
            <w:shd w:val="clear" w:color="auto" w:fill="EEECE1" w:themeFill="background2"/>
          </w:tcPr>
          <w:p w14:paraId="0B427929" w14:textId="77777777" w:rsidR="00E831B6" w:rsidRDefault="00E831B6" w:rsidP="00017836">
            <w:pPr>
              <w:jc w:val="center"/>
            </w:pPr>
            <w:r>
              <w:t>2Dsw</w:t>
            </w:r>
          </w:p>
        </w:tc>
        <w:tc>
          <w:tcPr>
            <w:tcW w:w="992" w:type="dxa"/>
            <w:shd w:val="clear" w:color="auto" w:fill="EEECE1" w:themeFill="background2"/>
          </w:tcPr>
          <w:p w14:paraId="102EDE3B" w14:textId="77777777" w:rsidR="00E831B6" w:rsidRDefault="00E831B6" w:rsidP="00017836">
            <w:pPr>
              <w:jc w:val="center"/>
            </w:pPr>
            <w:r>
              <w:t>3D</w:t>
            </w:r>
          </w:p>
        </w:tc>
      </w:tr>
      <w:tr w:rsidR="00E831B6" w14:paraId="5A963B56" w14:textId="77777777" w:rsidTr="00017836">
        <w:trPr>
          <w:trHeight w:val="239"/>
        </w:trPr>
        <w:tc>
          <w:tcPr>
            <w:tcW w:w="1767" w:type="dxa"/>
          </w:tcPr>
          <w:p w14:paraId="18F700DE" w14:textId="77777777" w:rsidR="00E831B6" w:rsidRDefault="00E831B6" w:rsidP="00017836">
            <w:r>
              <w:t>AstraZeneca</w:t>
            </w:r>
          </w:p>
        </w:tc>
        <w:tc>
          <w:tcPr>
            <w:tcW w:w="922" w:type="dxa"/>
          </w:tcPr>
          <w:p w14:paraId="56E8F43A" w14:textId="77777777" w:rsidR="00E831B6" w:rsidRDefault="00E831B6" w:rsidP="00017836"/>
        </w:tc>
        <w:tc>
          <w:tcPr>
            <w:tcW w:w="992" w:type="dxa"/>
          </w:tcPr>
          <w:p w14:paraId="41EE3C06" w14:textId="77777777" w:rsidR="00E831B6" w:rsidRDefault="00E831B6" w:rsidP="00017836"/>
        </w:tc>
        <w:tc>
          <w:tcPr>
            <w:tcW w:w="992" w:type="dxa"/>
          </w:tcPr>
          <w:p w14:paraId="6B817BAF" w14:textId="77777777" w:rsidR="00E831B6" w:rsidRDefault="00E831B6" w:rsidP="00017836"/>
        </w:tc>
        <w:tc>
          <w:tcPr>
            <w:tcW w:w="992" w:type="dxa"/>
          </w:tcPr>
          <w:p w14:paraId="6172C9AE" w14:textId="77777777" w:rsidR="00E831B6" w:rsidRDefault="00E831B6" w:rsidP="00017836"/>
        </w:tc>
        <w:tc>
          <w:tcPr>
            <w:tcW w:w="993" w:type="dxa"/>
          </w:tcPr>
          <w:p w14:paraId="0BB001A3" w14:textId="77777777" w:rsidR="00E831B6" w:rsidRDefault="00E831B6" w:rsidP="00017836"/>
        </w:tc>
        <w:tc>
          <w:tcPr>
            <w:tcW w:w="992" w:type="dxa"/>
          </w:tcPr>
          <w:p w14:paraId="7A3B937E" w14:textId="77777777" w:rsidR="00E831B6" w:rsidRDefault="00E831B6" w:rsidP="00017836">
            <w:r>
              <w:t>1, 2, 2, 3</w:t>
            </w:r>
          </w:p>
        </w:tc>
      </w:tr>
      <w:tr w:rsidR="00E831B6" w:rsidRPr="007E1EFC" w14:paraId="58A887C6" w14:textId="77777777" w:rsidTr="00017836">
        <w:trPr>
          <w:trHeight w:val="281"/>
        </w:trPr>
        <w:tc>
          <w:tcPr>
            <w:tcW w:w="1767" w:type="dxa"/>
          </w:tcPr>
          <w:p w14:paraId="506F481B" w14:textId="77777777" w:rsidR="00E831B6" w:rsidRDefault="00E831B6" w:rsidP="00017836">
            <w:r>
              <w:t>Janssen</w:t>
            </w:r>
          </w:p>
        </w:tc>
        <w:tc>
          <w:tcPr>
            <w:tcW w:w="922" w:type="dxa"/>
          </w:tcPr>
          <w:p w14:paraId="582E02EF" w14:textId="77777777" w:rsidR="00E831B6" w:rsidRDefault="00E831B6" w:rsidP="00017836"/>
        </w:tc>
        <w:tc>
          <w:tcPr>
            <w:tcW w:w="992" w:type="dxa"/>
          </w:tcPr>
          <w:p w14:paraId="78335D78" w14:textId="77777777" w:rsidR="00E831B6" w:rsidRDefault="00E831B6" w:rsidP="00017836"/>
        </w:tc>
        <w:tc>
          <w:tcPr>
            <w:tcW w:w="992" w:type="dxa"/>
          </w:tcPr>
          <w:p w14:paraId="6595ABD8" w14:textId="77777777" w:rsidR="00E831B6" w:rsidRPr="007E1EFC" w:rsidRDefault="00E831B6" w:rsidP="00017836">
            <w:pPr>
              <w:rPr>
                <w:lang w:val="sv-SE"/>
              </w:rPr>
            </w:pPr>
            <w:r>
              <w:rPr>
                <w:lang w:val="sv-SE"/>
              </w:rPr>
              <w:t>1</w:t>
            </w:r>
          </w:p>
        </w:tc>
        <w:tc>
          <w:tcPr>
            <w:tcW w:w="992" w:type="dxa"/>
          </w:tcPr>
          <w:p w14:paraId="39EE62FF" w14:textId="77777777" w:rsidR="00E831B6" w:rsidRPr="007E1EFC" w:rsidRDefault="00E831B6" w:rsidP="00017836">
            <w:pPr>
              <w:rPr>
                <w:lang w:val="sv-SE"/>
              </w:rPr>
            </w:pPr>
            <w:r>
              <w:rPr>
                <w:lang w:val="sv-SE"/>
              </w:rPr>
              <w:t>1</w:t>
            </w:r>
          </w:p>
        </w:tc>
        <w:tc>
          <w:tcPr>
            <w:tcW w:w="993" w:type="dxa"/>
          </w:tcPr>
          <w:p w14:paraId="0958AF33" w14:textId="77777777" w:rsidR="00E831B6" w:rsidRPr="007E1EFC" w:rsidRDefault="00E831B6" w:rsidP="00017836">
            <w:pPr>
              <w:rPr>
                <w:lang w:val="sv-SE"/>
              </w:rPr>
            </w:pPr>
            <w:r>
              <w:rPr>
                <w:lang w:val="sv-SE"/>
              </w:rPr>
              <w:t>1</w:t>
            </w:r>
          </w:p>
        </w:tc>
        <w:tc>
          <w:tcPr>
            <w:tcW w:w="992" w:type="dxa"/>
          </w:tcPr>
          <w:p w14:paraId="2A45F3D9" w14:textId="77777777" w:rsidR="00E831B6" w:rsidRPr="007E1EFC" w:rsidRDefault="00E831B6" w:rsidP="00017836">
            <w:pPr>
              <w:rPr>
                <w:lang w:val="sv-SE"/>
              </w:rPr>
            </w:pPr>
            <w:r>
              <w:rPr>
                <w:lang w:val="sv-SE"/>
              </w:rPr>
              <w:t>1</w:t>
            </w:r>
          </w:p>
        </w:tc>
      </w:tr>
      <w:tr w:rsidR="00E831B6" w:rsidRPr="007E1EFC" w14:paraId="6FE5EC43" w14:textId="77777777" w:rsidTr="00017836">
        <w:trPr>
          <w:trHeight w:val="266"/>
        </w:trPr>
        <w:tc>
          <w:tcPr>
            <w:tcW w:w="1767" w:type="dxa"/>
          </w:tcPr>
          <w:p w14:paraId="546D9CC2" w14:textId="77777777" w:rsidR="00E831B6" w:rsidRPr="007E1EFC" w:rsidRDefault="00E831B6" w:rsidP="00017836">
            <w:pPr>
              <w:rPr>
                <w:lang w:val="sv-SE"/>
              </w:rPr>
            </w:pPr>
            <w:r w:rsidRPr="007E1EFC">
              <w:rPr>
                <w:lang w:val="sv-SE"/>
              </w:rPr>
              <w:t>Orion</w:t>
            </w:r>
          </w:p>
        </w:tc>
        <w:tc>
          <w:tcPr>
            <w:tcW w:w="922" w:type="dxa"/>
          </w:tcPr>
          <w:p w14:paraId="0C23928D" w14:textId="77777777" w:rsidR="00E831B6" w:rsidRPr="007E1EFC" w:rsidRDefault="00E831B6" w:rsidP="00017836">
            <w:pPr>
              <w:rPr>
                <w:lang w:val="sv-SE"/>
              </w:rPr>
            </w:pPr>
          </w:p>
        </w:tc>
        <w:tc>
          <w:tcPr>
            <w:tcW w:w="992" w:type="dxa"/>
          </w:tcPr>
          <w:p w14:paraId="4BB9D70E" w14:textId="77777777" w:rsidR="00E831B6" w:rsidRPr="007E1EFC" w:rsidRDefault="00E831B6" w:rsidP="00017836">
            <w:pPr>
              <w:rPr>
                <w:lang w:val="sv-SE"/>
              </w:rPr>
            </w:pPr>
          </w:p>
        </w:tc>
        <w:tc>
          <w:tcPr>
            <w:tcW w:w="992" w:type="dxa"/>
          </w:tcPr>
          <w:p w14:paraId="337C17E4" w14:textId="77777777" w:rsidR="00E831B6" w:rsidRPr="007E1EFC" w:rsidRDefault="00E831B6" w:rsidP="00017836">
            <w:pPr>
              <w:rPr>
                <w:lang w:val="sv-SE"/>
              </w:rPr>
            </w:pPr>
          </w:p>
        </w:tc>
        <w:tc>
          <w:tcPr>
            <w:tcW w:w="992" w:type="dxa"/>
          </w:tcPr>
          <w:p w14:paraId="3AAD5D92" w14:textId="77777777" w:rsidR="00E831B6" w:rsidRPr="007E1EFC" w:rsidRDefault="00E831B6" w:rsidP="00017836">
            <w:pPr>
              <w:rPr>
                <w:lang w:val="sv-SE"/>
              </w:rPr>
            </w:pPr>
          </w:p>
        </w:tc>
        <w:tc>
          <w:tcPr>
            <w:tcW w:w="993" w:type="dxa"/>
          </w:tcPr>
          <w:p w14:paraId="27EB786A" w14:textId="77777777" w:rsidR="00E831B6" w:rsidRPr="007E1EFC" w:rsidRDefault="00E831B6" w:rsidP="00017836">
            <w:pPr>
              <w:rPr>
                <w:lang w:val="sv-SE"/>
              </w:rPr>
            </w:pPr>
            <w:r>
              <w:rPr>
                <w:lang w:val="sv-SE"/>
              </w:rPr>
              <w:t>1</w:t>
            </w:r>
          </w:p>
        </w:tc>
        <w:tc>
          <w:tcPr>
            <w:tcW w:w="992" w:type="dxa"/>
          </w:tcPr>
          <w:p w14:paraId="0F775433" w14:textId="77777777" w:rsidR="00E831B6" w:rsidRPr="007E1EFC" w:rsidRDefault="00E831B6" w:rsidP="00017836">
            <w:pPr>
              <w:rPr>
                <w:lang w:val="sv-SE"/>
              </w:rPr>
            </w:pPr>
          </w:p>
        </w:tc>
      </w:tr>
      <w:tr w:rsidR="00E831B6" w:rsidRPr="007E1EFC" w14:paraId="7C6A6334" w14:textId="77777777" w:rsidTr="00017836">
        <w:trPr>
          <w:trHeight w:val="281"/>
        </w:trPr>
        <w:tc>
          <w:tcPr>
            <w:tcW w:w="1767" w:type="dxa"/>
          </w:tcPr>
          <w:p w14:paraId="62A5A7F8" w14:textId="77777777" w:rsidR="00E831B6" w:rsidRPr="007E1EFC" w:rsidRDefault="00E831B6" w:rsidP="00017836">
            <w:pPr>
              <w:rPr>
                <w:lang w:val="sv-SE"/>
              </w:rPr>
            </w:pPr>
            <w:r w:rsidRPr="007E1EFC">
              <w:rPr>
                <w:lang w:val="sv-SE"/>
              </w:rPr>
              <w:t>GSK</w:t>
            </w:r>
          </w:p>
        </w:tc>
        <w:tc>
          <w:tcPr>
            <w:tcW w:w="922" w:type="dxa"/>
          </w:tcPr>
          <w:p w14:paraId="0829C903" w14:textId="77777777" w:rsidR="00E831B6" w:rsidRPr="007E1EFC" w:rsidRDefault="00E831B6" w:rsidP="00017836">
            <w:pPr>
              <w:rPr>
                <w:lang w:val="sv-SE"/>
              </w:rPr>
            </w:pPr>
          </w:p>
        </w:tc>
        <w:tc>
          <w:tcPr>
            <w:tcW w:w="992" w:type="dxa"/>
          </w:tcPr>
          <w:p w14:paraId="46112B7E" w14:textId="77777777" w:rsidR="00E831B6" w:rsidRPr="007E1EFC" w:rsidRDefault="00E831B6" w:rsidP="00017836">
            <w:pPr>
              <w:rPr>
                <w:lang w:val="sv-SE"/>
              </w:rPr>
            </w:pPr>
          </w:p>
        </w:tc>
        <w:tc>
          <w:tcPr>
            <w:tcW w:w="992" w:type="dxa"/>
          </w:tcPr>
          <w:p w14:paraId="1BBE4B7B" w14:textId="77777777" w:rsidR="00E831B6" w:rsidRPr="007E1EFC" w:rsidRDefault="00E831B6" w:rsidP="00017836">
            <w:pPr>
              <w:rPr>
                <w:lang w:val="sv-SE"/>
              </w:rPr>
            </w:pPr>
          </w:p>
        </w:tc>
        <w:tc>
          <w:tcPr>
            <w:tcW w:w="992" w:type="dxa"/>
          </w:tcPr>
          <w:p w14:paraId="6E6264D4" w14:textId="77777777" w:rsidR="00E831B6" w:rsidRPr="007E1EFC" w:rsidRDefault="00E831B6" w:rsidP="00017836">
            <w:pPr>
              <w:rPr>
                <w:lang w:val="sv-SE"/>
              </w:rPr>
            </w:pPr>
          </w:p>
        </w:tc>
        <w:tc>
          <w:tcPr>
            <w:tcW w:w="993" w:type="dxa"/>
          </w:tcPr>
          <w:p w14:paraId="4FC30D3B" w14:textId="77777777" w:rsidR="00E831B6" w:rsidRPr="007E1EFC" w:rsidRDefault="00E831B6" w:rsidP="00017836">
            <w:pPr>
              <w:rPr>
                <w:lang w:val="sv-SE"/>
              </w:rPr>
            </w:pPr>
            <w:r>
              <w:rPr>
                <w:lang w:val="sv-SE"/>
              </w:rPr>
              <w:t>1, 3</w:t>
            </w:r>
          </w:p>
        </w:tc>
        <w:tc>
          <w:tcPr>
            <w:tcW w:w="992" w:type="dxa"/>
          </w:tcPr>
          <w:p w14:paraId="08DF5FC9" w14:textId="77777777" w:rsidR="00E831B6" w:rsidRPr="007E1EFC" w:rsidRDefault="00E831B6" w:rsidP="00017836">
            <w:pPr>
              <w:rPr>
                <w:lang w:val="sv-SE"/>
              </w:rPr>
            </w:pPr>
            <w:r>
              <w:rPr>
                <w:lang w:val="sv-SE"/>
              </w:rPr>
              <w:t>1, 3</w:t>
            </w:r>
          </w:p>
        </w:tc>
      </w:tr>
      <w:tr w:rsidR="00E831B6" w:rsidRPr="007E1EFC" w14:paraId="413E8A3C" w14:textId="77777777" w:rsidTr="00017836">
        <w:trPr>
          <w:trHeight w:val="266"/>
        </w:trPr>
        <w:tc>
          <w:tcPr>
            <w:tcW w:w="1767" w:type="dxa"/>
          </w:tcPr>
          <w:p w14:paraId="186CC325" w14:textId="77777777" w:rsidR="00E831B6" w:rsidRPr="007E1EFC" w:rsidRDefault="00E831B6" w:rsidP="00017836">
            <w:pPr>
              <w:rPr>
                <w:lang w:val="sv-SE"/>
              </w:rPr>
            </w:pPr>
            <w:r w:rsidRPr="007E1EFC">
              <w:rPr>
                <w:lang w:val="sv-SE"/>
              </w:rPr>
              <w:t>KI</w:t>
            </w:r>
          </w:p>
        </w:tc>
        <w:tc>
          <w:tcPr>
            <w:tcW w:w="922" w:type="dxa"/>
          </w:tcPr>
          <w:p w14:paraId="1F8722A8" w14:textId="77777777" w:rsidR="00E831B6" w:rsidRPr="007E1EFC" w:rsidRDefault="00E831B6" w:rsidP="00017836">
            <w:pPr>
              <w:rPr>
                <w:lang w:val="sv-SE"/>
              </w:rPr>
            </w:pPr>
          </w:p>
        </w:tc>
        <w:tc>
          <w:tcPr>
            <w:tcW w:w="992" w:type="dxa"/>
          </w:tcPr>
          <w:p w14:paraId="1E49540F" w14:textId="77777777" w:rsidR="00E831B6" w:rsidRPr="007E1EFC" w:rsidRDefault="00E831B6" w:rsidP="00017836">
            <w:pPr>
              <w:rPr>
                <w:lang w:val="sv-SE"/>
              </w:rPr>
            </w:pPr>
            <w:r>
              <w:rPr>
                <w:lang w:val="sv-SE"/>
              </w:rPr>
              <w:t>1, 2, 3</w:t>
            </w:r>
          </w:p>
        </w:tc>
        <w:tc>
          <w:tcPr>
            <w:tcW w:w="992" w:type="dxa"/>
          </w:tcPr>
          <w:p w14:paraId="7E2A92CB" w14:textId="77777777" w:rsidR="00E831B6" w:rsidRPr="007E1EFC" w:rsidRDefault="00E831B6" w:rsidP="00017836">
            <w:pPr>
              <w:rPr>
                <w:lang w:val="sv-SE"/>
              </w:rPr>
            </w:pPr>
          </w:p>
        </w:tc>
        <w:tc>
          <w:tcPr>
            <w:tcW w:w="992" w:type="dxa"/>
          </w:tcPr>
          <w:p w14:paraId="424E83A9" w14:textId="77777777" w:rsidR="00E831B6" w:rsidRPr="007E1EFC" w:rsidRDefault="00E831B6" w:rsidP="00017836">
            <w:pPr>
              <w:rPr>
                <w:lang w:val="sv-SE"/>
              </w:rPr>
            </w:pPr>
          </w:p>
        </w:tc>
        <w:tc>
          <w:tcPr>
            <w:tcW w:w="993" w:type="dxa"/>
          </w:tcPr>
          <w:p w14:paraId="591DC56E" w14:textId="77777777" w:rsidR="00E831B6" w:rsidRPr="007E1EFC" w:rsidRDefault="00E831B6" w:rsidP="00017836">
            <w:pPr>
              <w:rPr>
                <w:lang w:val="sv-SE"/>
              </w:rPr>
            </w:pPr>
          </w:p>
        </w:tc>
        <w:tc>
          <w:tcPr>
            <w:tcW w:w="992" w:type="dxa"/>
          </w:tcPr>
          <w:p w14:paraId="662C0166" w14:textId="77777777" w:rsidR="00E831B6" w:rsidRPr="007E1EFC" w:rsidRDefault="00E831B6" w:rsidP="00017836">
            <w:pPr>
              <w:rPr>
                <w:lang w:val="sv-SE"/>
              </w:rPr>
            </w:pPr>
            <w:r>
              <w:rPr>
                <w:lang w:val="sv-SE"/>
              </w:rPr>
              <w:t>1, 2, 3</w:t>
            </w:r>
          </w:p>
        </w:tc>
      </w:tr>
      <w:tr w:rsidR="00E831B6" w:rsidRPr="007E1EFC" w14:paraId="05F34B8C" w14:textId="77777777" w:rsidTr="00017836">
        <w:trPr>
          <w:trHeight w:val="281"/>
        </w:trPr>
        <w:tc>
          <w:tcPr>
            <w:tcW w:w="1767" w:type="dxa"/>
          </w:tcPr>
          <w:p w14:paraId="1749F405" w14:textId="77777777" w:rsidR="00E831B6" w:rsidRPr="007E1EFC" w:rsidRDefault="00E831B6" w:rsidP="00017836">
            <w:pPr>
              <w:rPr>
                <w:lang w:val="sv-SE"/>
              </w:rPr>
            </w:pPr>
            <w:r w:rsidRPr="007E1EFC">
              <w:rPr>
                <w:lang w:val="sv-SE"/>
              </w:rPr>
              <w:t>KalyCell</w:t>
            </w:r>
          </w:p>
        </w:tc>
        <w:tc>
          <w:tcPr>
            <w:tcW w:w="922" w:type="dxa"/>
          </w:tcPr>
          <w:p w14:paraId="0B231D97" w14:textId="77777777" w:rsidR="00E831B6" w:rsidRPr="007E1EFC" w:rsidRDefault="00E831B6" w:rsidP="00017836">
            <w:pPr>
              <w:rPr>
                <w:lang w:val="sv-SE"/>
              </w:rPr>
            </w:pPr>
            <w:r>
              <w:rPr>
                <w:lang w:val="sv-SE"/>
              </w:rPr>
              <w:t>1, 2, 3</w:t>
            </w:r>
          </w:p>
        </w:tc>
        <w:tc>
          <w:tcPr>
            <w:tcW w:w="992" w:type="dxa"/>
          </w:tcPr>
          <w:p w14:paraId="5D32DF0E" w14:textId="77777777" w:rsidR="00E831B6" w:rsidRPr="007E1EFC" w:rsidRDefault="00E831B6" w:rsidP="00017836">
            <w:pPr>
              <w:rPr>
                <w:lang w:val="sv-SE"/>
              </w:rPr>
            </w:pPr>
          </w:p>
        </w:tc>
        <w:tc>
          <w:tcPr>
            <w:tcW w:w="992" w:type="dxa"/>
          </w:tcPr>
          <w:p w14:paraId="03A3F495" w14:textId="77777777" w:rsidR="00E831B6" w:rsidRPr="007E1EFC" w:rsidRDefault="00E831B6" w:rsidP="00017836">
            <w:pPr>
              <w:rPr>
                <w:lang w:val="sv-SE"/>
              </w:rPr>
            </w:pPr>
          </w:p>
        </w:tc>
        <w:tc>
          <w:tcPr>
            <w:tcW w:w="992" w:type="dxa"/>
          </w:tcPr>
          <w:p w14:paraId="43EA9919" w14:textId="77777777" w:rsidR="00E831B6" w:rsidRPr="007E1EFC" w:rsidRDefault="00E831B6" w:rsidP="00017836">
            <w:pPr>
              <w:rPr>
                <w:lang w:val="sv-SE"/>
              </w:rPr>
            </w:pPr>
          </w:p>
        </w:tc>
        <w:tc>
          <w:tcPr>
            <w:tcW w:w="993" w:type="dxa"/>
            <w:tcBorders>
              <w:bottom w:val="single" w:sz="4" w:space="0" w:color="auto"/>
            </w:tcBorders>
          </w:tcPr>
          <w:p w14:paraId="1A002AED" w14:textId="77777777" w:rsidR="00E831B6" w:rsidRPr="007E1EFC" w:rsidRDefault="00E831B6" w:rsidP="00017836">
            <w:pPr>
              <w:rPr>
                <w:lang w:val="sv-SE"/>
              </w:rPr>
            </w:pPr>
            <w:r>
              <w:rPr>
                <w:lang w:val="sv-SE"/>
              </w:rPr>
              <w:t>2</w:t>
            </w:r>
          </w:p>
        </w:tc>
        <w:tc>
          <w:tcPr>
            <w:tcW w:w="992" w:type="dxa"/>
          </w:tcPr>
          <w:p w14:paraId="137B8D95" w14:textId="77777777" w:rsidR="00E831B6" w:rsidRPr="007E1EFC" w:rsidRDefault="00E831B6" w:rsidP="00017836">
            <w:pPr>
              <w:rPr>
                <w:lang w:val="sv-SE"/>
              </w:rPr>
            </w:pPr>
          </w:p>
        </w:tc>
      </w:tr>
    </w:tbl>
    <w:p w14:paraId="61A5F919" w14:textId="77777777" w:rsidR="00E831B6" w:rsidRPr="00677855" w:rsidRDefault="00E831B6" w:rsidP="00017836">
      <w:pPr>
        <w:spacing w:line="480" w:lineRule="auto"/>
        <w:jc w:val="both"/>
        <w:rPr>
          <w:rFonts w:ascii="Calibri" w:hAnsi="Calibri"/>
          <w:sz w:val="24"/>
          <w:szCs w:val="24"/>
          <w:lang w:val="en-US"/>
        </w:rPr>
      </w:pPr>
      <w:r>
        <w:rPr>
          <w:rFonts w:ascii="Calibri" w:hAnsi="Calibri"/>
          <w:sz w:val="24"/>
          <w:szCs w:val="24"/>
          <w:lang w:val="en-US"/>
        </w:rPr>
        <w:t>1= Donor 1; 2 = Donor 2; 3= Donor 3</w:t>
      </w:r>
    </w:p>
    <w:p w14:paraId="6E6E342C" w14:textId="77777777" w:rsidR="00CE24F8" w:rsidRDefault="00CE24F8" w:rsidP="00017836">
      <w:pPr>
        <w:spacing w:line="480" w:lineRule="auto"/>
        <w:jc w:val="both"/>
        <w:rPr>
          <w:rFonts w:ascii="Calibri" w:hAnsi="Calibri"/>
          <w:b/>
          <w:sz w:val="24"/>
          <w:szCs w:val="24"/>
          <w:lang w:val="en-US"/>
        </w:rPr>
      </w:pPr>
    </w:p>
    <w:p w14:paraId="14D4651D" w14:textId="77777777" w:rsidR="00CE24F8" w:rsidRDefault="00CE24F8" w:rsidP="00017836">
      <w:pPr>
        <w:spacing w:line="480" w:lineRule="auto"/>
        <w:jc w:val="both"/>
        <w:rPr>
          <w:rFonts w:ascii="Calibri" w:hAnsi="Calibri"/>
          <w:b/>
          <w:sz w:val="24"/>
          <w:szCs w:val="24"/>
          <w:lang w:val="en-US"/>
        </w:rPr>
      </w:pPr>
    </w:p>
    <w:p w14:paraId="3752199C"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Table 2. Clinical and demographic information for the three hepatocyte donors used in this study.</w:t>
      </w:r>
    </w:p>
    <w:tbl>
      <w:tblPr>
        <w:tblStyle w:val="Tabellrutnt"/>
        <w:tblW w:w="9003" w:type="dxa"/>
        <w:tblLook w:val="04A0" w:firstRow="1" w:lastRow="0" w:firstColumn="1" w:lastColumn="0" w:noHBand="0" w:noVBand="1"/>
      </w:tblPr>
      <w:tblGrid>
        <w:gridCol w:w="1636"/>
        <w:gridCol w:w="987"/>
        <w:gridCol w:w="633"/>
        <w:gridCol w:w="1417"/>
        <w:gridCol w:w="2587"/>
        <w:gridCol w:w="1743"/>
      </w:tblGrid>
      <w:tr w:rsidR="00E831B6" w:rsidRPr="00CE24F8" w14:paraId="358485C5" w14:textId="77777777" w:rsidTr="00017836">
        <w:tc>
          <w:tcPr>
            <w:tcW w:w="1636" w:type="dxa"/>
            <w:shd w:val="clear" w:color="auto" w:fill="E0E0E0"/>
          </w:tcPr>
          <w:p w14:paraId="63AD543B" w14:textId="77777777" w:rsidR="00E831B6" w:rsidRPr="00CE24F8"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0A7195">
              <w:rPr>
                <w:b/>
                <w:lang w:val="en-US"/>
              </w:rPr>
              <w:t>Donor</w:t>
            </w:r>
          </w:p>
        </w:tc>
        <w:tc>
          <w:tcPr>
            <w:tcW w:w="987" w:type="dxa"/>
            <w:shd w:val="clear" w:color="auto" w:fill="E0E0E0"/>
          </w:tcPr>
          <w:p w14:paraId="0B853E1E" w14:textId="77777777" w:rsidR="00E831B6" w:rsidRPr="00CE24F8"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0A7195">
              <w:rPr>
                <w:b/>
                <w:lang w:val="en-US"/>
              </w:rPr>
              <w:t>Sex</w:t>
            </w:r>
          </w:p>
        </w:tc>
        <w:tc>
          <w:tcPr>
            <w:tcW w:w="633" w:type="dxa"/>
            <w:shd w:val="clear" w:color="auto" w:fill="E0E0E0"/>
          </w:tcPr>
          <w:p w14:paraId="11ACC0D8" w14:textId="77777777" w:rsidR="00E831B6" w:rsidRPr="000A7195" w:rsidRDefault="00E831B6" w:rsidP="00017836">
            <w:pPr>
              <w:pStyle w:val="Ingetavstnd"/>
              <w:spacing w:line="480" w:lineRule="auto"/>
              <w:rPr>
                <w:b/>
                <w:lang w:val="en-US"/>
              </w:rPr>
            </w:pPr>
            <w:r w:rsidRPr="000A7195">
              <w:rPr>
                <w:b/>
                <w:lang w:val="en-US"/>
              </w:rPr>
              <w:t>Age</w:t>
            </w:r>
          </w:p>
        </w:tc>
        <w:tc>
          <w:tcPr>
            <w:tcW w:w="1417" w:type="dxa"/>
            <w:shd w:val="clear" w:color="auto" w:fill="E0E0E0"/>
          </w:tcPr>
          <w:p w14:paraId="2B6EDDEF" w14:textId="77777777" w:rsidR="00E831B6" w:rsidRPr="000A7195" w:rsidRDefault="00E831B6" w:rsidP="00017836">
            <w:pPr>
              <w:pStyle w:val="Ingetavstnd"/>
              <w:spacing w:line="480" w:lineRule="auto"/>
              <w:rPr>
                <w:b/>
                <w:lang w:val="en-US"/>
              </w:rPr>
            </w:pPr>
            <w:r w:rsidRPr="000A7195">
              <w:rPr>
                <w:b/>
                <w:lang w:val="en-US"/>
              </w:rPr>
              <w:t>Ethnicity</w:t>
            </w:r>
          </w:p>
        </w:tc>
        <w:tc>
          <w:tcPr>
            <w:tcW w:w="2587" w:type="dxa"/>
            <w:shd w:val="clear" w:color="auto" w:fill="E0E0E0"/>
          </w:tcPr>
          <w:p w14:paraId="5744EDE5" w14:textId="77777777" w:rsidR="00E831B6" w:rsidRPr="00CE24F8"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0A7195">
              <w:rPr>
                <w:b/>
                <w:lang w:val="en-US"/>
              </w:rPr>
              <w:t>Pathology</w:t>
            </w:r>
          </w:p>
        </w:tc>
        <w:tc>
          <w:tcPr>
            <w:tcW w:w="1743" w:type="dxa"/>
            <w:shd w:val="clear" w:color="auto" w:fill="E0E0E0"/>
          </w:tcPr>
          <w:p w14:paraId="0A673C64" w14:textId="77777777" w:rsidR="00E831B6" w:rsidRPr="00CE24F8"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0A7195">
              <w:rPr>
                <w:b/>
                <w:lang w:val="en-US"/>
              </w:rPr>
              <w:t>Medications</w:t>
            </w:r>
          </w:p>
        </w:tc>
      </w:tr>
      <w:tr w:rsidR="00E831B6" w:rsidRPr="005F3C96" w14:paraId="0427BE15" w14:textId="77777777" w:rsidTr="00017836">
        <w:tc>
          <w:tcPr>
            <w:tcW w:w="1636" w:type="dxa"/>
          </w:tcPr>
          <w:p w14:paraId="380CAE4F"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77855">
              <w:rPr>
                <w:lang w:val="en-US"/>
              </w:rPr>
              <w:t>Donor 1</w:t>
            </w:r>
          </w:p>
        </w:tc>
        <w:tc>
          <w:tcPr>
            <w:tcW w:w="987" w:type="dxa"/>
          </w:tcPr>
          <w:p w14:paraId="5987DB13"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77855">
              <w:rPr>
                <w:lang w:val="en-US"/>
              </w:rPr>
              <w:t>Male</w:t>
            </w:r>
          </w:p>
        </w:tc>
        <w:tc>
          <w:tcPr>
            <w:tcW w:w="633" w:type="dxa"/>
          </w:tcPr>
          <w:p w14:paraId="4BEC4197" w14:textId="77777777" w:rsidR="00E831B6" w:rsidRPr="00677855" w:rsidRDefault="00E831B6" w:rsidP="00017836">
            <w:pPr>
              <w:pStyle w:val="Ingetavstnd"/>
              <w:spacing w:line="480" w:lineRule="auto"/>
              <w:rPr>
                <w:lang w:val="en-US"/>
              </w:rPr>
            </w:pPr>
            <w:r w:rsidRPr="00677855">
              <w:rPr>
                <w:lang w:val="en-US"/>
              </w:rPr>
              <w:t>45</w:t>
            </w:r>
          </w:p>
        </w:tc>
        <w:tc>
          <w:tcPr>
            <w:tcW w:w="1417" w:type="dxa"/>
          </w:tcPr>
          <w:p w14:paraId="419D27F4" w14:textId="77777777" w:rsidR="00E831B6" w:rsidRPr="00677855" w:rsidRDefault="00E831B6" w:rsidP="00017836">
            <w:pPr>
              <w:pStyle w:val="Ingetavstnd"/>
              <w:spacing w:line="480" w:lineRule="auto"/>
              <w:rPr>
                <w:lang w:val="en-US"/>
              </w:rPr>
            </w:pPr>
            <w:r>
              <w:rPr>
                <w:lang w:val="en-US"/>
              </w:rPr>
              <w:t>Caucasian</w:t>
            </w:r>
          </w:p>
        </w:tc>
        <w:tc>
          <w:tcPr>
            <w:tcW w:w="2587" w:type="dxa"/>
          </w:tcPr>
          <w:p w14:paraId="45129D46" w14:textId="77777777" w:rsidR="00E831B6" w:rsidRPr="00677855" w:rsidRDefault="00E831B6" w:rsidP="00017836">
            <w:pPr>
              <w:pStyle w:val="Ingetavstnd"/>
              <w:spacing w:line="480" w:lineRule="auto"/>
              <w:rPr>
                <w:lang w:val="en-US"/>
              </w:rPr>
            </w:pPr>
            <w:r>
              <w:rPr>
                <w:lang w:val="en-US"/>
              </w:rPr>
              <w:t>Liver metastasis from n</w:t>
            </w:r>
            <w:r w:rsidRPr="00677855">
              <w:rPr>
                <w:lang w:val="en-US"/>
              </w:rPr>
              <w:t>euroendocrine tumor</w:t>
            </w:r>
          </w:p>
        </w:tc>
        <w:tc>
          <w:tcPr>
            <w:tcW w:w="1743" w:type="dxa"/>
          </w:tcPr>
          <w:p w14:paraId="762853E7" w14:textId="77777777" w:rsidR="00E831B6" w:rsidRPr="00677855" w:rsidRDefault="00E831B6" w:rsidP="00017836">
            <w:pPr>
              <w:pStyle w:val="Ingetavstnd"/>
              <w:spacing w:line="480" w:lineRule="auto"/>
              <w:rPr>
                <w:lang w:val="en-US"/>
              </w:rPr>
            </w:pPr>
            <w:r>
              <w:rPr>
                <w:lang w:val="en-US"/>
              </w:rPr>
              <w:t>No medications</w:t>
            </w:r>
          </w:p>
        </w:tc>
      </w:tr>
      <w:tr w:rsidR="00E831B6" w:rsidRPr="005F3C96" w14:paraId="68DB2B54" w14:textId="77777777" w:rsidTr="00017836">
        <w:tc>
          <w:tcPr>
            <w:tcW w:w="1636" w:type="dxa"/>
          </w:tcPr>
          <w:p w14:paraId="03B3D42B"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77855">
              <w:rPr>
                <w:lang w:val="en-US"/>
              </w:rPr>
              <w:t>Donor 2</w:t>
            </w:r>
          </w:p>
        </w:tc>
        <w:tc>
          <w:tcPr>
            <w:tcW w:w="987" w:type="dxa"/>
          </w:tcPr>
          <w:p w14:paraId="24DF335D"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Pr>
                <w:lang w:val="en-US"/>
              </w:rPr>
              <w:t>Male</w:t>
            </w:r>
          </w:p>
        </w:tc>
        <w:tc>
          <w:tcPr>
            <w:tcW w:w="633" w:type="dxa"/>
          </w:tcPr>
          <w:p w14:paraId="21C2440A" w14:textId="77777777" w:rsidR="00E831B6" w:rsidRPr="00677855" w:rsidRDefault="00E831B6" w:rsidP="00017836">
            <w:pPr>
              <w:pStyle w:val="Ingetavstnd"/>
              <w:spacing w:line="480" w:lineRule="auto"/>
              <w:rPr>
                <w:lang w:val="en-US"/>
              </w:rPr>
            </w:pPr>
            <w:r>
              <w:rPr>
                <w:lang w:val="en-US"/>
              </w:rPr>
              <w:t>62</w:t>
            </w:r>
          </w:p>
        </w:tc>
        <w:tc>
          <w:tcPr>
            <w:tcW w:w="1417" w:type="dxa"/>
          </w:tcPr>
          <w:p w14:paraId="34B8F186" w14:textId="77777777" w:rsidR="00E831B6" w:rsidRPr="00677855" w:rsidRDefault="00E831B6" w:rsidP="00017836">
            <w:pPr>
              <w:pStyle w:val="Ingetavstnd"/>
              <w:spacing w:line="480" w:lineRule="auto"/>
              <w:rPr>
                <w:lang w:val="en-US"/>
              </w:rPr>
            </w:pPr>
            <w:r>
              <w:rPr>
                <w:lang w:val="en-US"/>
              </w:rPr>
              <w:t>Caucasian</w:t>
            </w:r>
          </w:p>
        </w:tc>
        <w:tc>
          <w:tcPr>
            <w:tcW w:w="2587" w:type="dxa"/>
          </w:tcPr>
          <w:p w14:paraId="36167CDE" w14:textId="77777777" w:rsidR="00E831B6" w:rsidRPr="00677855" w:rsidRDefault="00E831B6" w:rsidP="00017836">
            <w:pPr>
              <w:pStyle w:val="Ingetavstnd"/>
              <w:spacing w:line="480" w:lineRule="auto"/>
              <w:rPr>
                <w:lang w:val="en-US"/>
              </w:rPr>
            </w:pPr>
            <w:r>
              <w:rPr>
                <w:lang w:val="en-US"/>
              </w:rPr>
              <w:t>Liver metastasis from s</w:t>
            </w:r>
            <w:r w:rsidRPr="00677855">
              <w:rPr>
                <w:lang w:val="en-US"/>
              </w:rPr>
              <w:t>igmoid adenocarcinoma</w:t>
            </w:r>
          </w:p>
        </w:tc>
        <w:tc>
          <w:tcPr>
            <w:tcW w:w="1743" w:type="dxa"/>
          </w:tcPr>
          <w:p w14:paraId="17C12CAA"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77855">
              <w:rPr>
                <w:lang w:val="en-US"/>
              </w:rPr>
              <w:t>Lemaline, Lovazepam, Ramipril</w:t>
            </w:r>
          </w:p>
        </w:tc>
      </w:tr>
      <w:tr w:rsidR="00E831B6" w:rsidRPr="005F3C96" w14:paraId="055AFD2E" w14:textId="77777777" w:rsidTr="00017836">
        <w:tc>
          <w:tcPr>
            <w:tcW w:w="1636" w:type="dxa"/>
          </w:tcPr>
          <w:p w14:paraId="3B1A30D9"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77855">
              <w:rPr>
                <w:lang w:val="en-US"/>
              </w:rPr>
              <w:t>Donor 3</w:t>
            </w:r>
          </w:p>
        </w:tc>
        <w:tc>
          <w:tcPr>
            <w:tcW w:w="987" w:type="dxa"/>
          </w:tcPr>
          <w:p w14:paraId="76D0CDEB" w14:textId="77777777" w:rsidR="00E831B6" w:rsidRPr="00677855"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Pr>
                <w:lang w:val="en-US"/>
              </w:rPr>
              <w:t>Male</w:t>
            </w:r>
          </w:p>
        </w:tc>
        <w:tc>
          <w:tcPr>
            <w:tcW w:w="633" w:type="dxa"/>
          </w:tcPr>
          <w:p w14:paraId="4378AF73" w14:textId="77777777" w:rsidR="00E831B6" w:rsidRPr="00677855" w:rsidRDefault="00E831B6" w:rsidP="00017836">
            <w:pPr>
              <w:pStyle w:val="Ingetavstnd"/>
              <w:spacing w:line="480" w:lineRule="auto"/>
              <w:rPr>
                <w:lang w:val="en-US"/>
              </w:rPr>
            </w:pPr>
            <w:r>
              <w:rPr>
                <w:lang w:val="en-US"/>
              </w:rPr>
              <w:t>69</w:t>
            </w:r>
          </w:p>
        </w:tc>
        <w:tc>
          <w:tcPr>
            <w:tcW w:w="1417" w:type="dxa"/>
          </w:tcPr>
          <w:p w14:paraId="07EFAB05" w14:textId="77777777" w:rsidR="00E831B6" w:rsidRPr="00677855" w:rsidRDefault="00E831B6" w:rsidP="00017836">
            <w:pPr>
              <w:pStyle w:val="Ingetavstnd"/>
              <w:spacing w:line="480" w:lineRule="auto"/>
              <w:rPr>
                <w:lang w:val="en-US"/>
              </w:rPr>
            </w:pPr>
            <w:r>
              <w:rPr>
                <w:lang w:val="en-US"/>
              </w:rPr>
              <w:t>Caucasian</w:t>
            </w:r>
          </w:p>
        </w:tc>
        <w:tc>
          <w:tcPr>
            <w:tcW w:w="2587" w:type="dxa"/>
          </w:tcPr>
          <w:p w14:paraId="108082EF" w14:textId="77777777" w:rsidR="00E831B6" w:rsidRPr="006A681D"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A681D">
              <w:rPr>
                <w:lang w:val="en-US"/>
              </w:rPr>
              <w:t>n/a</w:t>
            </w:r>
          </w:p>
        </w:tc>
        <w:tc>
          <w:tcPr>
            <w:tcW w:w="1743" w:type="dxa"/>
          </w:tcPr>
          <w:p w14:paraId="2D2BD36E" w14:textId="77777777" w:rsidR="00E831B6" w:rsidRPr="006A681D" w:rsidRDefault="00E831B6" w:rsidP="00017836">
            <w:pPr>
              <w:pStyle w:val="Ingetavstnd"/>
              <w:spacing w:line="480" w:lineRule="auto"/>
              <w:rPr>
                <w:rFonts w:asciiTheme="majorHAnsi" w:eastAsiaTheme="majorEastAsia" w:hAnsiTheme="majorHAnsi" w:cstheme="majorBidi"/>
                <w:b/>
                <w:bCs/>
                <w:i/>
                <w:iCs/>
                <w:color w:val="4F81BD" w:themeColor="accent1"/>
                <w:lang w:val="en-US"/>
              </w:rPr>
            </w:pPr>
            <w:r w:rsidRPr="006A681D">
              <w:rPr>
                <w:lang w:val="en-US"/>
              </w:rPr>
              <w:t xml:space="preserve"> </w:t>
            </w:r>
            <w:r>
              <w:rPr>
                <w:lang w:val="en-US"/>
              </w:rPr>
              <w:t>n/a</w:t>
            </w:r>
          </w:p>
        </w:tc>
      </w:tr>
    </w:tbl>
    <w:p w14:paraId="641DF63B" w14:textId="0586580F" w:rsidR="00CE24F8" w:rsidRDefault="00E831B6" w:rsidP="00017836">
      <w:pPr>
        <w:spacing w:line="480" w:lineRule="auto"/>
        <w:jc w:val="both"/>
        <w:rPr>
          <w:rFonts w:ascii="Calibri" w:hAnsi="Calibri"/>
          <w:sz w:val="24"/>
          <w:szCs w:val="24"/>
          <w:lang w:val="en-US"/>
        </w:rPr>
      </w:pPr>
      <w:r>
        <w:rPr>
          <w:rFonts w:ascii="Calibri" w:hAnsi="Calibri"/>
          <w:sz w:val="24"/>
          <w:szCs w:val="24"/>
          <w:lang w:val="en-US"/>
        </w:rPr>
        <w:t>n/a =</w:t>
      </w:r>
      <w:r w:rsidRPr="00CA7B30">
        <w:rPr>
          <w:rFonts w:ascii="Calibri" w:hAnsi="Calibri"/>
          <w:sz w:val="24"/>
          <w:szCs w:val="24"/>
          <w:lang w:val="en-US"/>
        </w:rPr>
        <w:t xml:space="preserve"> not available</w:t>
      </w:r>
    </w:p>
    <w:p w14:paraId="6C7C2560" w14:textId="77777777" w:rsidR="00CE24F8" w:rsidRDefault="00CE24F8" w:rsidP="00017836">
      <w:pPr>
        <w:spacing w:line="480" w:lineRule="auto"/>
        <w:jc w:val="both"/>
        <w:rPr>
          <w:rFonts w:ascii="Calibri" w:hAnsi="Calibri"/>
          <w:sz w:val="24"/>
          <w:szCs w:val="24"/>
          <w:lang w:val="en-US"/>
        </w:rPr>
      </w:pPr>
    </w:p>
    <w:p w14:paraId="274B72EE" w14:textId="77777777" w:rsidR="00E831B6" w:rsidRDefault="00E831B6" w:rsidP="00017836">
      <w:pPr>
        <w:spacing w:line="480" w:lineRule="auto"/>
        <w:jc w:val="both"/>
        <w:rPr>
          <w:rFonts w:ascii="Calibri" w:hAnsi="Calibri"/>
          <w:sz w:val="24"/>
          <w:szCs w:val="24"/>
          <w:lang w:val="en-US"/>
        </w:rPr>
      </w:pPr>
    </w:p>
    <w:p w14:paraId="1484DE1E" w14:textId="77777777" w:rsidR="00E831B6" w:rsidRPr="00CA7B30" w:rsidRDefault="00E831B6" w:rsidP="00017836">
      <w:pPr>
        <w:spacing w:line="480" w:lineRule="auto"/>
        <w:jc w:val="both"/>
        <w:rPr>
          <w:rFonts w:ascii="Calibri" w:hAnsi="Calibri"/>
          <w:sz w:val="24"/>
          <w:szCs w:val="24"/>
        </w:rPr>
      </w:pPr>
      <w:r w:rsidRPr="00CA7B30">
        <w:rPr>
          <w:rFonts w:ascii="Calibri" w:hAnsi="Calibri"/>
          <w:b/>
          <w:sz w:val="24"/>
          <w:szCs w:val="24"/>
          <w:lang w:val="en-US"/>
        </w:rPr>
        <w:t xml:space="preserve">Table 3. </w:t>
      </w:r>
      <w:r>
        <w:rPr>
          <w:rFonts w:ascii="Calibri" w:hAnsi="Calibri"/>
          <w:b/>
          <w:sz w:val="24"/>
          <w:szCs w:val="24"/>
          <w:lang w:val="en-US"/>
        </w:rPr>
        <w:t>Test compound concentrations utilized in the cytotoxicity studies.</w:t>
      </w:r>
    </w:p>
    <w:tbl>
      <w:tblPr>
        <w:tblStyle w:val="Tabellrutnt"/>
        <w:tblW w:w="0" w:type="auto"/>
        <w:tblLayout w:type="fixed"/>
        <w:tblLook w:val="04A0" w:firstRow="1" w:lastRow="0" w:firstColumn="1" w:lastColumn="0" w:noHBand="0" w:noVBand="1"/>
      </w:tblPr>
      <w:tblGrid>
        <w:gridCol w:w="1888"/>
        <w:gridCol w:w="4184"/>
      </w:tblGrid>
      <w:tr w:rsidR="00E831B6" w:rsidRPr="00CE24F8" w14:paraId="54055F4E" w14:textId="77777777" w:rsidTr="00017836">
        <w:trPr>
          <w:trHeight w:val="493"/>
        </w:trPr>
        <w:tc>
          <w:tcPr>
            <w:tcW w:w="1888" w:type="dxa"/>
            <w:vAlign w:val="center"/>
          </w:tcPr>
          <w:p w14:paraId="4849ED94" w14:textId="77777777" w:rsidR="00E831B6" w:rsidRPr="000A7195" w:rsidRDefault="00E831B6" w:rsidP="00017836">
            <w:pPr>
              <w:pStyle w:val="Ingetavstnd"/>
              <w:spacing w:line="480" w:lineRule="auto"/>
              <w:rPr>
                <w:b/>
              </w:rPr>
            </w:pPr>
            <w:r w:rsidRPr="000A7195">
              <w:rPr>
                <w:b/>
              </w:rPr>
              <w:t>Test compound</w:t>
            </w:r>
          </w:p>
        </w:tc>
        <w:tc>
          <w:tcPr>
            <w:tcW w:w="4184" w:type="dxa"/>
            <w:vAlign w:val="center"/>
          </w:tcPr>
          <w:p w14:paraId="572C27F2" w14:textId="77777777" w:rsidR="00E831B6" w:rsidRPr="000A7195" w:rsidRDefault="00E831B6" w:rsidP="00017836">
            <w:pPr>
              <w:pStyle w:val="Ingetavstnd"/>
              <w:spacing w:line="480" w:lineRule="auto"/>
              <w:rPr>
                <w:b/>
              </w:rPr>
            </w:pPr>
            <w:r w:rsidRPr="000A7195">
              <w:rPr>
                <w:b/>
              </w:rPr>
              <w:t>Final concentration (µM)</w:t>
            </w:r>
          </w:p>
        </w:tc>
      </w:tr>
      <w:tr w:rsidR="00E831B6" w:rsidRPr="00CA7B30" w14:paraId="7EEBBC8C" w14:textId="77777777" w:rsidTr="00017836">
        <w:trPr>
          <w:trHeight w:val="493"/>
        </w:trPr>
        <w:tc>
          <w:tcPr>
            <w:tcW w:w="1888" w:type="dxa"/>
            <w:vAlign w:val="center"/>
          </w:tcPr>
          <w:p w14:paraId="6D261EDB" w14:textId="77777777" w:rsidR="00E831B6" w:rsidRPr="00CA7B30" w:rsidRDefault="00E831B6" w:rsidP="00017836">
            <w:pPr>
              <w:pStyle w:val="Ingetavstnd"/>
              <w:spacing w:line="480" w:lineRule="auto"/>
            </w:pPr>
            <w:r w:rsidRPr="00CA7B30">
              <w:t>Acetaminophen</w:t>
            </w:r>
          </w:p>
        </w:tc>
        <w:tc>
          <w:tcPr>
            <w:tcW w:w="4184" w:type="dxa"/>
            <w:vAlign w:val="center"/>
          </w:tcPr>
          <w:p w14:paraId="6A7AAA7F" w14:textId="77777777" w:rsidR="00E831B6" w:rsidRPr="00CA7B30" w:rsidRDefault="00E831B6" w:rsidP="00017836">
            <w:pPr>
              <w:pStyle w:val="Ingetavstnd"/>
              <w:spacing w:line="480" w:lineRule="auto"/>
            </w:pPr>
            <w:r w:rsidRPr="00CA7B30">
              <w:t>10000, 5000, 2000, 1000, 500, 200, 100</w:t>
            </w:r>
          </w:p>
        </w:tc>
      </w:tr>
      <w:tr w:rsidR="00E831B6" w:rsidRPr="00CA7B30" w14:paraId="01BD41BC" w14:textId="77777777" w:rsidTr="00017836">
        <w:trPr>
          <w:trHeight w:val="493"/>
        </w:trPr>
        <w:tc>
          <w:tcPr>
            <w:tcW w:w="1888" w:type="dxa"/>
            <w:vAlign w:val="center"/>
          </w:tcPr>
          <w:p w14:paraId="34AD5513" w14:textId="77777777" w:rsidR="00E831B6" w:rsidRPr="00CA7B30" w:rsidRDefault="00E831B6" w:rsidP="00017836">
            <w:pPr>
              <w:pStyle w:val="Ingetavstnd"/>
              <w:spacing w:line="480" w:lineRule="auto"/>
            </w:pPr>
            <w:r w:rsidRPr="00CA7B30">
              <w:t>Bosentan</w:t>
            </w:r>
          </w:p>
        </w:tc>
        <w:tc>
          <w:tcPr>
            <w:tcW w:w="4184" w:type="dxa"/>
            <w:vAlign w:val="center"/>
          </w:tcPr>
          <w:p w14:paraId="78A58A72" w14:textId="77777777" w:rsidR="00E831B6" w:rsidRPr="00CA7B30" w:rsidRDefault="00E831B6" w:rsidP="00017836">
            <w:pPr>
              <w:pStyle w:val="Ingetavstnd"/>
              <w:spacing w:line="480" w:lineRule="auto"/>
            </w:pPr>
            <w:r w:rsidRPr="00CA7B30">
              <w:t>400, 200, 100, 40, 20, 10, 4</w:t>
            </w:r>
          </w:p>
        </w:tc>
      </w:tr>
      <w:tr w:rsidR="00E831B6" w:rsidRPr="00CA7B30" w14:paraId="0B57F7D9" w14:textId="77777777" w:rsidTr="00017836">
        <w:trPr>
          <w:trHeight w:val="493"/>
        </w:trPr>
        <w:tc>
          <w:tcPr>
            <w:tcW w:w="1888" w:type="dxa"/>
            <w:vAlign w:val="center"/>
          </w:tcPr>
          <w:p w14:paraId="548F88C3" w14:textId="77777777" w:rsidR="00E831B6" w:rsidRPr="00CA7B30" w:rsidRDefault="00E831B6" w:rsidP="00017836">
            <w:pPr>
              <w:pStyle w:val="Ingetavstnd"/>
              <w:spacing w:line="480" w:lineRule="auto"/>
            </w:pPr>
            <w:r w:rsidRPr="00CA7B30">
              <w:t>Diclofenac</w:t>
            </w:r>
          </w:p>
        </w:tc>
        <w:tc>
          <w:tcPr>
            <w:tcW w:w="4184" w:type="dxa"/>
            <w:vAlign w:val="center"/>
          </w:tcPr>
          <w:p w14:paraId="217E74EA" w14:textId="77777777" w:rsidR="00E831B6" w:rsidRPr="00CA7B30" w:rsidRDefault="00E831B6" w:rsidP="00017836">
            <w:pPr>
              <w:pStyle w:val="Ingetavstnd"/>
              <w:spacing w:line="480" w:lineRule="auto"/>
            </w:pPr>
            <w:r w:rsidRPr="00CA7B30">
              <w:t>500, 250, 100, 50, 25, 10, 5</w:t>
            </w:r>
          </w:p>
        </w:tc>
      </w:tr>
      <w:tr w:rsidR="00E831B6" w:rsidRPr="00CA7B30" w14:paraId="4ED5DF97" w14:textId="77777777" w:rsidTr="00017836">
        <w:trPr>
          <w:trHeight w:val="493"/>
        </w:trPr>
        <w:tc>
          <w:tcPr>
            <w:tcW w:w="1888" w:type="dxa"/>
            <w:vAlign w:val="center"/>
          </w:tcPr>
          <w:p w14:paraId="48CBF435" w14:textId="77777777" w:rsidR="00E831B6" w:rsidRPr="00CA7B30" w:rsidRDefault="00E831B6" w:rsidP="00017836">
            <w:pPr>
              <w:pStyle w:val="Ingetavstnd"/>
              <w:spacing w:line="480" w:lineRule="auto"/>
            </w:pPr>
            <w:r w:rsidRPr="00CA7B30">
              <w:t>Fialuridine</w:t>
            </w:r>
          </w:p>
        </w:tc>
        <w:tc>
          <w:tcPr>
            <w:tcW w:w="4184" w:type="dxa"/>
            <w:vAlign w:val="center"/>
          </w:tcPr>
          <w:p w14:paraId="53646DD1" w14:textId="77777777" w:rsidR="00E831B6" w:rsidRPr="00CA7B30" w:rsidRDefault="00E831B6" w:rsidP="00017836">
            <w:pPr>
              <w:pStyle w:val="Ingetavstnd"/>
              <w:spacing w:line="480" w:lineRule="auto"/>
            </w:pPr>
            <w:r w:rsidRPr="00CA7B30">
              <w:t>300, 100, 30, 10, 3, 1, 0.3</w:t>
            </w:r>
          </w:p>
        </w:tc>
      </w:tr>
      <w:tr w:rsidR="00E831B6" w:rsidRPr="00CA7B30" w14:paraId="5C575C18" w14:textId="77777777" w:rsidTr="00017836">
        <w:trPr>
          <w:trHeight w:val="493"/>
        </w:trPr>
        <w:tc>
          <w:tcPr>
            <w:tcW w:w="1888" w:type="dxa"/>
            <w:vAlign w:val="center"/>
          </w:tcPr>
          <w:p w14:paraId="7DEF7693" w14:textId="77777777" w:rsidR="00E831B6" w:rsidRPr="00CA7B30" w:rsidRDefault="00E831B6" w:rsidP="00017836">
            <w:pPr>
              <w:pStyle w:val="Ingetavstnd"/>
              <w:spacing w:line="480" w:lineRule="auto"/>
            </w:pPr>
            <w:r w:rsidRPr="00CA7B30">
              <w:t>Pioglitazone</w:t>
            </w:r>
          </w:p>
        </w:tc>
        <w:tc>
          <w:tcPr>
            <w:tcW w:w="4184" w:type="dxa"/>
            <w:vAlign w:val="center"/>
          </w:tcPr>
          <w:p w14:paraId="66A4D39F" w14:textId="77777777" w:rsidR="00E831B6" w:rsidRPr="00CA7B30" w:rsidRDefault="00E831B6" w:rsidP="00017836">
            <w:pPr>
              <w:pStyle w:val="Ingetavstnd"/>
              <w:spacing w:line="480" w:lineRule="auto"/>
            </w:pPr>
            <w:r w:rsidRPr="00CA7B30">
              <w:t>40, 20, 10, 4, 2, 1, 0.4</w:t>
            </w:r>
          </w:p>
        </w:tc>
      </w:tr>
      <w:tr w:rsidR="00E831B6" w:rsidRPr="00CA7B30" w14:paraId="1AB786E3" w14:textId="77777777" w:rsidTr="00017836">
        <w:trPr>
          <w:trHeight w:val="493"/>
        </w:trPr>
        <w:tc>
          <w:tcPr>
            <w:tcW w:w="1888" w:type="dxa"/>
            <w:vAlign w:val="center"/>
          </w:tcPr>
          <w:p w14:paraId="1E74DCB0" w14:textId="77777777" w:rsidR="00E831B6" w:rsidRPr="00CA7B30" w:rsidRDefault="00E831B6" w:rsidP="00017836">
            <w:pPr>
              <w:pStyle w:val="Ingetavstnd"/>
              <w:spacing w:line="480" w:lineRule="auto"/>
            </w:pPr>
            <w:r w:rsidRPr="00CA7B30">
              <w:t>Troglitazone</w:t>
            </w:r>
          </w:p>
        </w:tc>
        <w:tc>
          <w:tcPr>
            <w:tcW w:w="4184" w:type="dxa"/>
            <w:vAlign w:val="center"/>
          </w:tcPr>
          <w:p w14:paraId="044308DC" w14:textId="77777777" w:rsidR="00E831B6" w:rsidRPr="00CA7B30" w:rsidRDefault="00E831B6" w:rsidP="00017836">
            <w:pPr>
              <w:pStyle w:val="Ingetavstnd"/>
              <w:spacing w:line="480" w:lineRule="auto"/>
            </w:pPr>
            <w:r w:rsidRPr="00CA7B30">
              <w:t>40, 20, 10, 4, 2, 1, 0.4</w:t>
            </w:r>
          </w:p>
        </w:tc>
      </w:tr>
    </w:tbl>
    <w:p w14:paraId="0DBE7754" w14:textId="77777777" w:rsidR="00E831B6" w:rsidRPr="00CA7B30" w:rsidRDefault="00E831B6" w:rsidP="00017836">
      <w:pPr>
        <w:spacing w:line="480" w:lineRule="auto"/>
        <w:jc w:val="both"/>
        <w:rPr>
          <w:rFonts w:ascii="Calibri" w:hAnsi="Calibri"/>
          <w:sz w:val="24"/>
          <w:szCs w:val="24"/>
        </w:rPr>
      </w:pPr>
    </w:p>
    <w:p w14:paraId="5EF48238" w14:textId="77777777" w:rsidR="00E831B6" w:rsidRDefault="00E831B6" w:rsidP="000A7195">
      <w:pPr>
        <w:spacing w:line="480" w:lineRule="auto"/>
        <w:jc w:val="both"/>
        <w:rPr>
          <w:rFonts w:ascii="Calibri" w:hAnsi="Calibri"/>
          <w:sz w:val="24"/>
          <w:szCs w:val="24"/>
          <w:lang w:val="en-US"/>
        </w:rPr>
      </w:pPr>
    </w:p>
    <w:p w14:paraId="71B2BBF3" w14:textId="75D40680" w:rsidR="00CE24F8" w:rsidRDefault="00CE24F8" w:rsidP="000A7195">
      <w:pPr>
        <w:spacing w:line="480" w:lineRule="auto"/>
        <w:jc w:val="both"/>
        <w:rPr>
          <w:rFonts w:ascii="Calibri" w:hAnsi="Calibri"/>
          <w:sz w:val="24"/>
          <w:szCs w:val="24"/>
          <w:lang w:val="en-US"/>
        </w:rPr>
      </w:pPr>
      <w:r w:rsidRPr="000A7195">
        <w:rPr>
          <w:rFonts w:ascii="Calibri" w:hAnsi="Calibri"/>
          <w:b/>
          <w:sz w:val="24"/>
          <w:szCs w:val="24"/>
          <w:lang w:val="en-US"/>
        </w:rPr>
        <w:t>Table 4. Significantly downregulated ADME proteins in 2Dsw and 3D spheroid culture</w:t>
      </w:r>
      <w:r w:rsidR="009216C3">
        <w:rPr>
          <w:rFonts w:ascii="Calibri" w:hAnsi="Calibri"/>
          <w:b/>
          <w:sz w:val="24"/>
          <w:szCs w:val="24"/>
          <w:lang w:val="en-US"/>
        </w:rPr>
        <w:t>s as compared to freshly thawed cells</w:t>
      </w:r>
      <w:r w:rsidRPr="000A7195">
        <w:rPr>
          <w:rFonts w:ascii="Calibri" w:hAnsi="Calibri"/>
          <w:b/>
          <w:sz w:val="24"/>
          <w:szCs w:val="24"/>
          <w:lang w:val="en-US"/>
        </w:rPr>
        <w:t>.</w:t>
      </w:r>
      <w:r>
        <w:rPr>
          <w:rFonts w:ascii="Calibri" w:hAnsi="Calibri"/>
          <w:sz w:val="24"/>
          <w:szCs w:val="24"/>
          <w:lang w:val="en-US"/>
        </w:rPr>
        <w:t xml:space="preserve"> Only ADME proteins that are downregulated &gt;3-fold in at least one time point and culture paradigm are shown. Values in the table indicate average fold changes compared to freshly thawed cells from the same donors (n=3 donors).</w:t>
      </w:r>
    </w:p>
    <w:tbl>
      <w:tblPr>
        <w:tblStyle w:val="Tabellrutnt"/>
        <w:tblW w:w="0" w:type="auto"/>
        <w:tblLook w:val="04A0" w:firstRow="1" w:lastRow="0" w:firstColumn="1" w:lastColumn="0" w:noHBand="0" w:noVBand="1"/>
      </w:tblPr>
      <w:tblGrid>
        <w:gridCol w:w="1703"/>
        <w:gridCol w:w="1703"/>
        <w:gridCol w:w="1703"/>
        <w:gridCol w:w="1703"/>
        <w:gridCol w:w="1704"/>
      </w:tblGrid>
      <w:tr w:rsidR="00CE24F8" w:rsidRPr="00236694" w14:paraId="4FE5C2D1" w14:textId="77777777" w:rsidTr="000A7195">
        <w:tc>
          <w:tcPr>
            <w:tcW w:w="1703" w:type="dxa"/>
            <w:shd w:val="clear" w:color="auto" w:fill="E0E0E0"/>
          </w:tcPr>
          <w:p w14:paraId="30B58680" w14:textId="602D914E" w:rsidR="00CE24F8" w:rsidRPr="000A7195" w:rsidRDefault="00CE24F8" w:rsidP="000A7195">
            <w:pPr>
              <w:spacing w:line="240" w:lineRule="auto"/>
              <w:jc w:val="both"/>
              <w:rPr>
                <w:rFonts w:ascii="Calibri" w:hAnsi="Calibri"/>
                <w:b/>
                <w:sz w:val="24"/>
                <w:szCs w:val="24"/>
                <w:lang w:val="en-US"/>
              </w:rPr>
            </w:pPr>
          </w:p>
        </w:tc>
        <w:tc>
          <w:tcPr>
            <w:tcW w:w="3406" w:type="dxa"/>
            <w:gridSpan w:val="2"/>
            <w:shd w:val="clear" w:color="auto" w:fill="E0E0E0"/>
          </w:tcPr>
          <w:p w14:paraId="718F4E3A" w14:textId="0ED5853A"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2Dsw</w:t>
            </w:r>
          </w:p>
        </w:tc>
        <w:tc>
          <w:tcPr>
            <w:tcW w:w="3407" w:type="dxa"/>
            <w:gridSpan w:val="2"/>
            <w:shd w:val="clear" w:color="auto" w:fill="E0E0E0"/>
          </w:tcPr>
          <w:p w14:paraId="4ED80287" w14:textId="092F883E"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3D spheroids</w:t>
            </w:r>
          </w:p>
        </w:tc>
      </w:tr>
      <w:tr w:rsidR="00CE24F8" w:rsidRPr="00236694" w14:paraId="5CBEC330" w14:textId="77777777" w:rsidTr="000A7195">
        <w:tc>
          <w:tcPr>
            <w:tcW w:w="1703" w:type="dxa"/>
            <w:shd w:val="clear" w:color="auto" w:fill="E0E0E0"/>
          </w:tcPr>
          <w:p w14:paraId="3C6FBA98" w14:textId="4F2C3560"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ADME protein</w:t>
            </w:r>
          </w:p>
        </w:tc>
        <w:tc>
          <w:tcPr>
            <w:tcW w:w="1703" w:type="dxa"/>
            <w:shd w:val="clear" w:color="auto" w:fill="E0E0E0"/>
          </w:tcPr>
          <w:p w14:paraId="25563DED" w14:textId="53B44823"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Day 0</w:t>
            </w:r>
          </w:p>
        </w:tc>
        <w:tc>
          <w:tcPr>
            <w:tcW w:w="1703" w:type="dxa"/>
            <w:shd w:val="clear" w:color="auto" w:fill="E0E0E0"/>
          </w:tcPr>
          <w:p w14:paraId="7892655E" w14:textId="22AF2474"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Day 14</w:t>
            </w:r>
          </w:p>
        </w:tc>
        <w:tc>
          <w:tcPr>
            <w:tcW w:w="1703" w:type="dxa"/>
            <w:shd w:val="clear" w:color="auto" w:fill="E0E0E0"/>
          </w:tcPr>
          <w:p w14:paraId="2347B0CD" w14:textId="18C6D388"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Day 0</w:t>
            </w:r>
          </w:p>
        </w:tc>
        <w:tc>
          <w:tcPr>
            <w:tcW w:w="1704" w:type="dxa"/>
            <w:shd w:val="clear" w:color="auto" w:fill="E0E0E0"/>
          </w:tcPr>
          <w:p w14:paraId="10566073" w14:textId="1EADD0B7" w:rsidR="00CE24F8" w:rsidRPr="000A7195" w:rsidRDefault="00CE24F8" w:rsidP="000A7195">
            <w:pPr>
              <w:spacing w:line="240" w:lineRule="auto"/>
              <w:jc w:val="both"/>
              <w:rPr>
                <w:rFonts w:ascii="Calibri" w:hAnsi="Calibri"/>
                <w:b/>
                <w:sz w:val="24"/>
                <w:szCs w:val="24"/>
                <w:lang w:val="en-US"/>
              </w:rPr>
            </w:pPr>
            <w:r w:rsidRPr="000A7195">
              <w:rPr>
                <w:rFonts w:ascii="Calibri" w:hAnsi="Calibri"/>
                <w:b/>
                <w:sz w:val="24"/>
                <w:szCs w:val="24"/>
                <w:lang w:val="en-US"/>
              </w:rPr>
              <w:t>Day 14</w:t>
            </w:r>
          </w:p>
        </w:tc>
      </w:tr>
      <w:tr w:rsidR="00CE24F8" w14:paraId="0D006538" w14:textId="77777777" w:rsidTr="00CE24F8">
        <w:tc>
          <w:tcPr>
            <w:tcW w:w="1703" w:type="dxa"/>
          </w:tcPr>
          <w:p w14:paraId="34FFADBC" w14:textId="6FE8FD65"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ADH1A</w:t>
            </w:r>
          </w:p>
        </w:tc>
        <w:tc>
          <w:tcPr>
            <w:tcW w:w="1703" w:type="dxa"/>
          </w:tcPr>
          <w:p w14:paraId="4FB8DE50" w14:textId="44A407F1" w:rsidR="00CE24F8" w:rsidRDefault="00CE24F8" w:rsidP="00CE24F8">
            <w:pPr>
              <w:spacing w:line="240" w:lineRule="auto"/>
              <w:jc w:val="both"/>
              <w:rPr>
                <w:rFonts w:ascii="Calibri" w:hAnsi="Calibri"/>
                <w:sz w:val="24"/>
                <w:szCs w:val="24"/>
                <w:lang w:val="en-US"/>
              </w:rPr>
            </w:pPr>
          </w:p>
        </w:tc>
        <w:tc>
          <w:tcPr>
            <w:tcW w:w="1703" w:type="dxa"/>
          </w:tcPr>
          <w:p w14:paraId="023574D0" w14:textId="63D183D0"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-74-fold</w:t>
            </w:r>
          </w:p>
        </w:tc>
        <w:tc>
          <w:tcPr>
            <w:tcW w:w="1703" w:type="dxa"/>
          </w:tcPr>
          <w:p w14:paraId="57CF098E" w14:textId="4380916D"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-3-fold</w:t>
            </w:r>
          </w:p>
        </w:tc>
        <w:tc>
          <w:tcPr>
            <w:tcW w:w="1704" w:type="dxa"/>
          </w:tcPr>
          <w:p w14:paraId="3CAE7D0E" w14:textId="45D23F35"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-13-fold</w:t>
            </w:r>
          </w:p>
        </w:tc>
      </w:tr>
      <w:tr w:rsidR="00CE24F8" w14:paraId="53923CBA" w14:textId="77777777" w:rsidTr="00CE24F8">
        <w:tc>
          <w:tcPr>
            <w:tcW w:w="1703" w:type="dxa"/>
          </w:tcPr>
          <w:p w14:paraId="1D52F71C" w14:textId="7F8A6F36"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ADH3</w:t>
            </w:r>
          </w:p>
        </w:tc>
        <w:tc>
          <w:tcPr>
            <w:tcW w:w="1703" w:type="dxa"/>
          </w:tcPr>
          <w:p w14:paraId="12DEAB84" w14:textId="0401CE3C"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-8.5-fold</w:t>
            </w:r>
          </w:p>
        </w:tc>
        <w:tc>
          <w:tcPr>
            <w:tcW w:w="1703" w:type="dxa"/>
          </w:tcPr>
          <w:p w14:paraId="03669F3A" w14:textId="33514DD6"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-24-fold</w:t>
            </w:r>
          </w:p>
        </w:tc>
        <w:tc>
          <w:tcPr>
            <w:tcW w:w="1703" w:type="dxa"/>
          </w:tcPr>
          <w:p w14:paraId="12F7375C" w14:textId="77777777" w:rsidR="00CE24F8" w:rsidRDefault="00CE24F8" w:rsidP="000A7195">
            <w:pPr>
              <w:spacing w:line="240" w:lineRule="auto"/>
              <w:jc w:val="both"/>
              <w:rPr>
                <w:rFonts w:ascii="Calibri" w:hAnsi="Calibri"/>
                <w:sz w:val="24"/>
                <w:szCs w:val="24"/>
                <w:lang w:val="en-US"/>
              </w:rPr>
            </w:pPr>
          </w:p>
        </w:tc>
        <w:tc>
          <w:tcPr>
            <w:tcW w:w="1704" w:type="dxa"/>
          </w:tcPr>
          <w:p w14:paraId="31137C3F" w14:textId="77777777" w:rsidR="00CE24F8" w:rsidRDefault="00CE24F8" w:rsidP="000A7195">
            <w:pPr>
              <w:spacing w:line="240" w:lineRule="auto"/>
              <w:jc w:val="both"/>
              <w:rPr>
                <w:rFonts w:ascii="Calibri" w:hAnsi="Calibri"/>
                <w:sz w:val="24"/>
                <w:szCs w:val="24"/>
                <w:lang w:val="en-US"/>
              </w:rPr>
            </w:pPr>
          </w:p>
        </w:tc>
      </w:tr>
      <w:tr w:rsidR="00CE24F8" w14:paraId="102FE35D" w14:textId="77777777" w:rsidTr="00CE24F8">
        <w:tc>
          <w:tcPr>
            <w:tcW w:w="1703" w:type="dxa"/>
          </w:tcPr>
          <w:p w14:paraId="2E64A32A" w14:textId="2605E2B7"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CYP2A6</w:t>
            </w:r>
          </w:p>
        </w:tc>
        <w:tc>
          <w:tcPr>
            <w:tcW w:w="1703" w:type="dxa"/>
          </w:tcPr>
          <w:p w14:paraId="65D45A85" w14:textId="77777777" w:rsidR="00CE24F8" w:rsidRDefault="00CE24F8" w:rsidP="00CE24F8">
            <w:pPr>
              <w:spacing w:line="240" w:lineRule="auto"/>
              <w:jc w:val="both"/>
              <w:rPr>
                <w:rFonts w:ascii="Calibri" w:hAnsi="Calibri"/>
                <w:sz w:val="24"/>
                <w:szCs w:val="24"/>
                <w:lang w:val="en-US"/>
              </w:rPr>
            </w:pPr>
          </w:p>
        </w:tc>
        <w:tc>
          <w:tcPr>
            <w:tcW w:w="1703" w:type="dxa"/>
          </w:tcPr>
          <w:p w14:paraId="1EA19F79" w14:textId="4AD752D5"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-42-fold</w:t>
            </w:r>
          </w:p>
        </w:tc>
        <w:tc>
          <w:tcPr>
            <w:tcW w:w="1703" w:type="dxa"/>
          </w:tcPr>
          <w:p w14:paraId="396FA1CD" w14:textId="77777777" w:rsidR="00CE24F8" w:rsidRDefault="00CE24F8" w:rsidP="00CE24F8">
            <w:pPr>
              <w:spacing w:line="240" w:lineRule="auto"/>
              <w:jc w:val="both"/>
              <w:rPr>
                <w:rFonts w:ascii="Calibri" w:hAnsi="Calibri"/>
                <w:sz w:val="24"/>
                <w:szCs w:val="24"/>
                <w:lang w:val="en-US"/>
              </w:rPr>
            </w:pPr>
          </w:p>
        </w:tc>
        <w:tc>
          <w:tcPr>
            <w:tcW w:w="1704" w:type="dxa"/>
          </w:tcPr>
          <w:p w14:paraId="0A9EFBD5" w14:textId="2DCFAAA6"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-6.8-fold</w:t>
            </w:r>
          </w:p>
        </w:tc>
      </w:tr>
      <w:tr w:rsidR="00CE24F8" w14:paraId="0ACA7EF7" w14:textId="77777777" w:rsidTr="00CE24F8">
        <w:tc>
          <w:tcPr>
            <w:tcW w:w="1703" w:type="dxa"/>
          </w:tcPr>
          <w:p w14:paraId="1832171E" w14:textId="419192BD"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CYP2D6</w:t>
            </w:r>
          </w:p>
        </w:tc>
        <w:tc>
          <w:tcPr>
            <w:tcW w:w="1703" w:type="dxa"/>
          </w:tcPr>
          <w:p w14:paraId="54AD9371" w14:textId="77777777" w:rsidR="00CE24F8" w:rsidRDefault="00CE24F8" w:rsidP="00CE24F8">
            <w:pPr>
              <w:spacing w:line="240" w:lineRule="auto"/>
              <w:jc w:val="both"/>
              <w:rPr>
                <w:rFonts w:ascii="Calibri" w:hAnsi="Calibri"/>
                <w:sz w:val="24"/>
                <w:szCs w:val="24"/>
                <w:lang w:val="en-US"/>
              </w:rPr>
            </w:pPr>
          </w:p>
        </w:tc>
        <w:tc>
          <w:tcPr>
            <w:tcW w:w="1703" w:type="dxa"/>
          </w:tcPr>
          <w:p w14:paraId="21FE4313" w14:textId="08B742F1"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-6.3-fold</w:t>
            </w:r>
          </w:p>
        </w:tc>
        <w:tc>
          <w:tcPr>
            <w:tcW w:w="1703" w:type="dxa"/>
          </w:tcPr>
          <w:p w14:paraId="325FEE65" w14:textId="77777777" w:rsidR="00CE24F8" w:rsidRDefault="00CE24F8" w:rsidP="00CE24F8">
            <w:pPr>
              <w:spacing w:line="240" w:lineRule="auto"/>
              <w:jc w:val="both"/>
              <w:rPr>
                <w:rFonts w:ascii="Calibri" w:hAnsi="Calibri"/>
                <w:sz w:val="24"/>
                <w:szCs w:val="24"/>
                <w:lang w:val="en-US"/>
              </w:rPr>
            </w:pPr>
          </w:p>
        </w:tc>
        <w:tc>
          <w:tcPr>
            <w:tcW w:w="1704" w:type="dxa"/>
          </w:tcPr>
          <w:p w14:paraId="25495EE7" w14:textId="12D26658"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-4.6-fold</w:t>
            </w:r>
          </w:p>
        </w:tc>
      </w:tr>
      <w:tr w:rsidR="00CE24F8" w14:paraId="4D4390B5" w14:textId="77777777" w:rsidTr="00CE24F8">
        <w:tc>
          <w:tcPr>
            <w:tcW w:w="1703" w:type="dxa"/>
          </w:tcPr>
          <w:p w14:paraId="1575824E" w14:textId="798FC8B3"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CYP2E1</w:t>
            </w:r>
          </w:p>
        </w:tc>
        <w:tc>
          <w:tcPr>
            <w:tcW w:w="1703" w:type="dxa"/>
          </w:tcPr>
          <w:p w14:paraId="5814A321" w14:textId="77777777" w:rsidR="00CE24F8" w:rsidRDefault="00CE24F8" w:rsidP="00CE24F8">
            <w:pPr>
              <w:spacing w:line="240" w:lineRule="auto"/>
              <w:jc w:val="both"/>
              <w:rPr>
                <w:rFonts w:ascii="Calibri" w:hAnsi="Calibri"/>
                <w:sz w:val="24"/>
                <w:szCs w:val="24"/>
                <w:lang w:val="en-US"/>
              </w:rPr>
            </w:pPr>
          </w:p>
        </w:tc>
        <w:tc>
          <w:tcPr>
            <w:tcW w:w="1703" w:type="dxa"/>
          </w:tcPr>
          <w:p w14:paraId="2AC31D0E" w14:textId="1C13813A"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-17-fold</w:t>
            </w:r>
          </w:p>
        </w:tc>
        <w:tc>
          <w:tcPr>
            <w:tcW w:w="1703" w:type="dxa"/>
          </w:tcPr>
          <w:p w14:paraId="1A3E636D" w14:textId="77777777" w:rsidR="00CE24F8" w:rsidRDefault="00CE24F8" w:rsidP="00CE24F8">
            <w:pPr>
              <w:spacing w:line="240" w:lineRule="auto"/>
              <w:jc w:val="both"/>
              <w:rPr>
                <w:rFonts w:ascii="Calibri" w:hAnsi="Calibri"/>
                <w:sz w:val="24"/>
                <w:szCs w:val="24"/>
                <w:lang w:val="en-US"/>
              </w:rPr>
            </w:pPr>
          </w:p>
        </w:tc>
        <w:tc>
          <w:tcPr>
            <w:tcW w:w="1704" w:type="dxa"/>
          </w:tcPr>
          <w:p w14:paraId="66790F0F" w14:textId="77777777" w:rsidR="00CE24F8" w:rsidRDefault="00CE24F8" w:rsidP="00CE24F8">
            <w:pPr>
              <w:spacing w:line="240" w:lineRule="auto"/>
              <w:jc w:val="both"/>
              <w:rPr>
                <w:rFonts w:ascii="Calibri" w:hAnsi="Calibri"/>
                <w:sz w:val="24"/>
                <w:szCs w:val="24"/>
                <w:lang w:val="en-US"/>
              </w:rPr>
            </w:pPr>
          </w:p>
        </w:tc>
      </w:tr>
      <w:tr w:rsidR="00CE24F8" w14:paraId="51A7E453" w14:textId="77777777" w:rsidTr="00CE24F8">
        <w:tc>
          <w:tcPr>
            <w:tcW w:w="1703" w:type="dxa"/>
          </w:tcPr>
          <w:p w14:paraId="34135CED" w14:textId="1CA25451"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CYP4A11</w:t>
            </w:r>
          </w:p>
        </w:tc>
        <w:tc>
          <w:tcPr>
            <w:tcW w:w="1703" w:type="dxa"/>
          </w:tcPr>
          <w:p w14:paraId="65E0BC86" w14:textId="77777777" w:rsidR="00CE24F8" w:rsidRDefault="00CE24F8" w:rsidP="00CE24F8">
            <w:pPr>
              <w:spacing w:line="240" w:lineRule="auto"/>
              <w:jc w:val="both"/>
              <w:rPr>
                <w:rFonts w:ascii="Calibri" w:hAnsi="Calibri"/>
                <w:sz w:val="24"/>
                <w:szCs w:val="24"/>
                <w:lang w:val="en-US"/>
              </w:rPr>
            </w:pPr>
          </w:p>
        </w:tc>
        <w:tc>
          <w:tcPr>
            <w:tcW w:w="1703" w:type="dxa"/>
          </w:tcPr>
          <w:p w14:paraId="79AD4501" w14:textId="1A897414"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-5.2-fold</w:t>
            </w:r>
          </w:p>
        </w:tc>
        <w:tc>
          <w:tcPr>
            <w:tcW w:w="1703" w:type="dxa"/>
          </w:tcPr>
          <w:p w14:paraId="073D3FE3" w14:textId="3E6EBE3E"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-5.8-fold</w:t>
            </w:r>
          </w:p>
        </w:tc>
        <w:tc>
          <w:tcPr>
            <w:tcW w:w="1704" w:type="dxa"/>
          </w:tcPr>
          <w:p w14:paraId="53C89924" w14:textId="3657CCB4"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-38-fold</w:t>
            </w:r>
          </w:p>
        </w:tc>
      </w:tr>
      <w:tr w:rsidR="00CE24F8" w14:paraId="45212B06" w14:textId="77777777" w:rsidTr="00CE24F8">
        <w:tc>
          <w:tcPr>
            <w:tcW w:w="1703" w:type="dxa"/>
          </w:tcPr>
          <w:p w14:paraId="1BB40F48" w14:textId="35A6D4C7"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lastRenderedPageBreak/>
              <w:t>GSS</w:t>
            </w:r>
          </w:p>
        </w:tc>
        <w:tc>
          <w:tcPr>
            <w:tcW w:w="1703" w:type="dxa"/>
          </w:tcPr>
          <w:p w14:paraId="65BB072F" w14:textId="5C3DB740"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-6.1-fold</w:t>
            </w:r>
          </w:p>
        </w:tc>
        <w:tc>
          <w:tcPr>
            <w:tcW w:w="1703" w:type="dxa"/>
          </w:tcPr>
          <w:p w14:paraId="530F8198" w14:textId="05404498" w:rsidR="00CE24F8" w:rsidRDefault="00236694" w:rsidP="000A7195">
            <w:pPr>
              <w:spacing w:line="240" w:lineRule="auto"/>
              <w:jc w:val="both"/>
              <w:rPr>
                <w:rFonts w:ascii="Calibri" w:hAnsi="Calibri"/>
                <w:sz w:val="24"/>
                <w:szCs w:val="24"/>
                <w:lang w:val="en-US"/>
              </w:rPr>
            </w:pPr>
            <w:r>
              <w:rPr>
                <w:rFonts w:ascii="Calibri" w:hAnsi="Calibri"/>
                <w:sz w:val="24"/>
                <w:szCs w:val="24"/>
                <w:lang w:val="en-US"/>
              </w:rPr>
              <w:t>-15-fold</w:t>
            </w:r>
          </w:p>
        </w:tc>
        <w:tc>
          <w:tcPr>
            <w:tcW w:w="1703" w:type="dxa"/>
          </w:tcPr>
          <w:p w14:paraId="14EB9729" w14:textId="77777777" w:rsidR="00CE24F8" w:rsidRDefault="00CE24F8" w:rsidP="000A7195">
            <w:pPr>
              <w:spacing w:line="240" w:lineRule="auto"/>
              <w:jc w:val="both"/>
              <w:rPr>
                <w:rFonts w:ascii="Calibri" w:hAnsi="Calibri"/>
                <w:sz w:val="24"/>
                <w:szCs w:val="24"/>
                <w:lang w:val="en-US"/>
              </w:rPr>
            </w:pPr>
          </w:p>
        </w:tc>
        <w:tc>
          <w:tcPr>
            <w:tcW w:w="1704" w:type="dxa"/>
          </w:tcPr>
          <w:p w14:paraId="2D12CBCC" w14:textId="77777777" w:rsidR="00CE24F8" w:rsidRDefault="00CE24F8" w:rsidP="000A7195">
            <w:pPr>
              <w:spacing w:line="240" w:lineRule="auto"/>
              <w:jc w:val="both"/>
              <w:rPr>
                <w:rFonts w:ascii="Calibri" w:hAnsi="Calibri"/>
                <w:sz w:val="24"/>
                <w:szCs w:val="24"/>
                <w:lang w:val="en-US"/>
              </w:rPr>
            </w:pPr>
          </w:p>
        </w:tc>
      </w:tr>
      <w:tr w:rsidR="00CE24F8" w14:paraId="4E496A21" w14:textId="77777777" w:rsidTr="00CE24F8">
        <w:tc>
          <w:tcPr>
            <w:tcW w:w="1703" w:type="dxa"/>
          </w:tcPr>
          <w:p w14:paraId="247C5DD2" w14:textId="46ABEDBD"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GSTA2</w:t>
            </w:r>
          </w:p>
        </w:tc>
        <w:tc>
          <w:tcPr>
            <w:tcW w:w="1703" w:type="dxa"/>
          </w:tcPr>
          <w:p w14:paraId="5228168F" w14:textId="77777777" w:rsidR="00CE24F8" w:rsidRDefault="00CE24F8" w:rsidP="000A7195">
            <w:pPr>
              <w:spacing w:line="240" w:lineRule="auto"/>
              <w:jc w:val="both"/>
              <w:rPr>
                <w:rFonts w:ascii="Calibri" w:hAnsi="Calibri"/>
                <w:sz w:val="24"/>
                <w:szCs w:val="24"/>
                <w:lang w:val="en-US"/>
              </w:rPr>
            </w:pPr>
          </w:p>
        </w:tc>
        <w:tc>
          <w:tcPr>
            <w:tcW w:w="1703" w:type="dxa"/>
          </w:tcPr>
          <w:p w14:paraId="66F63A8C" w14:textId="4CCC3D2F" w:rsidR="00CE24F8" w:rsidRDefault="00CE24F8" w:rsidP="000A7195">
            <w:pPr>
              <w:spacing w:line="240" w:lineRule="auto"/>
              <w:jc w:val="both"/>
              <w:rPr>
                <w:rFonts w:ascii="Calibri" w:hAnsi="Calibri"/>
                <w:sz w:val="24"/>
                <w:szCs w:val="24"/>
                <w:lang w:val="en-US"/>
              </w:rPr>
            </w:pPr>
            <w:r>
              <w:rPr>
                <w:rFonts w:ascii="Calibri" w:hAnsi="Calibri"/>
                <w:sz w:val="24"/>
                <w:szCs w:val="24"/>
                <w:lang w:val="en-US"/>
              </w:rPr>
              <w:t>-97-fold</w:t>
            </w:r>
          </w:p>
        </w:tc>
        <w:tc>
          <w:tcPr>
            <w:tcW w:w="1703" w:type="dxa"/>
          </w:tcPr>
          <w:p w14:paraId="0F30FB75" w14:textId="77777777" w:rsidR="00CE24F8" w:rsidRDefault="00CE24F8" w:rsidP="000A7195">
            <w:pPr>
              <w:spacing w:line="240" w:lineRule="auto"/>
              <w:jc w:val="both"/>
              <w:rPr>
                <w:rFonts w:ascii="Calibri" w:hAnsi="Calibri"/>
                <w:sz w:val="24"/>
                <w:szCs w:val="24"/>
                <w:lang w:val="en-US"/>
              </w:rPr>
            </w:pPr>
          </w:p>
        </w:tc>
        <w:tc>
          <w:tcPr>
            <w:tcW w:w="1704" w:type="dxa"/>
          </w:tcPr>
          <w:p w14:paraId="652B6EE0" w14:textId="105C73C6" w:rsidR="00CE24F8" w:rsidRDefault="00236694" w:rsidP="000A7195">
            <w:pPr>
              <w:spacing w:line="240" w:lineRule="auto"/>
              <w:jc w:val="both"/>
              <w:rPr>
                <w:rFonts w:ascii="Calibri" w:hAnsi="Calibri"/>
                <w:sz w:val="24"/>
                <w:szCs w:val="24"/>
                <w:lang w:val="en-US"/>
              </w:rPr>
            </w:pPr>
            <w:r>
              <w:rPr>
                <w:rFonts w:ascii="Calibri" w:hAnsi="Calibri"/>
                <w:sz w:val="24"/>
                <w:szCs w:val="24"/>
                <w:lang w:val="en-US"/>
              </w:rPr>
              <w:t>-18-fold</w:t>
            </w:r>
          </w:p>
        </w:tc>
      </w:tr>
      <w:tr w:rsidR="00CE24F8" w14:paraId="0F16846E" w14:textId="77777777" w:rsidTr="00CE24F8">
        <w:tc>
          <w:tcPr>
            <w:tcW w:w="1703" w:type="dxa"/>
          </w:tcPr>
          <w:p w14:paraId="79869125" w14:textId="2D6033D6"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GSTM1</w:t>
            </w:r>
          </w:p>
        </w:tc>
        <w:tc>
          <w:tcPr>
            <w:tcW w:w="1703" w:type="dxa"/>
          </w:tcPr>
          <w:p w14:paraId="3A7B3379" w14:textId="77777777" w:rsidR="00CE24F8" w:rsidRDefault="00CE24F8" w:rsidP="00CE24F8">
            <w:pPr>
              <w:spacing w:line="240" w:lineRule="auto"/>
              <w:jc w:val="both"/>
              <w:rPr>
                <w:rFonts w:ascii="Calibri" w:hAnsi="Calibri"/>
                <w:sz w:val="24"/>
                <w:szCs w:val="24"/>
                <w:lang w:val="en-US"/>
              </w:rPr>
            </w:pPr>
          </w:p>
        </w:tc>
        <w:tc>
          <w:tcPr>
            <w:tcW w:w="1703" w:type="dxa"/>
          </w:tcPr>
          <w:p w14:paraId="23728CB0" w14:textId="5EB1617F" w:rsidR="00CE24F8" w:rsidRDefault="00CE24F8" w:rsidP="00CE24F8">
            <w:pPr>
              <w:spacing w:line="240" w:lineRule="auto"/>
              <w:jc w:val="both"/>
              <w:rPr>
                <w:rFonts w:ascii="Calibri" w:hAnsi="Calibri"/>
                <w:sz w:val="24"/>
                <w:szCs w:val="24"/>
                <w:lang w:val="en-US"/>
              </w:rPr>
            </w:pPr>
            <w:r>
              <w:rPr>
                <w:rFonts w:ascii="Calibri" w:hAnsi="Calibri"/>
                <w:sz w:val="24"/>
                <w:szCs w:val="24"/>
                <w:lang w:val="en-US"/>
              </w:rPr>
              <w:t>-47-fold</w:t>
            </w:r>
          </w:p>
        </w:tc>
        <w:tc>
          <w:tcPr>
            <w:tcW w:w="1703" w:type="dxa"/>
          </w:tcPr>
          <w:p w14:paraId="7C8C0CB5" w14:textId="77777777" w:rsidR="00CE24F8" w:rsidRDefault="00CE24F8" w:rsidP="00CE24F8">
            <w:pPr>
              <w:spacing w:line="240" w:lineRule="auto"/>
              <w:jc w:val="both"/>
              <w:rPr>
                <w:rFonts w:ascii="Calibri" w:hAnsi="Calibri"/>
                <w:sz w:val="24"/>
                <w:szCs w:val="24"/>
                <w:lang w:val="en-US"/>
              </w:rPr>
            </w:pPr>
          </w:p>
        </w:tc>
        <w:tc>
          <w:tcPr>
            <w:tcW w:w="1704" w:type="dxa"/>
          </w:tcPr>
          <w:p w14:paraId="23D0749E" w14:textId="77777777" w:rsidR="00CE24F8" w:rsidRDefault="00CE24F8" w:rsidP="00CE24F8">
            <w:pPr>
              <w:spacing w:line="240" w:lineRule="auto"/>
              <w:jc w:val="both"/>
              <w:rPr>
                <w:rFonts w:ascii="Calibri" w:hAnsi="Calibri"/>
                <w:sz w:val="24"/>
                <w:szCs w:val="24"/>
                <w:lang w:val="en-US"/>
              </w:rPr>
            </w:pPr>
          </w:p>
        </w:tc>
      </w:tr>
      <w:tr w:rsidR="00CE24F8" w14:paraId="6721D447" w14:textId="77777777" w:rsidTr="00CE24F8">
        <w:tc>
          <w:tcPr>
            <w:tcW w:w="1703" w:type="dxa"/>
          </w:tcPr>
          <w:p w14:paraId="72BB239F" w14:textId="0D941E83"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SLC27A5</w:t>
            </w:r>
          </w:p>
        </w:tc>
        <w:tc>
          <w:tcPr>
            <w:tcW w:w="1703" w:type="dxa"/>
          </w:tcPr>
          <w:p w14:paraId="10527BAF" w14:textId="77777777" w:rsidR="00CE24F8" w:rsidRDefault="00CE24F8" w:rsidP="00CE24F8">
            <w:pPr>
              <w:spacing w:line="240" w:lineRule="auto"/>
              <w:jc w:val="both"/>
              <w:rPr>
                <w:rFonts w:ascii="Calibri" w:hAnsi="Calibri"/>
                <w:sz w:val="24"/>
                <w:szCs w:val="24"/>
                <w:lang w:val="en-US"/>
              </w:rPr>
            </w:pPr>
          </w:p>
        </w:tc>
        <w:tc>
          <w:tcPr>
            <w:tcW w:w="1703" w:type="dxa"/>
          </w:tcPr>
          <w:p w14:paraId="475F91DC" w14:textId="06635046"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-14-fold</w:t>
            </w:r>
          </w:p>
        </w:tc>
        <w:tc>
          <w:tcPr>
            <w:tcW w:w="1703" w:type="dxa"/>
          </w:tcPr>
          <w:p w14:paraId="386B81FC" w14:textId="39852245"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-3.9-fold</w:t>
            </w:r>
          </w:p>
        </w:tc>
        <w:tc>
          <w:tcPr>
            <w:tcW w:w="1704" w:type="dxa"/>
          </w:tcPr>
          <w:p w14:paraId="0F666AF4" w14:textId="6154E184"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-19-fold</w:t>
            </w:r>
          </w:p>
        </w:tc>
      </w:tr>
      <w:tr w:rsidR="00CE24F8" w14:paraId="62FF9E71" w14:textId="77777777" w:rsidTr="00CE24F8">
        <w:tc>
          <w:tcPr>
            <w:tcW w:w="1703" w:type="dxa"/>
          </w:tcPr>
          <w:p w14:paraId="17D98621" w14:textId="2B0B4840"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UGT1A4</w:t>
            </w:r>
          </w:p>
        </w:tc>
        <w:tc>
          <w:tcPr>
            <w:tcW w:w="1703" w:type="dxa"/>
          </w:tcPr>
          <w:p w14:paraId="0EFB6DC4" w14:textId="77777777" w:rsidR="00CE24F8" w:rsidRDefault="00CE24F8" w:rsidP="00CE24F8">
            <w:pPr>
              <w:spacing w:line="240" w:lineRule="auto"/>
              <w:jc w:val="both"/>
              <w:rPr>
                <w:rFonts w:ascii="Calibri" w:hAnsi="Calibri"/>
                <w:sz w:val="24"/>
                <w:szCs w:val="24"/>
                <w:lang w:val="en-US"/>
              </w:rPr>
            </w:pPr>
          </w:p>
        </w:tc>
        <w:tc>
          <w:tcPr>
            <w:tcW w:w="1703" w:type="dxa"/>
          </w:tcPr>
          <w:p w14:paraId="5EAEC082" w14:textId="6ADF8947"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-10-fold</w:t>
            </w:r>
          </w:p>
        </w:tc>
        <w:tc>
          <w:tcPr>
            <w:tcW w:w="1703" w:type="dxa"/>
          </w:tcPr>
          <w:p w14:paraId="711C1FED" w14:textId="77777777" w:rsidR="00CE24F8" w:rsidRDefault="00CE24F8" w:rsidP="00CE24F8">
            <w:pPr>
              <w:spacing w:line="240" w:lineRule="auto"/>
              <w:jc w:val="both"/>
              <w:rPr>
                <w:rFonts w:ascii="Calibri" w:hAnsi="Calibri"/>
                <w:sz w:val="24"/>
                <w:szCs w:val="24"/>
                <w:lang w:val="en-US"/>
              </w:rPr>
            </w:pPr>
          </w:p>
        </w:tc>
        <w:tc>
          <w:tcPr>
            <w:tcW w:w="1704" w:type="dxa"/>
          </w:tcPr>
          <w:p w14:paraId="5F01CC18" w14:textId="77777777" w:rsidR="00CE24F8" w:rsidRDefault="00CE24F8" w:rsidP="00CE24F8">
            <w:pPr>
              <w:spacing w:line="240" w:lineRule="auto"/>
              <w:jc w:val="both"/>
              <w:rPr>
                <w:rFonts w:ascii="Calibri" w:hAnsi="Calibri"/>
                <w:sz w:val="24"/>
                <w:szCs w:val="24"/>
                <w:lang w:val="en-US"/>
              </w:rPr>
            </w:pPr>
          </w:p>
        </w:tc>
      </w:tr>
      <w:tr w:rsidR="00CE24F8" w14:paraId="6C1644F4" w14:textId="77777777" w:rsidTr="00CE24F8">
        <w:tc>
          <w:tcPr>
            <w:tcW w:w="1703" w:type="dxa"/>
          </w:tcPr>
          <w:p w14:paraId="036E3A35" w14:textId="2636F623"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UGT2B10</w:t>
            </w:r>
          </w:p>
        </w:tc>
        <w:tc>
          <w:tcPr>
            <w:tcW w:w="1703" w:type="dxa"/>
          </w:tcPr>
          <w:p w14:paraId="36BBBEF9" w14:textId="77777777" w:rsidR="00CE24F8" w:rsidRDefault="00CE24F8" w:rsidP="00CE24F8">
            <w:pPr>
              <w:spacing w:line="240" w:lineRule="auto"/>
              <w:jc w:val="both"/>
              <w:rPr>
                <w:rFonts w:ascii="Calibri" w:hAnsi="Calibri"/>
                <w:sz w:val="24"/>
                <w:szCs w:val="24"/>
                <w:lang w:val="en-US"/>
              </w:rPr>
            </w:pPr>
          </w:p>
        </w:tc>
        <w:tc>
          <w:tcPr>
            <w:tcW w:w="1703" w:type="dxa"/>
          </w:tcPr>
          <w:p w14:paraId="5B9A2761" w14:textId="258D7282"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-3.3-fold</w:t>
            </w:r>
          </w:p>
        </w:tc>
        <w:tc>
          <w:tcPr>
            <w:tcW w:w="1703" w:type="dxa"/>
          </w:tcPr>
          <w:p w14:paraId="43E594AC" w14:textId="77777777" w:rsidR="00CE24F8" w:rsidRDefault="00CE24F8" w:rsidP="00CE24F8">
            <w:pPr>
              <w:spacing w:line="240" w:lineRule="auto"/>
              <w:jc w:val="both"/>
              <w:rPr>
                <w:rFonts w:ascii="Calibri" w:hAnsi="Calibri"/>
                <w:sz w:val="24"/>
                <w:szCs w:val="24"/>
                <w:lang w:val="en-US"/>
              </w:rPr>
            </w:pPr>
          </w:p>
        </w:tc>
        <w:tc>
          <w:tcPr>
            <w:tcW w:w="1704" w:type="dxa"/>
          </w:tcPr>
          <w:p w14:paraId="59855B8E" w14:textId="2CACEEC0" w:rsidR="00CE24F8" w:rsidRDefault="00236694" w:rsidP="00CE24F8">
            <w:pPr>
              <w:spacing w:line="240" w:lineRule="auto"/>
              <w:jc w:val="both"/>
              <w:rPr>
                <w:rFonts w:ascii="Calibri" w:hAnsi="Calibri"/>
                <w:sz w:val="24"/>
                <w:szCs w:val="24"/>
                <w:lang w:val="en-US"/>
              </w:rPr>
            </w:pPr>
            <w:r>
              <w:rPr>
                <w:rFonts w:ascii="Calibri" w:hAnsi="Calibri"/>
                <w:sz w:val="24"/>
                <w:szCs w:val="24"/>
                <w:lang w:val="en-US"/>
              </w:rPr>
              <w:t>-3.7-fold</w:t>
            </w:r>
          </w:p>
        </w:tc>
      </w:tr>
    </w:tbl>
    <w:p w14:paraId="3337B705" w14:textId="77777777" w:rsidR="00CE24F8" w:rsidRDefault="00CE24F8" w:rsidP="000A7195">
      <w:pPr>
        <w:spacing w:line="240" w:lineRule="auto"/>
        <w:jc w:val="both"/>
        <w:rPr>
          <w:rFonts w:ascii="Calibri" w:hAnsi="Calibri"/>
          <w:sz w:val="24"/>
          <w:szCs w:val="24"/>
          <w:lang w:val="en-US"/>
        </w:rPr>
      </w:pPr>
    </w:p>
    <w:p w14:paraId="35816580" w14:textId="77777777" w:rsidR="00CE24F8" w:rsidRDefault="00CE24F8" w:rsidP="000A7195">
      <w:pPr>
        <w:spacing w:line="240" w:lineRule="auto"/>
        <w:jc w:val="both"/>
        <w:rPr>
          <w:rFonts w:ascii="Calibri" w:hAnsi="Calibri"/>
          <w:sz w:val="24"/>
          <w:szCs w:val="24"/>
          <w:lang w:val="en-US"/>
        </w:rPr>
      </w:pPr>
    </w:p>
    <w:p w14:paraId="65347ABA" w14:textId="77777777" w:rsidR="00E831B6" w:rsidRPr="00677855" w:rsidRDefault="00E831B6" w:rsidP="00CE24F8">
      <w:pPr>
        <w:spacing w:line="480" w:lineRule="auto"/>
        <w:jc w:val="both"/>
        <w:rPr>
          <w:rFonts w:ascii="Calibri" w:hAnsi="Calibri"/>
          <w:sz w:val="24"/>
          <w:szCs w:val="24"/>
          <w:lang w:val="en-US"/>
        </w:rPr>
      </w:pPr>
    </w:p>
    <w:p w14:paraId="2955305A"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Figure legends.</w:t>
      </w:r>
    </w:p>
    <w:p w14:paraId="442CAD0F" w14:textId="77777777" w:rsidR="00E831B6" w:rsidRDefault="00E831B6" w:rsidP="00017836">
      <w:pPr>
        <w:spacing w:line="480" w:lineRule="auto"/>
        <w:jc w:val="both"/>
        <w:rPr>
          <w:rFonts w:ascii="Calibri" w:hAnsi="Calibri"/>
          <w:sz w:val="24"/>
          <w:szCs w:val="24"/>
          <w:lang w:val="en-US"/>
        </w:rPr>
      </w:pPr>
    </w:p>
    <w:p w14:paraId="00F7F36B" w14:textId="5BA851DB" w:rsidR="00E831B6" w:rsidRDefault="00E831B6" w:rsidP="00017836">
      <w:pPr>
        <w:spacing w:line="480" w:lineRule="auto"/>
        <w:jc w:val="both"/>
        <w:rPr>
          <w:rFonts w:ascii="Calibri" w:hAnsi="Calibri"/>
          <w:sz w:val="24"/>
          <w:szCs w:val="24"/>
          <w:lang w:val="en-US"/>
        </w:rPr>
      </w:pPr>
      <w:r w:rsidRPr="00CA7B30">
        <w:rPr>
          <w:rFonts w:ascii="Calibri" w:hAnsi="Calibri"/>
          <w:b/>
          <w:sz w:val="24"/>
          <w:szCs w:val="24"/>
          <w:lang w:val="en-US"/>
        </w:rPr>
        <w:t>Figure 1: Scheme of experimental procedure</w:t>
      </w:r>
      <w:r w:rsidRPr="00CA7B30">
        <w:rPr>
          <w:rFonts w:ascii="Calibri" w:hAnsi="Calibri"/>
          <w:sz w:val="24"/>
          <w:szCs w:val="24"/>
          <w:lang w:val="en-US"/>
        </w:rPr>
        <w:t>.</w:t>
      </w:r>
      <w:r w:rsidRPr="00D325B3">
        <w:rPr>
          <w:rFonts w:ascii="Calibri" w:hAnsi="Calibri"/>
          <w:sz w:val="24"/>
          <w:szCs w:val="24"/>
          <w:lang w:val="en-US"/>
        </w:rPr>
        <w:t xml:space="preserve"> </w:t>
      </w:r>
      <w:r>
        <w:rPr>
          <w:rFonts w:ascii="Calibri" w:hAnsi="Calibri"/>
          <w:sz w:val="24"/>
          <w:szCs w:val="24"/>
          <w:lang w:val="en-US"/>
        </w:rPr>
        <w:t xml:space="preserve">PHH were seeded in either 2Dsw or 3D spheroid configuration. Due to the time taken for spheroids to form (7-10 days) day 0 for 3D experiments is 7-10 days after seeding. Medium changes (+/- test compound) were performed every 2-3 days (grey boxes) and for 2Dsw cultures Matrigel was re-overlaid as shown (black boxes). Sampling points for proteomics (triangles) and  ATP measurements ((circles) are indicated. </w:t>
      </w:r>
      <w:r w:rsidR="002C1A1A">
        <w:rPr>
          <w:rFonts w:ascii="Calibri" w:hAnsi="Calibri"/>
          <w:sz w:val="24"/>
          <w:szCs w:val="24"/>
          <w:lang w:val="en-US"/>
        </w:rPr>
        <w:t xml:space="preserve">Toxicity assays were done with cells from three different donors. </w:t>
      </w:r>
      <w:r>
        <w:rPr>
          <w:rFonts w:ascii="Calibri" w:hAnsi="Calibri"/>
          <w:sz w:val="24"/>
          <w:szCs w:val="24"/>
          <w:lang w:val="en-US"/>
        </w:rPr>
        <w:t xml:space="preserve">The morphologies of cells from donor 1 in each of the systems at day 3, 7 and 14 are illustrated. These images were generated at Janssen. </w:t>
      </w:r>
    </w:p>
    <w:p w14:paraId="4341F09D" w14:textId="77777777" w:rsidR="00E831B6" w:rsidRPr="00677855" w:rsidRDefault="00E831B6" w:rsidP="00017836">
      <w:pPr>
        <w:spacing w:line="480" w:lineRule="auto"/>
        <w:jc w:val="both"/>
        <w:rPr>
          <w:rFonts w:ascii="Calibri" w:hAnsi="Calibri"/>
          <w:sz w:val="24"/>
          <w:szCs w:val="24"/>
          <w:lang w:val="en-US"/>
        </w:rPr>
      </w:pPr>
    </w:p>
    <w:p w14:paraId="53B89F56" w14:textId="40B72B8C" w:rsidR="0068275A" w:rsidRDefault="00E831B6" w:rsidP="00017836">
      <w:pPr>
        <w:spacing w:line="480" w:lineRule="auto"/>
        <w:jc w:val="both"/>
        <w:rPr>
          <w:rFonts w:ascii="Calibri" w:hAnsi="Calibri"/>
          <w:sz w:val="24"/>
          <w:szCs w:val="24"/>
          <w:lang w:val="en-US"/>
        </w:rPr>
      </w:pPr>
      <w:r w:rsidRPr="00677855">
        <w:rPr>
          <w:rFonts w:ascii="Calibri" w:hAnsi="Calibri"/>
          <w:b/>
          <w:sz w:val="24"/>
          <w:szCs w:val="24"/>
          <w:lang w:val="en-US"/>
        </w:rPr>
        <w:t xml:space="preserve">Figure </w:t>
      </w:r>
      <w:r>
        <w:rPr>
          <w:rFonts w:ascii="Calibri" w:hAnsi="Calibri"/>
          <w:b/>
          <w:sz w:val="24"/>
          <w:szCs w:val="24"/>
          <w:lang w:val="en-US"/>
        </w:rPr>
        <w:t>2</w:t>
      </w:r>
      <w:r w:rsidRPr="00677855">
        <w:rPr>
          <w:rFonts w:ascii="Calibri" w:hAnsi="Calibri"/>
          <w:b/>
          <w:sz w:val="24"/>
          <w:szCs w:val="24"/>
          <w:lang w:val="en-US"/>
        </w:rPr>
        <w:t>:</w:t>
      </w:r>
      <w:r w:rsidR="0068275A">
        <w:rPr>
          <w:rFonts w:ascii="Calibri" w:hAnsi="Calibri"/>
          <w:b/>
          <w:sz w:val="24"/>
          <w:szCs w:val="24"/>
          <w:lang w:val="en-US"/>
        </w:rPr>
        <w:t xml:space="preserve"> Proteomic signatures of primary human hepatocytes are strongly influenced by the choice of </w:t>
      </w:r>
      <w:r w:rsidR="0068275A" w:rsidRPr="000A7195">
        <w:rPr>
          <w:rFonts w:ascii="Calibri" w:hAnsi="Calibri"/>
          <w:b/>
          <w:i/>
          <w:sz w:val="24"/>
          <w:szCs w:val="24"/>
          <w:lang w:val="en-US"/>
        </w:rPr>
        <w:t>in vitro</w:t>
      </w:r>
      <w:r w:rsidR="0068275A">
        <w:rPr>
          <w:rFonts w:ascii="Calibri" w:hAnsi="Calibri"/>
          <w:b/>
          <w:sz w:val="24"/>
          <w:szCs w:val="24"/>
          <w:lang w:val="en-US"/>
        </w:rPr>
        <w:t xml:space="preserve"> culture paradigm.</w:t>
      </w:r>
      <w:r w:rsidRPr="00677855">
        <w:rPr>
          <w:rFonts w:ascii="Calibri" w:hAnsi="Calibri"/>
          <w:b/>
          <w:sz w:val="24"/>
          <w:szCs w:val="24"/>
          <w:lang w:val="en-US"/>
        </w:rPr>
        <w:t xml:space="preserve"> </w:t>
      </w:r>
      <w:r w:rsidRPr="00677855">
        <w:rPr>
          <w:rFonts w:ascii="Calibri" w:hAnsi="Calibri"/>
          <w:sz w:val="24"/>
          <w:szCs w:val="24"/>
          <w:lang w:val="en-US"/>
        </w:rPr>
        <w:t xml:space="preserve">Heatmap visualization of mean-centered, sigma-normalized hierarchically clustered whole proteome data from freshly thawed PHH as well as </w:t>
      </w:r>
      <w:r>
        <w:rPr>
          <w:rFonts w:ascii="Calibri" w:hAnsi="Calibri"/>
          <w:sz w:val="24"/>
          <w:szCs w:val="24"/>
          <w:lang w:val="en-US"/>
        </w:rPr>
        <w:t xml:space="preserve">from </w:t>
      </w:r>
      <w:r w:rsidRPr="00677855">
        <w:rPr>
          <w:rFonts w:ascii="Calibri" w:hAnsi="Calibri"/>
          <w:sz w:val="24"/>
          <w:szCs w:val="24"/>
          <w:lang w:val="en-US"/>
        </w:rPr>
        <w:t>cultures from the same</w:t>
      </w:r>
      <w:r>
        <w:rPr>
          <w:rFonts w:ascii="Calibri" w:hAnsi="Calibri"/>
          <w:sz w:val="24"/>
          <w:szCs w:val="24"/>
          <w:lang w:val="en-US"/>
        </w:rPr>
        <w:t xml:space="preserve"> three</w:t>
      </w:r>
      <w:r w:rsidRPr="00677855">
        <w:rPr>
          <w:rFonts w:ascii="Calibri" w:hAnsi="Calibri"/>
          <w:sz w:val="24"/>
          <w:szCs w:val="24"/>
          <w:lang w:val="en-US"/>
        </w:rPr>
        <w:t xml:space="preserve"> donors in 2Dsw and 3D spheroid culture is shown (FDR = </w:t>
      </w:r>
      <w:r w:rsidRPr="00677855">
        <w:rPr>
          <w:rFonts w:ascii="Calibri" w:hAnsi="Calibri"/>
          <w:sz w:val="24"/>
          <w:szCs w:val="24"/>
          <w:lang w:val="en-US"/>
        </w:rPr>
        <w:lastRenderedPageBreak/>
        <w:t>5%). Enrichment analyses of the identified gene clusters revealed significantly affected pathways. In addition</w:t>
      </w:r>
      <w:r>
        <w:rPr>
          <w:rFonts w:ascii="Calibri" w:hAnsi="Calibri"/>
          <w:sz w:val="24"/>
          <w:szCs w:val="24"/>
          <w:lang w:val="en-US"/>
        </w:rPr>
        <w:t>,</w:t>
      </w:r>
      <w:r w:rsidRPr="00677855">
        <w:rPr>
          <w:rFonts w:ascii="Calibri" w:hAnsi="Calibri"/>
          <w:sz w:val="24"/>
          <w:szCs w:val="24"/>
          <w:lang w:val="en-US"/>
        </w:rPr>
        <w:t xml:space="preserve"> ADME genes within each cluster are shown separately. </w:t>
      </w:r>
    </w:p>
    <w:p w14:paraId="6CC5858C" w14:textId="77777777" w:rsidR="0068275A" w:rsidRDefault="0068275A" w:rsidP="00017836">
      <w:pPr>
        <w:spacing w:line="480" w:lineRule="auto"/>
        <w:jc w:val="both"/>
        <w:rPr>
          <w:rFonts w:ascii="Calibri" w:hAnsi="Calibri"/>
          <w:sz w:val="24"/>
          <w:szCs w:val="24"/>
          <w:lang w:val="en-US"/>
        </w:rPr>
      </w:pPr>
    </w:p>
    <w:p w14:paraId="70A14DDB" w14:textId="19540153" w:rsidR="00E831B6" w:rsidRPr="00677855" w:rsidRDefault="0068275A" w:rsidP="00017836">
      <w:pPr>
        <w:spacing w:line="480" w:lineRule="auto"/>
        <w:jc w:val="both"/>
        <w:rPr>
          <w:rFonts w:ascii="Calibri" w:hAnsi="Calibri"/>
          <w:sz w:val="24"/>
          <w:szCs w:val="24"/>
          <w:lang w:val="en-US"/>
        </w:rPr>
      </w:pPr>
      <w:r w:rsidRPr="000A7195">
        <w:rPr>
          <w:rFonts w:ascii="Calibri" w:hAnsi="Calibri"/>
          <w:b/>
          <w:sz w:val="24"/>
          <w:szCs w:val="24"/>
          <w:lang w:val="en-US"/>
        </w:rPr>
        <w:t>Figure 3:</w:t>
      </w:r>
      <w:r>
        <w:rPr>
          <w:rFonts w:ascii="Calibri" w:hAnsi="Calibri"/>
          <w:sz w:val="24"/>
          <w:szCs w:val="24"/>
          <w:lang w:val="en-US"/>
        </w:rPr>
        <w:t xml:space="preserve"> </w:t>
      </w:r>
      <w:r w:rsidRPr="000A7195">
        <w:rPr>
          <w:rFonts w:ascii="Calibri" w:hAnsi="Calibri"/>
          <w:b/>
          <w:sz w:val="24"/>
          <w:szCs w:val="24"/>
          <w:lang w:val="en-US"/>
        </w:rPr>
        <w:t xml:space="preserve">PHH undergo distinct molecular changes in 2Dsw and 3D spheroid culture that </w:t>
      </w:r>
      <w:r w:rsidRPr="0068275A">
        <w:rPr>
          <w:rFonts w:ascii="Calibri" w:hAnsi="Calibri"/>
          <w:b/>
          <w:sz w:val="24"/>
          <w:szCs w:val="24"/>
          <w:lang w:val="en-US"/>
        </w:rPr>
        <w:t>substantially</w:t>
      </w:r>
      <w:r w:rsidRPr="00677855">
        <w:rPr>
          <w:rFonts w:ascii="Calibri" w:hAnsi="Calibri"/>
          <w:b/>
          <w:sz w:val="24"/>
          <w:szCs w:val="24"/>
          <w:lang w:val="en-US"/>
        </w:rPr>
        <w:t xml:space="preserve"> </w:t>
      </w:r>
      <w:r>
        <w:rPr>
          <w:rFonts w:ascii="Calibri" w:hAnsi="Calibri"/>
          <w:b/>
          <w:sz w:val="24"/>
          <w:szCs w:val="24"/>
          <w:lang w:val="en-US"/>
        </w:rPr>
        <w:t>influence their</w:t>
      </w:r>
      <w:r w:rsidRPr="00677855">
        <w:rPr>
          <w:rFonts w:ascii="Calibri" w:hAnsi="Calibri"/>
          <w:b/>
          <w:sz w:val="24"/>
          <w:szCs w:val="24"/>
          <w:lang w:val="en-US"/>
        </w:rPr>
        <w:t xml:space="preserve"> phenotype and function</w:t>
      </w:r>
      <w:r>
        <w:rPr>
          <w:rFonts w:ascii="Calibri" w:hAnsi="Calibri"/>
          <w:b/>
          <w:sz w:val="24"/>
          <w:szCs w:val="24"/>
          <w:lang w:val="en-US"/>
        </w:rPr>
        <w:t>ality</w:t>
      </w:r>
      <w:r w:rsidRPr="00677855">
        <w:rPr>
          <w:rFonts w:ascii="Calibri" w:hAnsi="Calibri"/>
          <w:b/>
          <w:sz w:val="24"/>
          <w:szCs w:val="24"/>
          <w:lang w:val="en-US"/>
        </w:rPr>
        <w:t xml:space="preserve">. </w:t>
      </w:r>
      <w:r>
        <w:rPr>
          <w:rFonts w:ascii="Calibri" w:hAnsi="Calibri"/>
          <w:b/>
          <w:sz w:val="24"/>
          <w:szCs w:val="24"/>
          <w:lang w:val="en-US"/>
        </w:rPr>
        <w:t>A</w:t>
      </w:r>
      <w:r w:rsidR="00E831B6" w:rsidRPr="00677855">
        <w:rPr>
          <w:rFonts w:ascii="Calibri" w:hAnsi="Calibri"/>
          <w:sz w:val="24"/>
          <w:szCs w:val="24"/>
          <w:lang w:val="en-US"/>
        </w:rPr>
        <w:t>-</w:t>
      </w:r>
      <w:r>
        <w:rPr>
          <w:rFonts w:ascii="Calibri" w:hAnsi="Calibri"/>
          <w:b/>
          <w:sz w:val="24"/>
          <w:szCs w:val="24"/>
          <w:lang w:val="en-US"/>
        </w:rPr>
        <w:t>B</w:t>
      </w:r>
      <w:r w:rsidR="00E831B6" w:rsidRPr="00677855">
        <w:rPr>
          <w:rFonts w:ascii="Calibri" w:hAnsi="Calibri"/>
          <w:sz w:val="24"/>
          <w:szCs w:val="24"/>
          <w:lang w:val="en-US"/>
        </w:rPr>
        <w:t>, Semi-log volcano plots showing the distribution of up- and downregulated proteins in 2D sandwich (shades of blue) or 3D spheroid (shades of red) culture at day 0 (</w:t>
      </w:r>
      <w:r>
        <w:rPr>
          <w:rFonts w:ascii="Calibri" w:hAnsi="Calibri"/>
          <w:b/>
          <w:sz w:val="24"/>
          <w:szCs w:val="24"/>
          <w:lang w:val="en-US"/>
        </w:rPr>
        <w:t>A</w:t>
      </w:r>
      <w:r w:rsidR="00E831B6" w:rsidRPr="00677855">
        <w:rPr>
          <w:rFonts w:ascii="Calibri" w:hAnsi="Calibri"/>
          <w:sz w:val="24"/>
          <w:szCs w:val="24"/>
          <w:lang w:val="en-US"/>
        </w:rPr>
        <w:t>) and after 14 days in culture (</w:t>
      </w:r>
      <w:r>
        <w:rPr>
          <w:rFonts w:ascii="Calibri" w:hAnsi="Calibri"/>
          <w:b/>
          <w:sz w:val="24"/>
          <w:szCs w:val="24"/>
          <w:lang w:val="en-US"/>
        </w:rPr>
        <w:t>B</w:t>
      </w:r>
      <w:r w:rsidR="00E831B6" w:rsidRPr="00677855">
        <w:rPr>
          <w:rFonts w:ascii="Calibri" w:hAnsi="Calibri"/>
          <w:sz w:val="24"/>
          <w:szCs w:val="24"/>
          <w:lang w:val="en-US"/>
        </w:rPr>
        <w:t xml:space="preserve">). The dashed lines indicate the significance threshold of p=0.05. </w:t>
      </w:r>
      <w:r>
        <w:rPr>
          <w:rFonts w:ascii="Calibri" w:hAnsi="Calibri"/>
          <w:b/>
          <w:sz w:val="24"/>
          <w:szCs w:val="24"/>
          <w:lang w:val="en-US"/>
        </w:rPr>
        <w:t>C</w:t>
      </w:r>
      <w:r w:rsidR="00E831B6" w:rsidRPr="00677855">
        <w:rPr>
          <w:rFonts w:ascii="Calibri" w:hAnsi="Calibri"/>
          <w:sz w:val="24"/>
          <w:szCs w:val="24"/>
          <w:lang w:val="en-US"/>
        </w:rPr>
        <w:t xml:space="preserve">, Venn diagram visualizing the overlap of dysregulated proteins at day 0 and day 14 in 2Dsw and 3D spheroid </w:t>
      </w:r>
      <w:r w:rsidR="00E831B6" w:rsidRPr="002D3DCE">
        <w:rPr>
          <w:rFonts w:ascii="Calibri" w:hAnsi="Calibri"/>
          <w:sz w:val="24"/>
          <w:szCs w:val="24"/>
          <w:lang w:val="en-US"/>
        </w:rPr>
        <w:t>cultures</w:t>
      </w:r>
      <w:r w:rsidR="00E831B6" w:rsidRPr="001E22CB">
        <w:rPr>
          <w:rFonts w:ascii="Calibri" w:hAnsi="Calibri"/>
          <w:sz w:val="24"/>
          <w:szCs w:val="24"/>
          <w:lang w:val="en-US"/>
        </w:rPr>
        <w:t xml:space="preserve"> compared to </w:t>
      </w:r>
      <w:r w:rsidR="002D3DCE" w:rsidRPr="000A7195">
        <w:rPr>
          <w:rFonts w:ascii="Calibri" w:hAnsi="Calibri"/>
          <w:sz w:val="24"/>
          <w:szCs w:val="24"/>
          <w:lang w:val="en-US"/>
        </w:rPr>
        <w:t xml:space="preserve">freshly </w:t>
      </w:r>
      <w:r w:rsidR="00E831B6" w:rsidRPr="002D3DCE">
        <w:rPr>
          <w:rFonts w:ascii="Calibri" w:hAnsi="Calibri"/>
          <w:sz w:val="24"/>
          <w:szCs w:val="24"/>
          <w:lang w:val="en-US"/>
        </w:rPr>
        <w:t>thawed cells. Note</w:t>
      </w:r>
      <w:r w:rsidR="00E831B6" w:rsidRPr="00677855">
        <w:rPr>
          <w:rFonts w:ascii="Calibri" w:hAnsi="Calibri"/>
          <w:sz w:val="24"/>
          <w:szCs w:val="24"/>
          <w:lang w:val="en-US"/>
        </w:rPr>
        <w:t xml:space="preserve"> that the vast majority of proteins are either affected in 2Dsw or in 3D culture but only few in both. 2Dsw = 2D sandwich culture. </w:t>
      </w:r>
      <w:r>
        <w:rPr>
          <w:rFonts w:ascii="Calibri" w:hAnsi="Calibri"/>
          <w:b/>
          <w:sz w:val="24"/>
          <w:szCs w:val="24"/>
          <w:lang w:val="en-US"/>
        </w:rPr>
        <w:t>D</w:t>
      </w:r>
      <w:r w:rsidR="00E831B6" w:rsidRPr="00677855">
        <w:rPr>
          <w:rFonts w:ascii="Calibri" w:hAnsi="Calibri"/>
          <w:sz w:val="24"/>
          <w:szCs w:val="24"/>
          <w:lang w:val="en-US"/>
        </w:rPr>
        <w:t xml:space="preserve">, Principal component analysis of differentially expressed genes reveals that samples cluster by </w:t>
      </w:r>
      <w:r w:rsidR="00E831B6" w:rsidRPr="00677855">
        <w:rPr>
          <w:rFonts w:ascii="Calibri" w:hAnsi="Calibri"/>
          <w:i/>
          <w:sz w:val="24"/>
          <w:szCs w:val="24"/>
          <w:lang w:val="en-US"/>
        </w:rPr>
        <w:t>in vitro</w:t>
      </w:r>
      <w:r w:rsidR="00E831B6" w:rsidRPr="00677855">
        <w:rPr>
          <w:rFonts w:ascii="Calibri" w:hAnsi="Calibri"/>
          <w:sz w:val="24"/>
          <w:szCs w:val="24"/>
          <w:lang w:val="en-US"/>
        </w:rPr>
        <w:t xml:space="preserve"> culture paradigm. Furthermore, the plot indicates that the molecular phenotypes of PHH in 3D spheroid culture</w:t>
      </w:r>
      <w:r w:rsidR="00E831B6">
        <w:rPr>
          <w:rFonts w:ascii="Calibri" w:hAnsi="Calibri"/>
          <w:sz w:val="24"/>
          <w:szCs w:val="24"/>
          <w:lang w:val="en-US"/>
        </w:rPr>
        <w:t>s (red)</w:t>
      </w:r>
      <w:r w:rsidR="00E831B6" w:rsidRPr="00677855">
        <w:rPr>
          <w:rFonts w:ascii="Calibri" w:hAnsi="Calibri"/>
          <w:sz w:val="24"/>
          <w:szCs w:val="24"/>
          <w:lang w:val="en-US"/>
        </w:rPr>
        <w:t xml:space="preserve"> remain stable over time, whereas substantial changes occur in 2Dsw configuration</w:t>
      </w:r>
      <w:r w:rsidR="00E831B6">
        <w:rPr>
          <w:rFonts w:ascii="Calibri" w:hAnsi="Calibri"/>
          <w:sz w:val="24"/>
          <w:szCs w:val="24"/>
          <w:lang w:val="en-US"/>
        </w:rPr>
        <w:t xml:space="preserve"> (blue)</w:t>
      </w:r>
      <w:r w:rsidR="00E831B6" w:rsidRPr="00677855">
        <w:rPr>
          <w:rFonts w:ascii="Calibri" w:hAnsi="Calibri"/>
          <w:sz w:val="24"/>
          <w:szCs w:val="24"/>
          <w:lang w:val="en-US"/>
        </w:rPr>
        <w:t>.</w:t>
      </w:r>
      <w:r w:rsidR="00E831B6">
        <w:rPr>
          <w:rFonts w:ascii="Calibri" w:hAnsi="Calibri"/>
          <w:sz w:val="24"/>
          <w:szCs w:val="24"/>
          <w:lang w:val="en-US"/>
        </w:rPr>
        <w:t xml:space="preserve"> Thawed cells are represented in green. </w:t>
      </w:r>
      <w:r>
        <w:rPr>
          <w:rFonts w:ascii="Calibri" w:hAnsi="Calibri"/>
          <w:b/>
          <w:sz w:val="24"/>
          <w:szCs w:val="24"/>
          <w:lang w:val="en-US"/>
        </w:rPr>
        <w:t>E</w:t>
      </w:r>
      <w:r w:rsidR="00E831B6" w:rsidRPr="00677855">
        <w:rPr>
          <w:rFonts w:ascii="Calibri" w:hAnsi="Calibri"/>
          <w:sz w:val="24"/>
          <w:szCs w:val="24"/>
          <w:lang w:val="en-US"/>
        </w:rPr>
        <w:t>, Targeted analysis of ADME proteins and other factors with importance for hepatic functionality indicates that their levels are overall increased in 3D spheroids compared to 2Dsw cultures from the same donor (i.e. positive fold-change) throughout the culture time.</w:t>
      </w:r>
      <w:r w:rsidR="00E831B6">
        <w:rPr>
          <w:rFonts w:ascii="Calibri" w:hAnsi="Calibri"/>
          <w:sz w:val="24"/>
          <w:szCs w:val="24"/>
          <w:lang w:val="en-US"/>
        </w:rPr>
        <w:t xml:space="preserve"> </w:t>
      </w:r>
      <w:r w:rsidR="00173D1B">
        <w:rPr>
          <w:rFonts w:ascii="Calibri" w:hAnsi="Calibri"/>
          <w:sz w:val="24"/>
          <w:szCs w:val="24"/>
          <w:lang w:val="en-US"/>
        </w:rPr>
        <w:t xml:space="preserve">Values on the ordinate indicate the fold change (FC), defined as protein abundance in 3D spheroids divided by protein abundance in 2Dsw cultures if FC&gt;1 and the negative inverse if FC&lt;1. </w:t>
      </w:r>
      <w:r w:rsidR="00E831B6">
        <w:rPr>
          <w:rFonts w:ascii="Calibri" w:hAnsi="Calibri"/>
          <w:sz w:val="24"/>
          <w:szCs w:val="24"/>
          <w:lang w:val="en-US"/>
        </w:rPr>
        <w:t xml:space="preserve">All samples for proteomic analysis were generated at KaLyCell (2Dsw) and Karolinska Institutet (3D) and processed and analysed at the University of Liverpool. </w:t>
      </w:r>
    </w:p>
    <w:p w14:paraId="7734D074" w14:textId="77777777" w:rsidR="00E831B6" w:rsidRDefault="00E831B6" w:rsidP="00017836">
      <w:pPr>
        <w:spacing w:line="480" w:lineRule="auto"/>
        <w:jc w:val="both"/>
        <w:rPr>
          <w:rFonts w:ascii="Calibri" w:hAnsi="Calibri"/>
          <w:sz w:val="24"/>
          <w:szCs w:val="24"/>
          <w:lang w:val="en-US"/>
        </w:rPr>
      </w:pPr>
    </w:p>
    <w:p w14:paraId="402DE2C2" w14:textId="56E23E5F" w:rsidR="00E831B6" w:rsidRDefault="00E831B6" w:rsidP="00017836">
      <w:pPr>
        <w:spacing w:line="480" w:lineRule="auto"/>
        <w:jc w:val="both"/>
        <w:rPr>
          <w:rFonts w:ascii="Calibri" w:hAnsi="Calibri"/>
          <w:sz w:val="24"/>
          <w:szCs w:val="24"/>
          <w:lang w:val="en-US"/>
        </w:rPr>
      </w:pPr>
      <w:r w:rsidRPr="009538B4">
        <w:rPr>
          <w:rFonts w:ascii="Calibri" w:hAnsi="Calibri"/>
          <w:b/>
          <w:sz w:val="24"/>
          <w:szCs w:val="24"/>
          <w:lang w:val="en-US"/>
        </w:rPr>
        <w:lastRenderedPageBreak/>
        <w:t xml:space="preserve">Figure </w:t>
      </w:r>
      <w:r w:rsidR="0068275A">
        <w:rPr>
          <w:rFonts w:ascii="Calibri" w:hAnsi="Calibri"/>
          <w:b/>
          <w:sz w:val="24"/>
          <w:szCs w:val="24"/>
          <w:lang w:val="en-US"/>
        </w:rPr>
        <w:t>4:</w:t>
      </w:r>
      <w:r w:rsidRPr="009538B4">
        <w:rPr>
          <w:rFonts w:ascii="Calibri" w:hAnsi="Calibri"/>
          <w:b/>
          <w:sz w:val="24"/>
          <w:szCs w:val="24"/>
          <w:lang w:val="en-US"/>
        </w:rPr>
        <w:t xml:space="preserve"> </w:t>
      </w:r>
      <w:r>
        <w:rPr>
          <w:rFonts w:ascii="Calibri" w:hAnsi="Calibri"/>
          <w:b/>
          <w:sz w:val="24"/>
          <w:szCs w:val="24"/>
          <w:lang w:val="en-US"/>
        </w:rPr>
        <w:t>CYP catalyzed drug metabolism in 3D spheroids and 2Dsw cultures from the same donor</w:t>
      </w:r>
      <w:r w:rsidRPr="009538B4">
        <w:rPr>
          <w:rFonts w:ascii="Calibri" w:hAnsi="Calibri"/>
          <w:b/>
          <w:sz w:val="24"/>
          <w:szCs w:val="24"/>
          <w:lang w:val="en-US"/>
        </w:rPr>
        <w:t xml:space="preserve">. </w:t>
      </w:r>
      <w:r w:rsidRPr="009538B4">
        <w:rPr>
          <w:rFonts w:ascii="Calibri" w:hAnsi="Calibri"/>
          <w:sz w:val="24"/>
          <w:szCs w:val="24"/>
          <w:lang w:val="en-US"/>
        </w:rPr>
        <w:t>PHH from donor 1 were cultured as either 3D spheroids or 2Dsw cultures and the activit</w:t>
      </w:r>
      <w:r>
        <w:rPr>
          <w:rFonts w:ascii="Calibri" w:hAnsi="Calibri"/>
          <w:sz w:val="24"/>
          <w:szCs w:val="24"/>
          <w:lang w:val="en-US"/>
        </w:rPr>
        <w:t>ies</w:t>
      </w:r>
      <w:r w:rsidRPr="009538B4">
        <w:rPr>
          <w:rFonts w:ascii="Calibri" w:hAnsi="Calibri"/>
          <w:sz w:val="24"/>
          <w:szCs w:val="24"/>
          <w:lang w:val="en-US"/>
        </w:rPr>
        <w:t xml:space="preserve"> of CYP1A2, CYP2C8, CYP2C9, CYP2D6 and CYP3A4 w</w:t>
      </w:r>
      <w:r>
        <w:rPr>
          <w:rFonts w:ascii="Calibri" w:hAnsi="Calibri"/>
          <w:sz w:val="24"/>
          <w:szCs w:val="24"/>
          <w:lang w:val="en-US"/>
        </w:rPr>
        <w:t>ere</w:t>
      </w:r>
      <w:r w:rsidRPr="009538B4">
        <w:rPr>
          <w:rFonts w:ascii="Calibri" w:hAnsi="Calibri"/>
          <w:sz w:val="24"/>
          <w:szCs w:val="24"/>
          <w:lang w:val="en-US"/>
        </w:rPr>
        <w:t xml:space="preserve"> quantified by LC-MS/MS using phenacetin, amodiaquine, tolbutamide, dextromethorphan and midazolam as probe substrates, respectively. </w:t>
      </w:r>
      <w:r>
        <w:rPr>
          <w:rFonts w:ascii="Calibri" w:hAnsi="Calibri"/>
          <w:sz w:val="24"/>
          <w:szCs w:val="24"/>
          <w:lang w:val="en-US"/>
        </w:rPr>
        <w:t xml:space="preserve">As cells were incubated with probe substrates for different times (8h for 3D spheroids and 2h for 2Dsw), activity data is shown as normalized per time and number of cells. </w:t>
      </w:r>
      <w:r w:rsidRPr="009538B4">
        <w:rPr>
          <w:rFonts w:ascii="Calibri" w:hAnsi="Calibri"/>
          <w:sz w:val="24"/>
          <w:szCs w:val="24"/>
          <w:lang w:val="en-US"/>
        </w:rPr>
        <w:t xml:space="preserve">Data represent the average of three 2Dsw incubations or six spheroids. Error bars indicate </w:t>
      </w:r>
      <w:r w:rsidRPr="00677855">
        <w:rPr>
          <w:rFonts w:ascii="Calibri" w:hAnsi="Calibri"/>
          <w:sz w:val="24"/>
          <w:szCs w:val="24"/>
          <w:lang w:val="en-US"/>
        </w:rPr>
        <w:t>S.D</w:t>
      </w:r>
      <w:r w:rsidRPr="00595B8F">
        <w:rPr>
          <w:rFonts w:ascii="Calibri" w:hAnsi="Calibri"/>
          <w:sz w:val="24"/>
          <w:szCs w:val="24"/>
          <w:lang w:val="en-US"/>
        </w:rPr>
        <w:t>.</w:t>
      </w:r>
    </w:p>
    <w:p w14:paraId="3B61069E" w14:textId="77777777" w:rsidR="00E831B6" w:rsidRPr="00677855" w:rsidRDefault="00E831B6" w:rsidP="00017836">
      <w:pPr>
        <w:spacing w:line="480" w:lineRule="auto"/>
        <w:jc w:val="both"/>
        <w:rPr>
          <w:rFonts w:ascii="Calibri" w:hAnsi="Calibri"/>
          <w:sz w:val="24"/>
          <w:szCs w:val="24"/>
          <w:lang w:val="en-US"/>
        </w:rPr>
      </w:pPr>
    </w:p>
    <w:p w14:paraId="1447A295" w14:textId="7DCB75C4" w:rsidR="00E831B6" w:rsidRDefault="00E831B6" w:rsidP="00017836">
      <w:pPr>
        <w:spacing w:line="480" w:lineRule="auto"/>
        <w:jc w:val="both"/>
        <w:rPr>
          <w:rFonts w:ascii="Calibri" w:hAnsi="Calibri"/>
          <w:sz w:val="24"/>
          <w:szCs w:val="24"/>
          <w:lang w:val="en-US"/>
        </w:rPr>
      </w:pPr>
      <w:r w:rsidRPr="00677855">
        <w:rPr>
          <w:rFonts w:ascii="Calibri" w:hAnsi="Calibri"/>
          <w:b/>
          <w:sz w:val="24"/>
          <w:szCs w:val="24"/>
          <w:lang w:val="en-US"/>
        </w:rPr>
        <w:t xml:space="preserve">Figure </w:t>
      </w:r>
      <w:r w:rsidR="0068275A">
        <w:rPr>
          <w:rFonts w:ascii="Calibri" w:hAnsi="Calibri"/>
          <w:b/>
          <w:sz w:val="24"/>
          <w:szCs w:val="24"/>
          <w:lang w:val="en-US"/>
        </w:rPr>
        <w:t>5</w:t>
      </w:r>
      <w:r w:rsidRPr="00677855">
        <w:rPr>
          <w:rFonts w:ascii="Calibri" w:hAnsi="Calibri"/>
          <w:b/>
          <w:sz w:val="24"/>
          <w:szCs w:val="24"/>
          <w:lang w:val="en-US"/>
        </w:rPr>
        <w:t xml:space="preserve">: The choice of culture format </w:t>
      </w:r>
      <w:r>
        <w:rPr>
          <w:rFonts w:ascii="Calibri" w:hAnsi="Calibri"/>
          <w:b/>
          <w:sz w:val="24"/>
          <w:szCs w:val="24"/>
          <w:lang w:val="en-US"/>
        </w:rPr>
        <w:t>influences the</w:t>
      </w:r>
      <w:r w:rsidRPr="00677855">
        <w:rPr>
          <w:rFonts w:ascii="Calibri" w:hAnsi="Calibri"/>
          <w:b/>
          <w:sz w:val="24"/>
          <w:szCs w:val="24"/>
          <w:lang w:val="en-US"/>
        </w:rPr>
        <w:t xml:space="preserve"> sensitivity to selected hepatotoxins in a compound-specific manner.</w:t>
      </w:r>
      <w:r w:rsidRPr="00677855">
        <w:rPr>
          <w:rFonts w:ascii="Calibri" w:hAnsi="Calibri"/>
          <w:sz w:val="24"/>
          <w:szCs w:val="24"/>
          <w:lang w:val="en-US"/>
        </w:rPr>
        <w:t xml:space="preserve"> Hepa</w:t>
      </w:r>
      <w:r>
        <w:rPr>
          <w:rFonts w:ascii="Calibri" w:hAnsi="Calibri"/>
          <w:sz w:val="24"/>
          <w:szCs w:val="24"/>
          <w:lang w:val="en-US"/>
        </w:rPr>
        <w:t xml:space="preserve">tocytes from three different donors were cultured in </w:t>
      </w:r>
      <w:r w:rsidRPr="009538B4">
        <w:rPr>
          <w:rFonts w:ascii="Calibri" w:hAnsi="Calibri"/>
          <w:sz w:val="24"/>
          <w:szCs w:val="24"/>
          <w:lang w:val="en-US"/>
        </w:rPr>
        <w:t>2Dsw (</w:t>
      </w:r>
      <w:r>
        <w:rPr>
          <w:rFonts w:ascii="Calibri" w:hAnsi="Calibri"/>
          <w:sz w:val="24"/>
          <w:szCs w:val="24"/>
          <w:lang w:val="en-US"/>
        </w:rPr>
        <w:t>shades of blue</w:t>
      </w:r>
      <w:r w:rsidRPr="009538B4">
        <w:rPr>
          <w:rFonts w:ascii="Calibri" w:hAnsi="Calibri"/>
          <w:sz w:val="24"/>
          <w:szCs w:val="24"/>
          <w:lang w:val="en-US"/>
        </w:rPr>
        <w:t>) and 3D spheroid (</w:t>
      </w:r>
      <w:r>
        <w:rPr>
          <w:rFonts w:ascii="Calibri" w:hAnsi="Calibri"/>
          <w:sz w:val="24"/>
          <w:szCs w:val="24"/>
          <w:lang w:val="en-US"/>
        </w:rPr>
        <w:t>shades of red</w:t>
      </w:r>
      <w:r w:rsidRPr="009538B4">
        <w:rPr>
          <w:rFonts w:ascii="Calibri" w:hAnsi="Calibri"/>
          <w:sz w:val="24"/>
          <w:szCs w:val="24"/>
          <w:lang w:val="en-US"/>
        </w:rPr>
        <w:t xml:space="preserve">) </w:t>
      </w:r>
      <w:r>
        <w:rPr>
          <w:rFonts w:ascii="Calibri" w:hAnsi="Calibri"/>
          <w:sz w:val="24"/>
          <w:szCs w:val="24"/>
          <w:lang w:val="en-US"/>
        </w:rPr>
        <w:t>configuration at six different laboratories.</w:t>
      </w:r>
      <w:r w:rsidRPr="00677855">
        <w:rPr>
          <w:rFonts w:ascii="Calibri" w:hAnsi="Calibri"/>
          <w:sz w:val="24"/>
          <w:szCs w:val="24"/>
          <w:lang w:val="en-US"/>
        </w:rPr>
        <w:t xml:space="preserve"> </w:t>
      </w:r>
      <w:r w:rsidRPr="00677855">
        <w:rPr>
          <w:rFonts w:ascii="Calibri" w:hAnsi="Calibri"/>
          <w:b/>
          <w:sz w:val="24"/>
          <w:szCs w:val="24"/>
          <w:lang w:val="en-US"/>
        </w:rPr>
        <w:t>A</w:t>
      </w:r>
      <w:r w:rsidRPr="00677855">
        <w:rPr>
          <w:rFonts w:ascii="Calibri" w:hAnsi="Calibri"/>
          <w:sz w:val="24"/>
          <w:szCs w:val="24"/>
          <w:lang w:val="en-US"/>
        </w:rPr>
        <w:t xml:space="preserve">, Hepatocytes </w:t>
      </w:r>
      <w:r>
        <w:rPr>
          <w:rFonts w:ascii="Calibri" w:hAnsi="Calibri"/>
          <w:sz w:val="24"/>
          <w:szCs w:val="24"/>
          <w:lang w:val="en-US"/>
        </w:rPr>
        <w:t xml:space="preserve">viability remains stable in both culture methods </w:t>
      </w:r>
      <w:r w:rsidRPr="00677855">
        <w:rPr>
          <w:rFonts w:ascii="Calibri" w:hAnsi="Calibri"/>
          <w:sz w:val="24"/>
          <w:szCs w:val="24"/>
          <w:lang w:val="en-US"/>
        </w:rPr>
        <w:t>for up to 2 weeks in culture</w:t>
      </w:r>
      <w:r>
        <w:rPr>
          <w:rFonts w:ascii="Calibri" w:hAnsi="Calibri"/>
          <w:sz w:val="24"/>
          <w:szCs w:val="24"/>
          <w:lang w:val="en-US"/>
        </w:rPr>
        <w:t xml:space="preserve"> as quantified by</w:t>
      </w:r>
      <w:r w:rsidRPr="00677855">
        <w:rPr>
          <w:rFonts w:ascii="Calibri" w:hAnsi="Calibri"/>
          <w:sz w:val="24"/>
          <w:szCs w:val="24"/>
          <w:lang w:val="en-US"/>
        </w:rPr>
        <w:t xml:space="preserve"> ATP </w:t>
      </w:r>
      <w:r>
        <w:rPr>
          <w:rFonts w:ascii="Calibri" w:hAnsi="Calibri"/>
          <w:sz w:val="24"/>
          <w:szCs w:val="24"/>
          <w:lang w:val="en-US"/>
        </w:rPr>
        <w:t xml:space="preserve">measurements in </w:t>
      </w:r>
      <w:r w:rsidRPr="00677855">
        <w:rPr>
          <w:rFonts w:ascii="Calibri" w:hAnsi="Calibri"/>
          <w:sz w:val="24"/>
          <w:szCs w:val="24"/>
          <w:lang w:val="en-US"/>
        </w:rPr>
        <w:t>untreated cells. Viability</w:t>
      </w:r>
      <w:r>
        <w:rPr>
          <w:rFonts w:ascii="Calibri" w:hAnsi="Calibri"/>
          <w:sz w:val="24"/>
          <w:szCs w:val="24"/>
          <w:lang w:val="en-US"/>
        </w:rPr>
        <w:t xml:space="preserve"> </w:t>
      </w:r>
      <w:r w:rsidRPr="00677855">
        <w:rPr>
          <w:rFonts w:ascii="Calibri" w:hAnsi="Calibri"/>
          <w:sz w:val="24"/>
          <w:szCs w:val="24"/>
          <w:lang w:val="en-US"/>
        </w:rPr>
        <w:t xml:space="preserve">is </w:t>
      </w:r>
      <w:r>
        <w:rPr>
          <w:rFonts w:ascii="Calibri" w:hAnsi="Calibri"/>
          <w:sz w:val="24"/>
          <w:szCs w:val="24"/>
          <w:lang w:val="en-US"/>
        </w:rPr>
        <w:t>represented as normalized to ATP levels from the same donor at day 3</w:t>
      </w:r>
      <w:r w:rsidRPr="00677855">
        <w:rPr>
          <w:rFonts w:ascii="Calibri" w:hAnsi="Calibri"/>
          <w:sz w:val="24"/>
          <w:szCs w:val="24"/>
          <w:lang w:val="en-US"/>
        </w:rPr>
        <w:t>. For 2Dsw incubations</w:t>
      </w:r>
      <w:r>
        <w:rPr>
          <w:rFonts w:ascii="Calibri" w:hAnsi="Calibri"/>
          <w:sz w:val="24"/>
          <w:szCs w:val="24"/>
          <w:lang w:val="en-US"/>
        </w:rPr>
        <w:t>,</w:t>
      </w:r>
      <w:r w:rsidRPr="00677855">
        <w:rPr>
          <w:rFonts w:ascii="Calibri" w:hAnsi="Calibri"/>
          <w:sz w:val="24"/>
          <w:szCs w:val="24"/>
          <w:lang w:val="en-US"/>
        </w:rPr>
        <w:t xml:space="preserve"> n=6, for 3D spheroids n= 10-12. </w:t>
      </w:r>
      <w:r w:rsidRPr="00677855">
        <w:rPr>
          <w:rFonts w:ascii="Calibri" w:hAnsi="Calibri"/>
          <w:b/>
          <w:sz w:val="24"/>
          <w:szCs w:val="24"/>
          <w:lang w:val="en-US"/>
        </w:rPr>
        <w:t>B</w:t>
      </w:r>
      <w:r>
        <w:rPr>
          <w:rFonts w:ascii="Calibri" w:hAnsi="Calibri"/>
          <w:b/>
          <w:sz w:val="24"/>
          <w:szCs w:val="24"/>
          <w:lang w:val="en-US"/>
        </w:rPr>
        <w:t>-F,</w:t>
      </w:r>
      <w:r w:rsidRPr="00677855">
        <w:rPr>
          <w:rFonts w:ascii="Calibri" w:hAnsi="Calibri"/>
          <w:sz w:val="24"/>
          <w:szCs w:val="24"/>
          <w:lang w:val="en-US"/>
        </w:rPr>
        <w:t xml:space="preserve"> PHH from three donors cultured in either 3D spheroid or 2Dsw configuration were exposed to the hepatotoxic compounds acetaminophen (APAP</w:t>
      </w:r>
      <w:r>
        <w:rPr>
          <w:rFonts w:ascii="Calibri" w:hAnsi="Calibri"/>
          <w:sz w:val="24"/>
          <w:szCs w:val="24"/>
          <w:lang w:val="en-US"/>
        </w:rPr>
        <w:t xml:space="preserve">, </w:t>
      </w:r>
      <w:r w:rsidRPr="00677855">
        <w:rPr>
          <w:rFonts w:ascii="Calibri" w:hAnsi="Calibri"/>
          <w:b/>
          <w:sz w:val="24"/>
          <w:szCs w:val="24"/>
          <w:lang w:val="en-US"/>
        </w:rPr>
        <w:t>B</w:t>
      </w:r>
      <w:r w:rsidRPr="00677855">
        <w:rPr>
          <w:rFonts w:ascii="Calibri" w:hAnsi="Calibri"/>
          <w:sz w:val="24"/>
          <w:szCs w:val="24"/>
          <w:lang w:val="en-US"/>
        </w:rPr>
        <w:t>), bosentan</w:t>
      </w:r>
      <w:r>
        <w:rPr>
          <w:rFonts w:ascii="Calibri" w:hAnsi="Calibri"/>
          <w:sz w:val="24"/>
          <w:szCs w:val="24"/>
          <w:lang w:val="en-US"/>
        </w:rPr>
        <w:t xml:space="preserve"> (</w:t>
      </w:r>
      <w:r w:rsidRPr="00677855">
        <w:rPr>
          <w:rFonts w:ascii="Calibri" w:hAnsi="Calibri"/>
          <w:b/>
          <w:sz w:val="24"/>
          <w:szCs w:val="24"/>
          <w:lang w:val="en-US"/>
        </w:rPr>
        <w:t>C</w:t>
      </w:r>
      <w:r>
        <w:rPr>
          <w:rFonts w:ascii="Calibri" w:hAnsi="Calibri"/>
          <w:sz w:val="24"/>
          <w:szCs w:val="24"/>
          <w:lang w:val="en-US"/>
        </w:rPr>
        <w:t>)</w:t>
      </w:r>
      <w:r w:rsidRPr="00677855">
        <w:rPr>
          <w:rFonts w:ascii="Calibri" w:hAnsi="Calibri"/>
          <w:sz w:val="24"/>
          <w:szCs w:val="24"/>
          <w:lang w:val="en-US"/>
        </w:rPr>
        <w:t>, diclofenac</w:t>
      </w:r>
      <w:r>
        <w:rPr>
          <w:rFonts w:ascii="Calibri" w:hAnsi="Calibri"/>
          <w:sz w:val="24"/>
          <w:szCs w:val="24"/>
          <w:lang w:val="en-US"/>
        </w:rPr>
        <w:t xml:space="preserve"> (</w:t>
      </w:r>
      <w:r w:rsidRPr="00677855">
        <w:rPr>
          <w:rFonts w:ascii="Calibri" w:hAnsi="Calibri"/>
          <w:b/>
          <w:sz w:val="24"/>
          <w:szCs w:val="24"/>
          <w:lang w:val="en-US"/>
        </w:rPr>
        <w:t>D</w:t>
      </w:r>
      <w:r>
        <w:rPr>
          <w:rFonts w:ascii="Calibri" w:hAnsi="Calibri"/>
          <w:sz w:val="24"/>
          <w:szCs w:val="24"/>
          <w:lang w:val="en-US"/>
        </w:rPr>
        <w:t>)</w:t>
      </w:r>
      <w:r w:rsidRPr="00677855">
        <w:rPr>
          <w:rFonts w:ascii="Calibri" w:hAnsi="Calibri"/>
          <w:sz w:val="24"/>
          <w:szCs w:val="24"/>
          <w:lang w:val="en-US"/>
        </w:rPr>
        <w:t xml:space="preserve"> fialuridine</w:t>
      </w:r>
      <w:r>
        <w:rPr>
          <w:rFonts w:ascii="Calibri" w:hAnsi="Calibri"/>
          <w:sz w:val="24"/>
          <w:szCs w:val="24"/>
          <w:lang w:val="en-US"/>
        </w:rPr>
        <w:t xml:space="preserve"> (</w:t>
      </w:r>
      <w:r w:rsidRPr="00677855">
        <w:rPr>
          <w:rFonts w:ascii="Calibri" w:hAnsi="Calibri"/>
          <w:b/>
          <w:sz w:val="24"/>
          <w:szCs w:val="24"/>
          <w:lang w:val="en-US"/>
        </w:rPr>
        <w:t>E</w:t>
      </w:r>
      <w:r>
        <w:rPr>
          <w:rFonts w:ascii="Calibri" w:hAnsi="Calibri"/>
          <w:sz w:val="24"/>
          <w:szCs w:val="24"/>
          <w:lang w:val="en-US"/>
        </w:rPr>
        <w:t>) or troglitazone (</w:t>
      </w:r>
      <w:r w:rsidRPr="00677855">
        <w:rPr>
          <w:rFonts w:ascii="Calibri" w:hAnsi="Calibri"/>
          <w:b/>
          <w:sz w:val="24"/>
          <w:szCs w:val="24"/>
          <w:lang w:val="en-US"/>
        </w:rPr>
        <w:t>F</w:t>
      </w:r>
      <w:r>
        <w:rPr>
          <w:rFonts w:ascii="Calibri" w:hAnsi="Calibri"/>
          <w:sz w:val="24"/>
          <w:szCs w:val="24"/>
          <w:lang w:val="en-US"/>
        </w:rPr>
        <w:t>)</w:t>
      </w:r>
      <w:r w:rsidRPr="00677855">
        <w:rPr>
          <w:rFonts w:ascii="Calibri" w:hAnsi="Calibri"/>
          <w:sz w:val="24"/>
          <w:szCs w:val="24"/>
          <w:lang w:val="en-US"/>
        </w:rPr>
        <w:t xml:space="preserve"> for up to 14 days</w:t>
      </w:r>
      <w:r>
        <w:rPr>
          <w:rFonts w:ascii="Calibri" w:hAnsi="Calibri"/>
          <w:sz w:val="24"/>
          <w:szCs w:val="24"/>
          <w:lang w:val="en-US"/>
        </w:rPr>
        <w:t>. Furthermore, we determined the toxicity of troglitazone’s less-toxic structural analogue pioglitazone (</w:t>
      </w:r>
      <w:r w:rsidRPr="00677855">
        <w:rPr>
          <w:rFonts w:ascii="Calibri" w:hAnsi="Calibri"/>
          <w:b/>
          <w:sz w:val="24"/>
          <w:szCs w:val="24"/>
          <w:lang w:val="en-US"/>
        </w:rPr>
        <w:t>G</w:t>
      </w:r>
      <w:r>
        <w:rPr>
          <w:rFonts w:ascii="Calibri" w:hAnsi="Calibri"/>
          <w:sz w:val="24"/>
          <w:szCs w:val="24"/>
          <w:lang w:val="en-US"/>
        </w:rPr>
        <w:t>).</w:t>
      </w:r>
      <w:r w:rsidRPr="00677855">
        <w:rPr>
          <w:rFonts w:ascii="Calibri" w:hAnsi="Calibri"/>
          <w:sz w:val="24"/>
          <w:szCs w:val="24"/>
          <w:lang w:val="en-US"/>
        </w:rPr>
        <w:t xml:space="preserve"> </w:t>
      </w:r>
      <w:r>
        <w:rPr>
          <w:rFonts w:ascii="Calibri" w:hAnsi="Calibri"/>
          <w:sz w:val="24"/>
          <w:szCs w:val="24"/>
          <w:lang w:val="en-US"/>
        </w:rPr>
        <w:t>EC</w:t>
      </w:r>
      <w:r w:rsidRPr="00677855">
        <w:rPr>
          <w:rFonts w:ascii="Calibri" w:hAnsi="Calibri"/>
          <w:sz w:val="24"/>
          <w:szCs w:val="24"/>
          <w:vertAlign w:val="subscript"/>
          <w:lang w:val="en-US"/>
        </w:rPr>
        <w:t>50</w:t>
      </w:r>
      <w:r>
        <w:rPr>
          <w:rFonts w:ascii="Calibri" w:hAnsi="Calibri"/>
          <w:sz w:val="24"/>
          <w:szCs w:val="24"/>
          <w:lang w:val="en-US"/>
        </w:rPr>
        <w:t xml:space="preserve"> values were determined by </w:t>
      </w:r>
      <w:r w:rsidRPr="00677855">
        <w:rPr>
          <w:rFonts w:ascii="Calibri" w:hAnsi="Calibri"/>
          <w:sz w:val="24"/>
          <w:szCs w:val="24"/>
          <w:lang w:val="en-US"/>
        </w:rPr>
        <w:t>quantification of intracellular ATP levels. Dashed lines indicate 10</w:t>
      </w:r>
      <w:r>
        <w:rPr>
          <w:rFonts w:ascii="Calibri" w:hAnsi="Calibri"/>
          <w:sz w:val="24"/>
          <w:szCs w:val="24"/>
          <w:lang w:val="en-US"/>
        </w:rPr>
        <w:t xml:space="preserve"> </w:t>
      </w:r>
      <w:r w:rsidRPr="00677855">
        <w:rPr>
          <w:rFonts w:ascii="Calibri" w:hAnsi="Calibri"/>
          <w:sz w:val="24"/>
          <w:szCs w:val="24"/>
          <w:lang w:val="en-US"/>
        </w:rPr>
        <w:t xml:space="preserve">x therapeutic </w:t>
      </w:r>
      <w:r>
        <w:rPr>
          <w:rFonts w:ascii="Calibri" w:hAnsi="Calibri"/>
          <w:sz w:val="24"/>
          <w:szCs w:val="24"/>
          <w:lang w:val="en-US"/>
        </w:rPr>
        <w:t>C</w:t>
      </w:r>
      <w:r w:rsidRPr="00677855">
        <w:rPr>
          <w:rFonts w:ascii="Calibri" w:hAnsi="Calibri"/>
          <w:sz w:val="24"/>
          <w:szCs w:val="24"/>
          <w:vertAlign w:val="subscript"/>
          <w:lang w:val="en-US"/>
        </w:rPr>
        <w:t>max</w:t>
      </w:r>
      <w:r w:rsidRPr="00677855">
        <w:rPr>
          <w:rFonts w:ascii="Calibri" w:hAnsi="Calibri"/>
          <w:sz w:val="24"/>
          <w:szCs w:val="24"/>
          <w:lang w:val="en-US"/>
        </w:rPr>
        <w:t xml:space="preserve"> concentrations for the respective compound (human </w:t>
      </w:r>
      <w:r>
        <w:rPr>
          <w:rFonts w:ascii="Calibri" w:hAnsi="Calibri"/>
          <w:sz w:val="24"/>
          <w:szCs w:val="24"/>
          <w:lang w:val="en-US"/>
        </w:rPr>
        <w:t>C</w:t>
      </w:r>
      <w:r w:rsidRPr="00677855">
        <w:rPr>
          <w:rFonts w:ascii="Calibri" w:hAnsi="Calibri"/>
          <w:sz w:val="24"/>
          <w:szCs w:val="24"/>
          <w:vertAlign w:val="subscript"/>
          <w:lang w:val="en-US"/>
        </w:rPr>
        <w:t>max</w:t>
      </w:r>
      <w:r w:rsidRPr="00677855">
        <w:rPr>
          <w:rFonts w:ascii="Calibri" w:hAnsi="Calibri"/>
          <w:sz w:val="24"/>
          <w:szCs w:val="24"/>
          <w:lang w:val="en-US"/>
        </w:rPr>
        <w:t xml:space="preserve"> values: APAP = 139</w:t>
      </w:r>
      <w:r>
        <w:rPr>
          <w:rFonts w:ascii="Calibri" w:hAnsi="Calibri"/>
          <w:sz w:val="24"/>
          <w:szCs w:val="24"/>
          <w:lang w:val="en-US"/>
        </w:rPr>
        <w:t xml:space="preserve"> </w:t>
      </w:r>
      <w:r w:rsidRPr="00677855">
        <w:rPr>
          <w:rFonts w:ascii="Calibri" w:hAnsi="Calibri"/>
          <w:sz w:val="24"/>
          <w:szCs w:val="24"/>
          <w:lang w:val="en-US"/>
        </w:rPr>
        <w:t xml:space="preserve">µM </w:t>
      </w:r>
      <w:r>
        <w:rPr>
          <w:rFonts w:ascii="Calibri" w:hAnsi="Calibri"/>
          <w:noProof/>
          <w:sz w:val="24"/>
          <w:szCs w:val="24"/>
          <w:lang w:val="en-US"/>
        </w:rPr>
        <w:t>(Sevilla-Tirado</w:t>
      </w:r>
      <w:r w:rsidRPr="007D68DF">
        <w:rPr>
          <w:rFonts w:ascii="Calibri" w:hAnsi="Calibri"/>
          <w:i/>
          <w:noProof/>
          <w:sz w:val="24"/>
          <w:szCs w:val="24"/>
          <w:lang w:val="en-US"/>
        </w:rPr>
        <w:t xml:space="preserve"> et al.</w:t>
      </w:r>
      <w:r>
        <w:rPr>
          <w:rFonts w:ascii="Calibri" w:hAnsi="Calibri"/>
          <w:noProof/>
          <w:sz w:val="24"/>
          <w:szCs w:val="24"/>
          <w:lang w:val="en-US"/>
        </w:rPr>
        <w:t>, 2003)</w:t>
      </w:r>
      <w:r w:rsidRPr="00677855">
        <w:rPr>
          <w:rFonts w:ascii="Calibri" w:hAnsi="Calibri"/>
          <w:sz w:val="24"/>
          <w:szCs w:val="24"/>
          <w:lang w:val="en-US"/>
        </w:rPr>
        <w:t xml:space="preserve">, </w:t>
      </w:r>
      <w:r>
        <w:rPr>
          <w:rFonts w:ascii="Calibri" w:hAnsi="Calibri"/>
          <w:sz w:val="24"/>
          <w:szCs w:val="24"/>
          <w:lang w:val="en-US"/>
        </w:rPr>
        <w:t>b</w:t>
      </w:r>
      <w:r w:rsidRPr="00677855">
        <w:rPr>
          <w:rFonts w:ascii="Calibri" w:hAnsi="Calibri"/>
          <w:sz w:val="24"/>
          <w:szCs w:val="24"/>
          <w:lang w:val="en-US"/>
        </w:rPr>
        <w:t>osentan = 7</w:t>
      </w:r>
      <w:r w:rsidRPr="0095553F">
        <w:rPr>
          <w:rFonts w:ascii="Calibri" w:hAnsi="Calibri"/>
          <w:sz w:val="24"/>
          <w:szCs w:val="24"/>
          <w:lang w:val="en-US"/>
        </w:rPr>
        <w:t>.4</w:t>
      </w:r>
      <w:r>
        <w:rPr>
          <w:rFonts w:ascii="Calibri" w:hAnsi="Calibri"/>
          <w:sz w:val="24"/>
          <w:szCs w:val="24"/>
          <w:lang w:val="en-US"/>
        </w:rPr>
        <w:t xml:space="preserve"> </w:t>
      </w:r>
      <w:r w:rsidRPr="0095553F">
        <w:rPr>
          <w:rFonts w:ascii="Calibri" w:hAnsi="Calibri"/>
          <w:sz w:val="24"/>
          <w:szCs w:val="24"/>
          <w:lang w:val="en-US"/>
        </w:rPr>
        <w:t xml:space="preserve">µM </w:t>
      </w:r>
      <w:r>
        <w:rPr>
          <w:rFonts w:ascii="Calibri" w:hAnsi="Calibri"/>
          <w:noProof/>
          <w:sz w:val="24"/>
          <w:szCs w:val="24"/>
          <w:lang w:val="en-US"/>
        </w:rPr>
        <w:t>(Gutierrez</w:t>
      </w:r>
      <w:r w:rsidRPr="007D68DF">
        <w:rPr>
          <w:rFonts w:ascii="Calibri" w:hAnsi="Calibri"/>
          <w:i/>
          <w:noProof/>
          <w:sz w:val="24"/>
          <w:szCs w:val="24"/>
          <w:lang w:val="en-US"/>
        </w:rPr>
        <w:t xml:space="preserve"> et al.</w:t>
      </w:r>
      <w:r>
        <w:rPr>
          <w:rFonts w:ascii="Calibri" w:hAnsi="Calibri"/>
          <w:noProof/>
          <w:sz w:val="24"/>
          <w:szCs w:val="24"/>
          <w:lang w:val="en-US"/>
        </w:rPr>
        <w:t>, 2013)</w:t>
      </w:r>
      <w:r w:rsidRPr="000A7195">
        <w:rPr>
          <w:rFonts w:ascii="Calibri" w:hAnsi="Calibri"/>
          <w:sz w:val="24"/>
          <w:szCs w:val="24"/>
          <w:lang w:val="en-US"/>
        </w:rPr>
        <w:t xml:space="preserve">, diclofenac = 8 µM </w:t>
      </w:r>
      <w:r w:rsidRPr="000A7195">
        <w:rPr>
          <w:rFonts w:ascii="Calibri" w:hAnsi="Calibri"/>
          <w:noProof/>
          <w:sz w:val="24"/>
          <w:szCs w:val="24"/>
          <w:lang w:val="en-US"/>
        </w:rPr>
        <w:t xml:space="preserve">G.D. Searle LLC Division of Pfizer Inc., FDA professional drug information - </w:t>
      </w:r>
      <w:r w:rsidRPr="000A7195">
        <w:rPr>
          <w:rFonts w:ascii="Calibri" w:hAnsi="Calibri"/>
          <w:noProof/>
          <w:sz w:val="24"/>
          <w:szCs w:val="24"/>
          <w:lang w:val="en-US"/>
        </w:rPr>
        <w:lastRenderedPageBreak/>
        <w:t>Arthrotec (2015) Available at: http://www.drugs.com/ pro/arthrotec.html (Accessed: 4th September 2017).</w:t>
      </w:r>
      <w:r w:rsidRPr="000A7195">
        <w:rPr>
          <w:rFonts w:ascii="Calibri" w:hAnsi="Calibri"/>
          <w:sz w:val="24"/>
          <w:szCs w:val="24"/>
          <w:lang w:val="en-US"/>
        </w:rPr>
        <w:t xml:space="preserve">, fialuridine = 1 µM </w:t>
      </w:r>
      <w:r w:rsidRPr="000A7195">
        <w:rPr>
          <w:rFonts w:ascii="Calibri" w:hAnsi="Calibri"/>
          <w:noProof/>
          <w:sz w:val="24"/>
          <w:szCs w:val="24"/>
          <w:lang w:val="en-US"/>
        </w:rPr>
        <w:t>(Bowsher</w:t>
      </w:r>
      <w:r w:rsidRPr="000A7195">
        <w:rPr>
          <w:rFonts w:ascii="Calibri" w:hAnsi="Calibri"/>
          <w:i/>
          <w:noProof/>
          <w:sz w:val="24"/>
          <w:szCs w:val="24"/>
          <w:lang w:val="en-US"/>
        </w:rPr>
        <w:t xml:space="preserve"> et al.</w:t>
      </w:r>
      <w:r w:rsidRPr="000A7195">
        <w:rPr>
          <w:rFonts w:ascii="Calibri" w:hAnsi="Calibri"/>
          <w:noProof/>
          <w:sz w:val="24"/>
          <w:szCs w:val="24"/>
          <w:lang w:val="en-US"/>
        </w:rPr>
        <w:t>, 1994)</w:t>
      </w:r>
      <w:r w:rsidRPr="000A7195">
        <w:rPr>
          <w:rFonts w:ascii="Calibri" w:hAnsi="Calibri"/>
          <w:sz w:val="24"/>
          <w:szCs w:val="24"/>
          <w:lang w:val="en-US"/>
        </w:rPr>
        <w:t xml:space="preserve">, pioglitazone = 2.9 µM </w:t>
      </w:r>
      <w:r w:rsidRPr="000A7195">
        <w:rPr>
          <w:rFonts w:ascii="Calibri" w:hAnsi="Calibri"/>
          <w:noProof/>
          <w:sz w:val="24"/>
          <w:szCs w:val="24"/>
          <w:lang w:val="en-US"/>
        </w:rPr>
        <w:t>(Wong, Ozalp, Lainesse and Alpan, 2004)</w:t>
      </w:r>
      <w:r w:rsidRPr="000A7195">
        <w:rPr>
          <w:rFonts w:ascii="Calibri" w:hAnsi="Calibri"/>
          <w:sz w:val="24"/>
          <w:szCs w:val="24"/>
          <w:lang w:val="en-US"/>
        </w:rPr>
        <w:t>, troglitazone = 3.6 µM corresponding to 400 mg recommended daily dose</w:t>
      </w:r>
      <w:r w:rsidRPr="000A7195">
        <w:rPr>
          <w:rFonts w:ascii="Calibri" w:hAnsi="Calibri"/>
          <w:noProof/>
          <w:sz w:val="24"/>
          <w:szCs w:val="24"/>
          <w:lang w:val="en-US"/>
        </w:rPr>
        <w:t>(Loi, Alvey, Vassos, Randinitis, Sedman and Koup, 1999)</w:t>
      </w:r>
      <w:r w:rsidRPr="00677855">
        <w:rPr>
          <w:rFonts w:ascii="Calibri" w:hAnsi="Calibri"/>
          <w:sz w:val="24"/>
          <w:szCs w:val="24"/>
          <w:lang w:val="en-US"/>
        </w:rPr>
        <w:t>)</w:t>
      </w:r>
      <w:r>
        <w:rPr>
          <w:rFonts w:ascii="Calibri" w:hAnsi="Calibri"/>
          <w:sz w:val="24"/>
          <w:szCs w:val="24"/>
          <w:lang w:val="en-US"/>
        </w:rPr>
        <w:t>. Dotted line</w:t>
      </w:r>
      <w:r w:rsidRPr="00677855">
        <w:rPr>
          <w:rFonts w:ascii="Calibri" w:hAnsi="Calibri"/>
          <w:sz w:val="24"/>
          <w:szCs w:val="24"/>
          <w:lang w:val="en-US"/>
        </w:rPr>
        <w:t xml:space="preserve"> indicates EC</w:t>
      </w:r>
      <w:r w:rsidRPr="00677855">
        <w:rPr>
          <w:rFonts w:ascii="Calibri" w:hAnsi="Calibri"/>
          <w:sz w:val="24"/>
          <w:szCs w:val="24"/>
          <w:vertAlign w:val="subscript"/>
          <w:lang w:val="en-US"/>
        </w:rPr>
        <w:t>50</w:t>
      </w:r>
      <w:r w:rsidRPr="00677855">
        <w:rPr>
          <w:rFonts w:ascii="Calibri" w:hAnsi="Calibri"/>
          <w:sz w:val="24"/>
          <w:szCs w:val="24"/>
          <w:lang w:val="en-US"/>
        </w:rPr>
        <w:t xml:space="preserve"> values above the highest tested concentration. All 3D spheroid experiments were performed at a minimum of three </w:t>
      </w:r>
      <w:r>
        <w:rPr>
          <w:rFonts w:ascii="Calibri" w:hAnsi="Calibri"/>
          <w:sz w:val="24"/>
          <w:szCs w:val="24"/>
          <w:lang w:val="en-US"/>
        </w:rPr>
        <w:t xml:space="preserve">different </w:t>
      </w:r>
      <w:r w:rsidRPr="00677855">
        <w:rPr>
          <w:rFonts w:ascii="Calibri" w:hAnsi="Calibri"/>
          <w:sz w:val="24"/>
          <w:szCs w:val="24"/>
          <w:lang w:val="en-US"/>
        </w:rPr>
        <w:t>laboratories</w:t>
      </w:r>
      <w:r>
        <w:rPr>
          <w:rFonts w:ascii="Calibri" w:hAnsi="Calibri"/>
          <w:sz w:val="24"/>
          <w:szCs w:val="24"/>
          <w:lang w:val="en-US"/>
        </w:rPr>
        <w:t xml:space="preserve"> (as indicated in </w:t>
      </w:r>
      <w:r w:rsidR="009216C3">
        <w:rPr>
          <w:rFonts w:ascii="Calibri" w:hAnsi="Calibri"/>
          <w:sz w:val="24"/>
          <w:szCs w:val="24"/>
          <w:lang w:val="en-US"/>
        </w:rPr>
        <w:t>T</w:t>
      </w:r>
      <w:r>
        <w:rPr>
          <w:rFonts w:ascii="Calibri" w:hAnsi="Calibri"/>
          <w:sz w:val="24"/>
          <w:szCs w:val="24"/>
          <w:lang w:val="en-US"/>
        </w:rPr>
        <w:t>able 1)</w:t>
      </w:r>
      <w:r w:rsidRPr="00677855">
        <w:rPr>
          <w:rFonts w:ascii="Calibri" w:hAnsi="Calibri"/>
          <w:sz w:val="24"/>
          <w:szCs w:val="24"/>
          <w:lang w:val="en-US"/>
        </w:rPr>
        <w:t>, whereas for 2Dsw experiments, donor 1 was compared across three sites, whilst incubations for donors 2 and 3 were performed only at a single site.</w:t>
      </w:r>
      <w:r>
        <w:rPr>
          <w:rFonts w:ascii="Calibri" w:hAnsi="Calibri"/>
          <w:sz w:val="24"/>
          <w:szCs w:val="24"/>
          <w:lang w:val="en-US"/>
        </w:rPr>
        <w:t xml:space="preserve"> Error bars indicate S.E.M.</w:t>
      </w:r>
    </w:p>
    <w:p w14:paraId="1B34F709" w14:textId="77777777" w:rsidR="00E831B6" w:rsidRDefault="00E831B6" w:rsidP="00017836">
      <w:pPr>
        <w:spacing w:line="480" w:lineRule="auto"/>
        <w:jc w:val="both"/>
        <w:rPr>
          <w:rFonts w:ascii="Calibri" w:hAnsi="Calibri"/>
          <w:sz w:val="24"/>
          <w:szCs w:val="24"/>
          <w:lang w:val="en-US"/>
        </w:rPr>
      </w:pPr>
    </w:p>
    <w:p w14:paraId="59F5E3FE" w14:textId="77777777" w:rsidR="00E831B6" w:rsidRDefault="00E831B6" w:rsidP="00017836">
      <w:pPr>
        <w:spacing w:line="480" w:lineRule="auto"/>
        <w:jc w:val="both"/>
        <w:rPr>
          <w:rFonts w:ascii="Calibri" w:hAnsi="Calibri"/>
          <w:sz w:val="24"/>
          <w:szCs w:val="24"/>
          <w:lang w:val="en-US"/>
        </w:rPr>
      </w:pPr>
    </w:p>
    <w:p w14:paraId="49386B4D" w14:textId="77777777" w:rsidR="00E831B6" w:rsidRPr="00677855" w:rsidRDefault="00E831B6" w:rsidP="00017836">
      <w:pPr>
        <w:spacing w:line="480" w:lineRule="auto"/>
        <w:jc w:val="both"/>
        <w:rPr>
          <w:rFonts w:ascii="Calibri" w:hAnsi="Calibri"/>
          <w:b/>
          <w:sz w:val="24"/>
          <w:szCs w:val="24"/>
          <w:lang w:val="en-US"/>
        </w:rPr>
      </w:pPr>
      <w:r w:rsidRPr="00677855">
        <w:rPr>
          <w:rFonts w:ascii="Calibri" w:hAnsi="Calibri"/>
          <w:b/>
          <w:sz w:val="24"/>
          <w:szCs w:val="24"/>
          <w:lang w:val="en-US"/>
        </w:rPr>
        <w:t>Supplementary Material</w:t>
      </w:r>
    </w:p>
    <w:p w14:paraId="1124DF6F" w14:textId="70965401" w:rsidR="00DD4BB4" w:rsidRPr="00DD4BB4" w:rsidRDefault="009216C3" w:rsidP="000A7195">
      <w:pPr>
        <w:spacing w:line="480" w:lineRule="auto"/>
        <w:jc w:val="both"/>
        <w:rPr>
          <w:rFonts w:ascii="Calibri" w:hAnsi="Calibri"/>
          <w:sz w:val="24"/>
          <w:szCs w:val="24"/>
          <w:lang w:val="en-US"/>
        </w:rPr>
      </w:pPr>
      <w:r w:rsidRPr="000A7195">
        <w:rPr>
          <w:rFonts w:ascii="Calibri" w:hAnsi="Calibri"/>
          <w:b/>
          <w:sz w:val="24"/>
          <w:szCs w:val="24"/>
          <w:lang w:val="en-US"/>
        </w:rPr>
        <w:t>Supplementary Figure 1</w:t>
      </w:r>
      <w:r>
        <w:rPr>
          <w:rFonts w:ascii="Calibri" w:hAnsi="Calibri"/>
          <w:sz w:val="24"/>
          <w:szCs w:val="24"/>
          <w:lang w:val="en-US"/>
        </w:rPr>
        <w:t xml:space="preserve">. </w:t>
      </w:r>
      <w:r w:rsidR="00DD4BB4" w:rsidRPr="000A7195">
        <w:rPr>
          <w:rFonts w:ascii="Calibri" w:hAnsi="Calibri"/>
          <w:b/>
          <w:sz w:val="24"/>
          <w:szCs w:val="24"/>
          <w:lang w:val="en-US"/>
        </w:rPr>
        <w:t>Morphology of cells cultured in either 2D sandwich or 3D spheroids.</w:t>
      </w:r>
      <w:r w:rsidR="00DD4BB4" w:rsidRPr="00DD4BB4">
        <w:rPr>
          <w:rFonts w:ascii="Calibri" w:hAnsi="Calibri"/>
          <w:sz w:val="24"/>
          <w:szCs w:val="24"/>
          <w:lang w:val="en-US"/>
        </w:rPr>
        <w:t xml:space="preserve"> Bright-field images of control hepatocytes from donor 1 were obtained periodically at each of the participating laboratories. Day 0 represents the day at which the experiment was started ie. after 7-10 days spheroid formation for 3D cultures. Spheroids contain 1</w:t>
      </w:r>
      <w:r w:rsidR="00213B1E">
        <w:rPr>
          <w:rFonts w:ascii="Calibri" w:hAnsi="Calibri"/>
          <w:sz w:val="24"/>
          <w:szCs w:val="24"/>
          <w:lang w:val="en-US"/>
        </w:rPr>
        <w:t>,</w:t>
      </w:r>
      <w:r w:rsidR="00DD4BB4" w:rsidRPr="00DD4BB4">
        <w:rPr>
          <w:rFonts w:ascii="Calibri" w:hAnsi="Calibri"/>
          <w:sz w:val="24"/>
          <w:szCs w:val="24"/>
          <w:lang w:val="en-US"/>
        </w:rPr>
        <w:t>500 viable cells, whereas 2Dsw cultures contain 70,000 cells in 96-well plates.</w:t>
      </w:r>
    </w:p>
    <w:p w14:paraId="6FA67F66" w14:textId="77777777" w:rsidR="00DD4BB4" w:rsidRDefault="00DD4BB4" w:rsidP="00017836">
      <w:pPr>
        <w:spacing w:line="480" w:lineRule="auto"/>
        <w:jc w:val="both"/>
        <w:rPr>
          <w:rFonts w:ascii="Calibri" w:hAnsi="Calibri"/>
          <w:sz w:val="24"/>
          <w:szCs w:val="24"/>
          <w:lang w:val="en-US"/>
        </w:rPr>
      </w:pPr>
    </w:p>
    <w:p w14:paraId="0DD676C7" w14:textId="0171D09A" w:rsidR="00E831B6" w:rsidRDefault="00E831B6" w:rsidP="00017836">
      <w:pPr>
        <w:spacing w:line="480" w:lineRule="auto"/>
        <w:jc w:val="both"/>
        <w:rPr>
          <w:rFonts w:ascii="Calibri" w:hAnsi="Calibri"/>
          <w:sz w:val="24"/>
          <w:szCs w:val="24"/>
          <w:lang w:val="en-US"/>
        </w:rPr>
      </w:pPr>
      <w:r w:rsidRPr="00677855">
        <w:rPr>
          <w:rFonts w:ascii="Calibri" w:hAnsi="Calibri"/>
          <w:b/>
          <w:sz w:val="24"/>
          <w:szCs w:val="24"/>
          <w:lang w:val="en-US"/>
        </w:rPr>
        <w:t xml:space="preserve">Supplementary Figure </w:t>
      </w:r>
      <w:r w:rsidR="009216C3">
        <w:rPr>
          <w:rFonts w:ascii="Calibri" w:hAnsi="Calibri"/>
          <w:b/>
          <w:sz w:val="24"/>
          <w:szCs w:val="24"/>
          <w:lang w:val="en-US"/>
        </w:rPr>
        <w:t>2</w:t>
      </w:r>
      <w:r w:rsidRPr="00677855">
        <w:rPr>
          <w:rFonts w:ascii="Calibri" w:hAnsi="Calibri"/>
          <w:b/>
          <w:sz w:val="24"/>
          <w:szCs w:val="24"/>
          <w:lang w:val="en-US"/>
        </w:rPr>
        <w:t>.</w:t>
      </w:r>
      <w:r>
        <w:rPr>
          <w:rFonts w:ascii="Calibri" w:hAnsi="Calibri"/>
          <w:sz w:val="24"/>
          <w:szCs w:val="24"/>
          <w:lang w:val="en-US"/>
        </w:rPr>
        <w:t xml:space="preserve"> </w:t>
      </w:r>
      <w:r w:rsidRPr="003669B7">
        <w:rPr>
          <w:rFonts w:ascii="Calibri" w:hAnsi="Calibri"/>
          <w:b/>
          <w:sz w:val="24"/>
          <w:szCs w:val="24"/>
          <w:lang w:val="en-US"/>
        </w:rPr>
        <w:t>PHH in 3D spheroids can distinguish between hepatotoxic and non-hepatotoxic structural analogues.</w:t>
      </w:r>
      <w:r>
        <w:rPr>
          <w:rFonts w:ascii="Calibri" w:hAnsi="Calibri"/>
          <w:b/>
          <w:sz w:val="24"/>
          <w:szCs w:val="24"/>
          <w:lang w:val="en-US"/>
        </w:rPr>
        <w:t xml:space="preserve"> </w:t>
      </w:r>
      <w:r>
        <w:rPr>
          <w:rFonts w:ascii="Calibri" w:hAnsi="Calibri"/>
          <w:sz w:val="24"/>
          <w:szCs w:val="24"/>
          <w:lang w:val="en-US"/>
        </w:rPr>
        <w:t>Column plots depicting the ratio between EC</w:t>
      </w:r>
      <w:r w:rsidRPr="005869DD">
        <w:rPr>
          <w:rFonts w:ascii="Calibri" w:hAnsi="Calibri"/>
          <w:sz w:val="24"/>
          <w:szCs w:val="24"/>
          <w:vertAlign w:val="subscript"/>
          <w:lang w:val="en-US"/>
        </w:rPr>
        <w:t>50</w:t>
      </w:r>
      <w:r>
        <w:rPr>
          <w:rFonts w:ascii="Calibri" w:hAnsi="Calibri"/>
          <w:sz w:val="24"/>
          <w:szCs w:val="24"/>
          <w:lang w:val="en-US"/>
        </w:rPr>
        <w:t xml:space="preserve"> values for pioglitazone and its toxic structural analogue troglitazone. Note that a higher ratio indicates a better separation of toxic and non-toxic structurally similar compounds. Error bars indicate S.D.</w:t>
      </w:r>
    </w:p>
    <w:p w14:paraId="779764BD" w14:textId="77777777" w:rsidR="00E831B6" w:rsidRDefault="00E831B6" w:rsidP="00017836">
      <w:pPr>
        <w:spacing w:line="480" w:lineRule="auto"/>
        <w:jc w:val="both"/>
        <w:rPr>
          <w:rFonts w:ascii="Calibri" w:hAnsi="Calibri"/>
          <w:sz w:val="24"/>
          <w:szCs w:val="24"/>
          <w:lang w:val="en-US"/>
        </w:rPr>
      </w:pPr>
    </w:p>
    <w:p w14:paraId="0600AC90" w14:textId="77777777" w:rsidR="00E831B6" w:rsidRPr="00677855" w:rsidRDefault="00E831B6" w:rsidP="00017836">
      <w:pPr>
        <w:spacing w:line="480" w:lineRule="auto"/>
        <w:jc w:val="both"/>
        <w:rPr>
          <w:rFonts w:ascii="Calibri" w:hAnsi="Calibri"/>
          <w:sz w:val="24"/>
          <w:szCs w:val="24"/>
          <w:lang w:val="en-US"/>
        </w:rPr>
      </w:pPr>
    </w:p>
    <w:p w14:paraId="62E8B434" w14:textId="77777777" w:rsidR="00E831B6" w:rsidRPr="007D68DF" w:rsidRDefault="00E831B6" w:rsidP="00017836">
      <w:pPr>
        <w:spacing w:line="480" w:lineRule="auto"/>
        <w:jc w:val="both"/>
        <w:rPr>
          <w:rFonts w:ascii="Calibri" w:hAnsi="Calibri"/>
          <w:b/>
          <w:sz w:val="24"/>
          <w:szCs w:val="24"/>
          <w:lang w:val="en-US"/>
        </w:rPr>
      </w:pPr>
      <w:r w:rsidRPr="007D68DF">
        <w:rPr>
          <w:rFonts w:ascii="Calibri" w:hAnsi="Calibri"/>
          <w:b/>
          <w:sz w:val="24"/>
          <w:szCs w:val="24"/>
          <w:lang w:val="en-US"/>
        </w:rPr>
        <w:t>References</w:t>
      </w:r>
    </w:p>
    <w:p w14:paraId="145608F5" w14:textId="77777777" w:rsidR="00E831B6" w:rsidRPr="007D68DF" w:rsidRDefault="00E831B6" w:rsidP="00017836">
      <w:pPr>
        <w:pStyle w:val="EndNoteBibliography"/>
        <w:spacing w:after="0" w:line="480" w:lineRule="auto"/>
        <w:rPr>
          <w:noProof/>
          <w:sz w:val="24"/>
          <w:szCs w:val="24"/>
        </w:rPr>
      </w:pPr>
      <w:r w:rsidRPr="00041371">
        <w:rPr>
          <w:noProof/>
          <w:sz w:val="24"/>
          <w:szCs w:val="24"/>
        </w:rPr>
        <w:t>Bell, C. C., Hendriks, D. F. G., Moro, S. M. L., Ellis, E., Walsh, J., Renblom, A., Fredriksson Puigvert, L., Dankers, A. C. A., Jacobs, F., Snoeys, J.</w:t>
      </w:r>
      <w:r w:rsidRPr="00BE6F94">
        <w:rPr>
          <w:i/>
          <w:noProof/>
          <w:sz w:val="24"/>
          <w:szCs w:val="24"/>
        </w:rPr>
        <w:t>, et al.</w:t>
      </w:r>
      <w:r w:rsidRPr="00BE6F94">
        <w:rPr>
          <w:noProof/>
          <w:sz w:val="24"/>
          <w:szCs w:val="24"/>
        </w:rPr>
        <w:t xml:space="preserve"> </w:t>
      </w:r>
      <w:r w:rsidRPr="007D68DF">
        <w:rPr>
          <w:noProof/>
          <w:sz w:val="24"/>
          <w:szCs w:val="24"/>
        </w:rPr>
        <w:t xml:space="preserve">(2016). Characterization of primary human hepatocyte spheroids as a model system for drug-induced liver injury, liver function and disease. </w:t>
      </w:r>
      <w:r w:rsidRPr="007D68DF">
        <w:rPr>
          <w:i/>
          <w:noProof/>
          <w:sz w:val="24"/>
          <w:szCs w:val="24"/>
        </w:rPr>
        <w:t>Scientific Reports</w:t>
      </w:r>
      <w:r w:rsidRPr="007D68DF">
        <w:rPr>
          <w:noProof/>
          <w:sz w:val="24"/>
          <w:szCs w:val="24"/>
        </w:rPr>
        <w:t xml:space="preserve"> </w:t>
      </w:r>
      <w:r w:rsidRPr="007D68DF">
        <w:rPr>
          <w:b/>
          <w:noProof/>
          <w:sz w:val="24"/>
          <w:szCs w:val="24"/>
        </w:rPr>
        <w:t>6</w:t>
      </w:r>
      <w:r w:rsidRPr="007D68DF">
        <w:rPr>
          <w:noProof/>
          <w:sz w:val="24"/>
          <w:szCs w:val="24"/>
        </w:rPr>
        <w:t>, 25187.</w:t>
      </w:r>
    </w:p>
    <w:p w14:paraId="43A25F38"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Bell, C. C., Lauschke, V. M., Vorrink, S. U., Palmgren, H., Duffin, R., Andersson, T. B., and Ingelman-Sundberg, M. (2017). Transcriptional, Functional, and Mechanistic Comparisons of Stem Cell-Derived Hepatocytes, HepaRG Cells, and Three-Dimensional Human Hepatocyte Spheroids as Predictive In Vitro Systems for Drug-Induced Liver Injury. </w:t>
      </w:r>
      <w:r w:rsidRPr="007D68DF">
        <w:rPr>
          <w:i/>
          <w:noProof/>
          <w:sz w:val="24"/>
          <w:szCs w:val="24"/>
        </w:rPr>
        <w:t>Drug Metabolism and Disposition</w:t>
      </w:r>
      <w:r w:rsidRPr="007D68DF">
        <w:rPr>
          <w:noProof/>
          <w:sz w:val="24"/>
          <w:szCs w:val="24"/>
        </w:rPr>
        <w:t xml:space="preserve"> </w:t>
      </w:r>
      <w:r w:rsidRPr="007D68DF">
        <w:rPr>
          <w:b/>
          <w:noProof/>
          <w:sz w:val="24"/>
          <w:szCs w:val="24"/>
        </w:rPr>
        <w:t>45</w:t>
      </w:r>
      <w:r w:rsidRPr="007D68DF">
        <w:rPr>
          <w:noProof/>
          <w:sz w:val="24"/>
          <w:szCs w:val="24"/>
        </w:rPr>
        <w:t>(4), 419-429.</w:t>
      </w:r>
    </w:p>
    <w:p w14:paraId="472BB45F" w14:textId="77777777" w:rsidR="00E831B6" w:rsidRPr="007D68DF" w:rsidRDefault="00E831B6" w:rsidP="00017836">
      <w:pPr>
        <w:pStyle w:val="EndNoteBibliography"/>
        <w:spacing w:after="0" w:line="480" w:lineRule="auto"/>
        <w:rPr>
          <w:noProof/>
          <w:sz w:val="24"/>
          <w:szCs w:val="24"/>
        </w:rPr>
      </w:pPr>
      <w:r w:rsidRPr="007D68DF">
        <w:rPr>
          <w:noProof/>
          <w:sz w:val="24"/>
          <w:szCs w:val="24"/>
        </w:rPr>
        <w:t>Bellwon, P., Truisi, G. L., Bois, F. Y., Wilmes, A., Schmidt, T., Savary, C. C., Parmentier, C., Hewitt, P. G., Schmal, O., Josse, R.</w:t>
      </w:r>
      <w:r w:rsidRPr="007D68DF">
        <w:rPr>
          <w:i/>
          <w:noProof/>
          <w:sz w:val="24"/>
          <w:szCs w:val="24"/>
        </w:rPr>
        <w:t>, et al.</w:t>
      </w:r>
      <w:r w:rsidRPr="007D68DF">
        <w:rPr>
          <w:noProof/>
          <w:sz w:val="24"/>
          <w:szCs w:val="24"/>
        </w:rPr>
        <w:t xml:space="preserve"> (2015). Kinetics and dynamics of cyclosporine A in three hepatic cell culture systems. </w:t>
      </w:r>
      <w:r w:rsidRPr="007D68DF">
        <w:rPr>
          <w:i/>
          <w:noProof/>
          <w:sz w:val="24"/>
          <w:szCs w:val="24"/>
        </w:rPr>
        <w:t>Toxicology in Vitro</w:t>
      </w:r>
      <w:r w:rsidRPr="007D68DF">
        <w:rPr>
          <w:noProof/>
          <w:sz w:val="24"/>
          <w:szCs w:val="24"/>
        </w:rPr>
        <w:t xml:space="preserve"> </w:t>
      </w:r>
      <w:r w:rsidRPr="007D68DF">
        <w:rPr>
          <w:b/>
          <w:noProof/>
          <w:sz w:val="24"/>
          <w:szCs w:val="24"/>
        </w:rPr>
        <w:t>30</w:t>
      </w:r>
      <w:r w:rsidRPr="007D68DF">
        <w:rPr>
          <w:noProof/>
          <w:sz w:val="24"/>
          <w:szCs w:val="24"/>
        </w:rPr>
        <w:t>(Part A), 62-78.</w:t>
      </w:r>
    </w:p>
    <w:p w14:paraId="72B36FDC"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Bort, R., Macé, K., Boobis, A., Gómez-Lechón, M. J., Pfeifer, A., and Castell, J. (1999). Hepatic metabolism of diclofenac: role of human CYP in the minor oxidative pathways. </w:t>
      </w:r>
      <w:r w:rsidRPr="007D68DF">
        <w:rPr>
          <w:i/>
          <w:noProof/>
          <w:sz w:val="24"/>
          <w:szCs w:val="24"/>
        </w:rPr>
        <w:t>Biochemical Pharmacology</w:t>
      </w:r>
      <w:r w:rsidRPr="007D68DF">
        <w:rPr>
          <w:noProof/>
          <w:sz w:val="24"/>
          <w:szCs w:val="24"/>
        </w:rPr>
        <w:t xml:space="preserve"> </w:t>
      </w:r>
      <w:r w:rsidRPr="007D68DF">
        <w:rPr>
          <w:b/>
          <w:noProof/>
          <w:sz w:val="24"/>
          <w:szCs w:val="24"/>
        </w:rPr>
        <w:t>58</w:t>
      </w:r>
      <w:r w:rsidRPr="007D68DF">
        <w:rPr>
          <w:noProof/>
          <w:sz w:val="24"/>
          <w:szCs w:val="24"/>
        </w:rPr>
        <w:t>(5), 787-796.</w:t>
      </w:r>
    </w:p>
    <w:p w14:paraId="68D73278"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Bowsher, R. R., Compton, J. A., Kirkwood, J. A., Place, G. D., Jones, C. D., Mabry, T. E., Hyslop, D. L., Hatcher, B. L., and DeSante, K. A. (1994). Sensitive and specific radioimmunoassay for fialuridine: initial assessment of pharmacokinetics after single oral doses to healthy volunteers. </w:t>
      </w:r>
      <w:r w:rsidRPr="007D68DF">
        <w:rPr>
          <w:i/>
          <w:noProof/>
          <w:sz w:val="24"/>
          <w:szCs w:val="24"/>
        </w:rPr>
        <w:t>Antimicrobial agents and chemotherapy</w:t>
      </w:r>
      <w:r w:rsidRPr="007D68DF">
        <w:rPr>
          <w:noProof/>
          <w:sz w:val="24"/>
          <w:szCs w:val="24"/>
        </w:rPr>
        <w:t xml:space="preserve"> </w:t>
      </w:r>
      <w:r w:rsidRPr="007D68DF">
        <w:rPr>
          <w:b/>
          <w:noProof/>
          <w:sz w:val="24"/>
          <w:szCs w:val="24"/>
        </w:rPr>
        <w:t>38</w:t>
      </w:r>
      <w:r w:rsidRPr="007D68DF">
        <w:rPr>
          <w:noProof/>
          <w:sz w:val="24"/>
          <w:szCs w:val="24"/>
        </w:rPr>
        <w:t>(9), 2134-2142 (Comparative Study).</w:t>
      </w:r>
    </w:p>
    <w:p w14:paraId="22B826FF" w14:textId="77777777" w:rsidR="00E831B6" w:rsidRPr="007D68DF" w:rsidRDefault="00E831B6" w:rsidP="00017836">
      <w:pPr>
        <w:pStyle w:val="EndNoteBibliography"/>
        <w:spacing w:after="0" w:line="480" w:lineRule="auto"/>
        <w:rPr>
          <w:noProof/>
          <w:sz w:val="24"/>
          <w:szCs w:val="24"/>
        </w:rPr>
      </w:pPr>
      <w:r w:rsidRPr="007D68DF">
        <w:rPr>
          <w:noProof/>
          <w:sz w:val="24"/>
          <w:szCs w:val="24"/>
        </w:rPr>
        <w:lastRenderedPageBreak/>
        <w:t xml:space="preserve">Burbank, M. G., Burban, A., Sharanek, A., Weaver, R. J., Guguen-Guillouzo, C., and Guillouzo, A. (2016). Early Alterations of Bile Canaliculi Dynamics and the Rho Kinase/Myosin Light Chain Kinase Pathway Are Characteristics of Drug-Induced Intrahepatic Cholestasis. </w:t>
      </w:r>
      <w:r w:rsidRPr="007D68DF">
        <w:rPr>
          <w:i/>
          <w:noProof/>
          <w:sz w:val="24"/>
          <w:szCs w:val="24"/>
        </w:rPr>
        <w:t>Drug Metabolism and Disposition</w:t>
      </w:r>
      <w:r w:rsidRPr="007D68DF">
        <w:rPr>
          <w:noProof/>
          <w:sz w:val="24"/>
          <w:szCs w:val="24"/>
        </w:rPr>
        <w:t xml:space="preserve"> </w:t>
      </w:r>
      <w:r w:rsidRPr="007D68DF">
        <w:rPr>
          <w:b/>
          <w:noProof/>
          <w:sz w:val="24"/>
          <w:szCs w:val="24"/>
        </w:rPr>
        <w:t>44</w:t>
      </w:r>
      <w:r w:rsidRPr="007D68DF">
        <w:rPr>
          <w:noProof/>
          <w:sz w:val="24"/>
          <w:szCs w:val="24"/>
        </w:rPr>
        <w:t>(11), 1780-1793.</w:t>
      </w:r>
    </w:p>
    <w:p w14:paraId="0DBCD2B7"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Chatterjee, S., Richert, L., Augustijns, P., and Annaert, P. (2014). Hepatocyte-based in vitro model for assessment of drug-induced cholestasis. </w:t>
      </w:r>
      <w:r w:rsidRPr="007D68DF">
        <w:rPr>
          <w:i/>
          <w:noProof/>
          <w:sz w:val="24"/>
          <w:szCs w:val="24"/>
        </w:rPr>
        <w:t>Toxicology and Applied Pharmacology</w:t>
      </w:r>
      <w:r w:rsidRPr="007D68DF">
        <w:rPr>
          <w:noProof/>
          <w:sz w:val="24"/>
          <w:szCs w:val="24"/>
        </w:rPr>
        <w:t xml:space="preserve"> </w:t>
      </w:r>
      <w:r w:rsidRPr="007D68DF">
        <w:rPr>
          <w:b/>
          <w:noProof/>
          <w:sz w:val="24"/>
          <w:szCs w:val="24"/>
        </w:rPr>
        <w:t>274</w:t>
      </w:r>
      <w:r w:rsidRPr="007D68DF">
        <w:rPr>
          <w:noProof/>
          <w:sz w:val="24"/>
          <w:szCs w:val="24"/>
        </w:rPr>
        <w:t>(1), 124-136.</w:t>
      </w:r>
    </w:p>
    <w:p w14:paraId="1FEC744C" w14:textId="77777777" w:rsidR="00E831B6" w:rsidRPr="007D68DF" w:rsidRDefault="00E831B6" w:rsidP="00017836">
      <w:pPr>
        <w:pStyle w:val="EndNoteBibliography"/>
        <w:spacing w:after="0" w:line="480" w:lineRule="auto"/>
        <w:rPr>
          <w:noProof/>
          <w:sz w:val="24"/>
          <w:szCs w:val="24"/>
        </w:rPr>
      </w:pPr>
      <w:r w:rsidRPr="007D68DF">
        <w:rPr>
          <w:noProof/>
          <w:sz w:val="24"/>
          <w:szCs w:val="24"/>
        </w:rPr>
        <w:t>Chen, L., Shu, Y., Liang, X., Chen, E. C., Yee, S. W., Zur, A. A., Li, S., Xu, L., Keshari, K. R., Lin, M. J.</w:t>
      </w:r>
      <w:r w:rsidRPr="007D68DF">
        <w:rPr>
          <w:i/>
          <w:noProof/>
          <w:sz w:val="24"/>
          <w:szCs w:val="24"/>
        </w:rPr>
        <w:t>, et al.</w:t>
      </w:r>
      <w:r w:rsidRPr="007D68DF">
        <w:rPr>
          <w:noProof/>
          <w:sz w:val="24"/>
          <w:szCs w:val="24"/>
        </w:rPr>
        <w:t xml:space="preserve"> (2014). OCT1 is a high-capacity thiamine transporter that regulates hepatic steatosis and is a target of metformin. </w:t>
      </w:r>
      <w:r w:rsidRPr="007D68DF">
        <w:rPr>
          <w:i/>
          <w:noProof/>
          <w:sz w:val="24"/>
          <w:szCs w:val="24"/>
        </w:rPr>
        <w:t>Proceedings of the National Academy of Sciences of the United States of America</w:t>
      </w:r>
      <w:r w:rsidRPr="007D68DF">
        <w:rPr>
          <w:noProof/>
          <w:sz w:val="24"/>
          <w:szCs w:val="24"/>
        </w:rPr>
        <w:t xml:space="preserve"> </w:t>
      </w:r>
      <w:r w:rsidRPr="007D68DF">
        <w:rPr>
          <w:b/>
          <w:noProof/>
          <w:sz w:val="24"/>
          <w:szCs w:val="24"/>
        </w:rPr>
        <w:t>111</w:t>
      </w:r>
      <w:r w:rsidRPr="007D68DF">
        <w:rPr>
          <w:noProof/>
          <w:sz w:val="24"/>
          <w:szCs w:val="24"/>
        </w:rPr>
        <w:t>(27), 9983-9988.</w:t>
      </w:r>
    </w:p>
    <w:p w14:paraId="4D365BD4"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Cook, D., Brown, D., Alexander, R., March, R., Morgan, P., Satterthwaite, G., and Pangalos, M. N. (2014). Lessons learned from the fate of AstraZeneca&amp;apos;s drug pipeline: a five-dimensional framework. </w:t>
      </w:r>
      <w:r w:rsidRPr="007D68DF">
        <w:rPr>
          <w:i/>
          <w:noProof/>
          <w:sz w:val="24"/>
          <w:szCs w:val="24"/>
        </w:rPr>
        <w:t>Nature Reviews Drug Discovery</w:t>
      </w:r>
      <w:r w:rsidRPr="007D68DF">
        <w:rPr>
          <w:noProof/>
          <w:sz w:val="24"/>
          <w:szCs w:val="24"/>
        </w:rPr>
        <w:t xml:space="preserve"> </w:t>
      </w:r>
      <w:r w:rsidRPr="007D68DF">
        <w:rPr>
          <w:b/>
          <w:noProof/>
          <w:sz w:val="24"/>
          <w:szCs w:val="24"/>
        </w:rPr>
        <w:t>13</w:t>
      </w:r>
      <w:r w:rsidRPr="007D68DF">
        <w:rPr>
          <w:noProof/>
          <w:sz w:val="24"/>
          <w:szCs w:val="24"/>
        </w:rPr>
        <w:t>(6), 419-431.</w:t>
      </w:r>
    </w:p>
    <w:p w14:paraId="396DB426"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De Bruyn, T., Chatterjee, S., Fattah, S., Keemink, J., Nicolaï, J., Augustijns, P., and Annaert, P. (2013). Sandwich-cultured hepatocytes: utility for in vitro exploration of hepatobiliary drug disposition and drug-induced hepatotoxicity. </w:t>
      </w:r>
      <w:r w:rsidRPr="007D68DF">
        <w:rPr>
          <w:i/>
          <w:noProof/>
          <w:sz w:val="24"/>
          <w:szCs w:val="24"/>
        </w:rPr>
        <w:t>Expert Opinion on Drug Metabolism &amp;amp; Toxicology</w:t>
      </w:r>
      <w:r w:rsidRPr="007D68DF">
        <w:rPr>
          <w:noProof/>
          <w:sz w:val="24"/>
          <w:szCs w:val="24"/>
        </w:rPr>
        <w:t xml:space="preserve"> </w:t>
      </w:r>
      <w:r w:rsidRPr="007D68DF">
        <w:rPr>
          <w:b/>
          <w:noProof/>
          <w:sz w:val="24"/>
          <w:szCs w:val="24"/>
        </w:rPr>
        <w:t>9</w:t>
      </w:r>
      <w:r w:rsidRPr="007D68DF">
        <w:rPr>
          <w:noProof/>
          <w:sz w:val="24"/>
          <w:szCs w:val="24"/>
        </w:rPr>
        <w:t>(5), 589-616.</w:t>
      </w:r>
    </w:p>
    <w:p w14:paraId="40A4F15E"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den Braver-Sewradj, S. P., den Braver, M. W., Vermeulen, N. P. E., Commandeur, J. N. M., Richert, L., and Vos, J. C. (2016). Inter-donor variability of phase I/phase II metabolism of three reference drugs in cryopreserved primary human hepatocytes in suspension and monolayer. </w:t>
      </w:r>
      <w:r w:rsidRPr="007D68DF">
        <w:rPr>
          <w:i/>
          <w:noProof/>
          <w:sz w:val="24"/>
          <w:szCs w:val="24"/>
        </w:rPr>
        <w:t>Toxicology in Vitro</w:t>
      </w:r>
      <w:r w:rsidRPr="007D68DF">
        <w:rPr>
          <w:noProof/>
          <w:sz w:val="24"/>
          <w:szCs w:val="24"/>
        </w:rPr>
        <w:t xml:space="preserve"> </w:t>
      </w:r>
      <w:r w:rsidRPr="007D68DF">
        <w:rPr>
          <w:b/>
          <w:noProof/>
          <w:sz w:val="24"/>
          <w:szCs w:val="24"/>
        </w:rPr>
        <w:t>33</w:t>
      </w:r>
      <w:r w:rsidRPr="007D68DF">
        <w:rPr>
          <w:noProof/>
          <w:sz w:val="24"/>
          <w:szCs w:val="24"/>
        </w:rPr>
        <w:t>(C), 71-79.</w:t>
      </w:r>
    </w:p>
    <w:p w14:paraId="12CC7BA4" w14:textId="77777777" w:rsidR="00E831B6" w:rsidRPr="00017836" w:rsidRDefault="00E831B6" w:rsidP="00017836">
      <w:pPr>
        <w:pStyle w:val="EndNoteBibliography"/>
        <w:spacing w:after="0" w:line="480" w:lineRule="auto"/>
        <w:rPr>
          <w:noProof/>
          <w:sz w:val="24"/>
          <w:szCs w:val="24"/>
        </w:rPr>
      </w:pPr>
      <w:r w:rsidRPr="007D68DF">
        <w:rPr>
          <w:noProof/>
          <w:sz w:val="24"/>
          <w:szCs w:val="24"/>
        </w:rPr>
        <w:t xml:space="preserve">Dragovic, S., Vermeulen, N. P. E., Gerets, H. H., Hewitt, P. G., Ingelman-Sundberg, M., Park, B. K., Juhila, S., Snoeys, J., and Weaver, R. J. (2016). Evidence-based selection of training </w:t>
      </w:r>
      <w:r w:rsidRPr="007D68DF">
        <w:rPr>
          <w:noProof/>
          <w:sz w:val="24"/>
          <w:szCs w:val="24"/>
        </w:rPr>
        <w:lastRenderedPageBreak/>
        <w:t xml:space="preserve">compounds for use in the mechanism-based integrated prediction of drug-induced liver injury in man. </w:t>
      </w:r>
      <w:r w:rsidRPr="007D68DF">
        <w:rPr>
          <w:i/>
          <w:noProof/>
          <w:sz w:val="24"/>
          <w:szCs w:val="24"/>
        </w:rPr>
        <w:t>Archives of Toxicology</w:t>
      </w:r>
      <w:r w:rsidRPr="007D68DF">
        <w:rPr>
          <w:noProof/>
          <w:sz w:val="24"/>
          <w:szCs w:val="24"/>
        </w:rPr>
        <w:t xml:space="preserve"> doi: 10.1007/s00204-016-1845-1, 1-25</w:t>
      </w:r>
      <w:r w:rsidRPr="00017836">
        <w:rPr>
          <w:noProof/>
          <w:sz w:val="24"/>
          <w:szCs w:val="24"/>
        </w:rPr>
        <w:t>.</w:t>
      </w:r>
    </w:p>
    <w:p w14:paraId="49B009E9" w14:textId="77777777" w:rsidR="00E831B6" w:rsidRPr="00017836" w:rsidRDefault="00E831B6" w:rsidP="00017836">
      <w:pPr>
        <w:pStyle w:val="EndNoteBibliography"/>
        <w:spacing w:after="0" w:line="480" w:lineRule="auto"/>
        <w:rPr>
          <w:noProof/>
          <w:sz w:val="24"/>
          <w:szCs w:val="24"/>
        </w:rPr>
      </w:pPr>
      <w:r w:rsidRPr="00017836">
        <w:rPr>
          <w:noProof/>
          <w:sz w:val="24"/>
          <w:szCs w:val="24"/>
        </w:rPr>
        <w:t xml:space="preserve">Evans, W. E., and Relling, M. V. (1999). Pharmacogenomics: translating functional genomics into rational therapeutics. </w:t>
      </w:r>
      <w:r w:rsidRPr="00017836">
        <w:rPr>
          <w:i/>
          <w:noProof/>
          <w:sz w:val="24"/>
          <w:szCs w:val="24"/>
        </w:rPr>
        <w:t>Science</w:t>
      </w:r>
      <w:r w:rsidRPr="00017836">
        <w:rPr>
          <w:noProof/>
          <w:sz w:val="24"/>
          <w:szCs w:val="24"/>
        </w:rPr>
        <w:t xml:space="preserve"> </w:t>
      </w:r>
      <w:r w:rsidRPr="00017836">
        <w:rPr>
          <w:b/>
          <w:noProof/>
          <w:sz w:val="24"/>
          <w:szCs w:val="24"/>
        </w:rPr>
        <w:t>286</w:t>
      </w:r>
      <w:r w:rsidRPr="00017836">
        <w:rPr>
          <w:noProof/>
          <w:sz w:val="24"/>
          <w:szCs w:val="24"/>
        </w:rPr>
        <w:t>(5439), 487-491 (Review).</w:t>
      </w:r>
    </w:p>
    <w:p w14:paraId="0179067E" w14:textId="77777777" w:rsidR="00017836" w:rsidRPr="00017836" w:rsidRDefault="00017836" w:rsidP="00017836">
      <w:pPr>
        <w:pStyle w:val="EndNoteBibliography"/>
        <w:spacing w:after="0" w:line="480" w:lineRule="auto"/>
        <w:rPr>
          <w:noProof/>
          <w:sz w:val="24"/>
          <w:szCs w:val="24"/>
        </w:rPr>
      </w:pPr>
      <w:r w:rsidRPr="000A7195">
        <w:rPr>
          <w:rFonts w:eastAsiaTheme="minorEastAsia" w:cs="Helvetica"/>
          <w:sz w:val="24"/>
          <w:szCs w:val="24"/>
        </w:rPr>
        <w:t xml:space="preserve">Ewart, L., Dehne, E.-M., Fabre, K., Gibbs, S., Hickman, J., Hornberg, E., Ingelman-Sundberg, M., Jang, K.-J., Jones, D. R., Lauschke, V. M., Marx, U., Mettetal, J. T., Pointon, A., Williams, D., Zimmermann, W.-H., Newham, P. Application of Microphysiological Systems to Enhance Safety Assessment in Drug Discovery. </w:t>
      </w:r>
      <w:r w:rsidRPr="000A7195">
        <w:rPr>
          <w:rFonts w:eastAsiaTheme="minorEastAsia" w:cs="Helvetica"/>
          <w:i/>
          <w:iCs/>
          <w:sz w:val="24"/>
          <w:szCs w:val="24"/>
        </w:rPr>
        <w:t>Annu. Rev. Pharmacol. Toxicol.</w:t>
      </w:r>
      <w:r w:rsidRPr="000A7195">
        <w:rPr>
          <w:rFonts w:eastAsiaTheme="minorEastAsia" w:cs="Helvetica"/>
          <w:sz w:val="24"/>
          <w:szCs w:val="24"/>
        </w:rPr>
        <w:t xml:space="preserve"> </w:t>
      </w:r>
      <w:r w:rsidRPr="000A7195">
        <w:rPr>
          <w:rFonts w:eastAsiaTheme="minorEastAsia" w:cs="Helvetica"/>
          <w:b/>
          <w:bCs/>
          <w:sz w:val="24"/>
          <w:szCs w:val="24"/>
        </w:rPr>
        <w:t>2017</w:t>
      </w:r>
      <w:r w:rsidRPr="000A7195">
        <w:rPr>
          <w:rFonts w:eastAsiaTheme="minorEastAsia" w:cs="Helvetica"/>
          <w:sz w:val="24"/>
          <w:szCs w:val="24"/>
        </w:rPr>
        <w:t>.</w:t>
      </w:r>
    </w:p>
    <w:p w14:paraId="1AFAB0E5" w14:textId="77777777" w:rsidR="00E831B6" w:rsidRPr="007D68DF" w:rsidRDefault="00E831B6" w:rsidP="00017836">
      <w:pPr>
        <w:pStyle w:val="EndNoteBibliography"/>
        <w:spacing w:after="0" w:line="480" w:lineRule="auto"/>
        <w:rPr>
          <w:noProof/>
          <w:sz w:val="24"/>
          <w:szCs w:val="24"/>
        </w:rPr>
      </w:pPr>
      <w:r w:rsidRPr="0068275A">
        <w:rPr>
          <w:noProof/>
          <w:sz w:val="24"/>
          <w:szCs w:val="24"/>
        </w:rPr>
        <w:t>Gómez-Lechón, M. J</w:t>
      </w:r>
      <w:r w:rsidRPr="007D68DF">
        <w:rPr>
          <w:noProof/>
          <w:sz w:val="24"/>
          <w:szCs w:val="24"/>
        </w:rPr>
        <w:t xml:space="preserve">., Tolosa, L., Conde, I., and Donato, M. T. (2014). Competency of different cell models to predict human hepatotoxic drugs. </w:t>
      </w:r>
      <w:r w:rsidRPr="007D68DF">
        <w:rPr>
          <w:i/>
          <w:noProof/>
          <w:sz w:val="24"/>
          <w:szCs w:val="24"/>
        </w:rPr>
        <w:t>Expert Opinion on Drug Metabolism &amp;amp; Toxicology</w:t>
      </w:r>
      <w:r w:rsidRPr="007D68DF">
        <w:rPr>
          <w:noProof/>
          <w:sz w:val="24"/>
          <w:szCs w:val="24"/>
        </w:rPr>
        <w:t xml:space="preserve"> </w:t>
      </w:r>
      <w:r w:rsidRPr="007D68DF">
        <w:rPr>
          <w:b/>
          <w:noProof/>
          <w:sz w:val="24"/>
          <w:szCs w:val="24"/>
        </w:rPr>
        <w:t>10</w:t>
      </w:r>
      <w:r w:rsidRPr="007D68DF">
        <w:rPr>
          <w:noProof/>
          <w:sz w:val="24"/>
          <w:szCs w:val="24"/>
        </w:rPr>
        <w:t>(11), 1553-1568.</w:t>
      </w:r>
    </w:p>
    <w:p w14:paraId="1E60FF9C"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Gutierrez, M. M., Nicolas, L. B., Donazzolo, Y., and Dingemanse, J. (2013). Relative bioavailability of a newly developed pediatric formulation of bosentan vs. the adult formulation. </w:t>
      </w:r>
      <w:r w:rsidRPr="007D68DF">
        <w:rPr>
          <w:i/>
          <w:noProof/>
          <w:sz w:val="24"/>
          <w:szCs w:val="24"/>
        </w:rPr>
        <w:t>Int. Journal of Clinical Pharmacology and Therapeutics</w:t>
      </w:r>
      <w:r w:rsidRPr="007D68DF">
        <w:rPr>
          <w:noProof/>
          <w:sz w:val="24"/>
          <w:szCs w:val="24"/>
        </w:rPr>
        <w:t xml:space="preserve"> </w:t>
      </w:r>
      <w:r w:rsidRPr="007D68DF">
        <w:rPr>
          <w:b/>
          <w:noProof/>
          <w:sz w:val="24"/>
          <w:szCs w:val="24"/>
        </w:rPr>
        <w:t>51</w:t>
      </w:r>
      <w:r w:rsidRPr="007D68DF">
        <w:rPr>
          <w:noProof/>
          <w:sz w:val="24"/>
          <w:szCs w:val="24"/>
        </w:rPr>
        <w:t>(06), 529-536.</w:t>
      </w:r>
    </w:p>
    <w:p w14:paraId="0A3ACE6B" w14:textId="77777777" w:rsidR="00E831B6" w:rsidRPr="007D68DF" w:rsidRDefault="00E831B6" w:rsidP="00017836">
      <w:pPr>
        <w:pStyle w:val="EndNoteBibliography"/>
        <w:spacing w:after="0" w:line="480" w:lineRule="auto"/>
        <w:rPr>
          <w:noProof/>
          <w:sz w:val="24"/>
          <w:szCs w:val="24"/>
        </w:rPr>
      </w:pPr>
      <w:r w:rsidRPr="007D68DF">
        <w:rPr>
          <w:noProof/>
          <w:sz w:val="24"/>
          <w:szCs w:val="24"/>
        </w:rPr>
        <w:t>Heslop, J. A., Rowe, C., Walsh, J., Sison-Young, R., Jenkins, R., Kamalian, L., Kia, R., Hay, D., Jones, R. P., Malik, H. Z.</w:t>
      </w:r>
      <w:r w:rsidRPr="007D68DF">
        <w:rPr>
          <w:i/>
          <w:noProof/>
          <w:sz w:val="24"/>
          <w:szCs w:val="24"/>
        </w:rPr>
        <w:t>, et al.</w:t>
      </w:r>
      <w:r w:rsidRPr="007D68DF">
        <w:rPr>
          <w:noProof/>
          <w:sz w:val="24"/>
          <w:szCs w:val="24"/>
        </w:rPr>
        <w:t xml:space="preserve"> (2016). Mechanistic evaluation of primary human hepatocyte culture using global proteomic analysis reveals a selective dedifferentiation profile. </w:t>
      </w:r>
      <w:r w:rsidRPr="007D68DF">
        <w:rPr>
          <w:i/>
          <w:noProof/>
          <w:sz w:val="24"/>
          <w:szCs w:val="24"/>
        </w:rPr>
        <w:t>Archives of Toxicology</w:t>
      </w:r>
      <w:r w:rsidRPr="007D68DF">
        <w:rPr>
          <w:noProof/>
          <w:sz w:val="24"/>
          <w:szCs w:val="24"/>
        </w:rPr>
        <w:t xml:space="preserve"> doi: 10.1007/s00204-016-1694-y, 1-14.</w:t>
      </w:r>
    </w:p>
    <w:p w14:paraId="0D0D8653"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Laine, J. E., Auriola, S., Pasanen, M., and Juvonen, R. O. (2009). Acetaminophen bioactivation by human cytochrome P450 enzymes and animal microsomes. </w:t>
      </w:r>
      <w:r w:rsidRPr="007D68DF">
        <w:rPr>
          <w:i/>
          <w:noProof/>
          <w:sz w:val="24"/>
          <w:szCs w:val="24"/>
        </w:rPr>
        <w:t>Xenobiotica</w:t>
      </w:r>
      <w:r w:rsidRPr="007D68DF">
        <w:rPr>
          <w:noProof/>
          <w:sz w:val="24"/>
          <w:szCs w:val="24"/>
        </w:rPr>
        <w:t xml:space="preserve"> </w:t>
      </w:r>
      <w:r w:rsidRPr="007D68DF">
        <w:rPr>
          <w:b/>
          <w:noProof/>
          <w:sz w:val="24"/>
          <w:szCs w:val="24"/>
        </w:rPr>
        <w:t>39</w:t>
      </w:r>
      <w:r w:rsidRPr="007D68DF">
        <w:rPr>
          <w:noProof/>
          <w:sz w:val="24"/>
          <w:szCs w:val="24"/>
        </w:rPr>
        <w:t>(1), 11-21.</w:t>
      </w:r>
    </w:p>
    <w:p w14:paraId="5AE6D6C2"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Lauschke, V. M., Hendriks, D. F. G., Bell, C. C., Andersson, T. B., and Ingelman-Sundberg, M. (2016a). Novel 3D Culture Systems for Studies of Human Liver Function and Assessments of the Hepatotoxicity of Drugs and Drug Candidates. </w:t>
      </w:r>
      <w:r w:rsidRPr="007D68DF">
        <w:rPr>
          <w:i/>
          <w:noProof/>
          <w:sz w:val="24"/>
          <w:szCs w:val="24"/>
        </w:rPr>
        <w:t>Chemical Research in Toxicology</w:t>
      </w:r>
      <w:r w:rsidRPr="007D68DF">
        <w:rPr>
          <w:noProof/>
          <w:sz w:val="24"/>
          <w:szCs w:val="24"/>
        </w:rPr>
        <w:t xml:space="preserve"> </w:t>
      </w:r>
      <w:r w:rsidRPr="007D68DF">
        <w:rPr>
          <w:b/>
          <w:noProof/>
          <w:sz w:val="24"/>
          <w:szCs w:val="24"/>
        </w:rPr>
        <w:t>29</w:t>
      </w:r>
      <w:r w:rsidRPr="007D68DF">
        <w:rPr>
          <w:noProof/>
          <w:sz w:val="24"/>
          <w:szCs w:val="24"/>
        </w:rPr>
        <w:t>(12), 1936-1955.</w:t>
      </w:r>
    </w:p>
    <w:p w14:paraId="64C9C64D" w14:textId="77777777" w:rsidR="00E831B6" w:rsidRPr="007D68DF" w:rsidRDefault="00E831B6" w:rsidP="00017836">
      <w:pPr>
        <w:pStyle w:val="EndNoteBibliography"/>
        <w:spacing w:after="0" w:line="480" w:lineRule="auto"/>
        <w:rPr>
          <w:noProof/>
          <w:sz w:val="24"/>
          <w:szCs w:val="24"/>
        </w:rPr>
      </w:pPr>
      <w:r w:rsidRPr="007D68DF">
        <w:rPr>
          <w:noProof/>
          <w:sz w:val="24"/>
          <w:szCs w:val="24"/>
        </w:rPr>
        <w:lastRenderedPageBreak/>
        <w:t xml:space="preserve">Lauschke, V. M., and Ingelman-Sundberg, M. (2016). The Importance of Patient-Specific Factors for Hepatic Drug Response and Toxicity. </w:t>
      </w:r>
      <w:r w:rsidRPr="007D68DF">
        <w:rPr>
          <w:i/>
          <w:noProof/>
          <w:sz w:val="24"/>
          <w:szCs w:val="24"/>
        </w:rPr>
        <w:t>International Journal of Molecular Sciences</w:t>
      </w:r>
      <w:r w:rsidRPr="007D68DF">
        <w:rPr>
          <w:noProof/>
          <w:sz w:val="24"/>
          <w:szCs w:val="24"/>
        </w:rPr>
        <w:t xml:space="preserve"> </w:t>
      </w:r>
      <w:r w:rsidRPr="007D68DF">
        <w:rPr>
          <w:b/>
          <w:noProof/>
          <w:sz w:val="24"/>
          <w:szCs w:val="24"/>
        </w:rPr>
        <w:t>17</w:t>
      </w:r>
      <w:r w:rsidRPr="007D68DF">
        <w:rPr>
          <w:noProof/>
          <w:sz w:val="24"/>
          <w:szCs w:val="24"/>
        </w:rPr>
        <w:t>(10)(Review).</w:t>
      </w:r>
    </w:p>
    <w:p w14:paraId="2BC956D5" w14:textId="77777777" w:rsidR="00E831B6" w:rsidRPr="007D68DF" w:rsidRDefault="00E831B6" w:rsidP="00017836">
      <w:pPr>
        <w:pStyle w:val="EndNoteBibliography"/>
        <w:spacing w:after="0" w:line="480" w:lineRule="auto"/>
        <w:rPr>
          <w:noProof/>
          <w:sz w:val="24"/>
          <w:szCs w:val="24"/>
        </w:rPr>
      </w:pPr>
      <w:r w:rsidRPr="007D68DF">
        <w:rPr>
          <w:noProof/>
          <w:sz w:val="24"/>
          <w:szCs w:val="24"/>
        </w:rPr>
        <w:t>Lauschke, V. M., Vorrink, S. U., Moro, S. M. L., Rezayee, F., Nordling, Å., Hendriks, D. F. G., Bell, C. C., Sison-Young, R., Park, B. K., Goldring, C. E.</w:t>
      </w:r>
      <w:r w:rsidRPr="007D68DF">
        <w:rPr>
          <w:i/>
          <w:noProof/>
          <w:sz w:val="24"/>
          <w:szCs w:val="24"/>
        </w:rPr>
        <w:t>, et al.</w:t>
      </w:r>
      <w:r w:rsidRPr="007D68DF">
        <w:rPr>
          <w:noProof/>
          <w:sz w:val="24"/>
          <w:szCs w:val="24"/>
        </w:rPr>
        <w:t xml:space="preserve"> (2016b). Massive rearrangements of cellular MicroRNA signatures are key drivers of hepatocyte dedifferentiation. </w:t>
      </w:r>
      <w:r w:rsidRPr="007D68DF">
        <w:rPr>
          <w:i/>
          <w:noProof/>
          <w:sz w:val="24"/>
          <w:szCs w:val="24"/>
        </w:rPr>
        <w:t>Hepatology</w:t>
      </w:r>
      <w:r w:rsidRPr="007D68DF">
        <w:rPr>
          <w:noProof/>
          <w:sz w:val="24"/>
          <w:szCs w:val="24"/>
        </w:rPr>
        <w:t xml:space="preserve"> </w:t>
      </w:r>
      <w:r w:rsidRPr="007D68DF">
        <w:rPr>
          <w:b/>
          <w:noProof/>
          <w:sz w:val="24"/>
          <w:szCs w:val="24"/>
        </w:rPr>
        <w:t>64</w:t>
      </w:r>
      <w:r w:rsidRPr="007D68DF">
        <w:rPr>
          <w:noProof/>
          <w:sz w:val="24"/>
          <w:szCs w:val="24"/>
        </w:rPr>
        <w:t>(5), 1743-1756.</w:t>
      </w:r>
    </w:p>
    <w:p w14:paraId="66150191"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Loi, C. M., Alvey, C. W., Vassos, A. B., Randinitis, E. J., Sedman, A. J., and Koup, J. R. (1999). Steady-state pharmacokinetics and dose proportionality of troglitazone and its metabolites. </w:t>
      </w:r>
      <w:r w:rsidRPr="007D68DF">
        <w:rPr>
          <w:i/>
          <w:noProof/>
          <w:sz w:val="24"/>
          <w:szCs w:val="24"/>
        </w:rPr>
        <w:t>Journal of clinical pharmacology</w:t>
      </w:r>
      <w:r w:rsidRPr="007D68DF">
        <w:rPr>
          <w:noProof/>
          <w:sz w:val="24"/>
          <w:szCs w:val="24"/>
        </w:rPr>
        <w:t xml:space="preserve"> </w:t>
      </w:r>
      <w:r w:rsidRPr="007D68DF">
        <w:rPr>
          <w:b/>
          <w:noProof/>
          <w:sz w:val="24"/>
          <w:szCs w:val="24"/>
        </w:rPr>
        <w:t>39</w:t>
      </w:r>
      <w:r w:rsidRPr="007D68DF">
        <w:rPr>
          <w:noProof/>
          <w:sz w:val="24"/>
          <w:szCs w:val="24"/>
        </w:rPr>
        <w:t>(9), 920-926.</w:t>
      </w:r>
    </w:p>
    <w:p w14:paraId="4EEA0FDC" w14:textId="77777777" w:rsidR="00E831B6" w:rsidRPr="00017836" w:rsidRDefault="00E831B6" w:rsidP="00017836">
      <w:pPr>
        <w:pStyle w:val="EndNoteBibliography"/>
        <w:spacing w:after="0" w:line="480" w:lineRule="auto"/>
        <w:rPr>
          <w:noProof/>
          <w:sz w:val="24"/>
          <w:szCs w:val="24"/>
        </w:rPr>
      </w:pPr>
      <w:r w:rsidRPr="007D68DF">
        <w:rPr>
          <w:noProof/>
          <w:sz w:val="24"/>
          <w:szCs w:val="24"/>
        </w:rPr>
        <w:t xml:space="preserve">Martignoni, M., Groothuis, G. M. M., and de Kanter, R. (2006). Species differences between mouse, rat, dog, monkey and human CYP-mediated drug metabolism, inhibition and induction. </w:t>
      </w:r>
      <w:r w:rsidRPr="007D68DF">
        <w:rPr>
          <w:i/>
          <w:noProof/>
          <w:sz w:val="24"/>
          <w:szCs w:val="24"/>
        </w:rPr>
        <w:t>Expert Opinion on Drug Metabolism &amp;amp; Toxicology</w:t>
      </w:r>
      <w:r w:rsidRPr="007D68DF">
        <w:rPr>
          <w:noProof/>
          <w:sz w:val="24"/>
          <w:szCs w:val="24"/>
        </w:rPr>
        <w:t xml:space="preserve"> </w:t>
      </w:r>
      <w:r w:rsidRPr="007D68DF">
        <w:rPr>
          <w:b/>
          <w:noProof/>
          <w:sz w:val="24"/>
          <w:szCs w:val="24"/>
        </w:rPr>
        <w:t>2</w:t>
      </w:r>
      <w:r w:rsidRPr="007D68DF">
        <w:rPr>
          <w:noProof/>
          <w:sz w:val="24"/>
          <w:szCs w:val="24"/>
        </w:rPr>
        <w:t xml:space="preserve">(6), </w:t>
      </w:r>
      <w:r w:rsidRPr="00017836">
        <w:rPr>
          <w:noProof/>
          <w:sz w:val="24"/>
          <w:szCs w:val="24"/>
        </w:rPr>
        <w:t>875-894 (Review).</w:t>
      </w:r>
    </w:p>
    <w:p w14:paraId="046F5240" w14:textId="77777777" w:rsidR="00017836" w:rsidRPr="00017836" w:rsidRDefault="00017836" w:rsidP="00017836">
      <w:pPr>
        <w:pStyle w:val="EndNoteBibliography"/>
        <w:spacing w:after="0" w:line="480" w:lineRule="auto"/>
        <w:rPr>
          <w:noProof/>
          <w:sz w:val="24"/>
          <w:szCs w:val="24"/>
        </w:rPr>
      </w:pPr>
      <w:r w:rsidRPr="00017836">
        <w:rPr>
          <w:rFonts w:eastAsiaTheme="minorEastAsia" w:cs="Helvetica"/>
          <w:sz w:val="24"/>
          <w:szCs w:val="24"/>
        </w:rPr>
        <w:t xml:space="preserve">Messner, S., Fredriksson, L., Lauschke, V. M., Roessger, K., Escher, C., Bober, M., Kelm, J. M., Ingelman-Sundberg, M., Moritz, W. Transcriptomic, Proteomic, and Functional Long-term Characterization of Multicellular Three-Dimensional Human Liver Microtissues. </w:t>
      </w:r>
      <w:r w:rsidRPr="00017836">
        <w:rPr>
          <w:rFonts w:eastAsiaTheme="minorEastAsia" w:cs="Helvetica"/>
          <w:i/>
          <w:iCs/>
          <w:sz w:val="24"/>
          <w:szCs w:val="24"/>
        </w:rPr>
        <w:t>Applied In Vitro Toxicology</w:t>
      </w:r>
      <w:r w:rsidRPr="00017836">
        <w:rPr>
          <w:rFonts w:eastAsiaTheme="minorEastAsia" w:cs="Helvetica"/>
          <w:sz w:val="24"/>
          <w:szCs w:val="24"/>
        </w:rPr>
        <w:t xml:space="preserve"> </w:t>
      </w:r>
      <w:r w:rsidRPr="00017836">
        <w:rPr>
          <w:rFonts w:eastAsiaTheme="minorEastAsia" w:cs="Helvetica"/>
          <w:b/>
          <w:bCs/>
          <w:sz w:val="24"/>
          <w:szCs w:val="24"/>
        </w:rPr>
        <w:t>2017</w:t>
      </w:r>
      <w:r w:rsidRPr="00017836">
        <w:rPr>
          <w:rFonts w:eastAsiaTheme="minorEastAsia" w:cs="Helvetica"/>
          <w:sz w:val="24"/>
          <w:szCs w:val="24"/>
        </w:rPr>
        <w:t>, aivt.2017.0022–12.</w:t>
      </w:r>
    </w:p>
    <w:p w14:paraId="3DB3273C" w14:textId="77777777" w:rsidR="00E831B6" w:rsidRPr="007D68DF" w:rsidRDefault="00E831B6" w:rsidP="00017836">
      <w:pPr>
        <w:pStyle w:val="EndNoteBibliography"/>
        <w:spacing w:after="0" w:line="480" w:lineRule="auto"/>
        <w:rPr>
          <w:noProof/>
          <w:sz w:val="24"/>
          <w:szCs w:val="24"/>
        </w:rPr>
      </w:pPr>
      <w:r w:rsidRPr="00017836">
        <w:rPr>
          <w:noProof/>
          <w:sz w:val="24"/>
          <w:szCs w:val="24"/>
        </w:rPr>
        <w:t>Olson, H., Betton,</w:t>
      </w:r>
      <w:r w:rsidRPr="007D68DF">
        <w:rPr>
          <w:noProof/>
          <w:sz w:val="24"/>
          <w:szCs w:val="24"/>
        </w:rPr>
        <w:t xml:space="preserve"> G., Robinson, D., Thomas, K., Monro, A., Kolaja, G., Lilly, P., Sanders, J., Sipes, G., Bracken, W.</w:t>
      </w:r>
      <w:r w:rsidRPr="007D68DF">
        <w:rPr>
          <w:i/>
          <w:noProof/>
          <w:sz w:val="24"/>
          <w:szCs w:val="24"/>
        </w:rPr>
        <w:t>, et al.</w:t>
      </w:r>
      <w:r w:rsidRPr="007D68DF">
        <w:rPr>
          <w:noProof/>
          <w:sz w:val="24"/>
          <w:szCs w:val="24"/>
        </w:rPr>
        <w:t xml:space="preserve"> (2000). Concordance of the Toxicity of Pharmaceuticals in Humans and in Animals. </w:t>
      </w:r>
      <w:r w:rsidRPr="007D68DF">
        <w:rPr>
          <w:i/>
          <w:noProof/>
          <w:sz w:val="24"/>
          <w:szCs w:val="24"/>
        </w:rPr>
        <w:t>Regulatory Toxicology and Pharmacology</w:t>
      </w:r>
      <w:r w:rsidRPr="007D68DF">
        <w:rPr>
          <w:noProof/>
          <w:sz w:val="24"/>
          <w:szCs w:val="24"/>
        </w:rPr>
        <w:t xml:space="preserve"> </w:t>
      </w:r>
      <w:r w:rsidRPr="007D68DF">
        <w:rPr>
          <w:b/>
          <w:noProof/>
          <w:sz w:val="24"/>
          <w:szCs w:val="24"/>
        </w:rPr>
        <w:t>32</w:t>
      </w:r>
      <w:r w:rsidRPr="007D68DF">
        <w:rPr>
          <w:noProof/>
          <w:sz w:val="24"/>
          <w:szCs w:val="24"/>
        </w:rPr>
        <w:t>(1), 56-67.</w:t>
      </w:r>
    </w:p>
    <w:p w14:paraId="1CF4F54D"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Onakpoya, I. J., Heneghan, C. J., and Aronson, J. K. (2016). Post-marketing withdrawal of 462 medicinal products because of adverse drug reactions: a systematic review of the world literature. </w:t>
      </w:r>
      <w:r w:rsidRPr="007D68DF">
        <w:rPr>
          <w:i/>
          <w:noProof/>
          <w:sz w:val="24"/>
          <w:szCs w:val="24"/>
        </w:rPr>
        <w:t>BMC medicine</w:t>
      </w:r>
      <w:r w:rsidRPr="007D68DF">
        <w:rPr>
          <w:noProof/>
          <w:sz w:val="24"/>
          <w:szCs w:val="24"/>
        </w:rPr>
        <w:t xml:space="preserve"> doi: 10.1186/s12916-016-0553-2, 1-11.</w:t>
      </w:r>
    </w:p>
    <w:p w14:paraId="7C734FE7" w14:textId="77777777" w:rsidR="00E831B6" w:rsidRPr="007D68DF" w:rsidRDefault="00E831B6" w:rsidP="00017836">
      <w:pPr>
        <w:pStyle w:val="EndNoteBibliography"/>
        <w:spacing w:after="0" w:line="480" w:lineRule="auto"/>
        <w:rPr>
          <w:noProof/>
          <w:sz w:val="24"/>
          <w:szCs w:val="24"/>
        </w:rPr>
      </w:pPr>
      <w:r w:rsidRPr="007D68DF">
        <w:rPr>
          <w:noProof/>
          <w:sz w:val="24"/>
          <w:szCs w:val="24"/>
        </w:rPr>
        <w:lastRenderedPageBreak/>
        <w:t xml:space="preserve">Oorts, M., Baze, A., Bachellier, P., Heyd, B., Zacharias, T., Annaert, P., and Richert, L. (2016). Drug-induced cholestasis risk assessment in sandwich-cultured human hepatocytes. </w:t>
      </w:r>
      <w:r w:rsidRPr="007D68DF">
        <w:rPr>
          <w:i/>
          <w:noProof/>
          <w:sz w:val="24"/>
          <w:szCs w:val="24"/>
        </w:rPr>
        <w:t>Toxicology in Vitro</w:t>
      </w:r>
      <w:r w:rsidRPr="007D68DF">
        <w:rPr>
          <w:noProof/>
          <w:sz w:val="24"/>
          <w:szCs w:val="24"/>
        </w:rPr>
        <w:t xml:space="preserve"> </w:t>
      </w:r>
      <w:r w:rsidRPr="007D68DF">
        <w:rPr>
          <w:b/>
          <w:noProof/>
          <w:sz w:val="24"/>
          <w:szCs w:val="24"/>
        </w:rPr>
        <w:t>34</w:t>
      </w:r>
      <w:r w:rsidRPr="007D68DF">
        <w:rPr>
          <w:noProof/>
          <w:sz w:val="24"/>
          <w:szCs w:val="24"/>
        </w:rPr>
        <w:t>, 179-186.</w:t>
      </w:r>
    </w:p>
    <w:p w14:paraId="6ECD5550" w14:textId="77777777" w:rsidR="00E831B6" w:rsidRPr="007D68DF" w:rsidRDefault="00E831B6" w:rsidP="00017836">
      <w:pPr>
        <w:pStyle w:val="EndNoteBibliography"/>
        <w:spacing w:after="0" w:line="480" w:lineRule="auto"/>
        <w:rPr>
          <w:noProof/>
          <w:sz w:val="24"/>
          <w:szCs w:val="24"/>
        </w:rPr>
      </w:pPr>
      <w:r w:rsidRPr="007D68DF">
        <w:rPr>
          <w:noProof/>
          <w:sz w:val="24"/>
          <w:szCs w:val="24"/>
        </w:rPr>
        <w:t>Park, B. K., Boobis, A., Clarke, S., Goldring, C. E. P., Jones, D., Kenna, J. G., Lambert, C., Laverty, H. G., Naisbitt, D. J., Nelson, S.</w:t>
      </w:r>
      <w:r w:rsidRPr="007D68DF">
        <w:rPr>
          <w:i/>
          <w:noProof/>
          <w:sz w:val="24"/>
          <w:szCs w:val="24"/>
        </w:rPr>
        <w:t>, et al.</w:t>
      </w:r>
      <w:r w:rsidRPr="007D68DF">
        <w:rPr>
          <w:noProof/>
          <w:sz w:val="24"/>
          <w:szCs w:val="24"/>
        </w:rPr>
        <w:t xml:space="preserve"> (2011). Managing the challenge of chemically reactive metabolites in drug development. </w:t>
      </w:r>
      <w:r w:rsidRPr="007D68DF">
        <w:rPr>
          <w:i/>
          <w:noProof/>
          <w:sz w:val="24"/>
          <w:szCs w:val="24"/>
        </w:rPr>
        <w:t>Nature Reviews Drug Discovery</w:t>
      </w:r>
      <w:r w:rsidRPr="007D68DF">
        <w:rPr>
          <w:noProof/>
          <w:sz w:val="24"/>
          <w:szCs w:val="24"/>
        </w:rPr>
        <w:t xml:space="preserve"> </w:t>
      </w:r>
      <w:r w:rsidRPr="007D68DF">
        <w:rPr>
          <w:b/>
          <w:noProof/>
          <w:sz w:val="24"/>
          <w:szCs w:val="24"/>
        </w:rPr>
        <w:t>10</w:t>
      </w:r>
      <w:r w:rsidRPr="007D68DF">
        <w:rPr>
          <w:noProof/>
          <w:sz w:val="24"/>
          <w:szCs w:val="24"/>
        </w:rPr>
        <w:t>(4), 292-306 (Review).</w:t>
      </w:r>
    </w:p>
    <w:p w14:paraId="564EDCC4"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Parmentier, C., Couttet, P., Wolf, A., Zaccharias, T., Heyd, B., Bachellier, P., Uteng, M., and Richert, L. (2017). Evaluation of transcriptomic signature as a valuable tool to study drug-induced cholestasis in primary human hepatocytes. </w:t>
      </w:r>
      <w:r w:rsidRPr="007D68DF">
        <w:rPr>
          <w:i/>
          <w:noProof/>
          <w:sz w:val="24"/>
          <w:szCs w:val="24"/>
        </w:rPr>
        <w:t>Archives of Toxicology</w:t>
      </w:r>
      <w:r w:rsidRPr="007D68DF">
        <w:rPr>
          <w:noProof/>
          <w:sz w:val="24"/>
          <w:szCs w:val="24"/>
        </w:rPr>
        <w:t xml:space="preserve"> </w:t>
      </w:r>
      <w:r w:rsidRPr="007D68DF">
        <w:rPr>
          <w:b/>
          <w:noProof/>
          <w:sz w:val="24"/>
          <w:szCs w:val="24"/>
        </w:rPr>
        <w:t>91</w:t>
      </w:r>
      <w:r w:rsidRPr="007D68DF">
        <w:rPr>
          <w:noProof/>
          <w:sz w:val="24"/>
          <w:szCs w:val="24"/>
        </w:rPr>
        <w:t>(8), 2879-2893.</w:t>
      </w:r>
    </w:p>
    <w:p w14:paraId="2A782B0A"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Parmentier, C., Truisi, G. L., Moenks, K., Stanzel, S., Lukas, A., Kopp-Schneider, A., Alexandre, E., Hewitt, P. G., Mueller, S. O., and Richert, L. (2013). Transcriptomic hepatotoxicity signature of chlorpromazine after short- and long-term exposure in primary human sandwich cultures. </w:t>
      </w:r>
      <w:r w:rsidRPr="007D68DF">
        <w:rPr>
          <w:i/>
          <w:noProof/>
          <w:sz w:val="24"/>
          <w:szCs w:val="24"/>
        </w:rPr>
        <w:t>Drug Metabolism and Disposition</w:t>
      </w:r>
      <w:r w:rsidRPr="007D68DF">
        <w:rPr>
          <w:noProof/>
          <w:sz w:val="24"/>
          <w:szCs w:val="24"/>
        </w:rPr>
        <w:t xml:space="preserve"> </w:t>
      </w:r>
      <w:r w:rsidRPr="007D68DF">
        <w:rPr>
          <w:b/>
          <w:noProof/>
          <w:sz w:val="24"/>
          <w:szCs w:val="24"/>
        </w:rPr>
        <w:t>41</w:t>
      </w:r>
      <w:r w:rsidRPr="007D68DF">
        <w:rPr>
          <w:noProof/>
          <w:sz w:val="24"/>
          <w:szCs w:val="24"/>
        </w:rPr>
        <w:t>(10), 1835-1842.</w:t>
      </w:r>
    </w:p>
    <w:p w14:paraId="5F17DE52" w14:textId="77777777" w:rsidR="00E831B6" w:rsidRPr="007D68DF" w:rsidRDefault="00E831B6" w:rsidP="00017836">
      <w:pPr>
        <w:pStyle w:val="EndNoteBibliography"/>
        <w:spacing w:after="0" w:line="480" w:lineRule="auto"/>
        <w:rPr>
          <w:noProof/>
          <w:sz w:val="24"/>
          <w:szCs w:val="24"/>
        </w:rPr>
      </w:pPr>
      <w:r w:rsidRPr="007D68DF">
        <w:rPr>
          <w:noProof/>
          <w:sz w:val="24"/>
          <w:szCs w:val="24"/>
        </w:rPr>
        <w:t>Richert, L., Baze, A., Parmentier, C., Gerets, H. H. J., Sison-Young, R., Dorau, M., Lovatt, C., Czich, A., Goldring, C., Park, B. K.</w:t>
      </w:r>
      <w:r w:rsidRPr="007D68DF">
        <w:rPr>
          <w:i/>
          <w:noProof/>
          <w:sz w:val="24"/>
          <w:szCs w:val="24"/>
        </w:rPr>
        <w:t>, et al.</w:t>
      </w:r>
      <w:r w:rsidRPr="007D68DF">
        <w:rPr>
          <w:noProof/>
          <w:sz w:val="24"/>
          <w:szCs w:val="24"/>
        </w:rPr>
        <w:t xml:space="preserve"> (2016). Cytotoxicity evaluation using cryopreserved primary human hepatocytes in various culture formats. </w:t>
      </w:r>
      <w:r w:rsidRPr="007D68DF">
        <w:rPr>
          <w:i/>
          <w:noProof/>
          <w:sz w:val="24"/>
          <w:szCs w:val="24"/>
        </w:rPr>
        <w:t>Toxicology Letters</w:t>
      </w:r>
      <w:r w:rsidRPr="007D68DF">
        <w:rPr>
          <w:noProof/>
          <w:sz w:val="24"/>
          <w:szCs w:val="24"/>
        </w:rPr>
        <w:t xml:space="preserve"> </w:t>
      </w:r>
      <w:r w:rsidRPr="007D68DF">
        <w:rPr>
          <w:b/>
          <w:noProof/>
          <w:sz w:val="24"/>
          <w:szCs w:val="24"/>
        </w:rPr>
        <w:t>258</w:t>
      </w:r>
      <w:r w:rsidRPr="007D68DF">
        <w:rPr>
          <w:noProof/>
          <w:sz w:val="24"/>
          <w:szCs w:val="24"/>
        </w:rPr>
        <w:t>, 207-215.</w:t>
      </w:r>
    </w:p>
    <w:p w14:paraId="31B8D8C4" w14:textId="77777777" w:rsidR="00E831B6" w:rsidRPr="007D68DF" w:rsidRDefault="00E831B6" w:rsidP="00017836">
      <w:pPr>
        <w:pStyle w:val="EndNoteBibliography"/>
        <w:spacing w:after="0" w:line="480" w:lineRule="auto"/>
        <w:rPr>
          <w:noProof/>
          <w:sz w:val="24"/>
          <w:szCs w:val="24"/>
        </w:rPr>
      </w:pPr>
      <w:r w:rsidRPr="007D68DF">
        <w:rPr>
          <w:noProof/>
          <w:sz w:val="24"/>
          <w:szCs w:val="24"/>
        </w:rPr>
        <w:t>Rowe, C., Gerrard, D. T., Jenkins, R., Berry, A., Durkin, K., Sundstrom, L., Goldring, C. E., Park, B. K., Kitteringham, N. R., Hanley, K. P.</w:t>
      </w:r>
      <w:r w:rsidRPr="007D68DF">
        <w:rPr>
          <w:i/>
          <w:noProof/>
          <w:sz w:val="24"/>
          <w:szCs w:val="24"/>
        </w:rPr>
        <w:t>, et al.</w:t>
      </w:r>
      <w:r w:rsidRPr="007D68DF">
        <w:rPr>
          <w:noProof/>
          <w:sz w:val="24"/>
          <w:szCs w:val="24"/>
        </w:rPr>
        <w:t xml:space="preserve"> (2013). Proteome-wide analyses of human hepatocytes during differentiation and dedifferentiation. </w:t>
      </w:r>
      <w:r w:rsidRPr="007D68DF">
        <w:rPr>
          <w:i/>
          <w:noProof/>
          <w:sz w:val="24"/>
          <w:szCs w:val="24"/>
        </w:rPr>
        <w:t>Hepatology</w:t>
      </w:r>
      <w:r w:rsidRPr="007D68DF">
        <w:rPr>
          <w:noProof/>
          <w:sz w:val="24"/>
          <w:szCs w:val="24"/>
        </w:rPr>
        <w:t xml:space="preserve"> </w:t>
      </w:r>
      <w:r w:rsidRPr="007D68DF">
        <w:rPr>
          <w:b/>
          <w:noProof/>
          <w:sz w:val="24"/>
          <w:szCs w:val="24"/>
        </w:rPr>
        <w:t>58</w:t>
      </w:r>
      <w:r w:rsidRPr="007D68DF">
        <w:rPr>
          <w:noProof/>
          <w:sz w:val="24"/>
          <w:szCs w:val="24"/>
        </w:rPr>
        <w:t>(2), 799-809 (Comparative Study).</w:t>
      </w:r>
    </w:p>
    <w:p w14:paraId="1B609D0A"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Rowe, C., Goldring, C. E. P., Kitteringham, N. R., Jenkins, R. E., Lane, B. S., Sanderson, C., Elliott, V., Platt, V., Metcalfe, P., and Park, B. K. (2010). Network Analysis of Primary Hepatocyte Dedifferentiation Using a Shotgun Proteomics Approach. </w:t>
      </w:r>
      <w:r w:rsidRPr="007D68DF">
        <w:rPr>
          <w:i/>
          <w:noProof/>
          <w:sz w:val="24"/>
          <w:szCs w:val="24"/>
        </w:rPr>
        <w:t>Journal of Proteome Research</w:t>
      </w:r>
      <w:r w:rsidRPr="007D68DF">
        <w:rPr>
          <w:noProof/>
          <w:sz w:val="24"/>
          <w:szCs w:val="24"/>
        </w:rPr>
        <w:t xml:space="preserve"> </w:t>
      </w:r>
      <w:r w:rsidRPr="007D68DF">
        <w:rPr>
          <w:b/>
          <w:noProof/>
          <w:sz w:val="24"/>
          <w:szCs w:val="24"/>
        </w:rPr>
        <w:t>9</w:t>
      </w:r>
      <w:r w:rsidRPr="007D68DF">
        <w:rPr>
          <w:noProof/>
          <w:sz w:val="24"/>
          <w:szCs w:val="24"/>
        </w:rPr>
        <w:t>(5), 2658-2668.</w:t>
      </w:r>
    </w:p>
    <w:p w14:paraId="64754732" w14:textId="77777777" w:rsidR="00E831B6" w:rsidRPr="007D68DF" w:rsidRDefault="00E831B6" w:rsidP="00017836">
      <w:pPr>
        <w:pStyle w:val="EndNoteBibliography"/>
        <w:spacing w:after="0" w:line="480" w:lineRule="auto"/>
        <w:rPr>
          <w:noProof/>
          <w:sz w:val="24"/>
          <w:szCs w:val="24"/>
        </w:rPr>
      </w:pPr>
      <w:r w:rsidRPr="007D68DF">
        <w:rPr>
          <w:noProof/>
          <w:sz w:val="24"/>
          <w:szCs w:val="24"/>
        </w:rPr>
        <w:lastRenderedPageBreak/>
        <w:t xml:space="preserve">Sevilla-Tirado, F. J., González-Vallejo, E. B., Leary, A. C., Breedt, H. J., Hyde, V. J., and Fernández-Hernando, N. (2003). Bioavailability of two new formulations of paracetamol, compared with three marketed formulations, in healthy volunteers. </w:t>
      </w:r>
      <w:r w:rsidRPr="007D68DF">
        <w:rPr>
          <w:i/>
          <w:noProof/>
          <w:sz w:val="24"/>
          <w:szCs w:val="24"/>
        </w:rPr>
        <w:t>Methods and findings in experimental and clinical pharmacology</w:t>
      </w:r>
      <w:r w:rsidRPr="007D68DF">
        <w:rPr>
          <w:noProof/>
          <w:sz w:val="24"/>
          <w:szCs w:val="24"/>
        </w:rPr>
        <w:t xml:space="preserve"> </w:t>
      </w:r>
      <w:r w:rsidRPr="007D68DF">
        <w:rPr>
          <w:b/>
          <w:noProof/>
          <w:sz w:val="24"/>
          <w:szCs w:val="24"/>
        </w:rPr>
        <w:t>25</w:t>
      </w:r>
      <w:r w:rsidRPr="007D68DF">
        <w:rPr>
          <w:noProof/>
          <w:sz w:val="24"/>
          <w:szCs w:val="24"/>
        </w:rPr>
        <w:t>(7), 531-535 (Clinical Trial).</w:t>
      </w:r>
    </w:p>
    <w:p w14:paraId="02393CB5"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Sirenko, O., Hesley, J., Rusyn, I., and Cromwell, E. F. (2014). High-content assays for hepatotoxicity using induced pluripotent stem cell-derived cells. </w:t>
      </w:r>
      <w:r w:rsidRPr="007D68DF">
        <w:rPr>
          <w:i/>
          <w:noProof/>
          <w:sz w:val="24"/>
          <w:szCs w:val="24"/>
        </w:rPr>
        <w:t>Assay and Drug Development Technologies</w:t>
      </w:r>
      <w:r w:rsidRPr="007D68DF">
        <w:rPr>
          <w:noProof/>
          <w:sz w:val="24"/>
          <w:szCs w:val="24"/>
        </w:rPr>
        <w:t xml:space="preserve"> </w:t>
      </w:r>
      <w:r w:rsidRPr="007D68DF">
        <w:rPr>
          <w:b/>
          <w:noProof/>
          <w:sz w:val="24"/>
          <w:szCs w:val="24"/>
        </w:rPr>
        <w:t>12</w:t>
      </w:r>
      <w:r w:rsidRPr="007D68DF">
        <w:rPr>
          <w:noProof/>
          <w:sz w:val="24"/>
          <w:szCs w:val="24"/>
        </w:rPr>
        <w:t>(1), 43-54.</w:t>
      </w:r>
    </w:p>
    <w:p w14:paraId="68DAA2AD" w14:textId="77777777" w:rsidR="00E831B6" w:rsidRPr="003936F6" w:rsidRDefault="00E831B6" w:rsidP="00017836">
      <w:pPr>
        <w:pStyle w:val="EndNoteBibliography"/>
        <w:spacing w:after="0" w:line="480" w:lineRule="auto"/>
        <w:rPr>
          <w:noProof/>
          <w:sz w:val="24"/>
          <w:szCs w:val="24"/>
        </w:rPr>
      </w:pPr>
      <w:r w:rsidRPr="007D68DF">
        <w:rPr>
          <w:noProof/>
          <w:sz w:val="24"/>
          <w:szCs w:val="24"/>
        </w:rPr>
        <w:t>Sison-Young, R. L., Lauschke, V. M., Johann, E., Alexandre, E., Anthérieu, S., Aerts, H., Gerets, H. H. J., Labbe, G., Hoët, D., Dorau, M.</w:t>
      </w:r>
      <w:r w:rsidRPr="007D68DF">
        <w:rPr>
          <w:i/>
          <w:noProof/>
          <w:sz w:val="24"/>
          <w:szCs w:val="24"/>
        </w:rPr>
        <w:t>, et al.</w:t>
      </w:r>
      <w:r w:rsidRPr="007D68DF">
        <w:rPr>
          <w:noProof/>
          <w:sz w:val="24"/>
          <w:szCs w:val="24"/>
        </w:rPr>
        <w:t xml:space="preserve"> (2017). A multicenter assessment of </w:t>
      </w:r>
      <w:r w:rsidRPr="003936F6">
        <w:rPr>
          <w:noProof/>
          <w:sz w:val="24"/>
          <w:szCs w:val="24"/>
        </w:rPr>
        <w:t xml:space="preserve">single-cell models aligned to standard measures of cell health for prediction of acute hepatotoxicity. </w:t>
      </w:r>
      <w:r w:rsidRPr="003936F6">
        <w:rPr>
          <w:i/>
          <w:noProof/>
          <w:sz w:val="24"/>
          <w:szCs w:val="24"/>
        </w:rPr>
        <w:t>Archives of Toxicology</w:t>
      </w:r>
      <w:r w:rsidRPr="003936F6">
        <w:rPr>
          <w:noProof/>
          <w:sz w:val="24"/>
          <w:szCs w:val="24"/>
        </w:rPr>
        <w:t xml:space="preserve"> </w:t>
      </w:r>
      <w:r w:rsidRPr="003936F6">
        <w:rPr>
          <w:b/>
          <w:noProof/>
          <w:sz w:val="24"/>
          <w:szCs w:val="24"/>
        </w:rPr>
        <w:t>91</w:t>
      </w:r>
      <w:r w:rsidRPr="003936F6">
        <w:rPr>
          <w:noProof/>
          <w:sz w:val="24"/>
          <w:szCs w:val="24"/>
        </w:rPr>
        <w:t>(3), 1385-1400.</w:t>
      </w:r>
    </w:p>
    <w:p w14:paraId="269FA629" w14:textId="77777777" w:rsidR="003936F6" w:rsidRPr="003936F6" w:rsidRDefault="003936F6" w:rsidP="00017836">
      <w:pPr>
        <w:pStyle w:val="EndNoteBibliography"/>
        <w:spacing w:after="0" w:line="480" w:lineRule="auto"/>
        <w:rPr>
          <w:noProof/>
          <w:sz w:val="24"/>
          <w:szCs w:val="24"/>
        </w:rPr>
      </w:pPr>
      <w:r w:rsidRPr="003936F6">
        <w:rPr>
          <w:rFonts w:eastAsiaTheme="minorEastAsia" w:cs="Helvetica"/>
          <w:sz w:val="24"/>
          <w:szCs w:val="24"/>
        </w:rPr>
        <w:t xml:space="preserve">Soldatow, V. Y., LeCluyse, E. L., Griffith, L. G., Rusyn, I. In vitro models for liver toxicity testing. </w:t>
      </w:r>
      <w:r w:rsidRPr="003936F6">
        <w:rPr>
          <w:rFonts w:eastAsiaTheme="minorEastAsia" w:cs="Helvetica"/>
          <w:i/>
          <w:iCs/>
          <w:sz w:val="24"/>
          <w:szCs w:val="24"/>
        </w:rPr>
        <w:t>Toxicol. Res.</w:t>
      </w:r>
      <w:r w:rsidRPr="003936F6">
        <w:rPr>
          <w:rFonts w:eastAsiaTheme="minorEastAsia" w:cs="Helvetica"/>
          <w:sz w:val="24"/>
          <w:szCs w:val="24"/>
        </w:rPr>
        <w:t xml:space="preserve"> </w:t>
      </w:r>
      <w:r w:rsidRPr="003936F6">
        <w:rPr>
          <w:rFonts w:eastAsiaTheme="minorEastAsia" w:cs="Helvetica"/>
          <w:b/>
          <w:bCs/>
          <w:sz w:val="24"/>
          <w:szCs w:val="24"/>
        </w:rPr>
        <w:t>2013</w:t>
      </w:r>
      <w:r w:rsidRPr="003936F6">
        <w:rPr>
          <w:rFonts w:eastAsiaTheme="minorEastAsia" w:cs="Helvetica"/>
          <w:sz w:val="24"/>
          <w:szCs w:val="24"/>
        </w:rPr>
        <w:t xml:space="preserve">, </w:t>
      </w:r>
      <w:r w:rsidRPr="003936F6">
        <w:rPr>
          <w:rFonts w:eastAsiaTheme="minorEastAsia" w:cs="Helvetica"/>
          <w:i/>
          <w:iCs/>
          <w:sz w:val="24"/>
          <w:szCs w:val="24"/>
        </w:rPr>
        <w:t>2</w:t>
      </w:r>
      <w:r w:rsidRPr="003936F6">
        <w:rPr>
          <w:rFonts w:eastAsiaTheme="minorEastAsia" w:cs="Helvetica"/>
          <w:sz w:val="24"/>
          <w:szCs w:val="24"/>
        </w:rPr>
        <w:t>, 23–39.</w:t>
      </w:r>
    </w:p>
    <w:p w14:paraId="55B63F2C" w14:textId="77777777" w:rsidR="00E831B6" w:rsidRPr="007D68DF" w:rsidRDefault="00E831B6" w:rsidP="00017836">
      <w:pPr>
        <w:pStyle w:val="EndNoteBibliography"/>
        <w:spacing w:after="0" w:line="480" w:lineRule="auto"/>
        <w:rPr>
          <w:noProof/>
          <w:sz w:val="24"/>
          <w:szCs w:val="24"/>
        </w:rPr>
      </w:pPr>
      <w:r w:rsidRPr="003936F6">
        <w:rPr>
          <w:noProof/>
          <w:sz w:val="24"/>
          <w:szCs w:val="24"/>
        </w:rPr>
        <w:t>Thompson, R. A., Isin, E. M., Ogese, M. O., Mettetal</w:t>
      </w:r>
      <w:r w:rsidRPr="007D68DF">
        <w:rPr>
          <w:noProof/>
          <w:sz w:val="24"/>
          <w:szCs w:val="24"/>
        </w:rPr>
        <w:t xml:space="preserve">, J. T., and Williams, D. P. (2016). Reactive Metabolites: Current and Emerging Risk and Hazard Assessments. </w:t>
      </w:r>
      <w:r w:rsidRPr="007D68DF">
        <w:rPr>
          <w:i/>
          <w:noProof/>
          <w:sz w:val="24"/>
          <w:szCs w:val="24"/>
        </w:rPr>
        <w:t>Chemical Research in Toxicology</w:t>
      </w:r>
      <w:r w:rsidRPr="007D68DF">
        <w:rPr>
          <w:noProof/>
          <w:sz w:val="24"/>
          <w:szCs w:val="24"/>
        </w:rPr>
        <w:t xml:space="preserve"> doi: 10.1021/acs.chemrestox.5b00410, acs.chemrestox.5b00410-29.</w:t>
      </w:r>
    </w:p>
    <w:p w14:paraId="4BA25160"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Treyer, A., and Müsch, A. (2013). Hepatocyte polarity. </w:t>
      </w:r>
      <w:r w:rsidRPr="007D68DF">
        <w:rPr>
          <w:i/>
          <w:noProof/>
          <w:sz w:val="24"/>
          <w:szCs w:val="24"/>
        </w:rPr>
        <w:t>Comprehensive Physiology</w:t>
      </w:r>
      <w:r w:rsidRPr="007D68DF">
        <w:rPr>
          <w:noProof/>
          <w:sz w:val="24"/>
          <w:szCs w:val="24"/>
        </w:rPr>
        <w:t xml:space="preserve"> </w:t>
      </w:r>
      <w:r w:rsidRPr="007D68DF">
        <w:rPr>
          <w:b/>
          <w:noProof/>
          <w:sz w:val="24"/>
          <w:szCs w:val="24"/>
        </w:rPr>
        <w:t>3</w:t>
      </w:r>
      <w:r w:rsidRPr="007D68DF">
        <w:rPr>
          <w:noProof/>
          <w:sz w:val="24"/>
          <w:szCs w:val="24"/>
        </w:rPr>
        <w:t>(1), 243-287 (Review).</w:t>
      </w:r>
    </w:p>
    <w:p w14:paraId="2D18BA46"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Vorrink, S. U., Ullah, S., Schmidt, S., Nandania, J., Velagapudi, V., Beck, O., Ingelman-Sundberg, M., and Lauschke, V. M. (2017). Endogenous and xenobiotic metabolic stability of primary human hepatocytes in long-term 3D spheroid cultures revealed by a combination of targeted and untargeted metabolomics. </w:t>
      </w:r>
      <w:r w:rsidRPr="007D68DF">
        <w:rPr>
          <w:i/>
          <w:noProof/>
          <w:sz w:val="24"/>
          <w:szCs w:val="24"/>
        </w:rPr>
        <w:t>FASEB journal : official publication of the Federation of American Societies for Experimental Biology</w:t>
      </w:r>
      <w:r w:rsidRPr="007D68DF">
        <w:rPr>
          <w:noProof/>
          <w:sz w:val="24"/>
          <w:szCs w:val="24"/>
        </w:rPr>
        <w:t xml:space="preserve"> doi: 10.1096/fj.201601375R.</w:t>
      </w:r>
    </w:p>
    <w:p w14:paraId="28AEE693" w14:textId="77777777" w:rsidR="00E831B6" w:rsidRPr="007D68DF" w:rsidRDefault="00E831B6" w:rsidP="00017836">
      <w:pPr>
        <w:pStyle w:val="EndNoteBibliography"/>
        <w:spacing w:after="0" w:line="480" w:lineRule="auto"/>
        <w:rPr>
          <w:noProof/>
          <w:sz w:val="24"/>
          <w:szCs w:val="24"/>
        </w:rPr>
      </w:pPr>
      <w:r w:rsidRPr="007D68DF">
        <w:rPr>
          <w:noProof/>
          <w:sz w:val="24"/>
          <w:szCs w:val="24"/>
        </w:rPr>
        <w:lastRenderedPageBreak/>
        <w:t xml:space="preserve">Wang, J., Duncan, D., Shi, Z., and Zhang, B. (2013). WEB-based GEne SeT AnaLysis Toolkit (WebGestalt): update 2013. </w:t>
      </w:r>
      <w:r w:rsidRPr="007D68DF">
        <w:rPr>
          <w:i/>
          <w:noProof/>
          <w:sz w:val="24"/>
          <w:szCs w:val="24"/>
        </w:rPr>
        <w:t>Nucleic Acids Research</w:t>
      </w:r>
      <w:r w:rsidRPr="007D68DF">
        <w:rPr>
          <w:noProof/>
          <w:sz w:val="24"/>
          <w:szCs w:val="24"/>
        </w:rPr>
        <w:t xml:space="preserve"> </w:t>
      </w:r>
      <w:r w:rsidRPr="007D68DF">
        <w:rPr>
          <w:b/>
          <w:noProof/>
          <w:sz w:val="24"/>
          <w:szCs w:val="24"/>
        </w:rPr>
        <w:t>41</w:t>
      </w:r>
      <w:r w:rsidRPr="007D68DF">
        <w:rPr>
          <w:noProof/>
          <w:sz w:val="24"/>
          <w:szCs w:val="24"/>
        </w:rPr>
        <w:t>(W1), W77-W83.</w:t>
      </w:r>
    </w:p>
    <w:p w14:paraId="58D05265"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Wong, H., Ozalp, Y., Lainesse, A., and Alpan, R. S. (2004). In vivo bioequivalence of oral antidiabetic agents: pioglitazone tablets. </w:t>
      </w:r>
      <w:r w:rsidRPr="007D68DF">
        <w:rPr>
          <w:i/>
          <w:noProof/>
          <w:sz w:val="24"/>
          <w:szCs w:val="24"/>
        </w:rPr>
        <w:t>Arzneimittel-Forschung</w:t>
      </w:r>
      <w:r w:rsidRPr="007D68DF">
        <w:rPr>
          <w:noProof/>
          <w:sz w:val="24"/>
          <w:szCs w:val="24"/>
        </w:rPr>
        <w:t xml:space="preserve"> </w:t>
      </w:r>
      <w:r w:rsidRPr="007D68DF">
        <w:rPr>
          <w:b/>
          <w:noProof/>
          <w:sz w:val="24"/>
          <w:szCs w:val="24"/>
        </w:rPr>
        <w:t>54</w:t>
      </w:r>
      <w:r w:rsidRPr="007D68DF">
        <w:rPr>
          <w:noProof/>
          <w:sz w:val="24"/>
          <w:szCs w:val="24"/>
        </w:rPr>
        <w:t>(9A), 618-624 (Clinical Trial).</w:t>
      </w:r>
    </w:p>
    <w:p w14:paraId="4AF5C0FC"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Yamamoto, Y., Yamazaki, H., Ikeda, T., Watanabe, T., Iwabuchi, H., NAKAJIMA, M., and YOKOI, T. (2002). Formation of a novel quinone epoxide metabolite of troglitazone with cytotoxic to HepG2 cells. </w:t>
      </w:r>
      <w:r w:rsidRPr="007D68DF">
        <w:rPr>
          <w:i/>
          <w:noProof/>
          <w:sz w:val="24"/>
          <w:szCs w:val="24"/>
        </w:rPr>
        <w:t>Drug metabolism and disposition: the biological fate of chemicals</w:t>
      </w:r>
      <w:r w:rsidRPr="007D68DF">
        <w:rPr>
          <w:noProof/>
          <w:sz w:val="24"/>
          <w:szCs w:val="24"/>
        </w:rPr>
        <w:t xml:space="preserve"> </w:t>
      </w:r>
      <w:r w:rsidRPr="007D68DF">
        <w:rPr>
          <w:b/>
          <w:noProof/>
          <w:sz w:val="24"/>
          <w:szCs w:val="24"/>
        </w:rPr>
        <w:t>30</w:t>
      </w:r>
      <w:r w:rsidRPr="007D68DF">
        <w:rPr>
          <w:noProof/>
          <w:sz w:val="24"/>
          <w:szCs w:val="24"/>
        </w:rPr>
        <w:t>(2), 155-160.</w:t>
      </w:r>
    </w:p>
    <w:p w14:paraId="50F96AA6" w14:textId="77777777" w:rsidR="00E831B6" w:rsidRPr="007D68DF" w:rsidRDefault="00E831B6" w:rsidP="00017836">
      <w:pPr>
        <w:pStyle w:val="EndNoteBibliography"/>
        <w:spacing w:after="0" w:line="480" w:lineRule="auto"/>
        <w:rPr>
          <w:noProof/>
          <w:sz w:val="24"/>
          <w:szCs w:val="24"/>
        </w:rPr>
      </w:pPr>
      <w:r w:rsidRPr="007D68DF">
        <w:rPr>
          <w:noProof/>
          <w:sz w:val="24"/>
          <w:szCs w:val="24"/>
        </w:rPr>
        <w:t xml:space="preserve">Yamazaki, H., Shibata, A., Suzuki, M., NAKAJIMA, M., Shimada, N., Guengerich, F. P., and YOKOI, T. (1999). Oxidation of troglitazone to a quinone-type metabolite catalyzed by cytochrome P-4502C8 and P-450 3A4 in human liver microsomes. </w:t>
      </w:r>
      <w:r w:rsidRPr="007D68DF">
        <w:rPr>
          <w:i/>
          <w:noProof/>
          <w:sz w:val="24"/>
          <w:szCs w:val="24"/>
        </w:rPr>
        <w:t>Drug metabolism and disposition: the biological fate of chemicals</w:t>
      </w:r>
      <w:r w:rsidRPr="007D68DF">
        <w:rPr>
          <w:noProof/>
          <w:sz w:val="24"/>
          <w:szCs w:val="24"/>
        </w:rPr>
        <w:t xml:space="preserve"> </w:t>
      </w:r>
      <w:r w:rsidRPr="007D68DF">
        <w:rPr>
          <w:b/>
          <w:noProof/>
          <w:sz w:val="24"/>
          <w:szCs w:val="24"/>
        </w:rPr>
        <w:t>27</w:t>
      </w:r>
      <w:r w:rsidRPr="007D68DF">
        <w:rPr>
          <w:noProof/>
          <w:sz w:val="24"/>
          <w:szCs w:val="24"/>
        </w:rPr>
        <w:t>(11), 1260-1266.</w:t>
      </w:r>
    </w:p>
    <w:p w14:paraId="0B7D39C0" w14:textId="77777777" w:rsidR="00E831B6" w:rsidRPr="007D68DF" w:rsidRDefault="00E831B6" w:rsidP="00017836">
      <w:pPr>
        <w:pStyle w:val="EndNoteBibliography"/>
        <w:spacing w:line="480" w:lineRule="auto"/>
        <w:rPr>
          <w:noProof/>
          <w:sz w:val="24"/>
          <w:szCs w:val="24"/>
        </w:rPr>
      </w:pPr>
      <w:r w:rsidRPr="007D68DF">
        <w:rPr>
          <w:noProof/>
          <w:sz w:val="24"/>
          <w:szCs w:val="24"/>
        </w:rPr>
        <w:t xml:space="preserve">Zhou, Y., Ingelman-Sundberg, M., and Lauschke, V. M. (2017). Worldwide Distribution of Cytochrome P450 Alleles: A Meta-analysis of Population-scale Sequencing Projects. </w:t>
      </w:r>
      <w:r w:rsidRPr="007D68DF">
        <w:rPr>
          <w:i/>
          <w:noProof/>
          <w:sz w:val="24"/>
          <w:szCs w:val="24"/>
        </w:rPr>
        <w:t>Clinical Pharmacology &amp;amp; Therapeutics</w:t>
      </w:r>
      <w:r w:rsidRPr="007D68DF">
        <w:rPr>
          <w:noProof/>
          <w:sz w:val="24"/>
          <w:szCs w:val="24"/>
        </w:rPr>
        <w:t xml:space="preserve"> doi: 10.1002/cpt.690.</w:t>
      </w:r>
    </w:p>
    <w:p w14:paraId="5E1D2D40" w14:textId="77777777" w:rsidR="00E831B6" w:rsidRPr="007D68DF" w:rsidRDefault="00E831B6" w:rsidP="00017836">
      <w:pPr>
        <w:spacing w:line="480" w:lineRule="auto"/>
        <w:jc w:val="both"/>
        <w:rPr>
          <w:rFonts w:ascii="Calibri" w:hAnsi="Calibri"/>
          <w:sz w:val="24"/>
          <w:szCs w:val="24"/>
          <w:lang w:val="en-US"/>
        </w:rPr>
      </w:pPr>
    </w:p>
    <w:p w14:paraId="205DDA6D" w14:textId="77777777" w:rsidR="00724814" w:rsidRDefault="00724814"/>
    <w:sectPr w:rsidR="00724814" w:rsidSect="00F55E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4BA1" w14:textId="77777777" w:rsidR="00F15A55" w:rsidRDefault="00F15A55">
      <w:pPr>
        <w:spacing w:after="0" w:line="240" w:lineRule="auto"/>
      </w:pPr>
      <w:r>
        <w:separator/>
      </w:r>
    </w:p>
  </w:endnote>
  <w:endnote w:type="continuationSeparator" w:id="0">
    <w:p w14:paraId="1E8CF8DE" w14:textId="77777777" w:rsidR="00F15A55" w:rsidRDefault="00F1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81741"/>
      <w:docPartObj>
        <w:docPartGallery w:val="Page Numbers (Bottom of Page)"/>
        <w:docPartUnique/>
      </w:docPartObj>
    </w:sdtPr>
    <w:sdtEndPr>
      <w:rPr>
        <w:noProof/>
      </w:rPr>
    </w:sdtEndPr>
    <w:sdtContent>
      <w:p w14:paraId="4B9149D5" w14:textId="7A9AA5A3" w:rsidR="002D3DCE" w:rsidRDefault="002D3DCE">
        <w:pPr>
          <w:pStyle w:val="Sidfot"/>
        </w:pPr>
        <w:r>
          <w:fldChar w:fldCharType="begin"/>
        </w:r>
        <w:r>
          <w:instrText xml:space="preserve"> PAGE   \* MERGEFORMAT </w:instrText>
        </w:r>
        <w:r>
          <w:fldChar w:fldCharType="separate"/>
        </w:r>
        <w:r w:rsidR="0075710A">
          <w:rPr>
            <w:noProof/>
          </w:rPr>
          <w:t>14</w:t>
        </w:r>
        <w:r>
          <w:rPr>
            <w:noProof/>
          </w:rPr>
          <w:fldChar w:fldCharType="end"/>
        </w:r>
      </w:p>
    </w:sdtContent>
  </w:sdt>
  <w:p w14:paraId="1FCA6019" w14:textId="77777777" w:rsidR="002D3DCE" w:rsidRDefault="002D3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79FE" w14:textId="77777777" w:rsidR="00F15A55" w:rsidRDefault="00F15A55">
      <w:pPr>
        <w:spacing w:after="0" w:line="240" w:lineRule="auto"/>
      </w:pPr>
      <w:r>
        <w:separator/>
      </w:r>
    </w:p>
  </w:footnote>
  <w:footnote w:type="continuationSeparator" w:id="0">
    <w:p w14:paraId="12057AFA" w14:textId="77777777" w:rsidR="00F15A55" w:rsidRDefault="00F1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E901A2"/>
    <w:multiLevelType w:val="hybridMultilevel"/>
    <w:tmpl w:val="0DC45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33BA8"/>
    <w:multiLevelType w:val="hybridMultilevel"/>
    <w:tmpl w:val="ABE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B5091"/>
    <w:multiLevelType w:val="hybridMultilevel"/>
    <w:tmpl w:val="3D6E1AF6"/>
    <w:lvl w:ilvl="0" w:tplc="1D22E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96249"/>
    <w:multiLevelType w:val="hybridMultilevel"/>
    <w:tmpl w:val="46E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A6CE4"/>
    <w:multiLevelType w:val="hybridMultilevel"/>
    <w:tmpl w:val="739831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A0D3600"/>
    <w:multiLevelType w:val="hybridMultilevel"/>
    <w:tmpl w:val="AB0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17145"/>
    <w:multiLevelType w:val="hybridMultilevel"/>
    <w:tmpl w:val="5F828F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6C47CD0"/>
    <w:multiLevelType w:val="hybridMultilevel"/>
    <w:tmpl w:val="014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31B6"/>
    <w:rsid w:val="00017836"/>
    <w:rsid w:val="000710A6"/>
    <w:rsid w:val="000A1D23"/>
    <w:rsid w:val="000A7195"/>
    <w:rsid w:val="00173D1B"/>
    <w:rsid w:val="001E22CB"/>
    <w:rsid w:val="001E5DD7"/>
    <w:rsid w:val="00213B1E"/>
    <w:rsid w:val="00236694"/>
    <w:rsid w:val="002A3DB6"/>
    <w:rsid w:val="002C1A1A"/>
    <w:rsid w:val="002D3DCE"/>
    <w:rsid w:val="003936F6"/>
    <w:rsid w:val="003E7BC3"/>
    <w:rsid w:val="004261F3"/>
    <w:rsid w:val="0044442A"/>
    <w:rsid w:val="00505762"/>
    <w:rsid w:val="00507A4F"/>
    <w:rsid w:val="006406F6"/>
    <w:rsid w:val="00674306"/>
    <w:rsid w:val="0068275A"/>
    <w:rsid w:val="00724814"/>
    <w:rsid w:val="00740E01"/>
    <w:rsid w:val="0075710A"/>
    <w:rsid w:val="007C7C74"/>
    <w:rsid w:val="00894F02"/>
    <w:rsid w:val="009216C3"/>
    <w:rsid w:val="00A32121"/>
    <w:rsid w:val="00A92FCB"/>
    <w:rsid w:val="00AE7208"/>
    <w:rsid w:val="00B70A96"/>
    <w:rsid w:val="00C35E0D"/>
    <w:rsid w:val="00CE24F8"/>
    <w:rsid w:val="00DD29CF"/>
    <w:rsid w:val="00DD4BB4"/>
    <w:rsid w:val="00E831B6"/>
    <w:rsid w:val="00EB34C4"/>
    <w:rsid w:val="00F15A55"/>
    <w:rsid w:val="00F55EBB"/>
    <w:rsid w:val="00FB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D162A"/>
  <w14:defaultImageDpi w14:val="300"/>
  <w15:docId w15:val="{A060E810-8AED-45C1-974F-6616C04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B6"/>
    <w:pPr>
      <w:spacing w:after="160" w:line="259" w:lineRule="auto"/>
    </w:pPr>
    <w:rPr>
      <w:rFonts w:eastAsiaTheme="minorHAnsi"/>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831B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Normaltabell"/>
    <w:uiPriority w:val="42"/>
    <w:rsid w:val="00E831B6"/>
    <w:rPr>
      <w:rFonts w:eastAsiaTheme="minorHAns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1">
    <w:name w:val="Grid Table 41"/>
    <w:basedOn w:val="Normaltabell"/>
    <w:uiPriority w:val="49"/>
    <w:rsid w:val="00E831B6"/>
    <w:rPr>
      <w:rFonts w:eastAsiaTheme="minorHAnsi"/>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Normaltabell"/>
    <w:uiPriority w:val="43"/>
    <w:rsid w:val="00E831B6"/>
    <w:rPr>
      <w:rFonts w:eastAsiaTheme="minorHAnsi"/>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lutkommentar">
    <w:name w:val="endnote text"/>
    <w:basedOn w:val="Normal"/>
    <w:link w:val="SlutkommentarChar"/>
    <w:uiPriority w:val="99"/>
    <w:semiHidden/>
    <w:unhideWhenUsed/>
    <w:rsid w:val="00E831B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831B6"/>
    <w:rPr>
      <w:rFonts w:eastAsiaTheme="minorHAnsi"/>
      <w:sz w:val="20"/>
      <w:szCs w:val="20"/>
      <w:lang w:val="en-GB"/>
    </w:rPr>
  </w:style>
  <w:style w:type="character" w:styleId="Slutkommentarsreferens">
    <w:name w:val="endnote reference"/>
    <w:basedOn w:val="Standardstycketeckensnitt"/>
    <w:uiPriority w:val="99"/>
    <w:semiHidden/>
    <w:unhideWhenUsed/>
    <w:rsid w:val="00E831B6"/>
    <w:rPr>
      <w:vertAlign w:val="superscript"/>
    </w:rPr>
  </w:style>
  <w:style w:type="paragraph" w:styleId="Liststycke">
    <w:name w:val="List Paragraph"/>
    <w:basedOn w:val="Normal"/>
    <w:uiPriority w:val="34"/>
    <w:qFormat/>
    <w:rsid w:val="00E831B6"/>
    <w:pPr>
      <w:ind w:left="720"/>
      <w:contextualSpacing/>
    </w:pPr>
  </w:style>
  <w:style w:type="paragraph" w:styleId="Ballongtext">
    <w:name w:val="Balloon Text"/>
    <w:basedOn w:val="Normal"/>
    <w:link w:val="BallongtextChar"/>
    <w:uiPriority w:val="99"/>
    <w:semiHidden/>
    <w:unhideWhenUsed/>
    <w:rsid w:val="00E831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31B6"/>
    <w:rPr>
      <w:rFonts w:ascii="Segoe UI" w:eastAsiaTheme="minorHAnsi" w:hAnsi="Segoe UI" w:cs="Segoe UI"/>
      <w:sz w:val="18"/>
      <w:szCs w:val="18"/>
      <w:lang w:val="en-GB"/>
    </w:rPr>
  </w:style>
  <w:style w:type="character" w:styleId="Kommentarsreferens">
    <w:name w:val="annotation reference"/>
    <w:basedOn w:val="Standardstycketeckensnitt"/>
    <w:uiPriority w:val="99"/>
    <w:semiHidden/>
    <w:unhideWhenUsed/>
    <w:rsid w:val="00E831B6"/>
    <w:rPr>
      <w:sz w:val="16"/>
      <w:szCs w:val="16"/>
    </w:rPr>
  </w:style>
  <w:style w:type="paragraph" w:styleId="Kommentarer">
    <w:name w:val="annotation text"/>
    <w:basedOn w:val="Normal"/>
    <w:link w:val="KommentarerChar"/>
    <w:uiPriority w:val="99"/>
    <w:semiHidden/>
    <w:unhideWhenUsed/>
    <w:rsid w:val="00E831B6"/>
    <w:pPr>
      <w:spacing w:line="240" w:lineRule="auto"/>
    </w:pPr>
    <w:rPr>
      <w:sz w:val="20"/>
      <w:szCs w:val="20"/>
    </w:rPr>
  </w:style>
  <w:style w:type="character" w:customStyle="1" w:styleId="KommentarerChar">
    <w:name w:val="Kommentarer Char"/>
    <w:basedOn w:val="Standardstycketeckensnitt"/>
    <w:link w:val="Kommentarer"/>
    <w:uiPriority w:val="99"/>
    <w:semiHidden/>
    <w:rsid w:val="00E831B6"/>
    <w:rPr>
      <w:rFonts w:eastAsiaTheme="minorHAnsi"/>
      <w:sz w:val="20"/>
      <w:szCs w:val="20"/>
      <w:lang w:val="en-GB"/>
    </w:rPr>
  </w:style>
  <w:style w:type="paragraph" w:styleId="Kommentarsmne">
    <w:name w:val="annotation subject"/>
    <w:basedOn w:val="Kommentarer"/>
    <w:next w:val="Kommentarer"/>
    <w:link w:val="KommentarsmneChar"/>
    <w:uiPriority w:val="99"/>
    <w:semiHidden/>
    <w:unhideWhenUsed/>
    <w:rsid w:val="00E831B6"/>
    <w:rPr>
      <w:b/>
      <w:bCs/>
    </w:rPr>
  </w:style>
  <w:style w:type="character" w:customStyle="1" w:styleId="KommentarsmneChar">
    <w:name w:val="Kommentarsämne Char"/>
    <w:basedOn w:val="KommentarerChar"/>
    <w:link w:val="Kommentarsmne"/>
    <w:uiPriority w:val="99"/>
    <w:semiHidden/>
    <w:rsid w:val="00E831B6"/>
    <w:rPr>
      <w:rFonts w:eastAsiaTheme="minorHAnsi"/>
      <w:b/>
      <w:bCs/>
      <w:sz w:val="20"/>
      <w:szCs w:val="20"/>
      <w:lang w:val="en-GB"/>
    </w:rPr>
  </w:style>
  <w:style w:type="paragraph" w:styleId="Sidhuvud">
    <w:name w:val="header"/>
    <w:basedOn w:val="Normal"/>
    <w:link w:val="SidhuvudChar"/>
    <w:uiPriority w:val="99"/>
    <w:unhideWhenUsed/>
    <w:rsid w:val="00E831B6"/>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831B6"/>
    <w:rPr>
      <w:rFonts w:eastAsiaTheme="minorHAnsi"/>
      <w:sz w:val="22"/>
      <w:szCs w:val="22"/>
      <w:lang w:val="en-GB"/>
    </w:rPr>
  </w:style>
  <w:style w:type="paragraph" w:styleId="Sidfot">
    <w:name w:val="footer"/>
    <w:basedOn w:val="Normal"/>
    <w:link w:val="SidfotChar"/>
    <w:uiPriority w:val="99"/>
    <w:unhideWhenUsed/>
    <w:rsid w:val="00E831B6"/>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831B6"/>
    <w:rPr>
      <w:rFonts w:eastAsiaTheme="minorHAnsi"/>
      <w:sz w:val="22"/>
      <w:szCs w:val="22"/>
      <w:lang w:val="en-GB"/>
    </w:rPr>
  </w:style>
  <w:style w:type="paragraph" w:styleId="Normalwebb">
    <w:name w:val="Normal (Web)"/>
    <w:basedOn w:val="Normal"/>
    <w:uiPriority w:val="99"/>
    <w:unhideWhenUsed/>
    <w:rsid w:val="00E831B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Revision">
    <w:name w:val="Revision"/>
    <w:hidden/>
    <w:uiPriority w:val="99"/>
    <w:semiHidden/>
    <w:rsid w:val="00E831B6"/>
    <w:rPr>
      <w:rFonts w:eastAsiaTheme="minorHAnsi"/>
      <w:sz w:val="22"/>
      <w:szCs w:val="22"/>
      <w:lang w:val="en-GB"/>
    </w:rPr>
  </w:style>
  <w:style w:type="character" w:styleId="Hyperlnk">
    <w:name w:val="Hyperlink"/>
    <w:basedOn w:val="Standardstycketeckensnitt"/>
    <w:uiPriority w:val="99"/>
    <w:unhideWhenUsed/>
    <w:rsid w:val="00E831B6"/>
    <w:rPr>
      <w:color w:val="0000FF" w:themeColor="hyperlink"/>
      <w:u w:val="single"/>
    </w:rPr>
  </w:style>
  <w:style w:type="character" w:styleId="AnvndHyperlnk">
    <w:name w:val="FollowedHyperlink"/>
    <w:basedOn w:val="Standardstycketeckensnitt"/>
    <w:uiPriority w:val="99"/>
    <w:semiHidden/>
    <w:unhideWhenUsed/>
    <w:rsid w:val="00E831B6"/>
    <w:rPr>
      <w:color w:val="800080" w:themeColor="followedHyperlink"/>
      <w:u w:val="single"/>
    </w:rPr>
  </w:style>
  <w:style w:type="paragraph" w:customStyle="1" w:styleId="EndNoteBibliographyTitle">
    <w:name w:val="EndNote Bibliography Title"/>
    <w:basedOn w:val="Normal"/>
    <w:rsid w:val="00E831B6"/>
    <w:pPr>
      <w:spacing w:after="0"/>
      <w:jc w:val="center"/>
    </w:pPr>
    <w:rPr>
      <w:rFonts w:ascii="Calibri" w:hAnsi="Calibri"/>
      <w:lang w:val="en-US"/>
    </w:rPr>
  </w:style>
  <w:style w:type="paragraph" w:customStyle="1" w:styleId="EndNoteBibliography">
    <w:name w:val="EndNote Bibliography"/>
    <w:basedOn w:val="Normal"/>
    <w:rsid w:val="00E831B6"/>
    <w:pPr>
      <w:spacing w:line="240" w:lineRule="auto"/>
      <w:jc w:val="both"/>
    </w:pPr>
    <w:rPr>
      <w:rFonts w:ascii="Calibri" w:hAnsi="Calibri"/>
      <w:lang w:val="en-US"/>
    </w:rPr>
  </w:style>
  <w:style w:type="paragraph" w:styleId="Ingetavstnd">
    <w:name w:val="No Spacing"/>
    <w:uiPriority w:val="1"/>
    <w:qFormat/>
    <w:rsid w:val="00E831B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nus.ingelman-sundberg@k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10191</Words>
  <Characters>54013</Characters>
  <Application>Microsoft Office Word</Application>
  <DocSecurity>0</DocSecurity>
  <Lines>450</Lines>
  <Paragraphs>128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Lauschke</dc:creator>
  <cp:lastModifiedBy>Magnus Ingelman-Sundberg</cp:lastModifiedBy>
  <cp:revision>3</cp:revision>
  <cp:lastPrinted>2017-11-29T15:22:00Z</cp:lastPrinted>
  <dcterms:created xsi:type="dcterms:W3CDTF">2017-11-30T12:49:00Z</dcterms:created>
  <dcterms:modified xsi:type="dcterms:W3CDTF">2017-11-30T13:14:00Z</dcterms:modified>
</cp:coreProperties>
</file>