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1CC78" w14:textId="77777777" w:rsidR="00856C01" w:rsidRPr="00C446FA" w:rsidRDefault="00C446FA">
      <w:pPr>
        <w:rPr>
          <w:b/>
          <w:sz w:val="24"/>
        </w:rPr>
      </w:pPr>
      <w:r w:rsidRPr="00C446FA">
        <w:rPr>
          <w:b/>
          <w:sz w:val="24"/>
        </w:rPr>
        <w:t xml:space="preserve">Supplementary data </w:t>
      </w:r>
    </w:p>
    <w:p w14:paraId="0FEDD56A" w14:textId="77777777" w:rsidR="00C446FA" w:rsidRPr="00C446FA" w:rsidRDefault="00C446FA">
      <w:pPr>
        <w:rPr>
          <w:b/>
        </w:rPr>
      </w:pPr>
      <w:r w:rsidRPr="00C446FA">
        <w:rPr>
          <w:b/>
        </w:rPr>
        <w:t>Dietary intervention</w:t>
      </w:r>
    </w:p>
    <w:p w14:paraId="3220F15D" w14:textId="602E3272" w:rsidR="00C446FA" w:rsidRDefault="00C446FA" w:rsidP="00C446F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LFD involves restricting dietary intake of </w:t>
      </w:r>
      <w:proofErr w:type="spellStart"/>
      <w:r>
        <w:rPr>
          <w:rFonts w:ascii="Calibri" w:hAnsi="Calibri" w:cs="Calibri"/>
        </w:rPr>
        <w:t>fructans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galacto</w:t>
      </w:r>
      <w:proofErr w:type="spellEnd"/>
      <w:r>
        <w:rPr>
          <w:rFonts w:ascii="Calibri" w:hAnsi="Calibri" w:cs="Calibri"/>
        </w:rPr>
        <w:t>-oligosaccharides (</w:t>
      </w:r>
      <w:proofErr w:type="spellStart"/>
      <w:r>
        <w:rPr>
          <w:rFonts w:ascii="Calibri" w:hAnsi="Calibri" w:cs="Calibri"/>
        </w:rPr>
        <w:t>GOS</w:t>
      </w:r>
      <w:proofErr w:type="spellEnd"/>
      <w:r>
        <w:rPr>
          <w:rFonts w:ascii="Calibri" w:hAnsi="Calibri" w:cs="Calibri"/>
        </w:rPr>
        <w:t xml:space="preserve">), lactose, fructose in excess of glucose, and polyols, and is described </w:t>
      </w:r>
      <w:proofErr w:type="spellStart"/>
      <w:r>
        <w:rPr>
          <w:rFonts w:ascii="Calibri" w:hAnsi="Calibri" w:cs="Calibri"/>
        </w:rPr>
        <w:t>elsewhere.</w:t>
      </w:r>
      <w:r w:rsidR="00642A48">
        <w:rPr>
          <w:rFonts w:ascii="Calibri" w:hAnsi="Calibri" w:cs="Calibri"/>
        </w:rPr>
        <w:fldChar w:fldCharType="begin"/>
      </w:r>
      <w:r w:rsidR="00642A48">
        <w:rPr>
          <w:rFonts w:ascii="Calibri" w:hAnsi="Calibri" w:cs="Calibri"/>
        </w:rPr>
        <w:instrText xml:space="preserve"> ADDIN EN.CITE &lt;EndNote&gt;&lt;Cite&gt;&lt;Author&gt;Staudacher&lt;/Author&gt;&lt;Year&gt;2017&lt;/Year&gt;&lt;RecNum&gt;415&lt;/RecNum&gt;&lt;DisplayText&gt;&lt;style face="superscript"&gt;1&lt;/style&gt;&lt;/DisplayText&gt;&lt;record&gt;&lt;rec-number&gt;415&lt;/rec-number&gt;&lt;foreign-keys&gt;&lt;key app="EN" db-id="svrt02wrptwd5ue09pvpaa0jzw9zdp9592te" timestamp="1496240457"&gt;415&lt;/key&gt;&lt;/foreign-keys&gt;&lt;ref-type name="Journal Article"&gt;17&lt;/ref-type&gt;&lt;contributors&gt;&lt;authors&gt;&lt;author&gt;Staudacher, H.&lt;/author&gt;&lt;author&gt;Whelan, K.&lt;/author&gt;&lt;/authors&gt;&lt;/contributors&gt;&lt;titles&gt;&lt;title&gt;The low FODMAP diet: recent advances in understanding its mechanisms and efficacy in irritable bowel syndrome.&lt;/title&gt;&lt;secondary-title&gt;Gut&lt;/secondary-title&gt;&lt;/titles&gt;&lt;periodical&gt;&lt;full-title&gt;Gut&lt;/full-title&gt;&lt;abbr-1&gt;Gut&lt;/abbr-1&gt;&lt;/periodical&gt;&lt;pages&gt;1517-1527&lt;/pages&gt;&lt;volume&gt;66&lt;/volume&gt;&lt;dates&gt;&lt;year&gt;2017&lt;/year&gt;&lt;/dates&gt;&lt;urls&gt;&lt;/urls&gt;&lt;/record&gt;&lt;/Cite&gt;&lt;/EndNote&gt;</w:instrText>
      </w:r>
      <w:r w:rsidR="00642A48">
        <w:rPr>
          <w:rFonts w:ascii="Calibri" w:hAnsi="Calibri" w:cs="Calibri"/>
        </w:rPr>
        <w:fldChar w:fldCharType="separate"/>
      </w:r>
      <w:r w:rsidR="00642A48" w:rsidRPr="00642A48">
        <w:rPr>
          <w:rFonts w:ascii="Calibri" w:hAnsi="Calibri" w:cs="Calibri"/>
          <w:noProof/>
          <w:vertAlign w:val="superscript"/>
        </w:rPr>
        <w:t>1</w:t>
      </w:r>
      <w:proofErr w:type="spellEnd"/>
      <w:r w:rsidR="00642A48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The sham diet was designed for this trial and restricted a similar number of staple and non-staple foods, required a similar intensity and duration of dietary counselling and similar difficulty of dietary change to the LFD and did not impact on intakes of nutrients, fibre and </w:t>
      </w:r>
      <w:proofErr w:type="spellStart"/>
      <w:r>
        <w:rPr>
          <w:rFonts w:ascii="Calibri" w:hAnsi="Calibri" w:cs="Calibri"/>
        </w:rPr>
        <w:t>FODMAPs.</w:t>
      </w:r>
      <w:r>
        <w:rPr>
          <w:rFonts w:ascii="Calibri" w:hAnsi="Calibri" w:cs="Calibri"/>
        </w:rPr>
        <w:fldChar w:fldCharType="begin"/>
      </w:r>
      <w:r w:rsidR="00642A48">
        <w:rPr>
          <w:rFonts w:ascii="Calibri" w:hAnsi="Calibri" w:cs="Calibri"/>
        </w:rPr>
        <w:instrText xml:space="preserve"> ADDIN EN.CITE &lt;EndNote&gt;&lt;Cite&gt;&lt;Author&gt;Staudacher&lt;/Author&gt;&lt;Year&gt;2017&lt;/Year&gt;&lt;RecNum&gt;417&lt;/RecNum&gt;&lt;DisplayText&gt;&lt;style face="superscript"&gt;2&lt;/style&gt;&lt;/DisplayText&gt;&lt;record&gt;&lt;rec-number&gt;417&lt;/rec-number&gt;&lt;foreign-keys&gt;&lt;key app="EN" db-id="svrt02wrptwd5ue09pvpaa0jzw9zdp9592te" timestamp="1496240991"&gt;417&lt;/key&gt;&lt;/foreign-keys&gt;&lt;ref-type name="Journal Article"&gt;17&lt;/ref-type&gt;&lt;contributors&gt;&lt;authors&gt;&lt;author&gt;Staudacher, H. M.&lt;/author&gt;&lt;author&gt;Irving, P. M.&lt;/author&gt;&lt;author&gt;Lomer, M. C. E.&lt;/author&gt;&lt;author&gt;Whelan, K.&lt;/author&gt;&lt;/authors&gt;&lt;/contributors&gt;&lt;auth-address&gt;Kings Coll London, Diabet &amp;amp; Nut Sci Div, London SE1 9NH, England&lt;/auth-address&gt;&lt;titles&gt;&lt;title&gt;The challenges of control groups, placebos and blinding in clinical trials of dietary interventions&lt;/title&gt;&lt;secondary-title&gt;Proceedings of the Nutrition Society&lt;/secondary-title&gt;&lt;alt-title&gt;P Nutr Soc&lt;/alt-title&gt;&lt;/titles&gt;&lt;periodical&gt;&lt;full-title&gt;Proceedings of the Nutrition Society&lt;/full-title&gt;&lt;/periodical&gt;&lt;pages&gt;203-212&lt;/pages&gt;&lt;volume&gt;76&lt;/volume&gt;&lt;number&gt;3&lt;/number&gt;&lt;keywords&gt;&lt;keyword&gt;controls&lt;/keyword&gt;&lt;keyword&gt;placebo&lt;/keyword&gt;&lt;keyword&gt;dietary intervention&lt;/keyword&gt;&lt;keyword&gt;clinical trial&lt;/keyword&gt;&lt;keyword&gt;research design&lt;/keyword&gt;&lt;keyword&gt;randomized controlled-trial&lt;/keyword&gt;&lt;keyword&gt;irritable-bowel-syndrome&lt;/keyword&gt;&lt;keyword&gt;active crohns-disease&lt;/keyword&gt;&lt;keyword&gt;gastrointestinal disorders&lt;/keyword&gt;&lt;keyword&gt;postmenopausal women&lt;/keyword&gt;&lt;keyword&gt;cardiovascular risk&lt;/keyword&gt;&lt;keyword&gt;mediterranean diet&lt;/keyword&gt;&lt;keyword&gt;microparticle diet&lt;/keyword&gt;&lt;keyword&gt;reduces symptoms&lt;/keyword&gt;&lt;keyword&gt;crossover trial&lt;/keyword&gt;&lt;/keywords&gt;&lt;dates&gt;&lt;year&gt;2017&lt;/year&gt;&lt;pub-dates&gt;&lt;date&gt;Aug&lt;/date&gt;&lt;/pub-dates&gt;&lt;/dates&gt;&lt;isbn&gt;0029-6651&lt;/isbn&gt;&lt;accession-num&gt;WOS:000409312200005&lt;/accession-num&gt;&lt;urls&gt;&lt;related-urls&gt;&lt;url&gt;&amp;lt;Go to ISI&amp;gt;://WOS:000409312200005&lt;/url&gt;&lt;/related-urls&gt;&lt;/urls&gt;&lt;electronic-resource-num&gt;10.1017/S0029665117000350&lt;/electronic-resource-num&gt;&lt;language&gt;English&lt;/language&gt;&lt;/record&gt;&lt;/Cite&gt;&lt;/EndNote&gt;</w:instrText>
      </w:r>
      <w:r>
        <w:rPr>
          <w:rFonts w:ascii="Calibri" w:hAnsi="Calibri" w:cs="Calibri"/>
        </w:rPr>
        <w:fldChar w:fldCharType="separate"/>
      </w:r>
      <w:r w:rsidR="00642A48" w:rsidRPr="00642A48">
        <w:rPr>
          <w:rFonts w:ascii="Calibri" w:hAnsi="Calibri" w:cs="Calibri"/>
          <w:noProof/>
          <w:vertAlign w:val="superscript"/>
        </w:rPr>
        <w:t>2</w:t>
      </w:r>
      <w:proofErr w:type="spellEnd"/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Dietary compliance was measured weekly by self-report during weekly telephone calls. Patients were considered compliant if they reported following the diet ≥50% of the time on at least two of the four weekly assessments in line with previous </w:t>
      </w:r>
      <w:proofErr w:type="spellStart"/>
      <w:r>
        <w:rPr>
          <w:rFonts w:ascii="Calibri" w:hAnsi="Calibri" w:cs="Calibri"/>
        </w:rPr>
        <w:t>work.</w:t>
      </w:r>
      <w:r>
        <w:rPr>
          <w:rFonts w:ascii="Calibri" w:hAnsi="Calibri" w:cs="Calibri"/>
        </w:rPr>
        <w:fldChar w:fldCharType="begin">
          <w:fldData xml:space="preserve">PEVuZE5vdGU+PENpdGU+PEF1dGhvcj5TaGVwaGVyZDwvQXV0aG9yPjxZZWFyPjIwMDY8L1llYXI+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</w:fldData>
        </w:fldChar>
      </w:r>
      <w:r w:rsidR="00642A48">
        <w:rPr>
          <w:rFonts w:ascii="Calibri" w:hAnsi="Calibri" w:cs="Calibri"/>
        </w:rPr>
        <w:instrText xml:space="preserve"> ADDIN EN.CITE </w:instrText>
      </w:r>
      <w:r w:rsidR="00642A48">
        <w:rPr>
          <w:rFonts w:ascii="Calibri" w:hAnsi="Calibri" w:cs="Calibri"/>
        </w:rPr>
        <w:fldChar w:fldCharType="begin">
          <w:fldData xml:space="preserve">PEVuZE5vdGU+PENpdGU+PEF1dGhvcj5TaGVwaGVyZDwvQXV0aG9yPjxZZWFyPjIwMDY8L1llYXI+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</w:fldData>
        </w:fldChar>
      </w:r>
      <w:r w:rsidR="00642A48">
        <w:rPr>
          <w:rFonts w:ascii="Calibri" w:hAnsi="Calibri" w:cs="Calibri"/>
        </w:rPr>
        <w:instrText xml:space="preserve"> ADDIN EN.CITE.DATA </w:instrText>
      </w:r>
      <w:r w:rsidR="00642A48">
        <w:rPr>
          <w:rFonts w:ascii="Calibri" w:hAnsi="Calibri" w:cs="Calibri"/>
        </w:rPr>
      </w:r>
      <w:r w:rsidR="00642A48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separate"/>
      </w:r>
      <w:r w:rsidR="00642A48" w:rsidRPr="00642A48">
        <w:rPr>
          <w:rFonts w:ascii="Calibri" w:hAnsi="Calibri" w:cs="Calibri"/>
          <w:noProof/>
          <w:vertAlign w:val="superscript"/>
        </w:rPr>
        <w:t>3</w:t>
      </w:r>
      <w:proofErr w:type="spellEnd"/>
      <w:r>
        <w:rPr>
          <w:rFonts w:ascii="Calibri" w:hAnsi="Calibri" w:cs="Calibri"/>
        </w:rPr>
        <w:fldChar w:fldCharType="end"/>
      </w:r>
    </w:p>
    <w:p w14:paraId="34D85CEB" w14:textId="77777777" w:rsidR="00C446FA" w:rsidRPr="005F03DC" w:rsidRDefault="00C446FA" w:rsidP="00C446FA">
      <w:pPr>
        <w:spacing w:line="360" w:lineRule="auto"/>
        <w:rPr>
          <w:rFonts w:ascii="Calibri" w:hAnsi="Calibri" w:cs="Times New Roman"/>
          <w:color w:val="1F497D"/>
        </w:rPr>
      </w:pPr>
      <w:r w:rsidRPr="005F03DC">
        <w:rPr>
          <w:rFonts w:ascii="Calibri" w:hAnsi="Calibri"/>
        </w:rPr>
        <w:t xml:space="preserve">The probiotic was a multi-strain preparation containing </w:t>
      </w:r>
      <w:r w:rsidRPr="00293865">
        <w:rPr>
          <w:rFonts w:ascii="Calibri" w:hAnsi="Calibri"/>
          <w:i/>
          <w:iCs/>
        </w:rPr>
        <w:t xml:space="preserve">Streptococcus thermophilus DSM 24731, Bifidobacterium breve DSM 24732, B. </w:t>
      </w:r>
      <w:proofErr w:type="spellStart"/>
      <w:r w:rsidRPr="00293865">
        <w:rPr>
          <w:rFonts w:ascii="Calibri" w:hAnsi="Calibri"/>
          <w:i/>
          <w:iCs/>
        </w:rPr>
        <w:t>longum</w:t>
      </w:r>
      <w:proofErr w:type="spellEnd"/>
      <w:r w:rsidRPr="00293865">
        <w:rPr>
          <w:rFonts w:ascii="Calibri" w:hAnsi="Calibri"/>
          <w:i/>
          <w:iCs/>
        </w:rPr>
        <w:t xml:space="preserve"> DSM 24736, B. </w:t>
      </w:r>
      <w:proofErr w:type="spellStart"/>
      <w:r w:rsidRPr="00293865">
        <w:rPr>
          <w:rFonts w:ascii="Calibri" w:hAnsi="Calibri"/>
          <w:i/>
          <w:iCs/>
        </w:rPr>
        <w:t>infantis</w:t>
      </w:r>
      <w:proofErr w:type="spellEnd"/>
      <w:r w:rsidRPr="00293865">
        <w:rPr>
          <w:rFonts w:ascii="Calibri" w:hAnsi="Calibri"/>
          <w:i/>
          <w:iCs/>
        </w:rPr>
        <w:t xml:space="preserve"> DSM 24737, Lactobacillus acidophilus DSM 24735, L. plantarum DSM 24730, L. </w:t>
      </w:r>
      <w:proofErr w:type="spellStart"/>
      <w:r w:rsidRPr="00293865">
        <w:rPr>
          <w:rFonts w:ascii="Calibri" w:hAnsi="Calibri"/>
          <w:i/>
          <w:iCs/>
        </w:rPr>
        <w:t>paracasei</w:t>
      </w:r>
      <w:proofErr w:type="spellEnd"/>
      <w:r w:rsidRPr="00293865">
        <w:rPr>
          <w:rFonts w:ascii="Calibri" w:hAnsi="Calibri"/>
          <w:i/>
          <w:iCs/>
        </w:rPr>
        <w:t xml:space="preserve"> DSM 24733, L. </w:t>
      </w:r>
      <w:proofErr w:type="spellStart"/>
      <w:r w:rsidRPr="00293865">
        <w:rPr>
          <w:rFonts w:ascii="Calibri" w:hAnsi="Calibri"/>
          <w:i/>
          <w:iCs/>
        </w:rPr>
        <w:t>delbrueckii</w:t>
      </w:r>
      <w:proofErr w:type="spellEnd"/>
      <w:r w:rsidRPr="00293865">
        <w:rPr>
          <w:rFonts w:ascii="Calibri" w:hAnsi="Calibri"/>
          <w:i/>
          <w:iCs/>
        </w:rPr>
        <w:t xml:space="preserve"> subsp. bulgaricus DSM 24734 </w:t>
      </w:r>
      <w:r w:rsidRPr="005F03DC">
        <w:rPr>
          <w:rFonts w:ascii="Calibri" w:hAnsi="Calibri"/>
        </w:rPr>
        <w:t xml:space="preserve"> (</w:t>
      </w:r>
      <w:r w:rsidRPr="00293865">
        <w:rPr>
          <w:rFonts w:ascii="Calibri" w:hAnsi="Calibri"/>
        </w:rPr>
        <w:t xml:space="preserve">now exclusively available in Europe under the trademark </w:t>
      </w:r>
      <w:proofErr w:type="spellStart"/>
      <w:r w:rsidRPr="00293865">
        <w:rPr>
          <w:rFonts w:ascii="Calibri" w:hAnsi="Calibri"/>
        </w:rPr>
        <w:t>Vivomixx</w:t>
      </w:r>
      <w:proofErr w:type="spellEnd"/>
      <w:r w:rsidRPr="00293865">
        <w:rPr>
          <w:rFonts w:ascii="Calibri" w:hAnsi="Calibri"/>
        </w:rPr>
        <w:t>® and in the United States</w:t>
      </w:r>
      <w:r>
        <w:rPr>
          <w:rFonts w:ascii="Calibri" w:hAnsi="Calibri"/>
        </w:rPr>
        <w:t xml:space="preserve"> under the trademark </w:t>
      </w:r>
      <w:proofErr w:type="spellStart"/>
      <w:r>
        <w:rPr>
          <w:rFonts w:ascii="Calibri" w:hAnsi="Calibri"/>
        </w:rPr>
        <w:t>Visbiome</w:t>
      </w:r>
      <w:proofErr w:type="spellEnd"/>
      <w:r>
        <w:rPr>
          <w:rFonts w:ascii="Calibri" w:hAnsi="Calibri"/>
        </w:rPr>
        <w:t>™</w:t>
      </w:r>
      <w:r w:rsidRPr="005F03DC">
        <w:rPr>
          <w:rFonts w:ascii="Calibri" w:hAnsi="Calibri"/>
        </w:rPr>
        <w:t>) and was provided in sachets in freeze dried form with maltose and silicon dioxide as inactive excipients.</w:t>
      </w:r>
      <w:r w:rsidRPr="005F03DC">
        <w:rPr>
          <w:rFonts w:ascii="Calibri" w:hAnsi="Calibri" w:cs="Times New Roman"/>
          <w:color w:val="1F497D"/>
        </w:rPr>
        <w:t xml:space="preserve"> </w:t>
      </w:r>
      <w:r w:rsidRPr="005F03DC">
        <w:rPr>
          <w:rFonts w:ascii="Calibri" w:hAnsi="Calibri" w:cs="Calibri"/>
        </w:rPr>
        <w:t>The placebo sachets contained the same inactive excipients but no bacteria. Participants received two sachets per day (11</w:t>
      </w:r>
      <w:r w:rsidRPr="005F03DC">
        <w:rPr>
          <w:rFonts w:ascii="Calibri" w:hAnsi="Calibri" w:cs="Calibri"/>
          <w:lang w:val="en-AU"/>
        </w:rPr>
        <w:t>·</w:t>
      </w:r>
      <w:r w:rsidRPr="005F03DC">
        <w:rPr>
          <w:rFonts w:ascii="Calibri" w:hAnsi="Calibri" w:cs="Calibri"/>
        </w:rPr>
        <w:t>95 log</w:t>
      </w:r>
      <w:r w:rsidRPr="005F03DC">
        <w:rPr>
          <w:rFonts w:ascii="Calibri" w:hAnsi="Calibri" w:cs="Calibri"/>
          <w:vertAlign w:val="subscript"/>
        </w:rPr>
        <w:t>10</w:t>
      </w:r>
      <w:r w:rsidRPr="005F03DC">
        <w:rPr>
          <w:rFonts w:ascii="Calibri" w:hAnsi="Calibri" w:cs="Calibri"/>
        </w:rPr>
        <w:t xml:space="preserve"> bacteria</w:t>
      </w:r>
      <w:r>
        <w:rPr>
          <w:rFonts w:ascii="Calibri" w:hAnsi="Calibri" w:cs="Calibri"/>
        </w:rPr>
        <w:t xml:space="preserve"> in the intervention group) to be taken in the morning with cold food or fluid. Patients were considered compliant with the supplement if 80% of sachets were taken based on return of all unused sachets.</w:t>
      </w:r>
    </w:p>
    <w:p w14:paraId="6B717EEE" w14:textId="77777777" w:rsidR="00C446FA" w:rsidRDefault="00C446FA">
      <w:pPr>
        <w:rPr>
          <w:b/>
        </w:rPr>
      </w:pPr>
    </w:p>
    <w:p w14:paraId="7C1F6F50" w14:textId="77777777" w:rsidR="00C446FA" w:rsidRDefault="00C446FA">
      <w:pPr>
        <w:rPr>
          <w:b/>
        </w:rPr>
      </w:pPr>
      <w:r w:rsidRPr="00C446FA">
        <w:rPr>
          <w:b/>
        </w:rPr>
        <w:t>Clinical outcomes</w:t>
      </w:r>
    </w:p>
    <w:p w14:paraId="5CFE3DD5" w14:textId="583CA16A" w:rsidR="00C446FA" w:rsidRDefault="00C446FA" w:rsidP="00C446F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Symptoms were measured at baseline and follow-up using the IBS Symptom Scoring System (IBS-SSS).</w:t>
      </w:r>
      <w:r>
        <w:rPr>
          <w:rFonts w:ascii="Calibri" w:hAnsi="Calibri" w:cs="Calibri"/>
        </w:rPr>
        <w:fldChar w:fldCharType="begin"/>
      </w:r>
      <w:r w:rsidR="00642A48">
        <w:rPr>
          <w:rFonts w:ascii="Calibri" w:hAnsi="Calibri" w:cs="Calibri"/>
        </w:rPr>
        <w:instrText xml:space="preserve"> ADDIN EN.CITE &lt;EndNote&gt;&lt;Cite&gt;&lt;Author&gt;Francis&lt;/Author&gt;&lt;Year&gt;1997&lt;/Year&gt;&lt;RecNum&gt;383&lt;/RecNum&gt;&lt;DisplayText&gt;&lt;style face="superscript"&gt;4&lt;/style&gt;&lt;/DisplayText&gt;&lt;record&gt;&lt;rec-number&gt;383&lt;/rec-number&gt;&lt;foreign-keys&gt;&lt;key app="EN" db-id="svrt02wrptwd5ue09pvpaa0jzw9zdp9592te" timestamp="1487267438"&gt;383&lt;/key&gt;&lt;/foreign-keys&gt;&lt;ref-type name="Journal Article"&gt;17&lt;/ref-type&gt;&lt;contributors&gt;&lt;authors&gt;&lt;author&gt;Francis, C. Y.&lt;/author&gt;&lt;author&gt;Morris, J.&lt;/author&gt;&lt;author&gt;Whorwell, P. J.&lt;/author&gt;&lt;/authors&gt;&lt;/contributors&gt;&lt;auth-address&gt;Department of Medicine, University Hospital of South Manchester, West Didsbury, UK.&lt;/auth-address&gt;&lt;titles&gt;&lt;title&gt;The irritable bowel severity scoring system: a simple method of monitoring irritable bowel syndrome and its progress&lt;/title&gt;&lt;secondary-title&gt;Aliment Pharmacol Ther&lt;/secondary-title&gt;&lt;alt-title&gt;Alimentary pharmacology &amp;amp; therapeutics&lt;/alt-title&gt;&lt;/titles&gt;&lt;periodical&gt;&lt;full-title&gt;Aliment Pharmacol Ther&lt;/full-title&gt;&lt;abbr-1&gt;Alimentary pharmacology &amp;amp; therapeutics&lt;/abbr-1&gt;&lt;/periodical&gt;&lt;alt-periodical&gt;&lt;full-title&gt;Aliment Pharmacol Ther&lt;/full-title&gt;&lt;abbr-1&gt;Alimentary pharmacology &amp;amp; therapeutics&lt;/abbr-1&gt;&lt;/alt-periodical&gt;&lt;pages&gt;395-402&lt;/pages&gt;&lt;volume&gt;11&lt;/volume&gt;&lt;number&gt;2&lt;/number&gt;&lt;edition&gt;1997/04/01&lt;/edition&gt;&lt;keywords&gt;&lt;keyword&gt;Adult&lt;/keyword&gt;&lt;keyword&gt;Aged&lt;/keyword&gt;&lt;keyword&gt;Colonic Diseases, Functional/*diagnosis&lt;/keyword&gt;&lt;keyword&gt;Female&lt;/keyword&gt;&lt;keyword&gt;Humans&lt;/keyword&gt;&lt;keyword&gt;Male&lt;/keyword&gt;&lt;keyword&gt;Middle Aged&lt;/keyword&gt;&lt;keyword&gt;Reproducibility of Results&lt;/keyword&gt;&lt;keyword&gt;*Severity of Illness Index&lt;/keyword&gt;&lt;keyword&gt;Surveys and Questionnaires&lt;/keyword&gt;&lt;/keywords&gt;&lt;dates&gt;&lt;year&gt;1997&lt;/year&gt;&lt;pub-dates&gt;&lt;date&gt;Apr&lt;/date&gt;&lt;/pub-dates&gt;&lt;/dates&gt;&lt;isbn&gt;0269-2813 (Print)&amp;#xD;0269-2813 (Linking)&lt;/isbn&gt;&lt;accession-num&gt;9146781&lt;/accession-num&gt;&lt;urls&gt;&lt;related-urls&gt;&lt;url&gt;https://www.ncbi.nlm.nih.gov/pubmed/9146781&lt;/url&gt;&lt;/related-urls&gt;&lt;/urls&gt;&lt;remote-database-provider&gt;Nlm&lt;/remote-database-provider&gt;&lt;language&gt;eng&lt;/language&gt;&lt;/record&gt;&lt;/Cite&gt;&lt;/EndNote&gt;</w:instrText>
      </w:r>
      <w:r>
        <w:rPr>
          <w:rFonts w:ascii="Calibri" w:hAnsi="Calibri" w:cs="Calibri"/>
        </w:rPr>
        <w:fldChar w:fldCharType="separate"/>
      </w:r>
      <w:r w:rsidR="00642A48" w:rsidRPr="00642A48">
        <w:rPr>
          <w:rFonts w:ascii="Calibri" w:hAnsi="Calibri" w:cs="Calibri"/>
          <w:noProof/>
          <w:vertAlign w:val="superscript"/>
        </w:rPr>
        <w:t>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The primary outcome of the parent study used the global symptom questionnaire to define response, which </w:t>
      </w:r>
      <w:r w:rsidRPr="003C05D9">
        <w:rPr>
          <w:rFonts w:ascii="Calibri" w:hAnsi="Calibri" w:cs="Calibri"/>
        </w:rPr>
        <w:t xml:space="preserve">requires </w:t>
      </w:r>
      <w:r w:rsidRPr="003C05D9">
        <w:rPr>
          <w:rStyle w:val="highlight"/>
          <w:rFonts w:ascii="Calibri" w:hAnsi="Calibri" w:cs="Calibri"/>
        </w:rPr>
        <w:t>synthesis</w:t>
      </w:r>
      <w:r w:rsidRPr="003C05D9">
        <w:rPr>
          <w:rFonts w:ascii="Calibri" w:hAnsi="Calibri" w:cs="Calibri"/>
        </w:rPr>
        <w:t xml:space="preserve"> of </w:t>
      </w:r>
      <w:r>
        <w:rPr>
          <w:rFonts w:ascii="Calibri" w:hAnsi="Calibri" w:cs="Calibri"/>
        </w:rPr>
        <w:t xml:space="preserve">the totality of patient </w:t>
      </w:r>
      <w:r w:rsidRPr="003C05D9">
        <w:rPr>
          <w:rFonts w:ascii="Calibri" w:hAnsi="Calibri" w:cs="Calibri"/>
        </w:rPr>
        <w:t xml:space="preserve">symptoms into a single </w:t>
      </w:r>
      <w:r>
        <w:rPr>
          <w:rFonts w:ascii="Calibri" w:hAnsi="Calibri" w:cs="Calibri"/>
        </w:rPr>
        <w:t xml:space="preserve">binary </w:t>
      </w:r>
      <w:proofErr w:type="spellStart"/>
      <w:r w:rsidRPr="003C05D9">
        <w:rPr>
          <w:rFonts w:ascii="Calibri" w:hAnsi="Calibri" w:cs="Calibri"/>
        </w:rPr>
        <w:t>response</w:t>
      </w:r>
      <w:r>
        <w:rPr>
          <w:rFonts w:ascii="Calibri" w:hAnsi="Calibri" w:cs="Calibri"/>
        </w:rPr>
        <w:t>.</w:t>
      </w:r>
      <w:r w:rsidR="00642A48">
        <w:rPr>
          <w:rFonts w:ascii="Calibri" w:hAnsi="Calibri" w:cs="Calibri"/>
        </w:rPr>
        <w:fldChar w:fldCharType="begin">
          <w:fldData xml:space="preserve">PEVuZE5vdGU+PENpdGU+PEF1dGhvcj5TdGF1ZGFjaGVyPC9BdXRob3I+PFllYXI+MjAxNzwvWWVh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</w:fldData>
        </w:fldChar>
      </w:r>
      <w:r w:rsidR="00642A48">
        <w:rPr>
          <w:rFonts w:ascii="Calibri" w:hAnsi="Calibri" w:cs="Calibri"/>
        </w:rPr>
        <w:instrText xml:space="preserve"> ADDIN EN.CITE </w:instrText>
      </w:r>
      <w:r w:rsidR="00642A48">
        <w:rPr>
          <w:rFonts w:ascii="Calibri" w:hAnsi="Calibri" w:cs="Calibri"/>
        </w:rPr>
        <w:fldChar w:fldCharType="begin">
          <w:fldData xml:space="preserve">PEVuZE5vdGU+PENpdGU+PEF1dGhvcj5TdGF1ZGFjaGVyPC9BdXRob3I+PFllYXI+MjAxNzwvWWVh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</w:fldData>
        </w:fldChar>
      </w:r>
      <w:r w:rsidR="00642A48">
        <w:rPr>
          <w:rFonts w:ascii="Calibri" w:hAnsi="Calibri" w:cs="Calibri"/>
        </w:rPr>
        <w:instrText xml:space="preserve"> ADDIN EN.CITE.DATA </w:instrText>
      </w:r>
      <w:r w:rsidR="00642A48">
        <w:rPr>
          <w:rFonts w:ascii="Calibri" w:hAnsi="Calibri" w:cs="Calibri"/>
        </w:rPr>
      </w:r>
      <w:r w:rsidR="00642A48">
        <w:rPr>
          <w:rFonts w:ascii="Calibri" w:hAnsi="Calibri" w:cs="Calibri"/>
        </w:rPr>
        <w:fldChar w:fldCharType="end"/>
      </w:r>
      <w:r w:rsidR="00642A48">
        <w:rPr>
          <w:rFonts w:ascii="Calibri" w:hAnsi="Calibri" w:cs="Calibri"/>
        </w:rPr>
        <w:fldChar w:fldCharType="separate"/>
      </w:r>
      <w:r w:rsidR="00642A48" w:rsidRPr="00642A48">
        <w:rPr>
          <w:rFonts w:ascii="Calibri" w:hAnsi="Calibri" w:cs="Calibri"/>
          <w:noProof/>
          <w:vertAlign w:val="superscript"/>
        </w:rPr>
        <w:t>5</w:t>
      </w:r>
      <w:proofErr w:type="spellEnd"/>
      <w:r w:rsidR="00642A48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However, given the focus of this predictive work was the clinical setting, the IBS-SSS multi-item instrument </w:t>
      </w:r>
      <w:r w:rsidRPr="003C05D9">
        <w:rPr>
          <w:rFonts w:ascii="Calibri" w:hAnsi="Calibri" w:cs="Calibri"/>
        </w:rPr>
        <w:t>was d</w:t>
      </w:r>
      <w:r>
        <w:rPr>
          <w:rFonts w:ascii="Calibri" w:hAnsi="Calibri" w:cs="Calibri"/>
        </w:rPr>
        <w:t>eemed to be a more clinically meaningful outcome to measure in the current study as it combines four individual components: abdominal pain, distension, bowel habit and interference with life.  In addition, a reduction from baseline of ≥50 points on the IBS-SSS is widely accepted as a minimally clinically important difference (</w:t>
      </w:r>
      <w:proofErr w:type="spellStart"/>
      <w:r>
        <w:rPr>
          <w:rFonts w:ascii="Calibri" w:hAnsi="Calibri" w:cs="Calibri"/>
        </w:rPr>
        <w:t>MCID</w:t>
      </w:r>
      <w:proofErr w:type="spellEnd"/>
      <w:r>
        <w:rPr>
          <w:rFonts w:ascii="Calibri" w:hAnsi="Calibri" w:cs="Calibri"/>
        </w:rPr>
        <w:t xml:space="preserve">) to define patients as </w:t>
      </w:r>
      <w:proofErr w:type="spellStart"/>
      <w:r>
        <w:rPr>
          <w:rFonts w:ascii="Calibri" w:hAnsi="Calibri" w:cs="Calibri"/>
        </w:rPr>
        <w:t>responders.</w:t>
      </w:r>
      <w:r>
        <w:rPr>
          <w:rFonts w:ascii="Calibri" w:hAnsi="Calibri" w:cs="Calibri"/>
        </w:rPr>
        <w:fldChar w:fldCharType="begin"/>
      </w:r>
      <w:r w:rsidR="00642A48">
        <w:rPr>
          <w:rFonts w:ascii="Calibri" w:hAnsi="Calibri" w:cs="Calibri"/>
        </w:rPr>
        <w:instrText xml:space="preserve"> ADDIN EN.CITE &lt;EndNote&gt;&lt;Cite&gt;&lt;Author&gt;Francis&lt;/Author&gt;&lt;Year&gt;1997&lt;/Year&gt;&lt;RecNum&gt;383&lt;/RecNum&gt;&lt;DisplayText&gt;&lt;style face="superscript"&gt;4&lt;/style&gt;&lt;/DisplayText&gt;&lt;record&gt;&lt;rec-number&gt;383&lt;/rec-number&gt;&lt;foreign-keys&gt;&lt;key app="EN" db-id="svrt02wrptwd5ue09pvpaa0jzw9zdp9592te" timestamp="1487267438"&gt;383&lt;/key&gt;&lt;/foreign-keys&gt;&lt;ref-type name="Journal Article"&gt;17&lt;/ref-type&gt;&lt;contributors&gt;&lt;authors&gt;&lt;author&gt;Francis, C. Y.&lt;/author&gt;&lt;author&gt;Morris, J.&lt;/author&gt;&lt;author&gt;Whorwell, P. J.&lt;/author&gt;&lt;/authors&gt;&lt;/contributors&gt;&lt;auth-address&gt;Department of Medicine, University Hospital of South Manchester, West Didsbury, UK.&lt;/auth-address&gt;&lt;titles&gt;&lt;title&gt;The irritable bowel severity scoring system: a simple method of monitoring irritable bowel syndrome and its progress&lt;/title&gt;&lt;secondary-title&gt;Aliment Pharmacol Ther&lt;/secondary-title&gt;&lt;alt-title&gt;Alimentary pharmacology &amp;amp; therapeutics&lt;/alt-title&gt;&lt;/titles&gt;&lt;periodical&gt;&lt;full-title&gt;Aliment Pharmacol Ther&lt;/full-title&gt;&lt;abbr-1&gt;Alimentary pharmacology &amp;amp; therapeutics&lt;/abbr-1&gt;&lt;/periodical&gt;&lt;alt-periodical&gt;&lt;full-title&gt;Aliment Pharmacol Ther&lt;/full-title&gt;&lt;abbr-1&gt;Alimentary pharmacology &amp;amp; therapeutics&lt;/abbr-1&gt;&lt;/alt-periodical&gt;&lt;pages&gt;395-402&lt;/pages&gt;&lt;volume&gt;11&lt;/volume&gt;&lt;number&gt;2&lt;/number&gt;&lt;edition&gt;1997/04/01&lt;/edition&gt;&lt;keywords&gt;&lt;keyword&gt;Adult&lt;/keyword&gt;&lt;keyword&gt;Aged&lt;/keyword&gt;&lt;keyword&gt;Colonic Diseases, Functional/*diagnosis&lt;/keyword&gt;&lt;keyword&gt;Female&lt;/keyword&gt;&lt;keyword&gt;Humans&lt;/keyword&gt;&lt;keyword&gt;Male&lt;/keyword&gt;&lt;keyword&gt;Middle Aged&lt;/keyword&gt;&lt;keyword&gt;Reproducibility of Results&lt;/keyword&gt;&lt;keyword&gt;*Severity of Illness Index&lt;/keyword&gt;&lt;keyword&gt;Surveys and Questionnaires&lt;/keyword&gt;&lt;/keywords&gt;&lt;dates&gt;&lt;year&gt;1997&lt;/year&gt;&lt;pub-dates&gt;&lt;date&gt;Apr&lt;/date&gt;&lt;/pub-dates&gt;&lt;/dates&gt;&lt;isbn&gt;0269-2813 (Print)&amp;#xD;0269-2813 (Linking)&lt;/isbn&gt;&lt;accession-num&gt;9146781&lt;/accession-num&gt;&lt;urls&gt;&lt;related-urls&gt;&lt;url&gt;https://www.ncbi.nlm.nih.gov/pubmed/9146781&lt;/url&gt;&lt;/related-urls&gt;&lt;/urls&gt;&lt;remote-database-provider&gt;Nlm&lt;/remote-database-provider&gt;&lt;language&gt;eng&lt;/language&gt;&lt;/record&gt;&lt;/Cite&gt;&lt;/EndNote&gt;</w:instrText>
      </w:r>
      <w:r>
        <w:rPr>
          <w:rFonts w:ascii="Calibri" w:hAnsi="Calibri" w:cs="Calibri"/>
        </w:rPr>
        <w:fldChar w:fldCharType="separate"/>
      </w:r>
      <w:r w:rsidR="00642A48" w:rsidRPr="00642A48">
        <w:rPr>
          <w:rFonts w:ascii="Calibri" w:hAnsi="Calibri" w:cs="Calibri"/>
          <w:noProof/>
          <w:vertAlign w:val="superscript"/>
        </w:rPr>
        <w:t>4</w:t>
      </w:r>
      <w:proofErr w:type="spellEnd"/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Patients with a change of &lt;50 on the IBS-SSS were defined as non-responders. </w:t>
      </w:r>
    </w:p>
    <w:p w14:paraId="2096F244" w14:textId="77777777" w:rsidR="00C446FA" w:rsidRDefault="00C446FA" w:rsidP="00C446FA">
      <w:pPr>
        <w:spacing w:line="360" w:lineRule="auto"/>
        <w:jc w:val="both"/>
        <w:rPr>
          <w:rFonts w:ascii="Calibri" w:hAnsi="Calibri" w:cs="ArialUnicodeMS"/>
          <w:b/>
        </w:rPr>
      </w:pPr>
    </w:p>
    <w:p w14:paraId="59377577" w14:textId="4F7E845F" w:rsidR="00BD5EBD" w:rsidRDefault="00BD5EBD" w:rsidP="00BD5EBD">
      <w:pPr>
        <w:pStyle w:val="CommentText"/>
        <w:rPr>
          <w:rFonts w:ascii="Calibri" w:eastAsiaTheme="minorHAnsi" w:hAnsi="Calibri" w:cs="ArialUnicodeMS"/>
          <w:b/>
          <w:color w:val="auto"/>
          <w:sz w:val="22"/>
          <w:szCs w:val="22"/>
          <w:lang w:eastAsia="en-US"/>
        </w:rPr>
      </w:pPr>
    </w:p>
    <w:p w14:paraId="43A90A5A" w14:textId="17FA1144" w:rsidR="00BD48BF" w:rsidRDefault="00BD48BF">
      <w:pPr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br w:type="page"/>
      </w:r>
    </w:p>
    <w:p w14:paraId="778D4DAA" w14:textId="77777777" w:rsidR="00BD48BF" w:rsidRDefault="00BD48BF" w:rsidP="00BD5EBD">
      <w:pPr>
        <w:pStyle w:val="CommentText"/>
        <w:sectPr w:rsidR="00BD48B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3B87358" w14:textId="77777777" w:rsidR="00BD48BF" w:rsidRDefault="00BD48BF" w:rsidP="00BD48BF">
      <w:pPr>
        <w:pageBreakBefore/>
        <w:rPr>
          <w:rFonts w:ascii="Calibri" w:hAnsi="Calibri"/>
          <w:sz w:val="20"/>
          <w:lang w:val="en-NZ"/>
        </w:rPr>
      </w:pPr>
      <w:r>
        <w:rPr>
          <w:rFonts w:ascii="Calibri" w:hAnsi="Calibri"/>
          <w:b/>
        </w:rPr>
        <w:lastRenderedPageBreak/>
        <w:t>SUPPLEMENTARY TABLE: Accuracy, sensitivity and specificity of the end of treatment low FODMAP diet model and end of treatment probiotic model in allocating responders and non-responders to the low FODMAP diet or probiotic intervention or sham/placebo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149"/>
        <w:gridCol w:w="1276"/>
        <w:gridCol w:w="2585"/>
        <w:gridCol w:w="882"/>
        <w:gridCol w:w="688"/>
        <w:gridCol w:w="837"/>
        <w:gridCol w:w="1103"/>
        <w:gridCol w:w="787"/>
        <w:gridCol w:w="1007"/>
        <w:gridCol w:w="616"/>
        <w:gridCol w:w="531"/>
        <w:gridCol w:w="700"/>
        <w:gridCol w:w="754"/>
        <w:gridCol w:w="118"/>
      </w:tblGrid>
      <w:tr w:rsidR="00BD48BF" w14:paraId="5F390023" w14:textId="77777777" w:rsidTr="00614D48">
        <w:trPr>
          <w:gridAfter w:val="1"/>
          <w:wAfter w:w="118" w:type="dxa"/>
          <w:trHeight w:val="300"/>
        </w:trPr>
        <w:tc>
          <w:tcPr>
            <w:tcW w:w="1149" w:type="dxa"/>
            <w:shd w:val="clear" w:color="auto" w:fill="FFFFFF"/>
            <w:vAlign w:val="bottom"/>
          </w:tcPr>
          <w:p w14:paraId="662DE21D" w14:textId="77777777" w:rsidR="00BD48BF" w:rsidRDefault="00BD48BF" w:rsidP="00614D48">
            <w:pPr>
              <w:rPr>
                <w:rFonts w:ascii="Calibri" w:hAnsi="Calibri"/>
                <w:sz w:val="20"/>
                <w:lang w:val="en-NZ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14:paraId="09486900" w14:textId="77777777" w:rsidR="00BD48BF" w:rsidRDefault="00BD48BF" w:rsidP="00614D48">
            <w:pPr>
              <w:rPr>
                <w:rFonts w:ascii="Calibri" w:hAnsi="Calibri"/>
                <w:sz w:val="20"/>
                <w:lang w:val="en-NZ"/>
              </w:rPr>
            </w:pPr>
          </w:p>
        </w:tc>
        <w:tc>
          <w:tcPr>
            <w:tcW w:w="2585" w:type="dxa"/>
            <w:shd w:val="clear" w:color="auto" w:fill="FFFFFF"/>
            <w:vAlign w:val="bottom"/>
          </w:tcPr>
          <w:p w14:paraId="39F0DF25" w14:textId="77777777" w:rsidR="00BD48BF" w:rsidRDefault="00BD48BF" w:rsidP="00614D48">
            <w:pPr>
              <w:rPr>
                <w:rFonts w:ascii="Calibri" w:hAnsi="Calibri"/>
                <w:sz w:val="20"/>
                <w:lang w:val="en-NZ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AD667B" w14:textId="77777777" w:rsidR="00BD48BF" w:rsidRDefault="00BD48BF" w:rsidP="00614D48">
            <w:pPr>
              <w:jc w:val="center"/>
              <w:rPr>
                <w:rFonts w:ascii="Calibri" w:hAnsi="Calibri"/>
                <w:b/>
                <w:bCs/>
                <w:sz w:val="20"/>
                <w:lang w:val="en-NZ"/>
              </w:rPr>
            </w:pPr>
            <w:r>
              <w:rPr>
                <w:rFonts w:ascii="Calibri" w:hAnsi="Calibri"/>
                <w:b/>
                <w:bCs/>
                <w:sz w:val="20"/>
                <w:lang w:val="en-NZ"/>
              </w:rPr>
              <w:t>Accuracy (%)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4166EE" w14:textId="77777777" w:rsidR="00BD48BF" w:rsidRDefault="00BD48BF" w:rsidP="00614D48">
            <w:pPr>
              <w:jc w:val="center"/>
              <w:rPr>
                <w:rFonts w:ascii="Calibri" w:hAnsi="Calibri"/>
                <w:b/>
                <w:bCs/>
                <w:sz w:val="20"/>
                <w:lang w:val="en-NZ"/>
              </w:rPr>
            </w:pPr>
            <w:r>
              <w:rPr>
                <w:rFonts w:ascii="Calibri" w:hAnsi="Calibri"/>
                <w:b/>
                <w:bCs/>
                <w:sz w:val="20"/>
                <w:lang w:val="en-NZ"/>
              </w:rPr>
              <w:t>Sensitivity (%)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16A807" w14:textId="77777777" w:rsidR="00BD48BF" w:rsidRDefault="00BD48BF" w:rsidP="00614D48">
            <w:pPr>
              <w:jc w:val="center"/>
            </w:pPr>
            <w:r>
              <w:rPr>
                <w:rFonts w:ascii="Calibri" w:hAnsi="Calibri"/>
                <w:b/>
                <w:bCs/>
                <w:sz w:val="20"/>
                <w:lang w:val="en-NZ"/>
              </w:rPr>
              <w:t>Specificity (%)</w:t>
            </w:r>
          </w:p>
        </w:tc>
      </w:tr>
      <w:tr w:rsidR="00BD48BF" w14:paraId="5EAD1223" w14:textId="77777777" w:rsidTr="00614D48">
        <w:trPr>
          <w:trHeight w:val="300"/>
        </w:trPr>
        <w:tc>
          <w:tcPr>
            <w:tcW w:w="1149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28C738A0" w14:textId="77777777" w:rsidR="00BD48BF" w:rsidRDefault="00BD48BF" w:rsidP="00614D48">
            <w:pPr>
              <w:rPr>
                <w:rFonts w:ascii="Calibri" w:hAnsi="Calibri"/>
                <w:sz w:val="20"/>
                <w:lang w:val="en-NZ"/>
              </w:rPr>
            </w:pPr>
            <w:r>
              <w:rPr>
                <w:rFonts w:ascii="Calibri" w:hAnsi="Calibri"/>
                <w:sz w:val="20"/>
                <w:lang w:val="en-NZ"/>
              </w:rPr>
              <w:t>End of Treatment Model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7DD419E7" w14:textId="77777777" w:rsidR="00BD48BF" w:rsidRDefault="00BD48BF" w:rsidP="00614D48">
            <w:pPr>
              <w:jc w:val="center"/>
              <w:rPr>
                <w:rFonts w:ascii="Calibri" w:hAnsi="Calibri"/>
                <w:sz w:val="20"/>
                <w:lang w:val="en-NZ"/>
              </w:rPr>
            </w:pPr>
            <w:r>
              <w:rPr>
                <w:rFonts w:ascii="Calibri" w:hAnsi="Calibri"/>
                <w:sz w:val="20"/>
                <w:lang w:val="en-NZ"/>
              </w:rPr>
              <w:t>Responders</w:t>
            </w:r>
          </w:p>
        </w:tc>
        <w:tc>
          <w:tcPr>
            <w:tcW w:w="258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4CF2B392" w14:textId="77777777" w:rsidR="00BD48BF" w:rsidRDefault="00BD48BF" w:rsidP="00614D48">
            <w:pPr>
              <w:jc w:val="center"/>
              <w:rPr>
                <w:rFonts w:ascii="Calibri" w:hAnsi="Calibri"/>
                <w:sz w:val="20"/>
                <w:lang w:val="en-NZ"/>
              </w:rPr>
            </w:pPr>
            <w:r>
              <w:rPr>
                <w:rFonts w:ascii="Calibri" w:hAnsi="Calibri"/>
                <w:sz w:val="20"/>
                <w:lang w:val="en-NZ"/>
              </w:rPr>
              <w:t>Non-responders</w:t>
            </w:r>
          </w:p>
        </w:tc>
        <w:tc>
          <w:tcPr>
            <w:tcW w:w="882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15DFBD3C" w14:textId="77777777" w:rsidR="00BD48BF" w:rsidRDefault="00BD48BF" w:rsidP="00614D48">
            <w:pPr>
              <w:jc w:val="center"/>
              <w:rPr>
                <w:rFonts w:ascii="Calibri" w:hAnsi="Calibri"/>
                <w:sz w:val="20"/>
                <w:lang w:val="en-NZ"/>
              </w:rPr>
            </w:pPr>
            <w:r>
              <w:rPr>
                <w:rFonts w:ascii="Calibri" w:hAnsi="Calibri"/>
                <w:sz w:val="20"/>
                <w:lang w:val="en-NZ"/>
              </w:rPr>
              <w:t>Median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436B6E6E" w14:textId="77777777" w:rsidR="00BD48BF" w:rsidRDefault="00BD48BF" w:rsidP="00614D48">
            <w:pPr>
              <w:jc w:val="center"/>
              <w:rPr>
                <w:rFonts w:ascii="Calibri" w:hAnsi="Calibri"/>
                <w:sz w:val="20"/>
                <w:lang w:val="en-NZ"/>
              </w:rPr>
            </w:pPr>
            <w:r>
              <w:rPr>
                <w:rFonts w:ascii="Calibri" w:hAnsi="Calibri"/>
                <w:sz w:val="20"/>
                <w:lang w:val="en-NZ"/>
              </w:rPr>
              <w:t>Mean</w:t>
            </w:r>
          </w:p>
        </w:tc>
        <w:tc>
          <w:tcPr>
            <w:tcW w:w="837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0B783E51" w14:textId="77777777" w:rsidR="00BD48BF" w:rsidRDefault="00BD48BF" w:rsidP="00614D48">
            <w:pPr>
              <w:jc w:val="center"/>
              <w:rPr>
                <w:rFonts w:ascii="Calibri" w:hAnsi="Calibri"/>
                <w:sz w:val="20"/>
                <w:lang w:val="en-NZ"/>
              </w:rPr>
            </w:pPr>
            <w:r>
              <w:rPr>
                <w:rFonts w:ascii="Calibri" w:hAnsi="Calibri"/>
                <w:sz w:val="20"/>
                <w:lang w:val="en-NZ"/>
              </w:rPr>
              <w:t>C.I.</w:t>
            </w:r>
          </w:p>
        </w:tc>
        <w:tc>
          <w:tcPr>
            <w:tcW w:w="1103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1EFB606D" w14:textId="77777777" w:rsidR="00BD48BF" w:rsidRDefault="00BD48BF" w:rsidP="00614D48">
            <w:pPr>
              <w:jc w:val="center"/>
              <w:rPr>
                <w:rFonts w:ascii="Calibri" w:hAnsi="Calibri"/>
                <w:sz w:val="20"/>
                <w:lang w:val="en-NZ"/>
              </w:rPr>
            </w:pPr>
            <w:r>
              <w:rPr>
                <w:rFonts w:ascii="Calibri" w:hAnsi="Calibri"/>
                <w:sz w:val="20"/>
                <w:lang w:val="en-NZ"/>
              </w:rPr>
              <w:t>Median</w:t>
            </w:r>
          </w:p>
        </w:tc>
        <w:tc>
          <w:tcPr>
            <w:tcW w:w="787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2CAEF583" w14:textId="77777777" w:rsidR="00BD48BF" w:rsidRDefault="00BD48BF" w:rsidP="00614D48">
            <w:pPr>
              <w:jc w:val="center"/>
              <w:rPr>
                <w:rFonts w:ascii="Calibri" w:hAnsi="Calibri"/>
                <w:sz w:val="20"/>
                <w:lang w:val="en-NZ"/>
              </w:rPr>
            </w:pPr>
            <w:r>
              <w:rPr>
                <w:rFonts w:ascii="Calibri" w:hAnsi="Calibri"/>
                <w:sz w:val="20"/>
                <w:lang w:val="en-NZ"/>
              </w:rPr>
              <w:t>Mean</w:t>
            </w:r>
          </w:p>
        </w:tc>
        <w:tc>
          <w:tcPr>
            <w:tcW w:w="1007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4F0D7A1B" w14:textId="77777777" w:rsidR="00BD48BF" w:rsidRDefault="00BD48BF" w:rsidP="00614D48">
            <w:pPr>
              <w:jc w:val="center"/>
              <w:rPr>
                <w:rFonts w:ascii="Calibri" w:hAnsi="Calibri"/>
                <w:sz w:val="20"/>
                <w:lang w:val="en-NZ"/>
              </w:rPr>
            </w:pPr>
            <w:r>
              <w:rPr>
                <w:rFonts w:ascii="Calibri" w:hAnsi="Calibri"/>
                <w:sz w:val="20"/>
                <w:lang w:val="en-NZ"/>
              </w:rPr>
              <w:t>C.I.</w:t>
            </w:r>
          </w:p>
        </w:tc>
        <w:tc>
          <w:tcPr>
            <w:tcW w:w="114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53123DA4" w14:textId="77777777" w:rsidR="00BD48BF" w:rsidRDefault="00BD48BF" w:rsidP="00614D48">
            <w:pPr>
              <w:jc w:val="center"/>
              <w:rPr>
                <w:rFonts w:ascii="Calibri" w:hAnsi="Calibri"/>
                <w:sz w:val="20"/>
                <w:lang w:val="en-NZ"/>
              </w:rPr>
            </w:pPr>
            <w:r>
              <w:rPr>
                <w:rFonts w:ascii="Calibri" w:hAnsi="Calibri"/>
                <w:sz w:val="20"/>
                <w:lang w:val="en-NZ"/>
              </w:rPr>
              <w:t>Median</w:t>
            </w:r>
          </w:p>
        </w:tc>
        <w:tc>
          <w:tcPr>
            <w:tcW w:w="700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7DD3A2A1" w14:textId="77777777" w:rsidR="00BD48BF" w:rsidRDefault="00BD48BF" w:rsidP="00614D48">
            <w:pPr>
              <w:jc w:val="center"/>
              <w:rPr>
                <w:rFonts w:ascii="Calibri" w:hAnsi="Calibri"/>
                <w:sz w:val="20"/>
                <w:lang w:val="en-NZ"/>
              </w:rPr>
            </w:pPr>
            <w:r>
              <w:rPr>
                <w:rFonts w:ascii="Calibri" w:hAnsi="Calibri"/>
                <w:sz w:val="20"/>
                <w:lang w:val="en-NZ"/>
              </w:rPr>
              <w:t>Mean</w:t>
            </w:r>
          </w:p>
        </w:tc>
        <w:tc>
          <w:tcPr>
            <w:tcW w:w="872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3B12E377" w14:textId="77777777" w:rsidR="00BD48BF" w:rsidRDefault="00BD48BF" w:rsidP="00614D48">
            <w:pPr>
              <w:jc w:val="center"/>
            </w:pPr>
            <w:r>
              <w:rPr>
                <w:rFonts w:ascii="Calibri" w:hAnsi="Calibri"/>
                <w:sz w:val="20"/>
                <w:lang w:val="en-NZ"/>
              </w:rPr>
              <w:t>C.I.</w:t>
            </w:r>
          </w:p>
        </w:tc>
      </w:tr>
      <w:tr w:rsidR="00BD48BF" w14:paraId="62E59806" w14:textId="77777777" w:rsidTr="00614D48">
        <w:trPr>
          <w:trHeight w:val="300"/>
        </w:trPr>
        <w:tc>
          <w:tcPr>
            <w:tcW w:w="1149" w:type="dxa"/>
            <w:shd w:val="clear" w:color="auto" w:fill="FFFFFF"/>
            <w:vAlign w:val="bottom"/>
          </w:tcPr>
          <w:p w14:paraId="309DB49D" w14:textId="77777777" w:rsidR="00BD48BF" w:rsidRDefault="00BD48BF" w:rsidP="00614D48">
            <w:pPr>
              <w:rPr>
                <w:rFonts w:ascii="Calibri" w:hAnsi="Calibri"/>
                <w:sz w:val="20"/>
                <w:lang w:val="en-NZ"/>
              </w:rPr>
            </w:pPr>
            <w:r>
              <w:rPr>
                <w:rFonts w:ascii="Calibri" w:hAnsi="Calibri"/>
                <w:b/>
                <w:bCs/>
                <w:sz w:val="20"/>
                <w:lang w:val="en-NZ"/>
              </w:rPr>
              <w:t>Low FODMAP diet(n=39)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2D26B417" w14:textId="77777777" w:rsidR="00BD48BF" w:rsidRDefault="00BD48BF" w:rsidP="00614D48">
            <w:pPr>
              <w:jc w:val="center"/>
              <w:rPr>
                <w:rFonts w:ascii="Calibri" w:hAnsi="Calibri"/>
                <w:sz w:val="20"/>
                <w:lang w:val="en-NZ"/>
              </w:rPr>
            </w:pPr>
            <w:r>
              <w:rPr>
                <w:rFonts w:ascii="Calibri" w:hAnsi="Calibri"/>
                <w:sz w:val="20"/>
                <w:lang w:val="en-NZ"/>
              </w:rPr>
              <w:t>30</w:t>
            </w:r>
          </w:p>
        </w:tc>
        <w:tc>
          <w:tcPr>
            <w:tcW w:w="2585" w:type="dxa"/>
            <w:shd w:val="clear" w:color="auto" w:fill="FFFFFF"/>
            <w:vAlign w:val="bottom"/>
          </w:tcPr>
          <w:p w14:paraId="40D7B404" w14:textId="77777777" w:rsidR="00BD48BF" w:rsidRDefault="00BD48BF" w:rsidP="00614D48">
            <w:pPr>
              <w:jc w:val="center"/>
              <w:rPr>
                <w:rFonts w:ascii="Calibri" w:hAnsi="Calibri"/>
                <w:sz w:val="20"/>
                <w:lang w:val="en-NZ"/>
              </w:rPr>
            </w:pPr>
            <w:r>
              <w:rPr>
                <w:rFonts w:ascii="Calibri" w:hAnsi="Calibri"/>
                <w:sz w:val="20"/>
                <w:lang w:val="en-NZ"/>
              </w:rPr>
              <w:t>9</w:t>
            </w:r>
          </w:p>
        </w:tc>
        <w:tc>
          <w:tcPr>
            <w:tcW w:w="882" w:type="dxa"/>
            <w:shd w:val="clear" w:color="auto" w:fill="FFFFFF"/>
            <w:vAlign w:val="bottom"/>
          </w:tcPr>
          <w:p w14:paraId="2E21D93E" w14:textId="77777777" w:rsidR="00BD48BF" w:rsidRDefault="00BD48BF" w:rsidP="00614D48">
            <w:pPr>
              <w:jc w:val="center"/>
              <w:rPr>
                <w:rFonts w:ascii="Calibri" w:hAnsi="Calibri"/>
                <w:sz w:val="20"/>
                <w:lang w:val="en-NZ"/>
              </w:rPr>
            </w:pPr>
            <w:r>
              <w:rPr>
                <w:rFonts w:ascii="Calibri" w:hAnsi="Calibri"/>
                <w:sz w:val="20"/>
                <w:lang w:val="en-NZ"/>
              </w:rPr>
              <w:t>100</w:t>
            </w:r>
          </w:p>
        </w:tc>
        <w:tc>
          <w:tcPr>
            <w:tcW w:w="688" w:type="dxa"/>
            <w:shd w:val="clear" w:color="auto" w:fill="FFFFFF"/>
            <w:vAlign w:val="bottom"/>
          </w:tcPr>
          <w:p w14:paraId="6397E68E" w14:textId="77777777" w:rsidR="00BD48BF" w:rsidRDefault="00BD48BF" w:rsidP="00614D48">
            <w:pPr>
              <w:jc w:val="center"/>
              <w:rPr>
                <w:rFonts w:ascii="Calibri" w:hAnsi="Calibri"/>
                <w:sz w:val="20"/>
                <w:lang w:val="en-NZ"/>
              </w:rPr>
            </w:pPr>
            <w:r>
              <w:rPr>
                <w:rFonts w:ascii="Calibri" w:hAnsi="Calibri"/>
                <w:sz w:val="20"/>
                <w:lang w:val="en-NZ"/>
              </w:rPr>
              <w:t>96</w:t>
            </w:r>
          </w:p>
        </w:tc>
        <w:tc>
          <w:tcPr>
            <w:tcW w:w="837" w:type="dxa"/>
            <w:shd w:val="clear" w:color="auto" w:fill="FFFFFF"/>
            <w:vAlign w:val="bottom"/>
          </w:tcPr>
          <w:p w14:paraId="5574B6EB" w14:textId="77777777" w:rsidR="00BD48BF" w:rsidRDefault="00BD48BF" w:rsidP="00614D48">
            <w:pPr>
              <w:jc w:val="center"/>
              <w:rPr>
                <w:rFonts w:ascii="Calibri" w:hAnsi="Calibri"/>
                <w:sz w:val="20"/>
                <w:lang w:val="en-NZ"/>
              </w:rPr>
            </w:pPr>
            <w:r>
              <w:rPr>
                <w:rFonts w:ascii="Calibri" w:hAnsi="Calibri"/>
                <w:sz w:val="20"/>
                <w:lang w:val="en-NZ"/>
              </w:rPr>
              <w:t>[93-98]</w:t>
            </w:r>
          </w:p>
        </w:tc>
        <w:tc>
          <w:tcPr>
            <w:tcW w:w="1103" w:type="dxa"/>
            <w:shd w:val="clear" w:color="auto" w:fill="FFFFFF"/>
            <w:vAlign w:val="bottom"/>
          </w:tcPr>
          <w:p w14:paraId="799A2D55" w14:textId="77777777" w:rsidR="00BD48BF" w:rsidRDefault="00BD48BF" w:rsidP="00614D48">
            <w:pPr>
              <w:jc w:val="center"/>
              <w:rPr>
                <w:rFonts w:ascii="Calibri" w:hAnsi="Calibri"/>
                <w:sz w:val="20"/>
                <w:lang w:val="en-NZ"/>
              </w:rPr>
            </w:pPr>
            <w:r>
              <w:rPr>
                <w:rFonts w:ascii="Calibri" w:hAnsi="Calibri"/>
                <w:sz w:val="20"/>
                <w:lang w:val="en-NZ"/>
              </w:rPr>
              <w:t>100</w:t>
            </w:r>
          </w:p>
        </w:tc>
        <w:tc>
          <w:tcPr>
            <w:tcW w:w="787" w:type="dxa"/>
            <w:shd w:val="clear" w:color="auto" w:fill="FFFFFF"/>
            <w:vAlign w:val="bottom"/>
          </w:tcPr>
          <w:p w14:paraId="2ACA1F86" w14:textId="77777777" w:rsidR="00BD48BF" w:rsidRDefault="00BD48BF" w:rsidP="00614D48">
            <w:pPr>
              <w:jc w:val="center"/>
              <w:rPr>
                <w:rFonts w:ascii="Calibri" w:hAnsi="Calibri"/>
                <w:sz w:val="20"/>
                <w:lang w:val="en-NZ"/>
              </w:rPr>
            </w:pPr>
            <w:r>
              <w:rPr>
                <w:rFonts w:ascii="Calibri" w:hAnsi="Calibri"/>
                <w:sz w:val="20"/>
                <w:lang w:val="en-NZ"/>
              </w:rPr>
              <w:t>100</w:t>
            </w:r>
          </w:p>
        </w:tc>
        <w:tc>
          <w:tcPr>
            <w:tcW w:w="1007" w:type="dxa"/>
            <w:shd w:val="clear" w:color="auto" w:fill="FFFFFF"/>
            <w:vAlign w:val="bottom"/>
          </w:tcPr>
          <w:p w14:paraId="27282515" w14:textId="77777777" w:rsidR="00BD48BF" w:rsidRDefault="00BD48BF" w:rsidP="00614D48">
            <w:pPr>
              <w:jc w:val="center"/>
              <w:rPr>
                <w:rFonts w:ascii="Calibri" w:hAnsi="Calibri"/>
                <w:sz w:val="20"/>
                <w:lang w:val="en-NZ"/>
              </w:rPr>
            </w:pPr>
            <w:r>
              <w:rPr>
                <w:rFonts w:ascii="Calibri" w:hAnsi="Calibri"/>
                <w:sz w:val="20"/>
                <w:lang w:val="en-NZ"/>
              </w:rPr>
              <w:t>[99-100]</w:t>
            </w:r>
          </w:p>
        </w:tc>
        <w:tc>
          <w:tcPr>
            <w:tcW w:w="1147" w:type="dxa"/>
            <w:gridSpan w:val="2"/>
            <w:shd w:val="clear" w:color="auto" w:fill="FFFFFF"/>
            <w:vAlign w:val="bottom"/>
          </w:tcPr>
          <w:p w14:paraId="4A236275" w14:textId="77777777" w:rsidR="00BD48BF" w:rsidRDefault="00BD48BF" w:rsidP="00614D48">
            <w:pPr>
              <w:jc w:val="center"/>
              <w:rPr>
                <w:rFonts w:ascii="Calibri" w:hAnsi="Calibri"/>
                <w:sz w:val="20"/>
                <w:lang w:val="en-NZ"/>
              </w:rPr>
            </w:pPr>
            <w:r>
              <w:rPr>
                <w:rFonts w:ascii="Calibri" w:hAnsi="Calibri"/>
                <w:sz w:val="20"/>
                <w:lang w:val="en-NZ"/>
              </w:rPr>
              <w:t>100</w:t>
            </w:r>
          </w:p>
        </w:tc>
        <w:tc>
          <w:tcPr>
            <w:tcW w:w="700" w:type="dxa"/>
            <w:shd w:val="clear" w:color="auto" w:fill="FFFFFF"/>
            <w:vAlign w:val="bottom"/>
          </w:tcPr>
          <w:p w14:paraId="4A84F573" w14:textId="77777777" w:rsidR="00BD48BF" w:rsidRDefault="00BD48BF" w:rsidP="00614D48">
            <w:pPr>
              <w:jc w:val="center"/>
              <w:rPr>
                <w:rFonts w:ascii="Calibri" w:hAnsi="Calibri"/>
                <w:sz w:val="20"/>
                <w:lang w:val="en-NZ"/>
              </w:rPr>
            </w:pPr>
            <w:r>
              <w:rPr>
                <w:rFonts w:ascii="Calibri" w:hAnsi="Calibri"/>
                <w:sz w:val="20"/>
                <w:lang w:val="en-NZ"/>
              </w:rPr>
              <w:t>82</w:t>
            </w:r>
          </w:p>
        </w:tc>
        <w:tc>
          <w:tcPr>
            <w:tcW w:w="872" w:type="dxa"/>
            <w:gridSpan w:val="2"/>
            <w:shd w:val="clear" w:color="auto" w:fill="FFFFFF"/>
            <w:vAlign w:val="bottom"/>
          </w:tcPr>
          <w:p w14:paraId="69C91989" w14:textId="77777777" w:rsidR="00BD48BF" w:rsidRDefault="00BD48BF" w:rsidP="00614D48">
            <w:pPr>
              <w:jc w:val="center"/>
            </w:pPr>
            <w:r>
              <w:rPr>
                <w:rFonts w:ascii="Calibri" w:hAnsi="Calibri"/>
                <w:sz w:val="20"/>
                <w:lang w:val="en-NZ"/>
              </w:rPr>
              <w:t>[70-92]</w:t>
            </w:r>
          </w:p>
        </w:tc>
      </w:tr>
      <w:tr w:rsidR="00BD48BF" w14:paraId="7BE567EA" w14:textId="77777777" w:rsidTr="00614D48">
        <w:trPr>
          <w:trHeight w:val="300"/>
        </w:trPr>
        <w:tc>
          <w:tcPr>
            <w:tcW w:w="1149" w:type="dxa"/>
            <w:shd w:val="clear" w:color="auto" w:fill="FFFFFF"/>
            <w:vAlign w:val="bottom"/>
          </w:tcPr>
          <w:p w14:paraId="1D0616AB" w14:textId="77777777" w:rsidR="00BD48BF" w:rsidRDefault="00BD48BF" w:rsidP="00614D48">
            <w:pPr>
              <w:rPr>
                <w:rFonts w:ascii="Calibri" w:hAnsi="Calibri"/>
                <w:sz w:val="20"/>
                <w:lang w:val="en-NZ"/>
              </w:rPr>
            </w:pPr>
            <w:r>
              <w:rPr>
                <w:rFonts w:ascii="Calibri" w:hAnsi="Calibri"/>
                <w:b/>
                <w:bCs/>
                <w:sz w:val="20"/>
                <w:lang w:val="en-NZ"/>
              </w:rPr>
              <w:t>Probiotic (n=44)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0DA05499" w14:textId="77777777" w:rsidR="00BD48BF" w:rsidRDefault="00BD48BF" w:rsidP="00614D48">
            <w:pPr>
              <w:jc w:val="center"/>
              <w:rPr>
                <w:rFonts w:ascii="Calibri" w:hAnsi="Calibri"/>
                <w:sz w:val="20"/>
                <w:lang w:val="en-NZ"/>
              </w:rPr>
            </w:pPr>
            <w:r>
              <w:rPr>
                <w:rFonts w:ascii="Calibri" w:hAnsi="Calibri"/>
                <w:sz w:val="20"/>
                <w:lang w:val="en-NZ"/>
              </w:rPr>
              <w:t>29</w:t>
            </w:r>
          </w:p>
        </w:tc>
        <w:tc>
          <w:tcPr>
            <w:tcW w:w="2585" w:type="dxa"/>
            <w:shd w:val="clear" w:color="auto" w:fill="FFFFFF"/>
            <w:vAlign w:val="bottom"/>
          </w:tcPr>
          <w:p w14:paraId="5ADA2714" w14:textId="77777777" w:rsidR="00BD48BF" w:rsidRDefault="00BD48BF" w:rsidP="00614D48">
            <w:pPr>
              <w:jc w:val="center"/>
              <w:rPr>
                <w:rFonts w:ascii="Calibri" w:hAnsi="Calibri"/>
                <w:sz w:val="20"/>
                <w:lang w:val="en-NZ"/>
              </w:rPr>
            </w:pPr>
            <w:r>
              <w:rPr>
                <w:rFonts w:ascii="Calibri" w:hAnsi="Calibri"/>
                <w:sz w:val="20"/>
                <w:lang w:val="en-NZ"/>
              </w:rPr>
              <w:t>16</w:t>
            </w:r>
          </w:p>
        </w:tc>
        <w:tc>
          <w:tcPr>
            <w:tcW w:w="882" w:type="dxa"/>
            <w:shd w:val="clear" w:color="auto" w:fill="FFFFFF"/>
            <w:vAlign w:val="bottom"/>
          </w:tcPr>
          <w:p w14:paraId="7E1A1EA0" w14:textId="77777777" w:rsidR="00BD48BF" w:rsidRDefault="00BD48BF" w:rsidP="00614D48">
            <w:pPr>
              <w:jc w:val="center"/>
              <w:rPr>
                <w:rFonts w:ascii="Calibri" w:hAnsi="Calibri"/>
                <w:sz w:val="20"/>
                <w:lang w:val="en-NZ"/>
              </w:rPr>
            </w:pPr>
            <w:r>
              <w:rPr>
                <w:rFonts w:ascii="Calibri" w:hAnsi="Calibri"/>
                <w:sz w:val="20"/>
                <w:lang w:val="en-NZ"/>
              </w:rPr>
              <w:t>89</w:t>
            </w:r>
          </w:p>
        </w:tc>
        <w:tc>
          <w:tcPr>
            <w:tcW w:w="688" w:type="dxa"/>
            <w:shd w:val="clear" w:color="auto" w:fill="FFFFFF"/>
            <w:vAlign w:val="bottom"/>
          </w:tcPr>
          <w:p w14:paraId="4B15E3B3" w14:textId="77777777" w:rsidR="00BD48BF" w:rsidRDefault="00BD48BF" w:rsidP="00614D48">
            <w:pPr>
              <w:jc w:val="center"/>
              <w:rPr>
                <w:rFonts w:ascii="Calibri" w:hAnsi="Calibri"/>
                <w:sz w:val="20"/>
                <w:lang w:val="en-NZ"/>
              </w:rPr>
            </w:pPr>
            <w:r>
              <w:rPr>
                <w:rFonts w:ascii="Calibri" w:hAnsi="Calibri"/>
                <w:sz w:val="20"/>
                <w:lang w:val="en-NZ"/>
              </w:rPr>
              <w:t>91</w:t>
            </w:r>
          </w:p>
        </w:tc>
        <w:tc>
          <w:tcPr>
            <w:tcW w:w="837" w:type="dxa"/>
            <w:shd w:val="clear" w:color="auto" w:fill="FFFFFF"/>
            <w:vAlign w:val="bottom"/>
          </w:tcPr>
          <w:p w14:paraId="21CD225F" w14:textId="77777777" w:rsidR="00BD48BF" w:rsidRDefault="00BD48BF" w:rsidP="00614D48">
            <w:pPr>
              <w:jc w:val="center"/>
              <w:rPr>
                <w:rFonts w:ascii="Calibri" w:hAnsi="Calibri"/>
                <w:sz w:val="20"/>
                <w:lang w:val="en-NZ"/>
              </w:rPr>
            </w:pPr>
            <w:r>
              <w:rPr>
                <w:rFonts w:ascii="Calibri" w:hAnsi="Calibri"/>
                <w:sz w:val="20"/>
                <w:lang w:val="en-NZ"/>
              </w:rPr>
              <w:t>[88-94]</w:t>
            </w:r>
          </w:p>
        </w:tc>
        <w:tc>
          <w:tcPr>
            <w:tcW w:w="1103" w:type="dxa"/>
            <w:shd w:val="clear" w:color="auto" w:fill="FFFFFF"/>
            <w:vAlign w:val="bottom"/>
          </w:tcPr>
          <w:p w14:paraId="55AC4FE8" w14:textId="77777777" w:rsidR="00BD48BF" w:rsidRDefault="00BD48BF" w:rsidP="00614D48">
            <w:pPr>
              <w:jc w:val="center"/>
              <w:rPr>
                <w:rFonts w:ascii="Calibri" w:hAnsi="Calibri"/>
                <w:sz w:val="20"/>
                <w:lang w:val="en-NZ"/>
              </w:rPr>
            </w:pPr>
            <w:r>
              <w:rPr>
                <w:rFonts w:ascii="Calibri" w:hAnsi="Calibri"/>
                <w:sz w:val="20"/>
                <w:lang w:val="en-NZ"/>
              </w:rPr>
              <w:t>100</w:t>
            </w:r>
          </w:p>
        </w:tc>
        <w:tc>
          <w:tcPr>
            <w:tcW w:w="787" w:type="dxa"/>
            <w:shd w:val="clear" w:color="auto" w:fill="FFFFFF"/>
            <w:vAlign w:val="bottom"/>
          </w:tcPr>
          <w:p w14:paraId="4E82565D" w14:textId="77777777" w:rsidR="00BD48BF" w:rsidRDefault="00BD48BF" w:rsidP="00614D48">
            <w:pPr>
              <w:jc w:val="center"/>
              <w:rPr>
                <w:rFonts w:ascii="Calibri" w:hAnsi="Calibri"/>
                <w:sz w:val="20"/>
                <w:lang w:val="en-NZ"/>
              </w:rPr>
            </w:pPr>
            <w:r>
              <w:rPr>
                <w:rFonts w:ascii="Calibri" w:hAnsi="Calibri"/>
                <w:sz w:val="20"/>
                <w:lang w:val="en-NZ"/>
              </w:rPr>
              <w:t>92</w:t>
            </w:r>
          </w:p>
        </w:tc>
        <w:tc>
          <w:tcPr>
            <w:tcW w:w="1007" w:type="dxa"/>
            <w:shd w:val="clear" w:color="auto" w:fill="FFFFFF"/>
            <w:vAlign w:val="bottom"/>
          </w:tcPr>
          <w:p w14:paraId="79381AE1" w14:textId="77777777" w:rsidR="00BD48BF" w:rsidRDefault="00BD48BF" w:rsidP="00614D48">
            <w:pPr>
              <w:jc w:val="center"/>
              <w:rPr>
                <w:rFonts w:ascii="Calibri" w:hAnsi="Calibri"/>
                <w:sz w:val="20"/>
                <w:lang w:val="en-NZ"/>
              </w:rPr>
            </w:pPr>
            <w:r>
              <w:rPr>
                <w:rFonts w:ascii="Calibri" w:hAnsi="Calibri"/>
                <w:sz w:val="20"/>
                <w:lang w:val="en-NZ"/>
              </w:rPr>
              <w:t>[88-96]</w:t>
            </w:r>
          </w:p>
        </w:tc>
        <w:tc>
          <w:tcPr>
            <w:tcW w:w="1147" w:type="dxa"/>
            <w:gridSpan w:val="2"/>
            <w:shd w:val="clear" w:color="auto" w:fill="FFFFFF"/>
            <w:vAlign w:val="bottom"/>
          </w:tcPr>
          <w:p w14:paraId="786C158F" w14:textId="77777777" w:rsidR="00BD48BF" w:rsidRDefault="00BD48BF" w:rsidP="00614D48">
            <w:pPr>
              <w:jc w:val="center"/>
              <w:rPr>
                <w:rFonts w:ascii="Calibri" w:hAnsi="Calibri"/>
                <w:sz w:val="20"/>
                <w:lang w:val="en-NZ"/>
              </w:rPr>
            </w:pPr>
            <w:r>
              <w:rPr>
                <w:rFonts w:ascii="Calibri" w:hAnsi="Calibri"/>
                <w:sz w:val="20"/>
                <w:lang w:val="en-NZ"/>
              </w:rPr>
              <w:t>100</w:t>
            </w:r>
          </w:p>
        </w:tc>
        <w:tc>
          <w:tcPr>
            <w:tcW w:w="700" w:type="dxa"/>
            <w:shd w:val="clear" w:color="auto" w:fill="FFFFFF"/>
            <w:vAlign w:val="bottom"/>
          </w:tcPr>
          <w:p w14:paraId="6583F779" w14:textId="77777777" w:rsidR="00BD48BF" w:rsidRDefault="00BD48BF" w:rsidP="00614D48">
            <w:pPr>
              <w:jc w:val="center"/>
              <w:rPr>
                <w:rFonts w:ascii="Calibri" w:hAnsi="Calibri"/>
                <w:sz w:val="20"/>
                <w:lang w:val="en-NZ"/>
              </w:rPr>
            </w:pPr>
            <w:r>
              <w:rPr>
                <w:rFonts w:ascii="Calibri" w:hAnsi="Calibri"/>
                <w:sz w:val="20"/>
                <w:lang w:val="en-NZ"/>
              </w:rPr>
              <w:t>90</w:t>
            </w:r>
          </w:p>
        </w:tc>
        <w:tc>
          <w:tcPr>
            <w:tcW w:w="872" w:type="dxa"/>
            <w:gridSpan w:val="2"/>
            <w:shd w:val="clear" w:color="auto" w:fill="FFFFFF"/>
            <w:vAlign w:val="bottom"/>
          </w:tcPr>
          <w:p w14:paraId="12B9C5C9" w14:textId="77777777" w:rsidR="00BD48BF" w:rsidRDefault="00BD48BF" w:rsidP="00614D48">
            <w:pPr>
              <w:jc w:val="center"/>
            </w:pPr>
            <w:r>
              <w:rPr>
                <w:rFonts w:ascii="Calibri" w:hAnsi="Calibri"/>
                <w:sz w:val="20"/>
                <w:lang w:val="en-NZ"/>
              </w:rPr>
              <w:t>[84-96]</w:t>
            </w:r>
          </w:p>
        </w:tc>
      </w:tr>
    </w:tbl>
    <w:p w14:paraId="2AD0692E" w14:textId="77777777" w:rsidR="00BD48BF" w:rsidRDefault="00BD48BF" w:rsidP="00BD48BF">
      <w:pPr>
        <w:rPr>
          <w:rFonts w:ascii="Calibri" w:hAnsi="Calibri"/>
          <w:b/>
        </w:rPr>
      </w:pPr>
    </w:p>
    <w:p w14:paraId="185FD637" w14:textId="1373F09A" w:rsidR="00BD48BF" w:rsidRDefault="00BD48BF" w:rsidP="00BD48BF">
      <w:pPr>
        <w:shd w:val="clear" w:color="auto" w:fill="FFFFFF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Results of 10-fold cross-validation produced by the </w:t>
      </w:r>
      <w:proofErr w:type="spellStart"/>
      <w:r>
        <w:rPr>
          <w:rFonts w:ascii="Calibri" w:hAnsi="Calibri"/>
        </w:rPr>
        <w:t>Odoreader</w:t>
      </w:r>
      <w:proofErr w:type="spellEnd"/>
      <w:r>
        <w:rPr>
          <w:rFonts w:ascii="Calibri" w:hAnsi="Calibri"/>
        </w:rPr>
        <w:t xml:space="preserve"> platform when classifying baseline samples from patients who went on to respond and not</w:t>
      </w:r>
      <w:r w:rsidR="00642A4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respond to low FODMAP diet or probiotic interventions. Partial least squares </w:t>
      </w:r>
      <w:proofErr w:type="gramStart"/>
      <w:r>
        <w:rPr>
          <w:rFonts w:ascii="Calibri" w:hAnsi="Calibri"/>
        </w:rPr>
        <w:t>was</w:t>
      </w:r>
      <w:proofErr w:type="gramEnd"/>
      <w:r>
        <w:rPr>
          <w:rFonts w:ascii="Calibri" w:hAnsi="Calibri"/>
        </w:rPr>
        <w:t xml:space="preserve"> used as the modelling technique. 95% C.I. = confidence intervals</w:t>
      </w:r>
    </w:p>
    <w:p w14:paraId="2FA9C0EA" w14:textId="77777777" w:rsidR="00BD48BF" w:rsidRDefault="00BD48BF" w:rsidP="00BD48BF">
      <w:pPr>
        <w:shd w:val="clear" w:color="auto" w:fill="FFFFFF"/>
        <w:jc w:val="both"/>
        <w:rPr>
          <w:rFonts w:ascii="Calibri" w:hAnsi="Calibri"/>
          <w:b/>
        </w:rPr>
      </w:pPr>
    </w:p>
    <w:p w14:paraId="1E5AAF0C" w14:textId="5219EB76" w:rsidR="00BD48BF" w:rsidRDefault="00BD48BF" w:rsidP="00BD48BF">
      <w:r>
        <w:br w:type="page"/>
      </w:r>
    </w:p>
    <w:p w14:paraId="1356F194" w14:textId="77777777" w:rsidR="00BD48BF" w:rsidRDefault="00BD48BF" w:rsidP="00BD48BF">
      <w:pPr>
        <w:sectPr w:rsidR="00BD48BF" w:rsidSect="00BD48BF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58D7B1AE" w14:textId="0F79DB00" w:rsidR="00B45370" w:rsidRPr="00BD48BF" w:rsidRDefault="00B45370" w:rsidP="00BD5EBD">
      <w:pPr>
        <w:pStyle w:val="CommentText"/>
        <w:rPr>
          <w:b/>
        </w:rPr>
      </w:pPr>
      <w:r w:rsidRPr="00BD48BF">
        <w:rPr>
          <w:b/>
        </w:rPr>
        <w:lastRenderedPageBreak/>
        <w:t>References:</w:t>
      </w:r>
    </w:p>
    <w:bookmarkStart w:id="0" w:name="_GoBack"/>
    <w:bookmarkEnd w:id="0"/>
    <w:p w14:paraId="152F42F5" w14:textId="77777777" w:rsidR="00642A48" w:rsidRPr="00642A48" w:rsidRDefault="00B45370" w:rsidP="00642A48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642A48" w:rsidRPr="00642A48">
        <w:t>1.</w:t>
      </w:r>
      <w:r w:rsidR="00642A48" w:rsidRPr="00642A48">
        <w:tab/>
        <w:t xml:space="preserve">Staudacher H and Whelan K. The low FODMAP diet: recent advances in understanding its mechanisms and efficacy in irritable bowel syndrome. </w:t>
      </w:r>
      <w:r w:rsidR="00642A48" w:rsidRPr="00642A48">
        <w:rPr>
          <w:i/>
        </w:rPr>
        <w:t>Gut</w:t>
      </w:r>
      <w:r w:rsidR="00642A48" w:rsidRPr="00642A48">
        <w:t>. 2017;66:1517-1527.</w:t>
      </w:r>
    </w:p>
    <w:p w14:paraId="7E8BCE6A" w14:textId="77777777" w:rsidR="00642A48" w:rsidRPr="00642A48" w:rsidRDefault="00642A48" w:rsidP="00642A48">
      <w:pPr>
        <w:pStyle w:val="EndNoteBibliography"/>
        <w:spacing w:after="0"/>
      </w:pPr>
      <w:r w:rsidRPr="00642A48">
        <w:t>2.</w:t>
      </w:r>
      <w:r w:rsidRPr="00642A48">
        <w:tab/>
        <w:t xml:space="preserve">Staudacher HM, Irving PM, Lomer MCE, et al. The challenges of control groups, placebos and blinding in clinical trials of dietary interventions. </w:t>
      </w:r>
      <w:r w:rsidRPr="00642A48">
        <w:rPr>
          <w:i/>
        </w:rPr>
        <w:t>Proceedings of the Nutrition Society</w:t>
      </w:r>
      <w:r w:rsidRPr="00642A48">
        <w:t>. 2017;76:203-212.</w:t>
      </w:r>
    </w:p>
    <w:p w14:paraId="18FA5A4E" w14:textId="77777777" w:rsidR="00642A48" w:rsidRPr="00642A48" w:rsidRDefault="00642A48" w:rsidP="00642A48">
      <w:pPr>
        <w:pStyle w:val="EndNoteBibliography"/>
        <w:spacing w:after="0"/>
      </w:pPr>
      <w:r w:rsidRPr="00642A48">
        <w:t>3.</w:t>
      </w:r>
      <w:r w:rsidRPr="00642A48">
        <w:tab/>
        <w:t xml:space="preserve">Shepherd SJ and Gibson PR. Fructose malabsorption and symptoms of irritable bowel syndrome: guidelines for effective dietary management. </w:t>
      </w:r>
      <w:r w:rsidRPr="00642A48">
        <w:rPr>
          <w:i/>
        </w:rPr>
        <w:t>J Am Diet Assoc</w:t>
      </w:r>
      <w:r w:rsidRPr="00642A48">
        <w:t>. 2006;106:1631-1639.</w:t>
      </w:r>
    </w:p>
    <w:p w14:paraId="2940E6A8" w14:textId="77777777" w:rsidR="00642A48" w:rsidRPr="00642A48" w:rsidRDefault="00642A48" w:rsidP="00642A48">
      <w:pPr>
        <w:pStyle w:val="EndNoteBibliography"/>
        <w:spacing w:after="0"/>
      </w:pPr>
      <w:r w:rsidRPr="00642A48">
        <w:t>4.</w:t>
      </w:r>
      <w:r w:rsidRPr="00642A48">
        <w:tab/>
        <w:t xml:space="preserve">Francis CY, Morris J and Whorwell PJ. The irritable bowel severity scoring system: a simple method of monitoring irritable bowel syndrome and its progress. </w:t>
      </w:r>
      <w:r w:rsidRPr="00642A48">
        <w:rPr>
          <w:i/>
        </w:rPr>
        <w:t>Aliment Pharmacol Ther</w:t>
      </w:r>
      <w:r w:rsidRPr="00642A48">
        <w:t>. 1997;11:395-402.</w:t>
      </w:r>
    </w:p>
    <w:p w14:paraId="3C252DD6" w14:textId="77777777" w:rsidR="00642A48" w:rsidRPr="00642A48" w:rsidRDefault="00642A48" w:rsidP="00642A48">
      <w:pPr>
        <w:pStyle w:val="EndNoteBibliography"/>
      </w:pPr>
      <w:r w:rsidRPr="00642A48">
        <w:t>5.</w:t>
      </w:r>
      <w:r w:rsidRPr="00642A48">
        <w:tab/>
        <w:t xml:space="preserve">Staudacher HM, Lomer MCE, Farquharson FM, et al. Diet Low in FODMAPs Reduces Symptoms in Patients With Irritable Bowel Syndrome and Probiotic Restores Bifidobacterium Species: A Randomized Controlled Trial. </w:t>
      </w:r>
      <w:r w:rsidRPr="00642A48">
        <w:rPr>
          <w:i/>
        </w:rPr>
        <w:t>Gastroenterology</w:t>
      </w:r>
      <w:r w:rsidRPr="00642A48">
        <w:t>. 2017.</w:t>
      </w:r>
    </w:p>
    <w:p w14:paraId="6EB07124" w14:textId="7FA01A7D" w:rsidR="00BD5EBD" w:rsidRDefault="00B45370" w:rsidP="00C446F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end"/>
      </w:r>
    </w:p>
    <w:sectPr w:rsidR="00BD5EBD" w:rsidSect="00BD48B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lin Gastro hep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vrt02wrptwd5ue09pvpaa0jzw9zdp9592te&quot;&gt;My EndNote Library Copy&lt;record-ids&gt;&lt;item&gt;383&lt;/item&gt;&lt;item&gt;415&lt;/item&gt;&lt;item&gt;417&lt;/item&gt;&lt;item&gt;428&lt;/item&gt;&lt;item&gt;429&lt;/item&gt;&lt;/record-ids&gt;&lt;/item&gt;&lt;/Libraries&gt;"/>
  </w:docVars>
  <w:rsids>
    <w:rsidRoot w:val="00C446FA"/>
    <w:rsid w:val="00124958"/>
    <w:rsid w:val="001964BA"/>
    <w:rsid w:val="005377A7"/>
    <w:rsid w:val="00642A48"/>
    <w:rsid w:val="00B45370"/>
    <w:rsid w:val="00B52E23"/>
    <w:rsid w:val="00BD48BF"/>
    <w:rsid w:val="00BD5EBD"/>
    <w:rsid w:val="00C446FA"/>
    <w:rsid w:val="00E4479A"/>
    <w:rsid w:val="00EA471A"/>
    <w:rsid w:val="00E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2BC5F"/>
  <w15:chartTrackingRefBased/>
  <w15:docId w15:val="{46B55FFA-2A40-4E36-8ECA-1209A165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46FA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C446FA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C446FA"/>
    <w:pPr>
      <w:suppressAutoHyphens/>
      <w:spacing w:after="0" w:line="100" w:lineRule="atLeast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uiPriority w:val="99"/>
    <w:semiHidden/>
    <w:rsid w:val="00C446FA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C446FA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FA"/>
    <w:rPr>
      <w:rFonts w:ascii="Segoe UI" w:hAnsi="Segoe UI" w:cs="Segoe UI"/>
      <w:sz w:val="18"/>
      <w:szCs w:val="18"/>
    </w:rPr>
  </w:style>
  <w:style w:type="character" w:customStyle="1" w:styleId="highlight">
    <w:name w:val="highlight"/>
    <w:rsid w:val="00C446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EBD"/>
    <w:pPr>
      <w:suppressAutoHyphens w:val="0"/>
      <w:spacing w:after="160" w:line="240" w:lineRule="auto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D5EBD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customStyle="1" w:styleId="EndNoteBibliographyTitle">
    <w:name w:val="EndNote Bibliography Title"/>
    <w:basedOn w:val="Normal"/>
    <w:link w:val="EndNoteBibliographyTitleChar"/>
    <w:rsid w:val="00B45370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CommentTextChar1"/>
    <w:link w:val="EndNoteBibliographyTitle"/>
    <w:rsid w:val="00B45370"/>
    <w:rPr>
      <w:rFonts w:ascii="Calibri" w:eastAsia="Times New Roman" w:hAnsi="Calibri" w:cs="Calibri"/>
      <w:noProof/>
      <w:color w:val="000000"/>
      <w:sz w:val="20"/>
      <w:szCs w:val="20"/>
      <w:lang w:val="en-US" w:eastAsia="ar-SA"/>
    </w:rPr>
  </w:style>
  <w:style w:type="paragraph" w:customStyle="1" w:styleId="EndNoteBibliography">
    <w:name w:val="EndNote Bibliography"/>
    <w:basedOn w:val="Normal"/>
    <w:link w:val="EndNoteBibliographyChar"/>
    <w:rsid w:val="00B45370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CommentTextChar1"/>
    <w:link w:val="EndNoteBibliography"/>
    <w:rsid w:val="00B45370"/>
    <w:rPr>
      <w:rFonts w:ascii="Calibri" w:eastAsia="Times New Roman" w:hAnsi="Calibri" w:cs="Calibri"/>
      <w:noProof/>
      <w:color w:val="000000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50E5B-3B98-4920-918C-542EB864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1663</Words>
  <Characters>9482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Megan</dc:creator>
  <cp:keywords/>
  <dc:description/>
  <cp:lastModifiedBy>Rossi, Megan</cp:lastModifiedBy>
  <cp:revision>2</cp:revision>
  <dcterms:created xsi:type="dcterms:W3CDTF">2017-09-26T20:32:00Z</dcterms:created>
  <dcterms:modified xsi:type="dcterms:W3CDTF">2017-09-26T20:32:00Z</dcterms:modified>
</cp:coreProperties>
</file>