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7A573" w14:textId="7D32FB22" w:rsidR="002117CA" w:rsidRDefault="002117CA" w:rsidP="002117CA">
      <w:pPr>
        <w:spacing w:after="0" w:line="480" w:lineRule="auto"/>
        <w:jc w:val="left"/>
        <w:rPr>
          <w:rFonts w:asciiTheme="minorHAnsi" w:eastAsia="Times New Roman" w:hAnsiTheme="minorHAnsi" w:cs="Arial"/>
          <w:b/>
          <w:sz w:val="24"/>
          <w:szCs w:val="24"/>
          <w:lang w:eastAsia="ar-SA"/>
        </w:rPr>
      </w:pPr>
      <w:r>
        <w:rPr>
          <w:rFonts w:asciiTheme="minorHAnsi" w:eastAsia="Times New Roman" w:hAnsiTheme="minorHAnsi" w:cs="Arial"/>
          <w:b/>
          <w:sz w:val="24"/>
          <w:szCs w:val="24"/>
          <w:lang w:eastAsia="ar-SA"/>
        </w:rPr>
        <w:t xml:space="preserve">Title: </w:t>
      </w:r>
      <w:r w:rsidRPr="002117CA">
        <w:rPr>
          <w:rFonts w:asciiTheme="minorHAnsi" w:eastAsia="Times New Roman" w:hAnsiTheme="minorHAnsi" w:cs="Arial"/>
          <w:sz w:val="24"/>
          <w:szCs w:val="24"/>
          <w:lang w:eastAsia="ar-SA"/>
        </w:rPr>
        <w:t>Assessing Protective Factors for Violence Risk in U.K. General Mental Health Services Using the Structured Assessment of Protective Factors</w:t>
      </w:r>
    </w:p>
    <w:p w14:paraId="6CF2CD30" w14:textId="59DC8F19" w:rsidR="002117CA" w:rsidRPr="002117CA" w:rsidRDefault="002117CA" w:rsidP="002117CA">
      <w:pPr>
        <w:spacing w:after="0" w:line="480" w:lineRule="auto"/>
        <w:jc w:val="left"/>
        <w:rPr>
          <w:rFonts w:asciiTheme="minorHAnsi" w:eastAsia="Times New Roman" w:hAnsiTheme="minorHAnsi" w:cs="Arial"/>
          <w:sz w:val="24"/>
          <w:szCs w:val="24"/>
          <w:lang w:eastAsia="ar-SA"/>
        </w:rPr>
      </w:pPr>
      <w:r w:rsidRPr="002117CA">
        <w:rPr>
          <w:rFonts w:asciiTheme="minorHAnsi" w:eastAsia="Times New Roman" w:hAnsiTheme="minorHAnsi" w:cs="Arial"/>
          <w:b/>
          <w:sz w:val="24"/>
          <w:szCs w:val="24"/>
          <w:lang w:eastAsia="ar-SA"/>
        </w:rPr>
        <w:t>Authors</w:t>
      </w:r>
      <w:r>
        <w:rPr>
          <w:rFonts w:asciiTheme="minorHAnsi" w:eastAsia="Times New Roman" w:hAnsiTheme="minorHAnsi" w:cs="Arial"/>
          <w:sz w:val="24"/>
          <w:szCs w:val="24"/>
          <w:lang w:eastAsia="ar-SA"/>
        </w:rPr>
        <w:t xml:space="preserve">: </w:t>
      </w:r>
      <w:r w:rsidRPr="002117CA">
        <w:rPr>
          <w:rFonts w:asciiTheme="minorHAnsi" w:eastAsia="Times New Roman" w:hAnsiTheme="minorHAnsi" w:cs="Arial"/>
          <w:sz w:val="24"/>
          <w:szCs w:val="24"/>
          <w:lang w:eastAsia="ar-SA"/>
        </w:rPr>
        <w:t>Alina Haines, Andrew Brown, Syed Fahad Javaid, Fayyaz Khan, Steve Noblett, Oladipupo Omodunbi, Khurram Sadiq, Wahid Zaman, and Richard Whittington</w:t>
      </w:r>
    </w:p>
    <w:p w14:paraId="4003221D" w14:textId="77777777" w:rsidR="002117CA" w:rsidRDefault="002117CA" w:rsidP="002117CA">
      <w:pPr>
        <w:spacing w:after="0" w:line="480" w:lineRule="auto"/>
        <w:jc w:val="center"/>
        <w:rPr>
          <w:rFonts w:asciiTheme="minorHAnsi" w:eastAsia="Times New Roman" w:hAnsiTheme="minorHAnsi" w:cs="Arial"/>
          <w:b/>
          <w:sz w:val="24"/>
          <w:szCs w:val="24"/>
          <w:lang w:eastAsia="ar-SA"/>
        </w:rPr>
      </w:pPr>
    </w:p>
    <w:p w14:paraId="39B68B2C" w14:textId="77777777" w:rsidR="002117CA" w:rsidRPr="002117CA" w:rsidRDefault="002117CA" w:rsidP="002117CA">
      <w:pPr>
        <w:spacing w:after="0" w:line="480" w:lineRule="auto"/>
        <w:jc w:val="center"/>
        <w:rPr>
          <w:rFonts w:asciiTheme="minorHAnsi" w:eastAsia="Times New Roman" w:hAnsiTheme="minorHAnsi" w:cs="Arial"/>
          <w:b/>
          <w:sz w:val="24"/>
          <w:szCs w:val="24"/>
          <w:lang w:eastAsia="ar-SA"/>
        </w:rPr>
      </w:pPr>
      <w:r w:rsidRPr="002117CA">
        <w:rPr>
          <w:rFonts w:asciiTheme="minorHAnsi" w:eastAsia="Times New Roman" w:hAnsiTheme="minorHAnsi" w:cs="Arial"/>
          <w:b/>
          <w:sz w:val="24"/>
          <w:szCs w:val="24"/>
          <w:lang w:eastAsia="ar-SA"/>
        </w:rPr>
        <w:t>Abstract</w:t>
      </w:r>
    </w:p>
    <w:p w14:paraId="697154BF" w14:textId="1664A3E6" w:rsidR="002117CA" w:rsidRPr="002117CA" w:rsidRDefault="002117CA" w:rsidP="002117CA">
      <w:pPr>
        <w:spacing w:after="0" w:line="480" w:lineRule="auto"/>
        <w:jc w:val="left"/>
        <w:rPr>
          <w:rFonts w:asciiTheme="minorHAnsi" w:eastAsia="Times New Roman" w:hAnsiTheme="minorHAnsi" w:cs="Arial"/>
          <w:sz w:val="24"/>
          <w:szCs w:val="24"/>
          <w:lang w:eastAsia="ar-SA"/>
        </w:rPr>
      </w:pPr>
      <w:r w:rsidRPr="002117CA">
        <w:rPr>
          <w:rFonts w:asciiTheme="minorHAnsi" w:eastAsia="Times New Roman" w:hAnsiTheme="minorHAnsi" w:cs="Arial"/>
          <w:sz w:val="24"/>
          <w:szCs w:val="24"/>
          <w:lang w:eastAsia="ar-SA"/>
        </w:rPr>
        <w:t>Violence risk assessment and management are key tasks in mental health services and</w:t>
      </w:r>
      <w:r>
        <w:rPr>
          <w:rFonts w:asciiTheme="minorHAnsi" w:eastAsia="Times New Roman" w:hAnsiTheme="minorHAnsi" w:cs="Arial"/>
          <w:sz w:val="24"/>
          <w:szCs w:val="24"/>
          <w:lang w:eastAsia="ar-SA"/>
        </w:rPr>
        <w:t xml:space="preserve"> </w:t>
      </w:r>
      <w:r w:rsidRPr="002117CA">
        <w:rPr>
          <w:rFonts w:asciiTheme="minorHAnsi" w:eastAsia="Times New Roman" w:hAnsiTheme="minorHAnsi" w:cs="Arial"/>
          <w:sz w:val="24"/>
          <w:szCs w:val="24"/>
          <w:lang w:eastAsia="ar-SA"/>
        </w:rPr>
        <w:t>should be guided by validated instruments covering bo</w:t>
      </w:r>
      <w:r>
        <w:rPr>
          <w:rFonts w:asciiTheme="minorHAnsi" w:eastAsia="Times New Roman" w:hAnsiTheme="minorHAnsi" w:cs="Arial"/>
          <w:sz w:val="24"/>
          <w:szCs w:val="24"/>
          <w:lang w:eastAsia="ar-SA"/>
        </w:rPr>
        <w:t xml:space="preserve">th risk and protective factors. </w:t>
      </w:r>
      <w:r w:rsidRPr="002117CA">
        <w:rPr>
          <w:rFonts w:asciiTheme="minorHAnsi" w:eastAsia="Times New Roman" w:hAnsiTheme="minorHAnsi" w:cs="Arial"/>
          <w:sz w:val="24"/>
          <w:szCs w:val="24"/>
          <w:lang w:eastAsia="ar-SA"/>
        </w:rPr>
        <w:t>This article is part of an international effort to val</w:t>
      </w:r>
      <w:r>
        <w:rPr>
          <w:rFonts w:asciiTheme="minorHAnsi" w:eastAsia="Times New Roman" w:hAnsiTheme="minorHAnsi" w:cs="Arial"/>
          <w:sz w:val="24"/>
          <w:szCs w:val="24"/>
          <w:lang w:eastAsia="ar-SA"/>
        </w:rPr>
        <w:t xml:space="preserve">idate the Structured Assessment </w:t>
      </w:r>
      <w:r w:rsidRPr="002117CA">
        <w:rPr>
          <w:rFonts w:asciiTheme="minorHAnsi" w:eastAsia="Times New Roman" w:hAnsiTheme="minorHAnsi" w:cs="Arial"/>
          <w:sz w:val="24"/>
          <w:szCs w:val="24"/>
          <w:lang w:eastAsia="ar-SA"/>
        </w:rPr>
        <w:t>of Protective Factors (SAPROF) for violence. The SAP</w:t>
      </w:r>
      <w:r>
        <w:rPr>
          <w:rFonts w:asciiTheme="minorHAnsi" w:eastAsia="Times New Roman" w:hAnsiTheme="minorHAnsi" w:cs="Arial"/>
          <w:sz w:val="24"/>
          <w:szCs w:val="24"/>
          <w:lang w:eastAsia="ar-SA"/>
        </w:rPr>
        <w:t xml:space="preserve">ROF, Historical, Clinical, Risk </w:t>
      </w:r>
      <w:r w:rsidRPr="002117CA">
        <w:rPr>
          <w:rFonts w:asciiTheme="minorHAnsi" w:eastAsia="Times New Roman" w:hAnsiTheme="minorHAnsi" w:cs="Arial"/>
          <w:sz w:val="24"/>
          <w:szCs w:val="24"/>
          <w:lang w:eastAsia="ar-SA"/>
        </w:rPr>
        <w:t>Management–</w:t>
      </w:r>
      <w:r>
        <w:rPr>
          <w:rFonts w:asciiTheme="minorHAnsi" w:eastAsia="Times New Roman" w:hAnsiTheme="minorHAnsi" w:cs="Arial"/>
          <w:sz w:val="24"/>
          <w:szCs w:val="24"/>
          <w:lang w:eastAsia="ar-SA"/>
        </w:rPr>
        <w:t xml:space="preserve">20 (HCR-20) and the Psychopathy </w:t>
      </w:r>
      <w:r w:rsidRPr="002117CA">
        <w:rPr>
          <w:rFonts w:asciiTheme="minorHAnsi" w:eastAsia="Times New Roman" w:hAnsiTheme="minorHAnsi" w:cs="Arial"/>
          <w:sz w:val="24"/>
          <w:szCs w:val="24"/>
          <w:lang w:eastAsia="ar-SA"/>
        </w:rPr>
        <w:t>Chec</w:t>
      </w:r>
      <w:r>
        <w:rPr>
          <w:rFonts w:asciiTheme="minorHAnsi" w:eastAsia="Times New Roman" w:hAnsiTheme="minorHAnsi" w:cs="Arial"/>
          <w:sz w:val="24"/>
          <w:szCs w:val="24"/>
          <w:lang w:eastAsia="ar-SA"/>
        </w:rPr>
        <w:t xml:space="preserve">klist–Screening Version (PCLSV) </w:t>
      </w:r>
      <w:r w:rsidRPr="002117CA">
        <w:rPr>
          <w:rFonts w:asciiTheme="minorHAnsi" w:eastAsia="Times New Roman" w:hAnsiTheme="minorHAnsi" w:cs="Arial"/>
          <w:sz w:val="24"/>
          <w:szCs w:val="24"/>
          <w:lang w:eastAsia="ar-SA"/>
        </w:rPr>
        <w:t>were administered in a sample of 261 patients in U.</w:t>
      </w:r>
      <w:r>
        <w:rPr>
          <w:rFonts w:asciiTheme="minorHAnsi" w:eastAsia="Times New Roman" w:hAnsiTheme="minorHAnsi" w:cs="Arial"/>
          <w:sz w:val="24"/>
          <w:szCs w:val="24"/>
          <w:lang w:eastAsia="ar-SA"/>
        </w:rPr>
        <w:t xml:space="preserve">K. forensic, general inpatient, </w:t>
      </w:r>
      <w:r w:rsidRPr="002117CA">
        <w:rPr>
          <w:rFonts w:asciiTheme="minorHAnsi" w:eastAsia="Times New Roman" w:hAnsiTheme="minorHAnsi" w:cs="Arial"/>
          <w:sz w:val="24"/>
          <w:szCs w:val="24"/>
          <w:lang w:eastAsia="ar-SA"/>
        </w:rPr>
        <w:t>and community mental health settings. There was sign</w:t>
      </w:r>
      <w:r>
        <w:rPr>
          <w:rFonts w:asciiTheme="minorHAnsi" w:eastAsia="Times New Roman" w:hAnsiTheme="minorHAnsi" w:cs="Arial"/>
          <w:sz w:val="24"/>
          <w:szCs w:val="24"/>
          <w:lang w:eastAsia="ar-SA"/>
        </w:rPr>
        <w:t xml:space="preserve">ificant variation between these </w:t>
      </w:r>
      <w:r w:rsidRPr="002117CA">
        <w:rPr>
          <w:rFonts w:asciiTheme="minorHAnsi" w:eastAsia="Times New Roman" w:hAnsiTheme="minorHAnsi" w:cs="Arial"/>
          <w:sz w:val="24"/>
          <w:szCs w:val="24"/>
          <w:lang w:eastAsia="ar-SA"/>
        </w:rPr>
        <w:t>groups on SAPROF scores with fewer protective fac</w:t>
      </w:r>
      <w:r>
        <w:rPr>
          <w:rFonts w:asciiTheme="minorHAnsi" w:eastAsia="Times New Roman" w:hAnsiTheme="minorHAnsi" w:cs="Arial"/>
          <w:sz w:val="24"/>
          <w:szCs w:val="24"/>
          <w:lang w:eastAsia="ar-SA"/>
        </w:rPr>
        <w:t xml:space="preserve">tors in the forensic group. The </w:t>
      </w:r>
      <w:r w:rsidRPr="002117CA">
        <w:rPr>
          <w:rFonts w:asciiTheme="minorHAnsi" w:eastAsia="Times New Roman" w:hAnsiTheme="minorHAnsi" w:cs="Arial"/>
          <w:sz w:val="24"/>
          <w:szCs w:val="24"/>
          <w:lang w:eastAsia="ar-SA"/>
        </w:rPr>
        <w:t xml:space="preserve">prospective validity of the SAPROF for nonviolence in the general inpatient and </w:t>
      </w:r>
      <w:r>
        <w:rPr>
          <w:rFonts w:asciiTheme="minorHAnsi" w:eastAsia="Times New Roman" w:hAnsiTheme="minorHAnsi" w:cs="Arial"/>
          <w:sz w:val="24"/>
          <w:szCs w:val="24"/>
          <w:lang w:eastAsia="ar-SA"/>
        </w:rPr>
        <w:t xml:space="preserve">community samples </w:t>
      </w:r>
      <w:r w:rsidRPr="002117CA">
        <w:rPr>
          <w:rFonts w:asciiTheme="minorHAnsi" w:eastAsia="Times New Roman" w:hAnsiTheme="minorHAnsi" w:cs="Arial"/>
          <w:sz w:val="24"/>
          <w:szCs w:val="24"/>
          <w:lang w:eastAsia="ar-SA"/>
        </w:rPr>
        <w:t>was moderate (area under the curve [AUC] = .60). Adoption of</w:t>
      </w:r>
      <w:r>
        <w:rPr>
          <w:rFonts w:asciiTheme="minorHAnsi" w:eastAsia="Times New Roman" w:hAnsiTheme="minorHAnsi" w:cs="Arial"/>
          <w:sz w:val="24"/>
          <w:szCs w:val="24"/>
          <w:lang w:eastAsia="ar-SA"/>
        </w:rPr>
        <w:t xml:space="preserve"> </w:t>
      </w:r>
      <w:r w:rsidRPr="002117CA">
        <w:rPr>
          <w:rFonts w:asciiTheme="minorHAnsi" w:eastAsia="Times New Roman" w:hAnsiTheme="minorHAnsi" w:cs="Arial"/>
          <w:sz w:val="24"/>
          <w:szCs w:val="24"/>
          <w:lang w:eastAsia="ar-SA"/>
        </w:rPr>
        <w:t xml:space="preserve">the SAPROF or similar instruments as a supplement </w:t>
      </w:r>
      <w:r>
        <w:rPr>
          <w:rFonts w:asciiTheme="minorHAnsi" w:eastAsia="Times New Roman" w:hAnsiTheme="minorHAnsi" w:cs="Arial"/>
          <w:sz w:val="24"/>
          <w:szCs w:val="24"/>
          <w:lang w:eastAsia="ar-SA"/>
        </w:rPr>
        <w:t xml:space="preserve">to risk-focused assessments has </w:t>
      </w:r>
      <w:r w:rsidRPr="002117CA">
        <w:rPr>
          <w:rFonts w:asciiTheme="minorHAnsi" w:eastAsia="Times New Roman" w:hAnsiTheme="minorHAnsi" w:cs="Arial"/>
          <w:sz w:val="24"/>
          <w:szCs w:val="24"/>
          <w:lang w:eastAsia="ar-SA"/>
        </w:rPr>
        <w:t xml:space="preserve">the potential to improve awareness of protective </w:t>
      </w:r>
      <w:r>
        <w:rPr>
          <w:rFonts w:asciiTheme="minorHAnsi" w:eastAsia="Times New Roman" w:hAnsiTheme="minorHAnsi" w:cs="Arial"/>
          <w:sz w:val="24"/>
          <w:szCs w:val="24"/>
          <w:lang w:eastAsia="ar-SA"/>
        </w:rPr>
        <w:t xml:space="preserve">factors and enhance therapeutic </w:t>
      </w:r>
      <w:r w:rsidRPr="002117CA">
        <w:rPr>
          <w:rFonts w:asciiTheme="minorHAnsi" w:eastAsia="Times New Roman" w:hAnsiTheme="minorHAnsi" w:cs="Arial"/>
          <w:sz w:val="24"/>
          <w:szCs w:val="24"/>
          <w:lang w:eastAsia="ar-SA"/>
        </w:rPr>
        <w:t>engagement in a range of mental health services</w:t>
      </w:r>
    </w:p>
    <w:p w14:paraId="27D946F5" w14:textId="77777777" w:rsidR="002117CA" w:rsidRDefault="002117CA" w:rsidP="002117CA">
      <w:pPr>
        <w:spacing w:after="0" w:line="480" w:lineRule="auto"/>
        <w:rPr>
          <w:rFonts w:asciiTheme="minorHAnsi" w:eastAsia="Times New Roman" w:hAnsiTheme="minorHAnsi" w:cs="Arial"/>
          <w:b/>
          <w:sz w:val="24"/>
          <w:szCs w:val="24"/>
          <w:lang w:eastAsia="ar-SA"/>
        </w:rPr>
      </w:pPr>
    </w:p>
    <w:p w14:paraId="2EB0F911" w14:textId="11894303" w:rsidR="002117CA" w:rsidRDefault="002117CA" w:rsidP="002117CA">
      <w:pPr>
        <w:spacing w:after="0" w:line="480" w:lineRule="auto"/>
        <w:rPr>
          <w:rFonts w:asciiTheme="minorHAnsi" w:eastAsia="Times New Roman" w:hAnsiTheme="minorHAnsi" w:cs="Arial"/>
          <w:b/>
          <w:sz w:val="24"/>
          <w:szCs w:val="24"/>
          <w:lang w:eastAsia="ar-SA"/>
        </w:rPr>
      </w:pPr>
      <w:r w:rsidRPr="002117CA">
        <w:rPr>
          <w:rFonts w:asciiTheme="minorHAnsi" w:eastAsia="Times New Roman" w:hAnsiTheme="minorHAnsi" w:cs="Arial"/>
          <w:b/>
          <w:sz w:val="24"/>
          <w:szCs w:val="24"/>
          <w:lang w:eastAsia="ar-SA"/>
        </w:rPr>
        <w:t>Keywords</w:t>
      </w:r>
      <w:r>
        <w:rPr>
          <w:rFonts w:asciiTheme="minorHAnsi" w:eastAsia="Times New Roman" w:hAnsiTheme="minorHAnsi" w:cs="Arial"/>
          <w:b/>
          <w:sz w:val="24"/>
          <w:szCs w:val="24"/>
          <w:lang w:eastAsia="ar-SA"/>
        </w:rPr>
        <w:t xml:space="preserve">: </w:t>
      </w:r>
      <w:r w:rsidRPr="002117CA">
        <w:rPr>
          <w:rFonts w:asciiTheme="minorHAnsi" w:eastAsia="Times New Roman" w:hAnsiTheme="minorHAnsi" w:cs="Arial"/>
          <w:sz w:val="24"/>
          <w:szCs w:val="24"/>
          <w:lang w:eastAsia="ar-SA"/>
        </w:rPr>
        <w:t>risk assessment, protective factors, risk violence, structured professional judgment</w:t>
      </w:r>
    </w:p>
    <w:p w14:paraId="5583E55E" w14:textId="77777777" w:rsidR="002117CA" w:rsidRDefault="002117CA" w:rsidP="002117CA">
      <w:pPr>
        <w:spacing w:after="0" w:line="480" w:lineRule="auto"/>
        <w:jc w:val="left"/>
        <w:rPr>
          <w:rFonts w:asciiTheme="minorHAnsi" w:eastAsia="Times New Roman" w:hAnsiTheme="minorHAnsi" w:cs="Arial"/>
          <w:b/>
          <w:sz w:val="24"/>
          <w:szCs w:val="24"/>
          <w:lang w:eastAsia="ar-SA"/>
        </w:rPr>
      </w:pPr>
    </w:p>
    <w:p w14:paraId="32DDEAC8" w14:textId="3E02F1E9" w:rsidR="002117CA" w:rsidRPr="002117CA" w:rsidRDefault="002117CA" w:rsidP="002117CA">
      <w:pPr>
        <w:spacing w:after="0" w:line="480" w:lineRule="auto"/>
        <w:jc w:val="left"/>
        <w:rPr>
          <w:rFonts w:asciiTheme="minorHAnsi" w:eastAsia="Times New Roman" w:hAnsiTheme="minorHAnsi" w:cs="Arial"/>
          <w:sz w:val="24"/>
          <w:szCs w:val="24"/>
          <w:lang w:eastAsia="ar-SA"/>
        </w:rPr>
      </w:pPr>
      <w:r w:rsidRPr="002117CA">
        <w:rPr>
          <w:rFonts w:asciiTheme="minorHAnsi" w:eastAsia="Times New Roman" w:hAnsiTheme="minorHAnsi" w:cs="Arial"/>
          <w:b/>
          <w:sz w:val="24"/>
          <w:szCs w:val="24"/>
          <w:lang w:eastAsia="ar-SA"/>
        </w:rPr>
        <w:t>Corresponding Author</w:t>
      </w:r>
      <w:r w:rsidRPr="002117CA">
        <w:rPr>
          <w:rFonts w:asciiTheme="minorHAnsi" w:eastAsia="Times New Roman" w:hAnsiTheme="minorHAnsi" w:cs="Arial"/>
          <w:sz w:val="24"/>
          <w:szCs w:val="24"/>
          <w:lang w:eastAsia="ar-SA"/>
        </w:rPr>
        <w:t>:</w:t>
      </w:r>
      <w:r>
        <w:rPr>
          <w:rFonts w:asciiTheme="minorHAnsi" w:eastAsia="Times New Roman" w:hAnsiTheme="minorHAnsi" w:cs="Arial"/>
          <w:sz w:val="24"/>
          <w:szCs w:val="24"/>
          <w:lang w:eastAsia="ar-SA"/>
        </w:rPr>
        <w:t xml:space="preserve"> </w:t>
      </w:r>
      <w:r w:rsidRPr="002117CA">
        <w:rPr>
          <w:rFonts w:asciiTheme="minorHAnsi" w:eastAsia="Times New Roman" w:hAnsiTheme="minorHAnsi" w:cs="Arial"/>
          <w:sz w:val="24"/>
          <w:szCs w:val="24"/>
          <w:lang w:eastAsia="ar-SA"/>
        </w:rPr>
        <w:t>Alina Haines, Research Associate, University of Liverpool, Muspratt Building, The Quadrangle, Liverpool</w:t>
      </w:r>
      <w:r>
        <w:rPr>
          <w:rFonts w:asciiTheme="minorHAnsi" w:eastAsia="Times New Roman" w:hAnsiTheme="minorHAnsi" w:cs="Arial"/>
          <w:sz w:val="24"/>
          <w:szCs w:val="24"/>
          <w:lang w:eastAsia="ar-SA"/>
        </w:rPr>
        <w:t xml:space="preserve"> </w:t>
      </w:r>
      <w:r w:rsidRPr="002117CA">
        <w:rPr>
          <w:rFonts w:asciiTheme="minorHAnsi" w:eastAsia="Times New Roman" w:hAnsiTheme="minorHAnsi" w:cs="Arial"/>
          <w:sz w:val="24"/>
          <w:szCs w:val="24"/>
          <w:lang w:eastAsia="ar-SA"/>
        </w:rPr>
        <w:t>L3 5DA, UK.</w:t>
      </w:r>
      <w:r>
        <w:rPr>
          <w:rFonts w:asciiTheme="minorHAnsi" w:eastAsia="Times New Roman" w:hAnsiTheme="minorHAnsi" w:cs="Arial"/>
          <w:sz w:val="24"/>
          <w:szCs w:val="24"/>
          <w:lang w:eastAsia="ar-SA"/>
        </w:rPr>
        <w:t xml:space="preserve"> </w:t>
      </w:r>
      <w:r w:rsidRPr="002117CA">
        <w:rPr>
          <w:rFonts w:asciiTheme="minorHAnsi" w:eastAsia="Times New Roman" w:hAnsiTheme="minorHAnsi" w:cs="Arial"/>
          <w:sz w:val="24"/>
          <w:szCs w:val="24"/>
          <w:lang w:eastAsia="ar-SA"/>
        </w:rPr>
        <w:t>Email: haialina@liverpool.ac.uk</w:t>
      </w:r>
    </w:p>
    <w:p w14:paraId="57EFC65E" w14:textId="77777777" w:rsidR="002117CA" w:rsidRDefault="002117CA">
      <w:pPr>
        <w:spacing w:after="160" w:line="259" w:lineRule="auto"/>
        <w:jc w:val="left"/>
        <w:rPr>
          <w:rFonts w:asciiTheme="minorHAnsi" w:eastAsia="Times New Roman" w:hAnsiTheme="minorHAnsi" w:cs="Arial"/>
          <w:b/>
          <w:sz w:val="24"/>
          <w:szCs w:val="24"/>
          <w:lang w:eastAsia="ar-SA"/>
        </w:rPr>
      </w:pPr>
      <w:r>
        <w:rPr>
          <w:rFonts w:asciiTheme="minorHAnsi" w:eastAsia="Times New Roman" w:hAnsiTheme="minorHAnsi" w:cs="Arial"/>
          <w:b/>
          <w:sz w:val="24"/>
          <w:szCs w:val="24"/>
          <w:lang w:eastAsia="ar-SA"/>
        </w:rPr>
        <w:br w:type="page"/>
      </w:r>
    </w:p>
    <w:p w14:paraId="410A6208" w14:textId="51918D8A" w:rsidR="00A60774" w:rsidRPr="00A60774" w:rsidRDefault="00A60774" w:rsidP="00B10D1C">
      <w:pPr>
        <w:spacing w:after="0" w:line="480" w:lineRule="auto"/>
        <w:jc w:val="center"/>
        <w:rPr>
          <w:rFonts w:asciiTheme="minorHAnsi" w:eastAsia="Times New Roman" w:hAnsiTheme="minorHAnsi" w:cs="Arial"/>
          <w:b/>
          <w:sz w:val="24"/>
          <w:szCs w:val="24"/>
          <w:lang w:eastAsia="ar-SA"/>
        </w:rPr>
      </w:pPr>
      <w:r w:rsidRPr="00A60774">
        <w:rPr>
          <w:rFonts w:asciiTheme="minorHAnsi" w:eastAsia="Times New Roman" w:hAnsiTheme="minorHAnsi" w:cs="Arial"/>
          <w:b/>
          <w:sz w:val="24"/>
          <w:szCs w:val="24"/>
          <w:lang w:eastAsia="ar-SA"/>
        </w:rPr>
        <w:lastRenderedPageBreak/>
        <w:t>Introduction</w:t>
      </w:r>
    </w:p>
    <w:p w14:paraId="465F9476" w14:textId="7CCAF109" w:rsidR="00A60774" w:rsidRDefault="00885D78" w:rsidP="00B10D1C">
      <w:pPr>
        <w:spacing w:after="0" w:line="480" w:lineRule="auto"/>
        <w:ind w:firstLine="708"/>
        <w:jc w:val="left"/>
        <w:rPr>
          <w:rFonts w:asciiTheme="minorHAnsi" w:eastAsia="Times New Roman" w:hAnsiTheme="minorHAnsi" w:cs="Arial"/>
          <w:sz w:val="24"/>
          <w:szCs w:val="24"/>
          <w:lang w:eastAsia="ar-SA"/>
        </w:rPr>
      </w:pPr>
      <w:r w:rsidRPr="00824C53">
        <w:rPr>
          <w:rFonts w:asciiTheme="minorHAnsi" w:eastAsia="Times New Roman" w:hAnsiTheme="minorHAnsi" w:cs="Arial"/>
          <w:sz w:val="24"/>
          <w:szCs w:val="24"/>
          <w:lang w:eastAsia="ar-SA"/>
        </w:rPr>
        <w:t xml:space="preserve">In </w:t>
      </w:r>
      <w:r w:rsidRPr="00824C53">
        <w:rPr>
          <w:rFonts w:asciiTheme="minorHAnsi" w:hAnsiTheme="minorHAnsi" w:cs="Arial"/>
          <w:sz w:val="24"/>
          <w:szCs w:val="24"/>
        </w:rPr>
        <w:t>the past decade the structured professional judgement (SPJ) approach to violence risk assessment and management has developed with an emphasis on systematic evidence-based guidance for evaluating the presence of specific types of individual risk factors and developing responses to the overa</w:t>
      </w:r>
      <w:r w:rsidR="006E37D7">
        <w:rPr>
          <w:rFonts w:asciiTheme="minorHAnsi" w:hAnsiTheme="minorHAnsi" w:cs="Arial"/>
          <w:sz w:val="24"/>
          <w:szCs w:val="24"/>
        </w:rPr>
        <w:t>l</w:t>
      </w:r>
      <w:r w:rsidR="00DB2F7E">
        <w:rPr>
          <w:rFonts w:asciiTheme="minorHAnsi" w:hAnsiTheme="minorHAnsi" w:cs="Arial"/>
          <w:sz w:val="24"/>
          <w:szCs w:val="24"/>
        </w:rPr>
        <w:t xml:space="preserve">l profile which is identified. </w:t>
      </w:r>
      <w:r w:rsidRPr="00824C53">
        <w:rPr>
          <w:rFonts w:asciiTheme="minorHAnsi" w:eastAsia="Times New Roman" w:hAnsiTheme="minorHAnsi" w:cs="Arial"/>
          <w:sz w:val="24"/>
          <w:szCs w:val="24"/>
          <w:lang w:eastAsia="ar-SA"/>
        </w:rPr>
        <w:t xml:space="preserve">SPJ risk </w:t>
      </w:r>
      <w:r w:rsidR="006A7020" w:rsidRPr="00824C53">
        <w:rPr>
          <w:rFonts w:asciiTheme="minorHAnsi" w:eastAsia="Times New Roman" w:hAnsiTheme="minorHAnsi" w:cs="Arial"/>
          <w:sz w:val="24"/>
          <w:szCs w:val="24"/>
          <w:lang w:eastAsia="ar-SA"/>
        </w:rPr>
        <w:t xml:space="preserve">assessment tools are protocols </w:t>
      </w:r>
      <w:r w:rsidRPr="00824C53">
        <w:rPr>
          <w:rFonts w:asciiTheme="minorHAnsi" w:eastAsia="Times New Roman" w:hAnsiTheme="minorHAnsi" w:cs="Arial"/>
          <w:sz w:val="24"/>
          <w:szCs w:val="24"/>
          <w:lang w:eastAsia="ar-SA"/>
        </w:rPr>
        <w:t>containing empirically based static and dynamic risk factors for an individual, which are carefully interpreted by trained mental health professiona</w:t>
      </w:r>
      <w:r w:rsidR="006A7020" w:rsidRPr="00824C53">
        <w:rPr>
          <w:rFonts w:asciiTheme="minorHAnsi" w:eastAsia="Times New Roman" w:hAnsiTheme="minorHAnsi" w:cs="Arial"/>
          <w:sz w:val="24"/>
          <w:szCs w:val="24"/>
          <w:lang w:eastAsia="ar-SA"/>
        </w:rPr>
        <w:t>ls in order to arrive at a well-</w:t>
      </w:r>
      <w:r w:rsidRPr="00824C53">
        <w:rPr>
          <w:rFonts w:asciiTheme="minorHAnsi" w:eastAsia="Times New Roman" w:hAnsiTheme="minorHAnsi" w:cs="Arial"/>
          <w:sz w:val="24"/>
          <w:szCs w:val="24"/>
          <w:lang w:eastAsia="ar-SA"/>
        </w:rPr>
        <w:t xml:space="preserve">informed final judgment of violence risk </w:t>
      </w:r>
      <w:r w:rsidRPr="00824C53">
        <w:rPr>
          <w:rFonts w:asciiTheme="minorHAnsi" w:eastAsia="Times New Roman" w:hAnsiTheme="minorHAnsi" w:cs="Arial"/>
          <w:noProof/>
          <w:sz w:val="24"/>
          <w:szCs w:val="24"/>
          <w:lang w:eastAsia="ar-SA"/>
        </w:rPr>
        <w:t>(Douglas, Blanchard, &amp; Hendry, 2013)</w:t>
      </w:r>
      <w:r w:rsidR="00DB2F7E">
        <w:rPr>
          <w:rFonts w:asciiTheme="minorHAnsi" w:eastAsia="Times New Roman" w:hAnsiTheme="minorHAnsi" w:cs="Arial"/>
          <w:sz w:val="24"/>
          <w:szCs w:val="24"/>
          <w:lang w:eastAsia="ar-SA"/>
        </w:rPr>
        <w:t xml:space="preserve">. </w:t>
      </w:r>
      <w:r w:rsidRPr="00824C53">
        <w:rPr>
          <w:rFonts w:asciiTheme="minorHAnsi" w:eastAsia="Times New Roman" w:hAnsiTheme="minorHAnsi" w:cs="Arial"/>
          <w:sz w:val="24"/>
          <w:szCs w:val="24"/>
          <w:lang w:eastAsia="ar-SA"/>
        </w:rPr>
        <w:t>Risk assessment has traditionally tended to focus on the presence or absence of negative features such as instabi</w:t>
      </w:r>
      <w:r w:rsidR="006E37D7">
        <w:rPr>
          <w:rFonts w:asciiTheme="minorHAnsi" w:eastAsia="Times New Roman" w:hAnsiTheme="minorHAnsi" w:cs="Arial"/>
          <w:sz w:val="24"/>
          <w:szCs w:val="24"/>
          <w:lang w:eastAsia="ar-SA"/>
        </w:rPr>
        <w:t xml:space="preserve">lity and traumatic experiences.  </w:t>
      </w:r>
      <w:r w:rsidRPr="00824C53">
        <w:rPr>
          <w:rFonts w:asciiTheme="minorHAnsi" w:eastAsia="Times New Roman" w:hAnsiTheme="minorHAnsi" w:cs="Arial"/>
          <w:sz w:val="24"/>
          <w:szCs w:val="24"/>
          <w:lang w:eastAsia="ar-SA"/>
        </w:rPr>
        <w:t xml:space="preserve">However this may skew the assessment negatively with implications for its validity and clinical utility </w:t>
      </w:r>
      <w:r w:rsidRPr="00824C53">
        <w:rPr>
          <w:rFonts w:asciiTheme="minorHAnsi" w:eastAsia="Times New Roman" w:hAnsiTheme="minorHAnsi" w:cs="Arial"/>
          <w:noProof/>
          <w:sz w:val="24"/>
          <w:szCs w:val="24"/>
          <w:lang w:eastAsia="ar-SA"/>
        </w:rPr>
        <w:t>(Miller, 2006)</w:t>
      </w:r>
      <w:r w:rsidR="00DB2F7E">
        <w:rPr>
          <w:rFonts w:asciiTheme="minorHAnsi" w:eastAsia="Times New Roman" w:hAnsiTheme="minorHAnsi" w:cs="Arial"/>
          <w:sz w:val="24"/>
          <w:szCs w:val="24"/>
          <w:lang w:eastAsia="ar-SA"/>
        </w:rPr>
        <w:t xml:space="preserve">. </w:t>
      </w:r>
      <w:r w:rsidRPr="00824C53">
        <w:rPr>
          <w:rFonts w:asciiTheme="minorHAnsi" w:eastAsia="Times New Roman" w:hAnsiTheme="minorHAnsi" w:cs="Arial"/>
          <w:sz w:val="24"/>
          <w:szCs w:val="24"/>
          <w:lang w:eastAsia="ar-SA"/>
        </w:rPr>
        <w:t xml:space="preserve">Thus there has been growing interest in adding a focus on the presence of protective factors which could moderate and counterbalance the </w:t>
      </w:r>
      <w:r w:rsidR="00DB2F7E">
        <w:rPr>
          <w:rFonts w:asciiTheme="minorHAnsi" w:eastAsia="Times New Roman" w:hAnsiTheme="minorHAnsi" w:cs="Arial"/>
          <w:sz w:val="24"/>
          <w:szCs w:val="24"/>
          <w:lang w:eastAsia="ar-SA"/>
        </w:rPr>
        <w:t xml:space="preserve">influence of risk factors. </w:t>
      </w:r>
      <w:r w:rsidRPr="00824C53">
        <w:rPr>
          <w:rFonts w:asciiTheme="minorHAnsi" w:eastAsia="Times New Roman" w:hAnsiTheme="minorHAnsi" w:cs="Arial"/>
          <w:sz w:val="24"/>
          <w:szCs w:val="24"/>
          <w:lang w:eastAsia="ar-SA"/>
        </w:rPr>
        <w:t xml:space="preserve">The Structured Assessment of Protective Factors (SAPROF) (de Vogel et al., 2011) is </w:t>
      </w:r>
      <w:r w:rsidRPr="002117CA">
        <w:rPr>
          <w:rFonts w:asciiTheme="minorHAnsi" w:eastAsia="Times New Roman" w:hAnsiTheme="minorHAnsi" w:cs="Arial"/>
          <w:sz w:val="24"/>
          <w:szCs w:val="24"/>
          <w:lang w:eastAsia="ar-SA"/>
        </w:rPr>
        <w:t>a</w:t>
      </w:r>
      <w:r w:rsidR="00161196" w:rsidRPr="002117CA">
        <w:rPr>
          <w:rFonts w:asciiTheme="minorHAnsi" w:eastAsia="Times New Roman" w:hAnsiTheme="minorHAnsi" w:cs="Arial"/>
          <w:sz w:val="24"/>
          <w:szCs w:val="24"/>
          <w:lang w:eastAsia="ar-SA"/>
        </w:rPr>
        <w:t>n</w:t>
      </w:r>
      <w:r w:rsidRPr="002117CA">
        <w:rPr>
          <w:rFonts w:asciiTheme="minorHAnsi" w:eastAsia="Times New Roman" w:hAnsiTheme="minorHAnsi" w:cs="Arial"/>
          <w:sz w:val="24"/>
          <w:szCs w:val="24"/>
          <w:lang w:eastAsia="ar-SA"/>
        </w:rPr>
        <w:t xml:space="preserve"> </w:t>
      </w:r>
      <w:r w:rsidRPr="00824C53">
        <w:rPr>
          <w:rFonts w:asciiTheme="minorHAnsi" w:eastAsia="Times New Roman" w:hAnsiTheme="minorHAnsi" w:cs="Arial"/>
          <w:sz w:val="24"/>
          <w:szCs w:val="24"/>
          <w:lang w:eastAsia="ar-SA"/>
        </w:rPr>
        <w:t xml:space="preserve">instrument designed in the Netherlands with these issues in mind to guide evaluations in conjunction with other tools and this study was an attempt to examine the validity and utility of the tool in UK mental health services. </w:t>
      </w:r>
    </w:p>
    <w:p w14:paraId="30DCB841" w14:textId="38166340" w:rsidR="00A60774" w:rsidRDefault="00885D78" w:rsidP="00B10D1C">
      <w:pPr>
        <w:spacing w:after="0" w:line="480" w:lineRule="auto"/>
        <w:ind w:firstLine="708"/>
        <w:jc w:val="left"/>
        <w:rPr>
          <w:rFonts w:asciiTheme="minorHAnsi" w:eastAsia="Times New Roman" w:hAnsiTheme="minorHAnsi" w:cs="Arial"/>
          <w:sz w:val="24"/>
          <w:szCs w:val="24"/>
          <w:lang w:eastAsia="ar-SA"/>
        </w:rPr>
      </w:pPr>
      <w:r w:rsidRPr="00F11382">
        <w:rPr>
          <w:rFonts w:asciiTheme="minorHAnsi" w:hAnsiTheme="minorHAnsi" w:cs="Arial"/>
          <w:sz w:val="24"/>
          <w:szCs w:val="24"/>
        </w:rPr>
        <w:t xml:space="preserve">At present protective factors are not routinely assessed in forensic mental health services to the same extent as risk factors. A risk-averse culture in many countries has previously obscured the desirability of focusing as well on strengths and protective factors and the integration of such information into routine healthcare decisions. This has the potential to compromise the clinical utility of protective factors in risk formulation if the rater is encouraged to think entirely in terms of a risk alone judgment. There is a need for a conceptual change if this is to be improved. Clinicians usually want to bring about positive change when working with patients rather than just reducing negative factors and adding the SAPROF or some other measure of protective factors to the </w:t>
      </w:r>
      <w:r w:rsidRPr="00F11382">
        <w:rPr>
          <w:rFonts w:asciiTheme="minorHAnsi" w:hAnsiTheme="minorHAnsi" w:cs="Arial"/>
          <w:sz w:val="24"/>
          <w:szCs w:val="24"/>
        </w:rPr>
        <w:lastRenderedPageBreak/>
        <w:t xml:space="preserve">assessment package enables this to happen. The patient would be more motivated to engage in treatment if they are involved as much as possible in the risk assessment, including being party to the findings wherever possible. Risk assessment results are often kept away from patients, despite all of their other documentation being made available to them but the SAPROF has the potential to produce profile results that can be more easily shared and thus to encourage collaborative working in constructing the risk management plan. The consideration of protective factors should thus bring a more balanced appreciation of the individual presenting risks than can be captured within current risk formulations. </w:t>
      </w:r>
    </w:p>
    <w:p w14:paraId="120ACC8D" w14:textId="10F8E92F" w:rsidR="00A60774" w:rsidRDefault="00885D78" w:rsidP="00B10D1C">
      <w:pPr>
        <w:spacing w:after="0" w:line="480" w:lineRule="auto"/>
        <w:ind w:firstLine="708"/>
        <w:jc w:val="left"/>
        <w:rPr>
          <w:rFonts w:asciiTheme="minorHAnsi" w:eastAsia="Times New Roman" w:hAnsiTheme="minorHAnsi" w:cs="Arial"/>
          <w:sz w:val="24"/>
          <w:szCs w:val="24"/>
          <w:lang w:eastAsia="ar-SA"/>
        </w:rPr>
      </w:pPr>
      <w:r w:rsidRPr="00824C53">
        <w:rPr>
          <w:rFonts w:asciiTheme="minorHAnsi" w:eastAsia="Times New Roman" w:hAnsiTheme="minorHAnsi" w:cs="Arial"/>
          <w:sz w:val="24"/>
          <w:szCs w:val="24"/>
          <w:lang w:eastAsia="ar-SA"/>
        </w:rPr>
        <w:t>The concept of a protective factor is evolving and still debated at a fundamental level in terms of whether it is simply the absence or converse of a risk factor or whether it is an independent entity which may mediate or moderate the relation</w:t>
      </w:r>
      <w:r w:rsidR="00DB2F7E">
        <w:rPr>
          <w:rFonts w:asciiTheme="minorHAnsi" w:eastAsia="Times New Roman" w:hAnsiTheme="minorHAnsi" w:cs="Arial"/>
          <w:sz w:val="24"/>
          <w:szCs w:val="24"/>
          <w:lang w:eastAsia="ar-SA"/>
        </w:rPr>
        <w:t>ship between risk and violence.</w:t>
      </w:r>
      <w:r w:rsidR="006E37D7">
        <w:rPr>
          <w:rFonts w:asciiTheme="minorHAnsi" w:eastAsia="Times New Roman" w:hAnsiTheme="minorHAnsi" w:cs="Arial"/>
          <w:sz w:val="24"/>
          <w:szCs w:val="24"/>
          <w:lang w:eastAsia="ar-SA"/>
        </w:rPr>
        <w:t xml:space="preserve"> </w:t>
      </w:r>
      <w:r w:rsidRPr="00824C53">
        <w:rPr>
          <w:rFonts w:asciiTheme="minorHAnsi" w:eastAsia="Times New Roman" w:hAnsiTheme="minorHAnsi" w:cs="Arial"/>
          <w:sz w:val="24"/>
          <w:szCs w:val="24"/>
          <w:lang w:eastAsia="ar-SA"/>
        </w:rPr>
        <w:t xml:space="preserve">It has been defined by one set of researchers as any characteristic of an individual or their environment or situation that may moderate risk factors </w:t>
      </w:r>
      <w:r w:rsidRPr="00824C53">
        <w:rPr>
          <w:rFonts w:asciiTheme="minorHAnsi" w:eastAsia="Times New Roman" w:hAnsiTheme="minorHAnsi" w:cs="Arial"/>
          <w:noProof/>
          <w:sz w:val="24"/>
          <w:szCs w:val="24"/>
          <w:lang w:eastAsia="ar-SA"/>
        </w:rPr>
        <w:t>(de Vogel, de Vries Robbé, de Ruiter, &amp; Bouman, 2011)</w:t>
      </w:r>
      <w:r w:rsidRPr="00824C53">
        <w:rPr>
          <w:rFonts w:asciiTheme="minorHAnsi" w:eastAsia="Times New Roman" w:hAnsiTheme="minorHAnsi" w:cs="Arial"/>
          <w:sz w:val="24"/>
          <w:szCs w:val="24"/>
          <w:lang w:eastAsia="ar-SA"/>
        </w:rPr>
        <w:t xml:space="preserve">. Thus protective factors are seen as conceptually distinct from risk factors and can act as a buffer in the relationship between risk factors and violent behaviour. De Vogel et al. (2011) give the example of religiosity which is negatively related (i.e. protects against) criminality but its absence, non-religiosity, has no relationship, positive </w:t>
      </w:r>
      <w:r w:rsidR="00DB2F7E">
        <w:rPr>
          <w:rFonts w:asciiTheme="minorHAnsi" w:eastAsia="Times New Roman" w:hAnsiTheme="minorHAnsi" w:cs="Arial"/>
          <w:sz w:val="24"/>
          <w:szCs w:val="24"/>
          <w:lang w:eastAsia="ar-SA"/>
        </w:rPr>
        <w:t xml:space="preserve">or negative, with criminality. </w:t>
      </w:r>
      <w:r w:rsidRPr="00824C53">
        <w:rPr>
          <w:rFonts w:asciiTheme="minorHAnsi" w:eastAsia="Times New Roman" w:hAnsiTheme="minorHAnsi" w:cs="Arial"/>
          <w:sz w:val="24"/>
          <w:szCs w:val="24"/>
          <w:lang w:eastAsia="ar-SA"/>
        </w:rPr>
        <w:t>Another way of viewing the distinction emphasises the orthogonality of risk and protectiveness: a person may score high on risk but also high on protective factors which</w:t>
      </w:r>
      <w:r w:rsidR="006E37D7">
        <w:rPr>
          <w:rFonts w:asciiTheme="minorHAnsi" w:eastAsia="Times New Roman" w:hAnsiTheme="minorHAnsi" w:cs="Arial"/>
          <w:sz w:val="24"/>
          <w:szCs w:val="24"/>
          <w:lang w:eastAsia="ar-SA"/>
        </w:rPr>
        <w:t xml:space="preserve"> </w:t>
      </w:r>
      <w:r w:rsidR="00DB2F7E">
        <w:rPr>
          <w:rFonts w:asciiTheme="minorHAnsi" w:eastAsia="Times New Roman" w:hAnsiTheme="minorHAnsi" w:cs="Arial"/>
          <w:sz w:val="24"/>
          <w:szCs w:val="24"/>
          <w:lang w:eastAsia="ar-SA"/>
        </w:rPr>
        <w:t xml:space="preserve">moderates the high risk level. </w:t>
      </w:r>
      <w:r w:rsidRPr="00824C53">
        <w:rPr>
          <w:rFonts w:asciiTheme="minorHAnsi" w:eastAsia="Times New Roman" w:hAnsiTheme="minorHAnsi" w:cs="Arial"/>
          <w:sz w:val="24"/>
          <w:szCs w:val="24"/>
          <w:lang w:eastAsia="ar-SA"/>
        </w:rPr>
        <w:t>Those who are truly ‘risky’ combine high levels of risk factor with low l</w:t>
      </w:r>
      <w:r w:rsidR="00A60774">
        <w:rPr>
          <w:rFonts w:asciiTheme="minorHAnsi" w:eastAsia="Times New Roman" w:hAnsiTheme="minorHAnsi" w:cs="Arial"/>
          <w:sz w:val="24"/>
          <w:szCs w:val="24"/>
          <w:lang w:eastAsia="ar-SA"/>
        </w:rPr>
        <w:t>evels of protective factors.</w:t>
      </w:r>
    </w:p>
    <w:p w14:paraId="4355ED54" w14:textId="77777777" w:rsidR="00A60774" w:rsidRDefault="00885D78" w:rsidP="00B10D1C">
      <w:pPr>
        <w:spacing w:after="0" w:line="480" w:lineRule="auto"/>
        <w:ind w:firstLine="708"/>
        <w:jc w:val="left"/>
        <w:rPr>
          <w:rFonts w:asciiTheme="minorHAnsi" w:eastAsia="Times New Roman" w:hAnsiTheme="minorHAnsi" w:cs="Arial"/>
          <w:sz w:val="24"/>
          <w:szCs w:val="24"/>
          <w:lang w:eastAsia="ar-SA"/>
        </w:rPr>
      </w:pPr>
      <w:r w:rsidRPr="00824C53">
        <w:rPr>
          <w:rFonts w:asciiTheme="minorHAnsi" w:eastAsia="Times New Roman" w:hAnsiTheme="minorHAnsi" w:cs="Arial"/>
          <w:sz w:val="24"/>
          <w:szCs w:val="24"/>
          <w:lang w:eastAsia="ar-SA"/>
        </w:rPr>
        <w:t>Based on the available evidence it seems likely that including protective factors in violence risk assessment is likely to lead to a more comprehensive ass</w:t>
      </w:r>
      <w:r w:rsidR="00DE1E15" w:rsidRPr="00824C53">
        <w:rPr>
          <w:rFonts w:asciiTheme="minorHAnsi" w:eastAsia="Times New Roman" w:hAnsiTheme="minorHAnsi" w:cs="Arial"/>
          <w:sz w:val="24"/>
          <w:szCs w:val="24"/>
          <w:lang w:eastAsia="ar-SA"/>
        </w:rPr>
        <w:t xml:space="preserve">essment of violence propensity </w:t>
      </w:r>
      <w:r w:rsidRPr="00824C53">
        <w:rPr>
          <w:rFonts w:asciiTheme="minorHAnsi" w:eastAsia="Times New Roman" w:hAnsiTheme="minorHAnsi" w:cs="Arial"/>
          <w:noProof/>
          <w:sz w:val="24"/>
          <w:szCs w:val="24"/>
          <w:lang w:eastAsia="ar-SA"/>
        </w:rPr>
        <w:t>(Quinsey, Jones, Book, &amp; Barr, 2006; Salekin &amp; Lochman, 2008)</w:t>
      </w:r>
      <w:r w:rsidRPr="00824C53">
        <w:rPr>
          <w:rFonts w:asciiTheme="minorHAnsi" w:eastAsia="Times New Roman" w:hAnsiTheme="minorHAnsi" w:cs="Arial"/>
          <w:sz w:val="24"/>
          <w:szCs w:val="24"/>
          <w:lang w:eastAsia="ar-SA"/>
        </w:rPr>
        <w:t xml:space="preserve">. Indeed, some researchers have concluded that strengthening protective factors may be more effective in decreasing risk </w:t>
      </w:r>
      <w:r w:rsidRPr="00824C53">
        <w:rPr>
          <w:rFonts w:asciiTheme="minorHAnsi" w:eastAsia="Times New Roman" w:hAnsiTheme="minorHAnsi" w:cs="Arial"/>
          <w:sz w:val="24"/>
          <w:szCs w:val="24"/>
          <w:lang w:eastAsia="ar-SA"/>
        </w:rPr>
        <w:lastRenderedPageBreak/>
        <w:t xml:space="preserve">behaviours and increasing prosocial behaviour than reducing the presence of risk factors </w:t>
      </w:r>
      <w:r w:rsidRPr="00824C53">
        <w:rPr>
          <w:rFonts w:asciiTheme="minorHAnsi" w:eastAsia="Times New Roman" w:hAnsiTheme="minorHAnsi" w:cs="Arial"/>
          <w:noProof/>
          <w:sz w:val="24"/>
          <w:szCs w:val="24"/>
          <w:lang w:eastAsia="ar-SA"/>
        </w:rPr>
        <w:t>(Blum &amp; Ireland, 2004; Resnick, Ireland, &amp; Borowsky, 2004)</w:t>
      </w:r>
      <w:r w:rsidRPr="00824C53">
        <w:rPr>
          <w:rFonts w:asciiTheme="minorHAnsi" w:eastAsia="Times New Roman" w:hAnsiTheme="minorHAnsi" w:cs="Arial"/>
          <w:sz w:val="24"/>
          <w:szCs w:val="24"/>
          <w:lang w:eastAsia="ar-SA"/>
        </w:rPr>
        <w:t xml:space="preserve">. An interest in systematically assessing this aspect has led to the development of a number of protective factor instruments in the last decade </w:t>
      </w:r>
      <w:r w:rsidRPr="00824C53">
        <w:rPr>
          <w:rFonts w:asciiTheme="minorHAnsi" w:eastAsia="Times New Roman" w:hAnsiTheme="minorHAnsi" w:cs="Arial"/>
          <w:noProof/>
          <w:sz w:val="24"/>
          <w:szCs w:val="24"/>
          <w:lang w:eastAsia="ar-SA"/>
        </w:rPr>
        <w:t>(Desmarais, Nicholls, Wilson, &amp; Brink, 2012; Lodewijks, Doreleijers, de Ruiter, &amp; Borum, 2008)</w:t>
      </w:r>
      <w:r w:rsidRPr="00824C53">
        <w:rPr>
          <w:rFonts w:asciiTheme="minorHAnsi" w:eastAsia="Times New Roman" w:hAnsiTheme="minorHAnsi" w:cs="Arial"/>
          <w:sz w:val="24"/>
          <w:szCs w:val="24"/>
          <w:lang w:eastAsia="ar-SA"/>
        </w:rPr>
        <w:t xml:space="preserve"> including the Structured Assessment of</w:t>
      </w:r>
      <w:r w:rsidR="00A60774">
        <w:rPr>
          <w:rFonts w:asciiTheme="minorHAnsi" w:eastAsia="Times New Roman" w:hAnsiTheme="minorHAnsi" w:cs="Arial"/>
          <w:sz w:val="24"/>
          <w:szCs w:val="24"/>
          <w:lang w:eastAsia="ar-SA"/>
        </w:rPr>
        <w:t xml:space="preserve"> Protective Factors (SAPROF).</w:t>
      </w:r>
    </w:p>
    <w:p w14:paraId="527E7A85" w14:textId="77777777" w:rsidR="00A60774" w:rsidRDefault="00885D78" w:rsidP="00B10D1C">
      <w:pPr>
        <w:spacing w:after="0" w:line="480" w:lineRule="auto"/>
        <w:ind w:firstLine="708"/>
        <w:jc w:val="left"/>
        <w:rPr>
          <w:rFonts w:asciiTheme="minorHAnsi" w:eastAsia="Times New Roman" w:hAnsiTheme="minorHAnsi" w:cs="Arial"/>
          <w:sz w:val="24"/>
          <w:szCs w:val="24"/>
          <w:lang w:eastAsia="ar-SA"/>
        </w:rPr>
      </w:pPr>
      <w:r w:rsidRPr="00824C53">
        <w:rPr>
          <w:rFonts w:asciiTheme="minorHAnsi" w:eastAsia="Times New Roman" w:hAnsiTheme="minorHAnsi" w:cs="Arial"/>
          <w:sz w:val="24"/>
          <w:szCs w:val="24"/>
          <w:lang w:eastAsia="ar-SA"/>
        </w:rPr>
        <w:t xml:space="preserve">This instrument was  developed  as a supplement to the HCR-20 </w:t>
      </w:r>
      <w:r w:rsidRPr="00824C53">
        <w:rPr>
          <w:rFonts w:asciiTheme="minorHAnsi" w:eastAsia="Times New Roman" w:hAnsiTheme="minorHAnsi" w:cs="Arial"/>
          <w:noProof/>
          <w:sz w:val="24"/>
          <w:szCs w:val="24"/>
          <w:lang w:eastAsia="ar-SA"/>
        </w:rPr>
        <w:t>(Historical Clinical Risk management - 20; Douglas et al., 2014)</w:t>
      </w:r>
      <w:r w:rsidRPr="00824C53">
        <w:rPr>
          <w:rFonts w:asciiTheme="minorHAnsi" w:eastAsia="Times New Roman" w:hAnsiTheme="minorHAnsi" w:cs="Arial"/>
          <w:sz w:val="24"/>
          <w:szCs w:val="24"/>
          <w:lang w:eastAsia="ar-SA"/>
        </w:rPr>
        <w:t xml:space="preserve"> to assess protective factors and their relationship to future violent behaviour in adult offenders and forensic psychiatric patients </w:t>
      </w:r>
      <w:r w:rsidRPr="00824C53">
        <w:rPr>
          <w:rFonts w:asciiTheme="minorHAnsi" w:eastAsia="Times New Roman" w:hAnsiTheme="minorHAnsi" w:cs="Arial"/>
          <w:noProof/>
          <w:sz w:val="24"/>
          <w:szCs w:val="24"/>
          <w:lang w:eastAsia="ar-SA"/>
        </w:rPr>
        <w:t>(de Vries Robbé, de Vogel, &amp; de Spa, 2011)</w:t>
      </w:r>
      <w:r w:rsidRPr="00824C53">
        <w:rPr>
          <w:rFonts w:asciiTheme="minorHAnsi" w:eastAsia="Times New Roman" w:hAnsiTheme="minorHAnsi" w:cs="Arial"/>
          <w:sz w:val="24"/>
          <w:szCs w:val="24"/>
          <w:lang w:eastAsia="ar-SA"/>
        </w:rPr>
        <w:t>. It is a structured assessment guideline intended for use in combination with a reliable and valid risk assessment instrument such as the HCR-20</w:t>
      </w:r>
      <w:r w:rsidRPr="00824C53">
        <w:rPr>
          <w:rFonts w:asciiTheme="minorHAnsi" w:hAnsiTheme="minorHAnsi" w:cs="Arial"/>
          <w:i/>
          <w:sz w:val="24"/>
          <w:szCs w:val="24"/>
        </w:rPr>
        <w:t xml:space="preserve"> </w:t>
      </w:r>
      <w:r w:rsidRPr="00824C53">
        <w:rPr>
          <w:rFonts w:asciiTheme="minorHAnsi" w:eastAsia="Times New Roman" w:hAnsiTheme="minorHAnsi" w:cs="Arial"/>
          <w:sz w:val="24"/>
          <w:szCs w:val="24"/>
          <w:lang w:eastAsia="ar-SA"/>
        </w:rPr>
        <w:t>in accordance with the overall SPJ approach. The instrument consists of two static and fifteen dynamic protective items each located in one of three domains: internal factors, external factors and motivational factors. It aims not only to assess protective factors, but also to inform treatment planning by identifying potential areas for intervention and it can offer valuable guidance in narrowing the gap between asse</w:t>
      </w:r>
      <w:r w:rsidR="00DB2F7E">
        <w:rPr>
          <w:rFonts w:asciiTheme="minorHAnsi" w:eastAsia="Times New Roman" w:hAnsiTheme="minorHAnsi" w:cs="Arial"/>
          <w:sz w:val="24"/>
          <w:szCs w:val="24"/>
          <w:lang w:eastAsia="ar-SA"/>
        </w:rPr>
        <w:t>ssment and violence prevention.</w:t>
      </w:r>
      <w:r w:rsidR="006E37D7">
        <w:rPr>
          <w:rFonts w:asciiTheme="minorHAnsi" w:eastAsia="Times New Roman" w:hAnsiTheme="minorHAnsi" w:cs="Arial"/>
          <w:sz w:val="24"/>
          <w:szCs w:val="24"/>
          <w:lang w:eastAsia="ar-SA"/>
        </w:rPr>
        <w:t xml:space="preserve"> </w:t>
      </w:r>
      <w:r w:rsidRPr="00824C53">
        <w:rPr>
          <w:rFonts w:asciiTheme="minorHAnsi" w:eastAsia="Times New Roman" w:hAnsiTheme="minorHAnsi" w:cs="Arial"/>
          <w:sz w:val="24"/>
          <w:szCs w:val="24"/>
          <w:lang w:eastAsia="ar-SA"/>
        </w:rPr>
        <w:t xml:space="preserve">For research purposes, a global score combining the risk and protective profiles of an individual can be calculated by subtracting the SAPROF score from the HCR-20 score as well as considering the two domains separately </w:t>
      </w:r>
      <w:r w:rsidRPr="00824C53">
        <w:rPr>
          <w:rFonts w:asciiTheme="minorHAnsi" w:eastAsia="Times New Roman" w:hAnsiTheme="minorHAnsi" w:cs="Arial"/>
          <w:noProof/>
          <w:sz w:val="24"/>
          <w:szCs w:val="24"/>
          <w:lang w:eastAsia="ar-SA"/>
        </w:rPr>
        <w:t>(De Vries Robbé, de Vogel, Douglas, &amp; Nijman, 2015)</w:t>
      </w:r>
      <w:r w:rsidRPr="00824C53">
        <w:rPr>
          <w:rFonts w:asciiTheme="minorHAnsi" w:eastAsia="Times New Roman" w:hAnsiTheme="minorHAnsi" w:cs="Arial"/>
          <w:sz w:val="24"/>
          <w:szCs w:val="24"/>
          <w:lang w:eastAsia="ar-SA"/>
        </w:rPr>
        <w:t>.</w:t>
      </w:r>
    </w:p>
    <w:p w14:paraId="592F1356" w14:textId="77777777" w:rsidR="00A60774" w:rsidRDefault="00885D78" w:rsidP="00B10D1C">
      <w:pPr>
        <w:spacing w:after="0" w:line="480" w:lineRule="auto"/>
        <w:ind w:firstLine="708"/>
        <w:jc w:val="left"/>
        <w:rPr>
          <w:rFonts w:asciiTheme="minorHAnsi" w:eastAsia="Times New Roman" w:hAnsiTheme="minorHAnsi" w:cs="Arial"/>
          <w:sz w:val="24"/>
          <w:szCs w:val="24"/>
          <w:lang w:eastAsia="ar-SA"/>
        </w:rPr>
      </w:pPr>
      <w:r w:rsidRPr="00824C53">
        <w:rPr>
          <w:rFonts w:asciiTheme="minorHAnsi" w:eastAsia="Times New Roman" w:hAnsiTheme="minorHAnsi" w:cs="Arial"/>
          <w:sz w:val="24"/>
          <w:szCs w:val="24"/>
          <w:lang w:eastAsia="ar-SA"/>
        </w:rPr>
        <w:t xml:space="preserve">De Vries Robbé, de Vogel, and de Spa </w:t>
      </w:r>
      <w:r w:rsidRPr="00824C53">
        <w:rPr>
          <w:rFonts w:asciiTheme="minorHAnsi" w:eastAsia="Times New Roman" w:hAnsiTheme="minorHAnsi" w:cs="Arial"/>
          <w:noProof/>
          <w:sz w:val="24"/>
          <w:szCs w:val="24"/>
          <w:lang w:eastAsia="ar-SA"/>
        </w:rPr>
        <w:t>(2011)</w:t>
      </w:r>
      <w:r w:rsidRPr="00824C53">
        <w:rPr>
          <w:rFonts w:asciiTheme="minorHAnsi" w:eastAsia="Times New Roman" w:hAnsiTheme="minorHAnsi" w:cs="Arial"/>
          <w:sz w:val="24"/>
          <w:szCs w:val="24"/>
          <w:lang w:eastAsia="ar-SA"/>
        </w:rPr>
        <w:t xml:space="preserve"> report good predictive validity for the SAPROF in relation to criminal recidivism at one-year and two-year follow-ups </w:t>
      </w:r>
      <w:r w:rsidRPr="00824C53">
        <w:rPr>
          <w:rFonts w:asciiTheme="minorHAnsi" w:eastAsia="Times New Roman" w:hAnsiTheme="minorHAnsi" w:cs="Arial"/>
          <w:sz w:val="24"/>
          <w:szCs w:val="24"/>
          <w:lang w:val="en-US" w:eastAsia="ar-SA"/>
        </w:rPr>
        <w:t>in a sample of 126 Dutch patients released from a secure f</w:t>
      </w:r>
      <w:r w:rsidR="00DB2F7E">
        <w:rPr>
          <w:rFonts w:asciiTheme="minorHAnsi" w:eastAsia="Times New Roman" w:hAnsiTheme="minorHAnsi" w:cs="Arial"/>
          <w:sz w:val="24"/>
          <w:szCs w:val="24"/>
          <w:lang w:val="en-US" w:eastAsia="ar-SA"/>
        </w:rPr>
        <w:t xml:space="preserve">orensic mental health setting. </w:t>
      </w:r>
      <w:r w:rsidRPr="00824C53">
        <w:rPr>
          <w:rFonts w:asciiTheme="minorHAnsi" w:eastAsia="Times New Roman" w:hAnsiTheme="minorHAnsi" w:cs="Arial"/>
          <w:sz w:val="24"/>
          <w:szCs w:val="24"/>
          <w:lang w:eastAsia="ar-SA"/>
        </w:rPr>
        <w:t xml:space="preserve">It has since been subjected to further testing with sex offenders and other forensic groups in the Netherlands </w:t>
      </w:r>
      <w:r w:rsidRPr="00824C53">
        <w:rPr>
          <w:rFonts w:asciiTheme="minorHAnsi" w:eastAsia="Times New Roman" w:hAnsiTheme="minorHAnsi" w:cs="Arial"/>
          <w:noProof/>
          <w:sz w:val="24"/>
          <w:szCs w:val="24"/>
          <w:lang w:eastAsia="ar-SA"/>
        </w:rPr>
        <w:t>(De Vries Robbé et al., 2015)</w:t>
      </w:r>
      <w:r w:rsidRPr="00824C53">
        <w:rPr>
          <w:rFonts w:asciiTheme="minorHAnsi" w:eastAsia="Times New Roman" w:hAnsiTheme="minorHAnsi" w:cs="Arial"/>
          <w:sz w:val="24"/>
          <w:szCs w:val="24"/>
          <w:lang w:eastAsia="ar-SA"/>
        </w:rPr>
        <w:t xml:space="preserve"> and more widely in Canada, Singapore, Ireland and Germany </w:t>
      </w:r>
      <w:r w:rsidRPr="00824C53">
        <w:rPr>
          <w:rFonts w:asciiTheme="minorHAnsi" w:eastAsia="Times New Roman" w:hAnsiTheme="minorHAnsi" w:cs="Arial"/>
          <w:noProof/>
          <w:sz w:val="24"/>
          <w:szCs w:val="24"/>
          <w:lang w:eastAsia="ar-SA"/>
        </w:rPr>
        <w:t xml:space="preserve">(Abidin et al., 2013; Davoren et al., 2013; Doyle, 2014; Turner et al., 2014; Viljoen et al., 2016; Yoon, Spehr, &amp; Briken, 2011; Zeng, </w:t>
      </w:r>
      <w:r w:rsidRPr="00824C53">
        <w:rPr>
          <w:rFonts w:asciiTheme="minorHAnsi" w:eastAsia="Times New Roman" w:hAnsiTheme="minorHAnsi" w:cs="Arial"/>
          <w:noProof/>
          <w:sz w:val="24"/>
          <w:szCs w:val="24"/>
          <w:lang w:eastAsia="ar-SA"/>
        </w:rPr>
        <w:lastRenderedPageBreak/>
        <w:t>Chu, &amp; Lee, 2015)</w:t>
      </w:r>
      <w:r w:rsidRPr="00824C53">
        <w:rPr>
          <w:rFonts w:asciiTheme="minorHAnsi" w:eastAsia="Times New Roman" w:hAnsiTheme="minorHAnsi" w:cs="Arial"/>
          <w:sz w:val="24"/>
          <w:szCs w:val="24"/>
          <w:lang w:eastAsia="ar-SA"/>
        </w:rPr>
        <w:t>. Results so far in these forensic setting studies are mixed but promising. Doyle et al.’s (2014) prospective study comparing a cohort of forensic patients discharge</w:t>
      </w:r>
      <w:r w:rsidR="006E37D7">
        <w:rPr>
          <w:rFonts w:asciiTheme="minorHAnsi" w:eastAsia="Times New Roman" w:hAnsiTheme="minorHAnsi" w:cs="Arial"/>
          <w:sz w:val="24"/>
          <w:szCs w:val="24"/>
          <w:lang w:eastAsia="ar-SA"/>
        </w:rPr>
        <w:t xml:space="preserve">d from UK medium secure units </w:t>
      </w:r>
      <w:r w:rsidRPr="00824C53">
        <w:rPr>
          <w:rFonts w:asciiTheme="minorHAnsi" w:eastAsia="Times New Roman" w:hAnsiTheme="minorHAnsi" w:cs="Arial"/>
          <w:sz w:val="24"/>
          <w:szCs w:val="24"/>
          <w:lang w:eastAsia="ar-SA"/>
        </w:rPr>
        <w:t>to prison or the community, found greater protective factors and lower r</w:t>
      </w:r>
      <w:r w:rsidR="006A7020" w:rsidRPr="00824C53">
        <w:rPr>
          <w:rFonts w:asciiTheme="minorHAnsi" w:eastAsia="Times New Roman" w:hAnsiTheme="minorHAnsi" w:cs="Arial"/>
          <w:sz w:val="24"/>
          <w:szCs w:val="24"/>
          <w:lang w:eastAsia="ar-SA"/>
        </w:rPr>
        <w:t>isk scores in the latter group.</w:t>
      </w:r>
      <w:r w:rsidRPr="00824C53">
        <w:rPr>
          <w:rFonts w:asciiTheme="minorHAnsi" w:eastAsia="Times New Roman" w:hAnsiTheme="minorHAnsi" w:cs="Arial"/>
          <w:sz w:val="24"/>
          <w:szCs w:val="24"/>
          <w:lang w:eastAsia="ar-SA"/>
        </w:rPr>
        <w:t xml:space="preserve"> In terms of predictive validity, results from the same cohort (Coid et al., 2015) indicated that a number of SAPROF items (e.g. intelligence, intimate relationship) were poor predictors of violence in the six months following assessment in both a standard predictive and a causal model. A meta-analysis has also indicated that the SAPROF dynamic items and total score had the strongest predictive validity across a range of protective factor instruments </w:t>
      </w:r>
      <w:r w:rsidRPr="00824C53">
        <w:rPr>
          <w:rFonts w:asciiTheme="minorHAnsi" w:eastAsia="Times New Roman" w:hAnsiTheme="minorHAnsi" w:cs="Arial"/>
          <w:noProof/>
          <w:sz w:val="24"/>
          <w:szCs w:val="24"/>
          <w:lang w:eastAsia="ar-SA"/>
        </w:rPr>
        <w:t>(O'Shea &amp; Dickens, 2015)</w:t>
      </w:r>
      <w:r w:rsidRPr="00824C53">
        <w:rPr>
          <w:rFonts w:asciiTheme="minorHAnsi" w:eastAsia="Times New Roman" w:hAnsiTheme="minorHAnsi" w:cs="Arial"/>
          <w:sz w:val="24"/>
          <w:szCs w:val="24"/>
          <w:lang w:eastAsia="ar-SA"/>
        </w:rPr>
        <w:t xml:space="preserve">. </w:t>
      </w:r>
    </w:p>
    <w:p w14:paraId="7E05ADF8" w14:textId="77777777" w:rsidR="00885D78" w:rsidRPr="00824C53" w:rsidRDefault="00885D78" w:rsidP="00B10D1C">
      <w:pPr>
        <w:spacing w:after="0" w:line="480" w:lineRule="auto"/>
        <w:ind w:firstLine="708"/>
        <w:jc w:val="left"/>
        <w:rPr>
          <w:rFonts w:asciiTheme="minorHAnsi" w:eastAsia="Times New Roman" w:hAnsiTheme="minorHAnsi" w:cs="Arial"/>
          <w:sz w:val="24"/>
          <w:szCs w:val="24"/>
          <w:lang w:eastAsia="ar-SA"/>
        </w:rPr>
      </w:pPr>
      <w:r w:rsidRPr="00824C53">
        <w:rPr>
          <w:rFonts w:asciiTheme="minorHAnsi" w:eastAsia="Times New Roman" w:hAnsiTheme="minorHAnsi" w:cs="Arial"/>
          <w:sz w:val="24"/>
          <w:szCs w:val="24"/>
          <w:lang w:eastAsia="ar-SA"/>
        </w:rPr>
        <w:t xml:space="preserve">Despite this growing literature in forensic services, there is currently very little research on the potential for the SAPROF’s application in other mental health populations where violence can also occur and where the concept of protective factors is equally applicable. This study therefore applied the SAPROF and HCR-20 to a non-forensic UK sample in general in-patient and community settings in order (1) to compare the protective factor profile with that of a UK forensic sample and (2) to examine </w:t>
      </w:r>
      <w:r w:rsidR="00DE1E15" w:rsidRPr="00824C53">
        <w:rPr>
          <w:rFonts w:asciiTheme="minorHAnsi" w:eastAsia="Times New Roman" w:hAnsiTheme="minorHAnsi" w:cs="Arial"/>
          <w:sz w:val="24"/>
          <w:szCs w:val="24"/>
          <w:lang w:eastAsia="ar-SA"/>
        </w:rPr>
        <w:t xml:space="preserve">concurrent and </w:t>
      </w:r>
      <w:r w:rsidRPr="00824C53">
        <w:rPr>
          <w:rFonts w:asciiTheme="minorHAnsi" w:eastAsia="Times New Roman" w:hAnsiTheme="minorHAnsi" w:cs="Arial"/>
          <w:sz w:val="24"/>
          <w:szCs w:val="24"/>
          <w:lang w:eastAsia="ar-SA"/>
        </w:rPr>
        <w:t>predictive validity in the new settings.</w:t>
      </w:r>
    </w:p>
    <w:p w14:paraId="3AEFFA3B" w14:textId="77777777" w:rsidR="00885D78" w:rsidRPr="00A60774" w:rsidRDefault="00885D78" w:rsidP="00B10D1C">
      <w:pPr>
        <w:spacing w:after="0" w:line="480" w:lineRule="auto"/>
        <w:jc w:val="center"/>
        <w:rPr>
          <w:rFonts w:asciiTheme="minorHAnsi" w:eastAsia="Times New Roman" w:hAnsiTheme="minorHAnsi"/>
          <w:b/>
          <w:sz w:val="24"/>
          <w:szCs w:val="24"/>
          <w:lang w:eastAsia="ar-SA"/>
        </w:rPr>
      </w:pPr>
      <w:r w:rsidRPr="00A60774">
        <w:rPr>
          <w:rFonts w:asciiTheme="minorHAnsi" w:hAnsiTheme="minorHAnsi"/>
          <w:b/>
          <w:sz w:val="24"/>
          <w:szCs w:val="24"/>
        </w:rPr>
        <w:t>Method</w:t>
      </w:r>
    </w:p>
    <w:p w14:paraId="235F7C15" w14:textId="77777777" w:rsidR="00885D78" w:rsidRPr="00824C53" w:rsidRDefault="00885D78" w:rsidP="00B10D1C">
      <w:pPr>
        <w:spacing w:after="0" w:line="480" w:lineRule="auto"/>
        <w:ind w:firstLine="708"/>
        <w:jc w:val="left"/>
        <w:rPr>
          <w:rFonts w:asciiTheme="minorHAnsi" w:hAnsiTheme="minorHAnsi" w:cs="Arial"/>
          <w:sz w:val="24"/>
          <w:szCs w:val="24"/>
        </w:rPr>
      </w:pPr>
      <w:r w:rsidRPr="00824C53">
        <w:rPr>
          <w:rFonts w:asciiTheme="minorHAnsi" w:hAnsiTheme="minorHAnsi" w:cs="Arial"/>
          <w:sz w:val="24"/>
          <w:szCs w:val="24"/>
        </w:rPr>
        <w:t>To establish concurrent validity, we adopted a cross-sectional design, in which we compared the relationship between scores on the SAPROF, th</w:t>
      </w:r>
      <w:r w:rsidR="006A7020" w:rsidRPr="00824C53">
        <w:rPr>
          <w:rFonts w:asciiTheme="minorHAnsi" w:hAnsiTheme="minorHAnsi" w:cs="Arial"/>
          <w:sz w:val="24"/>
          <w:szCs w:val="24"/>
        </w:rPr>
        <w:t>e HCR</w:t>
      </w:r>
      <w:r w:rsidR="00C44682" w:rsidRPr="00824C53">
        <w:rPr>
          <w:rFonts w:asciiTheme="minorHAnsi" w:hAnsiTheme="minorHAnsi" w:cs="Arial"/>
          <w:sz w:val="24"/>
          <w:szCs w:val="24"/>
        </w:rPr>
        <w:t>-</w:t>
      </w:r>
      <w:r w:rsidR="006A7020" w:rsidRPr="00824C53">
        <w:rPr>
          <w:rFonts w:asciiTheme="minorHAnsi" w:hAnsiTheme="minorHAnsi" w:cs="Arial"/>
          <w:sz w:val="24"/>
          <w:szCs w:val="24"/>
        </w:rPr>
        <w:t xml:space="preserve">20 and a third instrument </w:t>
      </w:r>
      <w:r w:rsidRPr="00824C53">
        <w:rPr>
          <w:rFonts w:asciiTheme="minorHAnsi" w:hAnsiTheme="minorHAnsi" w:cs="Arial"/>
          <w:sz w:val="24"/>
          <w:szCs w:val="24"/>
        </w:rPr>
        <w:t xml:space="preserve">with established validity in terms of violence, the Psychopathy Checklist (Screening Version; </w:t>
      </w:r>
      <w:r w:rsidR="00C44682" w:rsidRPr="00824C53">
        <w:rPr>
          <w:rFonts w:asciiTheme="minorHAnsi" w:hAnsiTheme="minorHAnsi" w:cs="Arial"/>
          <w:sz w:val="24"/>
          <w:szCs w:val="24"/>
        </w:rPr>
        <w:t>PCL:SV; Hart, Cox &amp; Hare, 1995)</w:t>
      </w:r>
      <w:r w:rsidRPr="00824C53">
        <w:rPr>
          <w:rFonts w:asciiTheme="minorHAnsi" w:hAnsiTheme="minorHAnsi" w:cs="Arial"/>
          <w:sz w:val="24"/>
          <w:szCs w:val="24"/>
        </w:rPr>
        <w:t xml:space="preserve"> in 261 patients. For predictive validity, we used a prospective design linking SAPROF scores and violence in the subsequent 6 months in a subgroup of the overall sample (n=151).</w:t>
      </w:r>
    </w:p>
    <w:p w14:paraId="2127F285" w14:textId="77777777" w:rsidR="00885D78" w:rsidRPr="00A60774" w:rsidRDefault="00934574" w:rsidP="00B10D1C">
      <w:pPr>
        <w:spacing w:after="0" w:line="480" w:lineRule="auto"/>
        <w:rPr>
          <w:rFonts w:asciiTheme="minorHAnsi" w:eastAsia="Times New Roman" w:hAnsiTheme="minorHAnsi"/>
          <w:b/>
          <w:sz w:val="24"/>
          <w:szCs w:val="24"/>
          <w:lang w:eastAsia="ar-SA"/>
        </w:rPr>
      </w:pPr>
      <w:r w:rsidRPr="00A60774">
        <w:rPr>
          <w:rFonts w:asciiTheme="minorHAnsi" w:hAnsiTheme="minorHAnsi"/>
          <w:b/>
          <w:sz w:val="24"/>
          <w:szCs w:val="24"/>
        </w:rPr>
        <w:t>Settings and S</w:t>
      </w:r>
      <w:r w:rsidR="00885D78" w:rsidRPr="00A60774">
        <w:rPr>
          <w:rFonts w:asciiTheme="minorHAnsi" w:hAnsiTheme="minorHAnsi"/>
          <w:b/>
          <w:sz w:val="24"/>
          <w:szCs w:val="24"/>
        </w:rPr>
        <w:t>ample</w:t>
      </w:r>
    </w:p>
    <w:p w14:paraId="148F9756" w14:textId="77777777" w:rsidR="00A60774" w:rsidRDefault="00885D78" w:rsidP="00B10D1C">
      <w:pPr>
        <w:spacing w:after="0" w:line="480" w:lineRule="auto"/>
        <w:ind w:firstLine="708"/>
        <w:jc w:val="left"/>
        <w:rPr>
          <w:rFonts w:asciiTheme="minorHAnsi" w:eastAsia="Times New Roman" w:hAnsiTheme="minorHAnsi" w:cs="Arial"/>
          <w:sz w:val="24"/>
          <w:szCs w:val="24"/>
          <w:lang w:eastAsia="ar-SA"/>
        </w:rPr>
      </w:pPr>
      <w:r w:rsidRPr="00824C53">
        <w:rPr>
          <w:rFonts w:asciiTheme="minorHAnsi" w:eastAsia="Times New Roman" w:hAnsiTheme="minorHAnsi" w:cs="Arial"/>
          <w:sz w:val="24"/>
          <w:szCs w:val="24"/>
          <w:lang w:eastAsia="ar-SA"/>
        </w:rPr>
        <w:lastRenderedPageBreak/>
        <w:t>The study was conducted in three settings in the North West of England</w:t>
      </w:r>
      <w:r w:rsidR="00851C2E" w:rsidRPr="00824C53">
        <w:rPr>
          <w:rFonts w:asciiTheme="minorHAnsi" w:eastAsia="Times New Roman" w:hAnsiTheme="minorHAnsi" w:cs="Arial"/>
          <w:sz w:val="24"/>
          <w:szCs w:val="24"/>
          <w:lang w:eastAsia="ar-SA"/>
        </w:rPr>
        <w:t xml:space="preserve"> (2010 – 2013), as follows</w:t>
      </w:r>
      <w:r w:rsidR="00A60774">
        <w:rPr>
          <w:rFonts w:asciiTheme="minorHAnsi" w:eastAsia="Times New Roman" w:hAnsiTheme="minorHAnsi" w:cs="Arial"/>
          <w:sz w:val="24"/>
          <w:szCs w:val="24"/>
          <w:lang w:eastAsia="ar-SA"/>
        </w:rPr>
        <w:t>:</w:t>
      </w:r>
    </w:p>
    <w:p w14:paraId="63AD6880" w14:textId="77777777" w:rsidR="00885D78" w:rsidRPr="00A60774" w:rsidRDefault="00885D78" w:rsidP="00B10D1C">
      <w:pPr>
        <w:spacing w:after="0" w:line="480" w:lineRule="auto"/>
        <w:ind w:firstLine="708"/>
        <w:jc w:val="left"/>
        <w:rPr>
          <w:rFonts w:asciiTheme="minorHAnsi" w:eastAsia="Times New Roman" w:hAnsiTheme="minorHAnsi" w:cs="Arial"/>
          <w:sz w:val="24"/>
          <w:szCs w:val="24"/>
          <w:lang w:eastAsia="ar-SA"/>
        </w:rPr>
      </w:pPr>
      <w:r w:rsidRPr="00934574">
        <w:rPr>
          <w:rFonts w:asciiTheme="minorHAnsi" w:hAnsiTheme="minorHAnsi" w:cs="Arial"/>
          <w:b/>
          <w:sz w:val="24"/>
          <w:szCs w:val="24"/>
        </w:rPr>
        <w:t>Secure inpatient services</w:t>
      </w:r>
      <w:r w:rsidR="00851C2E" w:rsidRPr="00824C53">
        <w:rPr>
          <w:rFonts w:asciiTheme="minorHAnsi" w:hAnsiTheme="minorHAnsi" w:cs="Arial"/>
          <w:sz w:val="24"/>
          <w:szCs w:val="24"/>
        </w:rPr>
        <w:t xml:space="preserve"> (n=55)</w:t>
      </w:r>
      <w:r w:rsidR="00DB2F7E">
        <w:rPr>
          <w:rFonts w:asciiTheme="minorHAnsi" w:hAnsiTheme="minorHAnsi" w:cs="Arial"/>
          <w:sz w:val="24"/>
          <w:szCs w:val="24"/>
        </w:rPr>
        <w:t xml:space="preserve">. </w:t>
      </w:r>
      <w:r w:rsidR="00934574">
        <w:rPr>
          <w:rFonts w:asciiTheme="minorHAnsi" w:hAnsiTheme="minorHAnsi" w:cs="Arial"/>
          <w:sz w:val="24"/>
          <w:szCs w:val="24"/>
        </w:rPr>
        <w:t>T</w:t>
      </w:r>
      <w:r w:rsidRPr="00824C53">
        <w:rPr>
          <w:rFonts w:asciiTheme="minorHAnsi" w:hAnsiTheme="minorHAnsi" w:cs="Arial"/>
          <w:sz w:val="24"/>
          <w:szCs w:val="24"/>
        </w:rPr>
        <w:t xml:space="preserve">his consisted of a Medium Secure Unit (MSU; 55 male and 11 female beds) and four Low Secure Units (approximately 12 male beds each) on four separate sites. These units were locked and provide secure care to forensic and other high-risk populations drawn from a mixed urban and rural population. Most patients on the wards were detained under the Mental Health Act (MHA) and the average admission duration in the MSU was 12 months.   </w:t>
      </w:r>
    </w:p>
    <w:p w14:paraId="0E8EE16D" w14:textId="77777777" w:rsidR="00885D78" w:rsidRPr="00824C53" w:rsidRDefault="00885D78" w:rsidP="00B10D1C">
      <w:pPr>
        <w:spacing w:after="0" w:line="480" w:lineRule="auto"/>
        <w:ind w:firstLine="708"/>
        <w:jc w:val="left"/>
        <w:rPr>
          <w:rFonts w:asciiTheme="minorHAnsi" w:hAnsiTheme="minorHAnsi" w:cs="Arial"/>
          <w:sz w:val="24"/>
          <w:szCs w:val="24"/>
        </w:rPr>
      </w:pPr>
      <w:r w:rsidRPr="00934574">
        <w:rPr>
          <w:rFonts w:asciiTheme="minorHAnsi" w:hAnsiTheme="minorHAnsi" w:cs="Arial"/>
          <w:b/>
          <w:sz w:val="24"/>
          <w:szCs w:val="24"/>
        </w:rPr>
        <w:t>General inpatient services</w:t>
      </w:r>
      <w:r w:rsidRPr="00824C53">
        <w:rPr>
          <w:rFonts w:asciiTheme="minorHAnsi" w:hAnsiTheme="minorHAnsi" w:cs="Arial"/>
          <w:sz w:val="24"/>
          <w:szCs w:val="24"/>
        </w:rPr>
        <w:t xml:space="preserve"> </w:t>
      </w:r>
      <w:r w:rsidR="00851C2E" w:rsidRPr="00824C53">
        <w:rPr>
          <w:rFonts w:asciiTheme="minorHAnsi" w:hAnsiTheme="minorHAnsi" w:cs="Arial"/>
          <w:sz w:val="24"/>
          <w:szCs w:val="24"/>
        </w:rPr>
        <w:t>(n=100)</w:t>
      </w:r>
      <w:r w:rsidR="00DB2F7E">
        <w:rPr>
          <w:rFonts w:asciiTheme="minorHAnsi" w:hAnsiTheme="minorHAnsi" w:cs="Arial"/>
          <w:sz w:val="24"/>
          <w:szCs w:val="24"/>
        </w:rPr>
        <w:t xml:space="preserve">. </w:t>
      </w:r>
      <w:r w:rsidR="00934574">
        <w:rPr>
          <w:rFonts w:asciiTheme="minorHAnsi" w:hAnsiTheme="minorHAnsi" w:cs="Arial"/>
          <w:sz w:val="24"/>
          <w:szCs w:val="24"/>
        </w:rPr>
        <w:t>T</w:t>
      </w:r>
      <w:r w:rsidRPr="00824C53">
        <w:rPr>
          <w:rFonts w:asciiTheme="minorHAnsi" w:hAnsiTheme="minorHAnsi" w:cs="Arial"/>
          <w:sz w:val="24"/>
          <w:szCs w:val="24"/>
        </w:rPr>
        <w:t>his consisted of nine general acute wards, each with approximately 20 beds, on six separate sites. These units provided acute care (including one Psychiatric Intensive Care Unit) for adult male and female patients from a predominantly urban population. Most patients on the wards were not detained under the MHA and the average admission duration was about 6 weeks.</w:t>
      </w:r>
    </w:p>
    <w:p w14:paraId="1A6ACDCB" w14:textId="77777777" w:rsidR="00885D78" w:rsidRPr="00824C53" w:rsidRDefault="00885D78" w:rsidP="00B10D1C">
      <w:pPr>
        <w:spacing w:after="0" w:line="480" w:lineRule="auto"/>
        <w:ind w:firstLine="708"/>
        <w:jc w:val="left"/>
        <w:rPr>
          <w:rFonts w:asciiTheme="minorHAnsi" w:hAnsiTheme="minorHAnsi" w:cs="Arial"/>
          <w:sz w:val="24"/>
          <w:szCs w:val="24"/>
        </w:rPr>
      </w:pPr>
      <w:r w:rsidRPr="00934574">
        <w:rPr>
          <w:rFonts w:asciiTheme="minorHAnsi" w:hAnsiTheme="minorHAnsi" w:cs="Arial"/>
          <w:b/>
          <w:sz w:val="24"/>
          <w:szCs w:val="24"/>
        </w:rPr>
        <w:t>Community services</w:t>
      </w:r>
      <w:r w:rsidR="00851C2E" w:rsidRPr="00824C53">
        <w:rPr>
          <w:rFonts w:asciiTheme="minorHAnsi" w:hAnsiTheme="minorHAnsi" w:cs="Arial"/>
          <w:sz w:val="24"/>
          <w:szCs w:val="24"/>
        </w:rPr>
        <w:t xml:space="preserve"> (n=106)</w:t>
      </w:r>
      <w:r w:rsidR="00934574">
        <w:rPr>
          <w:rFonts w:asciiTheme="minorHAnsi" w:hAnsiTheme="minorHAnsi" w:cs="Arial"/>
          <w:sz w:val="24"/>
          <w:szCs w:val="24"/>
        </w:rPr>
        <w:t>. T</w:t>
      </w:r>
      <w:r w:rsidRPr="00824C53">
        <w:rPr>
          <w:rFonts w:asciiTheme="minorHAnsi" w:hAnsiTheme="minorHAnsi" w:cs="Arial"/>
          <w:sz w:val="24"/>
          <w:szCs w:val="24"/>
        </w:rPr>
        <w:t>his consisted of six Community Mental Health Teams (CMHTs) in various configurations on separate sites. These teams provided domiciliary and outpatient services to a predominantly urban populatio</w:t>
      </w:r>
      <w:r w:rsidR="00851C2E" w:rsidRPr="00824C53">
        <w:rPr>
          <w:rFonts w:asciiTheme="minorHAnsi" w:hAnsiTheme="minorHAnsi" w:cs="Arial"/>
          <w:sz w:val="24"/>
          <w:szCs w:val="24"/>
        </w:rPr>
        <w:t>n. General inpatients</w:t>
      </w:r>
      <w:r w:rsidRPr="00824C53">
        <w:rPr>
          <w:rFonts w:asciiTheme="minorHAnsi" w:hAnsiTheme="minorHAnsi" w:cs="Arial"/>
          <w:sz w:val="24"/>
          <w:szCs w:val="24"/>
        </w:rPr>
        <w:t xml:space="preserve"> were clients of these CMHTs but were admitted at the time of assessment and </w:t>
      </w:r>
      <w:r w:rsidR="006A7020" w:rsidRPr="00824C53">
        <w:rPr>
          <w:rFonts w:asciiTheme="minorHAnsi" w:hAnsiTheme="minorHAnsi" w:cs="Arial"/>
          <w:sz w:val="24"/>
          <w:szCs w:val="24"/>
        </w:rPr>
        <w:t>thus are categorised as part of</w:t>
      </w:r>
      <w:r w:rsidRPr="00824C53">
        <w:rPr>
          <w:rFonts w:asciiTheme="minorHAnsi" w:hAnsiTheme="minorHAnsi" w:cs="Arial"/>
          <w:sz w:val="24"/>
          <w:szCs w:val="24"/>
        </w:rPr>
        <w:t xml:space="preserve"> the </w:t>
      </w:r>
      <w:r w:rsidR="00DB2F7E">
        <w:rPr>
          <w:rFonts w:asciiTheme="minorHAnsi" w:hAnsiTheme="minorHAnsi" w:cs="Arial"/>
          <w:sz w:val="24"/>
          <w:szCs w:val="24"/>
        </w:rPr>
        <w:t>general in-patient sample above.</w:t>
      </w:r>
    </w:p>
    <w:p w14:paraId="0E65AB42" w14:textId="77777777" w:rsidR="00885D78" w:rsidRPr="00A60774" w:rsidRDefault="00885D78" w:rsidP="00B10D1C">
      <w:pPr>
        <w:spacing w:after="0" w:line="480" w:lineRule="auto"/>
        <w:rPr>
          <w:rFonts w:asciiTheme="minorHAnsi" w:eastAsia="Times New Roman" w:hAnsiTheme="minorHAnsi"/>
          <w:b/>
          <w:sz w:val="24"/>
          <w:szCs w:val="24"/>
        </w:rPr>
      </w:pPr>
      <w:r w:rsidRPr="00A60774">
        <w:rPr>
          <w:rFonts w:asciiTheme="minorHAnsi" w:eastAsia="Times New Roman" w:hAnsiTheme="minorHAnsi"/>
          <w:b/>
          <w:sz w:val="24"/>
          <w:szCs w:val="24"/>
        </w:rPr>
        <w:t>Measures</w:t>
      </w:r>
    </w:p>
    <w:p w14:paraId="6D67B387" w14:textId="77777777" w:rsidR="00A60774" w:rsidRDefault="00885D78" w:rsidP="00B10D1C">
      <w:pPr>
        <w:spacing w:after="0" w:line="480" w:lineRule="auto"/>
        <w:ind w:firstLine="708"/>
        <w:jc w:val="left"/>
        <w:rPr>
          <w:rFonts w:asciiTheme="minorHAnsi" w:eastAsia="Times New Roman" w:hAnsiTheme="minorHAnsi" w:cs="Arial"/>
          <w:sz w:val="24"/>
          <w:szCs w:val="24"/>
          <w:lang w:val="en-US" w:eastAsia="ar-SA"/>
        </w:rPr>
      </w:pPr>
      <w:r w:rsidRPr="00824C53">
        <w:rPr>
          <w:rFonts w:asciiTheme="minorHAnsi" w:eastAsia="Times New Roman" w:hAnsiTheme="minorHAnsi" w:cs="Arial"/>
          <w:sz w:val="24"/>
          <w:szCs w:val="24"/>
          <w:lang w:eastAsia="ar-SA"/>
        </w:rPr>
        <w:t>T</w:t>
      </w:r>
      <w:r w:rsidRPr="00824C53">
        <w:rPr>
          <w:rFonts w:asciiTheme="minorHAnsi" w:eastAsia="Times New Roman" w:hAnsiTheme="minorHAnsi" w:cs="Arial"/>
          <w:sz w:val="24"/>
          <w:szCs w:val="24"/>
          <w:lang w:val="en-US" w:eastAsia="ar-SA"/>
        </w:rPr>
        <w:t>he</w:t>
      </w:r>
      <w:r w:rsidRPr="00824C53">
        <w:rPr>
          <w:rFonts w:asciiTheme="minorHAnsi" w:eastAsia="Times New Roman" w:hAnsiTheme="minorHAnsi" w:cs="Arial"/>
          <w:b/>
          <w:i/>
          <w:sz w:val="24"/>
          <w:szCs w:val="24"/>
          <w:lang w:val="en-US" w:eastAsia="ar-SA"/>
        </w:rPr>
        <w:t xml:space="preserve"> SAPROF</w:t>
      </w:r>
      <w:r w:rsidRPr="00824C53">
        <w:rPr>
          <w:rFonts w:asciiTheme="minorHAnsi" w:eastAsia="Times New Roman" w:hAnsiTheme="minorHAnsi" w:cs="Arial"/>
          <w:sz w:val="24"/>
          <w:szCs w:val="24"/>
          <w:lang w:val="en-US" w:eastAsia="ar-SA"/>
        </w:rPr>
        <w:t xml:space="preserve"> </w:t>
      </w:r>
      <w:r w:rsidRPr="00824C53">
        <w:rPr>
          <w:rFonts w:asciiTheme="minorHAnsi" w:eastAsia="Times New Roman" w:hAnsiTheme="minorHAnsi" w:cs="Arial"/>
          <w:noProof/>
          <w:sz w:val="24"/>
          <w:szCs w:val="24"/>
          <w:lang w:val="en-US" w:eastAsia="ar-SA"/>
        </w:rPr>
        <w:t>(de Vogel et al., 2011)</w:t>
      </w:r>
      <w:r w:rsidRPr="00824C53">
        <w:rPr>
          <w:rFonts w:asciiTheme="minorHAnsi" w:eastAsia="Times New Roman" w:hAnsiTheme="minorHAnsi" w:cs="Arial"/>
          <w:sz w:val="24"/>
          <w:szCs w:val="24"/>
          <w:lang w:val="en-US" w:eastAsia="ar-SA"/>
        </w:rPr>
        <w:t xml:space="preserve"> has three subscales: </w:t>
      </w:r>
      <w:r w:rsidRPr="00824C53">
        <w:rPr>
          <w:rFonts w:asciiTheme="minorHAnsi" w:eastAsia="Times New Roman" w:hAnsiTheme="minorHAnsi" w:cs="Arial"/>
          <w:i/>
          <w:sz w:val="24"/>
          <w:szCs w:val="24"/>
          <w:lang w:val="en-US" w:eastAsia="ar-SA"/>
        </w:rPr>
        <w:t>Internal factors</w:t>
      </w:r>
      <w:r w:rsidRPr="00824C53">
        <w:rPr>
          <w:rFonts w:asciiTheme="minorHAnsi" w:eastAsia="Times New Roman" w:hAnsiTheme="minorHAnsi" w:cs="Arial"/>
          <w:sz w:val="24"/>
          <w:szCs w:val="24"/>
          <w:lang w:val="en-US" w:eastAsia="ar-SA"/>
        </w:rPr>
        <w:t xml:space="preserve"> (e.g. intelligence; 5 items), </w:t>
      </w:r>
      <w:r w:rsidRPr="00824C53">
        <w:rPr>
          <w:rFonts w:asciiTheme="minorHAnsi" w:eastAsia="Times New Roman" w:hAnsiTheme="minorHAnsi" w:cs="Arial"/>
          <w:i/>
          <w:sz w:val="24"/>
          <w:szCs w:val="24"/>
          <w:lang w:val="en-US" w:eastAsia="ar-SA"/>
        </w:rPr>
        <w:t>Motivational factors</w:t>
      </w:r>
      <w:r w:rsidRPr="00824C53">
        <w:rPr>
          <w:rFonts w:asciiTheme="minorHAnsi" w:eastAsia="Times New Roman" w:hAnsiTheme="minorHAnsi" w:cs="Arial"/>
          <w:sz w:val="24"/>
          <w:szCs w:val="24"/>
          <w:lang w:val="en-US" w:eastAsia="ar-SA"/>
        </w:rPr>
        <w:t xml:space="preserve"> (e.g. leisure activities; 7 items) and </w:t>
      </w:r>
      <w:r w:rsidRPr="00824C53">
        <w:rPr>
          <w:rFonts w:asciiTheme="minorHAnsi" w:eastAsia="Times New Roman" w:hAnsiTheme="minorHAnsi" w:cs="Arial"/>
          <w:i/>
          <w:sz w:val="24"/>
          <w:szCs w:val="24"/>
          <w:lang w:val="en-US" w:eastAsia="ar-SA"/>
        </w:rPr>
        <w:t>External factors</w:t>
      </w:r>
      <w:r w:rsidRPr="00824C53">
        <w:rPr>
          <w:rFonts w:asciiTheme="minorHAnsi" w:eastAsia="Times New Roman" w:hAnsiTheme="minorHAnsi" w:cs="Arial"/>
          <w:sz w:val="24"/>
          <w:szCs w:val="24"/>
          <w:lang w:val="en-US" w:eastAsia="ar-SA"/>
        </w:rPr>
        <w:t xml:space="preserve"> (e.g. social network; 5 items). A </w:t>
      </w:r>
      <w:r w:rsidRPr="00824C53">
        <w:rPr>
          <w:rFonts w:asciiTheme="minorHAnsi" w:eastAsia="Times New Roman" w:hAnsiTheme="minorHAnsi" w:cs="Arial"/>
          <w:i/>
          <w:sz w:val="24"/>
          <w:szCs w:val="24"/>
          <w:lang w:val="en-US" w:eastAsia="ar-SA"/>
        </w:rPr>
        <w:t>Final Protective Judgment</w:t>
      </w:r>
      <w:r w:rsidRPr="00824C53">
        <w:rPr>
          <w:rFonts w:asciiTheme="minorHAnsi" w:eastAsia="Times New Roman" w:hAnsiTheme="minorHAnsi" w:cs="Arial"/>
          <w:sz w:val="24"/>
          <w:szCs w:val="24"/>
          <w:lang w:val="en-US" w:eastAsia="ar-SA"/>
        </w:rPr>
        <w:t xml:space="preserve"> (Low, Moderate, High) is made based on consideration of the overall pattern o</w:t>
      </w:r>
      <w:r w:rsidR="006E37D7">
        <w:rPr>
          <w:rFonts w:asciiTheme="minorHAnsi" w:eastAsia="Times New Roman" w:hAnsiTheme="minorHAnsi" w:cs="Arial"/>
          <w:sz w:val="24"/>
          <w:szCs w:val="24"/>
          <w:lang w:val="en-US" w:eastAsia="ar-SA"/>
        </w:rPr>
        <w:t>f</w:t>
      </w:r>
      <w:r w:rsidR="00DB2F7E">
        <w:rPr>
          <w:rFonts w:asciiTheme="minorHAnsi" w:eastAsia="Times New Roman" w:hAnsiTheme="minorHAnsi" w:cs="Arial"/>
          <w:sz w:val="24"/>
          <w:szCs w:val="24"/>
          <w:lang w:val="en-US" w:eastAsia="ar-SA"/>
        </w:rPr>
        <w:t xml:space="preserve"> scores but was not used here. </w:t>
      </w:r>
      <w:r w:rsidRPr="00824C53">
        <w:rPr>
          <w:rFonts w:asciiTheme="minorHAnsi" w:eastAsia="Times New Roman" w:hAnsiTheme="minorHAnsi" w:cs="Arial"/>
          <w:sz w:val="24"/>
          <w:szCs w:val="24"/>
          <w:lang w:val="en-US" w:eastAsia="ar-SA"/>
        </w:rPr>
        <w:t>The 17 items of the SAPROF are</w:t>
      </w:r>
      <w:r w:rsidRPr="00824C53">
        <w:rPr>
          <w:rFonts w:asciiTheme="minorHAnsi" w:eastAsia="Times New Roman" w:hAnsiTheme="minorHAnsi" w:cs="Arial"/>
          <w:sz w:val="24"/>
          <w:szCs w:val="24"/>
          <w:lang w:eastAsia="ar-SA"/>
        </w:rPr>
        <w:t xml:space="preserve"> coded on a three-point scale (0, 1, 2) according to the presence and strength of the relevant </w:t>
      </w:r>
      <w:r w:rsidRPr="00824C53">
        <w:rPr>
          <w:rFonts w:asciiTheme="minorHAnsi" w:eastAsia="Times New Roman" w:hAnsiTheme="minorHAnsi" w:cs="Arial"/>
          <w:sz w:val="24"/>
          <w:szCs w:val="24"/>
          <w:lang w:eastAsia="ar-SA"/>
        </w:rPr>
        <w:lastRenderedPageBreak/>
        <w:t>feature. Total scores therefore range from 0 to 34, with higher scores reflecting a higher level of protective features. It should be noted that items on the External subscale are almost always rated 2 for in-patients because of the high levels of control and treatment they receive as a result of their placement.</w:t>
      </w:r>
    </w:p>
    <w:p w14:paraId="3E5F36DB" w14:textId="77777777" w:rsidR="00A60774" w:rsidRDefault="00885D78" w:rsidP="00B10D1C">
      <w:pPr>
        <w:spacing w:after="0" w:line="480" w:lineRule="auto"/>
        <w:ind w:firstLine="708"/>
        <w:jc w:val="left"/>
        <w:rPr>
          <w:rFonts w:asciiTheme="minorHAnsi" w:eastAsia="Times New Roman" w:hAnsiTheme="minorHAnsi" w:cs="Arial"/>
          <w:sz w:val="24"/>
          <w:szCs w:val="24"/>
          <w:lang w:val="en-US" w:eastAsia="ar-SA"/>
        </w:rPr>
      </w:pPr>
      <w:r w:rsidRPr="00824C53">
        <w:rPr>
          <w:rFonts w:asciiTheme="minorHAnsi" w:eastAsia="Times New Roman" w:hAnsiTheme="minorHAnsi" w:cs="Arial"/>
          <w:sz w:val="24"/>
          <w:szCs w:val="24"/>
          <w:lang w:eastAsia="ar-SA"/>
        </w:rPr>
        <w:t>The</w:t>
      </w:r>
      <w:r w:rsidRPr="00824C53">
        <w:rPr>
          <w:rFonts w:asciiTheme="minorHAnsi" w:eastAsia="Times New Roman" w:hAnsiTheme="minorHAnsi" w:cs="Arial"/>
          <w:b/>
          <w:i/>
          <w:sz w:val="24"/>
          <w:szCs w:val="24"/>
          <w:lang w:eastAsia="ar-SA"/>
        </w:rPr>
        <w:t xml:space="preserve"> HCR-20</w:t>
      </w:r>
      <w:r w:rsidRPr="00824C53">
        <w:rPr>
          <w:rFonts w:asciiTheme="minorHAnsi" w:eastAsia="Times New Roman" w:hAnsiTheme="minorHAnsi" w:cs="Arial"/>
          <w:sz w:val="24"/>
          <w:szCs w:val="24"/>
          <w:lang w:eastAsia="ar-SA"/>
        </w:rPr>
        <w:t xml:space="preserve"> (Webster et al., 1997) is a 20-item SPJ guideline for violence risk assessment which contains 10 </w:t>
      </w:r>
      <w:r w:rsidRPr="00824C53">
        <w:rPr>
          <w:rFonts w:asciiTheme="minorHAnsi" w:eastAsia="Times New Roman" w:hAnsiTheme="minorHAnsi" w:cs="Arial"/>
          <w:i/>
          <w:sz w:val="24"/>
          <w:szCs w:val="24"/>
          <w:lang w:eastAsia="ar-SA"/>
        </w:rPr>
        <w:t>Historical</w:t>
      </w:r>
      <w:r w:rsidRPr="00824C53">
        <w:rPr>
          <w:rFonts w:asciiTheme="minorHAnsi" w:eastAsia="Times New Roman" w:hAnsiTheme="minorHAnsi" w:cs="Arial"/>
          <w:sz w:val="24"/>
          <w:szCs w:val="24"/>
          <w:lang w:eastAsia="ar-SA"/>
        </w:rPr>
        <w:t xml:space="preserve">, 5 </w:t>
      </w:r>
      <w:r w:rsidRPr="00824C53">
        <w:rPr>
          <w:rFonts w:asciiTheme="minorHAnsi" w:eastAsia="Times New Roman" w:hAnsiTheme="minorHAnsi" w:cs="Arial"/>
          <w:i/>
          <w:sz w:val="24"/>
          <w:szCs w:val="24"/>
          <w:lang w:eastAsia="ar-SA"/>
        </w:rPr>
        <w:t>Clinical</w:t>
      </w:r>
      <w:r w:rsidRPr="00824C53">
        <w:rPr>
          <w:rFonts w:asciiTheme="minorHAnsi" w:eastAsia="Times New Roman" w:hAnsiTheme="minorHAnsi" w:cs="Arial"/>
          <w:sz w:val="24"/>
          <w:szCs w:val="24"/>
          <w:lang w:eastAsia="ar-SA"/>
        </w:rPr>
        <w:t xml:space="preserve"> and 5 </w:t>
      </w:r>
      <w:r w:rsidRPr="00824C53">
        <w:rPr>
          <w:rFonts w:asciiTheme="minorHAnsi" w:eastAsia="Times New Roman" w:hAnsiTheme="minorHAnsi" w:cs="Arial"/>
          <w:i/>
          <w:sz w:val="24"/>
          <w:szCs w:val="24"/>
          <w:lang w:eastAsia="ar-SA"/>
        </w:rPr>
        <w:t>Risk Management</w:t>
      </w:r>
      <w:r w:rsidRPr="00824C53">
        <w:rPr>
          <w:rFonts w:asciiTheme="minorHAnsi" w:eastAsia="Times New Roman" w:hAnsiTheme="minorHAnsi" w:cs="Arial"/>
          <w:sz w:val="24"/>
          <w:szCs w:val="24"/>
          <w:lang w:eastAsia="ar-SA"/>
        </w:rPr>
        <w:t xml:space="preserve"> items that are commonly associated with risk for future violence. Each item is coded on the same three-point scale as above. The HCR-20 has satisfactory psychometric properties and has been shown to be a robust predictor of institutional and community violence </w:t>
      </w:r>
      <w:r w:rsidRPr="00824C53">
        <w:rPr>
          <w:rFonts w:asciiTheme="minorHAnsi" w:eastAsia="Times New Roman" w:hAnsiTheme="minorHAnsi" w:cs="Arial"/>
          <w:noProof/>
          <w:sz w:val="24"/>
          <w:szCs w:val="24"/>
          <w:lang w:eastAsia="ar-SA"/>
        </w:rPr>
        <w:t>(Gray, Taylor, &amp; Snowden, 2008Gray, Taylor, &amp; Snowden, 2008)</w:t>
      </w:r>
      <w:r w:rsidRPr="00824C53">
        <w:rPr>
          <w:rFonts w:asciiTheme="minorHAnsi" w:eastAsia="Times New Roman" w:hAnsiTheme="minorHAnsi" w:cs="Arial"/>
          <w:sz w:val="24"/>
          <w:szCs w:val="24"/>
          <w:lang w:eastAsia="ar-SA"/>
        </w:rPr>
        <w:t>. Version 2 of the instrument was used.</w:t>
      </w:r>
    </w:p>
    <w:p w14:paraId="65C8504A" w14:textId="77777777" w:rsidR="00A60774" w:rsidRDefault="00885D78" w:rsidP="00B10D1C">
      <w:pPr>
        <w:spacing w:after="0" w:line="480" w:lineRule="auto"/>
        <w:ind w:firstLine="708"/>
        <w:jc w:val="left"/>
        <w:rPr>
          <w:rFonts w:asciiTheme="minorHAnsi" w:eastAsia="Times New Roman" w:hAnsiTheme="minorHAnsi" w:cs="Arial"/>
          <w:sz w:val="24"/>
          <w:szCs w:val="24"/>
          <w:lang w:val="en-US" w:eastAsia="ar-SA"/>
        </w:rPr>
      </w:pPr>
      <w:r w:rsidRPr="00824C53">
        <w:rPr>
          <w:rFonts w:asciiTheme="minorHAnsi" w:eastAsia="Times New Roman" w:hAnsiTheme="minorHAnsi" w:cs="Arial"/>
          <w:sz w:val="24"/>
          <w:szCs w:val="24"/>
          <w:lang w:eastAsia="ar-SA"/>
        </w:rPr>
        <w:t xml:space="preserve">The </w:t>
      </w:r>
      <w:r w:rsidRPr="00824C53">
        <w:rPr>
          <w:rFonts w:asciiTheme="minorHAnsi" w:eastAsia="Times New Roman" w:hAnsiTheme="minorHAnsi" w:cs="Arial"/>
          <w:b/>
          <w:i/>
          <w:sz w:val="24"/>
          <w:szCs w:val="24"/>
          <w:lang w:eastAsia="ar-SA"/>
        </w:rPr>
        <w:t>PCL:SV</w:t>
      </w:r>
      <w:r w:rsidRPr="00824C53">
        <w:rPr>
          <w:rFonts w:asciiTheme="minorHAnsi" w:eastAsia="Times New Roman" w:hAnsiTheme="minorHAnsi" w:cs="Arial"/>
          <w:sz w:val="24"/>
          <w:szCs w:val="24"/>
          <w:lang w:eastAsia="ar-SA"/>
        </w:rPr>
        <w:t xml:space="preserve"> (Hart, Cox, and Hare, 1995) is a screening version of the Hare Psychopathy Checklist Revised</w:t>
      </w:r>
      <w:r w:rsidR="00DB2F7E">
        <w:rPr>
          <w:rFonts w:asciiTheme="minorHAnsi" w:eastAsia="Times New Roman" w:hAnsiTheme="minorHAnsi" w:cs="Arial"/>
          <w:sz w:val="24"/>
          <w:szCs w:val="24"/>
          <w:lang w:eastAsia="ar-SA"/>
        </w:rPr>
        <w:t xml:space="preserve"> (PCL-R) and contains 12 items.</w:t>
      </w:r>
      <w:r w:rsidR="000273AE">
        <w:rPr>
          <w:rFonts w:asciiTheme="minorHAnsi" w:eastAsia="Times New Roman" w:hAnsiTheme="minorHAnsi" w:cs="Arial"/>
          <w:sz w:val="24"/>
          <w:szCs w:val="24"/>
          <w:lang w:eastAsia="ar-SA"/>
        </w:rPr>
        <w:t xml:space="preserve"> </w:t>
      </w:r>
      <w:r w:rsidRPr="00824C53">
        <w:rPr>
          <w:rFonts w:asciiTheme="minorHAnsi" w:eastAsia="Times New Roman" w:hAnsiTheme="minorHAnsi" w:cs="Arial"/>
          <w:i/>
          <w:sz w:val="24"/>
          <w:szCs w:val="24"/>
          <w:lang w:eastAsia="ar-SA"/>
        </w:rPr>
        <w:t>Factor 1</w:t>
      </w:r>
      <w:r w:rsidRPr="00824C53">
        <w:rPr>
          <w:rFonts w:asciiTheme="minorHAnsi" w:eastAsia="Times New Roman" w:hAnsiTheme="minorHAnsi" w:cs="Arial"/>
          <w:sz w:val="24"/>
          <w:szCs w:val="24"/>
          <w:lang w:eastAsia="ar-SA"/>
        </w:rPr>
        <w:t xml:space="preserve"> of the PCL-SV reflects affective and interpersonal traits and </w:t>
      </w:r>
      <w:r w:rsidRPr="00824C53">
        <w:rPr>
          <w:rFonts w:asciiTheme="minorHAnsi" w:eastAsia="Times New Roman" w:hAnsiTheme="minorHAnsi" w:cs="Arial"/>
          <w:i/>
          <w:sz w:val="24"/>
          <w:szCs w:val="24"/>
          <w:lang w:eastAsia="ar-SA"/>
        </w:rPr>
        <w:t>Factor 2</w:t>
      </w:r>
      <w:r w:rsidRPr="00824C53">
        <w:rPr>
          <w:rFonts w:asciiTheme="minorHAnsi" w:eastAsia="Times New Roman" w:hAnsiTheme="minorHAnsi" w:cs="Arial"/>
          <w:sz w:val="24"/>
          <w:szCs w:val="24"/>
          <w:lang w:eastAsia="ar-SA"/>
        </w:rPr>
        <w:t xml:space="preserve"> reflects behavioural or social deviance components of psychopathy.</w:t>
      </w:r>
      <w:r w:rsidRPr="00824C53">
        <w:rPr>
          <w:rFonts w:asciiTheme="minorHAnsi" w:hAnsiTheme="minorHAnsi" w:cs="Arial"/>
          <w:sz w:val="24"/>
          <w:szCs w:val="24"/>
        </w:rPr>
        <w:t xml:space="preserve"> </w:t>
      </w:r>
      <w:r w:rsidRPr="00824C53">
        <w:rPr>
          <w:rFonts w:asciiTheme="minorHAnsi" w:eastAsia="Times New Roman" w:hAnsiTheme="minorHAnsi" w:cs="Arial"/>
          <w:sz w:val="24"/>
          <w:szCs w:val="24"/>
          <w:lang w:eastAsia="ar-SA"/>
        </w:rPr>
        <w:t>Each item is rated on a 3-point scale, ranging from 0 (not present) to 1 (somew</w:t>
      </w:r>
      <w:r w:rsidR="000273AE">
        <w:rPr>
          <w:rFonts w:asciiTheme="minorHAnsi" w:eastAsia="Times New Roman" w:hAnsiTheme="minorHAnsi" w:cs="Arial"/>
          <w:sz w:val="24"/>
          <w:szCs w:val="24"/>
          <w:lang w:eastAsia="ar-SA"/>
        </w:rPr>
        <w:t>h</w:t>
      </w:r>
      <w:r w:rsidR="00DB2F7E">
        <w:rPr>
          <w:rFonts w:asciiTheme="minorHAnsi" w:eastAsia="Times New Roman" w:hAnsiTheme="minorHAnsi" w:cs="Arial"/>
          <w:sz w:val="24"/>
          <w:szCs w:val="24"/>
          <w:lang w:eastAsia="ar-SA"/>
        </w:rPr>
        <w:t xml:space="preserve">at present) or to 2 (present). </w:t>
      </w:r>
      <w:r w:rsidRPr="00824C53">
        <w:rPr>
          <w:rFonts w:asciiTheme="minorHAnsi" w:eastAsia="Times New Roman" w:hAnsiTheme="minorHAnsi" w:cs="Arial"/>
          <w:sz w:val="24"/>
          <w:szCs w:val="24"/>
          <w:lang w:eastAsia="ar-SA"/>
        </w:rPr>
        <w:t>This gives the instrument a range of 0- 24 points, where the cut-of</w:t>
      </w:r>
      <w:r w:rsidR="000273AE">
        <w:rPr>
          <w:rFonts w:asciiTheme="minorHAnsi" w:eastAsia="Times New Roman" w:hAnsiTheme="minorHAnsi" w:cs="Arial"/>
          <w:sz w:val="24"/>
          <w:szCs w:val="24"/>
          <w:lang w:eastAsia="ar-SA"/>
        </w:rPr>
        <w:t>f f</w:t>
      </w:r>
      <w:r w:rsidR="00DB2F7E">
        <w:rPr>
          <w:rFonts w:asciiTheme="minorHAnsi" w:eastAsia="Times New Roman" w:hAnsiTheme="minorHAnsi" w:cs="Arial"/>
          <w:sz w:val="24"/>
          <w:szCs w:val="24"/>
          <w:lang w:eastAsia="ar-SA"/>
        </w:rPr>
        <w:t xml:space="preserve">or psychopathy is set to 18. </w:t>
      </w:r>
      <w:r w:rsidRPr="00824C53">
        <w:rPr>
          <w:rFonts w:asciiTheme="minorHAnsi" w:eastAsia="Times New Roman" w:hAnsiTheme="minorHAnsi" w:cs="Arial"/>
          <w:sz w:val="24"/>
          <w:szCs w:val="24"/>
          <w:lang w:eastAsia="ar-SA"/>
        </w:rPr>
        <w:t>Total scores equal to or above 18 on the PCL:SV are considered indicative of psychopathy (Hart, Cox, and Hare, 1995).</w:t>
      </w:r>
    </w:p>
    <w:p w14:paraId="50BD13D4" w14:textId="77777777" w:rsidR="00885D78" w:rsidRPr="00A60774" w:rsidRDefault="00885D78" w:rsidP="00B10D1C">
      <w:pPr>
        <w:spacing w:after="0" w:line="480" w:lineRule="auto"/>
        <w:ind w:firstLine="708"/>
        <w:jc w:val="left"/>
        <w:rPr>
          <w:rFonts w:asciiTheme="minorHAnsi" w:eastAsia="Times New Roman" w:hAnsiTheme="minorHAnsi" w:cs="Arial"/>
          <w:sz w:val="24"/>
          <w:szCs w:val="24"/>
          <w:lang w:val="en-US" w:eastAsia="ar-SA"/>
        </w:rPr>
      </w:pPr>
      <w:r w:rsidRPr="00934574">
        <w:rPr>
          <w:rFonts w:asciiTheme="minorHAnsi" w:eastAsia="Times New Roman" w:hAnsiTheme="minorHAnsi" w:cs="Arial"/>
          <w:b/>
          <w:i/>
          <w:sz w:val="24"/>
          <w:szCs w:val="24"/>
          <w:lang w:eastAsia="ar-SA"/>
        </w:rPr>
        <w:t>Violence</w:t>
      </w:r>
      <w:r w:rsidRPr="00824C53">
        <w:rPr>
          <w:rFonts w:asciiTheme="minorHAnsi" w:eastAsia="Times New Roman" w:hAnsiTheme="minorHAnsi" w:cs="Arial"/>
          <w:b/>
          <w:sz w:val="24"/>
          <w:szCs w:val="24"/>
          <w:lang w:eastAsia="ar-SA"/>
        </w:rPr>
        <w:t xml:space="preserve"> </w:t>
      </w:r>
      <w:r w:rsidRPr="00824C53">
        <w:rPr>
          <w:rFonts w:asciiTheme="minorHAnsi" w:eastAsia="Times New Roman" w:hAnsiTheme="minorHAnsi" w:cs="Arial"/>
          <w:sz w:val="24"/>
          <w:szCs w:val="24"/>
          <w:lang w:eastAsia="ar-SA"/>
        </w:rPr>
        <w:t>in the six months following the baseline assessment was ex</w:t>
      </w:r>
      <w:r w:rsidR="0028018E" w:rsidRPr="00824C53">
        <w:rPr>
          <w:rFonts w:asciiTheme="minorHAnsi" w:eastAsia="Times New Roman" w:hAnsiTheme="minorHAnsi" w:cs="Arial"/>
          <w:sz w:val="24"/>
          <w:szCs w:val="24"/>
          <w:lang w:eastAsia="ar-SA"/>
        </w:rPr>
        <w:t>amined by case note review and, where necessary,</w:t>
      </w:r>
      <w:r w:rsidRPr="00824C53">
        <w:rPr>
          <w:rFonts w:asciiTheme="minorHAnsi" w:eastAsia="Times New Roman" w:hAnsiTheme="minorHAnsi" w:cs="Arial"/>
          <w:sz w:val="24"/>
          <w:szCs w:val="24"/>
          <w:lang w:eastAsia="ar-SA"/>
        </w:rPr>
        <w:t xml:space="preserve"> discussion </w:t>
      </w:r>
      <w:r w:rsidR="0028018E" w:rsidRPr="00824C53">
        <w:rPr>
          <w:rFonts w:asciiTheme="minorHAnsi" w:eastAsia="Times New Roman" w:hAnsiTheme="minorHAnsi" w:cs="Arial"/>
          <w:sz w:val="24"/>
          <w:szCs w:val="24"/>
          <w:lang w:eastAsia="ar-SA"/>
        </w:rPr>
        <w:t xml:space="preserve">their key worker. </w:t>
      </w:r>
      <w:r w:rsidRPr="00824C53">
        <w:rPr>
          <w:rFonts w:asciiTheme="minorHAnsi" w:eastAsia="Times New Roman" w:hAnsiTheme="minorHAnsi" w:cs="Arial"/>
          <w:sz w:val="24"/>
          <w:szCs w:val="24"/>
          <w:lang w:eastAsia="ar-SA"/>
        </w:rPr>
        <w:t xml:space="preserve">Incidents of physical aggression (to other people or property) and verbal aggression were recorded on a structured checklist based on the Liverpool Violence Assessment (LIVA. Nathan et al., 2003). </w:t>
      </w:r>
    </w:p>
    <w:p w14:paraId="00AE89E8" w14:textId="77777777" w:rsidR="00885D78" w:rsidRPr="00A60774" w:rsidRDefault="00885D78" w:rsidP="00B10D1C">
      <w:pPr>
        <w:spacing w:after="0" w:line="480" w:lineRule="auto"/>
        <w:rPr>
          <w:rFonts w:asciiTheme="minorHAnsi" w:eastAsia="Times New Roman" w:hAnsiTheme="minorHAnsi"/>
          <w:b/>
          <w:sz w:val="24"/>
          <w:szCs w:val="24"/>
          <w:lang w:eastAsia="ar-SA"/>
        </w:rPr>
      </w:pPr>
      <w:r w:rsidRPr="00A60774">
        <w:rPr>
          <w:rFonts w:asciiTheme="minorHAnsi" w:hAnsiTheme="minorHAnsi"/>
          <w:b/>
          <w:sz w:val="24"/>
          <w:szCs w:val="24"/>
        </w:rPr>
        <w:t>Procedure</w:t>
      </w:r>
    </w:p>
    <w:p w14:paraId="42ED2D3F" w14:textId="6A0753B3" w:rsidR="00161196" w:rsidRPr="002117CA" w:rsidRDefault="00885D78" w:rsidP="00161196">
      <w:pPr>
        <w:spacing w:after="0" w:line="480" w:lineRule="auto"/>
        <w:ind w:firstLine="708"/>
        <w:jc w:val="left"/>
        <w:rPr>
          <w:rFonts w:asciiTheme="minorHAnsi" w:eastAsia="Times New Roman" w:hAnsiTheme="minorHAnsi" w:cs="Arial"/>
          <w:sz w:val="24"/>
          <w:szCs w:val="24"/>
          <w:lang w:eastAsia="ar-SA"/>
        </w:rPr>
      </w:pPr>
      <w:r w:rsidRPr="00824C53">
        <w:rPr>
          <w:rFonts w:asciiTheme="minorHAnsi" w:eastAsia="Times New Roman" w:hAnsiTheme="minorHAnsi" w:cs="Arial"/>
          <w:sz w:val="24"/>
          <w:szCs w:val="24"/>
          <w:lang w:eastAsia="ar-SA"/>
        </w:rPr>
        <w:t xml:space="preserve">Ratings on patients consenting to take part in the study were made by a team of raters consisting of eight mental health professionals and researchers. Each rater held a postgraduate </w:t>
      </w:r>
      <w:r w:rsidRPr="00824C53">
        <w:rPr>
          <w:rFonts w:asciiTheme="minorHAnsi" w:eastAsia="Times New Roman" w:hAnsiTheme="minorHAnsi" w:cs="Arial"/>
          <w:sz w:val="24"/>
          <w:szCs w:val="24"/>
          <w:lang w:eastAsia="ar-SA"/>
        </w:rPr>
        <w:lastRenderedPageBreak/>
        <w:t xml:space="preserve">qualification in psychology or psychiatry and </w:t>
      </w:r>
      <w:r w:rsidR="0028018E" w:rsidRPr="002117CA">
        <w:rPr>
          <w:rFonts w:asciiTheme="minorHAnsi" w:eastAsia="Times New Roman" w:hAnsiTheme="minorHAnsi" w:cs="Arial"/>
          <w:sz w:val="24"/>
          <w:szCs w:val="24"/>
          <w:lang w:eastAsia="ar-SA"/>
        </w:rPr>
        <w:t xml:space="preserve">had formal training </w:t>
      </w:r>
      <w:r w:rsidRPr="002117CA">
        <w:rPr>
          <w:rFonts w:asciiTheme="minorHAnsi" w:eastAsia="Times New Roman" w:hAnsiTheme="minorHAnsi" w:cs="Arial"/>
          <w:sz w:val="24"/>
          <w:szCs w:val="24"/>
          <w:lang w:eastAsia="ar-SA"/>
        </w:rPr>
        <w:t xml:space="preserve">in the use of the three instruments prior to the commencement of the research. </w:t>
      </w:r>
      <w:r w:rsidR="00F11382" w:rsidRPr="002117CA">
        <w:rPr>
          <w:rFonts w:asciiTheme="minorHAnsi" w:eastAsia="Times New Roman" w:hAnsiTheme="minorHAnsi" w:cs="Arial"/>
          <w:sz w:val="24"/>
          <w:szCs w:val="24"/>
          <w:lang w:eastAsia="ar-SA"/>
        </w:rPr>
        <w:t xml:space="preserve">Inter-rater reliability was only partially assessed. </w:t>
      </w:r>
      <w:r w:rsidR="001D7A90" w:rsidRPr="002117CA">
        <w:rPr>
          <w:rFonts w:asciiTheme="minorHAnsi" w:eastAsia="Times New Roman" w:hAnsiTheme="minorHAnsi" w:cs="Arial"/>
          <w:sz w:val="24"/>
          <w:szCs w:val="24"/>
          <w:lang w:eastAsia="ar-SA"/>
        </w:rPr>
        <w:t xml:space="preserve">For </w:t>
      </w:r>
      <w:r w:rsidR="00F11382" w:rsidRPr="002117CA">
        <w:rPr>
          <w:rFonts w:asciiTheme="minorHAnsi" w:eastAsia="Times New Roman" w:hAnsiTheme="minorHAnsi" w:cs="Arial"/>
          <w:sz w:val="24"/>
          <w:szCs w:val="24"/>
          <w:lang w:eastAsia="ar-SA"/>
        </w:rPr>
        <w:t>a subsample of participants (mainly from forensic and acute settings)</w:t>
      </w:r>
      <w:r w:rsidR="001D7A90" w:rsidRPr="002117CA">
        <w:rPr>
          <w:rFonts w:asciiTheme="minorHAnsi" w:eastAsia="Times New Roman" w:hAnsiTheme="minorHAnsi" w:cs="Arial"/>
          <w:sz w:val="24"/>
          <w:szCs w:val="24"/>
          <w:lang w:eastAsia="ar-SA"/>
        </w:rPr>
        <w:t xml:space="preserve">, </w:t>
      </w:r>
      <w:r w:rsidR="00161196" w:rsidRPr="002117CA">
        <w:rPr>
          <w:rFonts w:asciiTheme="minorHAnsi" w:eastAsia="Times New Roman" w:hAnsiTheme="minorHAnsi" w:cs="Arial"/>
          <w:sz w:val="24"/>
          <w:szCs w:val="24"/>
          <w:lang w:eastAsia="ar-SA"/>
        </w:rPr>
        <w:t xml:space="preserve">the raters met monthly during the data collection period and blind rated the SAPROF from a randomly selected set of case notes each time to maximise consistency between them. </w:t>
      </w:r>
      <w:r w:rsidR="001D7A90" w:rsidRPr="002117CA">
        <w:rPr>
          <w:rFonts w:asciiTheme="minorHAnsi" w:eastAsia="Times New Roman" w:hAnsiTheme="minorHAnsi" w:cs="Arial"/>
          <w:sz w:val="24"/>
          <w:szCs w:val="24"/>
          <w:lang w:eastAsia="ar-SA"/>
        </w:rPr>
        <w:t xml:space="preserve">For the </w:t>
      </w:r>
      <w:r w:rsidR="00F11382" w:rsidRPr="002117CA">
        <w:rPr>
          <w:rFonts w:asciiTheme="minorHAnsi" w:eastAsia="Times New Roman" w:hAnsiTheme="minorHAnsi" w:cs="Arial"/>
          <w:sz w:val="24"/>
          <w:szCs w:val="24"/>
          <w:lang w:eastAsia="ar-SA"/>
        </w:rPr>
        <w:t xml:space="preserve">rest of the sample (i.e. </w:t>
      </w:r>
      <w:r w:rsidR="001D7A90" w:rsidRPr="002117CA">
        <w:rPr>
          <w:rFonts w:asciiTheme="minorHAnsi" w:eastAsia="Times New Roman" w:hAnsiTheme="minorHAnsi" w:cs="Arial"/>
          <w:sz w:val="24"/>
          <w:szCs w:val="24"/>
          <w:lang w:eastAsia="ar-SA"/>
        </w:rPr>
        <w:t xml:space="preserve">general inpatient and community </w:t>
      </w:r>
      <w:r w:rsidR="00F11382" w:rsidRPr="002117CA">
        <w:rPr>
          <w:rFonts w:asciiTheme="minorHAnsi" w:eastAsia="Times New Roman" w:hAnsiTheme="minorHAnsi" w:cs="Arial"/>
          <w:sz w:val="24"/>
          <w:szCs w:val="24"/>
          <w:lang w:eastAsia="ar-SA"/>
        </w:rPr>
        <w:t>settings)</w:t>
      </w:r>
      <w:r w:rsidR="001D7A90" w:rsidRPr="002117CA">
        <w:rPr>
          <w:rFonts w:asciiTheme="minorHAnsi" w:eastAsia="Times New Roman" w:hAnsiTheme="minorHAnsi" w:cs="Arial"/>
          <w:sz w:val="24"/>
          <w:szCs w:val="24"/>
          <w:lang w:eastAsia="ar-SA"/>
        </w:rPr>
        <w:t xml:space="preserve">, </w:t>
      </w:r>
      <w:r w:rsidR="00161196" w:rsidRPr="002117CA">
        <w:rPr>
          <w:rFonts w:asciiTheme="minorHAnsi" w:eastAsia="Times New Roman" w:hAnsiTheme="minorHAnsi" w:cs="Arial"/>
          <w:sz w:val="24"/>
          <w:szCs w:val="24"/>
          <w:lang w:eastAsia="ar-SA"/>
        </w:rPr>
        <w:t xml:space="preserve">inter-rater </w:t>
      </w:r>
      <w:r w:rsidR="001D7A90" w:rsidRPr="002117CA">
        <w:rPr>
          <w:rFonts w:asciiTheme="minorHAnsi" w:eastAsia="Times New Roman" w:hAnsiTheme="minorHAnsi" w:cs="Arial"/>
          <w:sz w:val="24"/>
          <w:szCs w:val="24"/>
          <w:lang w:eastAsia="ar-SA"/>
        </w:rPr>
        <w:t>agreement was formally examined</w:t>
      </w:r>
      <w:r w:rsidR="00161196" w:rsidRPr="002117CA">
        <w:rPr>
          <w:rFonts w:asciiTheme="minorHAnsi" w:eastAsia="Times New Roman" w:hAnsiTheme="minorHAnsi" w:cs="Arial"/>
          <w:sz w:val="24"/>
          <w:szCs w:val="24"/>
          <w:lang w:eastAsia="ar-SA"/>
        </w:rPr>
        <w:t>. We calculated a weighted kappa for categorical data for each instrument and each pair of raters (6 raters; 3 pairs; 72 ratings in total). The mean kappa for pairs of raters across all three instruments was 0.96 (95% CI 0.94-0.98). There was perfect agreement in 68% of ratings and agreement was below a threshold of 0.75 (Fleiss, Levin, &amp; Cho Paik, 2004) in only 2 ratings (&lt;3%).</w:t>
      </w:r>
    </w:p>
    <w:p w14:paraId="1FEDAAEC" w14:textId="77777777" w:rsidR="00885D78" w:rsidRDefault="00885D78" w:rsidP="00B10D1C">
      <w:pPr>
        <w:spacing w:after="0" w:line="480" w:lineRule="auto"/>
        <w:ind w:firstLine="708"/>
        <w:jc w:val="left"/>
        <w:rPr>
          <w:rFonts w:asciiTheme="minorHAnsi" w:eastAsia="Times New Roman" w:hAnsiTheme="minorHAnsi" w:cs="Arial"/>
          <w:sz w:val="24"/>
          <w:szCs w:val="24"/>
          <w:lang w:eastAsia="ar-SA"/>
        </w:rPr>
      </w:pPr>
      <w:r w:rsidRPr="00824C53">
        <w:rPr>
          <w:rFonts w:asciiTheme="minorHAnsi" w:eastAsia="Times New Roman" w:hAnsiTheme="minorHAnsi" w:cs="Arial"/>
          <w:sz w:val="24"/>
          <w:szCs w:val="24"/>
          <w:lang w:eastAsia="ar-SA"/>
        </w:rPr>
        <w:t>Data were collecte</w:t>
      </w:r>
      <w:r w:rsidR="0028018E" w:rsidRPr="00824C53">
        <w:rPr>
          <w:rFonts w:asciiTheme="minorHAnsi" w:eastAsia="Times New Roman" w:hAnsiTheme="minorHAnsi" w:cs="Arial"/>
          <w:sz w:val="24"/>
          <w:szCs w:val="24"/>
          <w:lang w:eastAsia="ar-SA"/>
        </w:rPr>
        <w:t>d on two occasions: at baseline</w:t>
      </w:r>
      <w:r w:rsidRPr="00824C53">
        <w:rPr>
          <w:rFonts w:asciiTheme="minorHAnsi" w:eastAsia="Times New Roman" w:hAnsiTheme="minorHAnsi" w:cs="Arial"/>
          <w:sz w:val="24"/>
          <w:szCs w:val="24"/>
          <w:lang w:eastAsia="ar-SA"/>
        </w:rPr>
        <w:t xml:space="preserve"> and 6 months later. Baseline data included participants’ socio-demographics, diagnosis, history of inpatient admissions and contacts with mental health services; history of violence; type of intervention offered; SAPROF scores; HCR-20 scores; PCL-SV scores; and violence frequency and severity. When rating, researchers were asked to consider any historic items over the lifetime of the participant, whilst the dynamic factors were scored with regard to the likely outcomes in </w:t>
      </w:r>
      <w:r w:rsidR="006A7020" w:rsidRPr="00824C53">
        <w:rPr>
          <w:rFonts w:asciiTheme="minorHAnsi" w:eastAsia="Times New Roman" w:hAnsiTheme="minorHAnsi" w:cs="Arial"/>
          <w:sz w:val="24"/>
          <w:szCs w:val="24"/>
          <w:lang w:eastAsia="ar-SA"/>
        </w:rPr>
        <w:t xml:space="preserve">the 6 months </w:t>
      </w:r>
      <w:r w:rsidRPr="00824C53">
        <w:rPr>
          <w:rFonts w:asciiTheme="minorHAnsi" w:eastAsia="Times New Roman" w:hAnsiTheme="minorHAnsi" w:cs="Arial"/>
          <w:sz w:val="24"/>
          <w:szCs w:val="24"/>
          <w:lang w:eastAsia="ar-SA"/>
        </w:rPr>
        <w:t>following the assessment.</w:t>
      </w:r>
    </w:p>
    <w:p w14:paraId="7BC2E74A" w14:textId="77777777" w:rsidR="001D7A90" w:rsidRPr="002117CA" w:rsidRDefault="001D7A90" w:rsidP="00B10D1C">
      <w:pPr>
        <w:spacing w:after="0" w:line="480" w:lineRule="auto"/>
        <w:ind w:firstLine="708"/>
        <w:jc w:val="left"/>
        <w:rPr>
          <w:rFonts w:asciiTheme="minorHAnsi" w:hAnsiTheme="minorHAnsi" w:cs="Arial"/>
          <w:sz w:val="24"/>
          <w:szCs w:val="24"/>
        </w:rPr>
      </w:pPr>
      <w:r w:rsidRPr="002117CA">
        <w:rPr>
          <w:rFonts w:asciiTheme="minorHAnsi" w:eastAsia="Times New Roman" w:hAnsiTheme="minorHAnsi" w:cs="Arial"/>
          <w:sz w:val="24"/>
          <w:szCs w:val="24"/>
          <w:lang w:eastAsia="ar-SA"/>
        </w:rPr>
        <w:t xml:space="preserve">Ethical approval was received from the Health Research Authority, the National Research Ethics Service (Liverpool East Health Research Ethics Committee) and governance approvals </w:t>
      </w:r>
      <w:r w:rsidR="005D58DB" w:rsidRPr="002117CA">
        <w:rPr>
          <w:rFonts w:asciiTheme="minorHAnsi" w:eastAsia="Times New Roman" w:hAnsiTheme="minorHAnsi" w:cs="Arial"/>
          <w:sz w:val="24"/>
          <w:szCs w:val="24"/>
          <w:lang w:eastAsia="ar-SA"/>
        </w:rPr>
        <w:t>from</w:t>
      </w:r>
      <w:r w:rsidRPr="002117CA">
        <w:rPr>
          <w:rFonts w:asciiTheme="minorHAnsi" w:eastAsia="Times New Roman" w:hAnsiTheme="minorHAnsi" w:cs="Arial"/>
          <w:sz w:val="24"/>
          <w:szCs w:val="24"/>
          <w:lang w:eastAsia="ar-SA"/>
        </w:rPr>
        <w:t xml:space="preserve"> all the participating NHS trusts</w:t>
      </w:r>
      <w:r w:rsidR="005D58DB" w:rsidRPr="002117CA">
        <w:rPr>
          <w:rFonts w:asciiTheme="minorHAnsi" w:eastAsia="Times New Roman" w:hAnsiTheme="minorHAnsi" w:cs="Arial"/>
          <w:sz w:val="24"/>
          <w:szCs w:val="24"/>
          <w:lang w:eastAsia="ar-SA"/>
        </w:rPr>
        <w:t xml:space="preserve"> were in place before recruitment and data collection</w:t>
      </w:r>
      <w:r w:rsidRPr="002117CA">
        <w:rPr>
          <w:rFonts w:asciiTheme="minorHAnsi" w:eastAsia="Times New Roman" w:hAnsiTheme="minorHAnsi" w:cs="Arial"/>
          <w:sz w:val="24"/>
          <w:szCs w:val="24"/>
          <w:lang w:eastAsia="ar-SA"/>
        </w:rPr>
        <w:t>.</w:t>
      </w:r>
    </w:p>
    <w:p w14:paraId="7F2FEDA0" w14:textId="77777777" w:rsidR="00885D78" w:rsidRPr="00A60774" w:rsidRDefault="00934574" w:rsidP="00B10D1C">
      <w:pPr>
        <w:spacing w:after="0" w:line="480" w:lineRule="auto"/>
        <w:rPr>
          <w:rFonts w:asciiTheme="minorHAnsi" w:eastAsia="Times New Roman" w:hAnsiTheme="minorHAnsi"/>
          <w:b/>
          <w:sz w:val="24"/>
          <w:szCs w:val="24"/>
          <w:lang w:eastAsia="ar-SA"/>
        </w:rPr>
      </w:pPr>
      <w:r w:rsidRPr="00A60774">
        <w:rPr>
          <w:rFonts w:asciiTheme="minorHAnsi" w:hAnsiTheme="minorHAnsi"/>
          <w:b/>
          <w:sz w:val="24"/>
          <w:szCs w:val="24"/>
        </w:rPr>
        <w:t>Data A</w:t>
      </w:r>
      <w:r w:rsidR="00885D78" w:rsidRPr="00A60774">
        <w:rPr>
          <w:rFonts w:asciiTheme="minorHAnsi" w:hAnsiTheme="minorHAnsi"/>
          <w:b/>
          <w:sz w:val="24"/>
          <w:szCs w:val="24"/>
        </w:rPr>
        <w:t>nalysis</w:t>
      </w:r>
    </w:p>
    <w:p w14:paraId="6CBC1B1E" w14:textId="77777777" w:rsidR="00885D78" w:rsidRPr="00824C53" w:rsidRDefault="0028018E" w:rsidP="00B10D1C">
      <w:pPr>
        <w:spacing w:after="0" w:line="480" w:lineRule="auto"/>
        <w:ind w:firstLine="708"/>
        <w:jc w:val="left"/>
        <w:rPr>
          <w:rFonts w:asciiTheme="minorHAnsi" w:eastAsia="Times New Roman" w:hAnsiTheme="minorHAnsi" w:cs="Arial"/>
          <w:sz w:val="24"/>
          <w:szCs w:val="24"/>
          <w:lang w:val="en-US" w:eastAsia="ar-SA"/>
        </w:rPr>
      </w:pPr>
      <w:r w:rsidRPr="00824C53">
        <w:rPr>
          <w:rFonts w:asciiTheme="minorHAnsi" w:eastAsia="Times New Roman" w:hAnsiTheme="minorHAnsi" w:cs="Arial"/>
          <w:sz w:val="24"/>
          <w:szCs w:val="24"/>
          <w:lang w:eastAsia="ar-SA"/>
        </w:rPr>
        <w:t xml:space="preserve">We calculated </w:t>
      </w:r>
      <w:r w:rsidR="006A7020" w:rsidRPr="00824C53">
        <w:rPr>
          <w:rFonts w:asciiTheme="minorHAnsi" w:eastAsia="Times New Roman" w:hAnsiTheme="minorHAnsi" w:cs="Arial"/>
          <w:sz w:val="24"/>
          <w:szCs w:val="24"/>
          <w:lang w:val="en-US" w:eastAsia="ar-SA"/>
        </w:rPr>
        <w:t>descriptive</w:t>
      </w:r>
      <w:r w:rsidR="00885D78" w:rsidRPr="00824C53">
        <w:rPr>
          <w:rFonts w:asciiTheme="minorHAnsi" w:eastAsia="Times New Roman" w:hAnsiTheme="minorHAnsi" w:cs="Arial"/>
          <w:sz w:val="24"/>
          <w:szCs w:val="24"/>
          <w:lang w:val="en-US" w:eastAsia="ar-SA"/>
        </w:rPr>
        <w:t xml:space="preserve"> statistics for demographic and clinical features of the sample and compared across the three groups using chi-square and ANOVA with post-hoc Scheffe tests applied to pairs of groups, where the ANOVA was significant. We calculated a combined risk/protection Index score by subtracting the SAPROF Total sco</w:t>
      </w:r>
      <w:r w:rsidR="006A7020" w:rsidRPr="00824C53">
        <w:rPr>
          <w:rFonts w:asciiTheme="minorHAnsi" w:eastAsia="Times New Roman" w:hAnsiTheme="minorHAnsi" w:cs="Arial"/>
          <w:sz w:val="24"/>
          <w:szCs w:val="24"/>
          <w:lang w:val="en-US" w:eastAsia="ar-SA"/>
        </w:rPr>
        <w:t>re from that of the HCR</w:t>
      </w:r>
      <w:r w:rsidRPr="00824C53">
        <w:rPr>
          <w:rFonts w:asciiTheme="minorHAnsi" w:eastAsia="Times New Roman" w:hAnsiTheme="minorHAnsi" w:cs="Arial"/>
          <w:sz w:val="24"/>
          <w:szCs w:val="24"/>
          <w:lang w:val="en-US" w:eastAsia="ar-SA"/>
        </w:rPr>
        <w:t>-</w:t>
      </w:r>
      <w:r w:rsidR="006A7020" w:rsidRPr="00824C53">
        <w:rPr>
          <w:rFonts w:asciiTheme="minorHAnsi" w:eastAsia="Times New Roman" w:hAnsiTheme="minorHAnsi" w:cs="Arial"/>
          <w:sz w:val="24"/>
          <w:szCs w:val="24"/>
          <w:lang w:val="en-US" w:eastAsia="ar-SA"/>
        </w:rPr>
        <w:t xml:space="preserve">20 total </w:t>
      </w:r>
      <w:r w:rsidR="00885D78" w:rsidRPr="00824C53">
        <w:rPr>
          <w:rFonts w:asciiTheme="minorHAnsi" w:eastAsia="Times New Roman" w:hAnsiTheme="minorHAnsi" w:cs="Arial"/>
          <w:sz w:val="24"/>
          <w:szCs w:val="24"/>
          <w:lang w:val="en-US" w:eastAsia="ar-SA"/>
        </w:rPr>
        <w:t xml:space="preserve">and examined </w:t>
      </w:r>
      <w:r w:rsidR="00885D78" w:rsidRPr="00824C53">
        <w:rPr>
          <w:rFonts w:asciiTheme="minorHAnsi" w:eastAsia="Times New Roman" w:hAnsiTheme="minorHAnsi" w:cs="Arial"/>
          <w:sz w:val="24"/>
          <w:szCs w:val="24"/>
          <w:lang w:val="en-US" w:eastAsia="ar-SA"/>
        </w:rPr>
        <w:lastRenderedPageBreak/>
        <w:t>means across the three groups for each SAPROF item, each SAPROF subscale the SAPROF total and the combined Index score. Concurrent validity was tested using bivariate correlations of the SAPROF (subscales and total), HCR-20 and PCL:SV total scores overall and for each setting.</w:t>
      </w:r>
      <w:r w:rsidR="00885D78" w:rsidRPr="00824C53">
        <w:rPr>
          <w:rFonts w:asciiTheme="minorHAnsi" w:hAnsiTheme="minorHAnsi" w:cs="Arial"/>
          <w:sz w:val="24"/>
          <w:szCs w:val="24"/>
        </w:rPr>
        <w:t xml:space="preserve"> </w:t>
      </w:r>
      <w:r w:rsidR="00885D78" w:rsidRPr="00824C53">
        <w:rPr>
          <w:rFonts w:asciiTheme="minorHAnsi" w:eastAsia="Times New Roman" w:hAnsiTheme="minorHAnsi" w:cs="Arial"/>
          <w:sz w:val="24"/>
          <w:szCs w:val="24"/>
          <w:lang w:val="en-US" w:eastAsia="ar-SA"/>
        </w:rPr>
        <w:t xml:space="preserve">We measured predictive validity by calculating the Area Under the Curve (AUC) statistic derived from Receiver Operating Characteristics (ROC) analysis (Mossman, 1994). ROC analysis has frequently been used to estimate predictive validity, with the AUC of the ROC providing an index for interpreting the overall accuracy of the predictor. An AUC of .50 represents chance prediction and an </w:t>
      </w:r>
      <w:r w:rsidR="000273AE">
        <w:rPr>
          <w:rFonts w:asciiTheme="minorHAnsi" w:eastAsia="Times New Roman" w:hAnsiTheme="minorHAnsi" w:cs="Arial"/>
          <w:sz w:val="24"/>
          <w:szCs w:val="24"/>
          <w:lang w:val="en-US" w:eastAsia="ar-SA"/>
        </w:rPr>
        <w:t>AU</w:t>
      </w:r>
      <w:r w:rsidR="00DB2F7E">
        <w:rPr>
          <w:rFonts w:asciiTheme="minorHAnsi" w:eastAsia="Times New Roman" w:hAnsiTheme="minorHAnsi" w:cs="Arial"/>
          <w:sz w:val="24"/>
          <w:szCs w:val="24"/>
          <w:lang w:val="en-US" w:eastAsia="ar-SA"/>
        </w:rPr>
        <w:t xml:space="preserve">C of 1.0 perfect prediction. </w:t>
      </w:r>
      <w:r w:rsidR="00885D78" w:rsidRPr="00824C53">
        <w:rPr>
          <w:rFonts w:asciiTheme="minorHAnsi" w:eastAsia="Times New Roman" w:hAnsiTheme="minorHAnsi" w:cs="Arial"/>
          <w:sz w:val="24"/>
          <w:szCs w:val="24"/>
          <w:lang w:val="en-US" w:eastAsia="ar-SA"/>
        </w:rPr>
        <w:t xml:space="preserve">Rice &amp; Harris (2005) suggest the following interpretations of AUC values: .500-.556, small; .557-.639, moderate; .640-1.00 large. Since protective factors are supposed to be associated with non-violence, the AUC values for the SAPROF represent the accuracy of assessments for non-violence. </w:t>
      </w:r>
    </w:p>
    <w:p w14:paraId="076941D1" w14:textId="77777777" w:rsidR="00885D78" w:rsidRPr="00824C53" w:rsidRDefault="00885D78" w:rsidP="00B10D1C">
      <w:pPr>
        <w:spacing w:after="0" w:line="480" w:lineRule="auto"/>
        <w:ind w:firstLine="708"/>
        <w:jc w:val="left"/>
        <w:rPr>
          <w:rFonts w:asciiTheme="minorHAnsi" w:eastAsia="Times New Roman" w:hAnsiTheme="minorHAnsi" w:cs="Arial"/>
          <w:sz w:val="24"/>
          <w:szCs w:val="24"/>
          <w:lang w:val="en-US" w:eastAsia="ar-SA"/>
        </w:rPr>
      </w:pPr>
      <w:r w:rsidRPr="00824C53">
        <w:rPr>
          <w:rFonts w:asciiTheme="minorHAnsi" w:eastAsia="Times New Roman" w:hAnsiTheme="minorHAnsi" w:cs="Arial"/>
          <w:sz w:val="24"/>
          <w:szCs w:val="24"/>
          <w:lang w:val="en-US" w:eastAsia="ar-SA"/>
        </w:rPr>
        <w:t xml:space="preserve">We also used logistic regression to identify individual factors associated with violence in </w:t>
      </w:r>
      <w:r w:rsidR="00851C2E" w:rsidRPr="00824C53">
        <w:rPr>
          <w:rFonts w:asciiTheme="minorHAnsi" w:eastAsia="Times New Roman" w:hAnsiTheme="minorHAnsi" w:cs="Arial"/>
          <w:sz w:val="24"/>
          <w:szCs w:val="24"/>
          <w:lang w:val="en-US" w:eastAsia="ar-SA"/>
        </w:rPr>
        <w:t>a</w:t>
      </w:r>
      <w:r w:rsidRPr="00824C53">
        <w:rPr>
          <w:rFonts w:asciiTheme="minorHAnsi" w:eastAsia="Times New Roman" w:hAnsiTheme="minorHAnsi" w:cs="Arial"/>
          <w:sz w:val="24"/>
          <w:szCs w:val="24"/>
          <w:lang w:val="en-US" w:eastAsia="ar-SA"/>
        </w:rPr>
        <w:t xml:space="preserve"> </w:t>
      </w:r>
      <w:r w:rsidR="00851C2E" w:rsidRPr="00824C53">
        <w:rPr>
          <w:rFonts w:asciiTheme="minorHAnsi" w:eastAsia="Times New Roman" w:hAnsiTheme="minorHAnsi" w:cs="Arial"/>
          <w:sz w:val="24"/>
          <w:szCs w:val="24"/>
          <w:lang w:val="en-US" w:eastAsia="ar-SA"/>
        </w:rPr>
        <w:t>subsample of the</w:t>
      </w:r>
      <w:r w:rsidR="0028018E" w:rsidRPr="00824C53">
        <w:rPr>
          <w:rFonts w:asciiTheme="minorHAnsi" w:eastAsia="Times New Roman" w:hAnsiTheme="minorHAnsi" w:cs="Arial"/>
          <w:sz w:val="24"/>
          <w:szCs w:val="24"/>
          <w:lang w:val="en-US" w:eastAsia="ar-SA"/>
        </w:rPr>
        <w:t xml:space="preserve"> </w:t>
      </w:r>
      <w:r w:rsidRPr="00824C53">
        <w:rPr>
          <w:rFonts w:asciiTheme="minorHAnsi" w:eastAsia="Times New Roman" w:hAnsiTheme="minorHAnsi" w:cs="Arial"/>
          <w:sz w:val="24"/>
          <w:szCs w:val="24"/>
          <w:lang w:val="en-US" w:eastAsia="ar-SA"/>
        </w:rPr>
        <w:t>cohort of patients (n=151). We examined th</w:t>
      </w:r>
      <w:r w:rsidR="00DE1E15" w:rsidRPr="00824C53">
        <w:rPr>
          <w:rFonts w:asciiTheme="minorHAnsi" w:eastAsia="Times New Roman" w:hAnsiTheme="minorHAnsi" w:cs="Arial"/>
          <w:sz w:val="24"/>
          <w:szCs w:val="24"/>
          <w:lang w:val="en-US" w:eastAsia="ar-SA"/>
        </w:rPr>
        <w:t xml:space="preserve">e relationship between a number </w:t>
      </w:r>
      <w:r w:rsidRPr="00824C53">
        <w:rPr>
          <w:rFonts w:asciiTheme="minorHAnsi" w:eastAsia="Times New Roman" w:hAnsiTheme="minorHAnsi" w:cs="Arial"/>
          <w:sz w:val="24"/>
          <w:szCs w:val="24"/>
          <w:lang w:val="en-US" w:eastAsia="ar-SA"/>
        </w:rPr>
        <w:t>of potentially explanatory variables relating to demographics (i.e. age, gender, marital/relationship status, primary diagnosis, admission history and length of admission, history of violence); setting (general in-patient or community); SAPROF scores; and violence as the outcome variable (defined as physical aggression in the 6 months following assessment and coded as yes/no). We examined the relationship of each explanatory variable to violence using univariate analysis and we retained those variables identified as being statistically related to the outcome at the 10% (p=0.1) level for possible inclusion in the multivariate model. We adopted a p value &lt; 0.05 to determine the significance of the variables included in the multivariate model.</w:t>
      </w:r>
    </w:p>
    <w:p w14:paraId="6C0EA266" w14:textId="77777777" w:rsidR="00885D78" w:rsidRPr="00A60774" w:rsidRDefault="00885D78" w:rsidP="00B10D1C">
      <w:pPr>
        <w:spacing w:after="0" w:line="480" w:lineRule="auto"/>
        <w:jc w:val="center"/>
        <w:rPr>
          <w:rFonts w:asciiTheme="minorHAnsi" w:eastAsia="Times New Roman" w:hAnsiTheme="minorHAnsi"/>
          <w:b/>
          <w:sz w:val="24"/>
          <w:szCs w:val="24"/>
        </w:rPr>
      </w:pPr>
      <w:r w:rsidRPr="00A60774">
        <w:rPr>
          <w:rFonts w:asciiTheme="minorHAnsi" w:hAnsiTheme="minorHAnsi"/>
          <w:b/>
          <w:sz w:val="24"/>
          <w:szCs w:val="24"/>
        </w:rPr>
        <w:t>Results</w:t>
      </w:r>
    </w:p>
    <w:p w14:paraId="08791B18" w14:textId="77777777" w:rsidR="00885D78" w:rsidRPr="00A60774" w:rsidRDefault="00934574" w:rsidP="00B10D1C">
      <w:pPr>
        <w:spacing w:after="0" w:line="480" w:lineRule="auto"/>
        <w:rPr>
          <w:rFonts w:asciiTheme="minorHAnsi" w:eastAsia="Times New Roman" w:hAnsiTheme="minorHAnsi"/>
          <w:b/>
          <w:sz w:val="24"/>
          <w:szCs w:val="24"/>
        </w:rPr>
      </w:pPr>
      <w:r w:rsidRPr="00A60774">
        <w:rPr>
          <w:rFonts w:asciiTheme="minorHAnsi" w:hAnsiTheme="minorHAnsi"/>
          <w:b/>
          <w:sz w:val="24"/>
          <w:szCs w:val="24"/>
        </w:rPr>
        <w:t>Characteristics of the Patient S</w:t>
      </w:r>
      <w:r w:rsidR="00885D78" w:rsidRPr="00A60774">
        <w:rPr>
          <w:rFonts w:asciiTheme="minorHAnsi" w:hAnsiTheme="minorHAnsi"/>
          <w:b/>
          <w:sz w:val="24"/>
          <w:szCs w:val="24"/>
        </w:rPr>
        <w:t>ample</w:t>
      </w:r>
    </w:p>
    <w:p w14:paraId="29111AE6" w14:textId="77777777" w:rsidR="00885D78" w:rsidRPr="00824C53" w:rsidRDefault="00885D78" w:rsidP="00B10D1C">
      <w:pPr>
        <w:spacing w:after="0" w:line="480" w:lineRule="auto"/>
        <w:ind w:firstLine="708"/>
        <w:jc w:val="left"/>
        <w:rPr>
          <w:rFonts w:asciiTheme="minorHAnsi" w:eastAsia="Times New Roman" w:hAnsiTheme="minorHAnsi" w:cs="Arial"/>
          <w:sz w:val="24"/>
          <w:szCs w:val="24"/>
        </w:rPr>
      </w:pPr>
      <w:r w:rsidRPr="00824C53">
        <w:rPr>
          <w:rFonts w:asciiTheme="minorHAnsi" w:eastAsia="Times New Roman" w:hAnsiTheme="minorHAnsi" w:cs="Arial"/>
          <w:sz w:val="24"/>
          <w:szCs w:val="24"/>
        </w:rPr>
        <w:lastRenderedPageBreak/>
        <w:t xml:space="preserve">The sample consisted of 261 patients who gave consent to participate. In terms of setting at the point of assessment, 21% (n=55) were detained in forensic settings under the Mental Health Act (MHA) and in this paper we refer to these patients as the ‘secure in-patients’ group, while 38% (n=100) entered their psychiatric unit voluntarily or were subject to a civil MHA section, and these are referred to as the ‘general in-patients’ group; and 41% (n=106) of patients were accessing a community mental health service, which will be referred to as the ‘community patients’ group. The main demographic and clinical characteristics of the three groups are shown in </w:t>
      </w:r>
      <w:r w:rsidRPr="00824C53">
        <w:rPr>
          <w:rFonts w:asciiTheme="minorHAnsi" w:eastAsia="Times New Roman" w:hAnsiTheme="minorHAnsi" w:cs="Arial"/>
          <w:b/>
          <w:i/>
          <w:sz w:val="24"/>
          <w:szCs w:val="24"/>
        </w:rPr>
        <w:t>Table 1</w:t>
      </w:r>
      <w:r w:rsidRPr="00824C53">
        <w:rPr>
          <w:rFonts w:asciiTheme="minorHAnsi" w:eastAsia="Times New Roman" w:hAnsiTheme="minorHAnsi" w:cs="Arial"/>
          <w:sz w:val="24"/>
          <w:szCs w:val="24"/>
        </w:rPr>
        <w:t>.</w:t>
      </w:r>
    </w:p>
    <w:p w14:paraId="10419F5B" w14:textId="77777777" w:rsidR="00885D78" w:rsidRPr="00824C53" w:rsidRDefault="00885D78" w:rsidP="00B10D1C">
      <w:pPr>
        <w:spacing w:after="0" w:line="480" w:lineRule="auto"/>
        <w:ind w:firstLine="708"/>
        <w:jc w:val="left"/>
        <w:rPr>
          <w:rFonts w:asciiTheme="minorHAnsi" w:eastAsia="Times New Roman" w:hAnsiTheme="minorHAnsi" w:cs="Arial"/>
          <w:sz w:val="24"/>
          <w:szCs w:val="24"/>
        </w:rPr>
      </w:pPr>
      <w:r w:rsidRPr="00824C53">
        <w:rPr>
          <w:rFonts w:asciiTheme="minorHAnsi" w:eastAsia="Times New Roman" w:hAnsiTheme="minorHAnsi" w:cs="Arial"/>
          <w:sz w:val="24"/>
          <w:szCs w:val="24"/>
        </w:rPr>
        <w:t>Table 1 about here</w:t>
      </w:r>
    </w:p>
    <w:p w14:paraId="408B2992" w14:textId="77777777" w:rsidR="00885D78" w:rsidRPr="00824C53" w:rsidRDefault="00885D78" w:rsidP="00B10D1C">
      <w:pPr>
        <w:spacing w:after="0" w:line="480" w:lineRule="auto"/>
        <w:ind w:firstLine="708"/>
        <w:jc w:val="left"/>
        <w:rPr>
          <w:rFonts w:asciiTheme="minorHAnsi" w:eastAsia="Times New Roman" w:hAnsiTheme="minorHAnsi" w:cs="Arial"/>
          <w:sz w:val="24"/>
          <w:szCs w:val="24"/>
        </w:rPr>
      </w:pPr>
      <w:r w:rsidRPr="00824C53">
        <w:rPr>
          <w:rFonts w:asciiTheme="minorHAnsi" w:eastAsia="Times New Roman" w:hAnsiTheme="minorHAnsi" w:cs="Arial"/>
          <w:sz w:val="24"/>
          <w:szCs w:val="24"/>
        </w:rPr>
        <w:t>The majority of patients were male (62%)</w:t>
      </w:r>
      <w:r w:rsidR="00DE1E15" w:rsidRPr="00824C53">
        <w:rPr>
          <w:rFonts w:asciiTheme="minorHAnsi" w:eastAsia="Times New Roman" w:hAnsiTheme="minorHAnsi" w:cs="Arial"/>
          <w:sz w:val="24"/>
          <w:szCs w:val="24"/>
        </w:rPr>
        <w:t>, White British</w:t>
      </w:r>
      <w:r w:rsidRPr="00824C53">
        <w:rPr>
          <w:rFonts w:asciiTheme="minorHAnsi" w:eastAsia="Times New Roman" w:hAnsiTheme="minorHAnsi" w:cs="Arial"/>
          <w:sz w:val="24"/>
          <w:szCs w:val="24"/>
        </w:rPr>
        <w:t xml:space="preserve"> and not in a relatio</w:t>
      </w:r>
      <w:r w:rsidR="0028018E" w:rsidRPr="00824C53">
        <w:rPr>
          <w:rFonts w:asciiTheme="minorHAnsi" w:eastAsia="Times New Roman" w:hAnsiTheme="minorHAnsi" w:cs="Arial"/>
          <w:sz w:val="24"/>
          <w:szCs w:val="24"/>
        </w:rPr>
        <w:t>nship at the time of assessment</w:t>
      </w:r>
      <w:r w:rsidRPr="00824C53">
        <w:rPr>
          <w:rFonts w:asciiTheme="minorHAnsi" w:eastAsia="Times New Roman" w:hAnsiTheme="minorHAnsi" w:cs="Arial"/>
          <w:sz w:val="24"/>
          <w:szCs w:val="24"/>
        </w:rPr>
        <w:t>. The average age of patients was 39.4 years (range = 18-87). They mainly had a pri</w:t>
      </w:r>
      <w:r w:rsidR="0028018E" w:rsidRPr="00824C53">
        <w:rPr>
          <w:rFonts w:asciiTheme="minorHAnsi" w:eastAsia="Times New Roman" w:hAnsiTheme="minorHAnsi" w:cs="Arial"/>
          <w:sz w:val="24"/>
          <w:szCs w:val="24"/>
        </w:rPr>
        <w:t>mary diagnosis of schizophrenia</w:t>
      </w:r>
      <w:r w:rsidR="00851C2E" w:rsidRPr="00824C53">
        <w:rPr>
          <w:rFonts w:asciiTheme="minorHAnsi" w:eastAsia="Times New Roman" w:hAnsiTheme="minorHAnsi" w:cs="Arial"/>
          <w:sz w:val="24"/>
          <w:szCs w:val="24"/>
        </w:rPr>
        <w:t xml:space="preserve"> or affective disorders</w:t>
      </w:r>
      <w:r w:rsidRPr="00824C53">
        <w:rPr>
          <w:rFonts w:asciiTheme="minorHAnsi" w:eastAsia="Times New Roman" w:hAnsiTheme="minorHAnsi" w:cs="Arial"/>
          <w:sz w:val="24"/>
          <w:szCs w:val="24"/>
        </w:rPr>
        <w:t>. In the secure setting group, index offences (i.e. the most recent offence which brought the offender into contact with the criminal justice system) were most frequently violent (n=23, 41.8%) or sexual (n=7, 12.7%) in nature. When characteristics were compared across the three groups, there were similarities in terms of ethnicity and the number of previous admissions to mental health services. On the other hand, there were highly significant variations (</w:t>
      </w:r>
      <w:r w:rsidRPr="00824C53">
        <w:rPr>
          <w:rFonts w:asciiTheme="minorHAnsi" w:eastAsia="Times New Roman" w:hAnsiTheme="minorHAnsi" w:cs="Arial"/>
          <w:i/>
          <w:sz w:val="24"/>
          <w:szCs w:val="24"/>
        </w:rPr>
        <w:t>p</w:t>
      </w:r>
      <w:r w:rsidRPr="00824C53">
        <w:rPr>
          <w:rFonts w:asciiTheme="minorHAnsi" w:eastAsia="Times New Roman" w:hAnsiTheme="minorHAnsi" w:cs="Arial"/>
          <w:sz w:val="24"/>
          <w:szCs w:val="24"/>
        </w:rPr>
        <w:t xml:space="preserve"> &lt; .001) in terms of diagnosis, marital status, duration of admission</w:t>
      </w:r>
      <w:r w:rsidR="0028018E" w:rsidRPr="00824C53">
        <w:rPr>
          <w:rFonts w:asciiTheme="minorHAnsi" w:eastAsia="Times New Roman" w:hAnsiTheme="minorHAnsi" w:cs="Arial"/>
          <w:sz w:val="24"/>
          <w:szCs w:val="24"/>
        </w:rPr>
        <w:t>,</w:t>
      </w:r>
      <w:r w:rsidRPr="00824C53">
        <w:rPr>
          <w:rFonts w:asciiTheme="minorHAnsi" w:eastAsia="Times New Roman" w:hAnsiTheme="minorHAnsi" w:cs="Arial"/>
          <w:sz w:val="24"/>
          <w:szCs w:val="24"/>
        </w:rPr>
        <w:t xml:space="preserve"> and violence convictions. The secure setting group were much more likely to have a diagnosis of schizophrenia, single status, long admissions, and previous violent convictions</w:t>
      </w:r>
      <w:r w:rsidR="0028018E" w:rsidRPr="00824C53">
        <w:rPr>
          <w:rFonts w:asciiTheme="minorHAnsi" w:eastAsia="Times New Roman" w:hAnsiTheme="minorHAnsi" w:cs="Arial"/>
          <w:sz w:val="24"/>
          <w:szCs w:val="24"/>
        </w:rPr>
        <w:t>,</w:t>
      </w:r>
      <w:r w:rsidRPr="00824C53">
        <w:rPr>
          <w:rFonts w:asciiTheme="minorHAnsi" w:eastAsia="Times New Roman" w:hAnsiTheme="minorHAnsi" w:cs="Arial"/>
          <w:sz w:val="24"/>
          <w:szCs w:val="24"/>
        </w:rPr>
        <w:t xml:space="preserve"> compared to the other groups.</w:t>
      </w:r>
    </w:p>
    <w:p w14:paraId="35C692C4" w14:textId="77777777" w:rsidR="00885D78" w:rsidRPr="00A60774" w:rsidRDefault="00934574" w:rsidP="00B10D1C">
      <w:pPr>
        <w:spacing w:after="0" w:line="480" w:lineRule="auto"/>
        <w:rPr>
          <w:rFonts w:asciiTheme="minorHAnsi" w:eastAsia="Times New Roman" w:hAnsiTheme="minorHAnsi"/>
          <w:b/>
          <w:sz w:val="24"/>
          <w:szCs w:val="24"/>
        </w:rPr>
      </w:pPr>
      <w:r w:rsidRPr="00A60774">
        <w:rPr>
          <w:rFonts w:asciiTheme="minorHAnsi" w:eastAsia="Times New Roman" w:hAnsiTheme="minorHAnsi"/>
          <w:b/>
          <w:sz w:val="24"/>
          <w:szCs w:val="24"/>
        </w:rPr>
        <w:t>SAPROF Scores in Forensic, General Mental Health and Community S</w:t>
      </w:r>
      <w:r w:rsidR="00885D78" w:rsidRPr="00A60774">
        <w:rPr>
          <w:rFonts w:asciiTheme="minorHAnsi" w:eastAsia="Times New Roman" w:hAnsiTheme="minorHAnsi"/>
          <w:b/>
          <w:sz w:val="24"/>
          <w:szCs w:val="24"/>
        </w:rPr>
        <w:t>amples</w:t>
      </w:r>
    </w:p>
    <w:p w14:paraId="1DF9430B" w14:textId="77777777" w:rsidR="00885D78" w:rsidRPr="00824C53" w:rsidRDefault="00885D78" w:rsidP="00B10D1C">
      <w:pPr>
        <w:spacing w:after="0" w:line="480" w:lineRule="auto"/>
        <w:ind w:firstLine="708"/>
        <w:jc w:val="left"/>
        <w:rPr>
          <w:rFonts w:asciiTheme="minorHAnsi" w:eastAsia="Times New Roman" w:hAnsiTheme="minorHAnsi" w:cs="Arial"/>
          <w:sz w:val="24"/>
          <w:szCs w:val="24"/>
        </w:rPr>
      </w:pPr>
      <w:r w:rsidRPr="00824C53">
        <w:rPr>
          <w:rFonts w:asciiTheme="minorHAnsi" w:eastAsia="Times New Roman" w:hAnsiTheme="minorHAnsi" w:cs="Arial"/>
          <w:sz w:val="24"/>
          <w:szCs w:val="24"/>
        </w:rPr>
        <w:t xml:space="preserve">SAPROF item, factor and total scores for the overall sample and the three subgroups are shown in </w:t>
      </w:r>
      <w:r w:rsidRPr="00824C53">
        <w:rPr>
          <w:rFonts w:asciiTheme="minorHAnsi" w:eastAsia="Times New Roman" w:hAnsiTheme="minorHAnsi" w:cs="Arial"/>
          <w:i/>
          <w:sz w:val="24"/>
          <w:szCs w:val="24"/>
        </w:rPr>
        <w:t>Table 2</w:t>
      </w:r>
      <w:r w:rsidRPr="00824C53">
        <w:rPr>
          <w:rFonts w:asciiTheme="minorHAnsi" w:eastAsia="Times New Roman" w:hAnsiTheme="minorHAnsi" w:cs="Arial"/>
          <w:sz w:val="24"/>
          <w:szCs w:val="24"/>
        </w:rPr>
        <w:t>. The SAPROF total and subscale scores were normally distributed in the combined sample.</w:t>
      </w:r>
      <w:r w:rsidR="002D1A85">
        <w:rPr>
          <w:rFonts w:asciiTheme="minorHAnsi" w:eastAsia="Times New Roman" w:hAnsiTheme="minorHAnsi" w:cs="Arial"/>
          <w:sz w:val="24"/>
          <w:szCs w:val="24"/>
        </w:rPr>
        <w:t xml:space="preserve"> </w:t>
      </w:r>
    </w:p>
    <w:p w14:paraId="7E8DCEAA" w14:textId="77777777" w:rsidR="00885D78" w:rsidRPr="00824C53" w:rsidRDefault="00885D78" w:rsidP="00B10D1C">
      <w:pPr>
        <w:spacing w:after="0" w:line="480" w:lineRule="auto"/>
        <w:ind w:firstLine="708"/>
        <w:jc w:val="left"/>
        <w:rPr>
          <w:rFonts w:asciiTheme="minorHAnsi" w:eastAsia="Times New Roman" w:hAnsiTheme="minorHAnsi" w:cs="Arial"/>
          <w:sz w:val="24"/>
          <w:szCs w:val="24"/>
        </w:rPr>
      </w:pPr>
      <w:r w:rsidRPr="00824C53">
        <w:rPr>
          <w:rFonts w:asciiTheme="minorHAnsi" w:eastAsia="Times New Roman" w:hAnsiTheme="minorHAnsi" w:cs="Arial"/>
          <w:sz w:val="24"/>
          <w:szCs w:val="24"/>
        </w:rPr>
        <w:t>Table 2 about here</w:t>
      </w:r>
    </w:p>
    <w:p w14:paraId="213E4F83" w14:textId="77777777" w:rsidR="00885D78" w:rsidRPr="00824C53" w:rsidRDefault="00885D78" w:rsidP="00B10D1C">
      <w:pPr>
        <w:spacing w:after="0" w:line="480" w:lineRule="auto"/>
        <w:ind w:firstLine="708"/>
        <w:jc w:val="left"/>
        <w:rPr>
          <w:rFonts w:asciiTheme="minorHAnsi" w:eastAsia="Times New Roman" w:hAnsiTheme="minorHAnsi" w:cs="Arial"/>
          <w:sz w:val="24"/>
          <w:szCs w:val="24"/>
        </w:rPr>
      </w:pPr>
      <w:r w:rsidRPr="00824C53">
        <w:rPr>
          <w:rFonts w:asciiTheme="minorHAnsi" w:eastAsia="Times New Roman" w:hAnsiTheme="minorHAnsi" w:cs="Arial"/>
          <w:sz w:val="24"/>
          <w:szCs w:val="24"/>
        </w:rPr>
        <w:lastRenderedPageBreak/>
        <w:t xml:space="preserve">The community sample had significantly more and stronger protective factors overall (SAPROF Total) than the other two groups but the general and secure inpatient groups did not differ significantly in overall protective factors. This pattern was apparent for the Internal and Motivational subscales as well. With the External subscale, the pattern of scores was reversed with the secure in-patient group scoring higher than the general inpatient group and the latter scoring higher than the community group. </w:t>
      </w:r>
      <w:r w:rsidRPr="00824C53">
        <w:rPr>
          <w:rFonts w:asciiTheme="minorHAnsi" w:hAnsiTheme="minorHAnsi" w:cs="Arial"/>
          <w:sz w:val="24"/>
          <w:szCs w:val="24"/>
        </w:rPr>
        <w:t xml:space="preserve">After a Bonferroni correction for multiple testing, variation in SAPROF item scores across groups was significant for every item apart from secure attachment in childhood (item 2), leisure activities (item 7) and social network (item 13). </w:t>
      </w:r>
    </w:p>
    <w:p w14:paraId="6E7D22E3" w14:textId="77777777" w:rsidR="00885D78" w:rsidRPr="00A60774" w:rsidRDefault="00934574" w:rsidP="00B10D1C">
      <w:pPr>
        <w:spacing w:after="0" w:line="480" w:lineRule="auto"/>
        <w:rPr>
          <w:rFonts w:asciiTheme="minorHAnsi" w:hAnsiTheme="minorHAnsi"/>
          <w:b/>
          <w:sz w:val="24"/>
          <w:szCs w:val="24"/>
        </w:rPr>
      </w:pPr>
      <w:r w:rsidRPr="00A60774">
        <w:rPr>
          <w:rFonts w:asciiTheme="minorHAnsi" w:hAnsiTheme="minorHAnsi"/>
          <w:b/>
          <w:sz w:val="24"/>
          <w:szCs w:val="24"/>
        </w:rPr>
        <w:t>Concurrent V</w:t>
      </w:r>
      <w:r w:rsidR="00885D78" w:rsidRPr="00A60774">
        <w:rPr>
          <w:rFonts w:asciiTheme="minorHAnsi" w:hAnsiTheme="minorHAnsi"/>
          <w:b/>
          <w:sz w:val="24"/>
          <w:szCs w:val="24"/>
        </w:rPr>
        <w:t>alidity of SAPROF</w:t>
      </w:r>
    </w:p>
    <w:p w14:paraId="51B0578C" w14:textId="77777777" w:rsidR="00885D78" w:rsidRPr="00824C53" w:rsidRDefault="00885D78" w:rsidP="00B10D1C">
      <w:pPr>
        <w:spacing w:after="0" w:line="480" w:lineRule="auto"/>
        <w:ind w:firstLine="708"/>
        <w:jc w:val="left"/>
        <w:rPr>
          <w:rFonts w:asciiTheme="minorHAnsi" w:eastAsia="Times New Roman" w:hAnsiTheme="minorHAnsi" w:cs="Arial"/>
          <w:sz w:val="24"/>
          <w:szCs w:val="24"/>
        </w:rPr>
      </w:pPr>
      <w:r w:rsidRPr="00824C53">
        <w:rPr>
          <w:rFonts w:asciiTheme="minorHAnsi" w:eastAsia="Times New Roman" w:hAnsiTheme="minorHAnsi" w:cs="Arial"/>
          <w:sz w:val="24"/>
          <w:szCs w:val="24"/>
        </w:rPr>
        <w:t xml:space="preserve">Correlations between SAPROF factors and total scores of the HCR-20 and PCL-SV in the three groups are given in </w:t>
      </w:r>
      <w:r w:rsidRPr="00824C53">
        <w:rPr>
          <w:rFonts w:asciiTheme="minorHAnsi" w:eastAsia="Times New Roman" w:hAnsiTheme="minorHAnsi" w:cs="Arial"/>
          <w:b/>
          <w:i/>
          <w:sz w:val="24"/>
          <w:szCs w:val="24"/>
        </w:rPr>
        <w:t>Table 3</w:t>
      </w:r>
      <w:r w:rsidRPr="00824C53">
        <w:rPr>
          <w:rFonts w:asciiTheme="minorHAnsi" w:eastAsia="Times New Roman" w:hAnsiTheme="minorHAnsi" w:cs="Arial"/>
          <w:sz w:val="24"/>
          <w:szCs w:val="24"/>
        </w:rPr>
        <w:t xml:space="preserve">. </w:t>
      </w:r>
    </w:p>
    <w:p w14:paraId="751B8413" w14:textId="77777777" w:rsidR="00885D78" w:rsidRPr="00824C53" w:rsidRDefault="00885D78" w:rsidP="00B10D1C">
      <w:pPr>
        <w:spacing w:after="0" w:line="480" w:lineRule="auto"/>
        <w:ind w:firstLine="708"/>
        <w:jc w:val="left"/>
        <w:rPr>
          <w:rFonts w:asciiTheme="minorHAnsi" w:eastAsia="Times New Roman" w:hAnsiTheme="minorHAnsi" w:cs="Arial"/>
          <w:sz w:val="24"/>
          <w:szCs w:val="24"/>
        </w:rPr>
      </w:pPr>
      <w:r w:rsidRPr="00824C53">
        <w:rPr>
          <w:rFonts w:asciiTheme="minorHAnsi" w:eastAsia="Times New Roman" w:hAnsiTheme="minorHAnsi" w:cs="Arial"/>
          <w:sz w:val="24"/>
          <w:szCs w:val="24"/>
        </w:rPr>
        <w:t>Table 3 about here</w:t>
      </w:r>
    </w:p>
    <w:p w14:paraId="3BA6D486" w14:textId="77777777" w:rsidR="00885D78" w:rsidRPr="00824C53" w:rsidRDefault="00885D78" w:rsidP="00B10D1C">
      <w:pPr>
        <w:spacing w:after="0" w:line="480" w:lineRule="auto"/>
        <w:ind w:firstLine="708"/>
        <w:jc w:val="left"/>
        <w:rPr>
          <w:rFonts w:asciiTheme="minorHAnsi" w:eastAsia="Times New Roman" w:hAnsiTheme="minorHAnsi" w:cs="Arial"/>
          <w:sz w:val="24"/>
          <w:szCs w:val="24"/>
        </w:rPr>
      </w:pPr>
      <w:r w:rsidRPr="00824C53">
        <w:rPr>
          <w:rFonts w:asciiTheme="minorHAnsi" w:eastAsia="Times New Roman" w:hAnsiTheme="minorHAnsi" w:cs="Arial"/>
          <w:sz w:val="24"/>
          <w:szCs w:val="24"/>
        </w:rPr>
        <w:t>The SAPROF Total score correlated significantly and negatively with the HCR-20 and P</w:t>
      </w:r>
      <w:r w:rsidR="00851C2E" w:rsidRPr="00824C53">
        <w:rPr>
          <w:rFonts w:asciiTheme="minorHAnsi" w:eastAsia="Times New Roman" w:hAnsiTheme="minorHAnsi" w:cs="Arial"/>
          <w:sz w:val="24"/>
          <w:szCs w:val="24"/>
        </w:rPr>
        <w:t xml:space="preserve">CL:SV  in each of the subgroups. </w:t>
      </w:r>
      <w:r w:rsidRPr="00824C53">
        <w:rPr>
          <w:rFonts w:asciiTheme="minorHAnsi" w:eastAsia="Times New Roman" w:hAnsiTheme="minorHAnsi" w:cs="Arial"/>
          <w:sz w:val="24"/>
          <w:szCs w:val="24"/>
        </w:rPr>
        <w:t xml:space="preserve">The association with the HCR-20 was weakest in the general inpatient group but remained significant. The SAPROF subscales all correlated positively and significantly with the SAPROF Total score in all three groups. The association with the SAPROF Total score was stronger (and statistically significant) in all three groups for the Internal and Motivational </w:t>
      </w:r>
      <w:r w:rsidR="00851C2E" w:rsidRPr="00824C53">
        <w:rPr>
          <w:rFonts w:asciiTheme="minorHAnsi" w:eastAsia="Times New Roman" w:hAnsiTheme="minorHAnsi" w:cs="Arial"/>
          <w:sz w:val="24"/>
          <w:szCs w:val="24"/>
        </w:rPr>
        <w:t xml:space="preserve">factors </w:t>
      </w:r>
      <w:r w:rsidRPr="00824C53">
        <w:rPr>
          <w:rFonts w:asciiTheme="minorHAnsi" w:eastAsia="Times New Roman" w:hAnsiTheme="minorHAnsi" w:cs="Arial"/>
          <w:sz w:val="24"/>
          <w:szCs w:val="24"/>
        </w:rPr>
        <w:t xml:space="preserve">than it was for the External factor. The strength, direction and significance of the relationship between the External factor and the two other instruments were also very variable.   </w:t>
      </w:r>
    </w:p>
    <w:p w14:paraId="0A33E9D5" w14:textId="77777777" w:rsidR="00885D78" w:rsidRPr="00A60774" w:rsidRDefault="00934574" w:rsidP="00B10D1C">
      <w:pPr>
        <w:spacing w:after="0" w:line="480" w:lineRule="auto"/>
        <w:rPr>
          <w:rFonts w:asciiTheme="minorHAnsi" w:eastAsiaTheme="majorEastAsia" w:hAnsiTheme="minorHAnsi"/>
          <w:b/>
          <w:sz w:val="24"/>
          <w:szCs w:val="24"/>
        </w:rPr>
      </w:pPr>
      <w:r w:rsidRPr="00A60774">
        <w:rPr>
          <w:rFonts w:asciiTheme="minorHAnsi" w:eastAsiaTheme="majorEastAsia" w:hAnsiTheme="minorHAnsi"/>
          <w:b/>
          <w:sz w:val="24"/>
          <w:szCs w:val="24"/>
        </w:rPr>
        <w:t>Predictive V</w:t>
      </w:r>
      <w:r w:rsidR="00885D78" w:rsidRPr="00A60774">
        <w:rPr>
          <w:rFonts w:asciiTheme="minorHAnsi" w:eastAsiaTheme="majorEastAsia" w:hAnsiTheme="minorHAnsi"/>
          <w:b/>
          <w:sz w:val="24"/>
          <w:szCs w:val="24"/>
        </w:rPr>
        <w:t xml:space="preserve">alidity of SAPROF </w:t>
      </w:r>
    </w:p>
    <w:p w14:paraId="049E38FE" w14:textId="77777777" w:rsidR="00885D78" w:rsidRPr="00824C53" w:rsidRDefault="00885D78" w:rsidP="00B10D1C">
      <w:pPr>
        <w:spacing w:after="0" w:line="480" w:lineRule="auto"/>
        <w:ind w:firstLine="708"/>
        <w:jc w:val="left"/>
        <w:rPr>
          <w:rFonts w:asciiTheme="minorHAnsi" w:hAnsiTheme="minorHAnsi" w:cs="Arial"/>
          <w:sz w:val="24"/>
          <w:szCs w:val="24"/>
        </w:rPr>
      </w:pPr>
      <w:r w:rsidRPr="00824C53">
        <w:rPr>
          <w:rFonts w:asciiTheme="minorHAnsi" w:hAnsiTheme="minorHAnsi" w:cs="Arial"/>
          <w:sz w:val="24"/>
          <w:szCs w:val="24"/>
        </w:rPr>
        <w:t xml:space="preserve">Prospective data on violence was available for 148 of the non-forensic </w:t>
      </w:r>
      <w:r w:rsidR="00DB2F7E">
        <w:rPr>
          <w:rFonts w:asciiTheme="minorHAnsi" w:hAnsiTheme="minorHAnsi" w:cs="Arial"/>
          <w:sz w:val="24"/>
          <w:szCs w:val="24"/>
        </w:rPr>
        <w:t xml:space="preserve">patients. </w:t>
      </w:r>
      <w:r w:rsidRPr="00824C53">
        <w:rPr>
          <w:rFonts w:asciiTheme="minorHAnsi" w:hAnsiTheme="minorHAnsi" w:cs="Arial"/>
          <w:sz w:val="24"/>
          <w:szCs w:val="24"/>
        </w:rPr>
        <w:t>Violence data comprised incidents of physical aggression which were recorded in the 6 months following the initial assessment, with a mean time between the assessment and outcome measurement  of 188 days (</w:t>
      </w:r>
      <w:r w:rsidRPr="00824C53">
        <w:rPr>
          <w:rFonts w:asciiTheme="minorHAnsi" w:hAnsiTheme="minorHAnsi" w:cs="Arial"/>
          <w:i/>
          <w:sz w:val="24"/>
          <w:szCs w:val="24"/>
        </w:rPr>
        <w:t>SD</w:t>
      </w:r>
      <w:r w:rsidR="00DB2F7E">
        <w:rPr>
          <w:rFonts w:asciiTheme="minorHAnsi" w:hAnsiTheme="minorHAnsi" w:cs="Arial"/>
          <w:sz w:val="24"/>
          <w:szCs w:val="24"/>
        </w:rPr>
        <w:t xml:space="preserve"> = 3.8, 183-195). </w:t>
      </w:r>
      <w:r w:rsidRPr="00824C53">
        <w:rPr>
          <w:rFonts w:asciiTheme="minorHAnsi" w:hAnsiTheme="minorHAnsi" w:cs="Arial"/>
          <w:sz w:val="24"/>
          <w:szCs w:val="24"/>
        </w:rPr>
        <w:t xml:space="preserve">In this period 12 (28.0%) of the general in-patient group and 21 (20.0%) of </w:t>
      </w:r>
      <w:r w:rsidRPr="00824C53">
        <w:rPr>
          <w:rFonts w:asciiTheme="minorHAnsi" w:hAnsiTheme="minorHAnsi" w:cs="Arial"/>
          <w:sz w:val="24"/>
          <w:szCs w:val="24"/>
        </w:rPr>
        <w:lastRenderedPageBreak/>
        <w:t xml:space="preserve">the community group were logged as engaging in an act of physical aggression. AUC values (with 95% confidence intervals) are shown in </w:t>
      </w:r>
      <w:r w:rsidRPr="00824C53">
        <w:rPr>
          <w:rFonts w:asciiTheme="minorHAnsi" w:hAnsiTheme="minorHAnsi" w:cs="Arial"/>
          <w:b/>
          <w:i/>
          <w:sz w:val="24"/>
          <w:szCs w:val="24"/>
        </w:rPr>
        <w:t>Table 4</w:t>
      </w:r>
      <w:r w:rsidRPr="00824C53">
        <w:rPr>
          <w:rFonts w:asciiTheme="minorHAnsi" w:hAnsiTheme="minorHAnsi" w:cs="Arial"/>
          <w:sz w:val="24"/>
          <w:szCs w:val="24"/>
        </w:rPr>
        <w:t xml:space="preserve"> below.</w:t>
      </w:r>
    </w:p>
    <w:p w14:paraId="44FD2CFC" w14:textId="77777777" w:rsidR="00885D78" w:rsidRPr="00824C53" w:rsidRDefault="00885D78" w:rsidP="00B10D1C">
      <w:pPr>
        <w:spacing w:after="0" w:line="480" w:lineRule="auto"/>
        <w:ind w:firstLine="708"/>
        <w:jc w:val="left"/>
        <w:rPr>
          <w:rFonts w:asciiTheme="minorHAnsi" w:hAnsiTheme="minorHAnsi" w:cs="Arial"/>
          <w:sz w:val="24"/>
          <w:szCs w:val="24"/>
        </w:rPr>
      </w:pPr>
      <w:r w:rsidRPr="00824C53">
        <w:rPr>
          <w:rFonts w:asciiTheme="minorHAnsi" w:hAnsiTheme="minorHAnsi" w:cs="Arial"/>
          <w:sz w:val="24"/>
          <w:szCs w:val="24"/>
        </w:rPr>
        <w:t>Table 4 about here</w:t>
      </w:r>
    </w:p>
    <w:p w14:paraId="3FB388AD" w14:textId="77777777" w:rsidR="00885D78" w:rsidRPr="00824C53" w:rsidRDefault="00885D78" w:rsidP="00B10D1C">
      <w:pPr>
        <w:spacing w:after="0" w:line="480" w:lineRule="auto"/>
        <w:ind w:firstLine="708"/>
        <w:jc w:val="left"/>
        <w:rPr>
          <w:rFonts w:asciiTheme="minorHAnsi" w:eastAsia="Times New Roman" w:hAnsiTheme="minorHAnsi" w:cs="Arial"/>
          <w:sz w:val="24"/>
          <w:szCs w:val="24"/>
          <w:lang w:eastAsia="ar-SA"/>
        </w:rPr>
      </w:pPr>
      <w:r w:rsidRPr="00824C53">
        <w:rPr>
          <w:rFonts w:asciiTheme="minorHAnsi" w:eastAsia="Times New Roman" w:hAnsiTheme="minorHAnsi" w:cs="Arial"/>
          <w:sz w:val="24"/>
          <w:szCs w:val="24"/>
          <w:lang w:eastAsia="ar-SA"/>
        </w:rPr>
        <w:t>The AUC for the SAPROF overall and in the two subgroups was moderate in size but not statistically significant. The established tools (HCR-20 and PCL:SV) performed somewhat better in these non-forensic groups with higher and significant AUCs overall, but again there was relatively weaker predictive validity in the community group. The combined HCR</w:t>
      </w:r>
      <w:r w:rsidR="00851C2E" w:rsidRPr="00824C53">
        <w:rPr>
          <w:rFonts w:asciiTheme="minorHAnsi" w:eastAsia="Times New Roman" w:hAnsiTheme="minorHAnsi" w:cs="Arial"/>
          <w:sz w:val="24"/>
          <w:szCs w:val="24"/>
          <w:lang w:eastAsia="ar-SA"/>
        </w:rPr>
        <w:t>-</w:t>
      </w:r>
      <w:r w:rsidRPr="00824C53">
        <w:rPr>
          <w:rFonts w:asciiTheme="minorHAnsi" w:eastAsia="Times New Roman" w:hAnsiTheme="minorHAnsi" w:cs="Arial"/>
          <w:sz w:val="24"/>
          <w:szCs w:val="24"/>
          <w:lang w:eastAsia="ar-SA"/>
        </w:rPr>
        <w:t>20</w:t>
      </w:r>
      <w:r w:rsidR="00851C2E" w:rsidRPr="00824C53">
        <w:rPr>
          <w:rFonts w:asciiTheme="minorHAnsi" w:eastAsia="Times New Roman" w:hAnsiTheme="minorHAnsi" w:cs="Arial"/>
          <w:sz w:val="24"/>
          <w:szCs w:val="24"/>
          <w:lang w:eastAsia="ar-SA"/>
        </w:rPr>
        <w:t xml:space="preserve"> </w:t>
      </w:r>
      <w:r w:rsidRPr="00824C53">
        <w:rPr>
          <w:rFonts w:asciiTheme="minorHAnsi" w:eastAsia="Times New Roman" w:hAnsiTheme="minorHAnsi" w:cs="Arial"/>
          <w:sz w:val="24"/>
          <w:szCs w:val="24"/>
          <w:lang w:eastAsia="ar-SA"/>
        </w:rPr>
        <w:t>-SAPROF Index did not outperform HCR</w:t>
      </w:r>
      <w:r w:rsidR="00851C2E" w:rsidRPr="00824C53">
        <w:rPr>
          <w:rFonts w:asciiTheme="minorHAnsi" w:eastAsia="Times New Roman" w:hAnsiTheme="minorHAnsi" w:cs="Arial"/>
          <w:sz w:val="24"/>
          <w:szCs w:val="24"/>
          <w:lang w:eastAsia="ar-SA"/>
        </w:rPr>
        <w:t>-</w:t>
      </w:r>
      <w:r w:rsidRPr="00824C53">
        <w:rPr>
          <w:rFonts w:asciiTheme="minorHAnsi" w:eastAsia="Times New Roman" w:hAnsiTheme="minorHAnsi" w:cs="Arial"/>
          <w:sz w:val="24"/>
          <w:szCs w:val="24"/>
          <w:lang w:eastAsia="ar-SA"/>
        </w:rPr>
        <w:t>20 conducted on its own in either of the groups or the combined non-non-forensic group.</w:t>
      </w:r>
    </w:p>
    <w:p w14:paraId="658F3979" w14:textId="77777777" w:rsidR="00885D78" w:rsidRPr="00A60774" w:rsidRDefault="00934574" w:rsidP="00B10D1C">
      <w:pPr>
        <w:spacing w:after="0" w:line="480" w:lineRule="auto"/>
        <w:rPr>
          <w:rFonts w:asciiTheme="minorHAnsi" w:eastAsia="Times New Roman" w:hAnsiTheme="minorHAnsi"/>
          <w:b/>
          <w:sz w:val="24"/>
          <w:szCs w:val="24"/>
          <w:lang w:eastAsia="ar-SA"/>
        </w:rPr>
      </w:pPr>
      <w:r w:rsidRPr="00A60774">
        <w:rPr>
          <w:rFonts w:asciiTheme="minorHAnsi" w:eastAsia="Times New Roman" w:hAnsiTheme="minorHAnsi"/>
          <w:b/>
          <w:sz w:val="24"/>
          <w:szCs w:val="24"/>
          <w:lang w:eastAsia="ar-SA"/>
        </w:rPr>
        <w:t>Individual Predictors of Violence for the Community and General In-patient S</w:t>
      </w:r>
      <w:r w:rsidR="00885D78" w:rsidRPr="00A60774">
        <w:rPr>
          <w:rFonts w:asciiTheme="minorHAnsi" w:eastAsia="Times New Roman" w:hAnsiTheme="minorHAnsi"/>
          <w:b/>
          <w:sz w:val="24"/>
          <w:szCs w:val="24"/>
          <w:lang w:eastAsia="ar-SA"/>
        </w:rPr>
        <w:t>amples</w:t>
      </w:r>
    </w:p>
    <w:p w14:paraId="429CD4FD" w14:textId="77777777" w:rsidR="00885D78" w:rsidRPr="00824C53" w:rsidRDefault="00885D78" w:rsidP="00B10D1C">
      <w:pPr>
        <w:spacing w:after="0" w:line="480" w:lineRule="auto"/>
        <w:ind w:firstLine="708"/>
        <w:jc w:val="left"/>
        <w:rPr>
          <w:rFonts w:asciiTheme="minorHAnsi" w:eastAsia="Times New Roman" w:hAnsiTheme="minorHAnsi" w:cs="Arial"/>
          <w:sz w:val="24"/>
          <w:szCs w:val="24"/>
        </w:rPr>
      </w:pPr>
      <w:r w:rsidRPr="00824C53">
        <w:rPr>
          <w:rFonts w:asciiTheme="minorHAnsi" w:eastAsia="Times New Roman" w:hAnsiTheme="minorHAnsi" w:cs="Arial"/>
          <w:sz w:val="24"/>
          <w:szCs w:val="24"/>
        </w:rPr>
        <w:t>A logistic regression analysis was also conducted to examine the relative contribution of SAPROF scores to variations in violence propensity in the context of other possible predictors. The univariate analyses for this prospective sample (n=151) showed that marital status, admission length, history of violence and scores on two of the SAPROF subscales (Internal and Motivation) were all associated with violence at 6 months following assessment (</w:t>
      </w:r>
      <w:r w:rsidRPr="00824C53">
        <w:rPr>
          <w:rFonts w:asciiTheme="minorHAnsi" w:eastAsia="Times New Roman" w:hAnsiTheme="minorHAnsi" w:cs="Arial"/>
          <w:i/>
          <w:sz w:val="24"/>
          <w:szCs w:val="24"/>
        </w:rPr>
        <w:t>p</w:t>
      </w:r>
      <w:r w:rsidRPr="00824C53">
        <w:rPr>
          <w:rFonts w:asciiTheme="minorHAnsi" w:eastAsia="Times New Roman" w:hAnsiTheme="minorHAnsi" w:cs="Arial"/>
          <w:sz w:val="24"/>
          <w:szCs w:val="24"/>
        </w:rPr>
        <w:t xml:space="preserve"> &lt; .001). These two SAPROF subscales were entered into a multivariate analysis but the Motivation subscale was not s</w:t>
      </w:r>
      <w:r w:rsidR="00851C2E" w:rsidRPr="00824C53">
        <w:rPr>
          <w:rFonts w:asciiTheme="minorHAnsi" w:eastAsia="Times New Roman" w:hAnsiTheme="minorHAnsi" w:cs="Arial"/>
          <w:sz w:val="24"/>
          <w:szCs w:val="24"/>
        </w:rPr>
        <w:t>ignificant in this combination.</w:t>
      </w:r>
      <w:r w:rsidRPr="00824C53">
        <w:rPr>
          <w:rFonts w:asciiTheme="minorHAnsi" w:eastAsia="Times New Roman" w:hAnsiTheme="minorHAnsi" w:cs="Arial"/>
          <w:sz w:val="24"/>
          <w:szCs w:val="24"/>
        </w:rPr>
        <w:t xml:space="preserve"> Marital status and admission length were also not significant when included with the SAPROF Internal subscale. In the final multivariate model only two variables remained significant: the SAPROF Internal score (β = -0.525; SE = 0.122; Exp(β) = 0.591; p</w:t>
      </w:r>
      <w:r w:rsidR="005F448F">
        <w:rPr>
          <w:rFonts w:asciiTheme="minorHAnsi" w:eastAsia="Times New Roman" w:hAnsiTheme="minorHAnsi" w:cs="Arial"/>
          <w:sz w:val="24"/>
          <w:szCs w:val="24"/>
        </w:rPr>
        <w:t xml:space="preserve"> </w:t>
      </w:r>
      <w:r w:rsidRPr="00824C53">
        <w:rPr>
          <w:rFonts w:asciiTheme="minorHAnsi" w:eastAsia="Times New Roman" w:hAnsiTheme="minorHAnsi" w:cs="Arial"/>
          <w:sz w:val="24"/>
          <w:szCs w:val="24"/>
        </w:rPr>
        <w:t>&lt;</w:t>
      </w:r>
      <w:r w:rsidR="005F448F">
        <w:rPr>
          <w:rFonts w:asciiTheme="minorHAnsi" w:eastAsia="Times New Roman" w:hAnsiTheme="minorHAnsi" w:cs="Arial"/>
          <w:sz w:val="24"/>
          <w:szCs w:val="24"/>
        </w:rPr>
        <w:t xml:space="preserve"> </w:t>
      </w:r>
      <w:r w:rsidRPr="00824C53">
        <w:rPr>
          <w:rFonts w:asciiTheme="minorHAnsi" w:eastAsia="Times New Roman" w:hAnsiTheme="minorHAnsi" w:cs="Arial"/>
          <w:sz w:val="24"/>
          <w:szCs w:val="24"/>
        </w:rPr>
        <w:t>.001) and history of violence (β = 0.031; SE =</w:t>
      </w:r>
      <w:r w:rsidR="00DE1E15" w:rsidRPr="00824C53">
        <w:rPr>
          <w:rFonts w:asciiTheme="minorHAnsi" w:eastAsia="Times New Roman" w:hAnsiTheme="minorHAnsi" w:cs="Arial"/>
          <w:sz w:val="24"/>
          <w:szCs w:val="24"/>
        </w:rPr>
        <w:t xml:space="preserve"> 0.012; Exp(β) = 1.032; p=.008)</w:t>
      </w:r>
      <w:r w:rsidR="00DB2F7E">
        <w:rPr>
          <w:rFonts w:asciiTheme="minorHAnsi" w:eastAsia="Times New Roman" w:hAnsiTheme="minorHAnsi" w:cs="Arial"/>
          <w:sz w:val="24"/>
          <w:szCs w:val="24"/>
        </w:rPr>
        <w:t xml:space="preserve">. </w:t>
      </w:r>
      <w:r w:rsidRPr="00824C53">
        <w:rPr>
          <w:rFonts w:asciiTheme="minorHAnsi" w:eastAsia="Times New Roman" w:hAnsiTheme="minorHAnsi" w:cs="Arial"/>
          <w:sz w:val="24"/>
          <w:szCs w:val="24"/>
        </w:rPr>
        <w:t>Patients who scored higher on the SAPROF Internal subscale were thus less likely to be violent in the future.</w:t>
      </w:r>
    </w:p>
    <w:p w14:paraId="15A3B552" w14:textId="77777777" w:rsidR="00885D78" w:rsidRPr="00A60774" w:rsidRDefault="00885D78" w:rsidP="00B10D1C">
      <w:pPr>
        <w:spacing w:after="0" w:line="480" w:lineRule="auto"/>
        <w:jc w:val="center"/>
        <w:rPr>
          <w:rFonts w:asciiTheme="minorHAnsi" w:eastAsia="Times New Roman" w:hAnsiTheme="minorHAnsi"/>
          <w:b/>
          <w:sz w:val="24"/>
          <w:szCs w:val="24"/>
          <w:lang w:eastAsia="ar-SA"/>
        </w:rPr>
      </w:pPr>
      <w:r w:rsidRPr="00A60774">
        <w:rPr>
          <w:rFonts w:asciiTheme="minorHAnsi" w:eastAsia="Times New Roman" w:hAnsiTheme="minorHAnsi"/>
          <w:b/>
          <w:sz w:val="24"/>
          <w:szCs w:val="24"/>
          <w:lang w:eastAsia="ar-SA"/>
        </w:rPr>
        <w:t>Discussion</w:t>
      </w:r>
    </w:p>
    <w:p w14:paraId="5AAAD461" w14:textId="77777777" w:rsidR="00AF660A" w:rsidRDefault="00885D78" w:rsidP="00B10D1C">
      <w:pPr>
        <w:spacing w:after="0" w:line="480" w:lineRule="auto"/>
        <w:ind w:firstLine="708"/>
        <w:jc w:val="left"/>
        <w:rPr>
          <w:rFonts w:asciiTheme="minorHAnsi" w:hAnsiTheme="minorHAnsi" w:cs="Arial"/>
          <w:sz w:val="24"/>
          <w:szCs w:val="24"/>
        </w:rPr>
      </w:pPr>
      <w:r w:rsidRPr="00824C53">
        <w:rPr>
          <w:rFonts w:asciiTheme="minorHAnsi" w:hAnsiTheme="minorHAnsi" w:cs="Arial"/>
          <w:sz w:val="24"/>
          <w:szCs w:val="24"/>
        </w:rPr>
        <w:t>The development of the SAPROF was influenced by a growing</w:t>
      </w:r>
      <w:r w:rsidR="002D1A85">
        <w:rPr>
          <w:rFonts w:asciiTheme="minorHAnsi" w:hAnsiTheme="minorHAnsi" w:cs="Arial"/>
          <w:sz w:val="24"/>
          <w:szCs w:val="24"/>
        </w:rPr>
        <w:t xml:space="preserve"> demand for a more strengths-</w:t>
      </w:r>
      <w:r w:rsidRPr="00824C53">
        <w:rPr>
          <w:rFonts w:asciiTheme="minorHAnsi" w:hAnsiTheme="minorHAnsi" w:cs="Arial"/>
          <w:sz w:val="24"/>
          <w:szCs w:val="24"/>
        </w:rPr>
        <w:t xml:space="preserve">based approach in clinical practice and the need for a complementary use of both risk and </w:t>
      </w:r>
      <w:r w:rsidRPr="00824C53">
        <w:rPr>
          <w:rFonts w:asciiTheme="minorHAnsi" w:hAnsiTheme="minorHAnsi" w:cs="Arial"/>
          <w:sz w:val="24"/>
          <w:szCs w:val="24"/>
        </w:rPr>
        <w:lastRenderedPageBreak/>
        <w:t>protective facto</w:t>
      </w:r>
      <w:r w:rsidR="002D1A85">
        <w:rPr>
          <w:rFonts w:asciiTheme="minorHAnsi" w:hAnsiTheme="minorHAnsi" w:cs="Arial"/>
          <w:sz w:val="24"/>
          <w:szCs w:val="24"/>
        </w:rPr>
        <w:t>r</w:t>
      </w:r>
      <w:r w:rsidR="00DB2F7E">
        <w:rPr>
          <w:rFonts w:asciiTheme="minorHAnsi" w:hAnsiTheme="minorHAnsi" w:cs="Arial"/>
          <w:sz w:val="24"/>
          <w:szCs w:val="24"/>
        </w:rPr>
        <w:t xml:space="preserve">s in violence risk assessment. </w:t>
      </w:r>
      <w:r w:rsidRPr="00824C53">
        <w:rPr>
          <w:rFonts w:asciiTheme="minorHAnsi" w:hAnsiTheme="minorHAnsi" w:cs="Arial"/>
          <w:sz w:val="24"/>
          <w:szCs w:val="24"/>
        </w:rPr>
        <w:t>This paper addresses the important yet understudied issue of protective factors for violence risk and in particular extends the study of protective factors which minimise violence risk beyond forensic services t</w:t>
      </w:r>
      <w:r w:rsidR="00DE1E15" w:rsidRPr="00824C53">
        <w:rPr>
          <w:rFonts w:asciiTheme="minorHAnsi" w:hAnsiTheme="minorHAnsi" w:cs="Arial"/>
          <w:sz w:val="24"/>
          <w:szCs w:val="24"/>
        </w:rPr>
        <w:t>o a wider mental health setting</w:t>
      </w:r>
      <w:r w:rsidRPr="00824C53">
        <w:rPr>
          <w:rFonts w:asciiTheme="minorHAnsi" w:hAnsiTheme="minorHAnsi" w:cs="Arial"/>
          <w:sz w:val="24"/>
          <w:szCs w:val="24"/>
        </w:rPr>
        <w:t>. This comparison is novel, especially with regards to applying the SAPROF to community mental health samples, beyond the forensic setting in which it was developed, and provides valuable insights into the differences between patients in the various treatment contexts. Protective factors are likely to be relevant in some way to all types of aggression in all settings so it is important to establish violence risk and protection profiles in a rang</w:t>
      </w:r>
      <w:r w:rsidR="002D1A85">
        <w:rPr>
          <w:rFonts w:asciiTheme="minorHAnsi" w:hAnsiTheme="minorHAnsi" w:cs="Arial"/>
          <w:sz w:val="24"/>
          <w:szCs w:val="24"/>
        </w:rPr>
        <w:t>e</w:t>
      </w:r>
      <w:r w:rsidR="00DB2F7E">
        <w:rPr>
          <w:rFonts w:asciiTheme="minorHAnsi" w:hAnsiTheme="minorHAnsi" w:cs="Arial"/>
          <w:sz w:val="24"/>
          <w:szCs w:val="24"/>
        </w:rPr>
        <w:t xml:space="preserve"> of mental health populations. </w:t>
      </w:r>
    </w:p>
    <w:p w14:paraId="1AD93E60" w14:textId="3244CCFE" w:rsidR="00AF660A" w:rsidRPr="002117CA" w:rsidRDefault="00AF660A" w:rsidP="00AF660A">
      <w:pPr>
        <w:spacing w:after="0" w:line="480" w:lineRule="auto"/>
        <w:ind w:firstLine="708"/>
        <w:jc w:val="left"/>
        <w:rPr>
          <w:rFonts w:asciiTheme="minorHAnsi" w:hAnsiTheme="minorHAnsi" w:cs="Arial"/>
          <w:sz w:val="24"/>
          <w:szCs w:val="24"/>
        </w:rPr>
      </w:pPr>
      <w:r w:rsidRPr="002117CA">
        <w:rPr>
          <w:rFonts w:asciiTheme="minorHAnsi" w:hAnsiTheme="minorHAnsi" w:cs="Arial"/>
          <w:sz w:val="24"/>
          <w:szCs w:val="24"/>
        </w:rPr>
        <w:t xml:space="preserve">Another central feature to considering risk with a strengths based lens is the chance to involve those being assessed in the process. We would argue that any contact that promotes service user involvement during the risk assessment process brings with it a level of transparency which goes on to maximise the quality of the decision making. This raises the likelihood of keeping those being assessed engaged in interventions and risk management arrangements (Logan, 2003). We think the use of the SAPROF enables discussion with the patient around specific protective factors through ongoing clinical discussion. </w:t>
      </w:r>
    </w:p>
    <w:p w14:paraId="1B3AA6D8" w14:textId="7AF55EAB" w:rsidR="00AF660A" w:rsidRPr="002117CA" w:rsidRDefault="00AF660A" w:rsidP="00AF660A">
      <w:pPr>
        <w:spacing w:after="0" w:line="480" w:lineRule="auto"/>
        <w:ind w:firstLine="708"/>
        <w:jc w:val="left"/>
        <w:rPr>
          <w:rFonts w:asciiTheme="minorHAnsi" w:hAnsiTheme="minorHAnsi" w:cs="Arial"/>
          <w:sz w:val="24"/>
          <w:szCs w:val="24"/>
        </w:rPr>
      </w:pPr>
      <w:r w:rsidRPr="002117CA">
        <w:rPr>
          <w:rFonts w:asciiTheme="minorHAnsi" w:hAnsiTheme="minorHAnsi" w:cs="Arial"/>
          <w:sz w:val="24"/>
          <w:szCs w:val="24"/>
        </w:rPr>
        <w:t xml:space="preserve"> A good relationship within which service users’ qualities and strengths are valued has been suggested to be import</w:t>
      </w:r>
      <w:r w:rsidR="00CE4BAE" w:rsidRPr="002117CA">
        <w:rPr>
          <w:rFonts w:asciiTheme="minorHAnsi" w:hAnsiTheme="minorHAnsi" w:cs="Arial"/>
          <w:sz w:val="24"/>
          <w:szCs w:val="24"/>
        </w:rPr>
        <w:t>ant in discussing risk (Langan, and</w:t>
      </w:r>
      <w:r w:rsidRPr="002117CA">
        <w:rPr>
          <w:rFonts w:asciiTheme="minorHAnsi" w:hAnsiTheme="minorHAnsi" w:cs="Arial"/>
          <w:sz w:val="24"/>
          <w:szCs w:val="24"/>
        </w:rPr>
        <w:t xml:space="preserve"> Lindow</w:t>
      </w:r>
      <w:r w:rsidR="00CE4BAE" w:rsidRPr="002117CA">
        <w:rPr>
          <w:rFonts w:asciiTheme="minorHAnsi" w:hAnsiTheme="minorHAnsi" w:cs="Arial"/>
          <w:sz w:val="24"/>
          <w:szCs w:val="24"/>
        </w:rPr>
        <w:t>,</w:t>
      </w:r>
      <w:r w:rsidRPr="002117CA">
        <w:rPr>
          <w:rFonts w:asciiTheme="minorHAnsi" w:hAnsiTheme="minorHAnsi" w:cs="Arial"/>
          <w:sz w:val="24"/>
          <w:szCs w:val="24"/>
        </w:rPr>
        <w:t xml:space="preserve"> 2004). The format of the SAPROF offers a more holistic spread of factors to move on from a narrow beam purely mental health focus of risk. Whether the protective factors are conceptualised as either a mediation or buffer between risk factors and violence is for the clinical teams and individuals to agree. However, the therapeutic dialogue that will be evident will surely strengthen the working relationship as they move the generalised factors of the SAPROF into the specific features linked to that person’s recovery.  </w:t>
      </w:r>
    </w:p>
    <w:p w14:paraId="341F6843" w14:textId="77777777" w:rsidR="00AF660A" w:rsidRPr="00AF660A" w:rsidRDefault="00AF660A" w:rsidP="00AF660A">
      <w:pPr>
        <w:spacing w:after="0" w:line="480" w:lineRule="auto"/>
        <w:ind w:firstLine="708"/>
        <w:jc w:val="left"/>
        <w:rPr>
          <w:rFonts w:asciiTheme="minorHAnsi" w:hAnsiTheme="minorHAnsi" w:cs="Arial"/>
          <w:color w:val="FF0000"/>
          <w:sz w:val="24"/>
          <w:szCs w:val="24"/>
        </w:rPr>
      </w:pPr>
    </w:p>
    <w:p w14:paraId="33EFAA3B" w14:textId="77777777" w:rsidR="00AF660A" w:rsidRPr="00AF660A" w:rsidRDefault="00AF660A" w:rsidP="00AF660A">
      <w:pPr>
        <w:spacing w:after="0" w:line="480" w:lineRule="auto"/>
        <w:ind w:firstLine="708"/>
        <w:jc w:val="left"/>
        <w:rPr>
          <w:rFonts w:asciiTheme="minorHAnsi" w:hAnsiTheme="minorHAnsi" w:cs="Arial"/>
          <w:color w:val="FF0000"/>
          <w:sz w:val="24"/>
          <w:szCs w:val="24"/>
        </w:rPr>
      </w:pPr>
    </w:p>
    <w:p w14:paraId="081B156B" w14:textId="50784B7E" w:rsidR="00AF660A" w:rsidRPr="002117CA" w:rsidRDefault="00AF660A" w:rsidP="00AF660A">
      <w:pPr>
        <w:spacing w:after="0" w:line="480" w:lineRule="auto"/>
        <w:ind w:firstLine="708"/>
        <w:jc w:val="left"/>
        <w:rPr>
          <w:rFonts w:asciiTheme="minorHAnsi" w:hAnsiTheme="minorHAnsi" w:cs="Arial"/>
          <w:sz w:val="24"/>
          <w:szCs w:val="24"/>
        </w:rPr>
      </w:pPr>
      <w:r w:rsidRPr="002117CA">
        <w:rPr>
          <w:rFonts w:asciiTheme="minorHAnsi" w:hAnsiTheme="minorHAnsi" w:cs="Arial"/>
          <w:sz w:val="24"/>
          <w:szCs w:val="24"/>
        </w:rPr>
        <w:lastRenderedPageBreak/>
        <w:t>Patient involvement in the SAPROF Motivational and External items in particular encourages positive ownership and change in developing further these protective factors, and may form the basis of and be easily incorporated into specific therapy and care planning linked to their stage of recovery. In the action-orientated world of care planning, this model optimises the options for choice and shared decision making. Recognising that the service user is expert by virtue of their lived experiences should allow for more balanced decisions with a closer alliance to a common goal in terms of problem and outcome of treatment.  It allows some ownership for example of developing more feasible plans around work or leisure as part of a relapse prevention care plan, in particular in the transition from hospital to community, as well as highlighting and increasing the understanding of the importance of social network and professional care.</w:t>
      </w:r>
    </w:p>
    <w:p w14:paraId="446FC23C" w14:textId="6C0C8A78" w:rsidR="00A60774" w:rsidRDefault="00AF660A" w:rsidP="00B10D1C">
      <w:pPr>
        <w:spacing w:after="0" w:line="480" w:lineRule="auto"/>
        <w:ind w:firstLine="708"/>
        <w:jc w:val="left"/>
        <w:rPr>
          <w:rFonts w:asciiTheme="minorHAnsi" w:hAnsiTheme="minorHAnsi" w:cs="Arial"/>
          <w:sz w:val="24"/>
          <w:szCs w:val="24"/>
        </w:rPr>
      </w:pPr>
      <w:r w:rsidRPr="002117CA">
        <w:rPr>
          <w:rFonts w:asciiTheme="minorHAnsi" w:hAnsiTheme="minorHAnsi" w:cs="Arial"/>
          <w:sz w:val="24"/>
          <w:szCs w:val="24"/>
        </w:rPr>
        <w:t>When interpreting the results of this study,</w:t>
      </w:r>
      <w:r w:rsidR="00885D78" w:rsidRPr="002117CA">
        <w:rPr>
          <w:rFonts w:asciiTheme="minorHAnsi" w:hAnsiTheme="minorHAnsi" w:cs="Arial"/>
          <w:sz w:val="24"/>
          <w:szCs w:val="24"/>
        </w:rPr>
        <w:t xml:space="preserve"> it </w:t>
      </w:r>
      <w:r w:rsidR="00885D78" w:rsidRPr="00824C53">
        <w:rPr>
          <w:rFonts w:asciiTheme="minorHAnsi" w:hAnsiTheme="minorHAnsi" w:cs="Arial"/>
          <w:sz w:val="24"/>
          <w:szCs w:val="24"/>
        </w:rPr>
        <w:t>is important to note that the SAPROF itself was designed for a specific forensic population and not with a view to wider application as performed here.</w:t>
      </w:r>
      <w:r w:rsidR="002D1A85">
        <w:rPr>
          <w:rFonts w:asciiTheme="minorHAnsi" w:hAnsiTheme="minorHAnsi" w:cs="Arial"/>
          <w:sz w:val="24"/>
          <w:szCs w:val="24"/>
        </w:rPr>
        <w:t xml:space="preserve"> </w:t>
      </w:r>
      <w:r w:rsidR="00885D78" w:rsidRPr="00824C53">
        <w:rPr>
          <w:rFonts w:asciiTheme="minorHAnsi" w:hAnsiTheme="minorHAnsi" w:cs="Arial"/>
          <w:sz w:val="24"/>
          <w:szCs w:val="24"/>
        </w:rPr>
        <w:t>Evidence here for or against its suitability in these wider populations is not relevant to the specific forensic populations for which i</w:t>
      </w:r>
      <w:r w:rsidR="00A60774">
        <w:rPr>
          <w:rFonts w:asciiTheme="minorHAnsi" w:hAnsiTheme="minorHAnsi" w:cs="Arial"/>
          <w:sz w:val="24"/>
          <w:szCs w:val="24"/>
        </w:rPr>
        <w:t>t was originally developed.</w:t>
      </w:r>
    </w:p>
    <w:p w14:paraId="0E7B6186" w14:textId="77777777" w:rsidR="00A60774" w:rsidRDefault="00885D78" w:rsidP="00B10D1C">
      <w:pPr>
        <w:spacing w:after="0" w:line="480" w:lineRule="auto"/>
        <w:ind w:firstLine="708"/>
        <w:jc w:val="left"/>
        <w:rPr>
          <w:rFonts w:asciiTheme="minorHAnsi" w:hAnsiTheme="minorHAnsi" w:cs="Arial"/>
          <w:sz w:val="24"/>
          <w:szCs w:val="24"/>
        </w:rPr>
      </w:pPr>
      <w:r w:rsidRPr="00824C53">
        <w:rPr>
          <w:rFonts w:asciiTheme="minorHAnsi" w:hAnsiTheme="minorHAnsi" w:cs="Arial"/>
          <w:sz w:val="24"/>
          <w:szCs w:val="24"/>
        </w:rPr>
        <w:t xml:space="preserve">The results here indicate that, in terms of profiles, there is significant variation between the secure, general inpatient and community groups on SAPROF total score and subscales. This variation is in the direction that would be anticipated </w:t>
      </w:r>
      <w:r w:rsidR="00DC5C74" w:rsidRPr="00824C53">
        <w:rPr>
          <w:rFonts w:asciiTheme="minorHAnsi" w:hAnsiTheme="minorHAnsi" w:cs="Arial"/>
          <w:sz w:val="24"/>
          <w:szCs w:val="24"/>
        </w:rPr>
        <w:t xml:space="preserve">- </w:t>
      </w:r>
      <w:r w:rsidRPr="00824C53">
        <w:rPr>
          <w:rFonts w:asciiTheme="minorHAnsi" w:hAnsiTheme="minorHAnsi" w:cs="Arial"/>
          <w:sz w:val="24"/>
          <w:szCs w:val="24"/>
        </w:rPr>
        <w:t>if the concept of a protective factor is valid and the instrument is robust, i.e. fewer protective factors (lower SAPROF scores) for patients in secure settings.</w:t>
      </w:r>
      <w:r w:rsidR="002D1A85">
        <w:rPr>
          <w:rFonts w:asciiTheme="minorHAnsi" w:hAnsiTheme="minorHAnsi" w:cs="Arial"/>
          <w:sz w:val="24"/>
          <w:szCs w:val="24"/>
        </w:rPr>
        <w:t xml:space="preserve"> </w:t>
      </w:r>
      <w:r w:rsidRPr="00824C53">
        <w:rPr>
          <w:rFonts w:asciiTheme="minorHAnsi" w:hAnsiTheme="minorHAnsi" w:cs="Arial"/>
          <w:sz w:val="24"/>
          <w:szCs w:val="24"/>
        </w:rPr>
        <w:t>Patients in the community had significantly higher levels of protective factors overall compared to forensic and general inpatients, even though they had significantly lower levels of external protection, especially with regards to professional care, living circumstances and external control. It was expected for patients in the forensic group to score highly on these external items because of their management plans and detention under the Mental Health Act.</w:t>
      </w:r>
    </w:p>
    <w:p w14:paraId="2E591079" w14:textId="77777777" w:rsidR="00A60774" w:rsidRDefault="00885D78" w:rsidP="00B10D1C">
      <w:pPr>
        <w:spacing w:after="0" w:line="480" w:lineRule="auto"/>
        <w:ind w:firstLine="708"/>
        <w:jc w:val="left"/>
        <w:rPr>
          <w:rFonts w:asciiTheme="minorHAnsi" w:hAnsiTheme="minorHAnsi" w:cs="Arial"/>
          <w:sz w:val="24"/>
          <w:szCs w:val="24"/>
        </w:rPr>
      </w:pPr>
      <w:r w:rsidRPr="00824C53">
        <w:rPr>
          <w:rFonts w:asciiTheme="minorHAnsi" w:hAnsiTheme="minorHAnsi" w:cs="Arial"/>
          <w:sz w:val="24"/>
          <w:szCs w:val="24"/>
        </w:rPr>
        <w:lastRenderedPageBreak/>
        <w:t>Protective factor profiles as measured by the SAPROF total score tend to vary across different populations, even within the forensic setting. The relatively strong level of protective factors in the community sample here is actually lower than that reported for some inpatient forensic samples (Abidin et al., 2013; Davoren et al., 2013) but is comparable with another community sample surveyed by Yoon et al. (2016)</w:t>
      </w:r>
      <w:r w:rsidR="00DC5C74" w:rsidRPr="00824C53">
        <w:rPr>
          <w:rFonts w:asciiTheme="minorHAnsi" w:hAnsiTheme="minorHAnsi" w:cs="Arial"/>
          <w:sz w:val="24"/>
          <w:szCs w:val="24"/>
        </w:rPr>
        <w:t>,</w:t>
      </w:r>
      <w:r w:rsidRPr="00824C53">
        <w:rPr>
          <w:rFonts w:asciiTheme="minorHAnsi" w:hAnsiTheme="minorHAnsi" w:cs="Arial"/>
          <w:sz w:val="24"/>
          <w:szCs w:val="24"/>
        </w:rPr>
        <w:t xml:space="preserve"> although the latter was an offender group. Both the forensic and general in-patient groups here are comparable with other forensic samples examined by Viljoen et al. (2016) and Abbiati et al. (2016) but somewhat stronger in terms of protective factors than others (de Vries Robbe et al., 2011; de Vries</w:t>
      </w:r>
      <w:r w:rsidR="00A60774">
        <w:rPr>
          <w:rFonts w:asciiTheme="minorHAnsi" w:hAnsiTheme="minorHAnsi" w:cs="Arial"/>
          <w:sz w:val="24"/>
          <w:szCs w:val="24"/>
        </w:rPr>
        <w:t xml:space="preserve"> Robbe et al. 2015).</w:t>
      </w:r>
    </w:p>
    <w:p w14:paraId="29D9ADAD" w14:textId="77777777" w:rsidR="00A60774" w:rsidRDefault="00885D78" w:rsidP="00B10D1C">
      <w:pPr>
        <w:spacing w:after="0" w:line="480" w:lineRule="auto"/>
        <w:ind w:firstLine="708"/>
        <w:jc w:val="left"/>
        <w:rPr>
          <w:rFonts w:asciiTheme="minorHAnsi" w:hAnsiTheme="minorHAnsi" w:cs="Arial"/>
          <w:sz w:val="24"/>
          <w:szCs w:val="24"/>
        </w:rPr>
      </w:pPr>
      <w:r w:rsidRPr="00824C53">
        <w:rPr>
          <w:rFonts w:asciiTheme="minorHAnsi" w:hAnsiTheme="minorHAnsi" w:cs="Arial"/>
          <w:sz w:val="24"/>
          <w:szCs w:val="24"/>
        </w:rPr>
        <w:t>Internal and motivational protective factors in the community sample here were generally higher than those in the secure and general inpatient samples, apart from secure attachment in childhood, which was comparable to the levels identified for secure inpatients. This item is one of only two historical items in the SAPROF. Higher Internal and Motivational factors amongst community patients especially for those who have been previously hospitalised or recently discharged may reflect the fact that these factors are key goals of available inpatient interventions (i.e. insight and coping strategies) and should be improved in order to achieve a successful discharge. This is also in line with Doyle et al.’s (2014) prospective UK study which indicated that forensic patients discharged to prison were significantly less likely to have protective Motivational factors.</w:t>
      </w:r>
    </w:p>
    <w:p w14:paraId="1EE896C6" w14:textId="77777777" w:rsidR="00A60774" w:rsidRDefault="00885D78" w:rsidP="00B10D1C">
      <w:pPr>
        <w:spacing w:after="0" w:line="480" w:lineRule="auto"/>
        <w:ind w:firstLine="708"/>
        <w:jc w:val="left"/>
        <w:rPr>
          <w:rFonts w:asciiTheme="minorHAnsi" w:hAnsiTheme="minorHAnsi" w:cs="Arial"/>
          <w:sz w:val="24"/>
          <w:szCs w:val="24"/>
        </w:rPr>
      </w:pPr>
      <w:r w:rsidRPr="00824C53">
        <w:rPr>
          <w:rFonts w:asciiTheme="minorHAnsi" w:hAnsiTheme="minorHAnsi" w:cs="Arial"/>
          <w:sz w:val="24"/>
          <w:szCs w:val="24"/>
        </w:rPr>
        <w:t xml:space="preserve">We found evidence of good concurrent validity overall for the SAPROF, when compared with established tools such as the HCR-20 and the PCL:SV. We found a negative and highly significant correlation between the SAPROF total score and those for HCR-20 and PCL:SV. These significant correlations were present in each setting, although a relatively poor correlation with HCR-20 in the general inpatient group stands out. These strong associations support the conceptual model underpinning the development of the SAPROF and fit with those reported elsewhere (Abbiati et al., </w:t>
      </w:r>
      <w:r w:rsidRPr="00824C53">
        <w:rPr>
          <w:rFonts w:asciiTheme="minorHAnsi" w:hAnsiTheme="minorHAnsi" w:cs="Arial"/>
          <w:sz w:val="24"/>
          <w:szCs w:val="24"/>
        </w:rPr>
        <w:lastRenderedPageBreak/>
        <w:t>2016; Abidin et al, 2013: de Vries Robbe at al., 2011;</w:t>
      </w:r>
      <w:r w:rsidRPr="00824C53">
        <w:rPr>
          <w:rFonts w:asciiTheme="minorHAnsi" w:hAnsiTheme="minorHAnsi"/>
          <w:sz w:val="24"/>
          <w:szCs w:val="24"/>
        </w:rPr>
        <w:t xml:space="preserve"> </w:t>
      </w:r>
      <w:r w:rsidRPr="00824C53">
        <w:rPr>
          <w:rFonts w:asciiTheme="minorHAnsi" w:hAnsiTheme="minorHAnsi" w:cs="Arial"/>
          <w:sz w:val="24"/>
          <w:szCs w:val="24"/>
        </w:rPr>
        <w:t>de Vries Robbe et al</w:t>
      </w:r>
      <w:r w:rsidR="00A60774">
        <w:rPr>
          <w:rFonts w:asciiTheme="minorHAnsi" w:hAnsiTheme="minorHAnsi" w:cs="Arial"/>
          <w:sz w:val="24"/>
          <w:szCs w:val="24"/>
        </w:rPr>
        <w:t>., 2015; Persson et al., 2017).</w:t>
      </w:r>
    </w:p>
    <w:p w14:paraId="5BECE3FF" w14:textId="77777777" w:rsidR="00A60774" w:rsidRDefault="00885D78" w:rsidP="00B10D1C">
      <w:pPr>
        <w:spacing w:after="0" w:line="480" w:lineRule="auto"/>
        <w:ind w:firstLine="708"/>
        <w:jc w:val="left"/>
        <w:rPr>
          <w:rFonts w:asciiTheme="minorHAnsi" w:hAnsiTheme="minorHAnsi" w:cs="Arial"/>
          <w:sz w:val="24"/>
          <w:szCs w:val="24"/>
        </w:rPr>
      </w:pPr>
      <w:r w:rsidRPr="00824C53">
        <w:rPr>
          <w:rFonts w:asciiTheme="minorHAnsi" w:hAnsiTheme="minorHAnsi" w:cs="Arial"/>
          <w:sz w:val="24"/>
          <w:szCs w:val="24"/>
        </w:rPr>
        <w:t xml:space="preserve">The </w:t>
      </w:r>
      <w:r w:rsidR="00DC5C74" w:rsidRPr="00824C53">
        <w:rPr>
          <w:rFonts w:asciiTheme="minorHAnsi" w:hAnsiTheme="minorHAnsi" w:cs="Arial"/>
          <w:sz w:val="24"/>
          <w:szCs w:val="24"/>
        </w:rPr>
        <w:t xml:space="preserve">predictive validity of SAPROF </w:t>
      </w:r>
      <w:r w:rsidRPr="00824C53">
        <w:rPr>
          <w:rFonts w:asciiTheme="minorHAnsi" w:hAnsiTheme="minorHAnsi" w:cs="Arial"/>
          <w:sz w:val="24"/>
          <w:szCs w:val="24"/>
        </w:rPr>
        <w:t xml:space="preserve">Total for non-violence over 6 months in both general inpatient and community outpatients here </w:t>
      </w:r>
      <w:r w:rsidR="00DE1E15" w:rsidRPr="00824C53">
        <w:rPr>
          <w:rFonts w:asciiTheme="minorHAnsi" w:hAnsiTheme="minorHAnsi" w:cs="Arial"/>
          <w:sz w:val="24"/>
          <w:szCs w:val="24"/>
        </w:rPr>
        <w:t xml:space="preserve">was </w:t>
      </w:r>
      <w:r w:rsidRPr="00824C53">
        <w:rPr>
          <w:rFonts w:asciiTheme="minorHAnsi" w:hAnsiTheme="minorHAnsi" w:cs="Arial"/>
          <w:sz w:val="24"/>
          <w:szCs w:val="24"/>
        </w:rPr>
        <w:t>moderate in size (Rice &amp; Harris, 2005). As such it was comparable to that achieved by the SAPROF in some forensic samples reported by Viljoen</w:t>
      </w:r>
      <w:r w:rsidR="00625738" w:rsidRPr="00824C53">
        <w:rPr>
          <w:rFonts w:asciiTheme="minorHAnsi" w:hAnsiTheme="minorHAnsi" w:cs="Arial"/>
          <w:sz w:val="24"/>
          <w:szCs w:val="24"/>
        </w:rPr>
        <w:t xml:space="preserve"> and colleagues (2016)</w:t>
      </w:r>
      <w:r w:rsidRPr="00824C53">
        <w:rPr>
          <w:rFonts w:asciiTheme="minorHAnsi" w:hAnsiTheme="minorHAnsi" w:cs="Arial"/>
          <w:sz w:val="24"/>
          <w:szCs w:val="24"/>
        </w:rPr>
        <w:t xml:space="preserve">, Yoon </w:t>
      </w:r>
      <w:r w:rsidR="00625738" w:rsidRPr="00824C53">
        <w:rPr>
          <w:rFonts w:asciiTheme="minorHAnsi" w:hAnsiTheme="minorHAnsi" w:cs="Arial"/>
          <w:sz w:val="24"/>
          <w:szCs w:val="24"/>
        </w:rPr>
        <w:t xml:space="preserve">and colleagues (2011, 2016), </w:t>
      </w:r>
      <w:r w:rsidRPr="00824C53">
        <w:rPr>
          <w:rFonts w:asciiTheme="minorHAnsi" w:hAnsiTheme="minorHAnsi" w:cs="Arial"/>
          <w:sz w:val="24"/>
          <w:szCs w:val="24"/>
        </w:rPr>
        <w:t>and Zeng</w:t>
      </w:r>
      <w:r w:rsidR="00625738" w:rsidRPr="00824C53">
        <w:rPr>
          <w:rFonts w:asciiTheme="minorHAnsi" w:hAnsiTheme="minorHAnsi" w:cs="Arial"/>
          <w:sz w:val="24"/>
          <w:szCs w:val="24"/>
        </w:rPr>
        <w:t xml:space="preserve">, Chu, and </w:t>
      </w:r>
      <w:r w:rsidR="00625738" w:rsidRPr="00824C53">
        <w:rPr>
          <w:rFonts w:asciiTheme="minorHAnsi" w:hAnsiTheme="minorHAnsi"/>
          <w:sz w:val="24"/>
          <w:szCs w:val="24"/>
        </w:rPr>
        <w:t xml:space="preserve"> </w:t>
      </w:r>
      <w:r w:rsidR="00625738" w:rsidRPr="00824C53">
        <w:rPr>
          <w:rFonts w:asciiTheme="minorHAnsi" w:hAnsiTheme="minorHAnsi" w:cs="Arial"/>
          <w:sz w:val="24"/>
          <w:szCs w:val="24"/>
        </w:rPr>
        <w:t>Lee (2015);</w:t>
      </w:r>
      <w:r w:rsidRPr="00824C53">
        <w:rPr>
          <w:rFonts w:asciiTheme="minorHAnsi" w:hAnsiTheme="minorHAnsi" w:cs="Arial"/>
          <w:sz w:val="24"/>
          <w:szCs w:val="24"/>
        </w:rPr>
        <w:t xml:space="preserve"> but lower than that observed in other forensic settings (Abbiata et al., 2016; Abidin et al., 2013; Davoren et al., 2013; Persson et al., 2017) including the original high-security setting in which it was developed (de</w:t>
      </w:r>
      <w:r w:rsidR="00DE1E15" w:rsidRPr="00824C53">
        <w:rPr>
          <w:rFonts w:asciiTheme="minorHAnsi" w:hAnsiTheme="minorHAnsi" w:cs="Arial"/>
          <w:sz w:val="24"/>
          <w:szCs w:val="24"/>
        </w:rPr>
        <w:t xml:space="preserve"> Vries Robbe et al, 2011; 2015)</w:t>
      </w:r>
      <w:r w:rsidRPr="00824C53">
        <w:rPr>
          <w:rFonts w:asciiTheme="minorHAnsi" w:hAnsiTheme="minorHAnsi" w:cs="Arial"/>
          <w:sz w:val="24"/>
          <w:szCs w:val="24"/>
        </w:rPr>
        <w:t>. The PCL: SV and HCR-20 were better predictors of violence with larger and significant AUC values (AUC</w:t>
      </w:r>
      <w:r w:rsidR="005F448F">
        <w:rPr>
          <w:rFonts w:asciiTheme="minorHAnsi" w:hAnsiTheme="minorHAnsi" w:cs="Arial"/>
          <w:sz w:val="24"/>
          <w:szCs w:val="24"/>
        </w:rPr>
        <w:t xml:space="preserve"> </w:t>
      </w:r>
      <w:r w:rsidRPr="00824C53">
        <w:rPr>
          <w:rFonts w:asciiTheme="minorHAnsi" w:hAnsiTheme="minorHAnsi" w:cs="Arial"/>
          <w:sz w:val="24"/>
          <w:szCs w:val="24"/>
        </w:rPr>
        <w:t>&gt;</w:t>
      </w:r>
      <w:r w:rsidR="005F448F">
        <w:rPr>
          <w:rFonts w:asciiTheme="minorHAnsi" w:hAnsiTheme="minorHAnsi" w:cs="Arial"/>
          <w:sz w:val="24"/>
          <w:szCs w:val="24"/>
        </w:rPr>
        <w:t xml:space="preserve"> </w:t>
      </w:r>
      <w:r w:rsidRPr="00824C53">
        <w:rPr>
          <w:rFonts w:asciiTheme="minorHAnsi" w:hAnsiTheme="minorHAnsi" w:cs="Arial"/>
          <w:sz w:val="24"/>
          <w:szCs w:val="24"/>
        </w:rPr>
        <w:t>0.6) i</w:t>
      </w:r>
      <w:r w:rsidR="00E85ECD">
        <w:rPr>
          <w:rFonts w:asciiTheme="minorHAnsi" w:hAnsiTheme="minorHAnsi" w:cs="Arial"/>
          <w:sz w:val="24"/>
          <w:szCs w:val="24"/>
        </w:rPr>
        <w:t xml:space="preserve">n the general inpatient sample. </w:t>
      </w:r>
      <w:r w:rsidRPr="00824C53">
        <w:rPr>
          <w:rFonts w:asciiTheme="minorHAnsi" w:hAnsiTheme="minorHAnsi" w:cs="Arial"/>
          <w:sz w:val="24"/>
          <w:szCs w:val="24"/>
        </w:rPr>
        <w:t>The relatively low predictive validity here could simply be an indication that the SAPROF works best in the area for that which it was developed, i.e. in forensic settings and for adults with a history of violent</w:t>
      </w:r>
      <w:r w:rsidR="00DB2F7E">
        <w:rPr>
          <w:rFonts w:asciiTheme="minorHAnsi" w:hAnsiTheme="minorHAnsi" w:cs="Arial"/>
          <w:sz w:val="24"/>
          <w:szCs w:val="24"/>
        </w:rPr>
        <w:t xml:space="preserve"> or sexually violent offending.</w:t>
      </w:r>
      <w:r w:rsidR="002D1A85">
        <w:rPr>
          <w:rFonts w:asciiTheme="minorHAnsi" w:hAnsiTheme="minorHAnsi" w:cs="Arial"/>
          <w:sz w:val="24"/>
          <w:szCs w:val="24"/>
        </w:rPr>
        <w:t xml:space="preserve"> </w:t>
      </w:r>
      <w:r w:rsidRPr="00824C53">
        <w:rPr>
          <w:rFonts w:asciiTheme="minorHAnsi" w:hAnsiTheme="minorHAnsi" w:cs="Arial"/>
          <w:sz w:val="24"/>
          <w:szCs w:val="24"/>
        </w:rPr>
        <w:t>It could also be linked to the degree of freedom and supervision patients have in these settings - the more freedom and less supervision, the more often aggressi</w:t>
      </w:r>
      <w:r w:rsidR="00DB2F7E">
        <w:rPr>
          <w:rFonts w:asciiTheme="minorHAnsi" w:hAnsiTheme="minorHAnsi" w:cs="Arial"/>
          <w:sz w:val="24"/>
          <w:szCs w:val="24"/>
        </w:rPr>
        <w:t>ve behaviour may go unrecorded.</w:t>
      </w:r>
      <w:r w:rsidR="002D1A85">
        <w:rPr>
          <w:rFonts w:asciiTheme="minorHAnsi" w:hAnsiTheme="minorHAnsi" w:cs="Arial"/>
          <w:sz w:val="24"/>
          <w:szCs w:val="24"/>
        </w:rPr>
        <w:t xml:space="preserve"> </w:t>
      </w:r>
      <w:r w:rsidRPr="00824C53">
        <w:rPr>
          <w:rFonts w:asciiTheme="minorHAnsi" w:hAnsiTheme="minorHAnsi" w:cs="Arial"/>
          <w:sz w:val="24"/>
          <w:szCs w:val="24"/>
        </w:rPr>
        <w:t>It is generally expected that the number of incidents reported in these samples will be lower than that of patients who have less freedom or are unable to leave the hospital grounds.</w:t>
      </w:r>
    </w:p>
    <w:p w14:paraId="1E95711A" w14:textId="4CAE256D" w:rsidR="00885D78" w:rsidRPr="00824C53" w:rsidRDefault="00885D78" w:rsidP="00B10D1C">
      <w:pPr>
        <w:spacing w:after="0" w:line="480" w:lineRule="auto"/>
        <w:ind w:firstLine="708"/>
        <w:jc w:val="left"/>
        <w:rPr>
          <w:rFonts w:asciiTheme="minorHAnsi" w:hAnsiTheme="minorHAnsi" w:cs="Arial"/>
          <w:sz w:val="24"/>
          <w:szCs w:val="24"/>
        </w:rPr>
      </w:pPr>
      <w:r w:rsidRPr="00824C53">
        <w:rPr>
          <w:rFonts w:asciiTheme="minorHAnsi" w:hAnsiTheme="minorHAnsi" w:cs="Arial"/>
          <w:sz w:val="24"/>
          <w:szCs w:val="24"/>
        </w:rPr>
        <w:t>When exploring individual factors linked to violence in the regression analysis we found only the SAPROF Internal score and history of violence to be significant. This indicates that patients who scored higher on the SAPROF Internal subscale were less likely to be violent in the future, whilst those with a recorded history of violence were more likely to be violent in the future. The latter results are consistent with the literature on predictors of violence and recidivism (Klassen, and O’Connor, 1988; Walters, and Crawford, 2014).</w:t>
      </w:r>
      <w:r w:rsidR="002D1A85">
        <w:rPr>
          <w:rFonts w:asciiTheme="minorHAnsi" w:hAnsiTheme="minorHAnsi" w:cs="Arial"/>
          <w:sz w:val="24"/>
          <w:szCs w:val="24"/>
        </w:rPr>
        <w:t xml:space="preserve"> </w:t>
      </w:r>
      <w:r w:rsidRPr="00824C53">
        <w:rPr>
          <w:rFonts w:asciiTheme="minorHAnsi" w:hAnsiTheme="minorHAnsi" w:cs="Arial"/>
          <w:sz w:val="24"/>
          <w:szCs w:val="24"/>
        </w:rPr>
        <w:t>As the analysis did not differentiate between the different items making up the SAPROF Internal subscale</w:t>
      </w:r>
      <w:r w:rsidR="0006130D" w:rsidRPr="00824C53">
        <w:rPr>
          <w:rFonts w:asciiTheme="minorHAnsi" w:hAnsiTheme="minorHAnsi" w:cs="Arial"/>
          <w:sz w:val="24"/>
          <w:szCs w:val="24"/>
        </w:rPr>
        <w:t>,</w:t>
      </w:r>
      <w:r w:rsidRPr="00824C53">
        <w:rPr>
          <w:rFonts w:asciiTheme="minorHAnsi" w:hAnsiTheme="minorHAnsi" w:cs="Arial"/>
          <w:sz w:val="24"/>
          <w:szCs w:val="24"/>
        </w:rPr>
        <w:t xml:space="preserve"> it was not possible to deduce the strength </w:t>
      </w:r>
      <w:r w:rsidRPr="00824C53">
        <w:rPr>
          <w:rFonts w:asciiTheme="minorHAnsi" w:hAnsiTheme="minorHAnsi" w:cs="Arial"/>
          <w:sz w:val="24"/>
          <w:szCs w:val="24"/>
        </w:rPr>
        <w:lastRenderedPageBreak/>
        <w:t xml:space="preserve">and direction of the relationship between these individual factors and violence. More research is warranted to further explore the correlation between total and individual SAPROF scores and incidents of violence following assessment. </w:t>
      </w:r>
    </w:p>
    <w:p w14:paraId="1E0F2373" w14:textId="2C5ED214" w:rsidR="00885D78" w:rsidRPr="00A60774" w:rsidRDefault="00885D78" w:rsidP="00B10D1C">
      <w:pPr>
        <w:spacing w:after="0" w:line="480" w:lineRule="auto"/>
        <w:rPr>
          <w:rFonts w:asciiTheme="minorHAnsi" w:hAnsiTheme="minorHAnsi"/>
          <w:b/>
          <w:sz w:val="24"/>
          <w:szCs w:val="24"/>
        </w:rPr>
      </w:pPr>
      <w:r w:rsidRPr="00A60774">
        <w:rPr>
          <w:rFonts w:asciiTheme="minorHAnsi" w:hAnsiTheme="minorHAnsi"/>
          <w:b/>
          <w:sz w:val="24"/>
          <w:szCs w:val="24"/>
        </w:rPr>
        <w:t>Limitations</w:t>
      </w:r>
    </w:p>
    <w:p w14:paraId="45CFA43B" w14:textId="77777777" w:rsidR="00A60774" w:rsidRDefault="00DE1E15" w:rsidP="00B10D1C">
      <w:pPr>
        <w:spacing w:after="0" w:line="480" w:lineRule="auto"/>
        <w:ind w:firstLine="708"/>
        <w:jc w:val="left"/>
        <w:rPr>
          <w:rFonts w:asciiTheme="minorHAnsi" w:hAnsiTheme="minorHAnsi" w:cs="Arial"/>
          <w:sz w:val="24"/>
          <w:szCs w:val="24"/>
        </w:rPr>
      </w:pPr>
      <w:r w:rsidRPr="00824C53">
        <w:rPr>
          <w:rFonts w:asciiTheme="minorHAnsi" w:hAnsiTheme="minorHAnsi" w:cs="Arial"/>
          <w:sz w:val="24"/>
          <w:szCs w:val="24"/>
        </w:rPr>
        <w:t xml:space="preserve">A number </w:t>
      </w:r>
      <w:r w:rsidR="00885D78" w:rsidRPr="00824C53">
        <w:rPr>
          <w:rFonts w:asciiTheme="minorHAnsi" w:hAnsiTheme="minorHAnsi" w:cs="Arial"/>
          <w:sz w:val="24"/>
          <w:szCs w:val="24"/>
        </w:rPr>
        <w:t>of issues are worth noting to ensure cautious interpretation of these results.</w:t>
      </w:r>
      <w:r w:rsidR="002D1A85">
        <w:rPr>
          <w:rFonts w:asciiTheme="minorHAnsi" w:hAnsiTheme="minorHAnsi" w:cs="Arial"/>
          <w:sz w:val="24"/>
          <w:szCs w:val="24"/>
        </w:rPr>
        <w:t xml:space="preserve"> </w:t>
      </w:r>
      <w:r w:rsidR="00885D78" w:rsidRPr="00824C53">
        <w:rPr>
          <w:rFonts w:asciiTheme="minorHAnsi" w:hAnsiTheme="minorHAnsi" w:cs="Arial"/>
          <w:sz w:val="24"/>
          <w:szCs w:val="24"/>
        </w:rPr>
        <w:t xml:space="preserve"> </w:t>
      </w:r>
      <w:r w:rsidRPr="00824C53">
        <w:rPr>
          <w:rFonts w:asciiTheme="minorHAnsi" w:hAnsiTheme="minorHAnsi" w:cs="Arial"/>
          <w:sz w:val="24"/>
          <w:szCs w:val="24"/>
        </w:rPr>
        <w:t xml:space="preserve">In particular </w:t>
      </w:r>
      <w:r w:rsidR="00885D78" w:rsidRPr="00824C53">
        <w:rPr>
          <w:rFonts w:asciiTheme="minorHAnsi" w:hAnsiTheme="minorHAnsi" w:cs="Arial"/>
          <w:sz w:val="24"/>
          <w:szCs w:val="24"/>
        </w:rPr>
        <w:t>assessing violence risk and protection in general inpatient and community samples is limited by the low rates of violence by people in these groups especially compared to those in the forensic samples on which the SAPROF has been developed. Nearly 80% of the non-forensic groups here had no previous violence convictions compared to about 30% of the forensic group. Whilst other forms of violence may have occurred without prosecution, on the face of it, many in the non-forensic groups may be at very low risk of ever engaging in the behaviour which the SAPROF was designed to focus upon. Similarly, both the SAPROF and the HCR</w:t>
      </w:r>
      <w:r w:rsidR="0006130D" w:rsidRPr="00824C53">
        <w:rPr>
          <w:rFonts w:asciiTheme="minorHAnsi" w:hAnsiTheme="minorHAnsi" w:cs="Arial"/>
          <w:sz w:val="24"/>
          <w:szCs w:val="24"/>
        </w:rPr>
        <w:t>-</w:t>
      </w:r>
      <w:r w:rsidR="00885D78" w:rsidRPr="00824C53">
        <w:rPr>
          <w:rFonts w:asciiTheme="minorHAnsi" w:hAnsiTheme="minorHAnsi" w:cs="Arial"/>
          <w:sz w:val="24"/>
          <w:szCs w:val="24"/>
        </w:rPr>
        <w:t>20 target violent recidivism rather than first offences. Again, given the low rate of violent convictions in the non-forensic groups here, any violence in the follow-up period may well have been first r</w:t>
      </w:r>
      <w:r w:rsidR="00A60774">
        <w:rPr>
          <w:rFonts w:asciiTheme="minorHAnsi" w:hAnsiTheme="minorHAnsi" w:cs="Arial"/>
          <w:sz w:val="24"/>
          <w:szCs w:val="24"/>
        </w:rPr>
        <w:t>ather than recidivist offences.</w:t>
      </w:r>
    </w:p>
    <w:p w14:paraId="49DC40C7" w14:textId="77777777" w:rsidR="00A60774" w:rsidRDefault="00885D78" w:rsidP="00B10D1C">
      <w:pPr>
        <w:spacing w:after="0" w:line="480" w:lineRule="auto"/>
        <w:ind w:firstLine="708"/>
        <w:jc w:val="left"/>
        <w:rPr>
          <w:rFonts w:asciiTheme="minorHAnsi" w:hAnsiTheme="minorHAnsi" w:cs="Arial"/>
          <w:sz w:val="24"/>
          <w:szCs w:val="24"/>
        </w:rPr>
      </w:pPr>
      <w:r w:rsidRPr="00824C53">
        <w:rPr>
          <w:rFonts w:asciiTheme="minorHAnsi" w:hAnsiTheme="minorHAnsi" w:cs="Arial"/>
          <w:sz w:val="24"/>
          <w:szCs w:val="24"/>
        </w:rPr>
        <w:t>In terms of measurement</w:t>
      </w:r>
      <w:r w:rsidR="0006130D" w:rsidRPr="00824C53">
        <w:rPr>
          <w:rFonts w:asciiTheme="minorHAnsi" w:hAnsiTheme="minorHAnsi" w:cs="Arial"/>
          <w:sz w:val="24"/>
          <w:szCs w:val="24"/>
        </w:rPr>
        <w:t>,</w:t>
      </w:r>
      <w:r w:rsidRPr="00824C53">
        <w:rPr>
          <w:rFonts w:asciiTheme="minorHAnsi" w:hAnsiTheme="minorHAnsi" w:cs="Arial"/>
          <w:sz w:val="24"/>
          <w:szCs w:val="24"/>
        </w:rPr>
        <w:t xml:space="preserve"> </w:t>
      </w:r>
      <w:r w:rsidR="0006130D" w:rsidRPr="00824C53">
        <w:rPr>
          <w:rFonts w:asciiTheme="minorHAnsi" w:hAnsiTheme="minorHAnsi" w:cs="Arial"/>
          <w:sz w:val="24"/>
          <w:szCs w:val="24"/>
        </w:rPr>
        <w:t>t</w:t>
      </w:r>
      <w:r w:rsidRPr="00824C53">
        <w:rPr>
          <w:rFonts w:asciiTheme="minorHAnsi" w:hAnsiTheme="minorHAnsi" w:cs="Arial"/>
          <w:sz w:val="24"/>
          <w:szCs w:val="24"/>
        </w:rPr>
        <w:t>he individual raters scored all the instruments for each patient so the ratings are vulnerable to the problem of criterion contamination, especially when measuring the concurrent validity of SAPROF against the HCR-20 and PCL:SV. Although the researchers who made ratings were blind to the work of the others, this may have inflated the associations between the three instruments somewhat due to a lack of blinding. On the other hand, a</w:t>
      </w:r>
      <w:r w:rsidR="00DE1E15" w:rsidRPr="00824C53">
        <w:rPr>
          <w:rFonts w:asciiTheme="minorHAnsi" w:hAnsiTheme="minorHAnsi" w:cs="Arial"/>
          <w:sz w:val="24"/>
          <w:szCs w:val="24"/>
        </w:rPr>
        <w:t>s the SAPROF was designed as</w:t>
      </w:r>
      <w:r w:rsidRPr="00824C53">
        <w:rPr>
          <w:rFonts w:asciiTheme="minorHAnsi" w:hAnsiTheme="minorHAnsi" w:cs="Arial"/>
          <w:sz w:val="24"/>
          <w:szCs w:val="24"/>
        </w:rPr>
        <w:t xml:space="preserve"> a supplement to the HCR</w:t>
      </w:r>
      <w:r w:rsidR="0006130D" w:rsidRPr="00824C53">
        <w:rPr>
          <w:rFonts w:asciiTheme="minorHAnsi" w:hAnsiTheme="minorHAnsi" w:cs="Arial"/>
          <w:sz w:val="24"/>
          <w:szCs w:val="24"/>
        </w:rPr>
        <w:t>-</w:t>
      </w:r>
      <w:r w:rsidRPr="00824C53">
        <w:rPr>
          <w:rFonts w:asciiTheme="minorHAnsi" w:hAnsiTheme="minorHAnsi" w:cs="Arial"/>
          <w:sz w:val="24"/>
          <w:szCs w:val="24"/>
        </w:rPr>
        <w:t>20, scoring on both instruments by the same rater is an advantage. A further limitation in this area may be the risk of outcome data collection bias, as violence raters were not blind to SAPROF scores, though the data collection was done six months later and raters were specifically instructed to avoid consu</w:t>
      </w:r>
      <w:r w:rsidR="00A60774">
        <w:rPr>
          <w:rFonts w:asciiTheme="minorHAnsi" w:hAnsiTheme="minorHAnsi" w:cs="Arial"/>
          <w:sz w:val="24"/>
          <w:szCs w:val="24"/>
        </w:rPr>
        <w:t>lting the data retrospectively.</w:t>
      </w:r>
    </w:p>
    <w:p w14:paraId="21ADE7DD" w14:textId="1C104E39" w:rsidR="00A60774" w:rsidRPr="002117CA" w:rsidRDefault="00885D78" w:rsidP="00B10D1C">
      <w:pPr>
        <w:spacing w:after="0" w:line="480" w:lineRule="auto"/>
        <w:ind w:firstLine="708"/>
        <w:jc w:val="left"/>
        <w:rPr>
          <w:rFonts w:asciiTheme="minorHAnsi" w:hAnsiTheme="minorHAnsi" w:cs="Arial"/>
          <w:sz w:val="24"/>
          <w:szCs w:val="24"/>
        </w:rPr>
      </w:pPr>
      <w:r w:rsidRPr="00824C53">
        <w:rPr>
          <w:rFonts w:asciiTheme="minorHAnsi" w:hAnsiTheme="minorHAnsi" w:cs="Arial"/>
          <w:sz w:val="24"/>
          <w:szCs w:val="24"/>
        </w:rPr>
        <w:lastRenderedPageBreak/>
        <w:t xml:space="preserve">It is furthermore unfortunate that the predictive validity analysis was limited to </w:t>
      </w:r>
      <w:r w:rsidR="0006130D" w:rsidRPr="00824C53">
        <w:rPr>
          <w:rFonts w:asciiTheme="minorHAnsi" w:hAnsiTheme="minorHAnsi" w:cs="Arial"/>
          <w:sz w:val="24"/>
          <w:szCs w:val="24"/>
        </w:rPr>
        <w:t>a subsample of the whole study cohort</w:t>
      </w:r>
      <w:r w:rsidRPr="00824C53">
        <w:rPr>
          <w:rFonts w:asciiTheme="minorHAnsi" w:hAnsiTheme="minorHAnsi" w:cs="Arial"/>
          <w:sz w:val="24"/>
          <w:szCs w:val="24"/>
        </w:rPr>
        <w:t xml:space="preserve">. This was due to the scope of the study being expanded </w:t>
      </w:r>
      <w:r w:rsidR="00F8317E" w:rsidRPr="00824C53">
        <w:rPr>
          <w:rFonts w:asciiTheme="minorHAnsi" w:hAnsiTheme="minorHAnsi" w:cs="Arial"/>
          <w:sz w:val="24"/>
          <w:szCs w:val="24"/>
        </w:rPr>
        <w:t>for the general and community patient groups fo</w:t>
      </w:r>
      <w:r w:rsidRPr="00824C53">
        <w:rPr>
          <w:rFonts w:asciiTheme="minorHAnsi" w:hAnsiTheme="minorHAnsi" w:cs="Arial"/>
          <w:sz w:val="24"/>
          <w:szCs w:val="24"/>
        </w:rPr>
        <w:t>llowing the provision of greater resources which enabled more ambitio</w:t>
      </w:r>
      <w:r w:rsidR="00A60774">
        <w:rPr>
          <w:rFonts w:asciiTheme="minorHAnsi" w:hAnsiTheme="minorHAnsi" w:cs="Arial"/>
          <w:sz w:val="24"/>
          <w:szCs w:val="24"/>
        </w:rPr>
        <w:t>us data collection objectives.</w:t>
      </w:r>
      <w:r w:rsidR="005D58DB">
        <w:rPr>
          <w:rFonts w:asciiTheme="minorHAnsi" w:hAnsiTheme="minorHAnsi" w:cs="Arial"/>
          <w:sz w:val="24"/>
          <w:szCs w:val="24"/>
        </w:rPr>
        <w:t xml:space="preserve"> </w:t>
      </w:r>
      <w:r w:rsidR="00F11382" w:rsidRPr="002117CA">
        <w:rPr>
          <w:rFonts w:asciiTheme="minorHAnsi" w:hAnsiTheme="minorHAnsi" w:cs="Arial"/>
          <w:sz w:val="24"/>
          <w:szCs w:val="24"/>
        </w:rPr>
        <w:t>Limitations should also be noted regarding the inter-rater reliability assessment between raters, as well as with regards to the lack of information about the proportion of patients who were approached, but not consented to participate in the study.</w:t>
      </w:r>
    </w:p>
    <w:p w14:paraId="27A4CD66" w14:textId="77777777" w:rsidR="00885D78" w:rsidRPr="00824C53" w:rsidRDefault="00F8317E" w:rsidP="00B10D1C">
      <w:pPr>
        <w:spacing w:after="0" w:line="480" w:lineRule="auto"/>
        <w:ind w:firstLine="708"/>
        <w:jc w:val="left"/>
        <w:rPr>
          <w:rFonts w:asciiTheme="minorHAnsi" w:hAnsiTheme="minorHAnsi" w:cs="Arial"/>
          <w:sz w:val="24"/>
          <w:szCs w:val="24"/>
        </w:rPr>
      </w:pPr>
      <w:r w:rsidRPr="00824C53">
        <w:rPr>
          <w:rFonts w:asciiTheme="minorHAnsi" w:hAnsiTheme="minorHAnsi" w:cs="Arial"/>
          <w:sz w:val="24"/>
          <w:szCs w:val="24"/>
        </w:rPr>
        <w:t>T</w:t>
      </w:r>
      <w:r w:rsidR="00885D78" w:rsidRPr="00824C53">
        <w:rPr>
          <w:rFonts w:asciiTheme="minorHAnsi" w:hAnsiTheme="minorHAnsi" w:cs="Arial"/>
          <w:sz w:val="24"/>
          <w:szCs w:val="24"/>
        </w:rPr>
        <w:t>he value of estimating predictive validity in the structured professional judgement paradigm is contested as well</w:t>
      </w:r>
      <w:r w:rsidRPr="00824C53">
        <w:rPr>
          <w:rFonts w:asciiTheme="minorHAnsi" w:hAnsiTheme="minorHAnsi" w:cs="Arial"/>
          <w:sz w:val="24"/>
          <w:szCs w:val="24"/>
        </w:rPr>
        <w:t>,</w:t>
      </w:r>
      <w:r w:rsidR="00885D78" w:rsidRPr="00824C53">
        <w:rPr>
          <w:rFonts w:asciiTheme="minorHAnsi" w:hAnsiTheme="minorHAnsi" w:cs="Arial"/>
          <w:sz w:val="24"/>
          <w:szCs w:val="24"/>
        </w:rPr>
        <w:t xml:space="preserve"> since the purpose of such instruments is to improve practice and if successful, should lead to reduced violence and thus poorer (Pedersen, Rasmussen, and Elsass, 2012). </w:t>
      </w:r>
    </w:p>
    <w:p w14:paraId="786879CC" w14:textId="77777777" w:rsidR="00885D78" w:rsidRPr="00A60774" w:rsidRDefault="00885D78" w:rsidP="00B10D1C">
      <w:pPr>
        <w:spacing w:after="0" w:line="480" w:lineRule="auto"/>
        <w:rPr>
          <w:rFonts w:asciiTheme="minorHAnsi" w:hAnsiTheme="minorHAnsi"/>
          <w:b/>
          <w:sz w:val="24"/>
          <w:szCs w:val="24"/>
        </w:rPr>
      </w:pPr>
      <w:r w:rsidRPr="00A60774">
        <w:rPr>
          <w:rFonts w:asciiTheme="minorHAnsi" w:hAnsiTheme="minorHAnsi"/>
          <w:b/>
          <w:sz w:val="24"/>
          <w:szCs w:val="24"/>
        </w:rPr>
        <w:t>Conclusions</w:t>
      </w:r>
    </w:p>
    <w:p w14:paraId="5B158CB5" w14:textId="77777777" w:rsidR="00885D78" w:rsidRPr="00824C53" w:rsidRDefault="00885D78" w:rsidP="00B10D1C">
      <w:pPr>
        <w:spacing w:after="0" w:line="480" w:lineRule="auto"/>
        <w:ind w:firstLine="708"/>
        <w:jc w:val="left"/>
        <w:rPr>
          <w:rFonts w:asciiTheme="minorHAnsi" w:hAnsiTheme="minorHAnsi" w:cs="Arial"/>
          <w:sz w:val="24"/>
          <w:szCs w:val="24"/>
        </w:rPr>
      </w:pPr>
      <w:r w:rsidRPr="00824C53">
        <w:rPr>
          <w:rFonts w:asciiTheme="minorHAnsi" w:hAnsiTheme="minorHAnsi" w:cs="Arial"/>
          <w:sz w:val="24"/>
          <w:szCs w:val="24"/>
        </w:rPr>
        <w:t>This novel examination of violent-protective factors in non-forensic populations using the SAPROF instrument has indicated that people with mental health problems living in the community have stronger internal and motivational protections against perpetrating violence than those who reside in secure or general mental hospitals. They also have greater protection overall even when the externa</w:t>
      </w:r>
      <w:r w:rsidR="00F8317E" w:rsidRPr="00824C53">
        <w:rPr>
          <w:rFonts w:asciiTheme="minorHAnsi" w:hAnsiTheme="minorHAnsi" w:cs="Arial"/>
          <w:sz w:val="24"/>
          <w:szCs w:val="24"/>
        </w:rPr>
        <w:t>l</w:t>
      </w:r>
      <w:r w:rsidRPr="00824C53">
        <w:rPr>
          <w:rFonts w:asciiTheme="minorHAnsi" w:hAnsiTheme="minorHAnsi" w:cs="Arial"/>
          <w:sz w:val="24"/>
          <w:szCs w:val="24"/>
        </w:rPr>
        <w:t xml:space="preserve"> supports provided by the institution are taken into account. </w:t>
      </w:r>
    </w:p>
    <w:p w14:paraId="64C3D07F" w14:textId="77777777" w:rsidR="00824C53" w:rsidRPr="00824C53" w:rsidRDefault="00824C53" w:rsidP="00B10D1C">
      <w:pPr>
        <w:spacing w:after="0" w:line="480" w:lineRule="auto"/>
        <w:jc w:val="left"/>
        <w:rPr>
          <w:rFonts w:asciiTheme="minorHAnsi" w:hAnsiTheme="minorHAnsi" w:cs="Arial"/>
          <w:sz w:val="24"/>
          <w:szCs w:val="24"/>
        </w:rPr>
      </w:pPr>
      <w:r w:rsidRPr="00824C53">
        <w:rPr>
          <w:rFonts w:asciiTheme="minorHAnsi" w:hAnsiTheme="minorHAnsi" w:cs="Arial"/>
          <w:sz w:val="24"/>
          <w:szCs w:val="24"/>
        </w:rPr>
        <w:br w:type="page"/>
      </w:r>
    </w:p>
    <w:p w14:paraId="472282AF" w14:textId="77777777" w:rsidR="00885D78" w:rsidRPr="00A60774" w:rsidRDefault="00824C53" w:rsidP="00B10D1C">
      <w:pPr>
        <w:spacing w:after="0" w:line="480" w:lineRule="auto"/>
        <w:jc w:val="center"/>
        <w:rPr>
          <w:rFonts w:asciiTheme="minorHAnsi" w:hAnsiTheme="minorHAnsi"/>
          <w:b/>
          <w:sz w:val="24"/>
          <w:szCs w:val="24"/>
        </w:rPr>
      </w:pPr>
      <w:r w:rsidRPr="00A60774">
        <w:rPr>
          <w:rFonts w:asciiTheme="minorHAnsi" w:hAnsiTheme="minorHAnsi"/>
          <w:b/>
          <w:sz w:val="24"/>
          <w:szCs w:val="24"/>
        </w:rPr>
        <w:lastRenderedPageBreak/>
        <w:t>References</w:t>
      </w:r>
    </w:p>
    <w:p w14:paraId="11FC58A8" w14:textId="77777777" w:rsidR="00824C53" w:rsidRPr="00824C53" w:rsidRDefault="00824C53" w:rsidP="00B10D1C">
      <w:pPr>
        <w:spacing w:after="0" w:line="480" w:lineRule="auto"/>
        <w:ind w:left="709" w:hanging="709"/>
        <w:jc w:val="left"/>
        <w:rPr>
          <w:rFonts w:asciiTheme="minorHAnsi" w:hAnsiTheme="minorHAnsi" w:cs="Arial"/>
          <w:sz w:val="24"/>
          <w:szCs w:val="24"/>
        </w:rPr>
      </w:pPr>
      <w:r w:rsidRPr="00824C53">
        <w:rPr>
          <w:rFonts w:asciiTheme="minorHAnsi" w:hAnsiTheme="minorHAnsi" w:cs="Arial"/>
          <w:sz w:val="24"/>
          <w:szCs w:val="24"/>
        </w:rPr>
        <w:t>Abbiati, M., Azzola, A., Palix, J., Gasser, J.</w:t>
      </w:r>
      <w:r w:rsidR="005A3E1E">
        <w:rPr>
          <w:rFonts w:asciiTheme="minorHAnsi" w:hAnsiTheme="minorHAnsi" w:cs="Arial"/>
          <w:sz w:val="24"/>
          <w:szCs w:val="24"/>
        </w:rPr>
        <w:t>,</w:t>
      </w:r>
      <w:r w:rsidRPr="00824C53">
        <w:rPr>
          <w:rFonts w:asciiTheme="minorHAnsi" w:hAnsiTheme="minorHAnsi" w:cs="Arial"/>
          <w:sz w:val="24"/>
          <w:szCs w:val="24"/>
        </w:rPr>
        <w:t xml:space="preserve"> &amp; Moulin V. (2016). Validity And Predictive Accuracy Of The Structured Assessment Of Protective Factors For Violence Risk In Criminal Forensic Evaluations. A Swiss Cross-Validation Retrospective Study. </w:t>
      </w:r>
      <w:r w:rsidRPr="002D1A85">
        <w:rPr>
          <w:rFonts w:asciiTheme="minorHAnsi" w:hAnsiTheme="minorHAnsi" w:cs="Arial"/>
          <w:i/>
          <w:sz w:val="24"/>
          <w:szCs w:val="24"/>
        </w:rPr>
        <w:t>Criminal Justice and Behaviour</w:t>
      </w:r>
      <w:r w:rsidRPr="00824C53">
        <w:rPr>
          <w:rFonts w:asciiTheme="minorHAnsi" w:hAnsiTheme="minorHAnsi" w:cs="Arial"/>
          <w:sz w:val="24"/>
          <w:szCs w:val="24"/>
        </w:rPr>
        <w:t xml:space="preserve">, </w:t>
      </w:r>
      <w:r w:rsidR="002D1A85">
        <w:rPr>
          <w:rFonts w:asciiTheme="minorHAnsi" w:hAnsiTheme="minorHAnsi" w:cs="Arial"/>
          <w:sz w:val="24"/>
          <w:szCs w:val="24"/>
        </w:rPr>
        <w:t>doi</w:t>
      </w:r>
      <w:r w:rsidRPr="00824C53">
        <w:rPr>
          <w:rFonts w:asciiTheme="minorHAnsi" w:hAnsiTheme="minorHAnsi" w:cs="Arial"/>
          <w:sz w:val="24"/>
          <w:szCs w:val="24"/>
        </w:rPr>
        <w:t>: 10.1177/0093854816677565</w:t>
      </w:r>
    </w:p>
    <w:p w14:paraId="18E1D9C9" w14:textId="77777777" w:rsidR="00824C53" w:rsidRPr="00824C53" w:rsidRDefault="00824C53" w:rsidP="00B10D1C">
      <w:pPr>
        <w:spacing w:after="0" w:line="480" w:lineRule="auto"/>
        <w:ind w:left="709" w:hanging="709"/>
        <w:jc w:val="left"/>
        <w:rPr>
          <w:rFonts w:asciiTheme="minorHAnsi" w:hAnsiTheme="minorHAnsi" w:cs="Arial"/>
          <w:sz w:val="24"/>
          <w:szCs w:val="24"/>
        </w:rPr>
      </w:pPr>
      <w:r w:rsidRPr="00824C53">
        <w:rPr>
          <w:rFonts w:asciiTheme="minorHAnsi" w:hAnsiTheme="minorHAnsi" w:cs="Arial"/>
          <w:sz w:val="24"/>
          <w:szCs w:val="24"/>
        </w:rPr>
        <w:t xml:space="preserve">Abidin, Z., Davoren, M., Naughton, L., Gibbons, O., Nulty, A., &amp; Kennedy, H. (2013). Susceptibility (risk and protective) factors for in-patient violence and self-harm: prospective study of structured professional judgement instruments START and SAPROF, DUNDRUM-3 and DUNDRUM-4 in forensic mental health services. </w:t>
      </w:r>
      <w:r w:rsidRPr="005A3E1E">
        <w:rPr>
          <w:rFonts w:asciiTheme="minorHAnsi" w:hAnsiTheme="minorHAnsi" w:cs="Arial"/>
          <w:i/>
          <w:sz w:val="24"/>
          <w:szCs w:val="24"/>
        </w:rPr>
        <w:t>B</w:t>
      </w:r>
      <w:r w:rsidR="005A3E1E" w:rsidRPr="005A3E1E">
        <w:rPr>
          <w:rFonts w:asciiTheme="minorHAnsi" w:hAnsiTheme="minorHAnsi" w:cs="Arial"/>
          <w:i/>
          <w:sz w:val="24"/>
          <w:szCs w:val="24"/>
        </w:rPr>
        <w:t>MC Psychiatry</w:t>
      </w:r>
      <w:r w:rsidR="005A3E1E">
        <w:rPr>
          <w:rFonts w:asciiTheme="minorHAnsi" w:hAnsiTheme="minorHAnsi" w:cs="Arial"/>
          <w:sz w:val="24"/>
          <w:szCs w:val="24"/>
        </w:rPr>
        <w:t>, 13(1),</w:t>
      </w:r>
      <w:r w:rsidRPr="00824C53">
        <w:rPr>
          <w:rFonts w:asciiTheme="minorHAnsi" w:hAnsiTheme="minorHAnsi" w:cs="Arial"/>
          <w:sz w:val="24"/>
          <w:szCs w:val="24"/>
        </w:rPr>
        <w:t xml:space="preserve"> 197</w:t>
      </w:r>
    </w:p>
    <w:p w14:paraId="2B6CA2B4" w14:textId="77777777" w:rsidR="00824C53" w:rsidRPr="00824C53" w:rsidRDefault="00824C53" w:rsidP="00B10D1C">
      <w:pPr>
        <w:spacing w:after="0" w:line="480" w:lineRule="auto"/>
        <w:ind w:left="709" w:hanging="709"/>
        <w:jc w:val="left"/>
        <w:rPr>
          <w:rFonts w:asciiTheme="minorHAnsi" w:hAnsiTheme="minorHAnsi" w:cs="Arial"/>
          <w:sz w:val="24"/>
          <w:szCs w:val="24"/>
        </w:rPr>
      </w:pPr>
      <w:r w:rsidRPr="00824C53">
        <w:rPr>
          <w:rFonts w:asciiTheme="minorHAnsi" w:hAnsiTheme="minorHAnsi" w:cs="Arial"/>
          <w:sz w:val="24"/>
          <w:szCs w:val="24"/>
        </w:rPr>
        <w:t xml:space="preserve">Blum, R. W., &amp; Ireland, M. (2004). Reducing risk, increasing protective factors: Findings from the Caribbean Youth Health Survey. </w:t>
      </w:r>
      <w:r w:rsidRPr="005A3E1E">
        <w:rPr>
          <w:rFonts w:asciiTheme="minorHAnsi" w:hAnsiTheme="minorHAnsi" w:cs="Arial"/>
          <w:i/>
          <w:sz w:val="24"/>
          <w:szCs w:val="24"/>
        </w:rPr>
        <w:t>Journal of Adolescent Health</w:t>
      </w:r>
      <w:r w:rsidR="005A3E1E">
        <w:rPr>
          <w:rFonts w:asciiTheme="minorHAnsi" w:hAnsiTheme="minorHAnsi" w:cs="Arial"/>
          <w:sz w:val="24"/>
          <w:szCs w:val="24"/>
        </w:rPr>
        <w:t>, 35(6),</w:t>
      </w:r>
      <w:r w:rsidRPr="00824C53">
        <w:rPr>
          <w:rFonts w:asciiTheme="minorHAnsi" w:hAnsiTheme="minorHAnsi" w:cs="Arial"/>
          <w:sz w:val="24"/>
          <w:szCs w:val="24"/>
        </w:rPr>
        <w:t xml:space="preserve"> 493-500. doi:http://dx.doi.org/10.1016/j.jadohealth.2004.01.009</w:t>
      </w:r>
    </w:p>
    <w:p w14:paraId="01AA8D17" w14:textId="77777777" w:rsidR="00824C53" w:rsidRPr="00824C53" w:rsidRDefault="00824C53" w:rsidP="00B10D1C">
      <w:pPr>
        <w:spacing w:after="0" w:line="480" w:lineRule="auto"/>
        <w:ind w:left="709" w:hanging="709"/>
        <w:jc w:val="left"/>
        <w:rPr>
          <w:rFonts w:asciiTheme="minorHAnsi" w:hAnsiTheme="minorHAnsi" w:cs="Arial"/>
          <w:sz w:val="24"/>
          <w:szCs w:val="24"/>
        </w:rPr>
      </w:pPr>
      <w:r w:rsidRPr="00824C53">
        <w:rPr>
          <w:rFonts w:asciiTheme="minorHAnsi" w:hAnsiTheme="minorHAnsi" w:cs="Arial"/>
          <w:sz w:val="24"/>
          <w:szCs w:val="24"/>
        </w:rPr>
        <w:t xml:space="preserve">Coid, J.W., Kllis, C., Doyle, M., Shaw, J., &amp; Ullrich, S. (2015). Identifying causal risk factors for violence among discharged patients. </w:t>
      </w:r>
      <w:r w:rsidRPr="005A3E1E">
        <w:rPr>
          <w:rFonts w:asciiTheme="minorHAnsi" w:hAnsiTheme="minorHAnsi" w:cs="Arial"/>
          <w:i/>
          <w:sz w:val="24"/>
          <w:szCs w:val="24"/>
        </w:rPr>
        <w:t>Plos One, 11</w:t>
      </w:r>
      <w:r w:rsidR="005A3E1E">
        <w:rPr>
          <w:rFonts w:asciiTheme="minorHAnsi" w:hAnsiTheme="minorHAnsi" w:cs="Arial"/>
          <w:sz w:val="24"/>
          <w:szCs w:val="24"/>
        </w:rPr>
        <w:t>,</w:t>
      </w:r>
      <w:r w:rsidRPr="00824C53">
        <w:rPr>
          <w:rFonts w:asciiTheme="minorHAnsi" w:hAnsiTheme="minorHAnsi" w:cs="Arial"/>
          <w:sz w:val="24"/>
          <w:szCs w:val="24"/>
        </w:rPr>
        <w:t xml:space="preserve"> 1-17. doi:10.1371/journal.pone.0142493</w:t>
      </w:r>
    </w:p>
    <w:p w14:paraId="06F35997" w14:textId="77777777" w:rsidR="00824C53" w:rsidRPr="00824C53" w:rsidRDefault="00824C53" w:rsidP="00B10D1C">
      <w:pPr>
        <w:spacing w:after="0" w:line="480" w:lineRule="auto"/>
        <w:ind w:left="709" w:hanging="709"/>
        <w:jc w:val="left"/>
        <w:rPr>
          <w:rFonts w:asciiTheme="minorHAnsi" w:hAnsiTheme="minorHAnsi" w:cs="Arial"/>
          <w:sz w:val="24"/>
          <w:szCs w:val="24"/>
        </w:rPr>
      </w:pPr>
      <w:r w:rsidRPr="00824C53">
        <w:rPr>
          <w:rFonts w:asciiTheme="minorHAnsi" w:hAnsiTheme="minorHAnsi" w:cs="Arial"/>
          <w:sz w:val="24"/>
          <w:szCs w:val="24"/>
        </w:rPr>
        <w:t xml:space="preserve">Davoren, M., Abidin, Z., Naughton, L., Gibbons, O., Nulty, A., Wright, B., &amp; Kennedy, H. (2013). Prospective study of factors influencing conditional discharge from a forensic hospital: the DUNDRUM-3 programme completion and DUNDRUM-4 recovery structured professional judgement instruments and risk. </w:t>
      </w:r>
      <w:r w:rsidRPr="00FA6251">
        <w:rPr>
          <w:rFonts w:asciiTheme="minorHAnsi" w:hAnsiTheme="minorHAnsi" w:cs="Arial"/>
          <w:i/>
          <w:sz w:val="24"/>
          <w:szCs w:val="24"/>
        </w:rPr>
        <w:t>BMC Psychiatry, 13</w:t>
      </w:r>
      <w:r w:rsidRPr="00824C53">
        <w:rPr>
          <w:rFonts w:asciiTheme="minorHAnsi" w:hAnsiTheme="minorHAnsi" w:cs="Arial"/>
          <w:sz w:val="24"/>
          <w:szCs w:val="24"/>
        </w:rPr>
        <w:t>(1</w:t>
      </w:r>
      <w:r w:rsidR="00FA6251">
        <w:rPr>
          <w:rFonts w:asciiTheme="minorHAnsi" w:hAnsiTheme="minorHAnsi" w:cs="Arial"/>
          <w:sz w:val="24"/>
          <w:szCs w:val="24"/>
        </w:rPr>
        <w:t>), 185</w:t>
      </w:r>
    </w:p>
    <w:p w14:paraId="40C0AC1B" w14:textId="77777777" w:rsidR="00824C53" w:rsidRPr="00824C53" w:rsidRDefault="00824C53" w:rsidP="00B10D1C">
      <w:pPr>
        <w:spacing w:after="0" w:line="480" w:lineRule="auto"/>
        <w:ind w:left="709" w:hanging="709"/>
        <w:jc w:val="left"/>
        <w:rPr>
          <w:rFonts w:asciiTheme="minorHAnsi" w:hAnsiTheme="minorHAnsi" w:cs="Arial"/>
          <w:sz w:val="24"/>
          <w:szCs w:val="24"/>
        </w:rPr>
      </w:pPr>
      <w:r w:rsidRPr="00824C53">
        <w:rPr>
          <w:rFonts w:asciiTheme="minorHAnsi" w:hAnsiTheme="minorHAnsi" w:cs="Arial"/>
          <w:sz w:val="24"/>
          <w:szCs w:val="24"/>
        </w:rPr>
        <w:t xml:space="preserve">de Vogel, V., de Vries Robbé, M., de Ruiter, C., &amp; Bouman, Y. H. A. (2011). Assessing protective factors in forensic psychiatric practice: Introducing the SAPROF. </w:t>
      </w:r>
      <w:r w:rsidRPr="00FA6251">
        <w:rPr>
          <w:rFonts w:asciiTheme="minorHAnsi" w:hAnsiTheme="minorHAnsi" w:cs="Arial"/>
          <w:i/>
          <w:sz w:val="24"/>
          <w:szCs w:val="24"/>
        </w:rPr>
        <w:t>International Journal of Forensic Mental Health, 10</w:t>
      </w:r>
      <w:r w:rsidR="00FA6251">
        <w:rPr>
          <w:rFonts w:asciiTheme="minorHAnsi" w:hAnsiTheme="minorHAnsi" w:cs="Arial"/>
          <w:sz w:val="24"/>
          <w:szCs w:val="24"/>
        </w:rPr>
        <w:t>(3),</w:t>
      </w:r>
      <w:r w:rsidRPr="00824C53">
        <w:rPr>
          <w:rFonts w:asciiTheme="minorHAnsi" w:hAnsiTheme="minorHAnsi" w:cs="Arial"/>
          <w:sz w:val="24"/>
          <w:szCs w:val="24"/>
        </w:rPr>
        <w:t xml:space="preserve"> 171-177. doi:10.1080/14999013.2011.600230</w:t>
      </w:r>
    </w:p>
    <w:p w14:paraId="3A9765C3" w14:textId="77777777" w:rsidR="00824C53" w:rsidRPr="00824C53" w:rsidRDefault="00824C53" w:rsidP="00B10D1C">
      <w:pPr>
        <w:spacing w:after="0" w:line="480" w:lineRule="auto"/>
        <w:ind w:left="709" w:hanging="709"/>
        <w:jc w:val="left"/>
        <w:rPr>
          <w:rFonts w:asciiTheme="minorHAnsi" w:hAnsiTheme="minorHAnsi" w:cs="Arial"/>
          <w:sz w:val="24"/>
          <w:szCs w:val="24"/>
        </w:rPr>
      </w:pPr>
      <w:r w:rsidRPr="00824C53">
        <w:rPr>
          <w:rFonts w:asciiTheme="minorHAnsi" w:hAnsiTheme="minorHAnsi" w:cs="Arial"/>
          <w:sz w:val="24"/>
          <w:szCs w:val="24"/>
        </w:rPr>
        <w:t xml:space="preserve">de Vries Robbé, M., de Vogel, V., &amp; de Spa, E. (2011). Protective factors for violence risk in forensic psychiatric patients: A retrospective validation study of the SAPROF. </w:t>
      </w:r>
      <w:r w:rsidRPr="00FA6251">
        <w:rPr>
          <w:rFonts w:asciiTheme="minorHAnsi" w:hAnsiTheme="minorHAnsi" w:cs="Arial"/>
          <w:i/>
          <w:sz w:val="24"/>
          <w:szCs w:val="24"/>
        </w:rPr>
        <w:t>International Journal of Forensic Mental Health, 10</w:t>
      </w:r>
      <w:r w:rsidR="00FA6251">
        <w:rPr>
          <w:rFonts w:asciiTheme="minorHAnsi" w:hAnsiTheme="minorHAnsi" w:cs="Arial"/>
          <w:sz w:val="24"/>
          <w:szCs w:val="24"/>
        </w:rPr>
        <w:t>(3),</w:t>
      </w:r>
      <w:r w:rsidRPr="00824C53">
        <w:rPr>
          <w:rFonts w:asciiTheme="minorHAnsi" w:hAnsiTheme="minorHAnsi" w:cs="Arial"/>
          <w:sz w:val="24"/>
          <w:szCs w:val="24"/>
        </w:rPr>
        <w:t xml:space="preserve"> 178-186. doi:10.1080/14999013.2011.600232</w:t>
      </w:r>
    </w:p>
    <w:p w14:paraId="5D27ABDA" w14:textId="77777777" w:rsidR="00824C53" w:rsidRPr="00824C53" w:rsidRDefault="00824C53" w:rsidP="00B10D1C">
      <w:pPr>
        <w:spacing w:after="0" w:line="480" w:lineRule="auto"/>
        <w:ind w:left="709" w:hanging="709"/>
        <w:jc w:val="left"/>
        <w:rPr>
          <w:rFonts w:asciiTheme="minorHAnsi" w:hAnsiTheme="minorHAnsi" w:cs="Arial"/>
          <w:sz w:val="24"/>
          <w:szCs w:val="24"/>
        </w:rPr>
      </w:pPr>
      <w:r w:rsidRPr="00824C53">
        <w:rPr>
          <w:rFonts w:asciiTheme="minorHAnsi" w:hAnsiTheme="minorHAnsi" w:cs="Arial"/>
          <w:sz w:val="24"/>
          <w:szCs w:val="24"/>
        </w:rPr>
        <w:lastRenderedPageBreak/>
        <w:t xml:space="preserve">de Vries Robbé, M., de Vogel, V., Douglas, K. S., &amp; Nijman, H. L. I. (2015). Changes in dynamic risk and protective factors for violence during inpatient forensic psychiatric treatment: Predicting reductions in postdischarge community recidivism. </w:t>
      </w:r>
      <w:r w:rsidRPr="00FA6251">
        <w:rPr>
          <w:rFonts w:asciiTheme="minorHAnsi" w:hAnsiTheme="minorHAnsi" w:cs="Arial"/>
          <w:i/>
          <w:sz w:val="24"/>
          <w:szCs w:val="24"/>
        </w:rPr>
        <w:t>Law and Human Behavior, 39</w:t>
      </w:r>
      <w:r w:rsidR="00FA6251">
        <w:rPr>
          <w:rFonts w:asciiTheme="minorHAnsi" w:hAnsiTheme="minorHAnsi" w:cs="Arial"/>
          <w:sz w:val="24"/>
          <w:szCs w:val="24"/>
        </w:rPr>
        <w:t>(1),</w:t>
      </w:r>
      <w:r w:rsidRPr="00824C53">
        <w:rPr>
          <w:rFonts w:asciiTheme="minorHAnsi" w:hAnsiTheme="minorHAnsi" w:cs="Arial"/>
          <w:sz w:val="24"/>
          <w:szCs w:val="24"/>
        </w:rPr>
        <w:t xml:space="preserve"> 53-61. doi:10.1037/lhb0000089</w:t>
      </w:r>
    </w:p>
    <w:p w14:paraId="55F8A502" w14:textId="77777777" w:rsidR="00824C53" w:rsidRPr="00824C53" w:rsidRDefault="00824C53" w:rsidP="00B10D1C">
      <w:pPr>
        <w:spacing w:after="0" w:line="480" w:lineRule="auto"/>
        <w:ind w:left="709" w:hanging="709"/>
        <w:jc w:val="left"/>
        <w:rPr>
          <w:rFonts w:asciiTheme="minorHAnsi" w:hAnsiTheme="minorHAnsi" w:cs="Arial"/>
          <w:sz w:val="24"/>
          <w:szCs w:val="24"/>
        </w:rPr>
      </w:pPr>
      <w:r w:rsidRPr="00824C53">
        <w:rPr>
          <w:rFonts w:asciiTheme="minorHAnsi" w:hAnsiTheme="minorHAnsi" w:cs="Arial"/>
          <w:sz w:val="24"/>
          <w:szCs w:val="24"/>
        </w:rPr>
        <w:t xml:space="preserve">Desmarais, S. L., Nicholls, T. L., Wilson, C. M., &amp; Brink, J. (2012). Using dynamic risk and protective factors to predict inpatient aggression: Reliability and validity of START assessments. </w:t>
      </w:r>
      <w:r w:rsidRPr="00FA6251">
        <w:rPr>
          <w:rFonts w:asciiTheme="minorHAnsi" w:hAnsiTheme="minorHAnsi" w:cs="Arial"/>
          <w:i/>
          <w:sz w:val="24"/>
          <w:szCs w:val="24"/>
        </w:rPr>
        <w:t>Psychological Assessment, 24</w:t>
      </w:r>
      <w:r w:rsidR="00FA6251">
        <w:rPr>
          <w:rFonts w:asciiTheme="minorHAnsi" w:hAnsiTheme="minorHAnsi" w:cs="Arial"/>
          <w:sz w:val="24"/>
          <w:szCs w:val="24"/>
        </w:rPr>
        <w:t>(3),</w:t>
      </w:r>
      <w:r w:rsidRPr="00824C53">
        <w:rPr>
          <w:rFonts w:asciiTheme="minorHAnsi" w:hAnsiTheme="minorHAnsi" w:cs="Arial"/>
          <w:sz w:val="24"/>
          <w:szCs w:val="24"/>
        </w:rPr>
        <w:t xml:space="preserve"> 685-700</w:t>
      </w:r>
    </w:p>
    <w:p w14:paraId="3EDF1D43" w14:textId="4753BF94" w:rsidR="00824C53" w:rsidRPr="00824C53" w:rsidRDefault="00824C53" w:rsidP="00B10D1C">
      <w:pPr>
        <w:spacing w:after="0" w:line="480" w:lineRule="auto"/>
        <w:ind w:left="709" w:hanging="709"/>
        <w:jc w:val="left"/>
        <w:rPr>
          <w:rFonts w:asciiTheme="minorHAnsi" w:hAnsiTheme="minorHAnsi" w:cs="Arial"/>
          <w:sz w:val="24"/>
          <w:szCs w:val="24"/>
        </w:rPr>
      </w:pPr>
      <w:r w:rsidRPr="00824C53">
        <w:rPr>
          <w:rFonts w:asciiTheme="minorHAnsi" w:hAnsiTheme="minorHAnsi" w:cs="Arial"/>
          <w:sz w:val="24"/>
          <w:szCs w:val="24"/>
        </w:rPr>
        <w:t xml:space="preserve">Douglas, K. S., Blanchard, A., &amp; Hendry, M. (2013). Violence risk assessment and management: Putting structured professional judgment into practice. In C. Logan &amp; L. Johnstone (Eds.), </w:t>
      </w:r>
      <w:r w:rsidRPr="00FA6DB3">
        <w:rPr>
          <w:rFonts w:asciiTheme="minorHAnsi" w:hAnsiTheme="minorHAnsi" w:cs="Arial"/>
          <w:i/>
          <w:sz w:val="24"/>
          <w:szCs w:val="24"/>
        </w:rPr>
        <w:t>Managing Clinical Risk: A Guide to Effective Practice</w:t>
      </w:r>
      <w:r w:rsidRPr="00824C53">
        <w:rPr>
          <w:rFonts w:asciiTheme="minorHAnsi" w:hAnsiTheme="minorHAnsi" w:cs="Arial"/>
          <w:sz w:val="24"/>
          <w:szCs w:val="24"/>
        </w:rPr>
        <w:t xml:space="preserve">. </w:t>
      </w:r>
      <w:r w:rsidR="00470785" w:rsidRPr="00470785">
        <w:rPr>
          <w:rFonts w:asciiTheme="minorHAnsi" w:hAnsiTheme="minorHAnsi" w:cs="Arial"/>
          <w:sz w:val="24"/>
          <w:szCs w:val="24"/>
        </w:rPr>
        <w:t>(pp. 29-55)</w:t>
      </w:r>
      <w:r w:rsidR="00470785">
        <w:rPr>
          <w:rFonts w:asciiTheme="minorHAnsi" w:hAnsiTheme="minorHAnsi" w:cs="Arial"/>
          <w:sz w:val="24"/>
          <w:szCs w:val="24"/>
        </w:rPr>
        <w:t xml:space="preserve">. </w:t>
      </w:r>
      <w:r w:rsidRPr="00824C53">
        <w:rPr>
          <w:rFonts w:asciiTheme="minorHAnsi" w:hAnsiTheme="minorHAnsi" w:cs="Arial"/>
          <w:sz w:val="24"/>
          <w:szCs w:val="24"/>
        </w:rPr>
        <w:t>London: Routledge</w:t>
      </w:r>
    </w:p>
    <w:p w14:paraId="10725D86" w14:textId="77777777" w:rsidR="00824C53" w:rsidRPr="00824C53" w:rsidRDefault="00824C53" w:rsidP="00B10D1C">
      <w:pPr>
        <w:spacing w:after="0" w:line="480" w:lineRule="auto"/>
        <w:ind w:left="709" w:hanging="709"/>
        <w:jc w:val="left"/>
        <w:rPr>
          <w:rFonts w:asciiTheme="minorHAnsi" w:hAnsiTheme="minorHAnsi" w:cs="Arial"/>
          <w:sz w:val="24"/>
          <w:szCs w:val="24"/>
        </w:rPr>
      </w:pPr>
      <w:r w:rsidRPr="00824C53">
        <w:rPr>
          <w:rFonts w:asciiTheme="minorHAnsi" w:hAnsiTheme="minorHAnsi" w:cs="Arial"/>
          <w:sz w:val="24"/>
          <w:szCs w:val="24"/>
        </w:rPr>
        <w:t xml:space="preserve">Douglas, K. S., Hart, S. D., Webster, C. D., Belfrage, H., Guy, L. S., &amp; Wilson, C. M. (2014). Historical-Clinical-Risk Management-20, Version 3 (HCR-20V3): Development and Overview. </w:t>
      </w:r>
      <w:r w:rsidRPr="00FA6DB3">
        <w:rPr>
          <w:rFonts w:asciiTheme="minorHAnsi" w:hAnsiTheme="minorHAnsi" w:cs="Arial"/>
          <w:i/>
          <w:sz w:val="24"/>
          <w:szCs w:val="24"/>
        </w:rPr>
        <w:t>International Journal of Forensic Mental Health, 13</w:t>
      </w:r>
      <w:r w:rsidR="00FA6DB3">
        <w:rPr>
          <w:rFonts w:asciiTheme="minorHAnsi" w:hAnsiTheme="minorHAnsi" w:cs="Arial"/>
          <w:sz w:val="24"/>
          <w:szCs w:val="24"/>
        </w:rPr>
        <w:t>(2),</w:t>
      </w:r>
      <w:r w:rsidRPr="00824C53">
        <w:rPr>
          <w:rFonts w:asciiTheme="minorHAnsi" w:hAnsiTheme="minorHAnsi" w:cs="Arial"/>
          <w:sz w:val="24"/>
          <w:szCs w:val="24"/>
        </w:rPr>
        <w:t xml:space="preserve"> 93-108. doi:10.1080/14999013.2014.906519</w:t>
      </w:r>
    </w:p>
    <w:p w14:paraId="0E7A8A6A" w14:textId="00C0CE2B" w:rsidR="00824C53" w:rsidRPr="001D7A90" w:rsidRDefault="00824C53" w:rsidP="00B10D1C">
      <w:pPr>
        <w:spacing w:after="0" w:line="480" w:lineRule="auto"/>
        <w:ind w:left="709" w:hanging="709"/>
        <w:jc w:val="left"/>
        <w:rPr>
          <w:rFonts w:asciiTheme="minorHAnsi" w:hAnsiTheme="minorHAnsi" w:cs="Arial"/>
          <w:sz w:val="24"/>
          <w:szCs w:val="24"/>
        </w:rPr>
      </w:pPr>
      <w:r w:rsidRPr="00824C53">
        <w:rPr>
          <w:rFonts w:asciiTheme="minorHAnsi" w:hAnsiTheme="minorHAnsi" w:cs="Arial"/>
          <w:sz w:val="24"/>
          <w:szCs w:val="24"/>
        </w:rPr>
        <w:t>Doyle, M. (2014). Predicting post-discharge community violence in England using the SAPR</w:t>
      </w:r>
      <w:r w:rsidR="00FA6DB3">
        <w:rPr>
          <w:rFonts w:asciiTheme="minorHAnsi" w:hAnsiTheme="minorHAnsi" w:cs="Arial"/>
          <w:sz w:val="24"/>
          <w:szCs w:val="24"/>
        </w:rPr>
        <w:t xml:space="preserve">OF. </w:t>
      </w:r>
      <w:r w:rsidR="00FA6DB3" w:rsidRPr="001D7A90">
        <w:rPr>
          <w:rFonts w:asciiTheme="minorHAnsi" w:hAnsiTheme="minorHAnsi" w:cs="Arial"/>
          <w:sz w:val="24"/>
          <w:szCs w:val="24"/>
        </w:rPr>
        <w:t xml:space="preserve">Paper presented at the </w:t>
      </w:r>
      <w:r w:rsidR="00FA6DB3" w:rsidRPr="001D7A90">
        <w:rPr>
          <w:rFonts w:asciiTheme="minorHAnsi" w:hAnsiTheme="minorHAnsi" w:cs="Arial"/>
          <w:i/>
          <w:sz w:val="24"/>
          <w:szCs w:val="24"/>
        </w:rPr>
        <w:t>14</w:t>
      </w:r>
      <w:r w:rsidR="00FA6DB3" w:rsidRPr="001D7A90">
        <w:rPr>
          <w:rFonts w:asciiTheme="minorHAnsi" w:hAnsiTheme="minorHAnsi" w:cs="Arial"/>
          <w:i/>
          <w:sz w:val="24"/>
          <w:szCs w:val="24"/>
          <w:vertAlign w:val="superscript"/>
        </w:rPr>
        <w:t>th</w:t>
      </w:r>
      <w:r w:rsidR="00FA6DB3" w:rsidRPr="001D7A90">
        <w:rPr>
          <w:rFonts w:asciiTheme="minorHAnsi" w:hAnsiTheme="minorHAnsi" w:cs="Arial"/>
          <w:i/>
          <w:sz w:val="24"/>
          <w:szCs w:val="24"/>
        </w:rPr>
        <w:t xml:space="preserve"> </w:t>
      </w:r>
      <w:r w:rsidRPr="001D7A90">
        <w:rPr>
          <w:rFonts w:asciiTheme="minorHAnsi" w:hAnsiTheme="minorHAnsi" w:cs="Arial"/>
          <w:i/>
          <w:sz w:val="24"/>
          <w:szCs w:val="24"/>
        </w:rPr>
        <w:t>Annual Meeting of the International Association of Forensic Mental Health Services</w:t>
      </w:r>
      <w:r w:rsidR="00FA6DB3" w:rsidRPr="001D7A90">
        <w:rPr>
          <w:rFonts w:asciiTheme="minorHAnsi" w:hAnsiTheme="minorHAnsi" w:cs="Arial"/>
          <w:sz w:val="24"/>
          <w:szCs w:val="24"/>
        </w:rPr>
        <w:t xml:space="preserve">, Toronto, </w:t>
      </w:r>
      <w:r w:rsidRPr="001D7A90">
        <w:rPr>
          <w:rFonts w:asciiTheme="minorHAnsi" w:hAnsiTheme="minorHAnsi" w:cs="Arial"/>
          <w:sz w:val="24"/>
          <w:szCs w:val="24"/>
        </w:rPr>
        <w:t>Canada</w:t>
      </w:r>
      <w:r w:rsidR="00470785">
        <w:t xml:space="preserve">, </w:t>
      </w:r>
      <w:r w:rsidR="00470785" w:rsidRPr="00470785">
        <w:rPr>
          <w:rFonts w:asciiTheme="minorHAnsi" w:hAnsiTheme="minorHAnsi" w:cs="Arial"/>
          <w:sz w:val="24"/>
          <w:szCs w:val="24"/>
        </w:rPr>
        <w:t>22nd June 2014</w:t>
      </w:r>
    </w:p>
    <w:p w14:paraId="0E1CC8D9" w14:textId="77777777" w:rsidR="001D7A90" w:rsidRPr="002117CA" w:rsidRDefault="001D7A90" w:rsidP="00B10D1C">
      <w:pPr>
        <w:spacing w:after="0" w:line="480" w:lineRule="auto"/>
        <w:ind w:left="709" w:hanging="709"/>
        <w:jc w:val="left"/>
        <w:rPr>
          <w:rFonts w:asciiTheme="minorHAnsi" w:hAnsiTheme="minorHAnsi" w:cs="Arial"/>
          <w:sz w:val="24"/>
          <w:szCs w:val="24"/>
        </w:rPr>
      </w:pPr>
      <w:bookmarkStart w:id="0" w:name="_ENREF_12"/>
      <w:r w:rsidRPr="002117CA">
        <w:rPr>
          <w:rFonts w:asciiTheme="minorHAnsi" w:hAnsiTheme="minorHAnsi" w:cs="Times New Roman"/>
          <w:sz w:val="24"/>
          <w:szCs w:val="24"/>
        </w:rPr>
        <w:t xml:space="preserve">Fleiss, J., Levin, B., &amp; Cho Paik, M. (2004). </w:t>
      </w:r>
      <w:r w:rsidRPr="002117CA">
        <w:rPr>
          <w:rFonts w:asciiTheme="minorHAnsi" w:hAnsiTheme="minorHAnsi" w:cs="Times New Roman"/>
          <w:i/>
          <w:sz w:val="24"/>
          <w:szCs w:val="24"/>
        </w:rPr>
        <w:t>Statistical Methods for Rates and Proportions</w:t>
      </w:r>
      <w:r w:rsidRPr="002117CA">
        <w:rPr>
          <w:rFonts w:asciiTheme="minorHAnsi" w:hAnsiTheme="minorHAnsi" w:cs="Times New Roman"/>
          <w:sz w:val="24"/>
          <w:szCs w:val="24"/>
        </w:rPr>
        <w:t>. Hoboken, New Jersey: Wiley</w:t>
      </w:r>
      <w:bookmarkEnd w:id="0"/>
    </w:p>
    <w:p w14:paraId="0151D320" w14:textId="77777777" w:rsidR="00824C53" w:rsidRPr="00824C53" w:rsidRDefault="00824C53" w:rsidP="00B10D1C">
      <w:pPr>
        <w:spacing w:after="0" w:line="480" w:lineRule="auto"/>
        <w:ind w:left="709" w:hanging="709"/>
        <w:jc w:val="left"/>
        <w:rPr>
          <w:rFonts w:asciiTheme="minorHAnsi" w:hAnsiTheme="minorHAnsi" w:cs="Arial"/>
          <w:sz w:val="24"/>
          <w:szCs w:val="24"/>
        </w:rPr>
      </w:pPr>
      <w:r w:rsidRPr="001D7A90">
        <w:rPr>
          <w:rFonts w:asciiTheme="minorHAnsi" w:hAnsiTheme="minorHAnsi" w:cs="Arial"/>
          <w:sz w:val="24"/>
          <w:szCs w:val="24"/>
        </w:rPr>
        <w:t>Gray, N. S., Taylor, J., &amp; Snowden</w:t>
      </w:r>
      <w:r w:rsidRPr="00824C53">
        <w:rPr>
          <w:rFonts w:asciiTheme="minorHAnsi" w:hAnsiTheme="minorHAnsi" w:cs="Arial"/>
          <w:sz w:val="24"/>
          <w:szCs w:val="24"/>
        </w:rPr>
        <w:t xml:space="preserve">, R. J. (2008). Predicting violent reconvictions using the HCR–20. </w:t>
      </w:r>
      <w:r w:rsidRPr="00FA6DB3">
        <w:rPr>
          <w:rFonts w:asciiTheme="minorHAnsi" w:hAnsiTheme="minorHAnsi" w:cs="Arial"/>
          <w:i/>
          <w:sz w:val="24"/>
          <w:szCs w:val="24"/>
        </w:rPr>
        <w:t>The British Journal of Psychiatry, 192</w:t>
      </w:r>
      <w:r w:rsidR="00FA6DB3">
        <w:rPr>
          <w:rFonts w:asciiTheme="minorHAnsi" w:hAnsiTheme="minorHAnsi" w:cs="Arial"/>
          <w:sz w:val="24"/>
          <w:szCs w:val="24"/>
        </w:rPr>
        <w:t xml:space="preserve">(5), </w:t>
      </w:r>
      <w:r w:rsidRPr="00824C53">
        <w:rPr>
          <w:rFonts w:asciiTheme="minorHAnsi" w:hAnsiTheme="minorHAnsi" w:cs="Arial"/>
          <w:sz w:val="24"/>
          <w:szCs w:val="24"/>
        </w:rPr>
        <w:t>384-387. doi:10.1192/bjp.bp.107.044065</w:t>
      </w:r>
    </w:p>
    <w:p w14:paraId="3B1D1F22" w14:textId="77777777" w:rsidR="00824C53" w:rsidRPr="00824C53" w:rsidRDefault="00824C53" w:rsidP="00B10D1C">
      <w:pPr>
        <w:spacing w:after="0" w:line="480" w:lineRule="auto"/>
        <w:ind w:left="709" w:hanging="709"/>
        <w:jc w:val="left"/>
        <w:rPr>
          <w:rFonts w:asciiTheme="minorHAnsi" w:hAnsiTheme="minorHAnsi" w:cs="Arial"/>
          <w:sz w:val="24"/>
          <w:szCs w:val="24"/>
        </w:rPr>
      </w:pPr>
      <w:r w:rsidRPr="00824C53">
        <w:rPr>
          <w:rFonts w:asciiTheme="minorHAnsi" w:hAnsiTheme="minorHAnsi" w:cs="Arial"/>
          <w:sz w:val="24"/>
          <w:szCs w:val="24"/>
        </w:rPr>
        <w:t xml:space="preserve">Hart, S. D., Cox, D., &amp; Hare, R. (1995). </w:t>
      </w:r>
      <w:r w:rsidRPr="006F013F">
        <w:rPr>
          <w:rFonts w:asciiTheme="minorHAnsi" w:hAnsiTheme="minorHAnsi" w:cs="Arial"/>
          <w:i/>
          <w:sz w:val="24"/>
          <w:szCs w:val="24"/>
        </w:rPr>
        <w:t>Manual for the Psychopathy Checklist: Screening Version (PCL:SV)</w:t>
      </w:r>
      <w:r w:rsidRPr="00824C53">
        <w:rPr>
          <w:rFonts w:asciiTheme="minorHAnsi" w:hAnsiTheme="minorHAnsi" w:cs="Arial"/>
          <w:sz w:val="24"/>
          <w:szCs w:val="24"/>
        </w:rPr>
        <w:t>. Toronto, Canada: Multi-Health Systems</w:t>
      </w:r>
    </w:p>
    <w:p w14:paraId="67403125" w14:textId="5B0FEB06" w:rsidR="00824C53" w:rsidRDefault="00824C53" w:rsidP="00B10D1C">
      <w:pPr>
        <w:spacing w:after="0" w:line="480" w:lineRule="auto"/>
        <w:ind w:left="709" w:hanging="709"/>
        <w:jc w:val="left"/>
        <w:rPr>
          <w:rFonts w:asciiTheme="minorHAnsi" w:hAnsiTheme="minorHAnsi" w:cs="Arial"/>
          <w:sz w:val="24"/>
          <w:szCs w:val="24"/>
        </w:rPr>
      </w:pPr>
      <w:r w:rsidRPr="00824C53">
        <w:rPr>
          <w:rFonts w:asciiTheme="minorHAnsi" w:hAnsiTheme="minorHAnsi" w:cs="Arial"/>
          <w:sz w:val="24"/>
          <w:szCs w:val="24"/>
        </w:rPr>
        <w:lastRenderedPageBreak/>
        <w:t xml:space="preserve">Klassen, D., &amp; O'Connor, W.A. (1988). A Prospective Study of Predictors Violence in Adult Male Mental Health Admissions. </w:t>
      </w:r>
      <w:r w:rsidRPr="006F013F">
        <w:rPr>
          <w:rFonts w:asciiTheme="minorHAnsi" w:hAnsiTheme="minorHAnsi" w:cs="Arial"/>
          <w:i/>
          <w:sz w:val="24"/>
          <w:szCs w:val="24"/>
        </w:rPr>
        <w:t>Law and Human Behavior, 12</w:t>
      </w:r>
      <w:r w:rsidR="006F013F">
        <w:rPr>
          <w:rFonts w:asciiTheme="minorHAnsi" w:hAnsiTheme="minorHAnsi" w:cs="Arial"/>
          <w:sz w:val="24"/>
          <w:szCs w:val="24"/>
        </w:rPr>
        <w:t xml:space="preserve">(2), </w:t>
      </w:r>
      <w:r w:rsidRPr="00824C53">
        <w:rPr>
          <w:rFonts w:asciiTheme="minorHAnsi" w:hAnsiTheme="minorHAnsi" w:cs="Arial"/>
          <w:sz w:val="24"/>
          <w:szCs w:val="24"/>
        </w:rPr>
        <w:t>143-158</w:t>
      </w:r>
    </w:p>
    <w:p w14:paraId="0CB82817" w14:textId="0F343B98" w:rsidR="00CE4BAE" w:rsidRPr="002117CA" w:rsidRDefault="00CE4BAE" w:rsidP="00B10D1C">
      <w:pPr>
        <w:spacing w:after="0" w:line="480" w:lineRule="auto"/>
        <w:ind w:left="709" w:hanging="709"/>
        <w:jc w:val="left"/>
        <w:rPr>
          <w:rFonts w:asciiTheme="minorHAnsi" w:hAnsiTheme="minorHAnsi" w:cs="Arial"/>
          <w:sz w:val="24"/>
          <w:szCs w:val="24"/>
        </w:rPr>
      </w:pPr>
      <w:r w:rsidRPr="002117CA">
        <w:rPr>
          <w:rFonts w:asciiTheme="minorHAnsi" w:hAnsiTheme="minorHAnsi" w:cs="Arial"/>
          <w:sz w:val="24"/>
          <w:szCs w:val="24"/>
        </w:rPr>
        <w:t xml:space="preserve">Langan, J., &amp; Lindow, V. (2004). </w:t>
      </w:r>
      <w:r w:rsidRPr="002117CA">
        <w:rPr>
          <w:rFonts w:asciiTheme="minorHAnsi" w:hAnsiTheme="minorHAnsi" w:cs="Arial"/>
          <w:i/>
          <w:sz w:val="24"/>
          <w:szCs w:val="24"/>
        </w:rPr>
        <w:t>Living with risk: Mental Health Service User Involvement in Risk Assessment and Management</w:t>
      </w:r>
      <w:r w:rsidRPr="002117CA">
        <w:rPr>
          <w:rFonts w:asciiTheme="minorHAnsi" w:hAnsiTheme="minorHAnsi" w:cs="Arial"/>
          <w:sz w:val="24"/>
          <w:szCs w:val="24"/>
        </w:rPr>
        <w:t>. Bristol: Policy Press</w:t>
      </w:r>
    </w:p>
    <w:p w14:paraId="24AA3CEC" w14:textId="53968DC4" w:rsidR="00824C53" w:rsidRDefault="00824C53" w:rsidP="00B10D1C">
      <w:pPr>
        <w:spacing w:after="0" w:line="480" w:lineRule="auto"/>
        <w:ind w:left="709" w:hanging="709"/>
        <w:jc w:val="left"/>
        <w:rPr>
          <w:rFonts w:asciiTheme="minorHAnsi" w:hAnsiTheme="minorHAnsi" w:cs="Arial"/>
          <w:sz w:val="24"/>
          <w:szCs w:val="24"/>
        </w:rPr>
      </w:pPr>
      <w:r w:rsidRPr="00824C53">
        <w:rPr>
          <w:rFonts w:asciiTheme="minorHAnsi" w:hAnsiTheme="minorHAnsi" w:cs="Arial"/>
          <w:sz w:val="24"/>
          <w:szCs w:val="24"/>
        </w:rPr>
        <w:t xml:space="preserve">Lodewijks, H. P. B., Doreleijers, T. A. H., de Ruiter, C., &amp; Borum, R. (2008). Predictive validity of the Structured Assessment of Violence Risk in Youth (SAVRY) during residential treatment. </w:t>
      </w:r>
      <w:r w:rsidRPr="000F153B">
        <w:rPr>
          <w:rFonts w:asciiTheme="minorHAnsi" w:hAnsiTheme="minorHAnsi" w:cs="Arial"/>
          <w:i/>
          <w:sz w:val="24"/>
          <w:szCs w:val="24"/>
        </w:rPr>
        <w:t>International Journal Of Law And Psychiatry, 31</w:t>
      </w:r>
      <w:r w:rsidR="000F153B">
        <w:rPr>
          <w:rFonts w:asciiTheme="minorHAnsi" w:hAnsiTheme="minorHAnsi" w:cs="Arial"/>
          <w:sz w:val="24"/>
          <w:szCs w:val="24"/>
        </w:rPr>
        <w:t>(3),</w:t>
      </w:r>
      <w:r w:rsidRPr="00824C53">
        <w:rPr>
          <w:rFonts w:asciiTheme="minorHAnsi" w:hAnsiTheme="minorHAnsi" w:cs="Arial"/>
          <w:sz w:val="24"/>
          <w:szCs w:val="24"/>
        </w:rPr>
        <w:t xml:space="preserve"> 263-271. doi:http://dx.doi.org/10.1016/j.ijlp.2008.04.009</w:t>
      </w:r>
    </w:p>
    <w:p w14:paraId="51C98AC5" w14:textId="2704F43D" w:rsidR="00AF660A" w:rsidRPr="002117CA" w:rsidRDefault="00AF660A" w:rsidP="00B10D1C">
      <w:pPr>
        <w:spacing w:after="0" w:line="480" w:lineRule="auto"/>
        <w:ind w:left="709" w:hanging="709"/>
        <w:jc w:val="left"/>
        <w:rPr>
          <w:rFonts w:asciiTheme="minorHAnsi" w:hAnsiTheme="minorHAnsi" w:cs="Arial"/>
          <w:sz w:val="24"/>
          <w:szCs w:val="24"/>
        </w:rPr>
      </w:pPr>
      <w:r w:rsidRPr="002117CA">
        <w:rPr>
          <w:rFonts w:asciiTheme="minorHAnsi" w:hAnsiTheme="minorHAnsi" w:cs="Arial"/>
          <w:sz w:val="24"/>
          <w:szCs w:val="24"/>
        </w:rPr>
        <w:t>Logan, C. (2003). Ethical issues in risk a</w:t>
      </w:r>
      <w:r w:rsidR="00CE4BAE" w:rsidRPr="002117CA">
        <w:rPr>
          <w:rFonts w:asciiTheme="minorHAnsi" w:hAnsiTheme="minorHAnsi" w:cs="Arial"/>
          <w:sz w:val="24"/>
          <w:szCs w:val="24"/>
        </w:rPr>
        <w:t>ssessment practice and research. I</w:t>
      </w:r>
      <w:r w:rsidRPr="002117CA">
        <w:rPr>
          <w:rFonts w:asciiTheme="minorHAnsi" w:hAnsiTheme="minorHAnsi" w:cs="Arial"/>
          <w:sz w:val="24"/>
          <w:szCs w:val="24"/>
        </w:rPr>
        <w:t xml:space="preserve">n G. Adshead </w:t>
      </w:r>
      <w:r w:rsidR="00CE4BAE" w:rsidRPr="002117CA">
        <w:rPr>
          <w:rFonts w:asciiTheme="minorHAnsi" w:hAnsiTheme="minorHAnsi" w:cs="Arial"/>
          <w:sz w:val="24"/>
          <w:szCs w:val="24"/>
        </w:rPr>
        <w:t>&amp; C. Brown (E</w:t>
      </w:r>
      <w:r w:rsidRPr="002117CA">
        <w:rPr>
          <w:rFonts w:asciiTheme="minorHAnsi" w:hAnsiTheme="minorHAnsi" w:cs="Arial"/>
          <w:sz w:val="24"/>
          <w:szCs w:val="24"/>
        </w:rPr>
        <w:t>ds</w:t>
      </w:r>
      <w:r w:rsidR="00CE4BAE" w:rsidRPr="002117CA">
        <w:rPr>
          <w:rFonts w:asciiTheme="minorHAnsi" w:hAnsiTheme="minorHAnsi" w:cs="Arial"/>
          <w:sz w:val="24"/>
          <w:szCs w:val="24"/>
        </w:rPr>
        <w:t>.)</w:t>
      </w:r>
      <w:r w:rsidRPr="002117CA">
        <w:rPr>
          <w:rFonts w:asciiTheme="minorHAnsi" w:hAnsiTheme="minorHAnsi" w:cs="Arial"/>
          <w:sz w:val="24"/>
          <w:szCs w:val="24"/>
        </w:rPr>
        <w:t xml:space="preserve"> </w:t>
      </w:r>
      <w:r w:rsidRPr="002117CA">
        <w:rPr>
          <w:rFonts w:asciiTheme="minorHAnsi" w:hAnsiTheme="minorHAnsi" w:cs="Arial"/>
          <w:i/>
          <w:sz w:val="24"/>
          <w:szCs w:val="24"/>
        </w:rPr>
        <w:t>Ethical Issues in Forensic Research</w:t>
      </w:r>
      <w:r w:rsidRPr="002117CA">
        <w:rPr>
          <w:rFonts w:asciiTheme="minorHAnsi" w:hAnsiTheme="minorHAnsi" w:cs="Arial"/>
          <w:sz w:val="24"/>
          <w:szCs w:val="24"/>
        </w:rPr>
        <w:t xml:space="preserve">. </w:t>
      </w:r>
      <w:r w:rsidR="00470785">
        <w:rPr>
          <w:rFonts w:asciiTheme="minorHAnsi" w:hAnsiTheme="minorHAnsi" w:cs="Arial"/>
          <w:sz w:val="24"/>
          <w:szCs w:val="24"/>
        </w:rPr>
        <w:t xml:space="preserve">p. </w:t>
      </w:r>
      <w:bookmarkStart w:id="1" w:name="_GoBack"/>
      <w:bookmarkEnd w:id="1"/>
      <w:r w:rsidR="00470785">
        <w:rPr>
          <w:rFonts w:asciiTheme="minorHAnsi" w:hAnsiTheme="minorHAnsi" w:cs="Arial"/>
          <w:sz w:val="24"/>
          <w:szCs w:val="24"/>
        </w:rPr>
        <w:t xml:space="preserve">70. </w:t>
      </w:r>
      <w:r w:rsidRPr="002117CA">
        <w:rPr>
          <w:rFonts w:asciiTheme="minorHAnsi" w:hAnsiTheme="minorHAnsi" w:cs="Arial"/>
          <w:sz w:val="24"/>
          <w:szCs w:val="24"/>
        </w:rPr>
        <w:t>London: Jessica Kingsley</w:t>
      </w:r>
    </w:p>
    <w:p w14:paraId="31EFF377" w14:textId="77777777" w:rsidR="00824C53" w:rsidRPr="00824C53" w:rsidRDefault="00824C53" w:rsidP="00B10D1C">
      <w:pPr>
        <w:spacing w:after="0" w:line="480" w:lineRule="auto"/>
        <w:ind w:left="709" w:hanging="709"/>
        <w:jc w:val="left"/>
        <w:rPr>
          <w:rFonts w:asciiTheme="minorHAnsi" w:hAnsiTheme="minorHAnsi" w:cs="Arial"/>
          <w:sz w:val="24"/>
          <w:szCs w:val="24"/>
        </w:rPr>
      </w:pPr>
      <w:r w:rsidRPr="00824C53">
        <w:rPr>
          <w:rFonts w:asciiTheme="minorHAnsi" w:hAnsiTheme="minorHAnsi" w:cs="Arial"/>
          <w:sz w:val="24"/>
          <w:szCs w:val="24"/>
        </w:rPr>
        <w:t xml:space="preserve">Miller, H. A. (2006). A dynamic assessment of offender risk, needs, and strengths in a sample of pre-release general offenders. </w:t>
      </w:r>
      <w:r w:rsidRPr="000F153B">
        <w:rPr>
          <w:rFonts w:asciiTheme="minorHAnsi" w:hAnsiTheme="minorHAnsi" w:cs="Arial"/>
          <w:i/>
          <w:sz w:val="24"/>
          <w:szCs w:val="24"/>
        </w:rPr>
        <w:t>Behavioral Sciences &amp; The Law, 24</w:t>
      </w:r>
      <w:r w:rsidR="000F153B">
        <w:rPr>
          <w:rFonts w:asciiTheme="minorHAnsi" w:hAnsiTheme="minorHAnsi" w:cs="Arial"/>
          <w:sz w:val="24"/>
          <w:szCs w:val="24"/>
        </w:rPr>
        <w:t>(6),</w:t>
      </w:r>
      <w:r w:rsidRPr="00824C53">
        <w:rPr>
          <w:rFonts w:asciiTheme="minorHAnsi" w:hAnsiTheme="minorHAnsi" w:cs="Arial"/>
          <w:sz w:val="24"/>
          <w:szCs w:val="24"/>
        </w:rPr>
        <w:t xml:space="preserve"> 767-782. doi:10.1002/bsl.728</w:t>
      </w:r>
    </w:p>
    <w:p w14:paraId="5D5BEBE1" w14:textId="77777777" w:rsidR="00824C53" w:rsidRPr="00824C53" w:rsidRDefault="00824C53" w:rsidP="00B10D1C">
      <w:pPr>
        <w:spacing w:after="0" w:line="480" w:lineRule="auto"/>
        <w:ind w:left="709" w:hanging="709"/>
        <w:jc w:val="left"/>
        <w:rPr>
          <w:rFonts w:asciiTheme="minorHAnsi" w:hAnsiTheme="minorHAnsi" w:cs="Arial"/>
          <w:sz w:val="24"/>
          <w:szCs w:val="24"/>
        </w:rPr>
      </w:pPr>
      <w:r w:rsidRPr="00824C53">
        <w:rPr>
          <w:rFonts w:asciiTheme="minorHAnsi" w:hAnsiTheme="minorHAnsi" w:cs="Arial"/>
          <w:sz w:val="24"/>
          <w:szCs w:val="24"/>
        </w:rPr>
        <w:t>Nathan</w:t>
      </w:r>
      <w:r w:rsidR="000F153B">
        <w:rPr>
          <w:rFonts w:asciiTheme="minorHAnsi" w:hAnsiTheme="minorHAnsi" w:cs="Arial"/>
          <w:sz w:val="24"/>
          <w:szCs w:val="24"/>
        </w:rPr>
        <w:t>, R., Rollinson, L., Harvey, K., &amp; Hill, J. (2003).</w:t>
      </w:r>
      <w:r w:rsidRPr="00824C53">
        <w:rPr>
          <w:rFonts w:asciiTheme="minorHAnsi" w:hAnsiTheme="minorHAnsi" w:cs="Arial"/>
          <w:sz w:val="24"/>
          <w:szCs w:val="24"/>
        </w:rPr>
        <w:t xml:space="preserve"> The Liverpool Violence Assessment: an investigator-based measure of serious violence. </w:t>
      </w:r>
      <w:r w:rsidRPr="000F153B">
        <w:rPr>
          <w:rFonts w:asciiTheme="minorHAnsi" w:hAnsiTheme="minorHAnsi" w:cs="Arial"/>
          <w:i/>
          <w:sz w:val="24"/>
          <w:szCs w:val="24"/>
        </w:rPr>
        <w:t>Criminal Behav. Ment. Health, 13</w:t>
      </w:r>
      <w:r w:rsidR="000F153B">
        <w:rPr>
          <w:rFonts w:asciiTheme="minorHAnsi" w:hAnsiTheme="minorHAnsi" w:cs="Arial"/>
          <w:sz w:val="24"/>
          <w:szCs w:val="24"/>
        </w:rPr>
        <w:t>,</w:t>
      </w:r>
      <w:r w:rsidRPr="00824C53">
        <w:rPr>
          <w:rFonts w:asciiTheme="minorHAnsi" w:hAnsiTheme="minorHAnsi" w:cs="Arial"/>
          <w:sz w:val="24"/>
          <w:szCs w:val="24"/>
        </w:rPr>
        <w:t xml:space="preserve"> 106–120. doi:10.1002/cbm.534</w:t>
      </w:r>
    </w:p>
    <w:p w14:paraId="2A74F3CD" w14:textId="77777777" w:rsidR="00824C53" w:rsidRPr="00824C53" w:rsidRDefault="00824C53" w:rsidP="00B10D1C">
      <w:pPr>
        <w:spacing w:after="0" w:line="480" w:lineRule="auto"/>
        <w:ind w:left="709" w:hanging="709"/>
        <w:jc w:val="left"/>
        <w:rPr>
          <w:rFonts w:asciiTheme="minorHAnsi" w:hAnsiTheme="minorHAnsi" w:cs="Arial"/>
          <w:sz w:val="24"/>
          <w:szCs w:val="24"/>
        </w:rPr>
      </w:pPr>
      <w:r w:rsidRPr="00824C53">
        <w:rPr>
          <w:rFonts w:asciiTheme="minorHAnsi" w:hAnsiTheme="minorHAnsi" w:cs="Arial"/>
          <w:sz w:val="24"/>
          <w:szCs w:val="24"/>
        </w:rPr>
        <w:t xml:space="preserve">O'Shea, L., &amp; Dickens, G. (2015). Contribution of Protective Factors Assessment to Risk Prediction: Systematic Review and Meta-analysis. </w:t>
      </w:r>
      <w:r w:rsidRPr="000F153B">
        <w:rPr>
          <w:rFonts w:asciiTheme="minorHAnsi" w:hAnsiTheme="minorHAnsi" w:cs="Arial"/>
          <w:i/>
          <w:sz w:val="24"/>
          <w:szCs w:val="24"/>
        </w:rPr>
        <w:t>European Psychiatry, 30</w:t>
      </w:r>
      <w:r w:rsidR="000F153B">
        <w:rPr>
          <w:rFonts w:asciiTheme="minorHAnsi" w:hAnsiTheme="minorHAnsi" w:cs="Arial"/>
          <w:sz w:val="24"/>
          <w:szCs w:val="24"/>
        </w:rPr>
        <w:t>, Supplement 1,</w:t>
      </w:r>
      <w:r w:rsidRPr="00824C53">
        <w:rPr>
          <w:rFonts w:asciiTheme="minorHAnsi" w:hAnsiTheme="minorHAnsi" w:cs="Arial"/>
          <w:sz w:val="24"/>
          <w:szCs w:val="24"/>
        </w:rPr>
        <w:t xml:space="preserve"> 211. doi:10.1016/S0924-9338(15)30171-1</w:t>
      </w:r>
    </w:p>
    <w:p w14:paraId="63B9C9E0" w14:textId="77777777" w:rsidR="00824C53" w:rsidRPr="00824C53" w:rsidRDefault="00824C53" w:rsidP="00B10D1C">
      <w:pPr>
        <w:spacing w:after="0" w:line="480" w:lineRule="auto"/>
        <w:ind w:left="709" w:hanging="709"/>
        <w:jc w:val="left"/>
        <w:rPr>
          <w:rFonts w:asciiTheme="minorHAnsi" w:hAnsiTheme="minorHAnsi" w:cs="Arial"/>
          <w:sz w:val="24"/>
          <w:szCs w:val="24"/>
        </w:rPr>
      </w:pPr>
      <w:r w:rsidRPr="00824C53">
        <w:rPr>
          <w:rFonts w:asciiTheme="minorHAnsi" w:hAnsiTheme="minorHAnsi" w:cs="Arial"/>
          <w:sz w:val="24"/>
          <w:szCs w:val="24"/>
        </w:rPr>
        <w:t xml:space="preserve">Pedersen, L., Ramussen, K., &amp; Elsass, P. (2012). HCR-20 violence risk assessments as a guide for treating and managing violence risk in a forensic psychiatric setting. </w:t>
      </w:r>
      <w:r w:rsidRPr="000F153B">
        <w:rPr>
          <w:rFonts w:asciiTheme="minorHAnsi" w:hAnsiTheme="minorHAnsi" w:cs="Arial"/>
          <w:i/>
          <w:sz w:val="24"/>
          <w:szCs w:val="24"/>
        </w:rPr>
        <w:t>Psychology, Crime &amp; Law, 18</w:t>
      </w:r>
      <w:r w:rsidR="000F153B">
        <w:rPr>
          <w:rFonts w:asciiTheme="minorHAnsi" w:hAnsiTheme="minorHAnsi" w:cs="Arial"/>
          <w:sz w:val="24"/>
          <w:szCs w:val="24"/>
        </w:rPr>
        <w:t>,</w:t>
      </w:r>
      <w:r w:rsidRPr="00824C53">
        <w:rPr>
          <w:rFonts w:asciiTheme="minorHAnsi" w:hAnsiTheme="minorHAnsi" w:cs="Arial"/>
          <w:sz w:val="24"/>
          <w:szCs w:val="24"/>
        </w:rPr>
        <w:t xml:space="preserve"> 733-743</w:t>
      </w:r>
    </w:p>
    <w:p w14:paraId="69827E60" w14:textId="77777777" w:rsidR="00824C53" w:rsidRPr="00824C53" w:rsidRDefault="00824C53" w:rsidP="00B10D1C">
      <w:pPr>
        <w:spacing w:after="0" w:line="480" w:lineRule="auto"/>
        <w:ind w:left="709" w:hanging="709"/>
        <w:jc w:val="left"/>
        <w:rPr>
          <w:rFonts w:asciiTheme="minorHAnsi" w:hAnsiTheme="minorHAnsi" w:cs="Arial"/>
          <w:sz w:val="24"/>
          <w:szCs w:val="24"/>
        </w:rPr>
      </w:pPr>
      <w:r w:rsidRPr="00824C53">
        <w:rPr>
          <w:rFonts w:asciiTheme="minorHAnsi" w:hAnsiTheme="minorHAnsi" w:cs="Arial"/>
          <w:sz w:val="24"/>
          <w:szCs w:val="24"/>
        </w:rPr>
        <w:t xml:space="preserve">Persson, M., Belfrage, H., Fredriksson, B., &amp; Kristiansson M. (2017). Violence During Imprisonment, Forensic Psychiatric Care, and Probation: Correlations and Predictive Validity of the Risk </w:t>
      </w:r>
      <w:r w:rsidRPr="00824C53">
        <w:rPr>
          <w:rFonts w:asciiTheme="minorHAnsi" w:hAnsiTheme="minorHAnsi" w:cs="Arial"/>
          <w:sz w:val="24"/>
          <w:szCs w:val="24"/>
        </w:rPr>
        <w:lastRenderedPageBreak/>
        <w:t xml:space="preserve">Assessment Instruments COVR, LSI-R, HCR-20V3, and SAPROF. </w:t>
      </w:r>
      <w:r w:rsidRPr="00702F5C">
        <w:rPr>
          <w:rFonts w:asciiTheme="minorHAnsi" w:hAnsiTheme="minorHAnsi" w:cs="Arial"/>
          <w:i/>
          <w:sz w:val="24"/>
          <w:szCs w:val="24"/>
        </w:rPr>
        <w:t>International Journal of Forensic Mental Health</w:t>
      </w:r>
      <w:r w:rsidRPr="00824C53">
        <w:rPr>
          <w:rFonts w:asciiTheme="minorHAnsi" w:hAnsiTheme="minorHAnsi" w:cs="Arial"/>
          <w:sz w:val="24"/>
          <w:szCs w:val="24"/>
        </w:rPr>
        <w:t>, 1-13. doi:10.1080/14999013.2016.1266420</w:t>
      </w:r>
    </w:p>
    <w:p w14:paraId="4E370736" w14:textId="77777777" w:rsidR="00824C53" w:rsidRPr="00824C53" w:rsidRDefault="00824C53" w:rsidP="00B10D1C">
      <w:pPr>
        <w:spacing w:after="0" w:line="480" w:lineRule="auto"/>
        <w:ind w:left="709" w:hanging="709"/>
        <w:jc w:val="left"/>
        <w:rPr>
          <w:rFonts w:asciiTheme="minorHAnsi" w:hAnsiTheme="minorHAnsi" w:cs="Arial"/>
          <w:sz w:val="24"/>
          <w:szCs w:val="24"/>
        </w:rPr>
      </w:pPr>
      <w:r w:rsidRPr="00824C53">
        <w:rPr>
          <w:rFonts w:asciiTheme="minorHAnsi" w:hAnsiTheme="minorHAnsi" w:cs="Arial"/>
          <w:sz w:val="24"/>
          <w:szCs w:val="24"/>
        </w:rPr>
        <w:t xml:space="preserve">Quinsey, V. L., Jones, G. B., Book, A. S., &amp; Barr, K. N. (2006). The Dynamic Prediction of Antisocial Behavior Among Forensic Psychiatric Patients: A Prospective Field Study. </w:t>
      </w:r>
      <w:r w:rsidRPr="00702F5C">
        <w:rPr>
          <w:rFonts w:asciiTheme="minorHAnsi" w:hAnsiTheme="minorHAnsi" w:cs="Arial"/>
          <w:i/>
          <w:sz w:val="24"/>
          <w:szCs w:val="24"/>
        </w:rPr>
        <w:t>Journal of Interpersonal Violence, 21</w:t>
      </w:r>
      <w:r w:rsidR="00702F5C">
        <w:rPr>
          <w:rFonts w:asciiTheme="minorHAnsi" w:hAnsiTheme="minorHAnsi" w:cs="Arial"/>
          <w:sz w:val="24"/>
          <w:szCs w:val="24"/>
        </w:rPr>
        <w:t>(12),</w:t>
      </w:r>
      <w:r w:rsidRPr="00824C53">
        <w:rPr>
          <w:rFonts w:asciiTheme="minorHAnsi" w:hAnsiTheme="minorHAnsi" w:cs="Arial"/>
          <w:sz w:val="24"/>
          <w:szCs w:val="24"/>
        </w:rPr>
        <w:t xml:space="preserve"> 1539-1565. doi:10.1177/0886260506294238</w:t>
      </w:r>
    </w:p>
    <w:p w14:paraId="301C7065" w14:textId="77777777" w:rsidR="00824C53" w:rsidRPr="00824C53" w:rsidRDefault="00824C53" w:rsidP="00B10D1C">
      <w:pPr>
        <w:spacing w:after="0" w:line="480" w:lineRule="auto"/>
        <w:ind w:left="709" w:hanging="709"/>
        <w:jc w:val="left"/>
        <w:rPr>
          <w:rFonts w:asciiTheme="minorHAnsi" w:hAnsiTheme="minorHAnsi" w:cs="Arial"/>
          <w:sz w:val="24"/>
          <w:szCs w:val="24"/>
        </w:rPr>
      </w:pPr>
      <w:r w:rsidRPr="00824C53">
        <w:rPr>
          <w:rFonts w:asciiTheme="minorHAnsi" w:hAnsiTheme="minorHAnsi" w:cs="Arial"/>
          <w:sz w:val="24"/>
          <w:szCs w:val="24"/>
        </w:rPr>
        <w:t xml:space="preserve">Resnick, M. D., Ireland, M., &amp; Borowsky, I. (2004). Youth violence perpetration: What protects? What predicts? Findings from the National Longitudinal Study of Adolescent Health. </w:t>
      </w:r>
      <w:r w:rsidRPr="00440CDD">
        <w:rPr>
          <w:rFonts w:asciiTheme="minorHAnsi" w:hAnsiTheme="minorHAnsi" w:cs="Arial"/>
          <w:i/>
          <w:sz w:val="24"/>
          <w:szCs w:val="24"/>
        </w:rPr>
        <w:t>Journal of Adolescent Health, 35</w:t>
      </w:r>
      <w:r w:rsidRPr="00824C53">
        <w:rPr>
          <w:rFonts w:asciiTheme="minorHAnsi" w:hAnsiTheme="minorHAnsi" w:cs="Arial"/>
          <w:sz w:val="24"/>
          <w:szCs w:val="24"/>
        </w:rPr>
        <w:t>(5), 424.e421-424.e410. doi:10.1016/j.jadohealth.2004.01.011</w:t>
      </w:r>
    </w:p>
    <w:p w14:paraId="4E109AFF" w14:textId="77777777" w:rsidR="00824C53" w:rsidRPr="00824C53" w:rsidRDefault="00824C53" w:rsidP="00B10D1C">
      <w:pPr>
        <w:spacing w:after="0" w:line="480" w:lineRule="auto"/>
        <w:ind w:left="709" w:hanging="709"/>
        <w:jc w:val="left"/>
        <w:rPr>
          <w:rFonts w:asciiTheme="minorHAnsi" w:hAnsiTheme="minorHAnsi" w:cs="Arial"/>
          <w:sz w:val="24"/>
          <w:szCs w:val="24"/>
        </w:rPr>
      </w:pPr>
      <w:r w:rsidRPr="00824C53">
        <w:rPr>
          <w:rFonts w:asciiTheme="minorHAnsi" w:hAnsiTheme="minorHAnsi" w:cs="Arial"/>
          <w:sz w:val="24"/>
          <w:szCs w:val="24"/>
        </w:rPr>
        <w:t>Rice, M. E.</w:t>
      </w:r>
      <w:r w:rsidR="00440CDD">
        <w:rPr>
          <w:rFonts w:asciiTheme="minorHAnsi" w:hAnsiTheme="minorHAnsi" w:cs="Arial"/>
          <w:sz w:val="24"/>
          <w:szCs w:val="24"/>
        </w:rPr>
        <w:t>,</w:t>
      </w:r>
      <w:r w:rsidRPr="00824C53">
        <w:rPr>
          <w:rFonts w:asciiTheme="minorHAnsi" w:hAnsiTheme="minorHAnsi" w:cs="Arial"/>
          <w:sz w:val="24"/>
          <w:szCs w:val="24"/>
        </w:rPr>
        <w:t xml:space="preserve"> &amp; Harris, G. T. (2005). Comparing effect sizes in follow-up studies: ROC Area, Cohen's d, and r. </w:t>
      </w:r>
      <w:r w:rsidRPr="00440CDD">
        <w:rPr>
          <w:rFonts w:asciiTheme="minorHAnsi" w:hAnsiTheme="minorHAnsi" w:cs="Arial"/>
          <w:i/>
          <w:sz w:val="24"/>
          <w:szCs w:val="24"/>
        </w:rPr>
        <w:t>Law and Human Behavior, 29</w:t>
      </w:r>
      <w:r w:rsidRPr="00824C53">
        <w:rPr>
          <w:rFonts w:asciiTheme="minorHAnsi" w:hAnsiTheme="minorHAnsi" w:cs="Arial"/>
          <w:sz w:val="24"/>
          <w:szCs w:val="24"/>
        </w:rPr>
        <w:t>, 615-620</w:t>
      </w:r>
    </w:p>
    <w:p w14:paraId="6E170D56" w14:textId="77777777" w:rsidR="00824C53" w:rsidRPr="00824C53" w:rsidRDefault="00824C53" w:rsidP="00B10D1C">
      <w:pPr>
        <w:spacing w:after="0" w:line="480" w:lineRule="auto"/>
        <w:ind w:left="709" w:hanging="709"/>
        <w:jc w:val="left"/>
        <w:rPr>
          <w:rFonts w:asciiTheme="minorHAnsi" w:hAnsiTheme="minorHAnsi" w:cs="Arial"/>
          <w:sz w:val="24"/>
          <w:szCs w:val="24"/>
        </w:rPr>
      </w:pPr>
      <w:r w:rsidRPr="00824C53">
        <w:rPr>
          <w:rFonts w:asciiTheme="minorHAnsi" w:hAnsiTheme="minorHAnsi" w:cs="Arial"/>
          <w:sz w:val="24"/>
          <w:szCs w:val="24"/>
        </w:rPr>
        <w:t xml:space="preserve">Salekin, R. T., &amp; Lochman, J. E. (2008). Child and Adolescent Psychopathy: The Search for Protective Factors. </w:t>
      </w:r>
      <w:r w:rsidRPr="00440CDD">
        <w:rPr>
          <w:rFonts w:asciiTheme="minorHAnsi" w:hAnsiTheme="minorHAnsi" w:cs="Arial"/>
          <w:i/>
          <w:sz w:val="24"/>
          <w:szCs w:val="24"/>
        </w:rPr>
        <w:t>Criminal Justice and Behavior, 35</w:t>
      </w:r>
      <w:r w:rsidR="00440CDD">
        <w:rPr>
          <w:rFonts w:asciiTheme="minorHAnsi" w:hAnsiTheme="minorHAnsi" w:cs="Arial"/>
          <w:sz w:val="24"/>
          <w:szCs w:val="24"/>
        </w:rPr>
        <w:t>(2),</w:t>
      </w:r>
      <w:r w:rsidRPr="00824C53">
        <w:rPr>
          <w:rFonts w:asciiTheme="minorHAnsi" w:hAnsiTheme="minorHAnsi" w:cs="Arial"/>
          <w:sz w:val="24"/>
          <w:szCs w:val="24"/>
        </w:rPr>
        <w:t xml:space="preserve"> 159-172. doi:10.1177/0093854807311330</w:t>
      </w:r>
    </w:p>
    <w:p w14:paraId="0567A13E" w14:textId="77777777" w:rsidR="00824C53" w:rsidRPr="00824C53" w:rsidRDefault="00824C53" w:rsidP="00B10D1C">
      <w:pPr>
        <w:spacing w:after="0" w:line="480" w:lineRule="auto"/>
        <w:ind w:left="709" w:hanging="709"/>
        <w:jc w:val="left"/>
        <w:rPr>
          <w:rFonts w:asciiTheme="minorHAnsi" w:hAnsiTheme="minorHAnsi" w:cs="Arial"/>
          <w:sz w:val="24"/>
          <w:szCs w:val="24"/>
        </w:rPr>
      </w:pPr>
      <w:r w:rsidRPr="00824C53">
        <w:rPr>
          <w:rFonts w:asciiTheme="minorHAnsi" w:hAnsiTheme="minorHAnsi" w:cs="Arial"/>
          <w:sz w:val="24"/>
          <w:szCs w:val="24"/>
        </w:rPr>
        <w:t xml:space="preserve">Turner, D., Rettenberger, M., Yoon, D., Klein, V., Eher, R., &amp; Briken, P. (2014). Risk Assessment in Child Sexual Abusers Working With Children. </w:t>
      </w:r>
      <w:r w:rsidRPr="00440CDD">
        <w:rPr>
          <w:rFonts w:asciiTheme="minorHAnsi" w:hAnsiTheme="minorHAnsi" w:cs="Arial"/>
          <w:i/>
          <w:sz w:val="24"/>
          <w:szCs w:val="24"/>
        </w:rPr>
        <w:t>Sexual Abuse: A Journal of Research and Treatment</w:t>
      </w:r>
      <w:r w:rsidRPr="00824C53">
        <w:rPr>
          <w:rFonts w:asciiTheme="minorHAnsi" w:hAnsiTheme="minorHAnsi" w:cs="Arial"/>
          <w:sz w:val="24"/>
          <w:szCs w:val="24"/>
        </w:rPr>
        <w:t>. doi:10.1177/1079063214564390</w:t>
      </w:r>
    </w:p>
    <w:p w14:paraId="73A18AE2" w14:textId="77777777" w:rsidR="00824C53" w:rsidRPr="00824C53" w:rsidRDefault="00824C53" w:rsidP="00B10D1C">
      <w:pPr>
        <w:spacing w:after="0" w:line="480" w:lineRule="auto"/>
        <w:ind w:left="709" w:hanging="709"/>
        <w:jc w:val="left"/>
        <w:rPr>
          <w:rFonts w:asciiTheme="minorHAnsi" w:hAnsiTheme="minorHAnsi" w:cs="Arial"/>
          <w:sz w:val="24"/>
          <w:szCs w:val="24"/>
        </w:rPr>
      </w:pPr>
      <w:r w:rsidRPr="00824C53">
        <w:rPr>
          <w:rFonts w:asciiTheme="minorHAnsi" w:hAnsiTheme="minorHAnsi" w:cs="Arial"/>
          <w:sz w:val="24"/>
          <w:szCs w:val="24"/>
        </w:rPr>
        <w:t xml:space="preserve">Viljoen, S., Nicholls, T. L., Roesch, R., Gagnon, N., Douglas, K., &amp; Brink, J. (2016). Exploring Gender Differences in the Utility of Strength-Based Risk Assessment Measures. </w:t>
      </w:r>
      <w:r w:rsidRPr="00440CDD">
        <w:rPr>
          <w:rFonts w:asciiTheme="minorHAnsi" w:hAnsiTheme="minorHAnsi" w:cs="Arial"/>
          <w:i/>
          <w:sz w:val="24"/>
          <w:szCs w:val="24"/>
        </w:rPr>
        <w:t>International Journal of Forensic Mental Health, 15</w:t>
      </w:r>
      <w:r w:rsidR="00440CDD">
        <w:rPr>
          <w:rFonts w:asciiTheme="minorHAnsi" w:hAnsiTheme="minorHAnsi" w:cs="Arial"/>
          <w:sz w:val="24"/>
          <w:szCs w:val="24"/>
        </w:rPr>
        <w:t>(2),</w:t>
      </w:r>
      <w:r w:rsidRPr="00824C53">
        <w:rPr>
          <w:rFonts w:asciiTheme="minorHAnsi" w:hAnsiTheme="minorHAnsi" w:cs="Arial"/>
          <w:sz w:val="24"/>
          <w:szCs w:val="24"/>
        </w:rPr>
        <w:t xml:space="preserve"> 149-163. doi:10.1080/14999013.2016.1170739</w:t>
      </w:r>
    </w:p>
    <w:p w14:paraId="1759E542" w14:textId="77777777" w:rsidR="00824C53" w:rsidRPr="00824C53" w:rsidRDefault="00440CDD" w:rsidP="00B10D1C">
      <w:pPr>
        <w:spacing w:after="0" w:line="480" w:lineRule="auto"/>
        <w:ind w:left="709" w:hanging="709"/>
        <w:jc w:val="left"/>
        <w:rPr>
          <w:rFonts w:asciiTheme="minorHAnsi" w:hAnsiTheme="minorHAnsi" w:cs="Arial"/>
          <w:sz w:val="24"/>
          <w:szCs w:val="24"/>
        </w:rPr>
      </w:pPr>
      <w:r>
        <w:rPr>
          <w:rFonts w:asciiTheme="minorHAnsi" w:hAnsiTheme="minorHAnsi" w:cs="Arial"/>
          <w:sz w:val="24"/>
          <w:szCs w:val="24"/>
        </w:rPr>
        <w:t xml:space="preserve">Walters, G.D., </w:t>
      </w:r>
      <w:r w:rsidR="00824C53" w:rsidRPr="00824C53">
        <w:rPr>
          <w:rFonts w:asciiTheme="minorHAnsi" w:hAnsiTheme="minorHAnsi" w:cs="Arial"/>
          <w:sz w:val="24"/>
          <w:szCs w:val="24"/>
        </w:rPr>
        <w:t xml:space="preserve">&amp; Crawford, G. (2014). Major mental illness and violence history as predictors of institutional misconduct and recidivism: Main and interaction effects. </w:t>
      </w:r>
      <w:r w:rsidR="00824C53" w:rsidRPr="00440CDD">
        <w:rPr>
          <w:rFonts w:asciiTheme="minorHAnsi" w:hAnsiTheme="minorHAnsi" w:cs="Arial"/>
          <w:i/>
          <w:sz w:val="24"/>
          <w:szCs w:val="24"/>
        </w:rPr>
        <w:t>Law and Human Behavior, 38</w:t>
      </w:r>
      <w:r>
        <w:rPr>
          <w:rFonts w:asciiTheme="minorHAnsi" w:hAnsiTheme="minorHAnsi" w:cs="Arial"/>
          <w:sz w:val="24"/>
          <w:szCs w:val="24"/>
        </w:rPr>
        <w:t>(3),</w:t>
      </w:r>
      <w:r w:rsidR="00824C53" w:rsidRPr="00824C53">
        <w:rPr>
          <w:rFonts w:asciiTheme="minorHAnsi" w:hAnsiTheme="minorHAnsi" w:cs="Arial"/>
          <w:sz w:val="24"/>
          <w:szCs w:val="24"/>
        </w:rPr>
        <w:t xml:space="preserve"> 238-247</w:t>
      </w:r>
    </w:p>
    <w:p w14:paraId="6EBCD0D7" w14:textId="77777777" w:rsidR="00824C53" w:rsidRPr="00824C53" w:rsidRDefault="00824C53" w:rsidP="00B10D1C">
      <w:pPr>
        <w:spacing w:after="0" w:line="480" w:lineRule="auto"/>
        <w:ind w:left="709" w:hanging="709"/>
        <w:jc w:val="left"/>
        <w:rPr>
          <w:rFonts w:asciiTheme="minorHAnsi" w:hAnsiTheme="minorHAnsi" w:cs="Arial"/>
          <w:sz w:val="24"/>
          <w:szCs w:val="24"/>
        </w:rPr>
      </w:pPr>
      <w:r w:rsidRPr="00824C53">
        <w:rPr>
          <w:rFonts w:asciiTheme="minorHAnsi" w:hAnsiTheme="minorHAnsi" w:cs="Arial"/>
          <w:sz w:val="24"/>
          <w:szCs w:val="24"/>
        </w:rPr>
        <w:t xml:space="preserve">Webster, C. D., K. S. Douglas, Eaves, D, &amp; Hart, S.D. (1997). </w:t>
      </w:r>
      <w:r w:rsidRPr="00A76460">
        <w:rPr>
          <w:rFonts w:asciiTheme="minorHAnsi" w:hAnsiTheme="minorHAnsi" w:cs="Arial"/>
          <w:i/>
          <w:sz w:val="24"/>
          <w:szCs w:val="24"/>
        </w:rPr>
        <w:t>HCR-20: Assessing risk of violence (version 2)</w:t>
      </w:r>
      <w:r w:rsidRPr="00824C53">
        <w:rPr>
          <w:rFonts w:asciiTheme="minorHAnsi" w:hAnsiTheme="minorHAnsi" w:cs="Arial"/>
          <w:sz w:val="24"/>
          <w:szCs w:val="24"/>
        </w:rPr>
        <w:t xml:space="preserve">. Vancouver: Mental Health Law &amp; Policy Institute, Simon Fraser University </w:t>
      </w:r>
    </w:p>
    <w:p w14:paraId="5CA4CD54" w14:textId="77777777" w:rsidR="00824C53" w:rsidRPr="00824C53" w:rsidRDefault="00824C53" w:rsidP="00B10D1C">
      <w:pPr>
        <w:spacing w:after="0" w:line="480" w:lineRule="auto"/>
        <w:ind w:left="709" w:hanging="709"/>
        <w:jc w:val="left"/>
        <w:rPr>
          <w:rFonts w:asciiTheme="minorHAnsi" w:hAnsiTheme="minorHAnsi" w:cs="Arial"/>
          <w:sz w:val="24"/>
          <w:szCs w:val="24"/>
        </w:rPr>
      </w:pPr>
      <w:r w:rsidRPr="00824C53">
        <w:rPr>
          <w:rFonts w:asciiTheme="minorHAnsi" w:hAnsiTheme="minorHAnsi" w:cs="Arial"/>
          <w:sz w:val="24"/>
          <w:szCs w:val="24"/>
        </w:rPr>
        <w:lastRenderedPageBreak/>
        <w:t xml:space="preserve">Yoon, D., Spehr, A., &amp; Briken, P. (2011). Structured assessment of protective factors: a German pilot study in sex offenders. </w:t>
      </w:r>
      <w:r w:rsidRPr="00A76460">
        <w:rPr>
          <w:rFonts w:asciiTheme="minorHAnsi" w:hAnsiTheme="minorHAnsi" w:cs="Arial"/>
          <w:i/>
          <w:sz w:val="24"/>
          <w:szCs w:val="24"/>
        </w:rPr>
        <w:t>The Journal of Forensic Psychiatry &amp; Psychology, 22</w:t>
      </w:r>
      <w:r w:rsidR="00A76460">
        <w:rPr>
          <w:rFonts w:asciiTheme="minorHAnsi" w:hAnsiTheme="minorHAnsi" w:cs="Arial"/>
          <w:sz w:val="24"/>
          <w:szCs w:val="24"/>
        </w:rPr>
        <w:t>(6),</w:t>
      </w:r>
      <w:r w:rsidRPr="00824C53">
        <w:rPr>
          <w:rFonts w:asciiTheme="minorHAnsi" w:hAnsiTheme="minorHAnsi" w:cs="Arial"/>
          <w:sz w:val="24"/>
          <w:szCs w:val="24"/>
        </w:rPr>
        <w:t xml:space="preserve"> 834-844. doi:10.1080/14789949.2011.617831</w:t>
      </w:r>
    </w:p>
    <w:p w14:paraId="3965E7DB" w14:textId="77777777" w:rsidR="00824C53" w:rsidRPr="00824C53" w:rsidRDefault="00824C53" w:rsidP="00B10D1C">
      <w:pPr>
        <w:spacing w:after="0" w:line="480" w:lineRule="auto"/>
        <w:ind w:left="709" w:hanging="709"/>
        <w:jc w:val="left"/>
        <w:rPr>
          <w:rFonts w:asciiTheme="minorHAnsi" w:hAnsiTheme="minorHAnsi" w:cs="Arial"/>
          <w:sz w:val="24"/>
          <w:szCs w:val="24"/>
        </w:rPr>
      </w:pPr>
      <w:r w:rsidRPr="00824C53">
        <w:rPr>
          <w:rFonts w:asciiTheme="minorHAnsi" w:hAnsiTheme="minorHAnsi" w:cs="Arial"/>
          <w:sz w:val="24"/>
          <w:szCs w:val="24"/>
        </w:rPr>
        <w:t>Yoon, D., Turner, D., Klein, V., Rettenberger. M., Eher</w:t>
      </w:r>
      <w:r w:rsidR="00A76460">
        <w:rPr>
          <w:rFonts w:asciiTheme="minorHAnsi" w:hAnsiTheme="minorHAnsi" w:cs="Arial"/>
          <w:sz w:val="24"/>
          <w:szCs w:val="24"/>
        </w:rPr>
        <w:t>,</w:t>
      </w:r>
      <w:r w:rsidRPr="00824C53">
        <w:rPr>
          <w:rFonts w:asciiTheme="minorHAnsi" w:hAnsiTheme="minorHAnsi" w:cs="Arial"/>
          <w:sz w:val="24"/>
          <w:szCs w:val="24"/>
        </w:rPr>
        <w:t xml:space="preserve"> &amp; R., Briken, P. (2016)</w:t>
      </w:r>
      <w:r w:rsidR="00A76460">
        <w:rPr>
          <w:rFonts w:asciiTheme="minorHAnsi" w:hAnsiTheme="minorHAnsi" w:cs="Arial"/>
          <w:sz w:val="24"/>
          <w:szCs w:val="24"/>
        </w:rPr>
        <w:t>.</w:t>
      </w:r>
      <w:r w:rsidRPr="00824C53">
        <w:rPr>
          <w:rFonts w:asciiTheme="minorHAnsi" w:hAnsiTheme="minorHAnsi" w:cs="Arial"/>
          <w:sz w:val="24"/>
          <w:szCs w:val="24"/>
        </w:rPr>
        <w:t xml:space="preserve"> Factors Predicting Desistance From Reoffending: A Validation Study of the SAPROF in Sexual Offenders. </w:t>
      </w:r>
      <w:r w:rsidRPr="00A76460">
        <w:rPr>
          <w:rFonts w:asciiTheme="minorHAnsi" w:hAnsiTheme="minorHAnsi" w:cs="Arial"/>
          <w:i/>
          <w:sz w:val="24"/>
          <w:szCs w:val="24"/>
        </w:rPr>
        <w:t>International Journal of Offender Therapy and Comparative Criminology</w:t>
      </w:r>
      <w:r w:rsidRPr="00824C53">
        <w:rPr>
          <w:rFonts w:asciiTheme="minorHAnsi" w:hAnsiTheme="minorHAnsi" w:cs="Arial"/>
          <w:sz w:val="24"/>
          <w:szCs w:val="24"/>
        </w:rPr>
        <w:t>, 1–21. doi:10.1177/0306624X16664379</w:t>
      </w:r>
    </w:p>
    <w:p w14:paraId="157C9C52" w14:textId="77777777" w:rsidR="00824C53" w:rsidRDefault="00824C53" w:rsidP="00B10D1C">
      <w:pPr>
        <w:spacing w:after="0" w:line="480" w:lineRule="auto"/>
        <w:ind w:left="709" w:hanging="709"/>
        <w:jc w:val="left"/>
        <w:rPr>
          <w:rFonts w:asciiTheme="minorHAnsi" w:hAnsiTheme="minorHAnsi" w:cs="Arial"/>
          <w:sz w:val="24"/>
          <w:szCs w:val="24"/>
        </w:rPr>
      </w:pPr>
      <w:r w:rsidRPr="00824C53">
        <w:rPr>
          <w:rFonts w:asciiTheme="minorHAnsi" w:hAnsiTheme="minorHAnsi" w:cs="Arial"/>
          <w:sz w:val="24"/>
          <w:szCs w:val="24"/>
        </w:rPr>
        <w:t xml:space="preserve">Zeng, G., Chu, C. M., &amp; Lee, Y. (2015). Assessing Protective Factors of Youth Who Sexually Offended in Singapore: Preliminary Evidence on the Utility of the DASH-13 and the SAPROF. </w:t>
      </w:r>
      <w:r w:rsidRPr="00A76460">
        <w:rPr>
          <w:rFonts w:asciiTheme="minorHAnsi" w:hAnsiTheme="minorHAnsi" w:cs="Arial"/>
          <w:i/>
          <w:sz w:val="24"/>
          <w:szCs w:val="24"/>
        </w:rPr>
        <w:t>Sexual Abuse: A Journal of Research and Treatment, 27</w:t>
      </w:r>
      <w:r w:rsidR="00A76460">
        <w:rPr>
          <w:rFonts w:asciiTheme="minorHAnsi" w:hAnsiTheme="minorHAnsi" w:cs="Arial"/>
          <w:sz w:val="24"/>
          <w:szCs w:val="24"/>
        </w:rPr>
        <w:t>(1),</w:t>
      </w:r>
      <w:r w:rsidRPr="00824C53">
        <w:rPr>
          <w:rFonts w:asciiTheme="minorHAnsi" w:hAnsiTheme="minorHAnsi" w:cs="Arial"/>
          <w:sz w:val="24"/>
          <w:szCs w:val="24"/>
        </w:rPr>
        <w:t xml:space="preserve"> 91-108. doi:10.1177/1079063214561684</w:t>
      </w:r>
    </w:p>
    <w:p w14:paraId="6885AE82" w14:textId="77777777" w:rsidR="00824C53" w:rsidRDefault="00824C53" w:rsidP="00B10D1C">
      <w:pPr>
        <w:spacing w:after="0" w:line="480" w:lineRule="auto"/>
        <w:jc w:val="left"/>
        <w:rPr>
          <w:rFonts w:asciiTheme="minorHAnsi" w:hAnsiTheme="minorHAnsi" w:cs="Arial"/>
          <w:sz w:val="24"/>
          <w:szCs w:val="24"/>
        </w:rPr>
      </w:pPr>
      <w:r>
        <w:rPr>
          <w:rFonts w:asciiTheme="minorHAnsi" w:hAnsiTheme="minorHAnsi" w:cs="Arial"/>
          <w:sz w:val="24"/>
          <w:szCs w:val="24"/>
        </w:rPr>
        <w:br w:type="page"/>
      </w:r>
    </w:p>
    <w:p w14:paraId="6B849E52" w14:textId="77777777" w:rsidR="00824C53" w:rsidRDefault="00824C53" w:rsidP="00B10D1C">
      <w:pPr>
        <w:spacing w:after="0" w:line="480" w:lineRule="auto"/>
        <w:jc w:val="left"/>
        <w:rPr>
          <w:rFonts w:asciiTheme="minorHAnsi" w:hAnsiTheme="minorHAnsi" w:cs="Arial"/>
          <w:sz w:val="24"/>
          <w:szCs w:val="24"/>
        </w:rPr>
        <w:sectPr w:rsidR="00824C53" w:rsidSect="00824C53">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080" w:bottom="1440" w:left="1080" w:header="708" w:footer="708" w:gutter="0"/>
          <w:cols w:space="708"/>
          <w:docGrid w:linePitch="360"/>
        </w:sectPr>
      </w:pPr>
    </w:p>
    <w:p w14:paraId="59BA9B9C" w14:textId="77777777" w:rsidR="00934574" w:rsidRPr="00A60774" w:rsidRDefault="00934574" w:rsidP="00B10D1C">
      <w:pPr>
        <w:spacing w:after="0" w:line="480" w:lineRule="auto"/>
        <w:jc w:val="center"/>
        <w:rPr>
          <w:rFonts w:asciiTheme="minorHAnsi" w:hAnsiTheme="minorHAnsi"/>
          <w:b/>
          <w:sz w:val="24"/>
          <w:szCs w:val="24"/>
        </w:rPr>
      </w:pPr>
      <w:r w:rsidRPr="00A60774">
        <w:rPr>
          <w:rFonts w:asciiTheme="minorHAnsi" w:hAnsiTheme="minorHAnsi"/>
          <w:b/>
          <w:sz w:val="24"/>
          <w:szCs w:val="24"/>
        </w:rPr>
        <w:lastRenderedPageBreak/>
        <w:t>Tables</w:t>
      </w:r>
    </w:p>
    <w:p w14:paraId="66F09832" w14:textId="77777777" w:rsidR="00E02ACD" w:rsidRPr="00E02ACD" w:rsidRDefault="00E02ACD" w:rsidP="00B10D1C">
      <w:pPr>
        <w:spacing w:after="0" w:line="480" w:lineRule="auto"/>
        <w:rPr>
          <w:rFonts w:asciiTheme="minorHAnsi" w:hAnsiTheme="minorHAnsi" w:cs="Arial"/>
          <w:b/>
          <w:sz w:val="18"/>
          <w:szCs w:val="18"/>
        </w:rPr>
      </w:pPr>
      <w:r w:rsidRPr="00E02ACD">
        <w:rPr>
          <w:rFonts w:asciiTheme="minorHAnsi" w:hAnsiTheme="minorHAnsi" w:cs="Arial"/>
          <w:b/>
          <w:sz w:val="18"/>
          <w:szCs w:val="18"/>
        </w:rPr>
        <w:t>Table 1: Characteristics of the patient sample</w:t>
      </w:r>
    </w:p>
    <w:tbl>
      <w:tblPr>
        <w:tblStyle w:val="TableGrid"/>
        <w:tblW w:w="1236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7"/>
        <w:gridCol w:w="2268"/>
        <w:gridCol w:w="850"/>
        <w:gridCol w:w="1054"/>
        <w:gridCol w:w="992"/>
        <w:gridCol w:w="851"/>
        <w:gridCol w:w="850"/>
        <w:gridCol w:w="993"/>
        <w:gridCol w:w="708"/>
        <w:gridCol w:w="993"/>
        <w:gridCol w:w="850"/>
        <w:gridCol w:w="851"/>
      </w:tblGrid>
      <w:tr w:rsidR="00E02ACD" w:rsidRPr="00E85ECD" w14:paraId="091AD14A" w14:textId="77777777" w:rsidTr="00E85ECD">
        <w:trPr>
          <w:trHeight w:val="300"/>
        </w:trPr>
        <w:tc>
          <w:tcPr>
            <w:tcW w:w="3375" w:type="dxa"/>
            <w:gridSpan w:val="2"/>
            <w:tcBorders>
              <w:right w:val="single" w:sz="4" w:space="0" w:color="auto"/>
            </w:tcBorders>
            <w:noWrap/>
            <w:hideMark/>
          </w:tcPr>
          <w:p w14:paraId="370B9EEA" w14:textId="77777777" w:rsidR="00E02ACD" w:rsidRPr="00E85ECD" w:rsidRDefault="00E02ACD" w:rsidP="00B10D1C">
            <w:pPr>
              <w:spacing w:after="0" w:line="480" w:lineRule="auto"/>
              <w:rPr>
                <w:rFonts w:asciiTheme="minorHAnsi" w:hAnsiTheme="minorHAnsi" w:cs="Arial"/>
                <w:color w:val="000000"/>
                <w:sz w:val="18"/>
                <w:szCs w:val="18"/>
              </w:rPr>
            </w:pPr>
          </w:p>
        </w:tc>
        <w:tc>
          <w:tcPr>
            <w:tcW w:w="1904" w:type="dxa"/>
            <w:gridSpan w:val="2"/>
            <w:tcBorders>
              <w:left w:val="single" w:sz="4" w:space="0" w:color="auto"/>
              <w:right w:val="single" w:sz="4" w:space="0" w:color="auto"/>
            </w:tcBorders>
            <w:noWrap/>
            <w:hideMark/>
          </w:tcPr>
          <w:p w14:paraId="53DC4E4C" w14:textId="77777777" w:rsidR="00E02ACD" w:rsidRPr="00E85ECD" w:rsidRDefault="00E02ACD" w:rsidP="00B10D1C">
            <w:pPr>
              <w:spacing w:after="0" w:line="480" w:lineRule="auto"/>
              <w:jc w:val="center"/>
              <w:rPr>
                <w:rFonts w:asciiTheme="minorHAnsi" w:hAnsiTheme="minorHAnsi" w:cs="Arial"/>
                <w:b/>
                <w:color w:val="000000"/>
                <w:sz w:val="18"/>
                <w:szCs w:val="18"/>
              </w:rPr>
            </w:pPr>
            <w:r w:rsidRPr="00E85ECD">
              <w:rPr>
                <w:rFonts w:asciiTheme="minorHAnsi" w:hAnsiTheme="minorHAnsi" w:cs="Arial"/>
                <w:b/>
                <w:color w:val="000000"/>
                <w:sz w:val="18"/>
                <w:szCs w:val="18"/>
              </w:rPr>
              <w:t>Overall</w:t>
            </w:r>
          </w:p>
          <w:p w14:paraId="45B4AAE7" w14:textId="77777777" w:rsidR="00E02ACD" w:rsidRPr="00E85ECD" w:rsidRDefault="00E02ACD" w:rsidP="00B10D1C">
            <w:pPr>
              <w:spacing w:after="0" w:line="480" w:lineRule="auto"/>
              <w:jc w:val="center"/>
              <w:rPr>
                <w:rFonts w:asciiTheme="minorHAnsi" w:hAnsiTheme="minorHAnsi" w:cs="Arial"/>
                <w:b/>
                <w:color w:val="000000"/>
                <w:sz w:val="18"/>
                <w:szCs w:val="18"/>
              </w:rPr>
            </w:pPr>
            <w:r w:rsidRPr="00E85ECD">
              <w:rPr>
                <w:rFonts w:asciiTheme="minorHAnsi" w:hAnsiTheme="minorHAnsi" w:cs="Arial"/>
                <w:b/>
                <w:color w:val="000000"/>
                <w:sz w:val="18"/>
                <w:szCs w:val="18"/>
              </w:rPr>
              <w:t>(n=261)</w:t>
            </w:r>
          </w:p>
        </w:tc>
        <w:tc>
          <w:tcPr>
            <w:tcW w:w="1843" w:type="dxa"/>
            <w:gridSpan w:val="2"/>
            <w:tcBorders>
              <w:left w:val="single" w:sz="4" w:space="0" w:color="auto"/>
              <w:right w:val="single" w:sz="4" w:space="0" w:color="auto"/>
            </w:tcBorders>
            <w:noWrap/>
            <w:hideMark/>
          </w:tcPr>
          <w:p w14:paraId="3F0D2BF8" w14:textId="77777777" w:rsidR="00E02ACD" w:rsidRPr="00E85ECD" w:rsidRDefault="00E02ACD" w:rsidP="00B10D1C">
            <w:pPr>
              <w:spacing w:after="0" w:line="480" w:lineRule="auto"/>
              <w:jc w:val="center"/>
              <w:rPr>
                <w:rFonts w:asciiTheme="minorHAnsi" w:hAnsiTheme="minorHAnsi" w:cs="Arial"/>
                <w:b/>
                <w:color w:val="000000"/>
                <w:sz w:val="18"/>
                <w:szCs w:val="18"/>
              </w:rPr>
            </w:pPr>
            <w:r w:rsidRPr="00E85ECD">
              <w:rPr>
                <w:rFonts w:asciiTheme="minorHAnsi" w:hAnsiTheme="minorHAnsi" w:cs="Arial"/>
                <w:b/>
                <w:color w:val="000000"/>
                <w:sz w:val="18"/>
                <w:szCs w:val="18"/>
              </w:rPr>
              <w:t>Secure</w:t>
            </w:r>
          </w:p>
          <w:p w14:paraId="775CB0F1" w14:textId="77777777" w:rsidR="00E02ACD" w:rsidRPr="00E85ECD" w:rsidRDefault="00E02ACD" w:rsidP="00B10D1C">
            <w:pPr>
              <w:spacing w:after="0" w:line="480" w:lineRule="auto"/>
              <w:jc w:val="center"/>
              <w:rPr>
                <w:rFonts w:asciiTheme="minorHAnsi" w:hAnsiTheme="minorHAnsi" w:cs="Arial"/>
                <w:b/>
                <w:color w:val="000000"/>
                <w:sz w:val="18"/>
                <w:szCs w:val="18"/>
              </w:rPr>
            </w:pPr>
            <w:r w:rsidRPr="00E85ECD">
              <w:rPr>
                <w:rFonts w:asciiTheme="minorHAnsi" w:hAnsiTheme="minorHAnsi" w:cs="Arial"/>
                <w:b/>
                <w:color w:val="000000"/>
                <w:sz w:val="18"/>
                <w:szCs w:val="18"/>
              </w:rPr>
              <w:t>inpatient</w:t>
            </w:r>
          </w:p>
          <w:p w14:paraId="39FD0450" w14:textId="77777777" w:rsidR="00E02ACD" w:rsidRPr="00E85ECD" w:rsidRDefault="00E02ACD" w:rsidP="00B10D1C">
            <w:pPr>
              <w:spacing w:after="0" w:line="480" w:lineRule="auto"/>
              <w:jc w:val="center"/>
              <w:rPr>
                <w:rFonts w:asciiTheme="minorHAnsi" w:hAnsiTheme="minorHAnsi" w:cs="Arial"/>
                <w:b/>
                <w:color w:val="000000"/>
                <w:sz w:val="18"/>
                <w:szCs w:val="18"/>
              </w:rPr>
            </w:pPr>
            <w:r w:rsidRPr="00E85ECD">
              <w:rPr>
                <w:rFonts w:asciiTheme="minorHAnsi" w:hAnsiTheme="minorHAnsi" w:cs="Arial"/>
                <w:b/>
                <w:color w:val="000000"/>
                <w:sz w:val="18"/>
                <w:szCs w:val="18"/>
              </w:rPr>
              <w:t>(n=55)</w:t>
            </w:r>
          </w:p>
        </w:tc>
        <w:tc>
          <w:tcPr>
            <w:tcW w:w="1843" w:type="dxa"/>
            <w:gridSpan w:val="2"/>
            <w:tcBorders>
              <w:left w:val="single" w:sz="4" w:space="0" w:color="auto"/>
              <w:right w:val="single" w:sz="4" w:space="0" w:color="auto"/>
            </w:tcBorders>
            <w:noWrap/>
            <w:hideMark/>
          </w:tcPr>
          <w:p w14:paraId="3A9B4728" w14:textId="77777777" w:rsidR="00E02ACD" w:rsidRPr="00E85ECD" w:rsidRDefault="00E02ACD" w:rsidP="00B10D1C">
            <w:pPr>
              <w:spacing w:after="0" w:line="480" w:lineRule="auto"/>
              <w:jc w:val="center"/>
              <w:rPr>
                <w:rFonts w:asciiTheme="minorHAnsi" w:hAnsiTheme="minorHAnsi" w:cs="Arial"/>
                <w:b/>
                <w:color w:val="000000"/>
                <w:sz w:val="18"/>
                <w:szCs w:val="18"/>
              </w:rPr>
            </w:pPr>
            <w:r w:rsidRPr="00E85ECD">
              <w:rPr>
                <w:rFonts w:asciiTheme="minorHAnsi" w:hAnsiTheme="minorHAnsi" w:cs="Arial"/>
                <w:b/>
                <w:color w:val="000000"/>
                <w:sz w:val="18"/>
                <w:szCs w:val="18"/>
              </w:rPr>
              <w:t>General</w:t>
            </w:r>
          </w:p>
          <w:p w14:paraId="7205980E" w14:textId="77777777" w:rsidR="00E02ACD" w:rsidRPr="00E85ECD" w:rsidRDefault="00E02ACD" w:rsidP="00B10D1C">
            <w:pPr>
              <w:spacing w:after="0" w:line="480" w:lineRule="auto"/>
              <w:jc w:val="center"/>
              <w:rPr>
                <w:rFonts w:asciiTheme="minorHAnsi" w:hAnsiTheme="minorHAnsi" w:cs="Arial"/>
                <w:b/>
                <w:color w:val="000000"/>
                <w:sz w:val="18"/>
                <w:szCs w:val="18"/>
              </w:rPr>
            </w:pPr>
            <w:r w:rsidRPr="00E85ECD">
              <w:rPr>
                <w:rFonts w:asciiTheme="minorHAnsi" w:hAnsiTheme="minorHAnsi" w:cs="Arial"/>
                <w:b/>
                <w:color w:val="000000"/>
                <w:sz w:val="18"/>
                <w:szCs w:val="18"/>
              </w:rPr>
              <w:t>inpatient</w:t>
            </w:r>
          </w:p>
          <w:p w14:paraId="5BA738B6" w14:textId="77777777" w:rsidR="00E02ACD" w:rsidRPr="00E85ECD" w:rsidRDefault="00E02ACD" w:rsidP="00B10D1C">
            <w:pPr>
              <w:spacing w:after="0" w:line="480" w:lineRule="auto"/>
              <w:jc w:val="center"/>
              <w:rPr>
                <w:rFonts w:asciiTheme="minorHAnsi" w:hAnsiTheme="minorHAnsi" w:cs="Arial"/>
                <w:b/>
                <w:color w:val="000000"/>
                <w:sz w:val="18"/>
                <w:szCs w:val="18"/>
              </w:rPr>
            </w:pPr>
            <w:r w:rsidRPr="00E85ECD">
              <w:rPr>
                <w:rFonts w:asciiTheme="minorHAnsi" w:hAnsiTheme="minorHAnsi" w:cs="Arial"/>
                <w:b/>
                <w:color w:val="000000"/>
                <w:sz w:val="18"/>
                <w:szCs w:val="18"/>
              </w:rPr>
              <w:t>(n=100)</w:t>
            </w:r>
          </w:p>
        </w:tc>
        <w:tc>
          <w:tcPr>
            <w:tcW w:w="1701" w:type="dxa"/>
            <w:gridSpan w:val="2"/>
            <w:tcBorders>
              <w:left w:val="single" w:sz="4" w:space="0" w:color="auto"/>
              <w:right w:val="single" w:sz="4" w:space="0" w:color="auto"/>
            </w:tcBorders>
            <w:noWrap/>
            <w:hideMark/>
          </w:tcPr>
          <w:p w14:paraId="3937800D" w14:textId="77777777" w:rsidR="00E02ACD" w:rsidRPr="00E85ECD" w:rsidRDefault="00E02ACD" w:rsidP="00B10D1C">
            <w:pPr>
              <w:spacing w:after="0" w:line="480" w:lineRule="auto"/>
              <w:jc w:val="center"/>
              <w:rPr>
                <w:rFonts w:asciiTheme="minorHAnsi" w:hAnsiTheme="minorHAnsi" w:cs="Arial"/>
                <w:b/>
                <w:color w:val="000000"/>
                <w:sz w:val="18"/>
                <w:szCs w:val="18"/>
              </w:rPr>
            </w:pPr>
            <w:r w:rsidRPr="00E85ECD">
              <w:rPr>
                <w:rFonts w:asciiTheme="minorHAnsi" w:hAnsiTheme="minorHAnsi" w:cs="Arial"/>
                <w:b/>
                <w:color w:val="000000"/>
                <w:sz w:val="18"/>
                <w:szCs w:val="18"/>
              </w:rPr>
              <w:t>Community</w:t>
            </w:r>
          </w:p>
          <w:p w14:paraId="213835B6" w14:textId="77777777" w:rsidR="00E02ACD" w:rsidRPr="00E85ECD" w:rsidRDefault="00E02ACD" w:rsidP="00B10D1C">
            <w:pPr>
              <w:spacing w:after="0" w:line="480" w:lineRule="auto"/>
              <w:jc w:val="center"/>
              <w:rPr>
                <w:rFonts w:asciiTheme="minorHAnsi" w:hAnsiTheme="minorHAnsi" w:cs="Arial"/>
                <w:b/>
                <w:color w:val="000000"/>
                <w:sz w:val="18"/>
                <w:szCs w:val="18"/>
              </w:rPr>
            </w:pPr>
            <w:r w:rsidRPr="00E85ECD">
              <w:rPr>
                <w:rFonts w:asciiTheme="minorHAnsi" w:hAnsiTheme="minorHAnsi" w:cs="Arial"/>
                <w:b/>
                <w:color w:val="000000"/>
                <w:sz w:val="18"/>
                <w:szCs w:val="18"/>
              </w:rPr>
              <w:t>(n=106)</w:t>
            </w:r>
          </w:p>
        </w:tc>
        <w:tc>
          <w:tcPr>
            <w:tcW w:w="1701" w:type="dxa"/>
            <w:gridSpan w:val="2"/>
            <w:tcBorders>
              <w:left w:val="single" w:sz="4" w:space="0" w:color="auto"/>
            </w:tcBorders>
            <w:noWrap/>
            <w:hideMark/>
          </w:tcPr>
          <w:p w14:paraId="0471496F" w14:textId="77777777" w:rsidR="00E02ACD" w:rsidRPr="00E85ECD" w:rsidRDefault="00E02ACD" w:rsidP="00B10D1C">
            <w:pPr>
              <w:spacing w:after="0" w:line="480" w:lineRule="auto"/>
              <w:jc w:val="center"/>
              <w:rPr>
                <w:rFonts w:asciiTheme="minorHAnsi" w:hAnsiTheme="minorHAnsi" w:cs="Arial"/>
                <w:b/>
                <w:color w:val="000000"/>
                <w:sz w:val="18"/>
                <w:szCs w:val="18"/>
              </w:rPr>
            </w:pPr>
            <w:r w:rsidRPr="00E85ECD">
              <w:rPr>
                <w:rFonts w:asciiTheme="minorHAnsi" w:hAnsiTheme="minorHAnsi" w:cs="Arial"/>
                <w:b/>
                <w:color w:val="000000"/>
                <w:sz w:val="18"/>
                <w:szCs w:val="18"/>
              </w:rPr>
              <w:t>Comparison between subgroups</w:t>
            </w:r>
          </w:p>
        </w:tc>
      </w:tr>
      <w:tr w:rsidR="00E85ECD" w:rsidRPr="00E85ECD" w14:paraId="0FBE69B5" w14:textId="77777777" w:rsidTr="00E85ECD">
        <w:trPr>
          <w:trHeight w:val="414"/>
        </w:trPr>
        <w:tc>
          <w:tcPr>
            <w:tcW w:w="3375" w:type="dxa"/>
            <w:gridSpan w:val="2"/>
            <w:tcBorders>
              <w:bottom w:val="single" w:sz="4" w:space="0" w:color="auto"/>
              <w:right w:val="single" w:sz="4" w:space="0" w:color="auto"/>
            </w:tcBorders>
            <w:noWrap/>
            <w:vAlign w:val="center"/>
            <w:hideMark/>
          </w:tcPr>
          <w:p w14:paraId="64DBAC91" w14:textId="77777777" w:rsidR="00E02ACD" w:rsidRPr="00E85ECD" w:rsidRDefault="00E02ACD" w:rsidP="00B10D1C">
            <w:pPr>
              <w:spacing w:after="0" w:line="480" w:lineRule="auto"/>
              <w:jc w:val="right"/>
              <w:rPr>
                <w:rFonts w:asciiTheme="minorHAnsi" w:hAnsiTheme="minorHAnsi" w:cs="Arial"/>
                <w:b/>
                <w:color w:val="000000"/>
                <w:sz w:val="18"/>
                <w:szCs w:val="18"/>
              </w:rPr>
            </w:pPr>
          </w:p>
        </w:tc>
        <w:tc>
          <w:tcPr>
            <w:tcW w:w="850" w:type="dxa"/>
            <w:tcBorders>
              <w:left w:val="single" w:sz="4" w:space="0" w:color="auto"/>
              <w:bottom w:val="single" w:sz="4" w:space="0" w:color="auto"/>
            </w:tcBorders>
            <w:noWrap/>
            <w:vAlign w:val="center"/>
            <w:hideMark/>
          </w:tcPr>
          <w:p w14:paraId="5A7828B7" w14:textId="77777777" w:rsidR="00E02ACD" w:rsidRPr="00E85ECD" w:rsidRDefault="00E02ACD" w:rsidP="00B10D1C">
            <w:pPr>
              <w:spacing w:after="0" w:line="480" w:lineRule="auto"/>
              <w:jc w:val="right"/>
              <w:rPr>
                <w:rFonts w:asciiTheme="minorHAnsi" w:hAnsiTheme="minorHAnsi" w:cs="Arial"/>
                <w:i/>
                <w:color w:val="000000"/>
                <w:sz w:val="18"/>
                <w:szCs w:val="18"/>
              </w:rPr>
            </w:pPr>
            <w:r w:rsidRPr="00E85ECD">
              <w:rPr>
                <w:rFonts w:asciiTheme="minorHAnsi" w:hAnsiTheme="minorHAnsi" w:cs="Arial"/>
                <w:i/>
                <w:color w:val="000000"/>
                <w:sz w:val="18"/>
                <w:szCs w:val="18"/>
              </w:rPr>
              <w:t>n</w:t>
            </w:r>
          </w:p>
        </w:tc>
        <w:tc>
          <w:tcPr>
            <w:tcW w:w="1054" w:type="dxa"/>
            <w:tcBorders>
              <w:bottom w:val="single" w:sz="4" w:space="0" w:color="auto"/>
              <w:right w:val="single" w:sz="4" w:space="0" w:color="auto"/>
            </w:tcBorders>
            <w:noWrap/>
            <w:vAlign w:val="center"/>
            <w:hideMark/>
          </w:tcPr>
          <w:p w14:paraId="4EBEDFDA" w14:textId="77777777" w:rsidR="00E02ACD" w:rsidRPr="00E85ECD" w:rsidRDefault="00E02ACD" w:rsidP="00B10D1C">
            <w:pPr>
              <w:spacing w:after="0" w:line="480" w:lineRule="auto"/>
              <w:jc w:val="right"/>
              <w:rPr>
                <w:rFonts w:asciiTheme="minorHAnsi" w:hAnsiTheme="minorHAnsi" w:cs="Arial"/>
                <w:i/>
                <w:color w:val="000000"/>
                <w:sz w:val="18"/>
                <w:szCs w:val="18"/>
              </w:rPr>
            </w:pPr>
            <w:r w:rsidRPr="00E85ECD">
              <w:rPr>
                <w:rFonts w:asciiTheme="minorHAnsi" w:hAnsiTheme="minorHAnsi" w:cs="Arial"/>
                <w:i/>
                <w:color w:val="000000"/>
                <w:sz w:val="18"/>
                <w:szCs w:val="18"/>
              </w:rPr>
              <w:t>%</w:t>
            </w:r>
          </w:p>
        </w:tc>
        <w:tc>
          <w:tcPr>
            <w:tcW w:w="992" w:type="dxa"/>
            <w:tcBorders>
              <w:left w:val="single" w:sz="4" w:space="0" w:color="auto"/>
              <w:bottom w:val="single" w:sz="4" w:space="0" w:color="auto"/>
            </w:tcBorders>
            <w:noWrap/>
            <w:vAlign w:val="center"/>
            <w:hideMark/>
          </w:tcPr>
          <w:p w14:paraId="0B9E9334" w14:textId="77777777" w:rsidR="00E02ACD" w:rsidRPr="00E85ECD" w:rsidRDefault="00E02ACD" w:rsidP="00B10D1C">
            <w:pPr>
              <w:spacing w:after="0" w:line="480" w:lineRule="auto"/>
              <w:jc w:val="right"/>
              <w:rPr>
                <w:rFonts w:asciiTheme="minorHAnsi" w:hAnsiTheme="minorHAnsi" w:cs="Arial"/>
                <w:i/>
                <w:color w:val="000000"/>
                <w:sz w:val="18"/>
                <w:szCs w:val="18"/>
              </w:rPr>
            </w:pPr>
            <w:r w:rsidRPr="00E85ECD">
              <w:rPr>
                <w:rFonts w:asciiTheme="minorHAnsi" w:hAnsiTheme="minorHAnsi" w:cs="Arial"/>
                <w:i/>
                <w:color w:val="000000"/>
                <w:sz w:val="18"/>
                <w:szCs w:val="18"/>
              </w:rPr>
              <w:t>n</w:t>
            </w:r>
          </w:p>
        </w:tc>
        <w:tc>
          <w:tcPr>
            <w:tcW w:w="851" w:type="dxa"/>
            <w:tcBorders>
              <w:bottom w:val="single" w:sz="4" w:space="0" w:color="auto"/>
              <w:right w:val="single" w:sz="4" w:space="0" w:color="auto"/>
            </w:tcBorders>
            <w:noWrap/>
            <w:vAlign w:val="center"/>
            <w:hideMark/>
          </w:tcPr>
          <w:p w14:paraId="5D81DFAC" w14:textId="77777777" w:rsidR="00E02ACD" w:rsidRPr="00E85ECD" w:rsidRDefault="00E02ACD" w:rsidP="00B10D1C">
            <w:pPr>
              <w:spacing w:after="0" w:line="480" w:lineRule="auto"/>
              <w:jc w:val="right"/>
              <w:rPr>
                <w:rFonts w:asciiTheme="minorHAnsi" w:hAnsiTheme="minorHAnsi" w:cs="Arial"/>
                <w:i/>
                <w:color w:val="000000"/>
                <w:sz w:val="18"/>
                <w:szCs w:val="18"/>
              </w:rPr>
            </w:pPr>
            <w:r w:rsidRPr="00E85ECD">
              <w:rPr>
                <w:rFonts w:asciiTheme="minorHAnsi" w:hAnsiTheme="minorHAnsi" w:cs="Arial"/>
                <w:i/>
                <w:color w:val="000000"/>
                <w:sz w:val="18"/>
                <w:szCs w:val="18"/>
              </w:rPr>
              <w:t>%</w:t>
            </w:r>
          </w:p>
        </w:tc>
        <w:tc>
          <w:tcPr>
            <w:tcW w:w="850" w:type="dxa"/>
            <w:tcBorders>
              <w:left w:val="single" w:sz="4" w:space="0" w:color="auto"/>
              <w:bottom w:val="single" w:sz="4" w:space="0" w:color="auto"/>
            </w:tcBorders>
            <w:noWrap/>
            <w:vAlign w:val="center"/>
            <w:hideMark/>
          </w:tcPr>
          <w:p w14:paraId="5A6EA2A6" w14:textId="77777777" w:rsidR="00E02ACD" w:rsidRPr="00E85ECD" w:rsidRDefault="00E02ACD" w:rsidP="00B10D1C">
            <w:pPr>
              <w:spacing w:after="0" w:line="480" w:lineRule="auto"/>
              <w:jc w:val="right"/>
              <w:rPr>
                <w:rFonts w:asciiTheme="minorHAnsi" w:hAnsiTheme="minorHAnsi" w:cs="Arial"/>
                <w:i/>
                <w:color w:val="000000"/>
                <w:sz w:val="18"/>
                <w:szCs w:val="18"/>
              </w:rPr>
            </w:pPr>
            <w:r w:rsidRPr="00E85ECD">
              <w:rPr>
                <w:rFonts w:asciiTheme="minorHAnsi" w:hAnsiTheme="minorHAnsi" w:cs="Arial"/>
                <w:i/>
                <w:color w:val="000000"/>
                <w:sz w:val="18"/>
                <w:szCs w:val="18"/>
              </w:rPr>
              <w:t>n</w:t>
            </w:r>
          </w:p>
        </w:tc>
        <w:tc>
          <w:tcPr>
            <w:tcW w:w="993" w:type="dxa"/>
            <w:tcBorders>
              <w:bottom w:val="single" w:sz="4" w:space="0" w:color="auto"/>
              <w:right w:val="single" w:sz="4" w:space="0" w:color="auto"/>
            </w:tcBorders>
            <w:noWrap/>
            <w:vAlign w:val="center"/>
            <w:hideMark/>
          </w:tcPr>
          <w:p w14:paraId="616299FD" w14:textId="77777777" w:rsidR="00E02ACD" w:rsidRPr="00E85ECD" w:rsidRDefault="00E02ACD" w:rsidP="00B10D1C">
            <w:pPr>
              <w:spacing w:after="0" w:line="480" w:lineRule="auto"/>
              <w:jc w:val="right"/>
              <w:rPr>
                <w:rFonts w:asciiTheme="minorHAnsi" w:hAnsiTheme="minorHAnsi" w:cs="Arial"/>
                <w:i/>
                <w:color w:val="000000"/>
                <w:sz w:val="18"/>
                <w:szCs w:val="18"/>
              </w:rPr>
            </w:pPr>
            <w:r w:rsidRPr="00E85ECD">
              <w:rPr>
                <w:rFonts w:asciiTheme="minorHAnsi" w:hAnsiTheme="minorHAnsi" w:cs="Arial"/>
                <w:i/>
                <w:color w:val="000000"/>
                <w:sz w:val="18"/>
                <w:szCs w:val="18"/>
              </w:rPr>
              <w:t>%</w:t>
            </w:r>
          </w:p>
        </w:tc>
        <w:tc>
          <w:tcPr>
            <w:tcW w:w="708" w:type="dxa"/>
            <w:tcBorders>
              <w:left w:val="single" w:sz="4" w:space="0" w:color="auto"/>
              <w:bottom w:val="single" w:sz="4" w:space="0" w:color="auto"/>
            </w:tcBorders>
            <w:noWrap/>
            <w:vAlign w:val="center"/>
            <w:hideMark/>
          </w:tcPr>
          <w:p w14:paraId="1EBA5707" w14:textId="77777777" w:rsidR="00E02ACD" w:rsidRPr="00E85ECD" w:rsidRDefault="00E02ACD" w:rsidP="00B10D1C">
            <w:pPr>
              <w:spacing w:after="0" w:line="480" w:lineRule="auto"/>
              <w:jc w:val="right"/>
              <w:rPr>
                <w:rFonts w:asciiTheme="minorHAnsi" w:hAnsiTheme="minorHAnsi" w:cs="Arial"/>
                <w:i/>
                <w:color w:val="000000"/>
                <w:sz w:val="18"/>
                <w:szCs w:val="18"/>
              </w:rPr>
            </w:pPr>
            <w:r w:rsidRPr="00E85ECD">
              <w:rPr>
                <w:rFonts w:asciiTheme="minorHAnsi" w:hAnsiTheme="minorHAnsi" w:cs="Arial"/>
                <w:i/>
                <w:color w:val="000000"/>
                <w:sz w:val="18"/>
                <w:szCs w:val="18"/>
              </w:rPr>
              <w:t>n</w:t>
            </w:r>
          </w:p>
        </w:tc>
        <w:tc>
          <w:tcPr>
            <w:tcW w:w="993" w:type="dxa"/>
            <w:tcBorders>
              <w:bottom w:val="single" w:sz="4" w:space="0" w:color="auto"/>
              <w:right w:val="single" w:sz="4" w:space="0" w:color="auto"/>
            </w:tcBorders>
            <w:noWrap/>
            <w:vAlign w:val="center"/>
            <w:hideMark/>
          </w:tcPr>
          <w:p w14:paraId="6DA97265" w14:textId="77777777" w:rsidR="00E02ACD" w:rsidRPr="00E85ECD" w:rsidRDefault="00E02ACD" w:rsidP="00B10D1C">
            <w:pPr>
              <w:spacing w:after="0" w:line="480" w:lineRule="auto"/>
              <w:jc w:val="right"/>
              <w:rPr>
                <w:rFonts w:asciiTheme="minorHAnsi" w:hAnsiTheme="minorHAnsi" w:cs="Arial"/>
                <w:i/>
                <w:color w:val="000000"/>
                <w:sz w:val="18"/>
                <w:szCs w:val="18"/>
              </w:rPr>
            </w:pPr>
            <w:r w:rsidRPr="00E85ECD">
              <w:rPr>
                <w:rFonts w:asciiTheme="minorHAnsi" w:hAnsiTheme="minorHAnsi" w:cs="Arial"/>
                <w:i/>
                <w:color w:val="000000"/>
                <w:sz w:val="18"/>
                <w:szCs w:val="18"/>
              </w:rPr>
              <w:t>%</w:t>
            </w:r>
          </w:p>
        </w:tc>
        <w:tc>
          <w:tcPr>
            <w:tcW w:w="850" w:type="dxa"/>
            <w:tcBorders>
              <w:left w:val="single" w:sz="4" w:space="0" w:color="auto"/>
              <w:bottom w:val="single" w:sz="4" w:space="0" w:color="auto"/>
            </w:tcBorders>
            <w:noWrap/>
            <w:vAlign w:val="center"/>
            <w:hideMark/>
          </w:tcPr>
          <w:p w14:paraId="18967824" w14:textId="77777777" w:rsidR="00E02ACD" w:rsidRPr="00E85ECD" w:rsidRDefault="00E02ACD" w:rsidP="00B10D1C">
            <w:pPr>
              <w:spacing w:after="0" w:line="480" w:lineRule="auto"/>
              <w:jc w:val="right"/>
              <w:rPr>
                <w:rFonts w:asciiTheme="minorHAnsi" w:hAnsiTheme="minorHAnsi" w:cs="Arial"/>
                <w:i/>
                <w:color w:val="000000"/>
                <w:sz w:val="18"/>
                <w:szCs w:val="18"/>
              </w:rPr>
            </w:pPr>
            <w:r w:rsidRPr="00E85ECD">
              <w:rPr>
                <w:rFonts w:asciiTheme="minorHAnsi" w:hAnsiTheme="minorHAnsi" w:cs="Arial"/>
                <w:i/>
                <w:color w:val="000000"/>
                <w:sz w:val="18"/>
                <w:szCs w:val="18"/>
              </w:rPr>
              <w:t>χ</w:t>
            </w:r>
            <w:r w:rsidRPr="00E85ECD">
              <w:rPr>
                <w:rFonts w:asciiTheme="minorHAnsi" w:hAnsiTheme="minorHAnsi" w:cs="Arial"/>
                <w:i/>
                <w:color w:val="000000"/>
                <w:sz w:val="18"/>
                <w:szCs w:val="18"/>
                <w:vertAlign w:val="superscript"/>
              </w:rPr>
              <w:t>2</w:t>
            </w:r>
          </w:p>
        </w:tc>
        <w:tc>
          <w:tcPr>
            <w:tcW w:w="851" w:type="dxa"/>
            <w:tcBorders>
              <w:bottom w:val="single" w:sz="4" w:space="0" w:color="auto"/>
            </w:tcBorders>
            <w:noWrap/>
            <w:vAlign w:val="center"/>
            <w:hideMark/>
          </w:tcPr>
          <w:p w14:paraId="5F8BC2D6" w14:textId="77777777" w:rsidR="00E02ACD" w:rsidRPr="00E85ECD" w:rsidRDefault="00E02ACD" w:rsidP="00B10D1C">
            <w:pPr>
              <w:spacing w:after="0" w:line="480" w:lineRule="auto"/>
              <w:jc w:val="right"/>
              <w:rPr>
                <w:rFonts w:asciiTheme="minorHAnsi" w:hAnsiTheme="minorHAnsi" w:cs="Arial"/>
                <w:i/>
                <w:color w:val="000000"/>
                <w:sz w:val="18"/>
                <w:szCs w:val="18"/>
              </w:rPr>
            </w:pPr>
            <w:r w:rsidRPr="00E85ECD">
              <w:rPr>
                <w:rFonts w:asciiTheme="minorHAnsi" w:hAnsiTheme="minorHAnsi" w:cs="Arial"/>
                <w:i/>
                <w:color w:val="000000"/>
                <w:sz w:val="18"/>
                <w:szCs w:val="18"/>
              </w:rPr>
              <w:t>p</w:t>
            </w:r>
          </w:p>
        </w:tc>
      </w:tr>
      <w:tr w:rsidR="00E85ECD" w:rsidRPr="00E85ECD" w14:paraId="4A5C3B14" w14:textId="77777777" w:rsidTr="00E85ECD">
        <w:trPr>
          <w:trHeight w:val="414"/>
        </w:trPr>
        <w:tc>
          <w:tcPr>
            <w:tcW w:w="3375" w:type="dxa"/>
            <w:gridSpan w:val="2"/>
            <w:tcBorders>
              <w:top w:val="single" w:sz="4" w:space="0" w:color="auto"/>
              <w:right w:val="single" w:sz="4" w:space="0" w:color="auto"/>
            </w:tcBorders>
            <w:noWrap/>
            <w:vAlign w:val="center"/>
            <w:hideMark/>
          </w:tcPr>
          <w:p w14:paraId="16E9EFB1" w14:textId="77777777" w:rsidR="00E02ACD" w:rsidRPr="00E85ECD" w:rsidRDefault="00E02ACD" w:rsidP="00B10D1C">
            <w:pPr>
              <w:pStyle w:val="NoSpacing"/>
              <w:spacing w:line="480" w:lineRule="auto"/>
              <w:rPr>
                <w:rFonts w:asciiTheme="minorHAnsi" w:hAnsiTheme="minorHAnsi" w:cs="Arial"/>
                <w:sz w:val="18"/>
                <w:szCs w:val="18"/>
              </w:rPr>
            </w:pPr>
            <w:r w:rsidRPr="00E85ECD">
              <w:rPr>
                <w:rFonts w:asciiTheme="minorHAnsi" w:hAnsiTheme="minorHAnsi" w:cs="Arial"/>
                <w:sz w:val="18"/>
                <w:szCs w:val="18"/>
              </w:rPr>
              <w:t>Male gender</w:t>
            </w:r>
          </w:p>
        </w:tc>
        <w:tc>
          <w:tcPr>
            <w:tcW w:w="850" w:type="dxa"/>
            <w:tcBorders>
              <w:top w:val="single" w:sz="4" w:space="0" w:color="auto"/>
              <w:left w:val="single" w:sz="4" w:space="0" w:color="auto"/>
            </w:tcBorders>
            <w:noWrap/>
            <w:vAlign w:val="center"/>
            <w:hideMark/>
          </w:tcPr>
          <w:p w14:paraId="279D0FDA" w14:textId="77777777" w:rsidR="00E02ACD" w:rsidRPr="00E85ECD" w:rsidRDefault="00E02ACD" w:rsidP="00B10D1C">
            <w:pPr>
              <w:spacing w:after="0" w:line="480" w:lineRule="auto"/>
              <w:jc w:val="right"/>
              <w:rPr>
                <w:rFonts w:asciiTheme="minorHAnsi" w:hAnsiTheme="minorHAnsi" w:cs="Arial"/>
                <w:b/>
                <w:bCs/>
                <w:color w:val="000000"/>
                <w:sz w:val="18"/>
                <w:szCs w:val="18"/>
              </w:rPr>
            </w:pPr>
            <w:r w:rsidRPr="00E85ECD">
              <w:rPr>
                <w:rFonts w:asciiTheme="minorHAnsi" w:hAnsiTheme="minorHAnsi" w:cs="Arial"/>
                <w:b/>
                <w:bCs/>
                <w:color w:val="000000"/>
                <w:sz w:val="18"/>
                <w:szCs w:val="18"/>
              </w:rPr>
              <w:t>162</w:t>
            </w:r>
          </w:p>
        </w:tc>
        <w:tc>
          <w:tcPr>
            <w:tcW w:w="1054" w:type="dxa"/>
            <w:tcBorders>
              <w:top w:val="single" w:sz="4" w:space="0" w:color="auto"/>
              <w:right w:val="single" w:sz="4" w:space="0" w:color="auto"/>
            </w:tcBorders>
            <w:noWrap/>
            <w:vAlign w:val="center"/>
            <w:hideMark/>
          </w:tcPr>
          <w:p w14:paraId="4F75DAA9"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62.1</w:t>
            </w:r>
          </w:p>
        </w:tc>
        <w:tc>
          <w:tcPr>
            <w:tcW w:w="992" w:type="dxa"/>
            <w:tcBorders>
              <w:top w:val="single" w:sz="4" w:space="0" w:color="auto"/>
              <w:left w:val="single" w:sz="4" w:space="0" w:color="auto"/>
            </w:tcBorders>
            <w:noWrap/>
            <w:vAlign w:val="center"/>
            <w:hideMark/>
          </w:tcPr>
          <w:p w14:paraId="775275A2" w14:textId="77777777" w:rsidR="00E02ACD" w:rsidRPr="00E85ECD" w:rsidRDefault="00E02ACD" w:rsidP="00B10D1C">
            <w:pPr>
              <w:spacing w:after="0" w:line="480" w:lineRule="auto"/>
              <w:jc w:val="right"/>
              <w:rPr>
                <w:rFonts w:asciiTheme="minorHAnsi" w:hAnsiTheme="minorHAnsi" w:cs="Arial"/>
                <w:b/>
                <w:bCs/>
                <w:color w:val="000000"/>
                <w:sz w:val="18"/>
                <w:szCs w:val="18"/>
              </w:rPr>
            </w:pPr>
            <w:r w:rsidRPr="00E85ECD">
              <w:rPr>
                <w:rFonts w:asciiTheme="minorHAnsi" w:hAnsiTheme="minorHAnsi" w:cs="Arial"/>
                <w:b/>
                <w:bCs/>
                <w:color w:val="000000"/>
                <w:sz w:val="18"/>
                <w:szCs w:val="18"/>
              </w:rPr>
              <w:t>45</w:t>
            </w:r>
          </w:p>
        </w:tc>
        <w:tc>
          <w:tcPr>
            <w:tcW w:w="851" w:type="dxa"/>
            <w:tcBorders>
              <w:top w:val="single" w:sz="4" w:space="0" w:color="auto"/>
              <w:right w:val="single" w:sz="4" w:space="0" w:color="auto"/>
            </w:tcBorders>
            <w:noWrap/>
            <w:vAlign w:val="center"/>
            <w:hideMark/>
          </w:tcPr>
          <w:p w14:paraId="3177CBCD"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81.8</w:t>
            </w:r>
          </w:p>
        </w:tc>
        <w:tc>
          <w:tcPr>
            <w:tcW w:w="850" w:type="dxa"/>
            <w:tcBorders>
              <w:top w:val="single" w:sz="4" w:space="0" w:color="auto"/>
              <w:left w:val="single" w:sz="4" w:space="0" w:color="auto"/>
            </w:tcBorders>
            <w:noWrap/>
            <w:vAlign w:val="center"/>
            <w:hideMark/>
          </w:tcPr>
          <w:p w14:paraId="5BD24C5D" w14:textId="77777777" w:rsidR="00E02ACD" w:rsidRPr="00E85ECD" w:rsidRDefault="00E02ACD" w:rsidP="00B10D1C">
            <w:pPr>
              <w:spacing w:after="0" w:line="480" w:lineRule="auto"/>
              <w:jc w:val="right"/>
              <w:rPr>
                <w:rFonts w:asciiTheme="minorHAnsi" w:hAnsiTheme="minorHAnsi" w:cs="Arial"/>
                <w:b/>
                <w:bCs/>
                <w:color w:val="000000"/>
                <w:sz w:val="18"/>
                <w:szCs w:val="18"/>
              </w:rPr>
            </w:pPr>
            <w:r w:rsidRPr="00E85ECD">
              <w:rPr>
                <w:rFonts w:asciiTheme="minorHAnsi" w:hAnsiTheme="minorHAnsi" w:cs="Arial"/>
                <w:b/>
                <w:bCs/>
                <w:color w:val="000000"/>
                <w:sz w:val="18"/>
                <w:szCs w:val="18"/>
              </w:rPr>
              <w:t>62</w:t>
            </w:r>
          </w:p>
        </w:tc>
        <w:tc>
          <w:tcPr>
            <w:tcW w:w="993" w:type="dxa"/>
            <w:tcBorders>
              <w:top w:val="single" w:sz="4" w:space="0" w:color="auto"/>
              <w:right w:val="single" w:sz="4" w:space="0" w:color="auto"/>
            </w:tcBorders>
            <w:noWrap/>
            <w:vAlign w:val="center"/>
            <w:hideMark/>
          </w:tcPr>
          <w:p w14:paraId="2DC88445"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62.0</w:t>
            </w:r>
          </w:p>
        </w:tc>
        <w:tc>
          <w:tcPr>
            <w:tcW w:w="708" w:type="dxa"/>
            <w:tcBorders>
              <w:top w:val="single" w:sz="4" w:space="0" w:color="auto"/>
              <w:left w:val="single" w:sz="4" w:space="0" w:color="auto"/>
            </w:tcBorders>
            <w:noWrap/>
            <w:vAlign w:val="center"/>
            <w:hideMark/>
          </w:tcPr>
          <w:p w14:paraId="008727E8" w14:textId="77777777" w:rsidR="00E02ACD" w:rsidRPr="00E85ECD" w:rsidRDefault="00E02ACD" w:rsidP="00B10D1C">
            <w:pPr>
              <w:spacing w:after="0" w:line="480" w:lineRule="auto"/>
              <w:jc w:val="right"/>
              <w:rPr>
                <w:rFonts w:asciiTheme="minorHAnsi" w:hAnsiTheme="minorHAnsi" w:cs="Arial"/>
                <w:b/>
                <w:bCs/>
                <w:color w:val="000000"/>
                <w:sz w:val="18"/>
                <w:szCs w:val="18"/>
              </w:rPr>
            </w:pPr>
            <w:r w:rsidRPr="00E85ECD">
              <w:rPr>
                <w:rFonts w:asciiTheme="minorHAnsi" w:hAnsiTheme="minorHAnsi" w:cs="Arial"/>
                <w:b/>
                <w:bCs/>
                <w:color w:val="000000"/>
                <w:sz w:val="18"/>
                <w:szCs w:val="18"/>
              </w:rPr>
              <w:t>55</w:t>
            </w:r>
          </w:p>
        </w:tc>
        <w:tc>
          <w:tcPr>
            <w:tcW w:w="993" w:type="dxa"/>
            <w:tcBorders>
              <w:top w:val="single" w:sz="4" w:space="0" w:color="auto"/>
              <w:right w:val="single" w:sz="4" w:space="0" w:color="auto"/>
            </w:tcBorders>
            <w:noWrap/>
            <w:vAlign w:val="center"/>
            <w:hideMark/>
          </w:tcPr>
          <w:p w14:paraId="5C12A4C7"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51.9</w:t>
            </w:r>
          </w:p>
        </w:tc>
        <w:tc>
          <w:tcPr>
            <w:tcW w:w="850" w:type="dxa"/>
            <w:tcBorders>
              <w:top w:val="single" w:sz="4" w:space="0" w:color="auto"/>
              <w:left w:val="single" w:sz="4" w:space="0" w:color="auto"/>
            </w:tcBorders>
            <w:noWrap/>
            <w:vAlign w:val="center"/>
            <w:hideMark/>
          </w:tcPr>
          <w:p w14:paraId="52485AA8"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13.8</w:t>
            </w:r>
          </w:p>
        </w:tc>
        <w:tc>
          <w:tcPr>
            <w:tcW w:w="851" w:type="dxa"/>
            <w:tcBorders>
              <w:top w:val="single" w:sz="4" w:space="0" w:color="auto"/>
            </w:tcBorders>
            <w:noWrap/>
            <w:vAlign w:val="center"/>
            <w:hideMark/>
          </w:tcPr>
          <w:p w14:paraId="3CCAC7B5"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.001</w:t>
            </w:r>
          </w:p>
        </w:tc>
      </w:tr>
      <w:tr w:rsidR="00E85ECD" w:rsidRPr="00E85ECD" w14:paraId="1880D292" w14:textId="77777777" w:rsidTr="00E85ECD">
        <w:trPr>
          <w:trHeight w:val="414"/>
        </w:trPr>
        <w:tc>
          <w:tcPr>
            <w:tcW w:w="3375" w:type="dxa"/>
            <w:gridSpan w:val="2"/>
            <w:tcBorders>
              <w:bottom w:val="single" w:sz="4" w:space="0" w:color="auto"/>
              <w:right w:val="single" w:sz="4" w:space="0" w:color="auto"/>
            </w:tcBorders>
            <w:noWrap/>
            <w:vAlign w:val="center"/>
            <w:hideMark/>
          </w:tcPr>
          <w:p w14:paraId="4F533D50" w14:textId="77777777" w:rsidR="00E02ACD" w:rsidRPr="00E85ECD" w:rsidRDefault="00E02ACD" w:rsidP="00B10D1C">
            <w:pPr>
              <w:pStyle w:val="NoSpacing"/>
              <w:spacing w:line="480" w:lineRule="auto"/>
              <w:rPr>
                <w:rFonts w:asciiTheme="minorHAnsi" w:hAnsiTheme="minorHAnsi" w:cs="Arial"/>
                <w:sz w:val="18"/>
                <w:szCs w:val="18"/>
              </w:rPr>
            </w:pPr>
            <w:r w:rsidRPr="00E85ECD">
              <w:rPr>
                <w:rFonts w:asciiTheme="minorHAnsi" w:hAnsiTheme="minorHAnsi" w:cs="Arial"/>
                <w:sz w:val="18"/>
                <w:szCs w:val="18"/>
              </w:rPr>
              <w:t>White British</w:t>
            </w:r>
          </w:p>
        </w:tc>
        <w:tc>
          <w:tcPr>
            <w:tcW w:w="850" w:type="dxa"/>
            <w:tcBorders>
              <w:left w:val="single" w:sz="4" w:space="0" w:color="auto"/>
              <w:bottom w:val="single" w:sz="4" w:space="0" w:color="auto"/>
            </w:tcBorders>
            <w:noWrap/>
            <w:vAlign w:val="center"/>
            <w:hideMark/>
          </w:tcPr>
          <w:p w14:paraId="4764181A" w14:textId="77777777" w:rsidR="00E02ACD" w:rsidRPr="00E85ECD" w:rsidRDefault="00E02ACD" w:rsidP="00B10D1C">
            <w:pPr>
              <w:spacing w:after="0" w:line="480" w:lineRule="auto"/>
              <w:jc w:val="right"/>
              <w:rPr>
                <w:rFonts w:asciiTheme="minorHAnsi" w:hAnsiTheme="minorHAnsi" w:cs="Arial"/>
                <w:b/>
                <w:bCs/>
                <w:color w:val="000000"/>
                <w:sz w:val="18"/>
                <w:szCs w:val="18"/>
              </w:rPr>
            </w:pPr>
            <w:r w:rsidRPr="00E85ECD">
              <w:rPr>
                <w:rFonts w:asciiTheme="minorHAnsi" w:hAnsiTheme="minorHAnsi" w:cs="Arial"/>
                <w:b/>
                <w:bCs/>
                <w:color w:val="000000"/>
                <w:sz w:val="18"/>
                <w:szCs w:val="18"/>
              </w:rPr>
              <w:t>244</w:t>
            </w:r>
          </w:p>
        </w:tc>
        <w:tc>
          <w:tcPr>
            <w:tcW w:w="1054" w:type="dxa"/>
            <w:tcBorders>
              <w:bottom w:val="single" w:sz="4" w:space="0" w:color="auto"/>
              <w:right w:val="single" w:sz="4" w:space="0" w:color="auto"/>
            </w:tcBorders>
            <w:noWrap/>
            <w:vAlign w:val="center"/>
            <w:hideMark/>
          </w:tcPr>
          <w:p w14:paraId="65FD88D1"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93.5</w:t>
            </w:r>
          </w:p>
        </w:tc>
        <w:tc>
          <w:tcPr>
            <w:tcW w:w="992" w:type="dxa"/>
            <w:tcBorders>
              <w:left w:val="single" w:sz="4" w:space="0" w:color="auto"/>
              <w:bottom w:val="single" w:sz="4" w:space="0" w:color="auto"/>
            </w:tcBorders>
            <w:noWrap/>
            <w:vAlign w:val="center"/>
            <w:hideMark/>
          </w:tcPr>
          <w:p w14:paraId="4A769EEE" w14:textId="77777777" w:rsidR="00E02ACD" w:rsidRPr="00E85ECD" w:rsidRDefault="00E02ACD" w:rsidP="00B10D1C">
            <w:pPr>
              <w:spacing w:after="0" w:line="480" w:lineRule="auto"/>
              <w:jc w:val="right"/>
              <w:rPr>
                <w:rFonts w:asciiTheme="minorHAnsi" w:hAnsiTheme="minorHAnsi" w:cs="Arial"/>
                <w:b/>
                <w:bCs/>
                <w:color w:val="000000"/>
                <w:sz w:val="18"/>
                <w:szCs w:val="18"/>
              </w:rPr>
            </w:pPr>
            <w:r w:rsidRPr="00E85ECD">
              <w:rPr>
                <w:rFonts w:asciiTheme="minorHAnsi" w:hAnsiTheme="minorHAnsi" w:cs="Arial"/>
                <w:b/>
                <w:bCs/>
                <w:color w:val="000000"/>
                <w:sz w:val="18"/>
                <w:szCs w:val="18"/>
              </w:rPr>
              <w:t>51</w:t>
            </w:r>
          </w:p>
        </w:tc>
        <w:tc>
          <w:tcPr>
            <w:tcW w:w="851" w:type="dxa"/>
            <w:tcBorders>
              <w:bottom w:val="single" w:sz="4" w:space="0" w:color="auto"/>
              <w:right w:val="single" w:sz="4" w:space="0" w:color="auto"/>
            </w:tcBorders>
            <w:noWrap/>
            <w:vAlign w:val="center"/>
            <w:hideMark/>
          </w:tcPr>
          <w:p w14:paraId="43BBE49B"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92.7</w:t>
            </w:r>
          </w:p>
        </w:tc>
        <w:tc>
          <w:tcPr>
            <w:tcW w:w="850" w:type="dxa"/>
            <w:tcBorders>
              <w:left w:val="single" w:sz="4" w:space="0" w:color="auto"/>
              <w:bottom w:val="single" w:sz="4" w:space="0" w:color="auto"/>
            </w:tcBorders>
            <w:noWrap/>
            <w:vAlign w:val="center"/>
            <w:hideMark/>
          </w:tcPr>
          <w:p w14:paraId="1A3DE77A" w14:textId="77777777" w:rsidR="00E02ACD" w:rsidRPr="00E85ECD" w:rsidRDefault="00E02ACD" w:rsidP="00B10D1C">
            <w:pPr>
              <w:spacing w:after="0" w:line="480" w:lineRule="auto"/>
              <w:jc w:val="right"/>
              <w:rPr>
                <w:rFonts w:asciiTheme="minorHAnsi" w:hAnsiTheme="minorHAnsi" w:cs="Arial"/>
                <w:b/>
                <w:bCs/>
                <w:color w:val="000000"/>
                <w:sz w:val="18"/>
                <w:szCs w:val="18"/>
              </w:rPr>
            </w:pPr>
            <w:r w:rsidRPr="00E85ECD">
              <w:rPr>
                <w:rFonts w:asciiTheme="minorHAnsi" w:hAnsiTheme="minorHAnsi" w:cs="Arial"/>
                <w:b/>
                <w:bCs/>
                <w:color w:val="000000"/>
                <w:sz w:val="18"/>
                <w:szCs w:val="18"/>
              </w:rPr>
              <w:t>92</w:t>
            </w:r>
          </w:p>
        </w:tc>
        <w:tc>
          <w:tcPr>
            <w:tcW w:w="993" w:type="dxa"/>
            <w:tcBorders>
              <w:bottom w:val="single" w:sz="4" w:space="0" w:color="auto"/>
              <w:right w:val="single" w:sz="4" w:space="0" w:color="auto"/>
            </w:tcBorders>
            <w:noWrap/>
            <w:vAlign w:val="center"/>
            <w:hideMark/>
          </w:tcPr>
          <w:p w14:paraId="53E5ECA4"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92.0</w:t>
            </w:r>
          </w:p>
        </w:tc>
        <w:tc>
          <w:tcPr>
            <w:tcW w:w="708" w:type="dxa"/>
            <w:tcBorders>
              <w:left w:val="single" w:sz="4" w:space="0" w:color="auto"/>
              <w:bottom w:val="single" w:sz="4" w:space="0" w:color="auto"/>
            </w:tcBorders>
            <w:noWrap/>
            <w:vAlign w:val="center"/>
            <w:hideMark/>
          </w:tcPr>
          <w:p w14:paraId="36B427B2" w14:textId="77777777" w:rsidR="00E02ACD" w:rsidRPr="00E85ECD" w:rsidRDefault="00E02ACD" w:rsidP="00B10D1C">
            <w:pPr>
              <w:spacing w:after="0" w:line="480" w:lineRule="auto"/>
              <w:jc w:val="right"/>
              <w:rPr>
                <w:rFonts w:asciiTheme="minorHAnsi" w:hAnsiTheme="minorHAnsi" w:cs="Arial"/>
                <w:b/>
                <w:bCs/>
                <w:color w:val="000000"/>
                <w:sz w:val="18"/>
                <w:szCs w:val="18"/>
              </w:rPr>
            </w:pPr>
            <w:r w:rsidRPr="00E85ECD">
              <w:rPr>
                <w:rFonts w:asciiTheme="minorHAnsi" w:hAnsiTheme="minorHAnsi" w:cs="Arial"/>
                <w:b/>
                <w:bCs/>
                <w:color w:val="000000"/>
                <w:sz w:val="18"/>
                <w:szCs w:val="18"/>
              </w:rPr>
              <w:t>101</w:t>
            </w:r>
          </w:p>
        </w:tc>
        <w:tc>
          <w:tcPr>
            <w:tcW w:w="993" w:type="dxa"/>
            <w:tcBorders>
              <w:bottom w:val="single" w:sz="4" w:space="0" w:color="auto"/>
              <w:right w:val="single" w:sz="4" w:space="0" w:color="auto"/>
            </w:tcBorders>
            <w:noWrap/>
            <w:vAlign w:val="center"/>
            <w:hideMark/>
          </w:tcPr>
          <w:p w14:paraId="3863A285"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95.3</w:t>
            </w:r>
          </w:p>
        </w:tc>
        <w:tc>
          <w:tcPr>
            <w:tcW w:w="850" w:type="dxa"/>
            <w:tcBorders>
              <w:left w:val="single" w:sz="4" w:space="0" w:color="auto"/>
              <w:bottom w:val="single" w:sz="4" w:space="0" w:color="auto"/>
            </w:tcBorders>
            <w:noWrap/>
            <w:vAlign w:val="center"/>
            <w:hideMark/>
          </w:tcPr>
          <w:p w14:paraId="615E8D66"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0.98</w:t>
            </w:r>
          </w:p>
        </w:tc>
        <w:tc>
          <w:tcPr>
            <w:tcW w:w="851" w:type="dxa"/>
            <w:tcBorders>
              <w:bottom w:val="single" w:sz="4" w:space="0" w:color="auto"/>
            </w:tcBorders>
            <w:noWrap/>
            <w:vAlign w:val="center"/>
            <w:hideMark/>
          </w:tcPr>
          <w:p w14:paraId="03636E08"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NS</w:t>
            </w:r>
          </w:p>
        </w:tc>
      </w:tr>
      <w:tr w:rsidR="00E85ECD" w:rsidRPr="00E85ECD" w14:paraId="56E1C0F4" w14:textId="77777777" w:rsidTr="00E85ECD">
        <w:trPr>
          <w:trHeight w:val="414"/>
        </w:trPr>
        <w:tc>
          <w:tcPr>
            <w:tcW w:w="1107" w:type="dxa"/>
            <w:vMerge w:val="restart"/>
            <w:tcBorders>
              <w:top w:val="single" w:sz="4" w:space="0" w:color="auto"/>
              <w:bottom w:val="single" w:sz="4" w:space="0" w:color="auto"/>
            </w:tcBorders>
            <w:noWrap/>
            <w:vAlign w:val="center"/>
            <w:hideMark/>
          </w:tcPr>
          <w:p w14:paraId="211ADE38" w14:textId="77777777" w:rsidR="00E02ACD" w:rsidRPr="00E85ECD" w:rsidRDefault="00E02ACD" w:rsidP="00B10D1C">
            <w:pPr>
              <w:pStyle w:val="NoSpacing"/>
              <w:spacing w:line="480" w:lineRule="auto"/>
              <w:rPr>
                <w:rFonts w:asciiTheme="minorHAnsi" w:hAnsiTheme="minorHAnsi" w:cs="Arial"/>
                <w:sz w:val="18"/>
                <w:szCs w:val="18"/>
              </w:rPr>
            </w:pPr>
            <w:r w:rsidRPr="00E85ECD">
              <w:rPr>
                <w:rFonts w:asciiTheme="minorHAnsi" w:hAnsiTheme="minorHAnsi" w:cs="Arial"/>
                <w:sz w:val="18"/>
                <w:szCs w:val="18"/>
              </w:rPr>
              <w:t>Diagnosis</w:t>
            </w:r>
          </w:p>
        </w:tc>
        <w:tc>
          <w:tcPr>
            <w:tcW w:w="2268" w:type="dxa"/>
            <w:tcBorders>
              <w:top w:val="single" w:sz="4" w:space="0" w:color="auto"/>
              <w:right w:val="single" w:sz="4" w:space="0" w:color="auto"/>
            </w:tcBorders>
            <w:vAlign w:val="center"/>
          </w:tcPr>
          <w:p w14:paraId="1ECBC025" w14:textId="77777777" w:rsidR="00E02ACD" w:rsidRPr="00E85ECD" w:rsidRDefault="00E02ACD" w:rsidP="00B10D1C">
            <w:pPr>
              <w:pStyle w:val="NoSpacing"/>
              <w:spacing w:line="480" w:lineRule="auto"/>
              <w:rPr>
                <w:rFonts w:asciiTheme="minorHAnsi" w:hAnsiTheme="minorHAnsi" w:cs="Arial"/>
                <w:sz w:val="18"/>
                <w:szCs w:val="18"/>
              </w:rPr>
            </w:pPr>
            <w:r w:rsidRPr="00E85ECD">
              <w:rPr>
                <w:rFonts w:asciiTheme="minorHAnsi" w:hAnsiTheme="minorHAnsi" w:cs="Arial"/>
                <w:sz w:val="18"/>
                <w:szCs w:val="18"/>
              </w:rPr>
              <w:t>Schizophrenia</w:t>
            </w:r>
          </w:p>
        </w:tc>
        <w:tc>
          <w:tcPr>
            <w:tcW w:w="850" w:type="dxa"/>
            <w:tcBorders>
              <w:top w:val="single" w:sz="4" w:space="0" w:color="auto"/>
              <w:left w:val="single" w:sz="4" w:space="0" w:color="auto"/>
            </w:tcBorders>
            <w:noWrap/>
            <w:vAlign w:val="center"/>
            <w:hideMark/>
          </w:tcPr>
          <w:p w14:paraId="09970EF5" w14:textId="77777777" w:rsidR="00E02ACD" w:rsidRPr="00E85ECD" w:rsidRDefault="00E02ACD" w:rsidP="00B10D1C">
            <w:pPr>
              <w:spacing w:after="0" w:line="480" w:lineRule="auto"/>
              <w:jc w:val="right"/>
              <w:rPr>
                <w:rFonts w:asciiTheme="minorHAnsi" w:hAnsiTheme="minorHAnsi" w:cs="Arial"/>
                <w:b/>
                <w:bCs/>
                <w:color w:val="000000"/>
                <w:sz w:val="18"/>
                <w:szCs w:val="18"/>
              </w:rPr>
            </w:pPr>
            <w:r w:rsidRPr="00E85ECD">
              <w:rPr>
                <w:rFonts w:asciiTheme="minorHAnsi" w:hAnsiTheme="minorHAnsi" w:cs="Arial"/>
                <w:b/>
                <w:bCs/>
                <w:color w:val="000000"/>
                <w:sz w:val="18"/>
                <w:szCs w:val="18"/>
              </w:rPr>
              <w:t>137</w:t>
            </w:r>
          </w:p>
        </w:tc>
        <w:tc>
          <w:tcPr>
            <w:tcW w:w="1054" w:type="dxa"/>
            <w:tcBorders>
              <w:top w:val="single" w:sz="4" w:space="0" w:color="auto"/>
              <w:right w:val="single" w:sz="4" w:space="0" w:color="auto"/>
            </w:tcBorders>
            <w:noWrap/>
            <w:vAlign w:val="center"/>
            <w:hideMark/>
          </w:tcPr>
          <w:p w14:paraId="0325735F"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52.5</w:t>
            </w:r>
          </w:p>
        </w:tc>
        <w:tc>
          <w:tcPr>
            <w:tcW w:w="992" w:type="dxa"/>
            <w:tcBorders>
              <w:top w:val="single" w:sz="4" w:space="0" w:color="auto"/>
              <w:left w:val="single" w:sz="4" w:space="0" w:color="auto"/>
            </w:tcBorders>
            <w:noWrap/>
            <w:vAlign w:val="center"/>
            <w:hideMark/>
          </w:tcPr>
          <w:p w14:paraId="4EC7B6FD" w14:textId="77777777" w:rsidR="00E02ACD" w:rsidRPr="00E85ECD" w:rsidRDefault="00E02ACD" w:rsidP="00B10D1C">
            <w:pPr>
              <w:spacing w:after="0" w:line="480" w:lineRule="auto"/>
              <w:jc w:val="right"/>
              <w:rPr>
                <w:rFonts w:asciiTheme="minorHAnsi" w:hAnsiTheme="minorHAnsi" w:cs="Arial"/>
                <w:b/>
                <w:bCs/>
                <w:color w:val="000000"/>
                <w:sz w:val="18"/>
                <w:szCs w:val="18"/>
              </w:rPr>
            </w:pPr>
            <w:r w:rsidRPr="00E85ECD">
              <w:rPr>
                <w:rFonts w:asciiTheme="minorHAnsi" w:hAnsiTheme="minorHAnsi" w:cs="Arial"/>
                <w:b/>
                <w:bCs/>
                <w:color w:val="000000"/>
                <w:sz w:val="18"/>
                <w:szCs w:val="18"/>
              </w:rPr>
              <w:t>53</w:t>
            </w:r>
          </w:p>
        </w:tc>
        <w:tc>
          <w:tcPr>
            <w:tcW w:w="851" w:type="dxa"/>
            <w:tcBorders>
              <w:top w:val="single" w:sz="4" w:space="0" w:color="auto"/>
              <w:right w:val="single" w:sz="4" w:space="0" w:color="auto"/>
            </w:tcBorders>
            <w:noWrap/>
            <w:vAlign w:val="center"/>
            <w:hideMark/>
          </w:tcPr>
          <w:p w14:paraId="5EC3D995"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96.4</w:t>
            </w:r>
          </w:p>
        </w:tc>
        <w:tc>
          <w:tcPr>
            <w:tcW w:w="850" w:type="dxa"/>
            <w:tcBorders>
              <w:top w:val="single" w:sz="4" w:space="0" w:color="auto"/>
              <w:left w:val="single" w:sz="4" w:space="0" w:color="auto"/>
            </w:tcBorders>
            <w:noWrap/>
            <w:vAlign w:val="center"/>
            <w:hideMark/>
          </w:tcPr>
          <w:p w14:paraId="1A7F1986" w14:textId="77777777" w:rsidR="00E02ACD" w:rsidRPr="00E85ECD" w:rsidRDefault="00E02ACD" w:rsidP="00B10D1C">
            <w:pPr>
              <w:spacing w:after="0" w:line="480" w:lineRule="auto"/>
              <w:jc w:val="right"/>
              <w:rPr>
                <w:rFonts w:asciiTheme="minorHAnsi" w:hAnsiTheme="minorHAnsi" w:cs="Arial"/>
                <w:b/>
                <w:bCs/>
                <w:color w:val="000000"/>
                <w:sz w:val="18"/>
                <w:szCs w:val="18"/>
              </w:rPr>
            </w:pPr>
            <w:r w:rsidRPr="00E85ECD">
              <w:rPr>
                <w:rFonts w:asciiTheme="minorHAnsi" w:hAnsiTheme="minorHAnsi" w:cs="Arial"/>
                <w:b/>
                <w:bCs/>
                <w:color w:val="000000"/>
                <w:sz w:val="18"/>
                <w:szCs w:val="18"/>
              </w:rPr>
              <w:t>45</w:t>
            </w:r>
          </w:p>
        </w:tc>
        <w:tc>
          <w:tcPr>
            <w:tcW w:w="993" w:type="dxa"/>
            <w:tcBorders>
              <w:top w:val="single" w:sz="4" w:space="0" w:color="auto"/>
              <w:right w:val="single" w:sz="4" w:space="0" w:color="auto"/>
            </w:tcBorders>
            <w:noWrap/>
            <w:vAlign w:val="center"/>
            <w:hideMark/>
          </w:tcPr>
          <w:p w14:paraId="1902EED7"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45.0</w:t>
            </w:r>
          </w:p>
        </w:tc>
        <w:tc>
          <w:tcPr>
            <w:tcW w:w="708" w:type="dxa"/>
            <w:tcBorders>
              <w:top w:val="single" w:sz="4" w:space="0" w:color="auto"/>
              <w:left w:val="single" w:sz="4" w:space="0" w:color="auto"/>
            </w:tcBorders>
            <w:noWrap/>
            <w:vAlign w:val="center"/>
            <w:hideMark/>
          </w:tcPr>
          <w:p w14:paraId="20917AAF" w14:textId="77777777" w:rsidR="00E02ACD" w:rsidRPr="00E85ECD" w:rsidRDefault="00E02ACD" w:rsidP="00B10D1C">
            <w:pPr>
              <w:spacing w:after="0" w:line="480" w:lineRule="auto"/>
              <w:jc w:val="right"/>
              <w:rPr>
                <w:rFonts w:asciiTheme="minorHAnsi" w:hAnsiTheme="minorHAnsi" w:cs="Arial"/>
                <w:b/>
                <w:bCs/>
                <w:color w:val="000000"/>
                <w:sz w:val="18"/>
                <w:szCs w:val="18"/>
              </w:rPr>
            </w:pPr>
            <w:r w:rsidRPr="00E85ECD">
              <w:rPr>
                <w:rFonts w:asciiTheme="minorHAnsi" w:hAnsiTheme="minorHAnsi" w:cs="Arial"/>
                <w:b/>
                <w:bCs/>
                <w:color w:val="000000"/>
                <w:sz w:val="18"/>
                <w:szCs w:val="18"/>
              </w:rPr>
              <w:t>39</w:t>
            </w:r>
          </w:p>
        </w:tc>
        <w:tc>
          <w:tcPr>
            <w:tcW w:w="993" w:type="dxa"/>
            <w:tcBorders>
              <w:top w:val="single" w:sz="4" w:space="0" w:color="auto"/>
              <w:right w:val="single" w:sz="4" w:space="0" w:color="auto"/>
            </w:tcBorders>
            <w:noWrap/>
            <w:vAlign w:val="center"/>
            <w:hideMark/>
          </w:tcPr>
          <w:p w14:paraId="081C577B"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36.8</w:t>
            </w:r>
          </w:p>
        </w:tc>
        <w:tc>
          <w:tcPr>
            <w:tcW w:w="850" w:type="dxa"/>
            <w:vMerge w:val="restart"/>
            <w:tcBorders>
              <w:top w:val="single" w:sz="4" w:space="0" w:color="auto"/>
              <w:left w:val="single" w:sz="4" w:space="0" w:color="auto"/>
            </w:tcBorders>
            <w:noWrap/>
            <w:vAlign w:val="center"/>
            <w:hideMark/>
          </w:tcPr>
          <w:p w14:paraId="4254BD3C"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57.1</w:t>
            </w:r>
          </w:p>
        </w:tc>
        <w:tc>
          <w:tcPr>
            <w:tcW w:w="851" w:type="dxa"/>
            <w:vMerge w:val="restart"/>
            <w:tcBorders>
              <w:top w:val="single" w:sz="4" w:space="0" w:color="auto"/>
            </w:tcBorders>
            <w:noWrap/>
            <w:vAlign w:val="center"/>
            <w:hideMark/>
          </w:tcPr>
          <w:p w14:paraId="47EC7F70"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&lt;.001</w:t>
            </w:r>
          </w:p>
        </w:tc>
      </w:tr>
      <w:tr w:rsidR="00E85ECD" w:rsidRPr="00E85ECD" w14:paraId="632D649B" w14:textId="77777777" w:rsidTr="00E85ECD">
        <w:trPr>
          <w:trHeight w:val="414"/>
        </w:trPr>
        <w:tc>
          <w:tcPr>
            <w:tcW w:w="1107" w:type="dxa"/>
            <w:vMerge/>
            <w:tcBorders>
              <w:bottom w:val="single" w:sz="4" w:space="0" w:color="auto"/>
            </w:tcBorders>
            <w:noWrap/>
            <w:vAlign w:val="center"/>
            <w:hideMark/>
          </w:tcPr>
          <w:p w14:paraId="2DB4459B" w14:textId="77777777" w:rsidR="00E02ACD" w:rsidRPr="00E85ECD" w:rsidRDefault="00E02ACD" w:rsidP="00B10D1C">
            <w:pPr>
              <w:pStyle w:val="NoSpacing"/>
              <w:spacing w:line="480" w:lineRule="auto"/>
              <w:rPr>
                <w:rFonts w:asciiTheme="minorHAnsi" w:hAnsiTheme="minorHAnsi" w:cs="Arial"/>
                <w:sz w:val="18"/>
                <w:szCs w:val="18"/>
              </w:rPr>
            </w:pPr>
          </w:p>
        </w:tc>
        <w:tc>
          <w:tcPr>
            <w:tcW w:w="2268" w:type="dxa"/>
            <w:tcBorders>
              <w:right w:val="single" w:sz="4" w:space="0" w:color="auto"/>
            </w:tcBorders>
            <w:vAlign w:val="center"/>
          </w:tcPr>
          <w:p w14:paraId="77DF1389" w14:textId="77777777" w:rsidR="00E02ACD" w:rsidRPr="00E85ECD" w:rsidRDefault="00E02ACD" w:rsidP="00B10D1C">
            <w:pPr>
              <w:pStyle w:val="NoSpacing"/>
              <w:spacing w:line="480" w:lineRule="auto"/>
              <w:rPr>
                <w:rFonts w:asciiTheme="minorHAnsi" w:hAnsiTheme="minorHAnsi" w:cs="Arial"/>
                <w:sz w:val="18"/>
                <w:szCs w:val="18"/>
              </w:rPr>
            </w:pPr>
            <w:r w:rsidRPr="00E85ECD">
              <w:rPr>
                <w:rFonts w:asciiTheme="minorHAnsi" w:hAnsiTheme="minorHAnsi" w:cs="Arial"/>
                <w:sz w:val="18"/>
                <w:szCs w:val="18"/>
              </w:rPr>
              <w:t>Affective disorders</w:t>
            </w:r>
          </w:p>
        </w:tc>
        <w:tc>
          <w:tcPr>
            <w:tcW w:w="850" w:type="dxa"/>
            <w:tcBorders>
              <w:left w:val="single" w:sz="4" w:space="0" w:color="auto"/>
            </w:tcBorders>
            <w:noWrap/>
            <w:vAlign w:val="center"/>
            <w:hideMark/>
          </w:tcPr>
          <w:p w14:paraId="43FD72DE" w14:textId="77777777" w:rsidR="00E02ACD" w:rsidRPr="00E85ECD" w:rsidRDefault="00E02ACD" w:rsidP="00B10D1C">
            <w:pPr>
              <w:spacing w:after="0" w:line="480" w:lineRule="auto"/>
              <w:jc w:val="right"/>
              <w:rPr>
                <w:rFonts w:asciiTheme="minorHAnsi" w:hAnsiTheme="minorHAnsi" w:cs="Arial"/>
                <w:b/>
                <w:bCs/>
                <w:color w:val="000000"/>
                <w:sz w:val="18"/>
                <w:szCs w:val="18"/>
              </w:rPr>
            </w:pPr>
            <w:r w:rsidRPr="00E85ECD">
              <w:rPr>
                <w:rFonts w:asciiTheme="minorHAnsi" w:hAnsiTheme="minorHAnsi" w:cs="Arial"/>
                <w:b/>
                <w:bCs/>
                <w:color w:val="000000"/>
                <w:sz w:val="18"/>
                <w:szCs w:val="18"/>
              </w:rPr>
              <w:t>99</w:t>
            </w:r>
          </w:p>
        </w:tc>
        <w:tc>
          <w:tcPr>
            <w:tcW w:w="1054" w:type="dxa"/>
            <w:tcBorders>
              <w:right w:val="single" w:sz="4" w:space="0" w:color="auto"/>
            </w:tcBorders>
            <w:noWrap/>
            <w:vAlign w:val="center"/>
            <w:hideMark/>
          </w:tcPr>
          <w:p w14:paraId="6D2C917A"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37.9</w:t>
            </w:r>
          </w:p>
        </w:tc>
        <w:tc>
          <w:tcPr>
            <w:tcW w:w="992" w:type="dxa"/>
            <w:tcBorders>
              <w:left w:val="single" w:sz="4" w:space="0" w:color="auto"/>
            </w:tcBorders>
            <w:noWrap/>
            <w:vAlign w:val="center"/>
            <w:hideMark/>
          </w:tcPr>
          <w:p w14:paraId="61D5E590" w14:textId="77777777" w:rsidR="00E02ACD" w:rsidRPr="00E85ECD" w:rsidRDefault="00E02ACD" w:rsidP="00B10D1C">
            <w:pPr>
              <w:spacing w:after="0" w:line="480" w:lineRule="auto"/>
              <w:jc w:val="right"/>
              <w:rPr>
                <w:rFonts w:asciiTheme="minorHAnsi" w:hAnsiTheme="minorHAnsi" w:cs="Arial"/>
                <w:b/>
                <w:bCs/>
                <w:color w:val="000000"/>
                <w:sz w:val="18"/>
                <w:szCs w:val="18"/>
              </w:rPr>
            </w:pPr>
            <w:r w:rsidRPr="00E85ECD">
              <w:rPr>
                <w:rFonts w:asciiTheme="minorHAnsi" w:hAnsiTheme="minorHAnsi" w:cs="Arial"/>
                <w:b/>
                <w:bCs/>
                <w:color w:val="000000"/>
                <w:sz w:val="18"/>
                <w:szCs w:val="18"/>
              </w:rPr>
              <w:t>2</w:t>
            </w:r>
          </w:p>
        </w:tc>
        <w:tc>
          <w:tcPr>
            <w:tcW w:w="851" w:type="dxa"/>
            <w:tcBorders>
              <w:right w:val="single" w:sz="4" w:space="0" w:color="auto"/>
            </w:tcBorders>
            <w:noWrap/>
            <w:vAlign w:val="center"/>
            <w:hideMark/>
          </w:tcPr>
          <w:p w14:paraId="65D4A30C"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3.6</w:t>
            </w:r>
          </w:p>
        </w:tc>
        <w:tc>
          <w:tcPr>
            <w:tcW w:w="850" w:type="dxa"/>
            <w:tcBorders>
              <w:left w:val="single" w:sz="4" w:space="0" w:color="auto"/>
            </w:tcBorders>
            <w:noWrap/>
            <w:vAlign w:val="center"/>
            <w:hideMark/>
          </w:tcPr>
          <w:p w14:paraId="297FE61E" w14:textId="77777777" w:rsidR="00E02ACD" w:rsidRPr="00E85ECD" w:rsidRDefault="00E02ACD" w:rsidP="00B10D1C">
            <w:pPr>
              <w:spacing w:after="0" w:line="480" w:lineRule="auto"/>
              <w:jc w:val="right"/>
              <w:rPr>
                <w:rFonts w:asciiTheme="minorHAnsi" w:hAnsiTheme="minorHAnsi" w:cs="Arial"/>
                <w:b/>
                <w:bCs/>
                <w:color w:val="000000"/>
                <w:sz w:val="18"/>
                <w:szCs w:val="18"/>
              </w:rPr>
            </w:pPr>
            <w:r w:rsidRPr="00E85ECD">
              <w:rPr>
                <w:rFonts w:asciiTheme="minorHAnsi" w:hAnsiTheme="minorHAnsi" w:cs="Arial"/>
                <w:b/>
                <w:bCs/>
                <w:color w:val="000000"/>
                <w:sz w:val="18"/>
                <w:szCs w:val="18"/>
              </w:rPr>
              <w:t>41</w:t>
            </w:r>
          </w:p>
        </w:tc>
        <w:tc>
          <w:tcPr>
            <w:tcW w:w="993" w:type="dxa"/>
            <w:tcBorders>
              <w:right w:val="single" w:sz="4" w:space="0" w:color="auto"/>
            </w:tcBorders>
            <w:noWrap/>
            <w:vAlign w:val="center"/>
            <w:hideMark/>
          </w:tcPr>
          <w:p w14:paraId="2AABCFD0"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41.0</w:t>
            </w:r>
          </w:p>
        </w:tc>
        <w:tc>
          <w:tcPr>
            <w:tcW w:w="708" w:type="dxa"/>
            <w:tcBorders>
              <w:left w:val="single" w:sz="4" w:space="0" w:color="auto"/>
            </w:tcBorders>
            <w:noWrap/>
            <w:vAlign w:val="center"/>
            <w:hideMark/>
          </w:tcPr>
          <w:p w14:paraId="1C5019E9" w14:textId="77777777" w:rsidR="00E02ACD" w:rsidRPr="00E85ECD" w:rsidRDefault="00E02ACD" w:rsidP="00B10D1C">
            <w:pPr>
              <w:spacing w:after="0" w:line="480" w:lineRule="auto"/>
              <w:jc w:val="right"/>
              <w:rPr>
                <w:rFonts w:asciiTheme="minorHAnsi" w:hAnsiTheme="minorHAnsi" w:cs="Arial"/>
                <w:b/>
                <w:bCs/>
                <w:color w:val="000000"/>
                <w:sz w:val="18"/>
                <w:szCs w:val="18"/>
              </w:rPr>
            </w:pPr>
            <w:r w:rsidRPr="00E85ECD">
              <w:rPr>
                <w:rFonts w:asciiTheme="minorHAnsi" w:hAnsiTheme="minorHAnsi" w:cs="Arial"/>
                <w:b/>
                <w:bCs/>
                <w:color w:val="000000"/>
                <w:sz w:val="18"/>
                <w:szCs w:val="18"/>
              </w:rPr>
              <w:t>56</w:t>
            </w:r>
          </w:p>
        </w:tc>
        <w:tc>
          <w:tcPr>
            <w:tcW w:w="993" w:type="dxa"/>
            <w:tcBorders>
              <w:right w:val="single" w:sz="4" w:space="0" w:color="auto"/>
            </w:tcBorders>
            <w:noWrap/>
            <w:vAlign w:val="center"/>
            <w:hideMark/>
          </w:tcPr>
          <w:p w14:paraId="47FEADBA"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52.8</w:t>
            </w:r>
          </w:p>
        </w:tc>
        <w:tc>
          <w:tcPr>
            <w:tcW w:w="850" w:type="dxa"/>
            <w:vMerge/>
            <w:tcBorders>
              <w:left w:val="single" w:sz="4" w:space="0" w:color="auto"/>
            </w:tcBorders>
            <w:vAlign w:val="center"/>
            <w:hideMark/>
          </w:tcPr>
          <w:p w14:paraId="105B8740" w14:textId="77777777" w:rsidR="00E02ACD" w:rsidRPr="00E85ECD" w:rsidRDefault="00E02ACD" w:rsidP="00B10D1C">
            <w:pPr>
              <w:spacing w:after="0" w:line="480" w:lineRule="auto"/>
              <w:jc w:val="right"/>
              <w:rPr>
                <w:rFonts w:asciiTheme="minorHAnsi" w:hAnsiTheme="minorHAnsi" w:cs="Arial"/>
                <w:color w:val="000000"/>
                <w:sz w:val="18"/>
                <w:szCs w:val="18"/>
              </w:rPr>
            </w:pPr>
          </w:p>
        </w:tc>
        <w:tc>
          <w:tcPr>
            <w:tcW w:w="851" w:type="dxa"/>
            <w:vMerge/>
            <w:vAlign w:val="center"/>
            <w:hideMark/>
          </w:tcPr>
          <w:p w14:paraId="22604B17" w14:textId="77777777" w:rsidR="00E02ACD" w:rsidRPr="00E85ECD" w:rsidRDefault="00E02ACD" w:rsidP="00B10D1C">
            <w:pPr>
              <w:spacing w:after="0" w:line="480" w:lineRule="auto"/>
              <w:jc w:val="right"/>
              <w:rPr>
                <w:rFonts w:asciiTheme="minorHAnsi" w:hAnsiTheme="minorHAnsi" w:cs="Arial"/>
                <w:color w:val="000000"/>
                <w:sz w:val="18"/>
                <w:szCs w:val="18"/>
              </w:rPr>
            </w:pPr>
          </w:p>
        </w:tc>
      </w:tr>
      <w:tr w:rsidR="00E85ECD" w:rsidRPr="00E85ECD" w14:paraId="3D43084F" w14:textId="77777777" w:rsidTr="00E85ECD">
        <w:trPr>
          <w:trHeight w:val="414"/>
        </w:trPr>
        <w:tc>
          <w:tcPr>
            <w:tcW w:w="1107" w:type="dxa"/>
            <w:vMerge/>
            <w:tcBorders>
              <w:bottom w:val="single" w:sz="4" w:space="0" w:color="auto"/>
            </w:tcBorders>
            <w:noWrap/>
            <w:vAlign w:val="center"/>
            <w:hideMark/>
          </w:tcPr>
          <w:p w14:paraId="5F797170" w14:textId="77777777" w:rsidR="00E02ACD" w:rsidRPr="00E85ECD" w:rsidRDefault="00E02ACD" w:rsidP="00B10D1C">
            <w:pPr>
              <w:pStyle w:val="NoSpacing"/>
              <w:spacing w:line="480" w:lineRule="auto"/>
              <w:rPr>
                <w:rFonts w:asciiTheme="minorHAnsi" w:hAnsiTheme="minorHAnsi" w:cs="Arial"/>
                <w:sz w:val="18"/>
                <w:szCs w:val="18"/>
              </w:rPr>
            </w:pPr>
          </w:p>
        </w:tc>
        <w:tc>
          <w:tcPr>
            <w:tcW w:w="2268" w:type="dxa"/>
            <w:tcBorders>
              <w:bottom w:val="single" w:sz="4" w:space="0" w:color="auto"/>
              <w:right w:val="single" w:sz="4" w:space="0" w:color="auto"/>
            </w:tcBorders>
            <w:vAlign w:val="center"/>
          </w:tcPr>
          <w:p w14:paraId="5101BB70" w14:textId="77777777" w:rsidR="00E02ACD" w:rsidRPr="00E85ECD" w:rsidRDefault="00E02ACD" w:rsidP="00B10D1C">
            <w:pPr>
              <w:pStyle w:val="NoSpacing"/>
              <w:spacing w:line="480" w:lineRule="auto"/>
              <w:rPr>
                <w:rFonts w:asciiTheme="minorHAnsi" w:hAnsiTheme="minorHAnsi" w:cs="Arial"/>
                <w:sz w:val="18"/>
                <w:szCs w:val="18"/>
              </w:rPr>
            </w:pPr>
            <w:r w:rsidRPr="00E85ECD">
              <w:rPr>
                <w:rFonts w:asciiTheme="minorHAnsi" w:hAnsiTheme="minorHAnsi" w:cs="Arial"/>
                <w:sz w:val="18"/>
                <w:szCs w:val="18"/>
              </w:rPr>
              <w:t>Other disorders</w:t>
            </w:r>
          </w:p>
        </w:tc>
        <w:tc>
          <w:tcPr>
            <w:tcW w:w="850" w:type="dxa"/>
            <w:tcBorders>
              <w:left w:val="single" w:sz="4" w:space="0" w:color="auto"/>
              <w:bottom w:val="single" w:sz="4" w:space="0" w:color="auto"/>
            </w:tcBorders>
            <w:noWrap/>
            <w:vAlign w:val="center"/>
            <w:hideMark/>
          </w:tcPr>
          <w:p w14:paraId="4A80AB27" w14:textId="77777777" w:rsidR="00E02ACD" w:rsidRPr="00E85ECD" w:rsidRDefault="00E02ACD" w:rsidP="00B10D1C">
            <w:pPr>
              <w:spacing w:after="0" w:line="480" w:lineRule="auto"/>
              <w:jc w:val="right"/>
              <w:rPr>
                <w:rFonts w:asciiTheme="minorHAnsi" w:hAnsiTheme="minorHAnsi" w:cs="Arial"/>
                <w:b/>
                <w:bCs/>
                <w:color w:val="000000"/>
                <w:sz w:val="18"/>
                <w:szCs w:val="18"/>
              </w:rPr>
            </w:pPr>
            <w:r w:rsidRPr="00E85ECD">
              <w:rPr>
                <w:rFonts w:asciiTheme="minorHAnsi" w:hAnsiTheme="minorHAnsi" w:cs="Arial"/>
                <w:b/>
                <w:bCs/>
                <w:color w:val="000000"/>
                <w:sz w:val="18"/>
                <w:szCs w:val="18"/>
              </w:rPr>
              <w:t>25</w:t>
            </w:r>
          </w:p>
        </w:tc>
        <w:tc>
          <w:tcPr>
            <w:tcW w:w="1054" w:type="dxa"/>
            <w:tcBorders>
              <w:bottom w:val="single" w:sz="4" w:space="0" w:color="auto"/>
              <w:right w:val="single" w:sz="4" w:space="0" w:color="auto"/>
            </w:tcBorders>
            <w:noWrap/>
            <w:vAlign w:val="center"/>
            <w:hideMark/>
          </w:tcPr>
          <w:p w14:paraId="4532CD7C"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9.6</w:t>
            </w:r>
          </w:p>
        </w:tc>
        <w:tc>
          <w:tcPr>
            <w:tcW w:w="992" w:type="dxa"/>
            <w:tcBorders>
              <w:left w:val="single" w:sz="4" w:space="0" w:color="auto"/>
              <w:bottom w:val="single" w:sz="4" w:space="0" w:color="auto"/>
            </w:tcBorders>
            <w:noWrap/>
            <w:vAlign w:val="center"/>
            <w:hideMark/>
          </w:tcPr>
          <w:p w14:paraId="4901F17A" w14:textId="77777777" w:rsidR="00E02ACD" w:rsidRPr="00E85ECD" w:rsidRDefault="00E02ACD" w:rsidP="00B10D1C">
            <w:pPr>
              <w:spacing w:after="0" w:line="480" w:lineRule="auto"/>
              <w:jc w:val="right"/>
              <w:rPr>
                <w:rFonts w:asciiTheme="minorHAnsi" w:hAnsiTheme="minorHAnsi" w:cs="Arial"/>
                <w:b/>
                <w:bCs/>
                <w:color w:val="000000"/>
                <w:sz w:val="18"/>
                <w:szCs w:val="18"/>
              </w:rPr>
            </w:pPr>
            <w:r w:rsidRPr="00E85ECD">
              <w:rPr>
                <w:rFonts w:asciiTheme="minorHAnsi" w:hAnsiTheme="minorHAnsi" w:cs="Arial"/>
                <w:b/>
                <w:bCs/>
                <w:color w:val="000000"/>
                <w:sz w:val="18"/>
                <w:szCs w:val="18"/>
              </w:rPr>
              <w:t>0</w:t>
            </w:r>
          </w:p>
        </w:tc>
        <w:tc>
          <w:tcPr>
            <w:tcW w:w="851" w:type="dxa"/>
            <w:tcBorders>
              <w:bottom w:val="single" w:sz="4" w:space="0" w:color="auto"/>
              <w:right w:val="single" w:sz="4" w:space="0" w:color="auto"/>
            </w:tcBorders>
            <w:noWrap/>
            <w:vAlign w:val="center"/>
            <w:hideMark/>
          </w:tcPr>
          <w:p w14:paraId="6A99B095"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0.0</w:t>
            </w:r>
          </w:p>
        </w:tc>
        <w:tc>
          <w:tcPr>
            <w:tcW w:w="850" w:type="dxa"/>
            <w:tcBorders>
              <w:left w:val="single" w:sz="4" w:space="0" w:color="auto"/>
              <w:bottom w:val="single" w:sz="4" w:space="0" w:color="auto"/>
            </w:tcBorders>
            <w:noWrap/>
            <w:vAlign w:val="center"/>
            <w:hideMark/>
          </w:tcPr>
          <w:p w14:paraId="2518271C" w14:textId="77777777" w:rsidR="00E02ACD" w:rsidRPr="00E85ECD" w:rsidRDefault="00E02ACD" w:rsidP="00B10D1C">
            <w:pPr>
              <w:spacing w:after="0" w:line="480" w:lineRule="auto"/>
              <w:jc w:val="right"/>
              <w:rPr>
                <w:rFonts w:asciiTheme="minorHAnsi" w:hAnsiTheme="minorHAnsi" w:cs="Arial"/>
                <w:b/>
                <w:bCs/>
                <w:color w:val="000000"/>
                <w:sz w:val="18"/>
                <w:szCs w:val="18"/>
              </w:rPr>
            </w:pPr>
            <w:r w:rsidRPr="00E85ECD">
              <w:rPr>
                <w:rFonts w:asciiTheme="minorHAnsi" w:hAnsiTheme="minorHAnsi" w:cs="Arial"/>
                <w:b/>
                <w:bCs/>
                <w:color w:val="000000"/>
                <w:sz w:val="18"/>
                <w:szCs w:val="18"/>
              </w:rPr>
              <w:t>14</w:t>
            </w:r>
          </w:p>
        </w:tc>
        <w:tc>
          <w:tcPr>
            <w:tcW w:w="993" w:type="dxa"/>
            <w:tcBorders>
              <w:bottom w:val="single" w:sz="4" w:space="0" w:color="auto"/>
              <w:right w:val="single" w:sz="4" w:space="0" w:color="auto"/>
            </w:tcBorders>
            <w:noWrap/>
            <w:vAlign w:val="center"/>
            <w:hideMark/>
          </w:tcPr>
          <w:p w14:paraId="2AA134FD"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14.0</w:t>
            </w:r>
          </w:p>
        </w:tc>
        <w:tc>
          <w:tcPr>
            <w:tcW w:w="708" w:type="dxa"/>
            <w:tcBorders>
              <w:left w:val="single" w:sz="4" w:space="0" w:color="auto"/>
              <w:bottom w:val="single" w:sz="4" w:space="0" w:color="auto"/>
            </w:tcBorders>
            <w:noWrap/>
            <w:vAlign w:val="center"/>
            <w:hideMark/>
          </w:tcPr>
          <w:p w14:paraId="057AA342" w14:textId="77777777" w:rsidR="00E02ACD" w:rsidRPr="00E85ECD" w:rsidRDefault="00E02ACD" w:rsidP="00B10D1C">
            <w:pPr>
              <w:spacing w:after="0" w:line="480" w:lineRule="auto"/>
              <w:jc w:val="right"/>
              <w:rPr>
                <w:rFonts w:asciiTheme="minorHAnsi" w:hAnsiTheme="minorHAnsi" w:cs="Arial"/>
                <w:b/>
                <w:bCs/>
                <w:color w:val="000000"/>
                <w:sz w:val="18"/>
                <w:szCs w:val="18"/>
              </w:rPr>
            </w:pPr>
            <w:r w:rsidRPr="00E85ECD">
              <w:rPr>
                <w:rFonts w:asciiTheme="minorHAnsi" w:hAnsiTheme="minorHAnsi" w:cs="Arial"/>
                <w:b/>
                <w:bCs/>
                <w:color w:val="000000"/>
                <w:sz w:val="18"/>
                <w:szCs w:val="18"/>
              </w:rPr>
              <w:t>11</w:t>
            </w:r>
          </w:p>
        </w:tc>
        <w:tc>
          <w:tcPr>
            <w:tcW w:w="993" w:type="dxa"/>
            <w:tcBorders>
              <w:bottom w:val="single" w:sz="4" w:space="0" w:color="auto"/>
              <w:right w:val="single" w:sz="4" w:space="0" w:color="auto"/>
            </w:tcBorders>
            <w:noWrap/>
            <w:vAlign w:val="center"/>
            <w:hideMark/>
          </w:tcPr>
          <w:p w14:paraId="4CD5CA2E"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10.4</w:t>
            </w:r>
          </w:p>
        </w:tc>
        <w:tc>
          <w:tcPr>
            <w:tcW w:w="850" w:type="dxa"/>
            <w:vMerge/>
            <w:tcBorders>
              <w:left w:val="single" w:sz="4" w:space="0" w:color="auto"/>
              <w:bottom w:val="single" w:sz="4" w:space="0" w:color="auto"/>
            </w:tcBorders>
            <w:vAlign w:val="center"/>
            <w:hideMark/>
          </w:tcPr>
          <w:p w14:paraId="40BA312F" w14:textId="77777777" w:rsidR="00E02ACD" w:rsidRPr="00E85ECD" w:rsidRDefault="00E02ACD" w:rsidP="00B10D1C">
            <w:pPr>
              <w:spacing w:after="0" w:line="480" w:lineRule="auto"/>
              <w:jc w:val="right"/>
              <w:rPr>
                <w:rFonts w:asciiTheme="minorHAnsi" w:hAnsiTheme="minorHAnsi" w:cs="Arial"/>
                <w:color w:val="000000"/>
                <w:sz w:val="18"/>
                <w:szCs w:val="18"/>
              </w:rPr>
            </w:pPr>
          </w:p>
        </w:tc>
        <w:tc>
          <w:tcPr>
            <w:tcW w:w="851" w:type="dxa"/>
            <w:vMerge/>
            <w:tcBorders>
              <w:bottom w:val="single" w:sz="4" w:space="0" w:color="auto"/>
            </w:tcBorders>
            <w:vAlign w:val="center"/>
            <w:hideMark/>
          </w:tcPr>
          <w:p w14:paraId="41FDB62F" w14:textId="77777777" w:rsidR="00E02ACD" w:rsidRPr="00E85ECD" w:rsidRDefault="00E02ACD" w:rsidP="00B10D1C">
            <w:pPr>
              <w:spacing w:after="0" w:line="480" w:lineRule="auto"/>
              <w:jc w:val="right"/>
              <w:rPr>
                <w:rFonts w:asciiTheme="minorHAnsi" w:hAnsiTheme="minorHAnsi" w:cs="Arial"/>
                <w:color w:val="000000"/>
                <w:sz w:val="18"/>
                <w:szCs w:val="18"/>
              </w:rPr>
            </w:pPr>
          </w:p>
        </w:tc>
      </w:tr>
      <w:tr w:rsidR="00E85ECD" w:rsidRPr="00E85ECD" w14:paraId="6E005267" w14:textId="77777777" w:rsidTr="00E85ECD">
        <w:trPr>
          <w:trHeight w:val="414"/>
        </w:trPr>
        <w:tc>
          <w:tcPr>
            <w:tcW w:w="3375" w:type="dxa"/>
            <w:gridSpan w:val="2"/>
            <w:tcBorders>
              <w:right w:val="single" w:sz="4" w:space="0" w:color="auto"/>
            </w:tcBorders>
            <w:noWrap/>
            <w:vAlign w:val="center"/>
            <w:hideMark/>
          </w:tcPr>
          <w:p w14:paraId="4FA2935E" w14:textId="77777777" w:rsidR="00E02ACD" w:rsidRPr="00E85ECD" w:rsidRDefault="00E02ACD" w:rsidP="00B10D1C">
            <w:pPr>
              <w:pStyle w:val="NoSpacing"/>
              <w:spacing w:line="480" w:lineRule="auto"/>
              <w:rPr>
                <w:rFonts w:asciiTheme="minorHAnsi" w:hAnsiTheme="minorHAnsi" w:cs="Arial"/>
                <w:sz w:val="18"/>
                <w:szCs w:val="18"/>
              </w:rPr>
            </w:pPr>
            <w:r w:rsidRPr="00E85ECD">
              <w:rPr>
                <w:rFonts w:asciiTheme="minorHAnsi" w:hAnsiTheme="minorHAnsi" w:cs="Arial"/>
                <w:sz w:val="18"/>
                <w:szCs w:val="18"/>
              </w:rPr>
              <w:t>Single status</w:t>
            </w:r>
          </w:p>
        </w:tc>
        <w:tc>
          <w:tcPr>
            <w:tcW w:w="850" w:type="dxa"/>
            <w:tcBorders>
              <w:left w:val="single" w:sz="4" w:space="0" w:color="auto"/>
            </w:tcBorders>
            <w:noWrap/>
            <w:vAlign w:val="center"/>
            <w:hideMark/>
          </w:tcPr>
          <w:p w14:paraId="2AFC60BB" w14:textId="77777777" w:rsidR="00E02ACD" w:rsidRPr="00E85ECD" w:rsidRDefault="00E02ACD" w:rsidP="00B10D1C">
            <w:pPr>
              <w:spacing w:after="0" w:line="480" w:lineRule="auto"/>
              <w:jc w:val="right"/>
              <w:rPr>
                <w:rFonts w:asciiTheme="minorHAnsi" w:hAnsiTheme="minorHAnsi" w:cs="Arial"/>
                <w:b/>
                <w:bCs/>
                <w:color w:val="000000"/>
                <w:sz w:val="18"/>
                <w:szCs w:val="18"/>
              </w:rPr>
            </w:pPr>
            <w:r w:rsidRPr="00E85ECD">
              <w:rPr>
                <w:rFonts w:asciiTheme="minorHAnsi" w:hAnsiTheme="minorHAnsi" w:cs="Arial"/>
                <w:b/>
                <w:bCs/>
                <w:color w:val="000000"/>
                <w:sz w:val="18"/>
                <w:szCs w:val="18"/>
              </w:rPr>
              <w:t>171</w:t>
            </w:r>
          </w:p>
        </w:tc>
        <w:tc>
          <w:tcPr>
            <w:tcW w:w="1054" w:type="dxa"/>
            <w:tcBorders>
              <w:right w:val="single" w:sz="4" w:space="0" w:color="auto"/>
            </w:tcBorders>
            <w:noWrap/>
            <w:vAlign w:val="center"/>
            <w:hideMark/>
          </w:tcPr>
          <w:p w14:paraId="2F17A8C5"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65.5</w:t>
            </w:r>
          </w:p>
        </w:tc>
        <w:tc>
          <w:tcPr>
            <w:tcW w:w="992" w:type="dxa"/>
            <w:tcBorders>
              <w:left w:val="single" w:sz="4" w:space="0" w:color="auto"/>
            </w:tcBorders>
            <w:noWrap/>
            <w:vAlign w:val="center"/>
            <w:hideMark/>
          </w:tcPr>
          <w:p w14:paraId="39B2684E" w14:textId="77777777" w:rsidR="00E02ACD" w:rsidRPr="00E85ECD" w:rsidRDefault="00E02ACD" w:rsidP="00B10D1C">
            <w:pPr>
              <w:spacing w:after="0" w:line="480" w:lineRule="auto"/>
              <w:jc w:val="right"/>
              <w:rPr>
                <w:rFonts w:asciiTheme="minorHAnsi" w:hAnsiTheme="minorHAnsi" w:cs="Arial"/>
                <w:b/>
                <w:bCs/>
                <w:color w:val="000000"/>
                <w:sz w:val="18"/>
                <w:szCs w:val="18"/>
              </w:rPr>
            </w:pPr>
            <w:r w:rsidRPr="00E85ECD">
              <w:rPr>
                <w:rFonts w:asciiTheme="minorHAnsi" w:hAnsiTheme="minorHAnsi" w:cs="Arial"/>
                <w:b/>
                <w:bCs/>
                <w:color w:val="000000"/>
                <w:sz w:val="18"/>
                <w:szCs w:val="18"/>
              </w:rPr>
              <w:t>46</w:t>
            </w:r>
          </w:p>
        </w:tc>
        <w:tc>
          <w:tcPr>
            <w:tcW w:w="851" w:type="dxa"/>
            <w:tcBorders>
              <w:right w:val="single" w:sz="4" w:space="0" w:color="auto"/>
            </w:tcBorders>
            <w:noWrap/>
            <w:vAlign w:val="center"/>
            <w:hideMark/>
          </w:tcPr>
          <w:p w14:paraId="0C5850E8"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83.6</w:t>
            </w:r>
          </w:p>
        </w:tc>
        <w:tc>
          <w:tcPr>
            <w:tcW w:w="850" w:type="dxa"/>
            <w:tcBorders>
              <w:left w:val="single" w:sz="4" w:space="0" w:color="auto"/>
            </w:tcBorders>
            <w:noWrap/>
            <w:vAlign w:val="center"/>
            <w:hideMark/>
          </w:tcPr>
          <w:p w14:paraId="33247C38" w14:textId="77777777" w:rsidR="00E02ACD" w:rsidRPr="00E85ECD" w:rsidRDefault="00E02ACD" w:rsidP="00B10D1C">
            <w:pPr>
              <w:spacing w:after="0" w:line="480" w:lineRule="auto"/>
              <w:jc w:val="right"/>
              <w:rPr>
                <w:rFonts w:asciiTheme="minorHAnsi" w:hAnsiTheme="minorHAnsi" w:cs="Arial"/>
                <w:b/>
                <w:bCs/>
                <w:color w:val="000000"/>
                <w:sz w:val="18"/>
                <w:szCs w:val="18"/>
              </w:rPr>
            </w:pPr>
            <w:r w:rsidRPr="00E85ECD">
              <w:rPr>
                <w:rFonts w:asciiTheme="minorHAnsi" w:hAnsiTheme="minorHAnsi" w:cs="Arial"/>
                <w:b/>
                <w:bCs/>
                <w:color w:val="000000"/>
                <w:sz w:val="18"/>
                <w:szCs w:val="18"/>
              </w:rPr>
              <w:t>70</w:t>
            </w:r>
          </w:p>
        </w:tc>
        <w:tc>
          <w:tcPr>
            <w:tcW w:w="993" w:type="dxa"/>
            <w:tcBorders>
              <w:right w:val="single" w:sz="4" w:space="0" w:color="auto"/>
            </w:tcBorders>
            <w:noWrap/>
            <w:vAlign w:val="center"/>
            <w:hideMark/>
          </w:tcPr>
          <w:p w14:paraId="19BE4311"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70.0</w:t>
            </w:r>
          </w:p>
        </w:tc>
        <w:tc>
          <w:tcPr>
            <w:tcW w:w="708" w:type="dxa"/>
            <w:tcBorders>
              <w:left w:val="single" w:sz="4" w:space="0" w:color="auto"/>
            </w:tcBorders>
            <w:noWrap/>
            <w:vAlign w:val="center"/>
            <w:hideMark/>
          </w:tcPr>
          <w:p w14:paraId="331FAB08" w14:textId="77777777" w:rsidR="00E02ACD" w:rsidRPr="00E85ECD" w:rsidRDefault="00E02ACD" w:rsidP="00B10D1C">
            <w:pPr>
              <w:spacing w:after="0" w:line="480" w:lineRule="auto"/>
              <w:jc w:val="right"/>
              <w:rPr>
                <w:rFonts w:asciiTheme="minorHAnsi" w:hAnsiTheme="minorHAnsi" w:cs="Arial"/>
                <w:b/>
                <w:bCs/>
                <w:color w:val="000000"/>
                <w:sz w:val="18"/>
                <w:szCs w:val="18"/>
              </w:rPr>
            </w:pPr>
            <w:r w:rsidRPr="00E85ECD">
              <w:rPr>
                <w:rFonts w:asciiTheme="minorHAnsi" w:hAnsiTheme="minorHAnsi" w:cs="Arial"/>
                <w:b/>
                <w:bCs/>
                <w:color w:val="000000"/>
                <w:sz w:val="18"/>
                <w:szCs w:val="18"/>
              </w:rPr>
              <w:t>55</w:t>
            </w:r>
          </w:p>
        </w:tc>
        <w:tc>
          <w:tcPr>
            <w:tcW w:w="993" w:type="dxa"/>
            <w:tcBorders>
              <w:right w:val="single" w:sz="4" w:space="0" w:color="auto"/>
            </w:tcBorders>
            <w:noWrap/>
            <w:vAlign w:val="center"/>
            <w:hideMark/>
          </w:tcPr>
          <w:p w14:paraId="60F13329"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51.9</w:t>
            </w:r>
          </w:p>
        </w:tc>
        <w:tc>
          <w:tcPr>
            <w:tcW w:w="850" w:type="dxa"/>
            <w:tcBorders>
              <w:left w:val="single" w:sz="4" w:space="0" w:color="auto"/>
            </w:tcBorders>
            <w:noWrap/>
            <w:vAlign w:val="center"/>
            <w:hideMark/>
          </w:tcPr>
          <w:p w14:paraId="2044A342"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17.6</w:t>
            </w:r>
          </w:p>
        </w:tc>
        <w:tc>
          <w:tcPr>
            <w:tcW w:w="851" w:type="dxa"/>
            <w:noWrap/>
            <w:vAlign w:val="center"/>
            <w:hideMark/>
          </w:tcPr>
          <w:p w14:paraId="0437DC05"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&lt;.001</w:t>
            </w:r>
          </w:p>
        </w:tc>
      </w:tr>
      <w:tr w:rsidR="00E85ECD" w:rsidRPr="00E85ECD" w14:paraId="55F61EE3" w14:textId="77777777" w:rsidTr="00E85ECD">
        <w:trPr>
          <w:trHeight w:val="414"/>
        </w:trPr>
        <w:tc>
          <w:tcPr>
            <w:tcW w:w="3375" w:type="dxa"/>
            <w:gridSpan w:val="2"/>
            <w:tcBorders>
              <w:right w:val="single" w:sz="4" w:space="0" w:color="auto"/>
            </w:tcBorders>
            <w:noWrap/>
            <w:vAlign w:val="center"/>
            <w:hideMark/>
          </w:tcPr>
          <w:p w14:paraId="1D66282A" w14:textId="77777777" w:rsidR="00E02ACD" w:rsidRPr="00E85ECD" w:rsidRDefault="00E02ACD" w:rsidP="00B10D1C">
            <w:pPr>
              <w:pStyle w:val="NoSpacing"/>
              <w:spacing w:line="480" w:lineRule="auto"/>
              <w:rPr>
                <w:rFonts w:asciiTheme="minorHAnsi" w:hAnsiTheme="minorHAnsi" w:cs="Arial"/>
                <w:sz w:val="18"/>
                <w:szCs w:val="18"/>
              </w:rPr>
            </w:pPr>
            <w:r w:rsidRPr="00E85ECD">
              <w:rPr>
                <w:rFonts w:asciiTheme="minorHAnsi" w:hAnsiTheme="minorHAnsi" w:cs="Arial"/>
                <w:sz w:val="18"/>
                <w:szCs w:val="18"/>
              </w:rPr>
              <w:t>Admitted 6 months or more*</w:t>
            </w:r>
          </w:p>
        </w:tc>
        <w:tc>
          <w:tcPr>
            <w:tcW w:w="850" w:type="dxa"/>
            <w:tcBorders>
              <w:left w:val="single" w:sz="4" w:space="0" w:color="auto"/>
            </w:tcBorders>
            <w:noWrap/>
            <w:vAlign w:val="center"/>
            <w:hideMark/>
          </w:tcPr>
          <w:p w14:paraId="731F98B7" w14:textId="77777777" w:rsidR="00E02ACD" w:rsidRPr="00E85ECD" w:rsidRDefault="00E02ACD" w:rsidP="00B10D1C">
            <w:pPr>
              <w:spacing w:after="0" w:line="480" w:lineRule="auto"/>
              <w:jc w:val="right"/>
              <w:rPr>
                <w:rFonts w:asciiTheme="minorHAnsi" w:hAnsiTheme="minorHAnsi" w:cs="Arial"/>
                <w:b/>
                <w:bCs/>
                <w:color w:val="000000"/>
                <w:sz w:val="18"/>
                <w:szCs w:val="18"/>
              </w:rPr>
            </w:pPr>
            <w:r w:rsidRPr="00E85ECD">
              <w:rPr>
                <w:rFonts w:asciiTheme="minorHAnsi" w:hAnsiTheme="minorHAnsi" w:cs="Arial"/>
                <w:b/>
                <w:bCs/>
                <w:color w:val="000000"/>
                <w:sz w:val="18"/>
                <w:szCs w:val="18"/>
              </w:rPr>
              <w:t>83</w:t>
            </w:r>
          </w:p>
        </w:tc>
        <w:tc>
          <w:tcPr>
            <w:tcW w:w="1054" w:type="dxa"/>
            <w:tcBorders>
              <w:right w:val="single" w:sz="4" w:space="0" w:color="auto"/>
            </w:tcBorders>
            <w:noWrap/>
            <w:vAlign w:val="center"/>
            <w:hideMark/>
          </w:tcPr>
          <w:p w14:paraId="1E328CEF"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31.8</w:t>
            </w:r>
          </w:p>
        </w:tc>
        <w:tc>
          <w:tcPr>
            <w:tcW w:w="992" w:type="dxa"/>
            <w:tcBorders>
              <w:left w:val="single" w:sz="4" w:space="0" w:color="auto"/>
            </w:tcBorders>
            <w:noWrap/>
            <w:vAlign w:val="center"/>
            <w:hideMark/>
          </w:tcPr>
          <w:p w14:paraId="14556865" w14:textId="77777777" w:rsidR="00E02ACD" w:rsidRPr="00E85ECD" w:rsidRDefault="00E02ACD" w:rsidP="00B10D1C">
            <w:pPr>
              <w:spacing w:after="0" w:line="480" w:lineRule="auto"/>
              <w:jc w:val="right"/>
              <w:rPr>
                <w:rFonts w:asciiTheme="minorHAnsi" w:hAnsiTheme="minorHAnsi" w:cs="Arial"/>
                <w:b/>
                <w:bCs/>
                <w:color w:val="000000"/>
                <w:sz w:val="18"/>
                <w:szCs w:val="18"/>
              </w:rPr>
            </w:pPr>
            <w:r w:rsidRPr="00E85ECD">
              <w:rPr>
                <w:rFonts w:asciiTheme="minorHAnsi" w:hAnsiTheme="minorHAnsi" w:cs="Arial"/>
                <w:b/>
                <w:bCs/>
                <w:color w:val="000000"/>
                <w:sz w:val="18"/>
                <w:szCs w:val="18"/>
              </w:rPr>
              <w:t>39</w:t>
            </w:r>
          </w:p>
        </w:tc>
        <w:tc>
          <w:tcPr>
            <w:tcW w:w="851" w:type="dxa"/>
            <w:tcBorders>
              <w:right w:val="single" w:sz="4" w:space="0" w:color="auto"/>
            </w:tcBorders>
            <w:noWrap/>
            <w:vAlign w:val="center"/>
            <w:hideMark/>
          </w:tcPr>
          <w:p w14:paraId="2B92ADAE"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70.9</w:t>
            </w:r>
          </w:p>
        </w:tc>
        <w:tc>
          <w:tcPr>
            <w:tcW w:w="850" w:type="dxa"/>
            <w:tcBorders>
              <w:left w:val="single" w:sz="4" w:space="0" w:color="auto"/>
            </w:tcBorders>
            <w:noWrap/>
            <w:vAlign w:val="center"/>
            <w:hideMark/>
          </w:tcPr>
          <w:p w14:paraId="351DAE86" w14:textId="77777777" w:rsidR="00E02ACD" w:rsidRPr="00E85ECD" w:rsidRDefault="00E02ACD" w:rsidP="00B10D1C">
            <w:pPr>
              <w:spacing w:after="0" w:line="480" w:lineRule="auto"/>
              <w:jc w:val="right"/>
              <w:rPr>
                <w:rFonts w:asciiTheme="minorHAnsi" w:hAnsiTheme="minorHAnsi" w:cs="Arial"/>
                <w:b/>
                <w:bCs/>
                <w:color w:val="000000"/>
                <w:sz w:val="18"/>
                <w:szCs w:val="18"/>
              </w:rPr>
            </w:pPr>
            <w:r w:rsidRPr="00E85ECD">
              <w:rPr>
                <w:rFonts w:asciiTheme="minorHAnsi" w:hAnsiTheme="minorHAnsi" w:cs="Arial"/>
                <w:b/>
                <w:bCs/>
                <w:color w:val="000000"/>
                <w:sz w:val="18"/>
                <w:szCs w:val="18"/>
              </w:rPr>
              <w:t>30</w:t>
            </w:r>
          </w:p>
        </w:tc>
        <w:tc>
          <w:tcPr>
            <w:tcW w:w="993" w:type="dxa"/>
            <w:tcBorders>
              <w:right w:val="single" w:sz="4" w:space="0" w:color="auto"/>
            </w:tcBorders>
            <w:noWrap/>
            <w:vAlign w:val="center"/>
            <w:hideMark/>
          </w:tcPr>
          <w:p w14:paraId="4EBD1B01"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30.0</w:t>
            </w:r>
          </w:p>
        </w:tc>
        <w:tc>
          <w:tcPr>
            <w:tcW w:w="708" w:type="dxa"/>
            <w:tcBorders>
              <w:left w:val="single" w:sz="4" w:space="0" w:color="auto"/>
            </w:tcBorders>
            <w:noWrap/>
            <w:vAlign w:val="center"/>
            <w:hideMark/>
          </w:tcPr>
          <w:p w14:paraId="47C1C46A" w14:textId="77777777" w:rsidR="00E02ACD" w:rsidRPr="00E85ECD" w:rsidRDefault="00E02ACD" w:rsidP="00B10D1C">
            <w:pPr>
              <w:spacing w:after="0" w:line="480" w:lineRule="auto"/>
              <w:jc w:val="right"/>
              <w:rPr>
                <w:rFonts w:asciiTheme="minorHAnsi" w:hAnsiTheme="minorHAnsi" w:cs="Arial"/>
                <w:b/>
                <w:bCs/>
                <w:color w:val="000000"/>
                <w:sz w:val="18"/>
                <w:szCs w:val="18"/>
              </w:rPr>
            </w:pPr>
            <w:r w:rsidRPr="00E85ECD">
              <w:rPr>
                <w:rFonts w:asciiTheme="minorHAnsi" w:hAnsiTheme="minorHAnsi" w:cs="Arial"/>
                <w:b/>
                <w:bCs/>
                <w:color w:val="000000"/>
                <w:sz w:val="18"/>
                <w:szCs w:val="18"/>
              </w:rPr>
              <w:t>0</w:t>
            </w:r>
          </w:p>
        </w:tc>
        <w:tc>
          <w:tcPr>
            <w:tcW w:w="993" w:type="dxa"/>
            <w:tcBorders>
              <w:right w:val="single" w:sz="4" w:space="0" w:color="auto"/>
            </w:tcBorders>
            <w:noWrap/>
            <w:vAlign w:val="center"/>
            <w:hideMark/>
          </w:tcPr>
          <w:p w14:paraId="6F98E22F"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0.0</w:t>
            </w:r>
          </w:p>
        </w:tc>
        <w:tc>
          <w:tcPr>
            <w:tcW w:w="850" w:type="dxa"/>
            <w:tcBorders>
              <w:left w:val="single" w:sz="4" w:space="0" w:color="auto"/>
            </w:tcBorders>
            <w:noWrap/>
            <w:vAlign w:val="center"/>
            <w:hideMark/>
          </w:tcPr>
          <w:p w14:paraId="572A1072"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22.5</w:t>
            </w:r>
          </w:p>
        </w:tc>
        <w:tc>
          <w:tcPr>
            <w:tcW w:w="851" w:type="dxa"/>
            <w:noWrap/>
            <w:vAlign w:val="center"/>
            <w:hideMark/>
          </w:tcPr>
          <w:p w14:paraId="03C5CA7F"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&lt;.001</w:t>
            </w:r>
          </w:p>
        </w:tc>
      </w:tr>
      <w:tr w:rsidR="00E85ECD" w:rsidRPr="00E85ECD" w14:paraId="5C3FE7B3" w14:textId="77777777" w:rsidTr="00E85ECD">
        <w:trPr>
          <w:trHeight w:val="414"/>
        </w:trPr>
        <w:tc>
          <w:tcPr>
            <w:tcW w:w="3375" w:type="dxa"/>
            <w:gridSpan w:val="2"/>
            <w:tcBorders>
              <w:right w:val="single" w:sz="4" w:space="0" w:color="auto"/>
            </w:tcBorders>
            <w:noWrap/>
            <w:vAlign w:val="center"/>
            <w:hideMark/>
          </w:tcPr>
          <w:p w14:paraId="5E0BBF82" w14:textId="77777777" w:rsidR="00E02ACD" w:rsidRPr="00E85ECD" w:rsidRDefault="00E02ACD" w:rsidP="00B10D1C">
            <w:pPr>
              <w:pStyle w:val="NoSpacing"/>
              <w:spacing w:line="480" w:lineRule="auto"/>
              <w:rPr>
                <w:rFonts w:asciiTheme="minorHAnsi" w:hAnsiTheme="minorHAnsi" w:cs="Arial"/>
                <w:sz w:val="18"/>
                <w:szCs w:val="18"/>
              </w:rPr>
            </w:pPr>
            <w:r w:rsidRPr="00E85ECD">
              <w:rPr>
                <w:rFonts w:asciiTheme="minorHAnsi" w:hAnsiTheme="minorHAnsi" w:cs="Arial"/>
                <w:sz w:val="18"/>
                <w:szCs w:val="18"/>
              </w:rPr>
              <w:t>5 or more (previous) admissions*</w:t>
            </w:r>
          </w:p>
        </w:tc>
        <w:tc>
          <w:tcPr>
            <w:tcW w:w="850" w:type="dxa"/>
            <w:tcBorders>
              <w:left w:val="single" w:sz="4" w:space="0" w:color="auto"/>
            </w:tcBorders>
            <w:noWrap/>
            <w:vAlign w:val="center"/>
            <w:hideMark/>
          </w:tcPr>
          <w:p w14:paraId="03BEBE4A" w14:textId="77777777" w:rsidR="00E02ACD" w:rsidRPr="00E85ECD" w:rsidRDefault="00E02ACD" w:rsidP="00B10D1C">
            <w:pPr>
              <w:spacing w:after="0" w:line="480" w:lineRule="auto"/>
              <w:jc w:val="right"/>
              <w:rPr>
                <w:rFonts w:asciiTheme="minorHAnsi" w:hAnsiTheme="minorHAnsi" w:cs="Arial"/>
                <w:b/>
                <w:bCs/>
                <w:color w:val="000000"/>
                <w:sz w:val="18"/>
                <w:szCs w:val="18"/>
              </w:rPr>
            </w:pPr>
            <w:r w:rsidRPr="00E85ECD">
              <w:rPr>
                <w:rFonts w:asciiTheme="minorHAnsi" w:hAnsiTheme="minorHAnsi" w:cs="Arial"/>
                <w:b/>
                <w:bCs/>
                <w:color w:val="000000"/>
                <w:sz w:val="18"/>
                <w:szCs w:val="18"/>
              </w:rPr>
              <w:t>50</w:t>
            </w:r>
          </w:p>
        </w:tc>
        <w:tc>
          <w:tcPr>
            <w:tcW w:w="1054" w:type="dxa"/>
            <w:tcBorders>
              <w:right w:val="single" w:sz="4" w:space="0" w:color="auto"/>
            </w:tcBorders>
            <w:noWrap/>
            <w:vAlign w:val="center"/>
            <w:hideMark/>
          </w:tcPr>
          <w:p w14:paraId="4796CB1D"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19.1</w:t>
            </w:r>
          </w:p>
        </w:tc>
        <w:tc>
          <w:tcPr>
            <w:tcW w:w="992" w:type="dxa"/>
            <w:tcBorders>
              <w:left w:val="single" w:sz="4" w:space="0" w:color="auto"/>
            </w:tcBorders>
            <w:noWrap/>
            <w:vAlign w:val="center"/>
            <w:hideMark/>
          </w:tcPr>
          <w:p w14:paraId="7EFAF425" w14:textId="77777777" w:rsidR="00E02ACD" w:rsidRPr="00E85ECD" w:rsidRDefault="00E02ACD" w:rsidP="00B10D1C">
            <w:pPr>
              <w:spacing w:after="0" w:line="480" w:lineRule="auto"/>
              <w:jc w:val="right"/>
              <w:rPr>
                <w:rFonts w:asciiTheme="minorHAnsi" w:hAnsiTheme="minorHAnsi" w:cs="Arial"/>
                <w:b/>
                <w:bCs/>
                <w:color w:val="000000"/>
                <w:sz w:val="18"/>
                <w:szCs w:val="18"/>
              </w:rPr>
            </w:pPr>
            <w:r w:rsidRPr="00E85ECD">
              <w:rPr>
                <w:rFonts w:asciiTheme="minorHAnsi" w:hAnsiTheme="minorHAnsi" w:cs="Arial"/>
                <w:b/>
                <w:bCs/>
                <w:color w:val="000000"/>
                <w:sz w:val="18"/>
                <w:szCs w:val="18"/>
              </w:rPr>
              <w:t>21</w:t>
            </w:r>
          </w:p>
        </w:tc>
        <w:tc>
          <w:tcPr>
            <w:tcW w:w="851" w:type="dxa"/>
            <w:tcBorders>
              <w:right w:val="single" w:sz="4" w:space="0" w:color="auto"/>
            </w:tcBorders>
            <w:noWrap/>
            <w:vAlign w:val="center"/>
            <w:hideMark/>
          </w:tcPr>
          <w:p w14:paraId="7C751CC2"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38.2</w:t>
            </w:r>
          </w:p>
        </w:tc>
        <w:tc>
          <w:tcPr>
            <w:tcW w:w="850" w:type="dxa"/>
            <w:tcBorders>
              <w:left w:val="single" w:sz="4" w:space="0" w:color="auto"/>
            </w:tcBorders>
            <w:noWrap/>
            <w:vAlign w:val="center"/>
            <w:hideMark/>
          </w:tcPr>
          <w:p w14:paraId="33DD3F48" w14:textId="77777777" w:rsidR="00E02ACD" w:rsidRPr="00E85ECD" w:rsidRDefault="00E02ACD" w:rsidP="00B10D1C">
            <w:pPr>
              <w:spacing w:after="0" w:line="480" w:lineRule="auto"/>
              <w:jc w:val="right"/>
              <w:rPr>
                <w:rFonts w:asciiTheme="minorHAnsi" w:hAnsiTheme="minorHAnsi" w:cs="Arial"/>
                <w:b/>
                <w:bCs/>
                <w:color w:val="000000"/>
                <w:sz w:val="18"/>
                <w:szCs w:val="18"/>
              </w:rPr>
            </w:pPr>
            <w:r w:rsidRPr="00E85ECD">
              <w:rPr>
                <w:rFonts w:asciiTheme="minorHAnsi" w:hAnsiTheme="minorHAnsi" w:cs="Arial"/>
                <w:b/>
                <w:bCs/>
                <w:color w:val="000000"/>
                <w:sz w:val="18"/>
                <w:szCs w:val="18"/>
              </w:rPr>
              <w:t>21</w:t>
            </w:r>
          </w:p>
        </w:tc>
        <w:tc>
          <w:tcPr>
            <w:tcW w:w="993" w:type="dxa"/>
            <w:tcBorders>
              <w:right w:val="single" w:sz="4" w:space="0" w:color="auto"/>
            </w:tcBorders>
            <w:noWrap/>
            <w:vAlign w:val="center"/>
            <w:hideMark/>
          </w:tcPr>
          <w:p w14:paraId="49D169EC"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21.0</w:t>
            </w:r>
          </w:p>
        </w:tc>
        <w:tc>
          <w:tcPr>
            <w:tcW w:w="708" w:type="dxa"/>
            <w:tcBorders>
              <w:left w:val="single" w:sz="4" w:space="0" w:color="auto"/>
            </w:tcBorders>
            <w:noWrap/>
            <w:vAlign w:val="center"/>
            <w:hideMark/>
          </w:tcPr>
          <w:p w14:paraId="01D9687E" w14:textId="77777777" w:rsidR="00E02ACD" w:rsidRPr="00E85ECD" w:rsidRDefault="00E02ACD" w:rsidP="00B10D1C">
            <w:pPr>
              <w:spacing w:after="0" w:line="480" w:lineRule="auto"/>
              <w:jc w:val="right"/>
              <w:rPr>
                <w:rFonts w:asciiTheme="minorHAnsi" w:hAnsiTheme="minorHAnsi" w:cs="Arial"/>
                <w:b/>
                <w:bCs/>
                <w:color w:val="000000"/>
                <w:sz w:val="18"/>
                <w:szCs w:val="18"/>
              </w:rPr>
            </w:pPr>
            <w:r w:rsidRPr="00E85ECD">
              <w:rPr>
                <w:rFonts w:asciiTheme="minorHAnsi" w:hAnsiTheme="minorHAnsi" w:cs="Arial"/>
                <w:b/>
                <w:bCs/>
                <w:color w:val="000000"/>
                <w:sz w:val="18"/>
                <w:szCs w:val="18"/>
              </w:rPr>
              <w:t>8</w:t>
            </w:r>
          </w:p>
        </w:tc>
        <w:tc>
          <w:tcPr>
            <w:tcW w:w="993" w:type="dxa"/>
            <w:tcBorders>
              <w:right w:val="single" w:sz="4" w:space="0" w:color="auto"/>
            </w:tcBorders>
            <w:noWrap/>
            <w:vAlign w:val="center"/>
            <w:hideMark/>
          </w:tcPr>
          <w:p w14:paraId="0C8A5084"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7.5</w:t>
            </w:r>
          </w:p>
        </w:tc>
        <w:tc>
          <w:tcPr>
            <w:tcW w:w="850" w:type="dxa"/>
            <w:tcBorders>
              <w:left w:val="single" w:sz="4" w:space="0" w:color="auto"/>
            </w:tcBorders>
            <w:noWrap/>
            <w:vAlign w:val="center"/>
            <w:hideMark/>
          </w:tcPr>
          <w:p w14:paraId="313F87E9"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5.2</w:t>
            </w:r>
          </w:p>
        </w:tc>
        <w:tc>
          <w:tcPr>
            <w:tcW w:w="851" w:type="dxa"/>
            <w:noWrap/>
            <w:vAlign w:val="center"/>
            <w:hideMark/>
          </w:tcPr>
          <w:p w14:paraId="6D4DC9B4"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NS</w:t>
            </w:r>
          </w:p>
        </w:tc>
      </w:tr>
      <w:tr w:rsidR="00E85ECD" w:rsidRPr="00E85ECD" w14:paraId="6121B99F" w14:textId="77777777" w:rsidTr="00E85ECD">
        <w:trPr>
          <w:trHeight w:val="414"/>
        </w:trPr>
        <w:tc>
          <w:tcPr>
            <w:tcW w:w="3375" w:type="dxa"/>
            <w:gridSpan w:val="2"/>
            <w:tcBorders>
              <w:bottom w:val="single" w:sz="4" w:space="0" w:color="auto"/>
              <w:right w:val="single" w:sz="4" w:space="0" w:color="auto"/>
            </w:tcBorders>
            <w:noWrap/>
            <w:vAlign w:val="center"/>
            <w:hideMark/>
          </w:tcPr>
          <w:p w14:paraId="1AA8B671" w14:textId="77777777" w:rsidR="00E02ACD" w:rsidRPr="00E85ECD" w:rsidRDefault="00E02ACD" w:rsidP="00B10D1C">
            <w:pPr>
              <w:pStyle w:val="NoSpacing"/>
              <w:spacing w:line="480" w:lineRule="auto"/>
              <w:rPr>
                <w:rFonts w:asciiTheme="minorHAnsi" w:hAnsiTheme="minorHAnsi" w:cs="Arial"/>
                <w:sz w:val="18"/>
                <w:szCs w:val="18"/>
              </w:rPr>
            </w:pPr>
            <w:r w:rsidRPr="00E85ECD">
              <w:rPr>
                <w:rFonts w:asciiTheme="minorHAnsi" w:hAnsiTheme="minorHAnsi" w:cs="Arial"/>
                <w:sz w:val="18"/>
                <w:szCs w:val="18"/>
              </w:rPr>
              <w:t>1 or more violence convictions*</w:t>
            </w:r>
          </w:p>
        </w:tc>
        <w:tc>
          <w:tcPr>
            <w:tcW w:w="850" w:type="dxa"/>
            <w:tcBorders>
              <w:left w:val="single" w:sz="4" w:space="0" w:color="auto"/>
              <w:bottom w:val="single" w:sz="4" w:space="0" w:color="auto"/>
            </w:tcBorders>
            <w:noWrap/>
            <w:vAlign w:val="center"/>
            <w:hideMark/>
          </w:tcPr>
          <w:p w14:paraId="556BBC8E" w14:textId="77777777" w:rsidR="00E02ACD" w:rsidRPr="00E85ECD" w:rsidRDefault="00E02ACD" w:rsidP="00B10D1C">
            <w:pPr>
              <w:spacing w:after="0" w:line="480" w:lineRule="auto"/>
              <w:jc w:val="right"/>
              <w:rPr>
                <w:rFonts w:asciiTheme="minorHAnsi" w:hAnsiTheme="minorHAnsi" w:cs="Arial"/>
                <w:b/>
                <w:bCs/>
                <w:color w:val="000000"/>
                <w:sz w:val="18"/>
                <w:szCs w:val="18"/>
              </w:rPr>
            </w:pPr>
            <w:r w:rsidRPr="00E85ECD">
              <w:rPr>
                <w:rFonts w:asciiTheme="minorHAnsi" w:hAnsiTheme="minorHAnsi" w:cs="Arial"/>
                <w:b/>
                <w:bCs/>
                <w:color w:val="000000"/>
                <w:sz w:val="18"/>
                <w:szCs w:val="18"/>
              </w:rPr>
              <w:t>83</w:t>
            </w:r>
          </w:p>
        </w:tc>
        <w:tc>
          <w:tcPr>
            <w:tcW w:w="1054" w:type="dxa"/>
            <w:tcBorders>
              <w:bottom w:val="single" w:sz="4" w:space="0" w:color="auto"/>
              <w:right w:val="single" w:sz="4" w:space="0" w:color="auto"/>
            </w:tcBorders>
            <w:noWrap/>
            <w:vAlign w:val="center"/>
            <w:hideMark/>
          </w:tcPr>
          <w:p w14:paraId="212D7392"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31.8</w:t>
            </w:r>
          </w:p>
        </w:tc>
        <w:tc>
          <w:tcPr>
            <w:tcW w:w="992" w:type="dxa"/>
            <w:tcBorders>
              <w:left w:val="single" w:sz="4" w:space="0" w:color="auto"/>
              <w:bottom w:val="single" w:sz="4" w:space="0" w:color="auto"/>
            </w:tcBorders>
            <w:noWrap/>
            <w:vAlign w:val="center"/>
            <w:hideMark/>
          </w:tcPr>
          <w:p w14:paraId="67B775AA" w14:textId="77777777" w:rsidR="00E02ACD" w:rsidRPr="00E85ECD" w:rsidRDefault="00E02ACD" w:rsidP="00B10D1C">
            <w:pPr>
              <w:spacing w:after="0" w:line="480" w:lineRule="auto"/>
              <w:jc w:val="right"/>
              <w:rPr>
                <w:rFonts w:asciiTheme="minorHAnsi" w:hAnsiTheme="minorHAnsi" w:cs="Arial"/>
                <w:b/>
                <w:bCs/>
                <w:color w:val="000000"/>
                <w:sz w:val="18"/>
                <w:szCs w:val="18"/>
              </w:rPr>
            </w:pPr>
            <w:r w:rsidRPr="00E85ECD">
              <w:rPr>
                <w:rFonts w:asciiTheme="minorHAnsi" w:hAnsiTheme="minorHAnsi" w:cs="Arial"/>
                <w:b/>
                <w:bCs/>
                <w:color w:val="000000"/>
                <w:sz w:val="18"/>
                <w:szCs w:val="18"/>
              </w:rPr>
              <w:t>39</w:t>
            </w:r>
          </w:p>
        </w:tc>
        <w:tc>
          <w:tcPr>
            <w:tcW w:w="851" w:type="dxa"/>
            <w:tcBorders>
              <w:bottom w:val="single" w:sz="4" w:space="0" w:color="auto"/>
              <w:right w:val="single" w:sz="4" w:space="0" w:color="auto"/>
            </w:tcBorders>
            <w:noWrap/>
            <w:vAlign w:val="center"/>
            <w:hideMark/>
          </w:tcPr>
          <w:p w14:paraId="0429DB7F"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71.0</w:t>
            </w:r>
          </w:p>
        </w:tc>
        <w:tc>
          <w:tcPr>
            <w:tcW w:w="850" w:type="dxa"/>
            <w:tcBorders>
              <w:left w:val="single" w:sz="4" w:space="0" w:color="auto"/>
              <w:bottom w:val="single" w:sz="4" w:space="0" w:color="auto"/>
            </w:tcBorders>
            <w:noWrap/>
            <w:vAlign w:val="center"/>
            <w:hideMark/>
          </w:tcPr>
          <w:p w14:paraId="54D6375B" w14:textId="77777777" w:rsidR="00E02ACD" w:rsidRPr="00E85ECD" w:rsidRDefault="00E02ACD" w:rsidP="00B10D1C">
            <w:pPr>
              <w:spacing w:after="0" w:line="480" w:lineRule="auto"/>
              <w:jc w:val="right"/>
              <w:rPr>
                <w:rFonts w:asciiTheme="minorHAnsi" w:hAnsiTheme="minorHAnsi" w:cs="Arial"/>
                <w:b/>
                <w:bCs/>
                <w:color w:val="000000"/>
                <w:sz w:val="18"/>
                <w:szCs w:val="18"/>
              </w:rPr>
            </w:pPr>
            <w:r w:rsidRPr="00E85ECD">
              <w:rPr>
                <w:rFonts w:asciiTheme="minorHAnsi" w:hAnsiTheme="minorHAnsi" w:cs="Arial"/>
                <w:b/>
                <w:bCs/>
                <w:color w:val="000000"/>
                <w:sz w:val="18"/>
                <w:szCs w:val="18"/>
              </w:rPr>
              <w:t>27</w:t>
            </w:r>
          </w:p>
        </w:tc>
        <w:tc>
          <w:tcPr>
            <w:tcW w:w="993" w:type="dxa"/>
            <w:tcBorders>
              <w:bottom w:val="single" w:sz="4" w:space="0" w:color="auto"/>
              <w:right w:val="single" w:sz="4" w:space="0" w:color="auto"/>
            </w:tcBorders>
            <w:noWrap/>
            <w:vAlign w:val="center"/>
            <w:hideMark/>
          </w:tcPr>
          <w:p w14:paraId="39167BF2"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27.0</w:t>
            </w:r>
          </w:p>
        </w:tc>
        <w:tc>
          <w:tcPr>
            <w:tcW w:w="708" w:type="dxa"/>
            <w:tcBorders>
              <w:left w:val="single" w:sz="4" w:space="0" w:color="auto"/>
              <w:bottom w:val="single" w:sz="4" w:space="0" w:color="auto"/>
            </w:tcBorders>
            <w:noWrap/>
            <w:vAlign w:val="center"/>
            <w:hideMark/>
          </w:tcPr>
          <w:p w14:paraId="2E9DBD3F" w14:textId="77777777" w:rsidR="00E02ACD" w:rsidRPr="00E85ECD" w:rsidRDefault="00E02ACD" w:rsidP="00B10D1C">
            <w:pPr>
              <w:spacing w:after="0" w:line="480" w:lineRule="auto"/>
              <w:jc w:val="right"/>
              <w:rPr>
                <w:rFonts w:asciiTheme="minorHAnsi" w:hAnsiTheme="minorHAnsi" w:cs="Arial"/>
                <w:b/>
                <w:bCs/>
                <w:color w:val="000000"/>
                <w:sz w:val="18"/>
                <w:szCs w:val="18"/>
              </w:rPr>
            </w:pPr>
            <w:r w:rsidRPr="00E85ECD">
              <w:rPr>
                <w:rFonts w:asciiTheme="minorHAnsi" w:hAnsiTheme="minorHAnsi" w:cs="Arial"/>
                <w:b/>
                <w:bCs/>
                <w:color w:val="000000"/>
                <w:sz w:val="18"/>
                <w:szCs w:val="18"/>
              </w:rPr>
              <w:t>17</w:t>
            </w:r>
          </w:p>
        </w:tc>
        <w:tc>
          <w:tcPr>
            <w:tcW w:w="993" w:type="dxa"/>
            <w:tcBorders>
              <w:bottom w:val="single" w:sz="4" w:space="0" w:color="auto"/>
              <w:right w:val="single" w:sz="4" w:space="0" w:color="auto"/>
            </w:tcBorders>
            <w:noWrap/>
            <w:vAlign w:val="center"/>
            <w:hideMark/>
          </w:tcPr>
          <w:p w14:paraId="7471D48D"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16.0</w:t>
            </w:r>
          </w:p>
        </w:tc>
        <w:tc>
          <w:tcPr>
            <w:tcW w:w="850" w:type="dxa"/>
            <w:tcBorders>
              <w:left w:val="single" w:sz="4" w:space="0" w:color="auto"/>
              <w:bottom w:val="single" w:sz="4" w:space="0" w:color="auto"/>
            </w:tcBorders>
            <w:noWrap/>
            <w:vAlign w:val="center"/>
            <w:hideMark/>
          </w:tcPr>
          <w:p w14:paraId="4DF42E0B"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46.0</w:t>
            </w:r>
          </w:p>
        </w:tc>
        <w:tc>
          <w:tcPr>
            <w:tcW w:w="851" w:type="dxa"/>
            <w:tcBorders>
              <w:bottom w:val="single" w:sz="4" w:space="0" w:color="auto"/>
            </w:tcBorders>
            <w:noWrap/>
            <w:vAlign w:val="center"/>
            <w:hideMark/>
          </w:tcPr>
          <w:p w14:paraId="2B97298C"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&lt;.001</w:t>
            </w:r>
          </w:p>
        </w:tc>
      </w:tr>
      <w:tr w:rsidR="00E85ECD" w:rsidRPr="00E85ECD" w14:paraId="2EBFFA5E" w14:textId="77777777" w:rsidTr="00E85ECD">
        <w:trPr>
          <w:trHeight w:val="414"/>
        </w:trPr>
        <w:tc>
          <w:tcPr>
            <w:tcW w:w="3375" w:type="dxa"/>
            <w:gridSpan w:val="2"/>
            <w:tcBorders>
              <w:top w:val="single" w:sz="4" w:space="0" w:color="auto"/>
              <w:right w:val="single" w:sz="4" w:space="0" w:color="auto"/>
            </w:tcBorders>
            <w:noWrap/>
            <w:vAlign w:val="center"/>
            <w:hideMark/>
          </w:tcPr>
          <w:p w14:paraId="65DAF9D4" w14:textId="77777777" w:rsidR="00E02ACD" w:rsidRPr="00E85ECD" w:rsidRDefault="00E02ACD" w:rsidP="00B10D1C">
            <w:pPr>
              <w:pStyle w:val="NoSpacing"/>
              <w:spacing w:line="480" w:lineRule="auto"/>
              <w:rPr>
                <w:rFonts w:asciiTheme="minorHAnsi" w:hAnsiTheme="minorHAnsi" w:cs="Arial"/>
                <w:b/>
                <w:sz w:val="18"/>
                <w:szCs w:val="18"/>
              </w:rPr>
            </w:pPr>
          </w:p>
        </w:tc>
        <w:tc>
          <w:tcPr>
            <w:tcW w:w="850" w:type="dxa"/>
            <w:tcBorders>
              <w:top w:val="single" w:sz="4" w:space="0" w:color="auto"/>
              <w:left w:val="single" w:sz="4" w:space="0" w:color="auto"/>
            </w:tcBorders>
            <w:noWrap/>
            <w:vAlign w:val="center"/>
            <w:hideMark/>
          </w:tcPr>
          <w:p w14:paraId="1CAF1787" w14:textId="77777777" w:rsidR="00E02ACD" w:rsidRPr="00E85ECD" w:rsidRDefault="00E02ACD" w:rsidP="00B10D1C">
            <w:pPr>
              <w:spacing w:after="0" w:line="480" w:lineRule="auto"/>
              <w:jc w:val="right"/>
              <w:rPr>
                <w:rFonts w:asciiTheme="minorHAnsi" w:hAnsiTheme="minorHAnsi" w:cs="Arial"/>
                <w:i/>
                <w:color w:val="000000"/>
                <w:sz w:val="18"/>
                <w:szCs w:val="18"/>
              </w:rPr>
            </w:pPr>
            <w:r w:rsidRPr="00E85ECD">
              <w:rPr>
                <w:rFonts w:asciiTheme="minorHAnsi" w:hAnsiTheme="minorHAnsi" w:cs="Arial"/>
                <w:i/>
                <w:color w:val="000000"/>
                <w:sz w:val="18"/>
                <w:szCs w:val="18"/>
              </w:rPr>
              <w:t>M</w:t>
            </w:r>
          </w:p>
        </w:tc>
        <w:tc>
          <w:tcPr>
            <w:tcW w:w="1054" w:type="dxa"/>
            <w:tcBorders>
              <w:top w:val="single" w:sz="4" w:space="0" w:color="auto"/>
              <w:right w:val="single" w:sz="4" w:space="0" w:color="auto"/>
            </w:tcBorders>
            <w:noWrap/>
            <w:vAlign w:val="center"/>
            <w:hideMark/>
          </w:tcPr>
          <w:p w14:paraId="042663E6" w14:textId="77777777" w:rsidR="00E02ACD" w:rsidRPr="00E85ECD" w:rsidRDefault="00E02ACD" w:rsidP="00B10D1C">
            <w:pPr>
              <w:spacing w:after="0" w:line="480" w:lineRule="auto"/>
              <w:jc w:val="right"/>
              <w:rPr>
                <w:rFonts w:asciiTheme="minorHAnsi" w:hAnsiTheme="minorHAnsi" w:cs="Arial"/>
                <w:i/>
                <w:color w:val="000000"/>
                <w:sz w:val="18"/>
                <w:szCs w:val="18"/>
              </w:rPr>
            </w:pPr>
            <w:r w:rsidRPr="00E85ECD">
              <w:rPr>
                <w:rFonts w:asciiTheme="minorHAnsi" w:hAnsiTheme="minorHAnsi" w:cs="Arial"/>
                <w:i/>
                <w:color w:val="000000"/>
                <w:sz w:val="18"/>
                <w:szCs w:val="18"/>
              </w:rPr>
              <w:t>SD</w:t>
            </w:r>
          </w:p>
        </w:tc>
        <w:tc>
          <w:tcPr>
            <w:tcW w:w="992" w:type="dxa"/>
            <w:tcBorders>
              <w:top w:val="single" w:sz="4" w:space="0" w:color="auto"/>
              <w:left w:val="single" w:sz="4" w:space="0" w:color="auto"/>
            </w:tcBorders>
            <w:noWrap/>
            <w:vAlign w:val="center"/>
            <w:hideMark/>
          </w:tcPr>
          <w:p w14:paraId="4FD31777" w14:textId="77777777" w:rsidR="00E02ACD" w:rsidRPr="00E85ECD" w:rsidRDefault="00E02ACD" w:rsidP="00B10D1C">
            <w:pPr>
              <w:spacing w:after="0" w:line="480" w:lineRule="auto"/>
              <w:jc w:val="right"/>
              <w:rPr>
                <w:rFonts w:asciiTheme="minorHAnsi" w:hAnsiTheme="minorHAnsi" w:cs="Arial"/>
                <w:i/>
                <w:color w:val="000000"/>
                <w:sz w:val="18"/>
                <w:szCs w:val="18"/>
              </w:rPr>
            </w:pPr>
            <w:r w:rsidRPr="00E85ECD">
              <w:rPr>
                <w:rFonts w:asciiTheme="minorHAnsi" w:hAnsiTheme="minorHAnsi" w:cs="Arial"/>
                <w:i/>
                <w:color w:val="000000"/>
                <w:sz w:val="18"/>
                <w:szCs w:val="18"/>
              </w:rPr>
              <w:t>M</w:t>
            </w:r>
          </w:p>
        </w:tc>
        <w:tc>
          <w:tcPr>
            <w:tcW w:w="851" w:type="dxa"/>
            <w:tcBorders>
              <w:top w:val="single" w:sz="4" w:space="0" w:color="auto"/>
              <w:right w:val="single" w:sz="4" w:space="0" w:color="auto"/>
            </w:tcBorders>
            <w:noWrap/>
            <w:vAlign w:val="center"/>
            <w:hideMark/>
          </w:tcPr>
          <w:p w14:paraId="703810CF" w14:textId="77777777" w:rsidR="00E02ACD" w:rsidRPr="00E85ECD" w:rsidRDefault="00E02ACD" w:rsidP="00B10D1C">
            <w:pPr>
              <w:spacing w:after="0" w:line="480" w:lineRule="auto"/>
              <w:jc w:val="right"/>
              <w:rPr>
                <w:rFonts w:asciiTheme="minorHAnsi" w:hAnsiTheme="minorHAnsi" w:cs="Arial"/>
                <w:i/>
                <w:color w:val="000000"/>
                <w:sz w:val="18"/>
                <w:szCs w:val="18"/>
              </w:rPr>
            </w:pPr>
            <w:r w:rsidRPr="00E85ECD">
              <w:rPr>
                <w:rFonts w:asciiTheme="minorHAnsi" w:hAnsiTheme="minorHAnsi" w:cs="Arial"/>
                <w:i/>
                <w:color w:val="000000"/>
                <w:sz w:val="18"/>
                <w:szCs w:val="18"/>
              </w:rPr>
              <w:t>SD</w:t>
            </w:r>
          </w:p>
        </w:tc>
        <w:tc>
          <w:tcPr>
            <w:tcW w:w="850" w:type="dxa"/>
            <w:tcBorders>
              <w:top w:val="single" w:sz="4" w:space="0" w:color="auto"/>
              <w:left w:val="single" w:sz="4" w:space="0" w:color="auto"/>
            </w:tcBorders>
            <w:noWrap/>
            <w:vAlign w:val="center"/>
            <w:hideMark/>
          </w:tcPr>
          <w:p w14:paraId="31E9DA93" w14:textId="77777777" w:rsidR="00E02ACD" w:rsidRPr="00E85ECD" w:rsidRDefault="00E02ACD" w:rsidP="00B10D1C">
            <w:pPr>
              <w:spacing w:after="0" w:line="480" w:lineRule="auto"/>
              <w:jc w:val="right"/>
              <w:rPr>
                <w:rFonts w:asciiTheme="minorHAnsi" w:hAnsiTheme="minorHAnsi" w:cs="Arial"/>
                <w:i/>
                <w:color w:val="000000"/>
                <w:sz w:val="18"/>
                <w:szCs w:val="18"/>
              </w:rPr>
            </w:pPr>
            <w:r w:rsidRPr="00E85ECD">
              <w:rPr>
                <w:rFonts w:asciiTheme="minorHAnsi" w:hAnsiTheme="minorHAnsi" w:cs="Arial"/>
                <w:i/>
                <w:color w:val="000000"/>
                <w:sz w:val="18"/>
                <w:szCs w:val="18"/>
              </w:rPr>
              <w:t>M</w:t>
            </w:r>
          </w:p>
        </w:tc>
        <w:tc>
          <w:tcPr>
            <w:tcW w:w="993" w:type="dxa"/>
            <w:tcBorders>
              <w:top w:val="single" w:sz="4" w:space="0" w:color="auto"/>
              <w:right w:val="single" w:sz="4" w:space="0" w:color="auto"/>
            </w:tcBorders>
            <w:noWrap/>
            <w:vAlign w:val="center"/>
            <w:hideMark/>
          </w:tcPr>
          <w:p w14:paraId="7372F92A" w14:textId="77777777" w:rsidR="00E02ACD" w:rsidRPr="00E85ECD" w:rsidRDefault="00E02ACD" w:rsidP="00B10D1C">
            <w:pPr>
              <w:spacing w:after="0" w:line="480" w:lineRule="auto"/>
              <w:jc w:val="right"/>
              <w:rPr>
                <w:rFonts w:asciiTheme="minorHAnsi" w:hAnsiTheme="minorHAnsi" w:cs="Arial"/>
                <w:i/>
                <w:color w:val="000000"/>
                <w:sz w:val="18"/>
                <w:szCs w:val="18"/>
              </w:rPr>
            </w:pPr>
            <w:r w:rsidRPr="00E85ECD">
              <w:rPr>
                <w:rFonts w:asciiTheme="minorHAnsi" w:hAnsiTheme="minorHAnsi" w:cs="Arial"/>
                <w:i/>
                <w:color w:val="000000"/>
                <w:sz w:val="18"/>
                <w:szCs w:val="18"/>
              </w:rPr>
              <w:t>SD</w:t>
            </w:r>
          </w:p>
        </w:tc>
        <w:tc>
          <w:tcPr>
            <w:tcW w:w="708" w:type="dxa"/>
            <w:tcBorders>
              <w:top w:val="single" w:sz="4" w:space="0" w:color="auto"/>
              <w:left w:val="single" w:sz="4" w:space="0" w:color="auto"/>
            </w:tcBorders>
            <w:noWrap/>
            <w:vAlign w:val="center"/>
            <w:hideMark/>
          </w:tcPr>
          <w:p w14:paraId="1CCDB034" w14:textId="77777777" w:rsidR="00E02ACD" w:rsidRPr="00E85ECD" w:rsidRDefault="00E02ACD" w:rsidP="00B10D1C">
            <w:pPr>
              <w:spacing w:after="0" w:line="480" w:lineRule="auto"/>
              <w:jc w:val="right"/>
              <w:rPr>
                <w:rFonts w:asciiTheme="minorHAnsi" w:hAnsiTheme="minorHAnsi" w:cs="Arial"/>
                <w:i/>
                <w:color w:val="000000"/>
                <w:sz w:val="18"/>
                <w:szCs w:val="18"/>
              </w:rPr>
            </w:pPr>
            <w:r w:rsidRPr="00E85ECD">
              <w:rPr>
                <w:rFonts w:asciiTheme="minorHAnsi" w:hAnsiTheme="minorHAnsi" w:cs="Arial"/>
                <w:i/>
                <w:color w:val="000000"/>
                <w:sz w:val="18"/>
                <w:szCs w:val="18"/>
              </w:rPr>
              <w:t>M</w:t>
            </w:r>
          </w:p>
        </w:tc>
        <w:tc>
          <w:tcPr>
            <w:tcW w:w="993" w:type="dxa"/>
            <w:tcBorders>
              <w:top w:val="single" w:sz="4" w:space="0" w:color="auto"/>
              <w:right w:val="single" w:sz="4" w:space="0" w:color="auto"/>
            </w:tcBorders>
            <w:noWrap/>
            <w:vAlign w:val="center"/>
            <w:hideMark/>
          </w:tcPr>
          <w:p w14:paraId="19ED7CC1" w14:textId="77777777" w:rsidR="00E02ACD" w:rsidRPr="00E85ECD" w:rsidRDefault="00E02ACD" w:rsidP="00B10D1C">
            <w:pPr>
              <w:spacing w:after="0" w:line="480" w:lineRule="auto"/>
              <w:jc w:val="right"/>
              <w:rPr>
                <w:rFonts w:asciiTheme="minorHAnsi" w:hAnsiTheme="minorHAnsi" w:cs="Arial"/>
                <w:i/>
                <w:color w:val="000000"/>
                <w:sz w:val="18"/>
                <w:szCs w:val="18"/>
              </w:rPr>
            </w:pPr>
            <w:r w:rsidRPr="00E85ECD">
              <w:rPr>
                <w:rFonts w:asciiTheme="minorHAnsi" w:hAnsiTheme="minorHAnsi" w:cs="Arial"/>
                <w:i/>
                <w:color w:val="000000"/>
                <w:sz w:val="18"/>
                <w:szCs w:val="18"/>
              </w:rPr>
              <w:t>SD</w:t>
            </w:r>
          </w:p>
        </w:tc>
        <w:tc>
          <w:tcPr>
            <w:tcW w:w="850" w:type="dxa"/>
            <w:tcBorders>
              <w:top w:val="single" w:sz="4" w:space="0" w:color="auto"/>
              <w:left w:val="single" w:sz="4" w:space="0" w:color="auto"/>
            </w:tcBorders>
            <w:noWrap/>
            <w:vAlign w:val="center"/>
            <w:hideMark/>
          </w:tcPr>
          <w:p w14:paraId="46D7C4FD" w14:textId="77777777" w:rsidR="00E02ACD" w:rsidRPr="00E85ECD" w:rsidRDefault="00E02ACD" w:rsidP="00B10D1C">
            <w:pPr>
              <w:spacing w:after="0" w:line="480" w:lineRule="auto"/>
              <w:jc w:val="right"/>
              <w:rPr>
                <w:rFonts w:asciiTheme="minorHAnsi" w:hAnsiTheme="minorHAnsi" w:cs="Arial"/>
                <w:i/>
                <w:color w:val="000000"/>
                <w:sz w:val="18"/>
                <w:szCs w:val="18"/>
              </w:rPr>
            </w:pPr>
            <w:r w:rsidRPr="00E85ECD">
              <w:rPr>
                <w:rFonts w:asciiTheme="minorHAnsi" w:hAnsiTheme="minorHAnsi" w:cs="Arial"/>
                <w:i/>
                <w:color w:val="000000"/>
                <w:sz w:val="18"/>
                <w:szCs w:val="18"/>
              </w:rPr>
              <w:t>F</w:t>
            </w:r>
          </w:p>
        </w:tc>
        <w:tc>
          <w:tcPr>
            <w:tcW w:w="851" w:type="dxa"/>
            <w:tcBorders>
              <w:top w:val="single" w:sz="4" w:space="0" w:color="auto"/>
            </w:tcBorders>
            <w:noWrap/>
            <w:vAlign w:val="center"/>
            <w:hideMark/>
          </w:tcPr>
          <w:p w14:paraId="5EAD05AF" w14:textId="77777777" w:rsidR="00E02ACD" w:rsidRPr="00E85ECD" w:rsidRDefault="00E02ACD" w:rsidP="00B10D1C">
            <w:pPr>
              <w:spacing w:after="0" w:line="480" w:lineRule="auto"/>
              <w:jc w:val="right"/>
              <w:rPr>
                <w:rFonts w:asciiTheme="minorHAnsi" w:hAnsiTheme="minorHAnsi" w:cs="Arial"/>
                <w:i/>
                <w:color w:val="000000"/>
                <w:sz w:val="18"/>
                <w:szCs w:val="18"/>
              </w:rPr>
            </w:pPr>
            <w:r w:rsidRPr="00E85ECD">
              <w:rPr>
                <w:rFonts w:asciiTheme="minorHAnsi" w:hAnsiTheme="minorHAnsi" w:cs="Arial"/>
                <w:i/>
                <w:color w:val="000000"/>
                <w:sz w:val="18"/>
                <w:szCs w:val="18"/>
              </w:rPr>
              <w:t>p</w:t>
            </w:r>
          </w:p>
        </w:tc>
      </w:tr>
      <w:tr w:rsidR="00E85ECD" w:rsidRPr="00E85ECD" w14:paraId="4CB2F2F6" w14:textId="77777777" w:rsidTr="00E85ECD">
        <w:trPr>
          <w:trHeight w:val="414"/>
        </w:trPr>
        <w:tc>
          <w:tcPr>
            <w:tcW w:w="3375" w:type="dxa"/>
            <w:gridSpan w:val="2"/>
            <w:tcBorders>
              <w:bottom w:val="single" w:sz="4" w:space="0" w:color="auto"/>
              <w:right w:val="single" w:sz="4" w:space="0" w:color="auto"/>
            </w:tcBorders>
            <w:noWrap/>
            <w:vAlign w:val="center"/>
            <w:hideMark/>
          </w:tcPr>
          <w:p w14:paraId="15F4C24A" w14:textId="77777777" w:rsidR="00E02ACD" w:rsidRPr="00E85ECD" w:rsidRDefault="00E02ACD" w:rsidP="00B10D1C">
            <w:pPr>
              <w:pStyle w:val="NoSpacing"/>
              <w:spacing w:line="480" w:lineRule="auto"/>
              <w:rPr>
                <w:rFonts w:asciiTheme="minorHAnsi" w:hAnsiTheme="minorHAnsi" w:cs="Arial"/>
                <w:sz w:val="18"/>
                <w:szCs w:val="18"/>
              </w:rPr>
            </w:pPr>
            <w:r w:rsidRPr="00E85ECD">
              <w:rPr>
                <w:rFonts w:asciiTheme="minorHAnsi" w:hAnsiTheme="minorHAnsi" w:cs="Arial"/>
                <w:sz w:val="18"/>
                <w:szCs w:val="18"/>
              </w:rPr>
              <w:t>Age (years)</w:t>
            </w:r>
          </w:p>
        </w:tc>
        <w:tc>
          <w:tcPr>
            <w:tcW w:w="850" w:type="dxa"/>
            <w:tcBorders>
              <w:left w:val="single" w:sz="4" w:space="0" w:color="auto"/>
              <w:bottom w:val="single" w:sz="4" w:space="0" w:color="auto"/>
            </w:tcBorders>
            <w:noWrap/>
            <w:vAlign w:val="center"/>
            <w:hideMark/>
          </w:tcPr>
          <w:p w14:paraId="69CE5810" w14:textId="77777777" w:rsidR="00E02ACD" w:rsidRPr="00E85ECD" w:rsidRDefault="00E02ACD" w:rsidP="00B10D1C">
            <w:pPr>
              <w:spacing w:after="0" w:line="480" w:lineRule="auto"/>
              <w:jc w:val="right"/>
              <w:rPr>
                <w:rFonts w:asciiTheme="minorHAnsi" w:hAnsiTheme="minorHAnsi" w:cs="Arial"/>
                <w:b/>
                <w:bCs/>
                <w:color w:val="000000"/>
                <w:sz w:val="18"/>
                <w:szCs w:val="18"/>
              </w:rPr>
            </w:pPr>
            <w:r w:rsidRPr="00E85ECD">
              <w:rPr>
                <w:rFonts w:asciiTheme="minorHAnsi" w:hAnsiTheme="minorHAnsi" w:cs="Arial"/>
                <w:b/>
                <w:bCs/>
                <w:color w:val="000000"/>
                <w:sz w:val="18"/>
                <w:szCs w:val="18"/>
              </w:rPr>
              <w:t>39.4</w:t>
            </w:r>
          </w:p>
        </w:tc>
        <w:tc>
          <w:tcPr>
            <w:tcW w:w="1054" w:type="dxa"/>
            <w:tcBorders>
              <w:bottom w:val="single" w:sz="4" w:space="0" w:color="auto"/>
              <w:right w:val="single" w:sz="4" w:space="0" w:color="auto"/>
            </w:tcBorders>
            <w:noWrap/>
            <w:vAlign w:val="center"/>
            <w:hideMark/>
          </w:tcPr>
          <w:p w14:paraId="2C154D15"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13.1</w:t>
            </w:r>
          </w:p>
        </w:tc>
        <w:tc>
          <w:tcPr>
            <w:tcW w:w="992" w:type="dxa"/>
            <w:tcBorders>
              <w:left w:val="single" w:sz="4" w:space="0" w:color="auto"/>
              <w:bottom w:val="single" w:sz="4" w:space="0" w:color="auto"/>
            </w:tcBorders>
            <w:noWrap/>
            <w:vAlign w:val="center"/>
            <w:hideMark/>
          </w:tcPr>
          <w:p w14:paraId="483AEE5A" w14:textId="77777777" w:rsidR="00E02ACD" w:rsidRPr="00E85ECD" w:rsidRDefault="00E02ACD" w:rsidP="00B10D1C">
            <w:pPr>
              <w:spacing w:after="0" w:line="480" w:lineRule="auto"/>
              <w:jc w:val="right"/>
              <w:rPr>
                <w:rFonts w:asciiTheme="minorHAnsi" w:hAnsiTheme="minorHAnsi" w:cs="Arial"/>
                <w:b/>
                <w:bCs/>
                <w:color w:val="000000"/>
                <w:sz w:val="18"/>
                <w:szCs w:val="18"/>
              </w:rPr>
            </w:pPr>
            <w:r w:rsidRPr="00E85ECD">
              <w:rPr>
                <w:rFonts w:asciiTheme="minorHAnsi" w:hAnsiTheme="minorHAnsi" w:cs="Arial"/>
                <w:b/>
                <w:bCs/>
                <w:color w:val="000000"/>
                <w:sz w:val="18"/>
                <w:szCs w:val="18"/>
              </w:rPr>
              <w:t>39.1</w:t>
            </w:r>
          </w:p>
        </w:tc>
        <w:tc>
          <w:tcPr>
            <w:tcW w:w="851" w:type="dxa"/>
            <w:tcBorders>
              <w:bottom w:val="single" w:sz="4" w:space="0" w:color="auto"/>
              <w:right w:val="single" w:sz="4" w:space="0" w:color="auto"/>
            </w:tcBorders>
            <w:noWrap/>
            <w:vAlign w:val="center"/>
            <w:hideMark/>
          </w:tcPr>
          <w:p w14:paraId="17D6D6BA"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12.3</w:t>
            </w:r>
          </w:p>
        </w:tc>
        <w:tc>
          <w:tcPr>
            <w:tcW w:w="850" w:type="dxa"/>
            <w:tcBorders>
              <w:left w:val="single" w:sz="4" w:space="0" w:color="auto"/>
              <w:bottom w:val="single" w:sz="4" w:space="0" w:color="auto"/>
            </w:tcBorders>
            <w:noWrap/>
            <w:vAlign w:val="center"/>
            <w:hideMark/>
          </w:tcPr>
          <w:p w14:paraId="27F863DB" w14:textId="77777777" w:rsidR="00E02ACD" w:rsidRPr="00E85ECD" w:rsidRDefault="00E02ACD" w:rsidP="00B10D1C">
            <w:pPr>
              <w:spacing w:after="0" w:line="480" w:lineRule="auto"/>
              <w:jc w:val="right"/>
              <w:rPr>
                <w:rFonts w:asciiTheme="minorHAnsi" w:hAnsiTheme="minorHAnsi" w:cs="Arial"/>
                <w:b/>
                <w:bCs/>
                <w:color w:val="000000"/>
                <w:sz w:val="18"/>
                <w:szCs w:val="18"/>
              </w:rPr>
            </w:pPr>
            <w:r w:rsidRPr="00E85ECD">
              <w:rPr>
                <w:rFonts w:asciiTheme="minorHAnsi" w:hAnsiTheme="minorHAnsi" w:cs="Arial"/>
                <w:b/>
                <w:bCs/>
                <w:color w:val="000000"/>
                <w:sz w:val="18"/>
                <w:szCs w:val="18"/>
              </w:rPr>
              <w:t>41.8</w:t>
            </w:r>
          </w:p>
        </w:tc>
        <w:tc>
          <w:tcPr>
            <w:tcW w:w="993" w:type="dxa"/>
            <w:tcBorders>
              <w:bottom w:val="single" w:sz="4" w:space="0" w:color="auto"/>
              <w:right w:val="single" w:sz="4" w:space="0" w:color="auto"/>
            </w:tcBorders>
            <w:noWrap/>
            <w:vAlign w:val="center"/>
            <w:hideMark/>
          </w:tcPr>
          <w:p w14:paraId="7F1B8A91"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13.2</w:t>
            </w:r>
          </w:p>
        </w:tc>
        <w:tc>
          <w:tcPr>
            <w:tcW w:w="708" w:type="dxa"/>
            <w:tcBorders>
              <w:left w:val="single" w:sz="4" w:space="0" w:color="auto"/>
              <w:bottom w:val="single" w:sz="4" w:space="0" w:color="auto"/>
            </w:tcBorders>
            <w:noWrap/>
            <w:vAlign w:val="center"/>
            <w:hideMark/>
          </w:tcPr>
          <w:p w14:paraId="5E9FDDDA" w14:textId="77777777" w:rsidR="00E02ACD" w:rsidRPr="00E85ECD" w:rsidRDefault="00E02ACD" w:rsidP="00B10D1C">
            <w:pPr>
              <w:spacing w:after="0" w:line="480" w:lineRule="auto"/>
              <w:jc w:val="right"/>
              <w:rPr>
                <w:rFonts w:asciiTheme="minorHAnsi" w:hAnsiTheme="minorHAnsi" w:cs="Arial"/>
                <w:b/>
                <w:bCs/>
                <w:color w:val="000000"/>
                <w:sz w:val="18"/>
                <w:szCs w:val="18"/>
              </w:rPr>
            </w:pPr>
            <w:r w:rsidRPr="00E85ECD">
              <w:rPr>
                <w:rFonts w:asciiTheme="minorHAnsi" w:hAnsiTheme="minorHAnsi" w:cs="Arial"/>
                <w:b/>
                <w:bCs/>
                <w:color w:val="000000"/>
                <w:sz w:val="18"/>
                <w:szCs w:val="18"/>
              </w:rPr>
              <w:t>37.7</w:t>
            </w:r>
          </w:p>
        </w:tc>
        <w:tc>
          <w:tcPr>
            <w:tcW w:w="993" w:type="dxa"/>
            <w:tcBorders>
              <w:bottom w:val="single" w:sz="4" w:space="0" w:color="auto"/>
              <w:right w:val="single" w:sz="4" w:space="0" w:color="auto"/>
            </w:tcBorders>
            <w:noWrap/>
            <w:vAlign w:val="center"/>
            <w:hideMark/>
          </w:tcPr>
          <w:p w14:paraId="360ED3BB"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13.1</w:t>
            </w:r>
          </w:p>
        </w:tc>
        <w:tc>
          <w:tcPr>
            <w:tcW w:w="850" w:type="dxa"/>
            <w:tcBorders>
              <w:left w:val="single" w:sz="4" w:space="0" w:color="auto"/>
              <w:bottom w:val="single" w:sz="4" w:space="0" w:color="auto"/>
            </w:tcBorders>
            <w:noWrap/>
            <w:vAlign w:val="center"/>
            <w:hideMark/>
          </w:tcPr>
          <w:p w14:paraId="71DD771C"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3.1</w:t>
            </w:r>
          </w:p>
        </w:tc>
        <w:tc>
          <w:tcPr>
            <w:tcW w:w="851" w:type="dxa"/>
            <w:tcBorders>
              <w:bottom w:val="single" w:sz="4" w:space="0" w:color="auto"/>
            </w:tcBorders>
            <w:noWrap/>
            <w:vAlign w:val="center"/>
            <w:hideMark/>
          </w:tcPr>
          <w:p w14:paraId="582F66A1" w14:textId="77777777" w:rsidR="00E02ACD" w:rsidRPr="00E85ECD" w:rsidRDefault="00E02ACD" w:rsidP="00B10D1C">
            <w:pPr>
              <w:spacing w:after="0" w:line="480" w:lineRule="auto"/>
              <w:jc w:val="right"/>
              <w:rPr>
                <w:rFonts w:asciiTheme="minorHAnsi" w:hAnsiTheme="minorHAnsi" w:cs="Arial"/>
                <w:color w:val="000000"/>
                <w:sz w:val="18"/>
                <w:szCs w:val="18"/>
              </w:rPr>
            </w:pPr>
            <w:r w:rsidRPr="00E85ECD">
              <w:rPr>
                <w:rFonts w:asciiTheme="minorHAnsi" w:hAnsiTheme="minorHAnsi" w:cs="Arial"/>
                <w:color w:val="000000"/>
                <w:sz w:val="18"/>
                <w:szCs w:val="18"/>
              </w:rPr>
              <w:t>.048</w:t>
            </w:r>
          </w:p>
          <w:p w14:paraId="2D811943" w14:textId="77777777" w:rsidR="00E02ACD" w:rsidRPr="00E85ECD" w:rsidRDefault="00E02ACD" w:rsidP="00B10D1C">
            <w:pPr>
              <w:spacing w:after="0" w:line="480" w:lineRule="auto"/>
              <w:jc w:val="right"/>
              <w:rPr>
                <w:rFonts w:asciiTheme="minorHAnsi" w:hAnsiTheme="minorHAnsi" w:cs="Arial"/>
                <w:color w:val="000000"/>
                <w:sz w:val="18"/>
                <w:szCs w:val="18"/>
              </w:rPr>
            </w:pPr>
          </w:p>
        </w:tc>
      </w:tr>
    </w:tbl>
    <w:p w14:paraId="081F961F" w14:textId="77777777" w:rsidR="00934574" w:rsidRDefault="00E02ACD" w:rsidP="00B10D1C">
      <w:pPr>
        <w:spacing w:after="0" w:line="480" w:lineRule="auto"/>
        <w:rPr>
          <w:rFonts w:asciiTheme="minorHAnsi" w:eastAsia="Times New Roman" w:hAnsiTheme="minorHAnsi" w:cs="Arial"/>
          <w:color w:val="000000"/>
          <w:sz w:val="18"/>
          <w:szCs w:val="18"/>
        </w:rPr>
      </w:pPr>
      <w:r w:rsidRPr="00E02ACD">
        <w:rPr>
          <w:rFonts w:asciiTheme="minorHAnsi" w:eastAsia="Times New Roman" w:hAnsiTheme="minorHAnsi" w:cs="Arial"/>
          <w:color w:val="000000"/>
          <w:sz w:val="18"/>
          <w:szCs w:val="18"/>
        </w:rPr>
        <w:t>*Some missing data, i.e. missing cases (out of 261): length of admission (82 missing); previous admissions (72 missing); previous violence conviction (68 missing)</w:t>
      </w:r>
    </w:p>
    <w:p w14:paraId="3ECED311" w14:textId="77777777" w:rsidR="00824C53" w:rsidRPr="00824C53" w:rsidRDefault="00934574" w:rsidP="00B10D1C">
      <w:pPr>
        <w:spacing w:after="0" w:line="480" w:lineRule="auto"/>
        <w:jc w:val="left"/>
        <w:rPr>
          <w:rFonts w:asciiTheme="minorHAnsi" w:hAnsiTheme="minorHAnsi" w:cs="Arial"/>
          <w:b/>
          <w:sz w:val="18"/>
          <w:szCs w:val="18"/>
        </w:rPr>
      </w:pPr>
      <w:r>
        <w:rPr>
          <w:rFonts w:asciiTheme="minorHAnsi" w:eastAsia="Times New Roman" w:hAnsiTheme="minorHAnsi" w:cs="Arial"/>
          <w:color w:val="000000"/>
          <w:sz w:val="18"/>
          <w:szCs w:val="18"/>
        </w:rPr>
        <w:br w:type="page"/>
      </w:r>
      <w:r w:rsidR="00824C53" w:rsidRPr="00824C53">
        <w:rPr>
          <w:rFonts w:asciiTheme="minorHAnsi" w:hAnsiTheme="minorHAnsi" w:cs="Arial"/>
          <w:b/>
          <w:sz w:val="18"/>
          <w:szCs w:val="18"/>
        </w:rPr>
        <w:lastRenderedPageBreak/>
        <w:t>Table 2: SAPROF item and factor scores</w:t>
      </w:r>
    </w:p>
    <w:tbl>
      <w:tblPr>
        <w:tblStyle w:val="TableGrid"/>
        <w:tblW w:w="4982" w:type="pct"/>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0"/>
        <w:gridCol w:w="3621"/>
        <w:gridCol w:w="1351"/>
        <w:gridCol w:w="1217"/>
        <w:gridCol w:w="1348"/>
        <w:gridCol w:w="1354"/>
        <w:gridCol w:w="1351"/>
        <w:gridCol w:w="1217"/>
        <w:gridCol w:w="1214"/>
        <w:gridCol w:w="1082"/>
      </w:tblGrid>
      <w:tr w:rsidR="00824C53" w:rsidRPr="00E02ACD" w14:paraId="5A319353" w14:textId="77777777" w:rsidTr="00824C53">
        <w:trPr>
          <w:trHeight w:val="57"/>
        </w:trPr>
        <w:tc>
          <w:tcPr>
            <w:tcW w:w="297" w:type="pct"/>
            <w:vAlign w:val="center"/>
          </w:tcPr>
          <w:p w14:paraId="1F8408AC" w14:textId="77777777" w:rsidR="00824C53" w:rsidRPr="00E02ACD" w:rsidRDefault="00824C53" w:rsidP="00B10D1C">
            <w:pPr>
              <w:spacing w:after="0" w:line="480" w:lineRule="auto"/>
              <w:jc w:val="center"/>
              <w:rPr>
                <w:rFonts w:asciiTheme="minorHAnsi" w:hAnsiTheme="minorHAnsi" w:cs="Arial"/>
                <w:color w:val="000000"/>
                <w:sz w:val="18"/>
                <w:szCs w:val="18"/>
              </w:rPr>
            </w:pPr>
          </w:p>
        </w:tc>
        <w:tc>
          <w:tcPr>
            <w:tcW w:w="1238" w:type="pct"/>
            <w:noWrap/>
            <w:hideMark/>
          </w:tcPr>
          <w:p w14:paraId="274D6BA1" w14:textId="77777777" w:rsidR="00824C53" w:rsidRPr="00E02ACD" w:rsidRDefault="00824C53" w:rsidP="00B10D1C">
            <w:pPr>
              <w:spacing w:after="0" w:line="480" w:lineRule="auto"/>
              <w:rPr>
                <w:rFonts w:asciiTheme="minorHAnsi" w:hAnsiTheme="minorHAnsi" w:cs="Arial"/>
                <w:color w:val="000000"/>
                <w:sz w:val="18"/>
                <w:szCs w:val="18"/>
              </w:rPr>
            </w:pPr>
          </w:p>
        </w:tc>
        <w:tc>
          <w:tcPr>
            <w:tcW w:w="878" w:type="pct"/>
            <w:gridSpan w:val="2"/>
            <w:noWrap/>
            <w:hideMark/>
          </w:tcPr>
          <w:p w14:paraId="6026BB5B" w14:textId="77777777" w:rsidR="00824C53" w:rsidRPr="00E02ACD" w:rsidRDefault="00824C53" w:rsidP="00B10D1C">
            <w:pPr>
              <w:pStyle w:val="NoSpacing"/>
              <w:spacing w:line="480" w:lineRule="auto"/>
              <w:jc w:val="center"/>
              <w:rPr>
                <w:rFonts w:asciiTheme="minorHAnsi" w:hAnsiTheme="minorHAnsi" w:cs="Arial"/>
                <w:b/>
                <w:sz w:val="18"/>
                <w:szCs w:val="18"/>
              </w:rPr>
            </w:pPr>
            <w:r w:rsidRPr="00E02ACD">
              <w:rPr>
                <w:rFonts w:asciiTheme="minorHAnsi" w:hAnsiTheme="minorHAnsi" w:cs="Arial"/>
                <w:b/>
                <w:sz w:val="18"/>
                <w:szCs w:val="18"/>
              </w:rPr>
              <w:t>Total sample</w:t>
            </w:r>
          </w:p>
          <w:p w14:paraId="48EE70EB" w14:textId="77777777" w:rsidR="00824C53" w:rsidRPr="00E02ACD" w:rsidRDefault="00824C53" w:rsidP="00B10D1C">
            <w:pPr>
              <w:pStyle w:val="NoSpacing"/>
              <w:spacing w:line="480" w:lineRule="auto"/>
              <w:jc w:val="center"/>
              <w:rPr>
                <w:rFonts w:asciiTheme="minorHAnsi" w:hAnsiTheme="minorHAnsi" w:cs="Arial"/>
                <w:b/>
                <w:sz w:val="18"/>
                <w:szCs w:val="18"/>
              </w:rPr>
            </w:pPr>
            <w:r w:rsidRPr="00E02ACD">
              <w:rPr>
                <w:rFonts w:asciiTheme="minorHAnsi" w:hAnsiTheme="minorHAnsi" w:cs="Arial"/>
                <w:b/>
                <w:sz w:val="18"/>
                <w:szCs w:val="18"/>
              </w:rPr>
              <w:t>(n=261)</w:t>
            </w:r>
          </w:p>
        </w:tc>
        <w:tc>
          <w:tcPr>
            <w:tcW w:w="924" w:type="pct"/>
            <w:gridSpan w:val="2"/>
            <w:noWrap/>
            <w:hideMark/>
          </w:tcPr>
          <w:p w14:paraId="7E6EBF8F" w14:textId="77777777" w:rsidR="00824C53" w:rsidRPr="00E02ACD" w:rsidRDefault="00824C53" w:rsidP="00B10D1C">
            <w:pPr>
              <w:pStyle w:val="NoSpacing"/>
              <w:spacing w:line="480" w:lineRule="auto"/>
              <w:jc w:val="center"/>
              <w:rPr>
                <w:rFonts w:asciiTheme="minorHAnsi" w:hAnsiTheme="minorHAnsi" w:cs="Arial"/>
                <w:b/>
                <w:sz w:val="18"/>
                <w:szCs w:val="18"/>
              </w:rPr>
            </w:pPr>
            <w:r w:rsidRPr="00E02ACD">
              <w:rPr>
                <w:rFonts w:asciiTheme="minorHAnsi" w:hAnsiTheme="minorHAnsi" w:cs="Arial"/>
                <w:b/>
                <w:sz w:val="18"/>
                <w:szCs w:val="18"/>
              </w:rPr>
              <w:t>Secure in-patient</w:t>
            </w:r>
          </w:p>
          <w:p w14:paraId="79B7C922" w14:textId="77777777" w:rsidR="00824C53" w:rsidRPr="00E02ACD" w:rsidRDefault="00824C53" w:rsidP="00B10D1C">
            <w:pPr>
              <w:pStyle w:val="NoSpacing"/>
              <w:spacing w:line="480" w:lineRule="auto"/>
              <w:jc w:val="center"/>
              <w:rPr>
                <w:rFonts w:asciiTheme="minorHAnsi" w:hAnsiTheme="minorHAnsi" w:cs="Arial"/>
                <w:b/>
                <w:sz w:val="18"/>
                <w:szCs w:val="18"/>
              </w:rPr>
            </w:pPr>
            <w:r w:rsidRPr="00E02ACD">
              <w:rPr>
                <w:rFonts w:asciiTheme="minorHAnsi" w:hAnsiTheme="minorHAnsi" w:cs="Arial"/>
                <w:b/>
                <w:sz w:val="18"/>
                <w:szCs w:val="18"/>
              </w:rPr>
              <w:t>(n=55)</w:t>
            </w:r>
          </w:p>
        </w:tc>
        <w:tc>
          <w:tcPr>
            <w:tcW w:w="878" w:type="pct"/>
            <w:gridSpan w:val="2"/>
            <w:hideMark/>
          </w:tcPr>
          <w:p w14:paraId="1AAC04AE" w14:textId="77777777" w:rsidR="00824C53" w:rsidRPr="00E02ACD" w:rsidRDefault="00824C53" w:rsidP="00B10D1C">
            <w:pPr>
              <w:pStyle w:val="NoSpacing"/>
              <w:spacing w:line="480" w:lineRule="auto"/>
              <w:jc w:val="center"/>
              <w:rPr>
                <w:rFonts w:asciiTheme="minorHAnsi" w:hAnsiTheme="minorHAnsi" w:cs="Arial"/>
                <w:b/>
                <w:sz w:val="18"/>
                <w:szCs w:val="18"/>
              </w:rPr>
            </w:pPr>
            <w:r w:rsidRPr="00E02ACD">
              <w:rPr>
                <w:rFonts w:asciiTheme="minorHAnsi" w:hAnsiTheme="minorHAnsi" w:cs="Arial"/>
                <w:b/>
                <w:sz w:val="18"/>
                <w:szCs w:val="18"/>
              </w:rPr>
              <w:t>General in-patient</w:t>
            </w:r>
          </w:p>
          <w:p w14:paraId="543C4D45" w14:textId="77777777" w:rsidR="00824C53" w:rsidRPr="00E02ACD" w:rsidRDefault="00824C53" w:rsidP="00B10D1C">
            <w:pPr>
              <w:pStyle w:val="NoSpacing"/>
              <w:spacing w:line="480" w:lineRule="auto"/>
              <w:jc w:val="center"/>
              <w:rPr>
                <w:rFonts w:asciiTheme="minorHAnsi" w:hAnsiTheme="minorHAnsi" w:cs="Arial"/>
                <w:b/>
                <w:sz w:val="18"/>
                <w:szCs w:val="18"/>
              </w:rPr>
            </w:pPr>
            <w:r w:rsidRPr="00E02ACD">
              <w:rPr>
                <w:rFonts w:asciiTheme="minorHAnsi" w:hAnsiTheme="minorHAnsi" w:cs="Arial"/>
                <w:b/>
                <w:sz w:val="18"/>
                <w:szCs w:val="18"/>
              </w:rPr>
              <w:t>(n=100)</w:t>
            </w:r>
          </w:p>
        </w:tc>
        <w:tc>
          <w:tcPr>
            <w:tcW w:w="785" w:type="pct"/>
            <w:gridSpan w:val="2"/>
            <w:noWrap/>
            <w:hideMark/>
          </w:tcPr>
          <w:p w14:paraId="286D238A" w14:textId="77777777" w:rsidR="00824C53" w:rsidRPr="00E02ACD" w:rsidRDefault="00824C53" w:rsidP="00B10D1C">
            <w:pPr>
              <w:pStyle w:val="NoSpacing"/>
              <w:spacing w:line="480" w:lineRule="auto"/>
              <w:jc w:val="center"/>
              <w:rPr>
                <w:rFonts w:asciiTheme="minorHAnsi" w:hAnsiTheme="minorHAnsi" w:cs="Arial"/>
                <w:b/>
                <w:sz w:val="18"/>
                <w:szCs w:val="18"/>
              </w:rPr>
            </w:pPr>
            <w:r w:rsidRPr="00E02ACD">
              <w:rPr>
                <w:rFonts w:asciiTheme="minorHAnsi" w:hAnsiTheme="minorHAnsi" w:cs="Arial"/>
                <w:b/>
                <w:sz w:val="18"/>
                <w:szCs w:val="18"/>
              </w:rPr>
              <w:t>Community</w:t>
            </w:r>
          </w:p>
          <w:p w14:paraId="7DF925F1" w14:textId="77777777" w:rsidR="00824C53" w:rsidRPr="00E02ACD" w:rsidRDefault="00824C53" w:rsidP="00B10D1C">
            <w:pPr>
              <w:pStyle w:val="NoSpacing"/>
              <w:spacing w:line="480" w:lineRule="auto"/>
              <w:jc w:val="center"/>
              <w:rPr>
                <w:rFonts w:asciiTheme="minorHAnsi" w:hAnsiTheme="minorHAnsi" w:cs="Arial"/>
                <w:b/>
                <w:sz w:val="18"/>
                <w:szCs w:val="18"/>
              </w:rPr>
            </w:pPr>
            <w:r w:rsidRPr="00E02ACD">
              <w:rPr>
                <w:rFonts w:asciiTheme="minorHAnsi" w:hAnsiTheme="minorHAnsi" w:cs="Arial"/>
                <w:b/>
                <w:sz w:val="18"/>
                <w:szCs w:val="18"/>
              </w:rPr>
              <w:t>(n=106)</w:t>
            </w:r>
          </w:p>
        </w:tc>
      </w:tr>
      <w:tr w:rsidR="00824C53" w:rsidRPr="00E02ACD" w14:paraId="664E5899" w14:textId="77777777" w:rsidTr="00824C53">
        <w:trPr>
          <w:trHeight w:val="57"/>
        </w:trPr>
        <w:tc>
          <w:tcPr>
            <w:tcW w:w="297" w:type="pct"/>
            <w:tcBorders>
              <w:bottom w:val="single" w:sz="4" w:space="0" w:color="auto"/>
            </w:tcBorders>
            <w:vAlign w:val="center"/>
          </w:tcPr>
          <w:p w14:paraId="3AEDABE6" w14:textId="77777777" w:rsidR="00824C53" w:rsidRPr="00E02ACD" w:rsidRDefault="00824C53" w:rsidP="00B10D1C">
            <w:pPr>
              <w:spacing w:after="0" w:line="480" w:lineRule="auto"/>
              <w:jc w:val="center"/>
              <w:rPr>
                <w:rFonts w:asciiTheme="minorHAnsi" w:hAnsiTheme="minorHAnsi" w:cs="Arial"/>
                <w:color w:val="000000"/>
                <w:sz w:val="18"/>
                <w:szCs w:val="18"/>
              </w:rPr>
            </w:pPr>
          </w:p>
        </w:tc>
        <w:tc>
          <w:tcPr>
            <w:tcW w:w="1238" w:type="pct"/>
            <w:tcBorders>
              <w:bottom w:val="single" w:sz="4" w:space="0" w:color="auto"/>
            </w:tcBorders>
            <w:hideMark/>
          </w:tcPr>
          <w:p w14:paraId="4AE85ABD" w14:textId="77777777" w:rsidR="00824C53" w:rsidRPr="00E02ACD" w:rsidRDefault="00824C53" w:rsidP="00B10D1C">
            <w:pPr>
              <w:spacing w:after="0" w:line="480" w:lineRule="auto"/>
              <w:rPr>
                <w:rFonts w:asciiTheme="minorHAnsi" w:hAnsiTheme="minorHAnsi" w:cs="Arial"/>
                <w:color w:val="000000"/>
                <w:sz w:val="18"/>
                <w:szCs w:val="18"/>
              </w:rPr>
            </w:pPr>
          </w:p>
        </w:tc>
        <w:tc>
          <w:tcPr>
            <w:tcW w:w="462" w:type="pct"/>
            <w:tcBorders>
              <w:bottom w:val="single" w:sz="4" w:space="0" w:color="auto"/>
            </w:tcBorders>
            <w:vAlign w:val="center"/>
            <w:hideMark/>
          </w:tcPr>
          <w:p w14:paraId="4EEDE9BD" w14:textId="77777777" w:rsidR="00824C53" w:rsidRPr="00E02ACD" w:rsidRDefault="00824C53" w:rsidP="00B10D1C">
            <w:pPr>
              <w:spacing w:after="0" w:line="480" w:lineRule="auto"/>
              <w:jc w:val="right"/>
              <w:rPr>
                <w:rFonts w:asciiTheme="minorHAnsi" w:hAnsiTheme="minorHAnsi" w:cs="Arial"/>
                <w:i/>
                <w:color w:val="000000"/>
                <w:sz w:val="18"/>
                <w:szCs w:val="18"/>
              </w:rPr>
            </w:pPr>
            <w:r w:rsidRPr="00E02ACD">
              <w:rPr>
                <w:rFonts w:asciiTheme="minorHAnsi" w:hAnsiTheme="minorHAnsi" w:cs="Arial"/>
                <w:i/>
                <w:color w:val="000000"/>
                <w:sz w:val="18"/>
                <w:szCs w:val="18"/>
              </w:rPr>
              <w:t>M</w:t>
            </w:r>
          </w:p>
        </w:tc>
        <w:tc>
          <w:tcPr>
            <w:tcW w:w="416" w:type="pct"/>
            <w:tcBorders>
              <w:bottom w:val="single" w:sz="4" w:space="0" w:color="auto"/>
            </w:tcBorders>
            <w:noWrap/>
            <w:vAlign w:val="center"/>
            <w:hideMark/>
          </w:tcPr>
          <w:p w14:paraId="182CD2C7" w14:textId="77777777" w:rsidR="00824C53" w:rsidRPr="00E02ACD" w:rsidRDefault="00824C53" w:rsidP="00B10D1C">
            <w:pPr>
              <w:spacing w:after="0" w:line="480" w:lineRule="auto"/>
              <w:jc w:val="right"/>
              <w:rPr>
                <w:rFonts w:asciiTheme="minorHAnsi" w:hAnsiTheme="minorHAnsi" w:cs="Arial"/>
                <w:i/>
                <w:color w:val="000000"/>
                <w:sz w:val="18"/>
                <w:szCs w:val="18"/>
              </w:rPr>
            </w:pPr>
            <w:r w:rsidRPr="00E02ACD">
              <w:rPr>
                <w:rFonts w:asciiTheme="minorHAnsi" w:hAnsiTheme="minorHAnsi" w:cs="Arial"/>
                <w:i/>
                <w:color w:val="000000"/>
                <w:sz w:val="18"/>
                <w:szCs w:val="18"/>
              </w:rPr>
              <w:t>SD</w:t>
            </w:r>
          </w:p>
        </w:tc>
        <w:tc>
          <w:tcPr>
            <w:tcW w:w="461" w:type="pct"/>
            <w:tcBorders>
              <w:bottom w:val="single" w:sz="4" w:space="0" w:color="auto"/>
            </w:tcBorders>
            <w:vAlign w:val="center"/>
            <w:hideMark/>
          </w:tcPr>
          <w:p w14:paraId="0A9ECAFA" w14:textId="77777777" w:rsidR="00824C53" w:rsidRPr="00E02ACD" w:rsidRDefault="00824C53" w:rsidP="00B10D1C">
            <w:pPr>
              <w:spacing w:after="0" w:line="480" w:lineRule="auto"/>
              <w:jc w:val="right"/>
              <w:rPr>
                <w:rFonts w:asciiTheme="minorHAnsi" w:hAnsiTheme="minorHAnsi" w:cs="Arial"/>
                <w:i/>
                <w:color w:val="000000"/>
                <w:sz w:val="18"/>
                <w:szCs w:val="18"/>
              </w:rPr>
            </w:pPr>
            <w:r w:rsidRPr="00E02ACD">
              <w:rPr>
                <w:rFonts w:asciiTheme="minorHAnsi" w:hAnsiTheme="minorHAnsi" w:cs="Arial"/>
                <w:i/>
                <w:color w:val="000000"/>
                <w:sz w:val="18"/>
                <w:szCs w:val="18"/>
              </w:rPr>
              <w:t>M</w:t>
            </w:r>
          </w:p>
        </w:tc>
        <w:tc>
          <w:tcPr>
            <w:tcW w:w="462" w:type="pct"/>
            <w:tcBorders>
              <w:bottom w:val="single" w:sz="4" w:space="0" w:color="auto"/>
            </w:tcBorders>
            <w:vAlign w:val="center"/>
            <w:hideMark/>
          </w:tcPr>
          <w:p w14:paraId="08DD9285" w14:textId="77777777" w:rsidR="00824C53" w:rsidRPr="00E02ACD" w:rsidRDefault="00824C53" w:rsidP="00B10D1C">
            <w:pPr>
              <w:spacing w:after="0" w:line="480" w:lineRule="auto"/>
              <w:jc w:val="right"/>
              <w:rPr>
                <w:rFonts w:asciiTheme="minorHAnsi" w:hAnsiTheme="minorHAnsi" w:cs="Arial"/>
                <w:i/>
                <w:color w:val="000000"/>
                <w:sz w:val="18"/>
                <w:szCs w:val="18"/>
              </w:rPr>
            </w:pPr>
            <w:r w:rsidRPr="00E02ACD">
              <w:rPr>
                <w:rFonts w:asciiTheme="minorHAnsi" w:hAnsiTheme="minorHAnsi" w:cs="Arial"/>
                <w:i/>
                <w:color w:val="000000"/>
                <w:sz w:val="18"/>
                <w:szCs w:val="18"/>
              </w:rPr>
              <w:t>SD</w:t>
            </w:r>
          </w:p>
        </w:tc>
        <w:tc>
          <w:tcPr>
            <w:tcW w:w="462" w:type="pct"/>
            <w:tcBorders>
              <w:bottom w:val="single" w:sz="4" w:space="0" w:color="auto"/>
            </w:tcBorders>
            <w:vAlign w:val="center"/>
            <w:hideMark/>
          </w:tcPr>
          <w:p w14:paraId="374AA68C" w14:textId="77777777" w:rsidR="00824C53" w:rsidRPr="00E02ACD" w:rsidRDefault="00824C53" w:rsidP="00B10D1C">
            <w:pPr>
              <w:spacing w:after="0" w:line="480" w:lineRule="auto"/>
              <w:jc w:val="right"/>
              <w:rPr>
                <w:rFonts w:asciiTheme="minorHAnsi" w:hAnsiTheme="minorHAnsi" w:cs="Arial"/>
                <w:i/>
                <w:color w:val="000000"/>
                <w:sz w:val="18"/>
                <w:szCs w:val="18"/>
              </w:rPr>
            </w:pPr>
            <w:r w:rsidRPr="00E02ACD">
              <w:rPr>
                <w:rFonts w:asciiTheme="minorHAnsi" w:hAnsiTheme="minorHAnsi" w:cs="Arial"/>
                <w:i/>
                <w:color w:val="000000"/>
                <w:sz w:val="18"/>
                <w:szCs w:val="18"/>
              </w:rPr>
              <w:t>M</w:t>
            </w:r>
          </w:p>
        </w:tc>
        <w:tc>
          <w:tcPr>
            <w:tcW w:w="416" w:type="pct"/>
            <w:tcBorders>
              <w:bottom w:val="single" w:sz="4" w:space="0" w:color="auto"/>
            </w:tcBorders>
            <w:vAlign w:val="center"/>
            <w:hideMark/>
          </w:tcPr>
          <w:p w14:paraId="45E42579" w14:textId="77777777" w:rsidR="00824C53" w:rsidRPr="00E02ACD" w:rsidRDefault="00824C53" w:rsidP="00B10D1C">
            <w:pPr>
              <w:spacing w:after="0" w:line="480" w:lineRule="auto"/>
              <w:jc w:val="right"/>
              <w:rPr>
                <w:rFonts w:asciiTheme="minorHAnsi" w:hAnsiTheme="minorHAnsi" w:cs="Arial"/>
                <w:i/>
                <w:color w:val="000000"/>
                <w:sz w:val="18"/>
                <w:szCs w:val="18"/>
              </w:rPr>
            </w:pPr>
            <w:r w:rsidRPr="00E02ACD">
              <w:rPr>
                <w:rFonts w:asciiTheme="minorHAnsi" w:hAnsiTheme="minorHAnsi" w:cs="Arial"/>
                <w:i/>
                <w:color w:val="000000"/>
                <w:sz w:val="18"/>
                <w:szCs w:val="18"/>
              </w:rPr>
              <w:t>SD</w:t>
            </w:r>
          </w:p>
        </w:tc>
        <w:tc>
          <w:tcPr>
            <w:tcW w:w="415" w:type="pct"/>
            <w:tcBorders>
              <w:bottom w:val="single" w:sz="4" w:space="0" w:color="auto"/>
            </w:tcBorders>
            <w:vAlign w:val="center"/>
            <w:hideMark/>
          </w:tcPr>
          <w:p w14:paraId="5C7E59EA" w14:textId="77777777" w:rsidR="00824C53" w:rsidRPr="00E02ACD" w:rsidRDefault="00824C53" w:rsidP="00B10D1C">
            <w:pPr>
              <w:spacing w:after="0" w:line="480" w:lineRule="auto"/>
              <w:jc w:val="right"/>
              <w:rPr>
                <w:rFonts w:asciiTheme="minorHAnsi" w:hAnsiTheme="minorHAnsi" w:cs="Arial"/>
                <w:i/>
                <w:color w:val="000000"/>
                <w:sz w:val="18"/>
                <w:szCs w:val="18"/>
              </w:rPr>
            </w:pPr>
            <w:r w:rsidRPr="00E02ACD">
              <w:rPr>
                <w:rFonts w:asciiTheme="minorHAnsi" w:hAnsiTheme="minorHAnsi" w:cs="Arial"/>
                <w:i/>
                <w:color w:val="000000"/>
                <w:sz w:val="18"/>
                <w:szCs w:val="18"/>
              </w:rPr>
              <w:t>M</w:t>
            </w:r>
          </w:p>
        </w:tc>
        <w:tc>
          <w:tcPr>
            <w:tcW w:w="370" w:type="pct"/>
            <w:tcBorders>
              <w:bottom w:val="single" w:sz="4" w:space="0" w:color="auto"/>
            </w:tcBorders>
            <w:vAlign w:val="center"/>
            <w:hideMark/>
          </w:tcPr>
          <w:p w14:paraId="764C405E" w14:textId="77777777" w:rsidR="00824C53" w:rsidRPr="00E02ACD" w:rsidRDefault="00824C53" w:rsidP="00B10D1C">
            <w:pPr>
              <w:spacing w:after="0" w:line="480" w:lineRule="auto"/>
              <w:jc w:val="right"/>
              <w:rPr>
                <w:rFonts w:asciiTheme="minorHAnsi" w:hAnsiTheme="minorHAnsi" w:cs="Arial"/>
                <w:i/>
                <w:color w:val="000000"/>
                <w:sz w:val="18"/>
                <w:szCs w:val="18"/>
              </w:rPr>
            </w:pPr>
            <w:r w:rsidRPr="00E02ACD">
              <w:rPr>
                <w:rFonts w:asciiTheme="minorHAnsi" w:hAnsiTheme="minorHAnsi" w:cs="Arial"/>
                <w:i/>
                <w:color w:val="000000"/>
                <w:sz w:val="18"/>
                <w:szCs w:val="18"/>
              </w:rPr>
              <w:t>SD</w:t>
            </w:r>
          </w:p>
        </w:tc>
      </w:tr>
      <w:tr w:rsidR="00824C53" w:rsidRPr="00E02ACD" w14:paraId="23919CD5" w14:textId="77777777" w:rsidTr="00824C53">
        <w:trPr>
          <w:trHeight w:val="57"/>
        </w:trPr>
        <w:tc>
          <w:tcPr>
            <w:tcW w:w="297" w:type="pct"/>
            <w:vMerge w:val="restart"/>
            <w:tcBorders>
              <w:top w:val="single" w:sz="4" w:space="0" w:color="auto"/>
              <w:bottom w:val="single" w:sz="4" w:space="0" w:color="auto"/>
            </w:tcBorders>
            <w:textDirection w:val="btLr"/>
            <w:vAlign w:val="center"/>
          </w:tcPr>
          <w:p w14:paraId="66A9C88F" w14:textId="77777777" w:rsidR="00824C53" w:rsidRPr="00E02ACD" w:rsidRDefault="00824C53" w:rsidP="00B10D1C">
            <w:pPr>
              <w:pStyle w:val="NoSpacing"/>
              <w:spacing w:line="480" w:lineRule="auto"/>
              <w:ind w:left="113" w:right="113"/>
              <w:jc w:val="center"/>
              <w:rPr>
                <w:rFonts w:asciiTheme="minorHAnsi" w:hAnsiTheme="minorHAnsi" w:cs="Arial"/>
                <w:sz w:val="18"/>
                <w:szCs w:val="18"/>
              </w:rPr>
            </w:pPr>
            <w:r w:rsidRPr="00E02ACD">
              <w:rPr>
                <w:rFonts w:asciiTheme="minorHAnsi" w:hAnsiTheme="minorHAnsi" w:cs="Arial"/>
                <w:sz w:val="18"/>
                <w:szCs w:val="18"/>
              </w:rPr>
              <w:t>Internal</w:t>
            </w:r>
          </w:p>
        </w:tc>
        <w:tc>
          <w:tcPr>
            <w:tcW w:w="1238" w:type="pct"/>
            <w:tcBorders>
              <w:top w:val="single" w:sz="4" w:space="0" w:color="auto"/>
            </w:tcBorders>
            <w:vAlign w:val="center"/>
          </w:tcPr>
          <w:p w14:paraId="1A801422" w14:textId="77777777" w:rsidR="00824C53" w:rsidRPr="00E02ACD" w:rsidRDefault="00824C53" w:rsidP="00B10D1C">
            <w:pPr>
              <w:pStyle w:val="NoSpacing"/>
              <w:spacing w:line="480" w:lineRule="auto"/>
              <w:rPr>
                <w:rFonts w:asciiTheme="minorHAnsi" w:hAnsiTheme="minorHAnsi" w:cs="Arial"/>
                <w:sz w:val="18"/>
                <w:szCs w:val="18"/>
              </w:rPr>
            </w:pPr>
            <w:r w:rsidRPr="00E02ACD">
              <w:rPr>
                <w:rFonts w:asciiTheme="minorHAnsi" w:hAnsiTheme="minorHAnsi" w:cs="Arial"/>
                <w:sz w:val="18"/>
                <w:szCs w:val="18"/>
              </w:rPr>
              <w:t>1. Intelligence</w:t>
            </w:r>
          </w:p>
        </w:tc>
        <w:tc>
          <w:tcPr>
            <w:tcW w:w="462" w:type="pct"/>
            <w:tcBorders>
              <w:top w:val="single" w:sz="4" w:space="0" w:color="auto"/>
            </w:tcBorders>
          </w:tcPr>
          <w:p w14:paraId="3E910B55"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1.10</w:t>
            </w:r>
          </w:p>
        </w:tc>
        <w:tc>
          <w:tcPr>
            <w:tcW w:w="416" w:type="pct"/>
            <w:tcBorders>
              <w:top w:val="single" w:sz="4" w:space="0" w:color="auto"/>
            </w:tcBorders>
            <w:noWrap/>
          </w:tcPr>
          <w:p w14:paraId="5D6C9172"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.44</w:t>
            </w:r>
          </w:p>
        </w:tc>
        <w:tc>
          <w:tcPr>
            <w:tcW w:w="461" w:type="pct"/>
            <w:tcBorders>
              <w:top w:val="single" w:sz="4" w:space="0" w:color="auto"/>
            </w:tcBorders>
          </w:tcPr>
          <w:p w14:paraId="2914ACE4"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1.00</w:t>
            </w:r>
          </w:p>
        </w:tc>
        <w:tc>
          <w:tcPr>
            <w:tcW w:w="462" w:type="pct"/>
            <w:tcBorders>
              <w:top w:val="single" w:sz="4" w:space="0" w:color="auto"/>
            </w:tcBorders>
          </w:tcPr>
          <w:p w14:paraId="19395E94"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.54</w:t>
            </w:r>
          </w:p>
        </w:tc>
        <w:tc>
          <w:tcPr>
            <w:tcW w:w="462" w:type="pct"/>
            <w:tcBorders>
              <w:top w:val="single" w:sz="4" w:space="0" w:color="auto"/>
            </w:tcBorders>
          </w:tcPr>
          <w:p w14:paraId="48EE0CA3"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1.02</w:t>
            </w:r>
          </w:p>
        </w:tc>
        <w:tc>
          <w:tcPr>
            <w:tcW w:w="416" w:type="pct"/>
            <w:tcBorders>
              <w:top w:val="single" w:sz="4" w:space="0" w:color="auto"/>
            </w:tcBorders>
          </w:tcPr>
          <w:p w14:paraId="6F679DE2"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.25</w:t>
            </w:r>
          </w:p>
        </w:tc>
        <w:tc>
          <w:tcPr>
            <w:tcW w:w="415" w:type="pct"/>
            <w:tcBorders>
              <w:top w:val="single" w:sz="4" w:space="0" w:color="auto"/>
            </w:tcBorders>
          </w:tcPr>
          <w:p w14:paraId="7520CAAE"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1.24</w:t>
            </w:r>
          </w:p>
        </w:tc>
        <w:tc>
          <w:tcPr>
            <w:tcW w:w="370" w:type="pct"/>
            <w:tcBorders>
              <w:top w:val="single" w:sz="4" w:space="0" w:color="auto"/>
            </w:tcBorders>
          </w:tcPr>
          <w:p w14:paraId="060C5E7D"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.49</w:t>
            </w:r>
          </w:p>
        </w:tc>
      </w:tr>
      <w:tr w:rsidR="00824C53" w:rsidRPr="00E02ACD" w14:paraId="585896FE" w14:textId="77777777" w:rsidTr="00824C53">
        <w:trPr>
          <w:trHeight w:val="57"/>
        </w:trPr>
        <w:tc>
          <w:tcPr>
            <w:tcW w:w="297" w:type="pct"/>
            <w:vMerge/>
            <w:tcBorders>
              <w:bottom w:val="single" w:sz="4" w:space="0" w:color="auto"/>
            </w:tcBorders>
            <w:vAlign w:val="center"/>
          </w:tcPr>
          <w:p w14:paraId="243A4C6E" w14:textId="77777777" w:rsidR="00824C53" w:rsidRPr="00E02ACD" w:rsidRDefault="00824C53" w:rsidP="00B10D1C">
            <w:pPr>
              <w:pStyle w:val="NoSpacing"/>
              <w:spacing w:line="480" w:lineRule="auto"/>
              <w:jc w:val="center"/>
              <w:rPr>
                <w:rFonts w:asciiTheme="minorHAnsi" w:hAnsiTheme="minorHAnsi" w:cs="Arial"/>
                <w:sz w:val="18"/>
                <w:szCs w:val="18"/>
              </w:rPr>
            </w:pPr>
          </w:p>
        </w:tc>
        <w:tc>
          <w:tcPr>
            <w:tcW w:w="1238" w:type="pct"/>
            <w:vAlign w:val="center"/>
          </w:tcPr>
          <w:p w14:paraId="6B92E283" w14:textId="77777777" w:rsidR="00824C53" w:rsidRPr="00E02ACD" w:rsidRDefault="00824C53" w:rsidP="00B10D1C">
            <w:pPr>
              <w:pStyle w:val="NoSpacing"/>
              <w:spacing w:line="480" w:lineRule="auto"/>
              <w:rPr>
                <w:rFonts w:asciiTheme="minorHAnsi" w:hAnsiTheme="minorHAnsi" w:cs="Arial"/>
                <w:sz w:val="18"/>
                <w:szCs w:val="18"/>
              </w:rPr>
            </w:pPr>
            <w:r w:rsidRPr="00E02ACD">
              <w:rPr>
                <w:rFonts w:asciiTheme="minorHAnsi" w:hAnsiTheme="minorHAnsi" w:cs="Arial"/>
                <w:sz w:val="18"/>
                <w:szCs w:val="18"/>
              </w:rPr>
              <w:t>2. Secure attachment in childhood</w:t>
            </w:r>
          </w:p>
        </w:tc>
        <w:tc>
          <w:tcPr>
            <w:tcW w:w="462" w:type="pct"/>
          </w:tcPr>
          <w:p w14:paraId="7D08B186"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1.07</w:t>
            </w:r>
          </w:p>
        </w:tc>
        <w:tc>
          <w:tcPr>
            <w:tcW w:w="416" w:type="pct"/>
            <w:noWrap/>
          </w:tcPr>
          <w:p w14:paraId="518F5E49"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.68</w:t>
            </w:r>
          </w:p>
        </w:tc>
        <w:tc>
          <w:tcPr>
            <w:tcW w:w="461" w:type="pct"/>
          </w:tcPr>
          <w:p w14:paraId="0420F30F"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1.05</w:t>
            </w:r>
          </w:p>
        </w:tc>
        <w:tc>
          <w:tcPr>
            <w:tcW w:w="462" w:type="pct"/>
          </w:tcPr>
          <w:p w14:paraId="7F19466F"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.65</w:t>
            </w:r>
          </w:p>
        </w:tc>
        <w:tc>
          <w:tcPr>
            <w:tcW w:w="462" w:type="pct"/>
          </w:tcPr>
          <w:p w14:paraId="07B0152D"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1.11</w:t>
            </w:r>
          </w:p>
        </w:tc>
        <w:tc>
          <w:tcPr>
            <w:tcW w:w="416" w:type="pct"/>
          </w:tcPr>
          <w:p w14:paraId="092914C6"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.67</w:t>
            </w:r>
          </w:p>
        </w:tc>
        <w:tc>
          <w:tcPr>
            <w:tcW w:w="415" w:type="pct"/>
          </w:tcPr>
          <w:p w14:paraId="080EB6F7"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1.03</w:t>
            </w:r>
          </w:p>
        </w:tc>
        <w:tc>
          <w:tcPr>
            <w:tcW w:w="370" w:type="pct"/>
          </w:tcPr>
          <w:p w14:paraId="378DDCB3"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.72</w:t>
            </w:r>
          </w:p>
        </w:tc>
      </w:tr>
      <w:tr w:rsidR="00824C53" w:rsidRPr="00E02ACD" w14:paraId="7ACC5480" w14:textId="77777777" w:rsidTr="00824C53">
        <w:trPr>
          <w:trHeight w:val="57"/>
        </w:trPr>
        <w:tc>
          <w:tcPr>
            <w:tcW w:w="297" w:type="pct"/>
            <w:vMerge/>
            <w:tcBorders>
              <w:bottom w:val="single" w:sz="4" w:space="0" w:color="auto"/>
            </w:tcBorders>
            <w:vAlign w:val="center"/>
          </w:tcPr>
          <w:p w14:paraId="59A5718D" w14:textId="77777777" w:rsidR="00824C53" w:rsidRPr="00E02ACD" w:rsidRDefault="00824C53" w:rsidP="00B10D1C">
            <w:pPr>
              <w:pStyle w:val="NoSpacing"/>
              <w:spacing w:line="480" w:lineRule="auto"/>
              <w:jc w:val="center"/>
              <w:rPr>
                <w:rFonts w:asciiTheme="minorHAnsi" w:hAnsiTheme="minorHAnsi" w:cs="Arial"/>
                <w:sz w:val="18"/>
                <w:szCs w:val="18"/>
              </w:rPr>
            </w:pPr>
          </w:p>
        </w:tc>
        <w:tc>
          <w:tcPr>
            <w:tcW w:w="1238" w:type="pct"/>
            <w:vAlign w:val="center"/>
          </w:tcPr>
          <w:p w14:paraId="3B0221EA" w14:textId="77777777" w:rsidR="00824C53" w:rsidRPr="00E02ACD" w:rsidRDefault="00824C53" w:rsidP="00B10D1C">
            <w:pPr>
              <w:pStyle w:val="NoSpacing"/>
              <w:spacing w:line="480" w:lineRule="auto"/>
              <w:rPr>
                <w:rFonts w:asciiTheme="minorHAnsi" w:hAnsiTheme="minorHAnsi" w:cs="Arial"/>
                <w:sz w:val="18"/>
                <w:szCs w:val="18"/>
              </w:rPr>
            </w:pPr>
            <w:r w:rsidRPr="00E02ACD">
              <w:rPr>
                <w:rFonts w:asciiTheme="minorHAnsi" w:hAnsiTheme="minorHAnsi" w:cs="Arial"/>
                <w:sz w:val="18"/>
                <w:szCs w:val="18"/>
              </w:rPr>
              <w:t>3. Empathy</w:t>
            </w:r>
          </w:p>
        </w:tc>
        <w:tc>
          <w:tcPr>
            <w:tcW w:w="462" w:type="pct"/>
          </w:tcPr>
          <w:p w14:paraId="5BDBD2DE"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1.30</w:t>
            </w:r>
          </w:p>
        </w:tc>
        <w:tc>
          <w:tcPr>
            <w:tcW w:w="416" w:type="pct"/>
            <w:noWrap/>
          </w:tcPr>
          <w:p w14:paraId="1B3565B8"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.69</w:t>
            </w:r>
          </w:p>
        </w:tc>
        <w:tc>
          <w:tcPr>
            <w:tcW w:w="461" w:type="pct"/>
          </w:tcPr>
          <w:p w14:paraId="6A8BF9DD"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.75</w:t>
            </w:r>
          </w:p>
        </w:tc>
        <w:tc>
          <w:tcPr>
            <w:tcW w:w="462" w:type="pct"/>
          </w:tcPr>
          <w:p w14:paraId="16FD9211"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.70</w:t>
            </w:r>
          </w:p>
        </w:tc>
        <w:tc>
          <w:tcPr>
            <w:tcW w:w="462" w:type="pct"/>
          </w:tcPr>
          <w:p w14:paraId="18D9568B"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1.34</w:t>
            </w:r>
          </w:p>
        </w:tc>
        <w:tc>
          <w:tcPr>
            <w:tcW w:w="416" w:type="pct"/>
          </w:tcPr>
          <w:p w14:paraId="64D9C718"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.65</w:t>
            </w:r>
          </w:p>
        </w:tc>
        <w:tc>
          <w:tcPr>
            <w:tcW w:w="415" w:type="pct"/>
          </w:tcPr>
          <w:p w14:paraId="11B7D131"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1.55</w:t>
            </w:r>
          </w:p>
        </w:tc>
        <w:tc>
          <w:tcPr>
            <w:tcW w:w="370" w:type="pct"/>
          </w:tcPr>
          <w:p w14:paraId="53E106BD"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.55</w:t>
            </w:r>
          </w:p>
        </w:tc>
      </w:tr>
      <w:tr w:rsidR="00824C53" w:rsidRPr="00E02ACD" w14:paraId="17089A7C" w14:textId="77777777" w:rsidTr="00824C53">
        <w:trPr>
          <w:trHeight w:val="57"/>
        </w:trPr>
        <w:tc>
          <w:tcPr>
            <w:tcW w:w="297" w:type="pct"/>
            <w:vMerge/>
            <w:tcBorders>
              <w:bottom w:val="single" w:sz="4" w:space="0" w:color="auto"/>
            </w:tcBorders>
            <w:vAlign w:val="center"/>
          </w:tcPr>
          <w:p w14:paraId="0BD2BC85" w14:textId="77777777" w:rsidR="00824C53" w:rsidRPr="00E02ACD" w:rsidRDefault="00824C53" w:rsidP="00B10D1C">
            <w:pPr>
              <w:pStyle w:val="NoSpacing"/>
              <w:spacing w:line="480" w:lineRule="auto"/>
              <w:jc w:val="center"/>
              <w:rPr>
                <w:rFonts w:asciiTheme="minorHAnsi" w:hAnsiTheme="minorHAnsi" w:cs="Arial"/>
                <w:sz w:val="18"/>
                <w:szCs w:val="18"/>
              </w:rPr>
            </w:pPr>
          </w:p>
        </w:tc>
        <w:tc>
          <w:tcPr>
            <w:tcW w:w="1238" w:type="pct"/>
            <w:vAlign w:val="center"/>
          </w:tcPr>
          <w:p w14:paraId="2E970446" w14:textId="77777777" w:rsidR="00824C53" w:rsidRPr="00E02ACD" w:rsidRDefault="00824C53" w:rsidP="00B10D1C">
            <w:pPr>
              <w:pStyle w:val="NoSpacing"/>
              <w:spacing w:line="480" w:lineRule="auto"/>
              <w:rPr>
                <w:rFonts w:asciiTheme="minorHAnsi" w:hAnsiTheme="minorHAnsi" w:cs="Arial"/>
                <w:sz w:val="18"/>
                <w:szCs w:val="18"/>
              </w:rPr>
            </w:pPr>
            <w:r w:rsidRPr="00E02ACD">
              <w:rPr>
                <w:rFonts w:asciiTheme="minorHAnsi" w:hAnsiTheme="minorHAnsi" w:cs="Arial"/>
                <w:sz w:val="18"/>
                <w:szCs w:val="18"/>
              </w:rPr>
              <w:t>4. Coping</w:t>
            </w:r>
          </w:p>
        </w:tc>
        <w:tc>
          <w:tcPr>
            <w:tcW w:w="462" w:type="pct"/>
          </w:tcPr>
          <w:p w14:paraId="728BAF9E"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.53</w:t>
            </w:r>
          </w:p>
        </w:tc>
        <w:tc>
          <w:tcPr>
            <w:tcW w:w="416" w:type="pct"/>
            <w:noWrap/>
          </w:tcPr>
          <w:p w14:paraId="73DD3775"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.59</w:t>
            </w:r>
          </w:p>
        </w:tc>
        <w:tc>
          <w:tcPr>
            <w:tcW w:w="461" w:type="pct"/>
          </w:tcPr>
          <w:p w14:paraId="08A57579"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.36</w:t>
            </w:r>
          </w:p>
        </w:tc>
        <w:tc>
          <w:tcPr>
            <w:tcW w:w="462" w:type="pct"/>
          </w:tcPr>
          <w:p w14:paraId="4E986112"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.52</w:t>
            </w:r>
          </w:p>
        </w:tc>
        <w:tc>
          <w:tcPr>
            <w:tcW w:w="462" w:type="pct"/>
          </w:tcPr>
          <w:p w14:paraId="46D0DFA2"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.16</w:t>
            </w:r>
          </w:p>
        </w:tc>
        <w:tc>
          <w:tcPr>
            <w:tcW w:w="416" w:type="pct"/>
          </w:tcPr>
          <w:p w14:paraId="56201980" w14:textId="77777777" w:rsidR="00824C53" w:rsidRPr="00E02ACD" w:rsidRDefault="00824C53" w:rsidP="00B10D1C">
            <w:pPr>
              <w:tabs>
                <w:tab w:val="center" w:pos="530"/>
                <w:tab w:val="right" w:pos="1061"/>
              </w:tabs>
              <w:spacing w:after="0" w:line="480" w:lineRule="auto"/>
              <w:rPr>
                <w:rFonts w:asciiTheme="minorHAnsi" w:hAnsiTheme="minorHAnsi" w:cs="Arial"/>
                <w:color w:val="000000"/>
                <w:sz w:val="18"/>
                <w:szCs w:val="18"/>
              </w:rPr>
            </w:pPr>
            <w:r w:rsidRPr="00E02ACD">
              <w:rPr>
                <w:rFonts w:asciiTheme="minorHAnsi" w:hAnsiTheme="minorHAnsi" w:cs="Arial"/>
                <w:color w:val="000000"/>
                <w:sz w:val="18"/>
                <w:szCs w:val="18"/>
              </w:rPr>
              <w:tab/>
            </w:r>
            <w:r w:rsidRPr="00E02ACD">
              <w:rPr>
                <w:rFonts w:asciiTheme="minorHAnsi" w:hAnsiTheme="minorHAnsi" w:cs="Arial"/>
                <w:color w:val="000000"/>
                <w:sz w:val="18"/>
                <w:szCs w:val="18"/>
              </w:rPr>
              <w:tab/>
              <w:t>.39</w:t>
            </w:r>
          </w:p>
        </w:tc>
        <w:tc>
          <w:tcPr>
            <w:tcW w:w="415" w:type="pct"/>
          </w:tcPr>
          <w:p w14:paraId="287F2090"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.96</w:t>
            </w:r>
          </w:p>
        </w:tc>
        <w:tc>
          <w:tcPr>
            <w:tcW w:w="370" w:type="pct"/>
          </w:tcPr>
          <w:p w14:paraId="3010FEB8"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.48</w:t>
            </w:r>
          </w:p>
        </w:tc>
      </w:tr>
      <w:tr w:rsidR="00824C53" w:rsidRPr="00E02ACD" w14:paraId="05040718" w14:textId="77777777" w:rsidTr="00824C53">
        <w:trPr>
          <w:trHeight w:val="57"/>
        </w:trPr>
        <w:tc>
          <w:tcPr>
            <w:tcW w:w="297" w:type="pct"/>
            <w:vMerge/>
            <w:tcBorders>
              <w:bottom w:val="single" w:sz="4" w:space="0" w:color="auto"/>
            </w:tcBorders>
            <w:vAlign w:val="center"/>
          </w:tcPr>
          <w:p w14:paraId="401B3F05" w14:textId="77777777" w:rsidR="00824C53" w:rsidRPr="00E02ACD" w:rsidRDefault="00824C53" w:rsidP="00B10D1C">
            <w:pPr>
              <w:pStyle w:val="NoSpacing"/>
              <w:spacing w:line="480" w:lineRule="auto"/>
              <w:jc w:val="center"/>
              <w:rPr>
                <w:rFonts w:asciiTheme="minorHAnsi" w:hAnsiTheme="minorHAnsi" w:cs="Arial"/>
                <w:sz w:val="18"/>
                <w:szCs w:val="18"/>
              </w:rPr>
            </w:pPr>
          </w:p>
        </w:tc>
        <w:tc>
          <w:tcPr>
            <w:tcW w:w="1238" w:type="pct"/>
            <w:tcBorders>
              <w:bottom w:val="single" w:sz="4" w:space="0" w:color="auto"/>
            </w:tcBorders>
            <w:vAlign w:val="center"/>
          </w:tcPr>
          <w:p w14:paraId="704D7097" w14:textId="77777777" w:rsidR="00824C53" w:rsidRPr="00E02ACD" w:rsidRDefault="00824C53" w:rsidP="00B10D1C">
            <w:pPr>
              <w:pStyle w:val="NoSpacing"/>
              <w:spacing w:line="480" w:lineRule="auto"/>
              <w:rPr>
                <w:rFonts w:asciiTheme="minorHAnsi" w:hAnsiTheme="minorHAnsi" w:cs="Arial"/>
                <w:sz w:val="18"/>
                <w:szCs w:val="18"/>
              </w:rPr>
            </w:pPr>
            <w:r w:rsidRPr="00E02ACD">
              <w:rPr>
                <w:rFonts w:asciiTheme="minorHAnsi" w:hAnsiTheme="minorHAnsi" w:cs="Arial"/>
                <w:sz w:val="18"/>
                <w:szCs w:val="18"/>
              </w:rPr>
              <w:t>5. Self-control</w:t>
            </w:r>
          </w:p>
        </w:tc>
        <w:tc>
          <w:tcPr>
            <w:tcW w:w="462" w:type="pct"/>
            <w:tcBorders>
              <w:bottom w:val="single" w:sz="4" w:space="0" w:color="auto"/>
            </w:tcBorders>
          </w:tcPr>
          <w:p w14:paraId="65E53F86"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.75</w:t>
            </w:r>
          </w:p>
        </w:tc>
        <w:tc>
          <w:tcPr>
            <w:tcW w:w="416" w:type="pct"/>
            <w:tcBorders>
              <w:bottom w:val="single" w:sz="4" w:space="0" w:color="auto"/>
            </w:tcBorders>
            <w:noWrap/>
          </w:tcPr>
          <w:p w14:paraId="26C2DC76"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.65</w:t>
            </w:r>
          </w:p>
        </w:tc>
        <w:tc>
          <w:tcPr>
            <w:tcW w:w="461" w:type="pct"/>
            <w:tcBorders>
              <w:bottom w:val="single" w:sz="4" w:space="0" w:color="auto"/>
            </w:tcBorders>
          </w:tcPr>
          <w:p w14:paraId="1C905A1C"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.51</w:t>
            </w:r>
          </w:p>
        </w:tc>
        <w:tc>
          <w:tcPr>
            <w:tcW w:w="462" w:type="pct"/>
            <w:tcBorders>
              <w:bottom w:val="single" w:sz="4" w:space="0" w:color="auto"/>
            </w:tcBorders>
          </w:tcPr>
          <w:p w14:paraId="68DDA356"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.57</w:t>
            </w:r>
          </w:p>
        </w:tc>
        <w:tc>
          <w:tcPr>
            <w:tcW w:w="462" w:type="pct"/>
            <w:tcBorders>
              <w:bottom w:val="single" w:sz="4" w:space="0" w:color="auto"/>
            </w:tcBorders>
          </w:tcPr>
          <w:p w14:paraId="19CFF8CE"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.51</w:t>
            </w:r>
          </w:p>
        </w:tc>
        <w:tc>
          <w:tcPr>
            <w:tcW w:w="416" w:type="pct"/>
            <w:tcBorders>
              <w:bottom w:val="single" w:sz="4" w:space="0" w:color="auto"/>
            </w:tcBorders>
          </w:tcPr>
          <w:p w14:paraId="5A88B327"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.58</w:t>
            </w:r>
          </w:p>
        </w:tc>
        <w:tc>
          <w:tcPr>
            <w:tcW w:w="415" w:type="pct"/>
            <w:tcBorders>
              <w:bottom w:val="single" w:sz="4" w:space="0" w:color="auto"/>
            </w:tcBorders>
          </w:tcPr>
          <w:p w14:paraId="494DC179"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1.10</w:t>
            </w:r>
          </w:p>
        </w:tc>
        <w:tc>
          <w:tcPr>
            <w:tcW w:w="370" w:type="pct"/>
            <w:tcBorders>
              <w:bottom w:val="single" w:sz="4" w:space="0" w:color="auto"/>
            </w:tcBorders>
          </w:tcPr>
          <w:p w14:paraId="470424C9"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.58</w:t>
            </w:r>
          </w:p>
        </w:tc>
      </w:tr>
      <w:tr w:rsidR="00824C53" w:rsidRPr="00E02ACD" w14:paraId="3A9A3AA4" w14:textId="77777777" w:rsidTr="00824C53">
        <w:trPr>
          <w:trHeight w:val="57"/>
        </w:trPr>
        <w:tc>
          <w:tcPr>
            <w:tcW w:w="297" w:type="pct"/>
            <w:vMerge w:val="restart"/>
            <w:tcBorders>
              <w:top w:val="single" w:sz="4" w:space="0" w:color="auto"/>
              <w:bottom w:val="single" w:sz="4" w:space="0" w:color="auto"/>
            </w:tcBorders>
            <w:textDirection w:val="btLr"/>
            <w:vAlign w:val="center"/>
          </w:tcPr>
          <w:p w14:paraId="0690CF8E" w14:textId="77777777" w:rsidR="00824C53" w:rsidRPr="00E02ACD" w:rsidRDefault="00824C53" w:rsidP="00B10D1C">
            <w:pPr>
              <w:pStyle w:val="NoSpacing"/>
              <w:spacing w:line="480" w:lineRule="auto"/>
              <w:ind w:left="113" w:right="113"/>
              <w:jc w:val="center"/>
              <w:rPr>
                <w:rFonts w:asciiTheme="minorHAnsi" w:hAnsiTheme="minorHAnsi" w:cs="Arial"/>
                <w:sz w:val="18"/>
                <w:szCs w:val="18"/>
              </w:rPr>
            </w:pPr>
            <w:r w:rsidRPr="00E02ACD">
              <w:rPr>
                <w:rFonts w:asciiTheme="minorHAnsi" w:hAnsiTheme="minorHAnsi" w:cs="Arial"/>
                <w:sz w:val="18"/>
                <w:szCs w:val="18"/>
              </w:rPr>
              <w:t>Motivational</w:t>
            </w:r>
          </w:p>
        </w:tc>
        <w:tc>
          <w:tcPr>
            <w:tcW w:w="1238" w:type="pct"/>
            <w:tcBorders>
              <w:top w:val="single" w:sz="4" w:space="0" w:color="auto"/>
            </w:tcBorders>
            <w:vAlign w:val="center"/>
          </w:tcPr>
          <w:p w14:paraId="7C773806" w14:textId="77777777" w:rsidR="00824C53" w:rsidRPr="00E02ACD" w:rsidRDefault="00824C53" w:rsidP="00B10D1C">
            <w:pPr>
              <w:pStyle w:val="NoSpacing"/>
              <w:spacing w:line="480" w:lineRule="auto"/>
              <w:rPr>
                <w:rFonts w:asciiTheme="minorHAnsi" w:hAnsiTheme="minorHAnsi" w:cs="Arial"/>
                <w:sz w:val="18"/>
                <w:szCs w:val="18"/>
              </w:rPr>
            </w:pPr>
            <w:r w:rsidRPr="00E02ACD">
              <w:rPr>
                <w:rFonts w:asciiTheme="minorHAnsi" w:hAnsiTheme="minorHAnsi" w:cs="Arial"/>
                <w:sz w:val="18"/>
                <w:szCs w:val="18"/>
              </w:rPr>
              <w:t>6. Work</w:t>
            </w:r>
          </w:p>
        </w:tc>
        <w:tc>
          <w:tcPr>
            <w:tcW w:w="462" w:type="pct"/>
            <w:tcBorders>
              <w:top w:val="single" w:sz="4" w:space="0" w:color="auto"/>
            </w:tcBorders>
          </w:tcPr>
          <w:p w14:paraId="04AD3C4A"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.28</w:t>
            </w:r>
          </w:p>
        </w:tc>
        <w:tc>
          <w:tcPr>
            <w:tcW w:w="416" w:type="pct"/>
            <w:tcBorders>
              <w:top w:val="single" w:sz="4" w:space="0" w:color="auto"/>
            </w:tcBorders>
            <w:noWrap/>
          </w:tcPr>
          <w:p w14:paraId="04EE8AF9"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.59</w:t>
            </w:r>
          </w:p>
        </w:tc>
        <w:tc>
          <w:tcPr>
            <w:tcW w:w="461" w:type="pct"/>
            <w:tcBorders>
              <w:top w:val="single" w:sz="4" w:space="0" w:color="auto"/>
            </w:tcBorders>
          </w:tcPr>
          <w:p w14:paraId="4E562CC0"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.05</w:t>
            </w:r>
          </w:p>
        </w:tc>
        <w:tc>
          <w:tcPr>
            <w:tcW w:w="462" w:type="pct"/>
            <w:tcBorders>
              <w:top w:val="single" w:sz="4" w:space="0" w:color="auto"/>
            </w:tcBorders>
          </w:tcPr>
          <w:p w14:paraId="5AFFA7BA"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.23</w:t>
            </w:r>
          </w:p>
        </w:tc>
        <w:tc>
          <w:tcPr>
            <w:tcW w:w="462" w:type="pct"/>
            <w:tcBorders>
              <w:top w:val="single" w:sz="4" w:space="0" w:color="auto"/>
            </w:tcBorders>
          </w:tcPr>
          <w:p w14:paraId="1CD26C94"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.13</w:t>
            </w:r>
          </w:p>
        </w:tc>
        <w:tc>
          <w:tcPr>
            <w:tcW w:w="416" w:type="pct"/>
            <w:tcBorders>
              <w:top w:val="single" w:sz="4" w:space="0" w:color="auto"/>
            </w:tcBorders>
          </w:tcPr>
          <w:p w14:paraId="4F9C33B8"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.37</w:t>
            </w:r>
          </w:p>
        </w:tc>
        <w:tc>
          <w:tcPr>
            <w:tcW w:w="415" w:type="pct"/>
            <w:tcBorders>
              <w:top w:val="single" w:sz="4" w:space="0" w:color="auto"/>
            </w:tcBorders>
          </w:tcPr>
          <w:p w14:paraId="3678FE66"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.55</w:t>
            </w:r>
          </w:p>
        </w:tc>
        <w:tc>
          <w:tcPr>
            <w:tcW w:w="370" w:type="pct"/>
            <w:tcBorders>
              <w:top w:val="single" w:sz="4" w:space="0" w:color="auto"/>
            </w:tcBorders>
          </w:tcPr>
          <w:p w14:paraId="5AC45FC0"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.76</w:t>
            </w:r>
          </w:p>
        </w:tc>
      </w:tr>
      <w:tr w:rsidR="00824C53" w:rsidRPr="00E02ACD" w14:paraId="7C3C7DC1" w14:textId="77777777" w:rsidTr="00824C53">
        <w:trPr>
          <w:trHeight w:val="57"/>
        </w:trPr>
        <w:tc>
          <w:tcPr>
            <w:tcW w:w="297" w:type="pct"/>
            <w:vMerge/>
            <w:tcBorders>
              <w:bottom w:val="single" w:sz="4" w:space="0" w:color="auto"/>
            </w:tcBorders>
            <w:vAlign w:val="center"/>
          </w:tcPr>
          <w:p w14:paraId="49C88303" w14:textId="77777777" w:rsidR="00824C53" w:rsidRPr="00E02ACD" w:rsidRDefault="00824C53" w:rsidP="00B10D1C">
            <w:pPr>
              <w:pStyle w:val="NoSpacing"/>
              <w:spacing w:line="480" w:lineRule="auto"/>
              <w:jc w:val="center"/>
              <w:rPr>
                <w:rFonts w:asciiTheme="minorHAnsi" w:hAnsiTheme="minorHAnsi" w:cs="Arial"/>
                <w:sz w:val="18"/>
                <w:szCs w:val="18"/>
              </w:rPr>
            </w:pPr>
          </w:p>
        </w:tc>
        <w:tc>
          <w:tcPr>
            <w:tcW w:w="1238" w:type="pct"/>
            <w:vAlign w:val="center"/>
          </w:tcPr>
          <w:p w14:paraId="2C56F756" w14:textId="77777777" w:rsidR="00824C53" w:rsidRPr="00E02ACD" w:rsidRDefault="00824C53" w:rsidP="00B10D1C">
            <w:pPr>
              <w:pStyle w:val="NoSpacing"/>
              <w:spacing w:line="480" w:lineRule="auto"/>
              <w:rPr>
                <w:rFonts w:asciiTheme="minorHAnsi" w:hAnsiTheme="minorHAnsi" w:cs="Arial"/>
                <w:sz w:val="18"/>
                <w:szCs w:val="18"/>
              </w:rPr>
            </w:pPr>
            <w:r w:rsidRPr="00E02ACD">
              <w:rPr>
                <w:rFonts w:asciiTheme="minorHAnsi" w:hAnsiTheme="minorHAnsi" w:cs="Arial"/>
                <w:sz w:val="18"/>
                <w:szCs w:val="18"/>
              </w:rPr>
              <w:t>7. Leisure activities</w:t>
            </w:r>
          </w:p>
        </w:tc>
        <w:tc>
          <w:tcPr>
            <w:tcW w:w="462" w:type="pct"/>
          </w:tcPr>
          <w:p w14:paraId="1F5B71A4"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.74</w:t>
            </w:r>
          </w:p>
        </w:tc>
        <w:tc>
          <w:tcPr>
            <w:tcW w:w="416" w:type="pct"/>
            <w:noWrap/>
          </w:tcPr>
          <w:p w14:paraId="12235A6D"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.67</w:t>
            </w:r>
          </w:p>
        </w:tc>
        <w:tc>
          <w:tcPr>
            <w:tcW w:w="461" w:type="pct"/>
          </w:tcPr>
          <w:p w14:paraId="7150C3C3"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.80</w:t>
            </w:r>
          </w:p>
        </w:tc>
        <w:tc>
          <w:tcPr>
            <w:tcW w:w="462" w:type="pct"/>
          </w:tcPr>
          <w:p w14:paraId="42730A93"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.70</w:t>
            </w:r>
          </w:p>
        </w:tc>
        <w:tc>
          <w:tcPr>
            <w:tcW w:w="462" w:type="pct"/>
          </w:tcPr>
          <w:p w14:paraId="52697142"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.57</w:t>
            </w:r>
          </w:p>
        </w:tc>
        <w:tc>
          <w:tcPr>
            <w:tcW w:w="416" w:type="pct"/>
          </w:tcPr>
          <w:p w14:paraId="322AD23C"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.62</w:t>
            </w:r>
          </w:p>
        </w:tc>
        <w:tc>
          <w:tcPr>
            <w:tcW w:w="415" w:type="pct"/>
          </w:tcPr>
          <w:p w14:paraId="2FD018CC"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.88</w:t>
            </w:r>
          </w:p>
        </w:tc>
        <w:tc>
          <w:tcPr>
            <w:tcW w:w="370" w:type="pct"/>
          </w:tcPr>
          <w:p w14:paraId="5D540B25"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.67</w:t>
            </w:r>
          </w:p>
        </w:tc>
      </w:tr>
      <w:tr w:rsidR="00824C53" w:rsidRPr="00E02ACD" w14:paraId="316EC2A8" w14:textId="77777777" w:rsidTr="00824C53">
        <w:trPr>
          <w:trHeight w:val="57"/>
        </w:trPr>
        <w:tc>
          <w:tcPr>
            <w:tcW w:w="297" w:type="pct"/>
            <w:vMerge/>
            <w:tcBorders>
              <w:bottom w:val="single" w:sz="4" w:space="0" w:color="auto"/>
            </w:tcBorders>
            <w:vAlign w:val="center"/>
          </w:tcPr>
          <w:p w14:paraId="37B143DC" w14:textId="77777777" w:rsidR="00824C53" w:rsidRPr="00E02ACD" w:rsidRDefault="00824C53" w:rsidP="00B10D1C">
            <w:pPr>
              <w:pStyle w:val="NoSpacing"/>
              <w:spacing w:line="480" w:lineRule="auto"/>
              <w:jc w:val="center"/>
              <w:rPr>
                <w:rFonts w:asciiTheme="minorHAnsi" w:hAnsiTheme="minorHAnsi" w:cs="Arial"/>
                <w:sz w:val="18"/>
                <w:szCs w:val="18"/>
              </w:rPr>
            </w:pPr>
          </w:p>
        </w:tc>
        <w:tc>
          <w:tcPr>
            <w:tcW w:w="1238" w:type="pct"/>
            <w:vAlign w:val="center"/>
          </w:tcPr>
          <w:p w14:paraId="26851462" w14:textId="77777777" w:rsidR="00824C53" w:rsidRPr="00E02ACD" w:rsidRDefault="00824C53" w:rsidP="00B10D1C">
            <w:pPr>
              <w:pStyle w:val="NoSpacing"/>
              <w:spacing w:line="480" w:lineRule="auto"/>
              <w:rPr>
                <w:rFonts w:asciiTheme="minorHAnsi" w:hAnsiTheme="minorHAnsi" w:cs="Arial"/>
                <w:sz w:val="18"/>
                <w:szCs w:val="18"/>
              </w:rPr>
            </w:pPr>
            <w:r w:rsidRPr="00E02ACD">
              <w:rPr>
                <w:rFonts w:asciiTheme="minorHAnsi" w:hAnsiTheme="minorHAnsi" w:cs="Arial"/>
                <w:sz w:val="18"/>
                <w:szCs w:val="18"/>
              </w:rPr>
              <w:t>8. Financial management</w:t>
            </w:r>
          </w:p>
        </w:tc>
        <w:tc>
          <w:tcPr>
            <w:tcW w:w="462" w:type="pct"/>
          </w:tcPr>
          <w:p w14:paraId="5A6BB5B0"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.78</w:t>
            </w:r>
          </w:p>
        </w:tc>
        <w:tc>
          <w:tcPr>
            <w:tcW w:w="416" w:type="pct"/>
            <w:noWrap/>
          </w:tcPr>
          <w:p w14:paraId="712602B7"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.66</w:t>
            </w:r>
          </w:p>
        </w:tc>
        <w:tc>
          <w:tcPr>
            <w:tcW w:w="461" w:type="pct"/>
          </w:tcPr>
          <w:p w14:paraId="5A432841"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.60</w:t>
            </w:r>
          </w:p>
        </w:tc>
        <w:tc>
          <w:tcPr>
            <w:tcW w:w="462" w:type="pct"/>
          </w:tcPr>
          <w:p w14:paraId="5D6C3687"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.68</w:t>
            </w:r>
          </w:p>
        </w:tc>
        <w:tc>
          <w:tcPr>
            <w:tcW w:w="462" w:type="pct"/>
          </w:tcPr>
          <w:p w14:paraId="1B74CEFC"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.53</w:t>
            </w:r>
          </w:p>
        </w:tc>
        <w:tc>
          <w:tcPr>
            <w:tcW w:w="416" w:type="pct"/>
          </w:tcPr>
          <w:p w14:paraId="6B354946"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.59</w:t>
            </w:r>
          </w:p>
        </w:tc>
        <w:tc>
          <w:tcPr>
            <w:tcW w:w="415" w:type="pct"/>
          </w:tcPr>
          <w:p w14:paraId="7648F751"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1.10</w:t>
            </w:r>
          </w:p>
        </w:tc>
        <w:tc>
          <w:tcPr>
            <w:tcW w:w="370" w:type="pct"/>
          </w:tcPr>
          <w:p w14:paraId="6844C60D"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.57</w:t>
            </w:r>
          </w:p>
        </w:tc>
      </w:tr>
      <w:tr w:rsidR="00824C53" w:rsidRPr="00E02ACD" w14:paraId="5DB2E596" w14:textId="77777777" w:rsidTr="00824C53">
        <w:trPr>
          <w:trHeight w:val="57"/>
        </w:trPr>
        <w:tc>
          <w:tcPr>
            <w:tcW w:w="297" w:type="pct"/>
            <w:vMerge/>
            <w:tcBorders>
              <w:bottom w:val="single" w:sz="4" w:space="0" w:color="auto"/>
            </w:tcBorders>
            <w:vAlign w:val="center"/>
          </w:tcPr>
          <w:p w14:paraId="012E6A05" w14:textId="77777777" w:rsidR="00824C53" w:rsidRPr="00E02ACD" w:rsidRDefault="00824C53" w:rsidP="00B10D1C">
            <w:pPr>
              <w:pStyle w:val="NoSpacing"/>
              <w:spacing w:line="480" w:lineRule="auto"/>
              <w:jc w:val="center"/>
              <w:rPr>
                <w:rFonts w:asciiTheme="minorHAnsi" w:hAnsiTheme="minorHAnsi" w:cs="Arial"/>
                <w:sz w:val="18"/>
                <w:szCs w:val="18"/>
              </w:rPr>
            </w:pPr>
          </w:p>
        </w:tc>
        <w:tc>
          <w:tcPr>
            <w:tcW w:w="1238" w:type="pct"/>
            <w:vAlign w:val="center"/>
            <w:hideMark/>
          </w:tcPr>
          <w:p w14:paraId="6CA60420" w14:textId="77777777" w:rsidR="00824C53" w:rsidRPr="00E02ACD" w:rsidRDefault="00824C53" w:rsidP="00B10D1C">
            <w:pPr>
              <w:pStyle w:val="NoSpacing"/>
              <w:spacing w:line="480" w:lineRule="auto"/>
              <w:rPr>
                <w:rFonts w:asciiTheme="minorHAnsi" w:hAnsiTheme="minorHAnsi" w:cs="Arial"/>
                <w:sz w:val="18"/>
                <w:szCs w:val="18"/>
              </w:rPr>
            </w:pPr>
            <w:r w:rsidRPr="00E02ACD">
              <w:rPr>
                <w:rFonts w:asciiTheme="minorHAnsi" w:hAnsiTheme="minorHAnsi" w:cs="Arial"/>
                <w:sz w:val="18"/>
                <w:szCs w:val="18"/>
              </w:rPr>
              <w:t>9. Motivation for treatment</w:t>
            </w:r>
          </w:p>
        </w:tc>
        <w:tc>
          <w:tcPr>
            <w:tcW w:w="462" w:type="pct"/>
            <w:noWrap/>
            <w:hideMark/>
          </w:tcPr>
          <w:p w14:paraId="37F93650"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1.12</w:t>
            </w:r>
          </w:p>
        </w:tc>
        <w:tc>
          <w:tcPr>
            <w:tcW w:w="416" w:type="pct"/>
            <w:noWrap/>
            <w:hideMark/>
          </w:tcPr>
          <w:p w14:paraId="6EA575A6"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.76</w:t>
            </w:r>
          </w:p>
        </w:tc>
        <w:tc>
          <w:tcPr>
            <w:tcW w:w="461" w:type="pct"/>
            <w:noWrap/>
            <w:hideMark/>
          </w:tcPr>
          <w:p w14:paraId="5C9F524C"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.69</w:t>
            </w:r>
          </w:p>
        </w:tc>
        <w:tc>
          <w:tcPr>
            <w:tcW w:w="462" w:type="pct"/>
            <w:noWrap/>
            <w:hideMark/>
          </w:tcPr>
          <w:p w14:paraId="67250426"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.72</w:t>
            </w:r>
          </w:p>
        </w:tc>
        <w:tc>
          <w:tcPr>
            <w:tcW w:w="462" w:type="pct"/>
            <w:noWrap/>
            <w:hideMark/>
          </w:tcPr>
          <w:p w14:paraId="121D1E25"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.74</w:t>
            </w:r>
          </w:p>
        </w:tc>
        <w:tc>
          <w:tcPr>
            <w:tcW w:w="416" w:type="pct"/>
            <w:noWrap/>
            <w:hideMark/>
          </w:tcPr>
          <w:p w14:paraId="021A19FB"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.61</w:t>
            </w:r>
          </w:p>
        </w:tc>
        <w:tc>
          <w:tcPr>
            <w:tcW w:w="415" w:type="pct"/>
            <w:noWrap/>
            <w:hideMark/>
          </w:tcPr>
          <w:p w14:paraId="3E636FED"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1.70</w:t>
            </w:r>
          </w:p>
        </w:tc>
        <w:tc>
          <w:tcPr>
            <w:tcW w:w="370" w:type="pct"/>
            <w:noWrap/>
            <w:hideMark/>
          </w:tcPr>
          <w:p w14:paraId="07C9A45B"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.50</w:t>
            </w:r>
          </w:p>
        </w:tc>
      </w:tr>
      <w:tr w:rsidR="00824C53" w:rsidRPr="00E02ACD" w14:paraId="61D17D9E" w14:textId="77777777" w:rsidTr="00824C53">
        <w:trPr>
          <w:trHeight w:val="57"/>
        </w:trPr>
        <w:tc>
          <w:tcPr>
            <w:tcW w:w="297" w:type="pct"/>
            <w:vMerge/>
            <w:tcBorders>
              <w:bottom w:val="single" w:sz="4" w:space="0" w:color="auto"/>
            </w:tcBorders>
            <w:vAlign w:val="center"/>
          </w:tcPr>
          <w:p w14:paraId="331EA3FA" w14:textId="77777777" w:rsidR="00824C53" w:rsidRPr="00E02ACD" w:rsidRDefault="00824C53" w:rsidP="00B10D1C">
            <w:pPr>
              <w:pStyle w:val="NoSpacing"/>
              <w:spacing w:line="480" w:lineRule="auto"/>
              <w:jc w:val="center"/>
              <w:rPr>
                <w:rFonts w:asciiTheme="minorHAnsi" w:hAnsiTheme="minorHAnsi" w:cs="Arial"/>
                <w:sz w:val="18"/>
                <w:szCs w:val="18"/>
              </w:rPr>
            </w:pPr>
          </w:p>
        </w:tc>
        <w:tc>
          <w:tcPr>
            <w:tcW w:w="1238" w:type="pct"/>
            <w:vAlign w:val="center"/>
          </w:tcPr>
          <w:p w14:paraId="39858AA8" w14:textId="77777777" w:rsidR="00824C53" w:rsidRPr="00E02ACD" w:rsidRDefault="00824C53" w:rsidP="00B10D1C">
            <w:pPr>
              <w:pStyle w:val="NoSpacing"/>
              <w:spacing w:line="480" w:lineRule="auto"/>
              <w:rPr>
                <w:rFonts w:asciiTheme="minorHAnsi" w:hAnsiTheme="minorHAnsi" w:cs="Arial"/>
                <w:sz w:val="18"/>
                <w:szCs w:val="18"/>
              </w:rPr>
            </w:pPr>
            <w:r w:rsidRPr="00E02ACD">
              <w:rPr>
                <w:rFonts w:asciiTheme="minorHAnsi" w:hAnsiTheme="minorHAnsi" w:cs="Arial"/>
                <w:sz w:val="18"/>
                <w:szCs w:val="18"/>
              </w:rPr>
              <w:t>10. Attitudes towards authority</w:t>
            </w:r>
          </w:p>
        </w:tc>
        <w:tc>
          <w:tcPr>
            <w:tcW w:w="462" w:type="pct"/>
            <w:noWrap/>
          </w:tcPr>
          <w:p w14:paraId="53252AE4"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1.22</w:t>
            </w:r>
          </w:p>
        </w:tc>
        <w:tc>
          <w:tcPr>
            <w:tcW w:w="416" w:type="pct"/>
            <w:noWrap/>
          </w:tcPr>
          <w:p w14:paraId="53EB6131"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.76</w:t>
            </w:r>
          </w:p>
        </w:tc>
        <w:tc>
          <w:tcPr>
            <w:tcW w:w="461" w:type="pct"/>
            <w:noWrap/>
          </w:tcPr>
          <w:p w14:paraId="07FC7204"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.84</w:t>
            </w:r>
          </w:p>
        </w:tc>
        <w:tc>
          <w:tcPr>
            <w:tcW w:w="462" w:type="pct"/>
            <w:noWrap/>
          </w:tcPr>
          <w:p w14:paraId="7AAEB56D"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.71</w:t>
            </w:r>
          </w:p>
        </w:tc>
        <w:tc>
          <w:tcPr>
            <w:tcW w:w="462" w:type="pct"/>
            <w:noWrap/>
          </w:tcPr>
          <w:p w14:paraId="1B731CB9"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1.01</w:t>
            </w:r>
          </w:p>
        </w:tc>
        <w:tc>
          <w:tcPr>
            <w:tcW w:w="416" w:type="pct"/>
            <w:noWrap/>
          </w:tcPr>
          <w:p w14:paraId="2A219E14"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.75</w:t>
            </w:r>
          </w:p>
        </w:tc>
        <w:tc>
          <w:tcPr>
            <w:tcW w:w="415" w:type="pct"/>
            <w:noWrap/>
          </w:tcPr>
          <w:p w14:paraId="66BA39EF"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1.62</w:t>
            </w:r>
          </w:p>
        </w:tc>
        <w:tc>
          <w:tcPr>
            <w:tcW w:w="370" w:type="pct"/>
            <w:noWrap/>
          </w:tcPr>
          <w:p w14:paraId="114D6968"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.61</w:t>
            </w:r>
          </w:p>
        </w:tc>
      </w:tr>
      <w:tr w:rsidR="00824C53" w:rsidRPr="00E02ACD" w14:paraId="6A5EC6CC" w14:textId="77777777" w:rsidTr="00824C53">
        <w:trPr>
          <w:trHeight w:val="57"/>
        </w:trPr>
        <w:tc>
          <w:tcPr>
            <w:tcW w:w="297" w:type="pct"/>
            <w:vMerge/>
            <w:tcBorders>
              <w:bottom w:val="single" w:sz="4" w:space="0" w:color="auto"/>
            </w:tcBorders>
            <w:vAlign w:val="center"/>
          </w:tcPr>
          <w:p w14:paraId="3CCCF123" w14:textId="77777777" w:rsidR="00824C53" w:rsidRPr="00E02ACD" w:rsidRDefault="00824C53" w:rsidP="00B10D1C">
            <w:pPr>
              <w:pStyle w:val="NoSpacing"/>
              <w:spacing w:line="480" w:lineRule="auto"/>
              <w:jc w:val="center"/>
              <w:rPr>
                <w:rFonts w:asciiTheme="minorHAnsi" w:hAnsiTheme="minorHAnsi" w:cs="Arial"/>
                <w:sz w:val="18"/>
                <w:szCs w:val="18"/>
              </w:rPr>
            </w:pPr>
          </w:p>
        </w:tc>
        <w:tc>
          <w:tcPr>
            <w:tcW w:w="1238" w:type="pct"/>
            <w:vAlign w:val="center"/>
          </w:tcPr>
          <w:p w14:paraId="1D4BA448" w14:textId="77777777" w:rsidR="00824C53" w:rsidRPr="00E02ACD" w:rsidRDefault="00824C53" w:rsidP="00B10D1C">
            <w:pPr>
              <w:pStyle w:val="NoSpacing"/>
              <w:spacing w:line="480" w:lineRule="auto"/>
              <w:rPr>
                <w:rFonts w:asciiTheme="minorHAnsi" w:hAnsiTheme="minorHAnsi" w:cs="Arial"/>
                <w:sz w:val="18"/>
                <w:szCs w:val="18"/>
              </w:rPr>
            </w:pPr>
            <w:r w:rsidRPr="00E02ACD">
              <w:rPr>
                <w:rFonts w:asciiTheme="minorHAnsi" w:hAnsiTheme="minorHAnsi" w:cs="Arial"/>
                <w:sz w:val="18"/>
                <w:szCs w:val="18"/>
              </w:rPr>
              <w:t>11. Life goals</w:t>
            </w:r>
          </w:p>
        </w:tc>
        <w:tc>
          <w:tcPr>
            <w:tcW w:w="462" w:type="pct"/>
            <w:noWrap/>
          </w:tcPr>
          <w:p w14:paraId="79EA2C74"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1.04</w:t>
            </w:r>
          </w:p>
        </w:tc>
        <w:tc>
          <w:tcPr>
            <w:tcW w:w="416" w:type="pct"/>
            <w:noWrap/>
          </w:tcPr>
          <w:p w14:paraId="27B8573A"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.60</w:t>
            </w:r>
          </w:p>
        </w:tc>
        <w:tc>
          <w:tcPr>
            <w:tcW w:w="461" w:type="pct"/>
            <w:noWrap/>
          </w:tcPr>
          <w:p w14:paraId="65F713ED"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.75</w:t>
            </w:r>
          </w:p>
        </w:tc>
        <w:tc>
          <w:tcPr>
            <w:tcW w:w="462" w:type="pct"/>
            <w:noWrap/>
          </w:tcPr>
          <w:p w14:paraId="52C44C5B"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.62</w:t>
            </w:r>
          </w:p>
        </w:tc>
        <w:tc>
          <w:tcPr>
            <w:tcW w:w="462" w:type="pct"/>
            <w:noWrap/>
          </w:tcPr>
          <w:p w14:paraId="4FB2100E"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.96</w:t>
            </w:r>
          </w:p>
        </w:tc>
        <w:tc>
          <w:tcPr>
            <w:tcW w:w="416" w:type="pct"/>
            <w:noWrap/>
          </w:tcPr>
          <w:p w14:paraId="7D1ED07C"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.53</w:t>
            </w:r>
          </w:p>
        </w:tc>
        <w:tc>
          <w:tcPr>
            <w:tcW w:w="415" w:type="pct"/>
            <w:noWrap/>
          </w:tcPr>
          <w:p w14:paraId="2231185D"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1.26</w:t>
            </w:r>
          </w:p>
        </w:tc>
        <w:tc>
          <w:tcPr>
            <w:tcW w:w="370" w:type="pct"/>
            <w:noWrap/>
          </w:tcPr>
          <w:p w14:paraId="5080703D"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.57</w:t>
            </w:r>
          </w:p>
        </w:tc>
      </w:tr>
      <w:tr w:rsidR="00824C53" w:rsidRPr="00E02ACD" w14:paraId="09AEDD5F" w14:textId="77777777" w:rsidTr="00824C53">
        <w:trPr>
          <w:trHeight w:val="57"/>
        </w:trPr>
        <w:tc>
          <w:tcPr>
            <w:tcW w:w="297" w:type="pct"/>
            <w:vMerge/>
            <w:tcBorders>
              <w:bottom w:val="single" w:sz="4" w:space="0" w:color="auto"/>
            </w:tcBorders>
            <w:vAlign w:val="center"/>
          </w:tcPr>
          <w:p w14:paraId="50FD7CDD" w14:textId="77777777" w:rsidR="00824C53" w:rsidRPr="00E02ACD" w:rsidRDefault="00824C53" w:rsidP="00B10D1C">
            <w:pPr>
              <w:pStyle w:val="NoSpacing"/>
              <w:spacing w:line="480" w:lineRule="auto"/>
              <w:jc w:val="center"/>
              <w:rPr>
                <w:rFonts w:asciiTheme="minorHAnsi" w:hAnsiTheme="minorHAnsi" w:cs="Arial"/>
                <w:sz w:val="18"/>
                <w:szCs w:val="18"/>
              </w:rPr>
            </w:pPr>
          </w:p>
        </w:tc>
        <w:tc>
          <w:tcPr>
            <w:tcW w:w="1238" w:type="pct"/>
            <w:tcBorders>
              <w:bottom w:val="single" w:sz="4" w:space="0" w:color="auto"/>
            </w:tcBorders>
            <w:vAlign w:val="center"/>
            <w:hideMark/>
          </w:tcPr>
          <w:p w14:paraId="27AC14AF" w14:textId="77777777" w:rsidR="00824C53" w:rsidRPr="00E02ACD" w:rsidRDefault="00824C53" w:rsidP="00B10D1C">
            <w:pPr>
              <w:pStyle w:val="NoSpacing"/>
              <w:spacing w:line="480" w:lineRule="auto"/>
              <w:rPr>
                <w:rFonts w:asciiTheme="minorHAnsi" w:hAnsiTheme="minorHAnsi" w:cs="Arial"/>
                <w:sz w:val="18"/>
                <w:szCs w:val="18"/>
              </w:rPr>
            </w:pPr>
            <w:r w:rsidRPr="00E02ACD">
              <w:rPr>
                <w:rFonts w:asciiTheme="minorHAnsi" w:hAnsiTheme="minorHAnsi" w:cs="Arial"/>
                <w:sz w:val="18"/>
                <w:szCs w:val="18"/>
              </w:rPr>
              <w:t>12. Medication</w:t>
            </w:r>
          </w:p>
        </w:tc>
        <w:tc>
          <w:tcPr>
            <w:tcW w:w="462" w:type="pct"/>
            <w:tcBorders>
              <w:bottom w:val="single" w:sz="4" w:space="0" w:color="auto"/>
            </w:tcBorders>
            <w:noWrap/>
            <w:hideMark/>
          </w:tcPr>
          <w:p w14:paraId="0FA254B8"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1.16</w:t>
            </w:r>
          </w:p>
        </w:tc>
        <w:tc>
          <w:tcPr>
            <w:tcW w:w="416" w:type="pct"/>
            <w:tcBorders>
              <w:bottom w:val="single" w:sz="4" w:space="0" w:color="auto"/>
            </w:tcBorders>
            <w:noWrap/>
            <w:hideMark/>
          </w:tcPr>
          <w:p w14:paraId="6198D3D5"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.78</w:t>
            </w:r>
          </w:p>
        </w:tc>
        <w:tc>
          <w:tcPr>
            <w:tcW w:w="461" w:type="pct"/>
            <w:tcBorders>
              <w:bottom w:val="single" w:sz="4" w:space="0" w:color="auto"/>
            </w:tcBorders>
            <w:noWrap/>
            <w:hideMark/>
          </w:tcPr>
          <w:p w14:paraId="3F038D09"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.75</w:t>
            </w:r>
          </w:p>
        </w:tc>
        <w:tc>
          <w:tcPr>
            <w:tcW w:w="462" w:type="pct"/>
            <w:tcBorders>
              <w:bottom w:val="single" w:sz="4" w:space="0" w:color="auto"/>
            </w:tcBorders>
            <w:noWrap/>
            <w:hideMark/>
          </w:tcPr>
          <w:p w14:paraId="06467960"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.75</w:t>
            </w:r>
          </w:p>
        </w:tc>
        <w:tc>
          <w:tcPr>
            <w:tcW w:w="462" w:type="pct"/>
            <w:tcBorders>
              <w:bottom w:val="single" w:sz="4" w:space="0" w:color="auto"/>
            </w:tcBorders>
            <w:noWrap/>
            <w:hideMark/>
          </w:tcPr>
          <w:p w14:paraId="58AB08F4"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.82</w:t>
            </w:r>
          </w:p>
        </w:tc>
        <w:tc>
          <w:tcPr>
            <w:tcW w:w="416" w:type="pct"/>
            <w:tcBorders>
              <w:bottom w:val="single" w:sz="4" w:space="0" w:color="auto"/>
            </w:tcBorders>
            <w:noWrap/>
            <w:hideMark/>
          </w:tcPr>
          <w:p w14:paraId="34835182"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.73</w:t>
            </w:r>
          </w:p>
        </w:tc>
        <w:tc>
          <w:tcPr>
            <w:tcW w:w="415" w:type="pct"/>
            <w:tcBorders>
              <w:bottom w:val="single" w:sz="4" w:space="0" w:color="auto"/>
            </w:tcBorders>
            <w:noWrap/>
            <w:hideMark/>
          </w:tcPr>
          <w:p w14:paraId="2CDAAC0A"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1.71</w:t>
            </w:r>
          </w:p>
        </w:tc>
        <w:tc>
          <w:tcPr>
            <w:tcW w:w="370" w:type="pct"/>
            <w:tcBorders>
              <w:bottom w:val="single" w:sz="4" w:space="0" w:color="auto"/>
            </w:tcBorders>
            <w:noWrap/>
            <w:hideMark/>
          </w:tcPr>
          <w:p w14:paraId="5C06BDDE"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.48</w:t>
            </w:r>
          </w:p>
        </w:tc>
      </w:tr>
      <w:tr w:rsidR="00824C53" w:rsidRPr="00E02ACD" w14:paraId="4FFE49F3" w14:textId="77777777" w:rsidTr="00824C53">
        <w:trPr>
          <w:trHeight w:val="57"/>
        </w:trPr>
        <w:tc>
          <w:tcPr>
            <w:tcW w:w="297" w:type="pct"/>
            <w:vMerge w:val="restart"/>
            <w:tcBorders>
              <w:top w:val="single" w:sz="4" w:space="0" w:color="auto"/>
              <w:bottom w:val="single" w:sz="4" w:space="0" w:color="auto"/>
            </w:tcBorders>
            <w:textDirection w:val="btLr"/>
            <w:vAlign w:val="center"/>
          </w:tcPr>
          <w:p w14:paraId="146F3252" w14:textId="77777777" w:rsidR="00824C53" w:rsidRPr="00E02ACD" w:rsidRDefault="00824C53" w:rsidP="00B10D1C">
            <w:pPr>
              <w:pStyle w:val="NoSpacing"/>
              <w:spacing w:line="480" w:lineRule="auto"/>
              <w:ind w:left="113" w:right="113"/>
              <w:jc w:val="center"/>
              <w:rPr>
                <w:rFonts w:asciiTheme="minorHAnsi" w:hAnsiTheme="minorHAnsi" w:cs="Arial"/>
                <w:sz w:val="18"/>
                <w:szCs w:val="18"/>
              </w:rPr>
            </w:pPr>
            <w:r w:rsidRPr="00E02ACD">
              <w:rPr>
                <w:rFonts w:asciiTheme="minorHAnsi" w:hAnsiTheme="minorHAnsi" w:cs="Arial"/>
                <w:sz w:val="18"/>
                <w:szCs w:val="18"/>
              </w:rPr>
              <w:t>External</w:t>
            </w:r>
          </w:p>
        </w:tc>
        <w:tc>
          <w:tcPr>
            <w:tcW w:w="1238" w:type="pct"/>
            <w:tcBorders>
              <w:top w:val="single" w:sz="4" w:space="0" w:color="auto"/>
            </w:tcBorders>
            <w:vAlign w:val="center"/>
          </w:tcPr>
          <w:p w14:paraId="08EA3F18" w14:textId="77777777" w:rsidR="00824C53" w:rsidRPr="00E02ACD" w:rsidRDefault="00824C53" w:rsidP="00B10D1C">
            <w:pPr>
              <w:pStyle w:val="NoSpacing"/>
              <w:spacing w:line="480" w:lineRule="auto"/>
              <w:rPr>
                <w:rFonts w:asciiTheme="minorHAnsi" w:hAnsiTheme="minorHAnsi" w:cs="Arial"/>
                <w:sz w:val="18"/>
                <w:szCs w:val="18"/>
              </w:rPr>
            </w:pPr>
            <w:r w:rsidRPr="00E02ACD">
              <w:rPr>
                <w:rFonts w:asciiTheme="minorHAnsi" w:hAnsiTheme="minorHAnsi" w:cs="Arial"/>
                <w:sz w:val="18"/>
                <w:szCs w:val="18"/>
              </w:rPr>
              <w:t>13. Social network</w:t>
            </w:r>
          </w:p>
        </w:tc>
        <w:tc>
          <w:tcPr>
            <w:tcW w:w="462" w:type="pct"/>
            <w:tcBorders>
              <w:top w:val="single" w:sz="4" w:space="0" w:color="auto"/>
            </w:tcBorders>
            <w:noWrap/>
          </w:tcPr>
          <w:p w14:paraId="1D834440"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1.07</w:t>
            </w:r>
          </w:p>
        </w:tc>
        <w:tc>
          <w:tcPr>
            <w:tcW w:w="416" w:type="pct"/>
            <w:tcBorders>
              <w:top w:val="single" w:sz="4" w:space="0" w:color="auto"/>
            </w:tcBorders>
            <w:noWrap/>
          </w:tcPr>
          <w:p w14:paraId="4FDE1E7F"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.68</w:t>
            </w:r>
          </w:p>
        </w:tc>
        <w:tc>
          <w:tcPr>
            <w:tcW w:w="461" w:type="pct"/>
            <w:tcBorders>
              <w:top w:val="single" w:sz="4" w:space="0" w:color="auto"/>
            </w:tcBorders>
            <w:noWrap/>
          </w:tcPr>
          <w:p w14:paraId="1744C069"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.95</w:t>
            </w:r>
          </w:p>
        </w:tc>
        <w:tc>
          <w:tcPr>
            <w:tcW w:w="462" w:type="pct"/>
            <w:tcBorders>
              <w:top w:val="single" w:sz="4" w:space="0" w:color="auto"/>
            </w:tcBorders>
            <w:noWrap/>
          </w:tcPr>
          <w:p w14:paraId="4396408E"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.70</w:t>
            </w:r>
          </w:p>
        </w:tc>
        <w:tc>
          <w:tcPr>
            <w:tcW w:w="462" w:type="pct"/>
            <w:tcBorders>
              <w:top w:val="single" w:sz="4" w:space="0" w:color="auto"/>
            </w:tcBorders>
            <w:noWrap/>
          </w:tcPr>
          <w:p w14:paraId="76375B34"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.97</w:t>
            </w:r>
          </w:p>
        </w:tc>
        <w:tc>
          <w:tcPr>
            <w:tcW w:w="416" w:type="pct"/>
            <w:tcBorders>
              <w:top w:val="single" w:sz="4" w:space="0" w:color="auto"/>
            </w:tcBorders>
            <w:noWrap/>
          </w:tcPr>
          <w:p w14:paraId="44B2CF01"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.70</w:t>
            </w:r>
          </w:p>
        </w:tc>
        <w:tc>
          <w:tcPr>
            <w:tcW w:w="415" w:type="pct"/>
            <w:tcBorders>
              <w:top w:val="single" w:sz="4" w:space="0" w:color="auto"/>
            </w:tcBorders>
            <w:noWrap/>
          </w:tcPr>
          <w:p w14:paraId="1ABC2F9C"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1.22</w:t>
            </w:r>
          </w:p>
        </w:tc>
        <w:tc>
          <w:tcPr>
            <w:tcW w:w="370" w:type="pct"/>
            <w:tcBorders>
              <w:top w:val="single" w:sz="4" w:space="0" w:color="auto"/>
            </w:tcBorders>
            <w:noWrap/>
          </w:tcPr>
          <w:p w14:paraId="407B29C5"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.62</w:t>
            </w:r>
          </w:p>
        </w:tc>
      </w:tr>
      <w:tr w:rsidR="00824C53" w:rsidRPr="00E02ACD" w14:paraId="45919B03" w14:textId="77777777" w:rsidTr="00824C53">
        <w:trPr>
          <w:trHeight w:val="57"/>
        </w:trPr>
        <w:tc>
          <w:tcPr>
            <w:tcW w:w="297" w:type="pct"/>
            <w:vMerge/>
            <w:tcBorders>
              <w:bottom w:val="single" w:sz="4" w:space="0" w:color="auto"/>
            </w:tcBorders>
            <w:vAlign w:val="center"/>
          </w:tcPr>
          <w:p w14:paraId="6967D1E1" w14:textId="77777777" w:rsidR="00824C53" w:rsidRPr="00E02ACD" w:rsidRDefault="00824C53" w:rsidP="00B10D1C">
            <w:pPr>
              <w:pStyle w:val="NoSpacing"/>
              <w:spacing w:line="480" w:lineRule="auto"/>
              <w:jc w:val="center"/>
              <w:rPr>
                <w:rFonts w:asciiTheme="minorHAnsi" w:hAnsiTheme="minorHAnsi" w:cs="Arial"/>
                <w:sz w:val="18"/>
                <w:szCs w:val="18"/>
              </w:rPr>
            </w:pPr>
          </w:p>
        </w:tc>
        <w:tc>
          <w:tcPr>
            <w:tcW w:w="1238" w:type="pct"/>
            <w:vAlign w:val="center"/>
            <w:hideMark/>
          </w:tcPr>
          <w:p w14:paraId="4EEBA670" w14:textId="77777777" w:rsidR="00824C53" w:rsidRPr="00E02ACD" w:rsidRDefault="00824C53" w:rsidP="00B10D1C">
            <w:pPr>
              <w:pStyle w:val="NoSpacing"/>
              <w:spacing w:line="480" w:lineRule="auto"/>
              <w:rPr>
                <w:rFonts w:asciiTheme="minorHAnsi" w:hAnsiTheme="minorHAnsi" w:cs="Arial"/>
                <w:sz w:val="18"/>
                <w:szCs w:val="18"/>
              </w:rPr>
            </w:pPr>
            <w:r w:rsidRPr="00E02ACD">
              <w:rPr>
                <w:rFonts w:asciiTheme="minorHAnsi" w:hAnsiTheme="minorHAnsi" w:cs="Arial"/>
                <w:sz w:val="18"/>
                <w:szCs w:val="18"/>
              </w:rPr>
              <w:t>14. Intimate relationship</w:t>
            </w:r>
          </w:p>
        </w:tc>
        <w:tc>
          <w:tcPr>
            <w:tcW w:w="462" w:type="pct"/>
            <w:noWrap/>
            <w:hideMark/>
          </w:tcPr>
          <w:p w14:paraId="415D00A3"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.41</w:t>
            </w:r>
          </w:p>
        </w:tc>
        <w:tc>
          <w:tcPr>
            <w:tcW w:w="416" w:type="pct"/>
            <w:noWrap/>
            <w:hideMark/>
          </w:tcPr>
          <w:p w14:paraId="27EE40E9"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.73</w:t>
            </w:r>
          </w:p>
        </w:tc>
        <w:tc>
          <w:tcPr>
            <w:tcW w:w="461" w:type="pct"/>
            <w:noWrap/>
            <w:hideMark/>
          </w:tcPr>
          <w:p w14:paraId="7A3D005C"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.20</w:t>
            </w:r>
          </w:p>
        </w:tc>
        <w:tc>
          <w:tcPr>
            <w:tcW w:w="462" w:type="pct"/>
            <w:noWrap/>
            <w:hideMark/>
          </w:tcPr>
          <w:p w14:paraId="1143C1D6"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.49</w:t>
            </w:r>
          </w:p>
        </w:tc>
        <w:tc>
          <w:tcPr>
            <w:tcW w:w="462" w:type="pct"/>
            <w:noWrap/>
            <w:hideMark/>
          </w:tcPr>
          <w:p w14:paraId="6F6FDE52"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.28</w:t>
            </w:r>
          </w:p>
        </w:tc>
        <w:tc>
          <w:tcPr>
            <w:tcW w:w="416" w:type="pct"/>
            <w:noWrap/>
            <w:hideMark/>
          </w:tcPr>
          <w:p w14:paraId="31B0D6BE"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.65</w:t>
            </w:r>
          </w:p>
        </w:tc>
        <w:tc>
          <w:tcPr>
            <w:tcW w:w="415" w:type="pct"/>
            <w:noWrap/>
            <w:hideMark/>
          </w:tcPr>
          <w:p w14:paraId="682B00AD"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.63</w:t>
            </w:r>
          </w:p>
        </w:tc>
        <w:tc>
          <w:tcPr>
            <w:tcW w:w="370" w:type="pct"/>
            <w:noWrap/>
            <w:hideMark/>
          </w:tcPr>
          <w:p w14:paraId="54C5DBE4"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.83</w:t>
            </w:r>
          </w:p>
        </w:tc>
      </w:tr>
      <w:tr w:rsidR="00824C53" w:rsidRPr="00E02ACD" w14:paraId="12E186E4" w14:textId="77777777" w:rsidTr="00824C53">
        <w:trPr>
          <w:trHeight w:val="57"/>
        </w:trPr>
        <w:tc>
          <w:tcPr>
            <w:tcW w:w="297" w:type="pct"/>
            <w:vMerge/>
            <w:tcBorders>
              <w:bottom w:val="single" w:sz="4" w:space="0" w:color="auto"/>
            </w:tcBorders>
            <w:vAlign w:val="center"/>
          </w:tcPr>
          <w:p w14:paraId="7DF48C1E" w14:textId="77777777" w:rsidR="00824C53" w:rsidRPr="00E02ACD" w:rsidRDefault="00824C53" w:rsidP="00B10D1C">
            <w:pPr>
              <w:pStyle w:val="NoSpacing"/>
              <w:spacing w:line="480" w:lineRule="auto"/>
              <w:jc w:val="center"/>
              <w:rPr>
                <w:rFonts w:asciiTheme="minorHAnsi" w:hAnsiTheme="minorHAnsi" w:cs="Arial"/>
                <w:sz w:val="18"/>
                <w:szCs w:val="18"/>
              </w:rPr>
            </w:pPr>
          </w:p>
        </w:tc>
        <w:tc>
          <w:tcPr>
            <w:tcW w:w="1238" w:type="pct"/>
            <w:vAlign w:val="center"/>
            <w:hideMark/>
          </w:tcPr>
          <w:p w14:paraId="29B0466C" w14:textId="77777777" w:rsidR="00824C53" w:rsidRPr="00E02ACD" w:rsidRDefault="00824C53" w:rsidP="00B10D1C">
            <w:pPr>
              <w:pStyle w:val="NoSpacing"/>
              <w:spacing w:line="480" w:lineRule="auto"/>
              <w:rPr>
                <w:rFonts w:asciiTheme="minorHAnsi" w:hAnsiTheme="minorHAnsi" w:cs="Arial"/>
                <w:sz w:val="18"/>
                <w:szCs w:val="18"/>
              </w:rPr>
            </w:pPr>
            <w:r w:rsidRPr="00E02ACD">
              <w:rPr>
                <w:rFonts w:asciiTheme="minorHAnsi" w:hAnsiTheme="minorHAnsi" w:cs="Arial"/>
                <w:sz w:val="18"/>
                <w:szCs w:val="18"/>
              </w:rPr>
              <w:t>15. Professional care</w:t>
            </w:r>
          </w:p>
        </w:tc>
        <w:tc>
          <w:tcPr>
            <w:tcW w:w="462" w:type="pct"/>
            <w:noWrap/>
            <w:hideMark/>
          </w:tcPr>
          <w:p w14:paraId="6A8A69E2"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1.75</w:t>
            </w:r>
          </w:p>
        </w:tc>
        <w:tc>
          <w:tcPr>
            <w:tcW w:w="416" w:type="pct"/>
            <w:noWrap/>
            <w:hideMark/>
          </w:tcPr>
          <w:p w14:paraId="5B0CFC56"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.44</w:t>
            </w:r>
          </w:p>
        </w:tc>
        <w:tc>
          <w:tcPr>
            <w:tcW w:w="461" w:type="pct"/>
            <w:noWrap/>
            <w:hideMark/>
          </w:tcPr>
          <w:p w14:paraId="1C39450A"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2.00</w:t>
            </w:r>
          </w:p>
        </w:tc>
        <w:tc>
          <w:tcPr>
            <w:tcW w:w="462" w:type="pct"/>
            <w:noWrap/>
            <w:hideMark/>
          </w:tcPr>
          <w:p w14:paraId="5C1A4348"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.00</w:t>
            </w:r>
          </w:p>
        </w:tc>
        <w:tc>
          <w:tcPr>
            <w:tcW w:w="462" w:type="pct"/>
            <w:noWrap/>
            <w:hideMark/>
          </w:tcPr>
          <w:p w14:paraId="76941943"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1.84</w:t>
            </w:r>
          </w:p>
        </w:tc>
        <w:tc>
          <w:tcPr>
            <w:tcW w:w="416" w:type="pct"/>
            <w:noWrap/>
            <w:hideMark/>
          </w:tcPr>
          <w:p w14:paraId="2A9A2610"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.37</w:t>
            </w:r>
          </w:p>
        </w:tc>
        <w:tc>
          <w:tcPr>
            <w:tcW w:w="415" w:type="pct"/>
            <w:noWrap/>
            <w:hideMark/>
          </w:tcPr>
          <w:p w14:paraId="76B2FE10"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1.54</w:t>
            </w:r>
          </w:p>
        </w:tc>
        <w:tc>
          <w:tcPr>
            <w:tcW w:w="370" w:type="pct"/>
            <w:noWrap/>
            <w:hideMark/>
          </w:tcPr>
          <w:p w14:paraId="4BC9AC3D"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.52</w:t>
            </w:r>
          </w:p>
        </w:tc>
      </w:tr>
      <w:tr w:rsidR="00824C53" w:rsidRPr="00E02ACD" w14:paraId="5B4DEBC6" w14:textId="77777777" w:rsidTr="00824C53">
        <w:trPr>
          <w:trHeight w:val="57"/>
        </w:trPr>
        <w:tc>
          <w:tcPr>
            <w:tcW w:w="297" w:type="pct"/>
            <w:vMerge/>
            <w:tcBorders>
              <w:bottom w:val="single" w:sz="4" w:space="0" w:color="auto"/>
            </w:tcBorders>
            <w:vAlign w:val="center"/>
          </w:tcPr>
          <w:p w14:paraId="71008D6D" w14:textId="77777777" w:rsidR="00824C53" w:rsidRPr="00E02ACD" w:rsidRDefault="00824C53" w:rsidP="00B10D1C">
            <w:pPr>
              <w:pStyle w:val="NoSpacing"/>
              <w:spacing w:line="480" w:lineRule="auto"/>
              <w:jc w:val="center"/>
              <w:rPr>
                <w:rFonts w:asciiTheme="minorHAnsi" w:hAnsiTheme="minorHAnsi" w:cs="Arial"/>
                <w:sz w:val="18"/>
                <w:szCs w:val="18"/>
              </w:rPr>
            </w:pPr>
          </w:p>
        </w:tc>
        <w:tc>
          <w:tcPr>
            <w:tcW w:w="1238" w:type="pct"/>
            <w:vAlign w:val="center"/>
            <w:hideMark/>
          </w:tcPr>
          <w:p w14:paraId="3D3E7C12" w14:textId="77777777" w:rsidR="00824C53" w:rsidRPr="00E02ACD" w:rsidRDefault="00824C53" w:rsidP="00B10D1C">
            <w:pPr>
              <w:pStyle w:val="NoSpacing"/>
              <w:spacing w:line="480" w:lineRule="auto"/>
              <w:rPr>
                <w:rFonts w:asciiTheme="minorHAnsi" w:hAnsiTheme="minorHAnsi" w:cs="Arial"/>
                <w:sz w:val="18"/>
                <w:szCs w:val="18"/>
              </w:rPr>
            </w:pPr>
            <w:r w:rsidRPr="00E02ACD">
              <w:rPr>
                <w:rFonts w:asciiTheme="minorHAnsi" w:hAnsiTheme="minorHAnsi" w:cs="Arial"/>
                <w:sz w:val="18"/>
                <w:szCs w:val="18"/>
              </w:rPr>
              <w:t>16. Living circumstances</w:t>
            </w:r>
          </w:p>
        </w:tc>
        <w:tc>
          <w:tcPr>
            <w:tcW w:w="462" w:type="pct"/>
            <w:noWrap/>
            <w:hideMark/>
          </w:tcPr>
          <w:p w14:paraId="212A808E"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1.43</w:t>
            </w:r>
          </w:p>
        </w:tc>
        <w:tc>
          <w:tcPr>
            <w:tcW w:w="416" w:type="pct"/>
            <w:noWrap/>
            <w:hideMark/>
          </w:tcPr>
          <w:p w14:paraId="76927C08"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.64</w:t>
            </w:r>
          </w:p>
        </w:tc>
        <w:tc>
          <w:tcPr>
            <w:tcW w:w="461" w:type="pct"/>
            <w:noWrap/>
            <w:hideMark/>
          </w:tcPr>
          <w:p w14:paraId="6CAD44CD"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1.96</w:t>
            </w:r>
          </w:p>
        </w:tc>
        <w:tc>
          <w:tcPr>
            <w:tcW w:w="462" w:type="pct"/>
            <w:noWrap/>
            <w:hideMark/>
          </w:tcPr>
          <w:p w14:paraId="4E355D17"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.27</w:t>
            </w:r>
          </w:p>
        </w:tc>
        <w:tc>
          <w:tcPr>
            <w:tcW w:w="462" w:type="pct"/>
            <w:noWrap/>
            <w:hideMark/>
          </w:tcPr>
          <w:p w14:paraId="7041157E"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1.72</w:t>
            </w:r>
          </w:p>
        </w:tc>
        <w:tc>
          <w:tcPr>
            <w:tcW w:w="416" w:type="pct"/>
            <w:noWrap/>
            <w:hideMark/>
          </w:tcPr>
          <w:p w14:paraId="0BE27052"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.47</w:t>
            </w:r>
          </w:p>
        </w:tc>
        <w:tc>
          <w:tcPr>
            <w:tcW w:w="415" w:type="pct"/>
            <w:noWrap/>
            <w:hideMark/>
          </w:tcPr>
          <w:p w14:paraId="08FBC2D9"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.89</w:t>
            </w:r>
          </w:p>
        </w:tc>
        <w:tc>
          <w:tcPr>
            <w:tcW w:w="370" w:type="pct"/>
            <w:noWrap/>
            <w:hideMark/>
          </w:tcPr>
          <w:p w14:paraId="3D6EB621"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.50</w:t>
            </w:r>
          </w:p>
        </w:tc>
      </w:tr>
      <w:tr w:rsidR="00824C53" w:rsidRPr="00E02ACD" w14:paraId="12789D66" w14:textId="77777777" w:rsidTr="00824C53">
        <w:trPr>
          <w:trHeight w:val="57"/>
        </w:trPr>
        <w:tc>
          <w:tcPr>
            <w:tcW w:w="297" w:type="pct"/>
            <w:vMerge/>
            <w:tcBorders>
              <w:bottom w:val="single" w:sz="4" w:space="0" w:color="auto"/>
            </w:tcBorders>
            <w:vAlign w:val="center"/>
          </w:tcPr>
          <w:p w14:paraId="575AF853" w14:textId="77777777" w:rsidR="00824C53" w:rsidRPr="00E02ACD" w:rsidRDefault="00824C53" w:rsidP="00B10D1C">
            <w:pPr>
              <w:pStyle w:val="NoSpacing"/>
              <w:spacing w:line="480" w:lineRule="auto"/>
              <w:jc w:val="center"/>
              <w:rPr>
                <w:rFonts w:asciiTheme="minorHAnsi" w:hAnsiTheme="minorHAnsi" w:cs="Arial"/>
                <w:sz w:val="18"/>
                <w:szCs w:val="18"/>
              </w:rPr>
            </w:pPr>
          </w:p>
        </w:tc>
        <w:tc>
          <w:tcPr>
            <w:tcW w:w="1238" w:type="pct"/>
            <w:tcBorders>
              <w:bottom w:val="single" w:sz="4" w:space="0" w:color="auto"/>
            </w:tcBorders>
            <w:vAlign w:val="center"/>
            <w:hideMark/>
          </w:tcPr>
          <w:p w14:paraId="57F5697C" w14:textId="77777777" w:rsidR="00824C53" w:rsidRPr="00E02ACD" w:rsidRDefault="00824C53" w:rsidP="00B10D1C">
            <w:pPr>
              <w:pStyle w:val="NoSpacing"/>
              <w:spacing w:line="480" w:lineRule="auto"/>
              <w:rPr>
                <w:rFonts w:asciiTheme="minorHAnsi" w:hAnsiTheme="minorHAnsi" w:cs="Arial"/>
                <w:sz w:val="18"/>
                <w:szCs w:val="18"/>
              </w:rPr>
            </w:pPr>
            <w:r w:rsidRPr="00E02ACD">
              <w:rPr>
                <w:rFonts w:asciiTheme="minorHAnsi" w:hAnsiTheme="minorHAnsi" w:cs="Arial"/>
                <w:sz w:val="18"/>
                <w:szCs w:val="18"/>
              </w:rPr>
              <w:t>17. External control</w:t>
            </w:r>
          </w:p>
        </w:tc>
        <w:tc>
          <w:tcPr>
            <w:tcW w:w="462" w:type="pct"/>
            <w:tcBorders>
              <w:bottom w:val="single" w:sz="4" w:space="0" w:color="auto"/>
            </w:tcBorders>
            <w:noWrap/>
            <w:hideMark/>
          </w:tcPr>
          <w:p w14:paraId="7CDC9202"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1.22</w:t>
            </w:r>
          </w:p>
        </w:tc>
        <w:tc>
          <w:tcPr>
            <w:tcW w:w="416" w:type="pct"/>
            <w:tcBorders>
              <w:bottom w:val="single" w:sz="4" w:space="0" w:color="auto"/>
            </w:tcBorders>
            <w:noWrap/>
            <w:hideMark/>
          </w:tcPr>
          <w:p w14:paraId="34DA605F"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.79</w:t>
            </w:r>
          </w:p>
        </w:tc>
        <w:tc>
          <w:tcPr>
            <w:tcW w:w="461" w:type="pct"/>
            <w:tcBorders>
              <w:bottom w:val="single" w:sz="4" w:space="0" w:color="auto"/>
            </w:tcBorders>
            <w:noWrap/>
            <w:hideMark/>
          </w:tcPr>
          <w:p w14:paraId="38AFE9EA"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1.95</w:t>
            </w:r>
          </w:p>
        </w:tc>
        <w:tc>
          <w:tcPr>
            <w:tcW w:w="462" w:type="pct"/>
            <w:tcBorders>
              <w:bottom w:val="single" w:sz="4" w:space="0" w:color="auto"/>
            </w:tcBorders>
            <w:noWrap/>
            <w:hideMark/>
          </w:tcPr>
          <w:p w14:paraId="4FAD81D6"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.23</w:t>
            </w:r>
          </w:p>
        </w:tc>
        <w:tc>
          <w:tcPr>
            <w:tcW w:w="462" w:type="pct"/>
            <w:tcBorders>
              <w:bottom w:val="single" w:sz="4" w:space="0" w:color="auto"/>
            </w:tcBorders>
            <w:noWrap/>
            <w:hideMark/>
          </w:tcPr>
          <w:p w14:paraId="4E5AC1B0"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1.36</w:t>
            </w:r>
          </w:p>
        </w:tc>
        <w:tc>
          <w:tcPr>
            <w:tcW w:w="416" w:type="pct"/>
            <w:tcBorders>
              <w:bottom w:val="single" w:sz="4" w:space="0" w:color="auto"/>
            </w:tcBorders>
            <w:noWrap/>
            <w:hideMark/>
          </w:tcPr>
          <w:p w14:paraId="0AC559B4"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.86</w:t>
            </w:r>
          </w:p>
        </w:tc>
        <w:tc>
          <w:tcPr>
            <w:tcW w:w="415" w:type="pct"/>
            <w:tcBorders>
              <w:bottom w:val="single" w:sz="4" w:space="0" w:color="auto"/>
            </w:tcBorders>
            <w:noWrap/>
            <w:hideMark/>
          </w:tcPr>
          <w:p w14:paraId="500EFCEC"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.72</w:t>
            </w:r>
          </w:p>
        </w:tc>
        <w:tc>
          <w:tcPr>
            <w:tcW w:w="370" w:type="pct"/>
            <w:tcBorders>
              <w:bottom w:val="single" w:sz="4" w:space="0" w:color="auto"/>
            </w:tcBorders>
            <w:noWrap/>
            <w:hideMark/>
          </w:tcPr>
          <w:p w14:paraId="6A09BBDB"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.51</w:t>
            </w:r>
          </w:p>
        </w:tc>
      </w:tr>
      <w:tr w:rsidR="00824C53" w:rsidRPr="00E02ACD" w14:paraId="1157CAF1" w14:textId="77777777" w:rsidTr="00824C53">
        <w:trPr>
          <w:trHeight w:val="57"/>
        </w:trPr>
        <w:tc>
          <w:tcPr>
            <w:tcW w:w="297" w:type="pct"/>
            <w:vMerge w:val="restart"/>
            <w:tcBorders>
              <w:top w:val="single" w:sz="4" w:space="0" w:color="auto"/>
            </w:tcBorders>
            <w:vAlign w:val="center"/>
          </w:tcPr>
          <w:p w14:paraId="383B078E" w14:textId="77777777" w:rsidR="00824C53" w:rsidRPr="00E02ACD" w:rsidRDefault="00824C53" w:rsidP="00B10D1C">
            <w:pPr>
              <w:pStyle w:val="NoSpacing"/>
              <w:spacing w:line="480" w:lineRule="auto"/>
              <w:jc w:val="center"/>
              <w:rPr>
                <w:rFonts w:asciiTheme="minorHAnsi" w:hAnsiTheme="minorHAnsi" w:cs="Arial"/>
                <w:sz w:val="18"/>
                <w:szCs w:val="18"/>
              </w:rPr>
            </w:pPr>
          </w:p>
        </w:tc>
        <w:tc>
          <w:tcPr>
            <w:tcW w:w="1238" w:type="pct"/>
            <w:tcBorders>
              <w:top w:val="single" w:sz="4" w:space="0" w:color="auto"/>
            </w:tcBorders>
            <w:vAlign w:val="center"/>
            <w:hideMark/>
          </w:tcPr>
          <w:p w14:paraId="4B9DA096" w14:textId="77777777" w:rsidR="00824C53" w:rsidRPr="00E02ACD" w:rsidRDefault="00824C53" w:rsidP="00B10D1C">
            <w:pPr>
              <w:pStyle w:val="NoSpacing"/>
              <w:spacing w:line="480" w:lineRule="auto"/>
              <w:rPr>
                <w:rFonts w:asciiTheme="minorHAnsi" w:hAnsiTheme="minorHAnsi" w:cs="Arial"/>
                <w:sz w:val="18"/>
                <w:szCs w:val="18"/>
              </w:rPr>
            </w:pPr>
            <w:r w:rsidRPr="00E02ACD">
              <w:rPr>
                <w:rFonts w:asciiTheme="minorHAnsi" w:hAnsiTheme="minorHAnsi" w:cs="Arial"/>
                <w:sz w:val="18"/>
                <w:szCs w:val="18"/>
              </w:rPr>
              <w:t xml:space="preserve">Internal Factors Total </w:t>
            </w:r>
          </w:p>
        </w:tc>
        <w:tc>
          <w:tcPr>
            <w:tcW w:w="462" w:type="pct"/>
            <w:tcBorders>
              <w:top w:val="single" w:sz="4" w:space="0" w:color="auto"/>
            </w:tcBorders>
            <w:noWrap/>
          </w:tcPr>
          <w:p w14:paraId="792677B3"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4.75</w:t>
            </w:r>
          </w:p>
        </w:tc>
        <w:tc>
          <w:tcPr>
            <w:tcW w:w="416" w:type="pct"/>
            <w:tcBorders>
              <w:top w:val="single" w:sz="4" w:space="0" w:color="auto"/>
            </w:tcBorders>
            <w:noWrap/>
          </w:tcPr>
          <w:p w14:paraId="53CB0CBB"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1.99</w:t>
            </w:r>
          </w:p>
        </w:tc>
        <w:tc>
          <w:tcPr>
            <w:tcW w:w="461" w:type="pct"/>
            <w:tcBorders>
              <w:top w:val="single" w:sz="4" w:space="0" w:color="auto"/>
            </w:tcBorders>
            <w:noWrap/>
          </w:tcPr>
          <w:p w14:paraId="2FB441C5"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3.67</w:t>
            </w:r>
          </w:p>
        </w:tc>
        <w:tc>
          <w:tcPr>
            <w:tcW w:w="462" w:type="pct"/>
            <w:tcBorders>
              <w:top w:val="single" w:sz="4" w:space="0" w:color="auto"/>
            </w:tcBorders>
            <w:noWrap/>
          </w:tcPr>
          <w:p w14:paraId="314BE242"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1.84</w:t>
            </w:r>
          </w:p>
        </w:tc>
        <w:tc>
          <w:tcPr>
            <w:tcW w:w="462" w:type="pct"/>
            <w:tcBorders>
              <w:top w:val="single" w:sz="4" w:space="0" w:color="auto"/>
            </w:tcBorders>
            <w:noWrap/>
          </w:tcPr>
          <w:p w14:paraId="4733C096"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4.14</w:t>
            </w:r>
          </w:p>
        </w:tc>
        <w:tc>
          <w:tcPr>
            <w:tcW w:w="416" w:type="pct"/>
            <w:tcBorders>
              <w:top w:val="single" w:sz="4" w:space="0" w:color="auto"/>
            </w:tcBorders>
            <w:noWrap/>
          </w:tcPr>
          <w:p w14:paraId="277026B1"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1.55</w:t>
            </w:r>
          </w:p>
        </w:tc>
        <w:tc>
          <w:tcPr>
            <w:tcW w:w="415" w:type="pct"/>
            <w:tcBorders>
              <w:top w:val="single" w:sz="4" w:space="0" w:color="auto"/>
            </w:tcBorders>
            <w:noWrap/>
          </w:tcPr>
          <w:p w14:paraId="148912DE"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5.88</w:t>
            </w:r>
          </w:p>
        </w:tc>
        <w:tc>
          <w:tcPr>
            <w:tcW w:w="370" w:type="pct"/>
            <w:tcBorders>
              <w:top w:val="single" w:sz="4" w:space="0" w:color="auto"/>
            </w:tcBorders>
            <w:noWrap/>
          </w:tcPr>
          <w:p w14:paraId="69A59BD3"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1.90</w:t>
            </w:r>
          </w:p>
        </w:tc>
      </w:tr>
      <w:tr w:rsidR="00824C53" w:rsidRPr="00E02ACD" w14:paraId="3A4A24F4" w14:textId="77777777" w:rsidTr="00824C53">
        <w:trPr>
          <w:trHeight w:val="57"/>
        </w:trPr>
        <w:tc>
          <w:tcPr>
            <w:tcW w:w="297" w:type="pct"/>
            <w:vMerge/>
          </w:tcPr>
          <w:p w14:paraId="7011387E" w14:textId="77777777" w:rsidR="00824C53" w:rsidRPr="00E02ACD" w:rsidRDefault="00824C53" w:rsidP="00B10D1C">
            <w:pPr>
              <w:pStyle w:val="NoSpacing"/>
              <w:spacing w:line="480" w:lineRule="auto"/>
              <w:rPr>
                <w:rFonts w:asciiTheme="minorHAnsi" w:hAnsiTheme="minorHAnsi" w:cs="Arial"/>
                <w:sz w:val="18"/>
                <w:szCs w:val="18"/>
              </w:rPr>
            </w:pPr>
          </w:p>
        </w:tc>
        <w:tc>
          <w:tcPr>
            <w:tcW w:w="1238" w:type="pct"/>
            <w:vAlign w:val="center"/>
            <w:hideMark/>
          </w:tcPr>
          <w:p w14:paraId="5FB13BC6" w14:textId="77777777" w:rsidR="00824C53" w:rsidRPr="00E02ACD" w:rsidRDefault="00824C53" w:rsidP="00B10D1C">
            <w:pPr>
              <w:pStyle w:val="NoSpacing"/>
              <w:spacing w:line="480" w:lineRule="auto"/>
              <w:rPr>
                <w:rFonts w:asciiTheme="minorHAnsi" w:hAnsiTheme="minorHAnsi" w:cs="Arial"/>
                <w:sz w:val="18"/>
                <w:szCs w:val="18"/>
              </w:rPr>
            </w:pPr>
            <w:r w:rsidRPr="00E02ACD">
              <w:rPr>
                <w:rFonts w:asciiTheme="minorHAnsi" w:hAnsiTheme="minorHAnsi" w:cs="Arial"/>
                <w:sz w:val="18"/>
                <w:szCs w:val="18"/>
              </w:rPr>
              <w:t xml:space="preserve">Motivational Factors Total </w:t>
            </w:r>
          </w:p>
        </w:tc>
        <w:tc>
          <w:tcPr>
            <w:tcW w:w="462" w:type="pct"/>
            <w:noWrap/>
          </w:tcPr>
          <w:p w14:paraId="2D4EFA77"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6.35</w:t>
            </w:r>
          </w:p>
        </w:tc>
        <w:tc>
          <w:tcPr>
            <w:tcW w:w="416" w:type="pct"/>
            <w:noWrap/>
          </w:tcPr>
          <w:p w14:paraId="49EB7169"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3.29</w:t>
            </w:r>
          </w:p>
        </w:tc>
        <w:tc>
          <w:tcPr>
            <w:tcW w:w="461" w:type="pct"/>
            <w:noWrap/>
          </w:tcPr>
          <w:p w14:paraId="686A9C3D"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4.47</w:t>
            </w:r>
          </w:p>
        </w:tc>
        <w:tc>
          <w:tcPr>
            <w:tcW w:w="462" w:type="pct"/>
            <w:noWrap/>
          </w:tcPr>
          <w:p w14:paraId="5CF8BADB"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2.60</w:t>
            </w:r>
          </w:p>
        </w:tc>
        <w:tc>
          <w:tcPr>
            <w:tcW w:w="462" w:type="pct"/>
            <w:noWrap/>
          </w:tcPr>
          <w:p w14:paraId="4D255693"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4.76</w:t>
            </w:r>
          </w:p>
        </w:tc>
        <w:tc>
          <w:tcPr>
            <w:tcW w:w="416" w:type="pct"/>
            <w:noWrap/>
          </w:tcPr>
          <w:p w14:paraId="2C771846"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2.40</w:t>
            </w:r>
          </w:p>
        </w:tc>
        <w:tc>
          <w:tcPr>
            <w:tcW w:w="415" w:type="pct"/>
            <w:noWrap/>
          </w:tcPr>
          <w:p w14:paraId="6FEB0B38"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8.82</w:t>
            </w:r>
          </w:p>
        </w:tc>
        <w:tc>
          <w:tcPr>
            <w:tcW w:w="370" w:type="pct"/>
            <w:noWrap/>
          </w:tcPr>
          <w:p w14:paraId="271A62B9"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2.73</w:t>
            </w:r>
          </w:p>
        </w:tc>
      </w:tr>
      <w:tr w:rsidR="00824C53" w:rsidRPr="00E02ACD" w14:paraId="3E3A1A31" w14:textId="77777777" w:rsidTr="00824C53">
        <w:trPr>
          <w:trHeight w:val="57"/>
        </w:trPr>
        <w:tc>
          <w:tcPr>
            <w:tcW w:w="297" w:type="pct"/>
            <w:vMerge/>
          </w:tcPr>
          <w:p w14:paraId="49788500" w14:textId="77777777" w:rsidR="00824C53" w:rsidRPr="00E02ACD" w:rsidRDefault="00824C53" w:rsidP="00B10D1C">
            <w:pPr>
              <w:pStyle w:val="NoSpacing"/>
              <w:spacing w:line="480" w:lineRule="auto"/>
              <w:rPr>
                <w:rFonts w:asciiTheme="minorHAnsi" w:hAnsiTheme="minorHAnsi" w:cs="Arial"/>
                <w:sz w:val="18"/>
                <w:szCs w:val="18"/>
              </w:rPr>
            </w:pPr>
          </w:p>
        </w:tc>
        <w:tc>
          <w:tcPr>
            <w:tcW w:w="1238" w:type="pct"/>
            <w:tcBorders>
              <w:bottom w:val="single" w:sz="4" w:space="0" w:color="auto"/>
            </w:tcBorders>
            <w:vAlign w:val="center"/>
            <w:hideMark/>
          </w:tcPr>
          <w:p w14:paraId="2F931B1B" w14:textId="77777777" w:rsidR="00824C53" w:rsidRPr="00E02ACD" w:rsidRDefault="00824C53" w:rsidP="00B10D1C">
            <w:pPr>
              <w:pStyle w:val="NoSpacing"/>
              <w:spacing w:line="480" w:lineRule="auto"/>
              <w:rPr>
                <w:rFonts w:asciiTheme="minorHAnsi" w:hAnsiTheme="minorHAnsi" w:cs="Arial"/>
                <w:sz w:val="18"/>
                <w:szCs w:val="18"/>
              </w:rPr>
            </w:pPr>
            <w:r w:rsidRPr="00E02ACD">
              <w:rPr>
                <w:rFonts w:asciiTheme="minorHAnsi" w:hAnsiTheme="minorHAnsi" w:cs="Arial"/>
                <w:sz w:val="18"/>
                <w:szCs w:val="18"/>
              </w:rPr>
              <w:t xml:space="preserve">External Factors Total </w:t>
            </w:r>
          </w:p>
        </w:tc>
        <w:tc>
          <w:tcPr>
            <w:tcW w:w="462" w:type="pct"/>
            <w:tcBorders>
              <w:bottom w:val="single" w:sz="4" w:space="0" w:color="auto"/>
            </w:tcBorders>
            <w:noWrap/>
          </w:tcPr>
          <w:p w14:paraId="3983A6F0"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5.88</w:t>
            </w:r>
          </w:p>
        </w:tc>
        <w:tc>
          <w:tcPr>
            <w:tcW w:w="416" w:type="pct"/>
            <w:tcBorders>
              <w:bottom w:val="single" w:sz="4" w:space="0" w:color="auto"/>
            </w:tcBorders>
            <w:noWrap/>
          </w:tcPr>
          <w:p w14:paraId="0AA80DA6"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1.81</w:t>
            </w:r>
          </w:p>
        </w:tc>
        <w:tc>
          <w:tcPr>
            <w:tcW w:w="461" w:type="pct"/>
            <w:tcBorders>
              <w:bottom w:val="single" w:sz="4" w:space="0" w:color="auto"/>
            </w:tcBorders>
            <w:noWrap/>
          </w:tcPr>
          <w:p w14:paraId="6C203F37"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7.05</w:t>
            </w:r>
          </w:p>
        </w:tc>
        <w:tc>
          <w:tcPr>
            <w:tcW w:w="462" w:type="pct"/>
            <w:tcBorders>
              <w:bottom w:val="single" w:sz="4" w:space="0" w:color="auto"/>
            </w:tcBorders>
            <w:noWrap/>
          </w:tcPr>
          <w:p w14:paraId="2C261DBD"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1.06</w:t>
            </w:r>
          </w:p>
        </w:tc>
        <w:tc>
          <w:tcPr>
            <w:tcW w:w="462" w:type="pct"/>
            <w:tcBorders>
              <w:bottom w:val="single" w:sz="4" w:space="0" w:color="auto"/>
            </w:tcBorders>
            <w:noWrap/>
          </w:tcPr>
          <w:p w14:paraId="4D4F9FC5"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6.17</w:t>
            </w:r>
          </w:p>
        </w:tc>
        <w:tc>
          <w:tcPr>
            <w:tcW w:w="416" w:type="pct"/>
            <w:tcBorders>
              <w:bottom w:val="single" w:sz="4" w:space="0" w:color="auto"/>
            </w:tcBorders>
            <w:noWrap/>
          </w:tcPr>
          <w:p w14:paraId="02B126AE"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1.83</w:t>
            </w:r>
          </w:p>
        </w:tc>
        <w:tc>
          <w:tcPr>
            <w:tcW w:w="415" w:type="pct"/>
            <w:tcBorders>
              <w:bottom w:val="single" w:sz="4" w:space="0" w:color="auto"/>
            </w:tcBorders>
            <w:noWrap/>
          </w:tcPr>
          <w:p w14:paraId="61259A14"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4.99</w:t>
            </w:r>
          </w:p>
        </w:tc>
        <w:tc>
          <w:tcPr>
            <w:tcW w:w="370" w:type="pct"/>
            <w:tcBorders>
              <w:bottom w:val="single" w:sz="4" w:space="0" w:color="auto"/>
            </w:tcBorders>
            <w:noWrap/>
          </w:tcPr>
          <w:p w14:paraId="7A94EC4C" w14:textId="77777777" w:rsidR="00824C53" w:rsidRPr="00E02ACD" w:rsidRDefault="00824C53" w:rsidP="00B10D1C">
            <w:pPr>
              <w:spacing w:after="0" w:line="480" w:lineRule="auto"/>
              <w:jc w:val="right"/>
              <w:rPr>
                <w:rFonts w:asciiTheme="minorHAnsi" w:hAnsiTheme="minorHAnsi" w:cs="Arial"/>
                <w:color w:val="000000"/>
                <w:sz w:val="18"/>
                <w:szCs w:val="18"/>
              </w:rPr>
            </w:pPr>
            <w:r w:rsidRPr="00E02ACD">
              <w:rPr>
                <w:rFonts w:asciiTheme="minorHAnsi" w:hAnsiTheme="minorHAnsi" w:cs="Arial"/>
                <w:color w:val="000000"/>
                <w:sz w:val="18"/>
                <w:szCs w:val="18"/>
              </w:rPr>
              <w:t>1.67</w:t>
            </w:r>
          </w:p>
        </w:tc>
      </w:tr>
      <w:tr w:rsidR="00824C53" w:rsidRPr="00E02ACD" w14:paraId="75F7499D" w14:textId="77777777" w:rsidTr="00824C53">
        <w:trPr>
          <w:trHeight w:val="57"/>
        </w:trPr>
        <w:tc>
          <w:tcPr>
            <w:tcW w:w="297" w:type="pct"/>
            <w:vMerge/>
          </w:tcPr>
          <w:p w14:paraId="560BA9EF" w14:textId="77777777" w:rsidR="00824C53" w:rsidRPr="00E02ACD" w:rsidRDefault="00824C53" w:rsidP="00B10D1C">
            <w:pPr>
              <w:pStyle w:val="NoSpacing"/>
              <w:spacing w:line="480" w:lineRule="auto"/>
              <w:rPr>
                <w:rFonts w:asciiTheme="minorHAnsi" w:hAnsiTheme="minorHAnsi" w:cs="Arial"/>
                <w:b/>
                <w:sz w:val="18"/>
                <w:szCs w:val="18"/>
              </w:rPr>
            </w:pPr>
          </w:p>
        </w:tc>
        <w:tc>
          <w:tcPr>
            <w:tcW w:w="1238" w:type="pct"/>
            <w:tcBorders>
              <w:top w:val="single" w:sz="4" w:space="0" w:color="auto"/>
            </w:tcBorders>
            <w:vAlign w:val="center"/>
            <w:hideMark/>
          </w:tcPr>
          <w:p w14:paraId="18831164" w14:textId="77777777" w:rsidR="00824C53" w:rsidRPr="00E02ACD" w:rsidRDefault="00824C53" w:rsidP="00B10D1C">
            <w:pPr>
              <w:pStyle w:val="NoSpacing"/>
              <w:spacing w:line="480" w:lineRule="auto"/>
              <w:rPr>
                <w:rFonts w:asciiTheme="minorHAnsi" w:hAnsiTheme="minorHAnsi" w:cs="Arial"/>
                <w:b/>
                <w:sz w:val="18"/>
                <w:szCs w:val="18"/>
              </w:rPr>
            </w:pPr>
            <w:r w:rsidRPr="00E02ACD">
              <w:rPr>
                <w:rFonts w:asciiTheme="minorHAnsi" w:hAnsiTheme="minorHAnsi" w:cs="Arial"/>
                <w:b/>
                <w:sz w:val="18"/>
                <w:szCs w:val="18"/>
              </w:rPr>
              <w:t xml:space="preserve">SAPROF total </w:t>
            </w:r>
          </w:p>
        </w:tc>
        <w:tc>
          <w:tcPr>
            <w:tcW w:w="462" w:type="pct"/>
            <w:tcBorders>
              <w:top w:val="single" w:sz="4" w:space="0" w:color="auto"/>
            </w:tcBorders>
            <w:noWrap/>
          </w:tcPr>
          <w:p w14:paraId="773EDB74" w14:textId="77777777" w:rsidR="00824C53" w:rsidRPr="00E02ACD" w:rsidRDefault="00824C53" w:rsidP="00B10D1C">
            <w:pPr>
              <w:spacing w:after="0" w:line="480" w:lineRule="auto"/>
              <w:jc w:val="right"/>
              <w:rPr>
                <w:rFonts w:asciiTheme="minorHAnsi" w:hAnsiTheme="minorHAnsi" w:cs="Arial"/>
                <w:b/>
                <w:color w:val="000000"/>
                <w:sz w:val="18"/>
                <w:szCs w:val="18"/>
              </w:rPr>
            </w:pPr>
            <w:r w:rsidRPr="00E02ACD">
              <w:rPr>
                <w:rFonts w:asciiTheme="minorHAnsi" w:hAnsiTheme="minorHAnsi" w:cs="Arial"/>
                <w:b/>
                <w:color w:val="000000"/>
                <w:sz w:val="18"/>
                <w:szCs w:val="18"/>
              </w:rPr>
              <w:t>16.97</w:t>
            </w:r>
          </w:p>
        </w:tc>
        <w:tc>
          <w:tcPr>
            <w:tcW w:w="416" w:type="pct"/>
            <w:tcBorders>
              <w:top w:val="single" w:sz="4" w:space="0" w:color="auto"/>
            </w:tcBorders>
            <w:noWrap/>
          </w:tcPr>
          <w:p w14:paraId="4175DED6" w14:textId="77777777" w:rsidR="00824C53" w:rsidRPr="00E02ACD" w:rsidRDefault="00824C53" w:rsidP="00B10D1C">
            <w:pPr>
              <w:spacing w:after="0" w:line="480" w:lineRule="auto"/>
              <w:jc w:val="right"/>
              <w:rPr>
                <w:rFonts w:asciiTheme="minorHAnsi" w:hAnsiTheme="minorHAnsi" w:cs="Arial"/>
                <w:b/>
                <w:color w:val="000000"/>
                <w:sz w:val="18"/>
                <w:szCs w:val="18"/>
              </w:rPr>
            </w:pPr>
            <w:r w:rsidRPr="00E02ACD">
              <w:rPr>
                <w:rFonts w:asciiTheme="minorHAnsi" w:hAnsiTheme="minorHAnsi" w:cs="Arial"/>
                <w:b/>
                <w:color w:val="000000"/>
                <w:sz w:val="18"/>
                <w:szCs w:val="18"/>
              </w:rPr>
              <w:t>4.66</w:t>
            </w:r>
          </w:p>
        </w:tc>
        <w:tc>
          <w:tcPr>
            <w:tcW w:w="461" w:type="pct"/>
            <w:tcBorders>
              <w:top w:val="single" w:sz="4" w:space="0" w:color="auto"/>
            </w:tcBorders>
            <w:noWrap/>
          </w:tcPr>
          <w:p w14:paraId="61F28E95" w14:textId="77777777" w:rsidR="00824C53" w:rsidRPr="00E02ACD" w:rsidRDefault="00824C53" w:rsidP="00B10D1C">
            <w:pPr>
              <w:spacing w:after="0" w:line="480" w:lineRule="auto"/>
              <w:jc w:val="right"/>
              <w:rPr>
                <w:rFonts w:asciiTheme="minorHAnsi" w:hAnsiTheme="minorHAnsi" w:cs="Arial"/>
                <w:b/>
                <w:color w:val="000000"/>
                <w:sz w:val="18"/>
                <w:szCs w:val="18"/>
              </w:rPr>
            </w:pPr>
            <w:r w:rsidRPr="00E02ACD">
              <w:rPr>
                <w:rFonts w:asciiTheme="minorHAnsi" w:hAnsiTheme="minorHAnsi" w:cs="Arial"/>
                <w:b/>
                <w:color w:val="000000"/>
                <w:sz w:val="18"/>
                <w:szCs w:val="18"/>
              </w:rPr>
              <w:t>15.20</w:t>
            </w:r>
          </w:p>
        </w:tc>
        <w:tc>
          <w:tcPr>
            <w:tcW w:w="462" w:type="pct"/>
            <w:tcBorders>
              <w:top w:val="single" w:sz="4" w:space="0" w:color="auto"/>
            </w:tcBorders>
            <w:noWrap/>
          </w:tcPr>
          <w:p w14:paraId="3154D7FA" w14:textId="77777777" w:rsidR="00824C53" w:rsidRPr="00E02ACD" w:rsidRDefault="00824C53" w:rsidP="00B10D1C">
            <w:pPr>
              <w:spacing w:after="0" w:line="480" w:lineRule="auto"/>
              <w:jc w:val="right"/>
              <w:rPr>
                <w:rFonts w:asciiTheme="minorHAnsi" w:hAnsiTheme="minorHAnsi" w:cs="Arial"/>
                <w:b/>
                <w:color w:val="000000"/>
                <w:sz w:val="18"/>
                <w:szCs w:val="18"/>
              </w:rPr>
            </w:pPr>
            <w:r w:rsidRPr="00E02ACD">
              <w:rPr>
                <w:rFonts w:asciiTheme="minorHAnsi" w:hAnsiTheme="minorHAnsi" w:cs="Arial"/>
                <w:b/>
                <w:color w:val="000000"/>
                <w:sz w:val="18"/>
                <w:szCs w:val="18"/>
              </w:rPr>
              <w:t>4.18</w:t>
            </w:r>
          </w:p>
        </w:tc>
        <w:tc>
          <w:tcPr>
            <w:tcW w:w="462" w:type="pct"/>
            <w:tcBorders>
              <w:top w:val="single" w:sz="4" w:space="0" w:color="auto"/>
            </w:tcBorders>
            <w:noWrap/>
          </w:tcPr>
          <w:p w14:paraId="1EEE503D" w14:textId="77777777" w:rsidR="00824C53" w:rsidRPr="00E02ACD" w:rsidRDefault="00824C53" w:rsidP="00B10D1C">
            <w:pPr>
              <w:spacing w:after="0" w:line="480" w:lineRule="auto"/>
              <w:jc w:val="right"/>
              <w:rPr>
                <w:rFonts w:asciiTheme="minorHAnsi" w:hAnsiTheme="minorHAnsi" w:cs="Arial"/>
                <w:b/>
                <w:color w:val="000000"/>
                <w:sz w:val="18"/>
                <w:szCs w:val="18"/>
              </w:rPr>
            </w:pPr>
            <w:r w:rsidRPr="00E02ACD">
              <w:rPr>
                <w:rFonts w:asciiTheme="minorHAnsi" w:hAnsiTheme="minorHAnsi" w:cs="Arial"/>
                <w:b/>
                <w:color w:val="000000"/>
                <w:sz w:val="18"/>
                <w:szCs w:val="18"/>
              </w:rPr>
              <w:t>15.07</w:t>
            </w:r>
          </w:p>
        </w:tc>
        <w:tc>
          <w:tcPr>
            <w:tcW w:w="416" w:type="pct"/>
            <w:tcBorders>
              <w:top w:val="single" w:sz="4" w:space="0" w:color="auto"/>
            </w:tcBorders>
            <w:noWrap/>
          </w:tcPr>
          <w:p w14:paraId="3788F367" w14:textId="77777777" w:rsidR="00824C53" w:rsidRPr="00E02ACD" w:rsidRDefault="00824C53" w:rsidP="00B10D1C">
            <w:pPr>
              <w:spacing w:after="0" w:line="480" w:lineRule="auto"/>
              <w:jc w:val="right"/>
              <w:rPr>
                <w:rFonts w:asciiTheme="minorHAnsi" w:hAnsiTheme="minorHAnsi" w:cs="Arial"/>
                <w:b/>
                <w:color w:val="000000"/>
                <w:sz w:val="18"/>
                <w:szCs w:val="18"/>
              </w:rPr>
            </w:pPr>
            <w:r w:rsidRPr="00E02ACD">
              <w:rPr>
                <w:rFonts w:asciiTheme="minorHAnsi" w:hAnsiTheme="minorHAnsi" w:cs="Arial"/>
                <w:b/>
                <w:color w:val="000000"/>
                <w:sz w:val="18"/>
                <w:szCs w:val="18"/>
              </w:rPr>
              <w:t>3.63</w:t>
            </w:r>
          </w:p>
        </w:tc>
        <w:tc>
          <w:tcPr>
            <w:tcW w:w="415" w:type="pct"/>
            <w:tcBorders>
              <w:top w:val="single" w:sz="4" w:space="0" w:color="auto"/>
            </w:tcBorders>
            <w:noWrap/>
          </w:tcPr>
          <w:p w14:paraId="1BEE7596" w14:textId="77777777" w:rsidR="00824C53" w:rsidRPr="00E02ACD" w:rsidRDefault="00824C53" w:rsidP="00B10D1C">
            <w:pPr>
              <w:spacing w:after="0" w:line="480" w:lineRule="auto"/>
              <w:jc w:val="right"/>
              <w:rPr>
                <w:rFonts w:asciiTheme="minorHAnsi" w:hAnsiTheme="minorHAnsi" w:cs="Arial"/>
                <w:b/>
                <w:color w:val="000000"/>
                <w:sz w:val="18"/>
                <w:szCs w:val="18"/>
              </w:rPr>
            </w:pPr>
            <w:r w:rsidRPr="00E02ACD">
              <w:rPr>
                <w:rFonts w:asciiTheme="minorHAnsi" w:hAnsiTheme="minorHAnsi" w:cs="Arial"/>
                <w:b/>
                <w:color w:val="000000"/>
                <w:sz w:val="18"/>
                <w:szCs w:val="18"/>
              </w:rPr>
              <w:t>19.69</w:t>
            </w:r>
          </w:p>
        </w:tc>
        <w:tc>
          <w:tcPr>
            <w:tcW w:w="370" w:type="pct"/>
            <w:tcBorders>
              <w:top w:val="single" w:sz="4" w:space="0" w:color="auto"/>
            </w:tcBorders>
            <w:noWrap/>
          </w:tcPr>
          <w:p w14:paraId="2621B3B1" w14:textId="77777777" w:rsidR="00824C53" w:rsidRPr="00E02ACD" w:rsidRDefault="00824C53" w:rsidP="00B10D1C">
            <w:pPr>
              <w:spacing w:after="0" w:line="480" w:lineRule="auto"/>
              <w:jc w:val="right"/>
              <w:rPr>
                <w:rFonts w:asciiTheme="minorHAnsi" w:hAnsiTheme="minorHAnsi" w:cs="Arial"/>
                <w:b/>
                <w:color w:val="000000"/>
                <w:sz w:val="18"/>
                <w:szCs w:val="18"/>
              </w:rPr>
            </w:pPr>
            <w:r w:rsidRPr="00E02ACD">
              <w:rPr>
                <w:rFonts w:asciiTheme="minorHAnsi" w:hAnsiTheme="minorHAnsi" w:cs="Arial"/>
                <w:b/>
                <w:color w:val="000000"/>
                <w:sz w:val="18"/>
                <w:szCs w:val="18"/>
              </w:rPr>
              <w:t>4.46</w:t>
            </w:r>
          </w:p>
        </w:tc>
      </w:tr>
      <w:tr w:rsidR="00824C53" w:rsidRPr="00E02ACD" w14:paraId="1478808E" w14:textId="77777777" w:rsidTr="00470785">
        <w:trPr>
          <w:trHeight w:val="57"/>
        </w:trPr>
        <w:tc>
          <w:tcPr>
            <w:tcW w:w="297" w:type="pct"/>
            <w:vMerge/>
            <w:tcBorders>
              <w:bottom w:val="single" w:sz="4" w:space="0" w:color="auto"/>
            </w:tcBorders>
          </w:tcPr>
          <w:p w14:paraId="2AD014B5" w14:textId="77777777" w:rsidR="00824C53" w:rsidRPr="00E02ACD" w:rsidRDefault="00824C53" w:rsidP="00B10D1C">
            <w:pPr>
              <w:pStyle w:val="NoSpacing"/>
              <w:spacing w:line="480" w:lineRule="auto"/>
              <w:rPr>
                <w:rFonts w:asciiTheme="minorHAnsi" w:hAnsiTheme="minorHAnsi" w:cs="Arial"/>
                <w:b/>
                <w:sz w:val="18"/>
                <w:szCs w:val="18"/>
              </w:rPr>
            </w:pPr>
          </w:p>
        </w:tc>
        <w:tc>
          <w:tcPr>
            <w:tcW w:w="1238" w:type="pct"/>
            <w:tcBorders>
              <w:bottom w:val="single" w:sz="4" w:space="0" w:color="auto"/>
            </w:tcBorders>
            <w:vAlign w:val="center"/>
          </w:tcPr>
          <w:p w14:paraId="0BB72339" w14:textId="77777777" w:rsidR="00824C53" w:rsidRPr="00E02ACD" w:rsidRDefault="00824C53" w:rsidP="00B10D1C">
            <w:pPr>
              <w:pStyle w:val="NoSpacing"/>
              <w:spacing w:line="480" w:lineRule="auto"/>
              <w:rPr>
                <w:rFonts w:asciiTheme="minorHAnsi" w:hAnsiTheme="minorHAnsi" w:cs="Arial"/>
                <w:b/>
                <w:sz w:val="18"/>
                <w:szCs w:val="18"/>
              </w:rPr>
            </w:pPr>
            <w:r w:rsidRPr="00E02ACD">
              <w:rPr>
                <w:rFonts w:asciiTheme="minorHAnsi" w:hAnsiTheme="minorHAnsi" w:cs="Arial"/>
                <w:b/>
                <w:sz w:val="18"/>
                <w:szCs w:val="18"/>
              </w:rPr>
              <w:t>HCR20-SAPROF Index</w:t>
            </w:r>
          </w:p>
        </w:tc>
        <w:tc>
          <w:tcPr>
            <w:tcW w:w="462" w:type="pct"/>
            <w:tcBorders>
              <w:bottom w:val="single" w:sz="4" w:space="0" w:color="auto"/>
            </w:tcBorders>
            <w:noWrap/>
          </w:tcPr>
          <w:p w14:paraId="0BCEEF6B" w14:textId="77777777" w:rsidR="00824C53" w:rsidRPr="00E02ACD" w:rsidRDefault="00824C53" w:rsidP="00B10D1C">
            <w:pPr>
              <w:spacing w:after="0" w:line="480" w:lineRule="auto"/>
              <w:jc w:val="right"/>
              <w:rPr>
                <w:rFonts w:asciiTheme="minorHAnsi" w:hAnsiTheme="minorHAnsi" w:cs="Arial"/>
                <w:b/>
                <w:color w:val="000000"/>
                <w:sz w:val="18"/>
                <w:szCs w:val="18"/>
              </w:rPr>
            </w:pPr>
            <w:r w:rsidRPr="00E02ACD">
              <w:rPr>
                <w:rFonts w:asciiTheme="minorHAnsi" w:hAnsiTheme="minorHAnsi" w:cs="Arial"/>
                <w:b/>
                <w:color w:val="000000"/>
                <w:sz w:val="18"/>
                <w:szCs w:val="18"/>
              </w:rPr>
              <w:t>3.80</w:t>
            </w:r>
          </w:p>
        </w:tc>
        <w:tc>
          <w:tcPr>
            <w:tcW w:w="416" w:type="pct"/>
            <w:tcBorders>
              <w:bottom w:val="single" w:sz="4" w:space="0" w:color="auto"/>
            </w:tcBorders>
            <w:noWrap/>
          </w:tcPr>
          <w:p w14:paraId="1CC387B5" w14:textId="77777777" w:rsidR="00824C53" w:rsidRPr="00E02ACD" w:rsidRDefault="00824C53" w:rsidP="00B10D1C">
            <w:pPr>
              <w:spacing w:after="0" w:line="480" w:lineRule="auto"/>
              <w:jc w:val="right"/>
              <w:rPr>
                <w:rFonts w:asciiTheme="minorHAnsi" w:hAnsiTheme="minorHAnsi" w:cs="Arial"/>
                <w:b/>
                <w:color w:val="000000"/>
                <w:sz w:val="18"/>
                <w:szCs w:val="18"/>
              </w:rPr>
            </w:pPr>
            <w:r w:rsidRPr="00E02ACD">
              <w:rPr>
                <w:rFonts w:asciiTheme="minorHAnsi" w:hAnsiTheme="minorHAnsi" w:cs="Arial"/>
                <w:b/>
                <w:color w:val="000000"/>
                <w:sz w:val="18"/>
                <w:szCs w:val="18"/>
              </w:rPr>
              <w:t>12.02</w:t>
            </w:r>
          </w:p>
        </w:tc>
        <w:tc>
          <w:tcPr>
            <w:tcW w:w="461" w:type="pct"/>
            <w:tcBorders>
              <w:bottom w:val="single" w:sz="4" w:space="0" w:color="auto"/>
            </w:tcBorders>
            <w:noWrap/>
          </w:tcPr>
          <w:p w14:paraId="1439E833" w14:textId="77777777" w:rsidR="00824C53" w:rsidRPr="00E02ACD" w:rsidRDefault="00824C53" w:rsidP="00B10D1C">
            <w:pPr>
              <w:spacing w:after="0" w:line="480" w:lineRule="auto"/>
              <w:jc w:val="right"/>
              <w:rPr>
                <w:rFonts w:asciiTheme="minorHAnsi" w:hAnsiTheme="minorHAnsi" w:cs="Arial"/>
                <w:b/>
                <w:color w:val="000000"/>
                <w:sz w:val="18"/>
                <w:szCs w:val="18"/>
              </w:rPr>
            </w:pPr>
            <w:r w:rsidRPr="00E02ACD">
              <w:rPr>
                <w:rFonts w:asciiTheme="minorHAnsi" w:hAnsiTheme="minorHAnsi" w:cs="Arial"/>
                <w:b/>
                <w:color w:val="000000"/>
                <w:sz w:val="18"/>
                <w:szCs w:val="18"/>
              </w:rPr>
              <w:t>12.27</w:t>
            </w:r>
          </w:p>
        </w:tc>
        <w:tc>
          <w:tcPr>
            <w:tcW w:w="462" w:type="pct"/>
            <w:tcBorders>
              <w:bottom w:val="single" w:sz="4" w:space="0" w:color="auto"/>
            </w:tcBorders>
            <w:noWrap/>
          </w:tcPr>
          <w:p w14:paraId="0C8D9DE9" w14:textId="77777777" w:rsidR="00824C53" w:rsidRPr="00E02ACD" w:rsidRDefault="00824C53" w:rsidP="00B10D1C">
            <w:pPr>
              <w:spacing w:after="0" w:line="480" w:lineRule="auto"/>
              <w:jc w:val="right"/>
              <w:rPr>
                <w:rFonts w:asciiTheme="minorHAnsi" w:hAnsiTheme="minorHAnsi" w:cs="Arial"/>
                <w:b/>
                <w:color w:val="000000"/>
                <w:sz w:val="18"/>
                <w:szCs w:val="18"/>
              </w:rPr>
            </w:pPr>
            <w:r w:rsidRPr="00E02ACD">
              <w:rPr>
                <w:rFonts w:asciiTheme="minorHAnsi" w:hAnsiTheme="minorHAnsi" w:cs="Arial"/>
                <w:b/>
                <w:color w:val="000000"/>
                <w:sz w:val="18"/>
                <w:szCs w:val="18"/>
              </w:rPr>
              <w:t>10.57</w:t>
            </w:r>
          </w:p>
        </w:tc>
        <w:tc>
          <w:tcPr>
            <w:tcW w:w="462" w:type="pct"/>
            <w:tcBorders>
              <w:bottom w:val="single" w:sz="4" w:space="0" w:color="auto"/>
            </w:tcBorders>
            <w:noWrap/>
          </w:tcPr>
          <w:p w14:paraId="2FEF9BA8" w14:textId="77777777" w:rsidR="00824C53" w:rsidRPr="00E02ACD" w:rsidRDefault="00824C53" w:rsidP="00B10D1C">
            <w:pPr>
              <w:spacing w:after="0" w:line="480" w:lineRule="auto"/>
              <w:jc w:val="right"/>
              <w:rPr>
                <w:rFonts w:asciiTheme="minorHAnsi" w:hAnsiTheme="minorHAnsi" w:cs="Arial"/>
                <w:b/>
                <w:color w:val="000000"/>
                <w:sz w:val="18"/>
                <w:szCs w:val="18"/>
              </w:rPr>
            </w:pPr>
            <w:r w:rsidRPr="00E02ACD">
              <w:rPr>
                <w:rFonts w:asciiTheme="minorHAnsi" w:hAnsiTheme="minorHAnsi" w:cs="Arial"/>
                <w:b/>
                <w:color w:val="000000"/>
                <w:sz w:val="18"/>
                <w:szCs w:val="18"/>
              </w:rPr>
              <w:t>8.44</w:t>
            </w:r>
          </w:p>
        </w:tc>
        <w:tc>
          <w:tcPr>
            <w:tcW w:w="416" w:type="pct"/>
            <w:tcBorders>
              <w:bottom w:val="single" w:sz="4" w:space="0" w:color="auto"/>
            </w:tcBorders>
            <w:noWrap/>
          </w:tcPr>
          <w:p w14:paraId="163355B9" w14:textId="77777777" w:rsidR="00824C53" w:rsidRPr="00E02ACD" w:rsidRDefault="00824C53" w:rsidP="00B10D1C">
            <w:pPr>
              <w:spacing w:after="0" w:line="480" w:lineRule="auto"/>
              <w:jc w:val="right"/>
              <w:rPr>
                <w:rFonts w:asciiTheme="minorHAnsi" w:hAnsiTheme="minorHAnsi" w:cs="Arial"/>
                <w:b/>
                <w:color w:val="000000"/>
                <w:sz w:val="18"/>
                <w:szCs w:val="18"/>
              </w:rPr>
            </w:pPr>
            <w:r w:rsidRPr="00E02ACD">
              <w:rPr>
                <w:rFonts w:asciiTheme="minorHAnsi" w:hAnsiTheme="minorHAnsi" w:cs="Arial"/>
                <w:b/>
                <w:color w:val="000000"/>
                <w:sz w:val="18"/>
                <w:szCs w:val="18"/>
              </w:rPr>
              <w:t>8.77</w:t>
            </w:r>
          </w:p>
        </w:tc>
        <w:tc>
          <w:tcPr>
            <w:tcW w:w="415" w:type="pct"/>
            <w:tcBorders>
              <w:bottom w:val="single" w:sz="4" w:space="0" w:color="auto"/>
            </w:tcBorders>
            <w:noWrap/>
          </w:tcPr>
          <w:p w14:paraId="4A6C5DF1" w14:textId="77777777" w:rsidR="00824C53" w:rsidRPr="00E02ACD" w:rsidRDefault="00824C53" w:rsidP="00B10D1C">
            <w:pPr>
              <w:spacing w:after="0" w:line="480" w:lineRule="auto"/>
              <w:jc w:val="right"/>
              <w:rPr>
                <w:rFonts w:asciiTheme="minorHAnsi" w:hAnsiTheme="minorHAnsi" w:cs="Arial"/>
                <w:b/>
                <w:color w:val="000000"/>
                <w:sz w:val="18"/>
                <w:szCs w:val="18"/>
              </w:rPr>
            </w:pPr>
            <w:r w:rsidRPr="00E02ACD">
              <w:rPr>
                <w:rFonts w:asciiTheme="minorHAnsi" w:hAnsiTheme="minorHAnsi" w:cs="Arial"/>
                <w:b/>
                <w:color w:val="000000"/>
                <w:sz w:val="18"/>
                <w:szCs w:val="18"/>
              </w:rPr>
              <w:t>4.96</w:t>
            </w:r>
          </w:p>
        </w:tc>
        <w:tc>
          <w:tcPr>
            <w:tcW w:w="370" w:type="pct"/>
            <w:tcBorders>
              <w:bottom w:val="single" w:sz="4" w:space="0" w:color="auto"/>
            </w:tcBorders>
            <w:noWrap/>
          </w:tcPr>
          <w:p w14:paraId="3A5CC82F" w14:textId="77777777" w:rsidR="00824C53" w:rsidRPr="00E02ACD" w:rsidRDefault="00824C53" w:rsidP="00B10D1C">
            <w:pPr>
              <w:spacing w:after="0" w:line="480" w:lineRule="auto"/>
              <w:jc w:val="right"/>
              <w:rPr>
                <w:rFonts w:asciiTheme="minorHAnsi" w:hAnsiTheme="minorHAnsi" w:cs="Arial"/>
                <w:b/>
                <w:color w:val="000000"/>
                <w:sz w:val="18"/>
                <w:szCs w:val="18"/>
              </w:rPr>
            </w:pPr>
            <w:r w:rsidRPr="00E02ACD">
              <w:rPr>
                <w:rFonts w:asciiTheme="minorHAnsi" w:hAnsiTheme="minorHAnsi" w:cs="Arial"/>
                <w:b/>
                <w:color w:val="000000"/>
                <w:sz w:val="18"/>
                <w:szCs w:val="18"/>
              </w:rPr>
              <w:t>9.63</w:t>
            </w:r>
          </w:p>
        </w:tc>
      </w:tr>
    </w:tbl>
    <w:p w14:paraId="6DE87404" w14:textId="77777777" w:rsidR="00824C53" w:rsidRPr="00824C53" w:rsidRDefault="00824C53" w:rsidP="00B10D1C">
      <w:pPr>
        <w:tabs>
          <w:tab w:val="left" w:pos="3720"/>
        </w:tabs>
        <w:spacing w:after="0" w:line="480" w:lineRule="auto"/>
        <w:rPr>
          <w:rFonts w:asciiTheme="minorHAnsi" w:eastAsia="Times New Roman" w:hAnsiTheme="minorHAnsi" w:cs="Times New Roman"/>
          <w:sz w:val="18"/>
          <w:szCs w:val="18"/>
        </w:rPr>
      </w:pPr>
    </w:p>
    <w:p w14:paraId="03033CFE" w14:textId="77777777" w:rsidR="002117CA" w:rsidRDefault="002117CA">
      <w:pPr>
        <w:spacing w:after="160" w:line="259" w:lineRule="auto"/>
        <w:jc w:val="left"/>
        <w:rPr>
          <w:rFonts w:asciiTheme="minorHAnsi" w:eastAsia="Times New Roman" w:hAnsiTheme="minorHAnsi" w:cs="Arial"/>
          <w:b/>
          <w:sz w:val="18"/>
          <w:szCs w:val="18"/>
        </w:rPr>
      </w:pPr>
      <w:r>
        <w:rPr>
          <w:rFonts w:asciiTheme="minorHAnsi" w:eastAsia="Times New Roman" w:hAnsiTheme="minorHAnsi" w:cs="Arial"/>
          <w:b/>
          <w:sz w:val="18"/>
          <w:szCs w:val="18"/>
        </w:rPr>
        <w:br w:type="page"/>
      </w:r>
    </w:p>
    <w:p w14:paraId="674D1AB6" w14:textId="1ADF4914" w:rsidR="00824C53" w:rsidRPr="00824C53" w:rsidRDefault="00824C53" w:rsidP="00B10D1C">
      <w:pPr>
        <w:tabs>
          <w:tab w:val="left" w:pos="3720"/>
        </w:tabs>
        <w:spacing w:after="0" w:line="480" w:lineRule="auto"/>
        <w:rPr>
          <w:rFonts w:asciiTheme="minorHAnsi" w:eastAsia="Times New Roman" w:hAnsiTheme="minorHAnsi" w:cs="Times New Roman"/>
          <w:sz w:val="18"/>
          <w:szCs w:val="18"/>
        </w:rPr>
      </w:pPr>
      <w:r w:rsidRPr="00824C53">
        <w:rPr>
          <w:rFonts w:asciiTheme="minorHAnsi" w:eastAsia="Times New Roman" w:hAnsiTheme="minorHAnsi" w:cs="Arial"/>
          <w:b/>
          <w:sz w:val="18"/>
          <w:szCs w:val="18"/>
        </w:rPr>
        <w:lastRenderedPageBreak/>
        <w:t>Table 3: Correlations between SAPROF (Factors and total), HCR20 and PCL:SV scores</w:t>
      </w:r>
    </w:p>
    <w:tbl>
      <w:tblPr>
        <w:tblW w:w="15168" w:type="dxa"/>
        <w:tblLayout w:type="fixed"/>
        <w:tblLook w:val="04A0" w:firstRow="1" w:lastRow="0" w:firstColumn="1" w:lastColumn="0" w:noHBand="0" w:noVBand="1"/>
      </w:tblPr>
      <w:tblGrid>
        <w:gridCol w:w="1843"/>
        <w:gridCol w:w="2126"/>
        <w:gridCol w:w="1244"/>
        <w:gridCol w:w="1244"/>
        <w:gridCol w:w="1245"/>
        <w:gridCol w:w="1244"/>
        <w:gridCol w:w="1244"/>
        <w:gridCol w:w="1245"/>
        <w:gridCol w:w="1244"/>
        <w:gridCol w:w="1244"/>
        <w:gridCol w:w="1245"/>
      </w:tblGrid>
      <w:tr w:rsidR="00824C53" w:rsidRPr="00824C53" w14:paraId="46950AC3" w14:textId="77777777" w:rsidTr="00824C53">
        <w:trPr>
          <w:trHeight w:val="765"/>
        </w:trPr>
        <w:tc>
          <w:tcPr>
            <w:tcW w:w="1843" w:type="dxa"/>
            <w:tcBorders>
              <w:top w:val="nil"/>
              <w:left w:val="nil"/>
              <w:bottom w:val="nil"/>
              <w:right w:val="nil"/>
            </w:tcBorders>
            <w:shd w:val="clear" w:color="auto" w:fill="auto"/>
            <w:noWrap/>
            <w:vAlign w:val="bottom"/>
            <w:hideMark/>
          </w:tcPr>
          <w:p w14:paraId="1406AFDB" w14:textId="77777777" w:rsidR="00824C53" w:rsidRPr="00824C53" w:rsidRDefault="00824C53" w:rsidP="00B10D1C">
            <w:pPr>
              <w:spacing w:after="0" w:line="480" w:lineRule="auto"/>
              <w:rPr>
                <w:rFonts w:asciiTheme="minorHAnsi" w:eastAsia="Times New Roman" w:hAnsiTheme="minorHAnsi" w:cs="Arial"/>
                <w:sz w:val="18"/>
                <w:szCs w:val="18"/>
              </w:rPr>
            </w:pPr>
          </w:p>
        </w:tc>
        <w:tc>
          <w:tcPr>
            <w:tcW w:w="2126" w:type="dxa"/>
            <w:tcBorders>
              <w:top w:val="nil"/>
              <w:left w:val="nil"/>
              <w:bottom w:val="single" w:sz="8" w:space="0" w:color="auto"/>
              <w:right w:val="nil"/>
            </w:tcBorders>
            <w:shd w:val="clear" w:color="auto" w:fill="auto"/>
            <w:vAlign w:val="bottom"/>
            <w:hideMark/>
          </w:tcPr>
          <w:p w14:paraId="5F952213"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nil"/>
              <w:left w:val="single" w:sz="8" w:space="0" w:color="auto"/>
              <w:bottom w:val="single" w:sz="4" w:space="0" w:color="auto"/>
              <w:right w:val="single" w:sz="4" w:space="0" w:color="000000"/>
            </w:tcBorders>
            <w:shd w:val="clear" w:color="auto" w:fill="auto"/>
            <w:vAlign w:val="bottom"/>
            <w:hideMark/>
          </w:tcPr>
          <w:p w14:paraId="7749119C" w14:textId="77777777" w:rsidR="00824C53" w:rsidRPr="00824C53" w:rsidRDefault="00824C53" w:rsidP="00B10D1C">
            <w:pPr>
              <w:spacing w:after="0" w:line="480" w:lineRule="auto"/>
              <w:jc w:val="center"/>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SAPROF Internal</w:t>
            </w:r>
          </w:p>
        </w:tc>
        <w:tc>
          <w:tcPr>
            <w:tcW w:w="1244" w:type="dxa"/>
            <w:tcBorders>
              <w:top w:val="nil"/>
              <w:left w:val="nil"/>
              <w:bottom w:val="single" w:sz="4" w:space="0" w:color="auto"/>
              <w:right w:val="single" w:sz="4" w:space="0" w:color="000000"/>
            </w:tcBorders>
            <w:shd w:val="clear" w:color="auto" w:fill="auto"/>
            <w:vAlign w:val="bottom"/>
            <w:hideMark/>
          </w:tcPr>
          <w:p w14:paraId="49357E4A" w14:textId="77777777" w:rsidR="00824C53" w:rsidRPr="00824C53" w:rsidRDefault="00824C53" w:rsidP="00B10D1C">
            <w:pPr>
              <w:spacing w:after="0" w:line="480" w:lineRule="auto"/>
              <w:jc w:val="center"/>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SAPROF Motivational</w:t>
            </w:r>
          </w:p>
        </w:tc>
        <w:tc>
          <w:tcPr>
            <w:tcW w:w="1245" w:type="dxa"/>
            <w:tcBorders>
              <w:top w:val="nil"/>
              <w:left w:val="nil"/>
              <w:bottom w:val="single" w:sz="4" w:space="0" w:color="auto"/>
              <w:right w:val="single" w:sz="4" w:space="0" w:color="000000"/>
            </w:tcBorders>
            <w:shd w:val="clear" w:color="auto" w:fill="auto"/>
            <w:vAlign w:val="bottom"/>
            <w:hideMark/>
          </w:tcPr>
          <w:p w14:paraId="243AB706" w14:textId="77777777" w:rsidR="00824C53" w:rsidRPr="00824C53" w:rsidRDefault="00824C53" w:rsidP="00B10D1C">
            <w:pPr>
              <w:spacing w:after="0" w:line="480" w:lineRule="auto"/>
              <w:jc w:val="center"/>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SAPROF External</w:t>
            </w:r>
          </w:p>
        </w:tc>
        <w:tc>
          <w:tcPr>
            <w:tcW w:w="1244" w:type="dxa"/>
            <w:tcBorders>
              <w:top w:val="nil"/>
              <w:left w:val="nil"/>
              <w:bottom w:val="single" w:sz="4" w:space="0" w:color="auto"/>
              <w:right w:val="single" w:sz="8" w:space="0" w:color="auto"/>
            </w:tcBorders>
            <w:shd w:val="clear" w:color="auto" w:fill="auto"/>
            <w:vAlign w:val="bottom"/>
            <w:hideMark/>
          </w:tcPr>
          <w:p w14:paraId="7B8C285C" w14:textId="77777777" w:rsidR="00824C53" w:rsidRPr="00824C53" w:rsidRDefault="00824C53" w:rsidP="00B10D1C">
            <w:pPr>
              <w:spacing w:after="0" w:line="480" w:lineRule="auto"/>
              <w:jc w:val="center"/>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SAPROF Total</w:t>
            </w:r>
          </w:p>
        </w:tc>
        <w:tc>
          <w:tcPr>
            <w:tcW w:w="1244" w:type="dxa"/>
            <w:tcBorders>
              <w:top w:val="nil"/>
              <w:left w:val="nil"/>
              <w:bottom w:val="single" w:sz="4" w:space="0" w:color="auto"/>
              <w:right w:val="single" w:sz="4" w:space="0" w:color="000000"/>
            </w:tcBorders>
            <w:shd w:val="clear" w:color="auto" w:fill="auto"/>
            <w:vAlign w:val="bottom"/>
            <w:hideMark/>
          </w:tcPr>
          <w:p w14:paraId="4AF540B1" w14:textId="77777777" w:rsidR="00824C53" w:rsidRPr="00824C53" w:rsidRDefault="00824C53" w:rsidP="00B10D1C">
            <w:pPr>
              <w:spacing w:after="0" w:line="480" w:lineRule="auto"/>
              <w:jc w:val="center"/>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HCR20 Historical</w:t>
            </w:r>
          </w:p>
        </w:tc>
        <w:tc>
          <w:tcPr>
            <w:tcW w:w="1245" w:type="dxa"/>
            <w:tcBorders>
              <w:top w:val="nil"/>
              <w:left w:val="nil"/>
              <w:bottom w:val="single" w:sz="4" w:space="0" w:color="auto"/>
              <w:right w:val="single" w:sz="4" w:space="0" w:color="000000"/>
            </w:tcBorders>
            <w:shd w:val="clear" w:color="auto" w:fill="auto"/>
            <w:vAlign w:val="bottom"/>
            <w:hideMark/>
          </w:tcPr>
          <w:p w14:paraId="3DBF961A" w14:textId="77777777" w:rsidR="00824C53" w:rsidRPr="00824C53" w:rsidRDefault="00824C53" w:rsidP="00B10D1C">
            <w:pPr>
              <w:spacing w:after="0" w:line="480" w:lineRule="auto"/>
              <w:jc w:val="center"/>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HCR20 Clinical</w:t>
            </w:r>
          </w:p>
        </w:tc>
        <w:tc>
          <w:tcPr>
            <w:tcW w:w="1244" w:type="dxa"/>
            <w:tcBorders>
              <w:top w:val="nil"/>
              <w:left w:val="nil"/>
              <w:bottom w:val="single" w:sz="4" w:space="0" w:color="auto"/>
              <w:right w:val="single" w:sz="4" w:space="0" w:color="000000"/>
            </w:tcBorders>
            <w:shd w:val="clear" w:color="auto" w:fill="auto"/>
            <w:vAlign w:val="bottom"/>
            <w:hideMark/>
          </w:tcPr>
          <w:p w14:paraId="79EE2814" w14:textId="77777777" w:rsidR="00824C53" w:rsidRPr="00824C53" w:rsidRDefault="00824C53" w:rsidP="00B10D1C">
            <w:pPr>
              <w:spacing w:after="0" w:line="480" w:lineRule="auto"/>
              <w:jc w:val="center"/>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HCR20 </w:t>
            </w:r>
          </w:p>
          <w:p w14:paraId="40846FCA" w14:textId="77777777" w:rsidR="00824C53" w:rsidRPr="00824C53" w:rsidRDefault="00824C53" w:rsidP="00B10D1C">
            <w:pPr>
              <w:spacing w:after="0" w:line="480" w:lineRule="auto"/>
              <w:jc w:val="center"/>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Risk</w:t>
            </w:r>
          </w:p>
        </w:tc>
        <w:tc>
          <w:tcPr>
            <w:tcW w:w="1244" w:type="dxa"/>
            <w:tcBorders>
              <w:top w:val="nil"/>
              <w:left w:val="nil"/>
              <w:bottom w:val="single" w:sz="4" w:space="0" w:color="auto"/>
              <w:right w:val="single" w:sz="8" w:space="0" w:color="auto"/>
            </w:tcBorders>
            <w:shd w:val="clear" w:color="auto" w:fill="auto"/>
            <w:vAlign w:val="bottom"/>
            <w:hideMark/>
          </w:tcPr>
          <w:p w14:paraId="33C18135" w14:textId="77777777" w:rsidR="00824C53" w:rsidRPr="00824C53" w:rsidRDefault="00824C53" w:rsidP="00B10D1C">
            <w:pPr>
              <w:spacing w:after="0" w:line="480" w:lineRule="auto"/>
              <w:jc w:val="center"/>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HCR20 Total</w:t>
            </w:r>
          </w:p>
        </w:tc>
        <w:tc>
          <w:tcPr>
            <w:tcW w:w="1245" w:type="dxa"/>
            <w:tcBorders>
              <w:top w:val="nil"/>
              <w:left w:val="nil"/>
              <w:bottom w:val="single" w:sz="4" w:space="0" w:color="auto"/>
            </w:tcBorders>
            <w:shd w:val="clear" w:color="auto" w:fill="auto"/>
            <w:vAlign w:val="bottom"/>
            <w:hideMark/>
          </w:tcPr>
          <w:p w14:paraId="2186AC84" w14:textId="77777777" w:rsidR="00824C53" w:rsidRPr="00824C53" w:rsidRDefault="00824C53" w:rsidP="00B10D1C">
            <w:pPr>
              <w:spacing w:after="0" w:line="480" w:lineRule="auto"/>
              <w:jc w:val="center"/>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HCR20-SAPROF Index</w:t>
            </w:r>
          </w:p>
        </w:tc>
      </w:tr>
      <w:tr w:rsidR="00824C53" w:rsidRPr="00824C53" w14:paraId="32D6CE21" w14:textId="77777777" w:rsidTr="00824C53">
        <w:trPr>
          <w:trHeight w:val="300"/>
        </w:trPr>
        <w:tc>
          <w:tcPr>
            <w:tcW w:w="1843" w:type="dxa"/>
            <w:tcBorders>
              <w:top w:val="nil"/>
              <w:left w:val="nil"/>
              <w:bottom w:val="nil"/>
              <w:right w:val="nil"/>
            </w:tcBorders>
            <w:shd w:val="clear" w:color="auto" w:fill="auto"/>
            <w:noWrap/>
            <w:vAlign w:val="bottom"/>
            <w:hideMark/>
          </w:tcPr>
          <w:p w14:paraId="5ECAA744"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Secure Inpatient</w:t>
            </w:r>
          </w:p>
        </w:tc>
        <w:tc>
          <w:tcPr>
            <w:tcW w:w="2126" w:type="dxa"/>
            <w:tcBorders>
              <w:top w:val="nil"/>
              <w:left w:val="nil"/>
              <w:bottom w:val="nil"/>
              <w:right w:val="single" w:sz="12" w:space="0" w:color="000000"/>
            </w:tcBorders>
            <w:shd w:val="clear" w:color="auto" w:fill="auto"/>
            <w:hideMark/>
          </w:tcPr>
          <w:p w14:paraId="1F7FC009"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SAPROF Motivational</w:t>
            </w:r>
          </w:p>
        </w:tc>
        <w:tc>
          <w:tcPr>
            <w:tcW w:w="1244" w:type="dxa"/>
            <w:tcBorders>
              <w:top w:val="single" w:sz="4" w:space="0" w:color="auto"/>
              <w:left w:val="nil"/>
              <w:bottom w:val="nil"/>
              <w:right w:val="single" w:sz="4" w:space="0" w:color="000000"/>
            </w:tcBorders>
            <w:shd w:val="clear" w:color="auto" w:fill="auto"/>
            <w:noWrap/>
            <w:vAlign w:val="center"/>
            <w:hideMark/>
          </w:tcPr>
          <w:p w14:paraId="02F6D511"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.57</w:t>
            </w:r>
            <w:r w:rsidRPr="00824C53">
              <w:rPr>
                <w:rFonts w:asciiTheme="minorHAnsi" w:eastAsia="Times New Roman" w:hAnsiTheme="minorHAnsi" w:cs="Arial"/>
                <w:color w:val="000000"/>
                <w:sz w:val="18"/>
                <w:szCs w:val="18"/>
                <w:vertAlign w:val="superscript"/>
              </w:rPr>
              <w:t>**</w:t>
            </w:r>
          </w:p>
        </w:tc>
        <w:tc>
          <w:tcPr>
            <w:tcW w:w="1244" w:type="dxa"/>
            <w:tcBorders>
              <w:top w:val="single" w:sz="4" w:space="0" w:color="auto"/>
              <w:left w:val="nil"/>
              <w:bottom w:val="nil"/>
            </w:tcBorders>
            <w:shd w:val="clear" w:color="000000" w:fill="A6A6A6"/>
            <w:noWrap/>
            <w:vAlign w:val="center"/>
            <w:hideMark/>
          </w:tcPr>
          <w:p w14:paraId="52589EB4"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5" w:type="dxa"/>
            <w:tcBorders>
              <w:top w:val="single" w:sz="4" w:space="0" w:color="auto"/>
              <w:bottom w:val="nil"/>
            </w:tcBorders>
            <w:shd w:val="clear" w:color="000000" w:fill="A6A6A6"/>
            <w:noWrap/>
            <w:vAlign w:val="center"/>
            <w:hideMark/>
          </w:tcPr>
          <w:p w14:paraId="2CCD3BB5"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single" w:sz="4" w:space="0" w:color="auto"/>
              <w:bottom w:val="nil"/>
            </w:tcBorders>
            <w:shd w:val="clear" w:color="000000" w:fill="A6A6A6"/>
            <w:noWrap/>
            <w:vAlign w:val="center"/>
            <w:hideMark/>
          </w:tcPr>
          <w:p w14:paraId="587850D7"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single" w:sz="4" w:space="0" w:color="auto"/>
              <w:bottom w:val="nil"/>
            </w:tcBorders>
            <w:shd w:val="clear" w:color="000000" w:fill="A6A6A6"/>
            <w:noWrap/>
            <w:vAlign w:val="center"/>
            <w:hideMark/>
          </w:tcPr>
          <w:p w14:paraId="1AC229E4"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5" w:type="dxa"/>
            <w:tcBorders>
              <w:top w:val="single" w:sz="4" w:space="0" w:color="auto"/>
              <w:bottom w:val="nil"/>
            </w:tcBorders>
            <w:shd w:val="clear" w:color="000000" w:fill="A6A6A6"/>
            <w:noWrap/>
            <w:vAlign w:val="center"/>
            <w:hideMark/>
          </w:tcPr>
          <w:p w14:paraId="25CDC4E1"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single" w:sz="4" w:space="0" w:color="auto"/>
              <w:bottom w:val="nil"/>
            </w:tcBorders>
            <w:shd w:val="clear" w:color="000000" w:fill="A6A6A6"/>
            <w:noWrap/>
            <w:vAlign w:val="center"/>
            <w:hideMark/>
          </w:tcPr>
          <w:p w14:paraId="6206B64A"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single" w:sz="4" w:space="0" w:color="auto"/>
              <w:left w:val="nil"/>
              <w:bottom w:val="nil"/>
            </w:tcBorders>
            <w:shd w:val="clear" w:color="000000" w:fill="A6A6A6"/>
            <w:noWrap/>
            <w:vAlign w:val="center"/>
            <w:hideMark/>
          </w:tcPr>
          <w:p w14:paraId="368C2AD2"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5" w:type="dxa"/>
            <w:tcBorders>
              <w:top w:val="single" w:sz="4" w:space="0" w:color="auto"/>
              <w:bottom w:val="nil"/>
            </w:tcBorders>
            <w:shd w:val="clear" w:color="000000" w:fill="A6A6A6"/>
            <w:noWrap/>
            <w:vAlign w:val="center"/>
            <w:hideMark/>
          </w:tcPr>
          <w:p w14:paraId="3A539062"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r>
      <w:tr w:rsidR="00824C53" w:rsidRPr="00824C53" w14:paraId="5D797C06" w14:textId="77777777" w:rsidTr="00824C53">
        <w:trPr>
          <w:trHeight w:val="300"/>
        </w:trPr>
        <w:tc>
          <w:tcPr>
            <w:tcW w:w="1843" w:type="dxa"/>
            <w:tcBorders>
              <w:top w:val="nil"/>
              <w:left w:val="nil"/>
              <w:bottom w:val="nil"/>
              <w:right w:val="nil"/>
            </w:tcBorders>
            <w:shd w:val="clear" w:color="auto" w:fill="auto"/>
            <w:noWrap/>
            <w:vAlign w:val="bottom"/>
            <w:hideMark/>
          </w:tcPr>
          <w:p w14:paraId="75AE893F"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n=55</w:t>
            </w:r>
          </w:p>
        </w:tc>
        <w:tc>
          <w:tcPr>
            <w:tcW w:w="2126" w:type="dxa"/>
            <w:tcBorders>
              <w:top w:val="nil"/>
              <w:left w:val="nil"/>
              <w:bottom w:val="nil"/>
              <w:right w:val="single" w:sz="4" w:space="0" w:color="auto"/>
            </w:tcBorders>
            <w:shd w:val="clear" w:color="auto" w:fill="auto"/>
            <w:hideMark/>
          </w:tcPr>
          <w:p w14:paraId="43D43E1B"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SAPROF External</w:t>
            </w:r>
          </w:p>
        </w:tc>
        <w:tc>
          <w:tcPr>
            <w:tcW w:w="1244" w:type="dxa"/>
            <w:tcBorders>
              <w:top w:val="nil"/>
              <w:left w:val="single" w:sz="4" w:space="0" w:color="auto"/>
              <w:bottom w:val="nil"/>
              <w:right w:val="single" w:sz="4" w:space="0" w:color="000000"/>
            </w:tcBorders>
            <w:shd w:val="clear" w:color="auto" w:fill="auto"/>
            <w:noWrap/>
            <w:vAlign w:val="center"/>
            <w:hideMark/>
          </w:tcPr>
          <w:p w14:paraId="405F7457"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.08</w:t>
            </w:r>
          </w:p>
        </w:tc>
        <w:tc>
          <w:tcPr>
            <w:tcW w:w="1244" w:type="dxa"/>
            <w:tcBorders>
              <w:top w:val="nil"/>
              <w:left w:val="nil"/>
              <w:bottom w:val="nil"/>
            </w:tcBorders>
            <w:shd w:val="clear" w:color="auto" w:fill="auto"/>
            <w:noWrap/>
            <w:vAlign w:val="center"/>
            <w:hideMark/>
          </w:tcPr>
          <w:p w14:paraId="28FF01FA"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.09</w:t>
            </w:r>
          </w:p>
        </w:tc>
        <w:tc>
          <w:tcPr>
            <w:tcW w:w="1245" w:type="dxa"/>
            <w:tcBorders>
              <w:top w:val="nil"/>
              <w:bottom w:val="nil"/>
            </w:tcBorders>
            <w:shd w:val="clear" w:color="000000" w:fill="A6A6A6"/>
            <w:noWrap/>
            <w:vAlign w:val="center"/>
            <w:hideMark/>
          </w:tcPr>
          <w:p w14:paraId="59FB9B87"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nil"/>
              <w:bottom w:val="nil"/>
            </w:tcBorders>
            <w:shd w:val="clear" w:color="000000" w:fill="A6A6A6"/>
            <w:noWrap/>
            <w:vAlign w:val="center"/>
            <w:hideMark/>
          </w:tcPr>
          <w:p w14:paraId="248A5D5D"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nil"/>
              <w:bottom w:val="nil"/>
            </w:tcBorders>
            <w:shd w:val="clear" w:color="000000" w:fill="A6A6A6"/>
            <w:noWrap/>
            <w:vAlign w:val="center"/>
            <w:hideMark/>
          </w:tcPr>
          <w:p w14:paraId="6B2C9206"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5" w:type="dxa"/>
            <w:tcBorders>
              <w:top w:val="nil"/>
              <w:bottom w:val="nil"/>
            </w:tcBorders>
            <w:shd w:val="clear" w:color="000000" w:fill="A6A6A6"/>
            <w:noWrap/>
            <w:vAlign w:val="center"/>
            <w:hideMark/>
          </w:tcPr>
          <w:p w14:paraId="27EAD6D5"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nil"/>
              <w:bottom w:val="nil"/>
            </w:tcBorders>
            <w:shd w:val="clear" w:color="000000" w:fill="A6A6A6"/>
            <w:noWrap/>
            <w:vAlign w:val="center"/>
            <w:hideMark/>
          </w:tcPr>
          <w:p w14:paraId="77407D85"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nil"/>
              <w:left w:val="nil"/>
              <w:bottom w:val="nil"/>
            </w:tcBorders>
            <w:shd w:val="clear" w:color="000000" w:fill="A6A6A6"/>
            <w:noWrap/>
            <w:vAlign w:val="center"/>
            <w:hideMark/>
          </w:tcPr>
          <w:p w14:paraId="001C56D9"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5" w:type="dxa"/>
            <w:tcBorders>
              <w:top w:val="nil"/>
              <w:bottom w:val="nil"/>
            </w:tcBorders>
            <w:shd w:val="clear" w:color="000000" w:fill="A6A6A6"/>
            <w:noWrap/>
            <w:vAlign w:val="center"/>
            <w:hideMark/>
          </w:tcPr>
          <w:p w14:paraId="5A3C7C4D"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r>
      <w:tr w:rsidR="00824C53" w:rsidRPr="00824C53" w14:paraId="21EBE8EA" w14:textId="77777777" w:rsidTr="00824C53">
        <w:trPr>
          <w:trHeight w:val="300"/>
        </w:trPr>
        <w:tc>
          <w:tcPr>
            <w:tcW w:w="1843" w:type="dxa"/>
            <w:tcBorders>
              <w:top w:val="nil"/>
              <w:left w:val="nil"/>
              <w:bottom w:val="nil"/>
              <w:right w:val="nil"/>
            </w:tcBorders>
            <w:shd w:val="clear" w:color="auto" w:fill="auto"/>
            <w:noWrap/>
            <w:vAlign w:val="bottom"/>
            <w:hideMark/>
          </w:tcPr>
          <w:p w14:paraId="1897E98B" w14:textId="77777777" w:rsidR="00824C53" w:rsidRPr="00824C53" w:rsidRDefault="00824C53" w:rsidP="00B10D1C">
            <w:pPr>
              <w:spacing w:after="0" w:line="480" w:lineRule="auto"/>
              <w:rPr>
                <w:rFonts w:asciiTheme="minorHAnsi" w:eastAsia="Times New Roman" w:hAnsiTheme="minorHAnsi" w:cs="Arial"/>
                <w:color w:val="000000"/>
                <w:sz w:val="18"/>
                <w:szCs w:val="18"/>
              </w:rPr>
            </w:pPr>
          </w:p>
        </w:tc>
        <w:tc>
          <w:tcPr>
            <w:tcW w:w="2126" w:type="dxa"/>
            <w:tcBorders>
              <w:top w:val="nil"/>
              <w:left w:val="nil"/>
              <w:bottom w:val="nil"/>
              <w:right w:val="single" w:sz="4" w:space="0" w:color="auto"/>
            </w:tcBorders>
            <w:shd w:val="clear" w:color="auto" w:fill="auto"/>
            <w:hideMark/>
          </w:tcPr>
          <w:p w14:paraId="16E73A89"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SAPROF Total</w:t>
            </w:r>
          </w:p>
        </w:tc>
        <w:tc>
          <w:tcPr>
            <w:tcW w:w="1244" w:type="dxa"/>
            <w:tcBorders>
              <w:top w:val="nil"/>
              <w:left w:val="single" w:sz="4" w:space="0" w:color="auto"/>
              <w:bottom w:val="nil"/>
              <w:right w:val="single" w:sz="4" w:space="0" w:color="000000"/>
            </w:tcBorders>
            <w:shd w:val="clear" w:color="auto" w:fill="auto"/>
            <w:noWrap/>
            <w:vAlign w:val="center"/>
            <w:hideMark/>
          </w:tcPr>
          <w:p w14:paraId="3FBD66B9"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.81</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right w:val="single" w:sz="4" w:space="0" w:color="000000"/>
            </w:tcBorders>
            <w:shd w:val="clear" w:color="auto" w:fill="auto"/>
            <w:noWrap/>
            <w:vAlign w:val="center"/>
            <w:hideMark/>
          </w:tcPr>
          <w:p w14:paraId="601A8F96"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.89</w:t>
            </w:r>
            <w:r w:rsidRPr="00824C53">
              <w:rPr>
                <w:rFonts w:asciiTheme="minorHAnsi" w:eastAsia="Times New Roman" w:hAnsiTheme="minorHAnsi" w:cs="Arial"/>
                <w:color w:val="000000"/>
                <w:sz w:val="18"/>
                <w:szCs w:val="18"/>
                <w:vertAlign w:val="superscript"/>
              </w:rPr>
              <w:t>**</w:t>
            </w:r>
          </w:p>
        </w:tc>
        <w:tc>
          <w:tcPr>
            <w:tcW w:w="1245" w:type="dxa"/>
            <w:tcBorders>
              <w:top w:val="nil"/>
              <w:left w:val="nil"/>
              <w:bottom w:val="nil"/>
            </w:tcBorders>
            <w:shd w:val="clear" w:color="auto" w:fill="auto"/>
            <w:noWrap/>
            <w:vAlign w:val="center"/>
            <w:hideMark/>
          </w:tcPr>
          <w:p w14:paraId="76035929"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.34</w:t>
            </w:r>
            <w:r w:rsidRPr="00824C53">
              <w:rPr>
                <w:rFonts w:asciiTheme="minorHAnsi" w:eastAsia="Times New Roman" w:hAnsiTheme="minorHAnsi" w:cs="Arial"/>
                <w:color w:val="000000"/>
                <w:sz w:val="18"/>
                <w:szCs w:val="18"/>
                <w:vertAlign w:val="superscript"/>
              </w:rPr>
              <w:t>*</w:t>
            </w:r>
          </w:p>
        </w:tc>
        <w:tc>
          <w:tcPr>
            <w:tcW w:w="1244" w:type="dxa"/>
            <w:tcBorders>
              <w:top w:val="nil"/>
              <w:bottom w:val="nil"/>
            </w:tcBorders>
            <w:shd w:val="clear" w:color="000000" w:fill="A6A6A6"/>
            <w:noWrap/>
            <w:vAlign w:val="center"/>
            <w:hideMark/>
          </w:tcPr>
          <w:p w14:paraId="79807AC5"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nil"/>
              <w:bottom w:val="nil"/>
            </w:tcBorders>
            <w:shd w:val="clear" w:color="000000" w:fill="A6A6A6"/>
            <w:noWrap/>
            <w:vAlign w:val="center"/>
            <w:hideMark/>
          </w:tcPr>
          <w:p w14:paraId="50F2C197"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5" w:type="dxa"/>
            <w:tcBorders>
              <w:top w:val="nil"/>
              <w:bottom w:val="nil"/>
            </w:tcBorders>
            <w:shd w:val="clear" w:color="000000" w:fill="A6A6A6"/>
            <w:noWrap/>
            <w:vAlign w:val="center"/>
            <w:hideMark/>
          </w:tcPr>
          <w:p w14:paraId="0BF99899"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nil"/>
              <w:bottom w:val="nil"/>
            </w:tcBorders>
            <w:shd w:val="clear" w:color="000000" w:fill="A6A6A6"/>
            <w:noWrap/>
            <w:vAlign w:val="center"/>
            <w:hideMark/>
          </w:tcPr>
          <w:p w14:paraId="015FD7CA"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nil"/>
              <w:left w:val="nil"/>
              <w:bottom w:val="nil"/>
            </w:tcBorders>
            <w:shd w:val="clear" w:color="000000" w:fill="A6A6A6"/>
            <w:noWrap/>
            <w:vAlign w:val="center"/>
            <w:hideMark/>
          </w:tcPr>
          <w:p w14:paraId="54E60852"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5" w:type="dxa"/>
            <w:tcBorders>
              <w:top w:val="nil"/>
              <w:bottom w:val="nil"/>
            </w:tcBorders>
            <w:shd w:val="clear" w:color="000000" w:fill="A6A6A6"/>
            <w:noWrap/>
            <w:vAlign w:val="center"/>
            <w:hideMark/>
          </w:tcPr>
          <w:p w14:paraId="17DA0484"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r>
      <w:tr w:rsidR="00824C53" w:rsidRPr="00824C53" w14:paraId="4C90CCB3" w14:textId="77777777" w:rsidTr="00824C53">
        <w:trPr>
          <w:trHeight w:val="300"/>
        </w:trPr>
        <w:tc>
          <w:tcPr>
            <w:tcW w:w="1843" w:type="dxa"/>
            <w:tcBorders>
              <w:top w:val="nil"/>
              <w:left w:val="nil"/>
              <w:bottom w:val="nil"/>
              <w:right w:val="nil"/>
            </w:tcBorders>
            <w:shd w:val="clear" w:color="auto" w:fill="auto"/>
            <w:noWrap/>
            <w:vAlign w:val="bottom"/>
            <w:hideMark/>
          </w:tcPr>
          <w:p w14:paraId="72530BE2" w14:textId="77777777" w:rsidR="00824C53" w:rsidRPr="00824C53" w:rsidRDefault="00824C53" w:rsidP="00B10D1C">
            <w:pPr>
              <w:spacing w:after="0" w:line="480" w:lineRule="auto"/>
              <w:rPr>
                <w:rFonts w:asciiTheme="minorHAnsi" w:eastAsia="Times New Roman" w:hAnsiTheme="minorHAnsi" w:cs="Arial"/>
                <w:color w:val="000000"/>
                <w:sz w:val="18"/>
                <w:szCs w:val="18"/>
              </w:rPr>
            </w:pPr>
          </w:p>
        </w:tc>
        <w:tc>
          <w:tcPr>
            <w:tcW w:w="2126" w:type="dxa"/>
            <w:tcBorders>
              <w:top w:val="nil"/>
              <w:left w:val="nil"/>
              <w:bottom w:val="nil"/>
              <w:right w:val="single" w:sz="4" w:space="0" w:color="auto"/>
            </w:tcBorders>
            <w:shd w:val="clear" w:color="auto" w:fill="auto"/>
            <w:hideMark/>
          </w:tcPr>
          <w:p w14:paraId="76FBC3C0"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HCR20 Historical</w:t>
            </w:r>
          </w:p>
        </w:tc>
        <w:tc>
          <w:tcPr>
            <w:tcW w:w="1244" w:type="dxa"/>
            <w:tcBorders>
              <w:top w:val="nil"/>
              <w:left w:val="single" w:sz="4" w:space="0" w:color="auto"/>
              <w:bottom w:val="nil"/>
              <w:right w:val="single" w:sz="4" w:space="0" w:color="000000"/>
            </w:tcBorders>
            <w:shd w:val="clear" w:color="auto" w:fill="auto"/>
            <w:noWrap/>
            <w:vAlign w:val="center"/>
            <w:hideMark/>
          </w:tcPr>
          <w:p w14:paraId="33919742"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-.70</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right w:val="single" w:sz="4" w:space="0" w:color="000000"/>
            </w:tcBorders>
            <w:shd w:val="clear" w:color="auto" w:fill="auto"/>
            <w:noWrap/>
            <w:vAlign w:val="center"/>
            <w:hideMark/>
          </w:tcPr>
          <w:p w14:paraId="73649837"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-.42</w:t>
            </w:r>
            <w:r w:rsidRPr="00824C53">
              <w:rPr>
                <w:rFonts w:asciiTheme="minorHAnsi" w:eastAsia="Times New Roman" w:hAnsiTheme="minorHAnsi" w:cs="Arial"/>
                <w:color w:val="000000"/>
                <w:sz w:val="18"/>
                <w:szCs w:val="18"/>
                <w:vertAlign w:val="superscript"/>
              </w:rPr>
              <w:t>**</w:t>
            </w:r>
          </w:p>
        </w:tc>
        <w:tc>
          <w:tcPr>
            <w:tcW w:w="1245" w:type="dxa"/>
            <w:tcBorders>
              <w:top w:val="nil"/>
              <w:left w:val="nil"/>
              <w:bottom w:val="nil"/>
              <w:right w:val="single" w:sz="4" w:space="0" w:color="000000"/>
            </w:tcBorders>
            <w:shd w:val="clear" w:color="auto" w:fill="auto"/>
            <w:noWrap/>
            <w:vAlign w:val="center"/>
            <w:hideMark/>
          </w:tcPr>
          <w:p w14:paraId="75305CA1"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-.02</w:t>
            </w:r>
          </w:p>
        </w:tc>
        <w:tc>
          <w:tcPr>
            <w:tcW w:w="1244" w:type="dxa"/>
            <w:tcBorders>
              <w:top w:val="nil"/>
              <w:left w:val="nil"/>
              <w:bottom w:val="nil"/>
            </w:tcBorders>
            <w:shd w:val="clear" w:color="auto" w:fill="auto"/>
            <w:noWrap/>
            <w:vAlign w:val="center"/>
            <w:hideMark/>
          </w:tcPr>
          <w:p w14:paraId="5B5E86FF"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-.57</w:t>
            </w:r>
            <w:r w:rsidRPr="00824C53">
              <w:rPr>
                <w:rFonts w:asciiTheme="minorHAnsi" w:eastAsia="Times New Roman" w:hAnsiTheme="minorHAnsi" w:cs="Arial"/>
                <w:color w:val="000000"/>
                <w:sz w:val="18"/>
                <w:szCs w:val="18"/>
                <w:vertAlign w:val="superscript"/>
              </w:rPr>
              <w:t>**</w:t>
            </w:r>
          </w:p>
        </w:tc>
        <w:tc>
          <w:tcPr>
            <w:tcW w:w="1244" w:type="dxa"/>
            <w:tcBorders>
              <w:top w:val="nil"/>
              <w:bottom w:val="nil"/>
            </w:tcBorders>
            <w:shd w:val="clear" w:color="000000" w:fill="A6A6A6"/>
            <w:noWrap/>
            <w:vAlign w:val="center"/>
            <w:hideMark/>
          </w:tcPr>
          <w:p w14:paraId="546DBDE0"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5" w:type="dxa"/>
            <w:tcBorders>
              <w:top w:val="nil"/>
              <w:bottom w:val="nil"/>
            </w:tcBorders>
            <w:shd w:val="clear" w:color="000000" w:fill="A6A6A6"/>
            <w:noWrap/>
            <w:vAlign w:val="center"/>
            <w:hideMark/>
          </w:tcPr>
          <w:p w14:paraId="111A2108"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nil"/>
              <w:bottom w:val="nil"/>
            </w:tcBorders>
            <w:shd w:val="clear" w:color="000000" w:fill="A6A6A6"/>
            <w:noWrap/>
            <w:vAlign w:val="center"/>
            <w:hideMark/>
          </w:tcPr>
          <w:p w14:paraId="3271DD8A"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nil"/>
              <w:left w:val="nil"/>
              <w:bottom w:val="nil"/>
            </w:tcBorders>
            <w:shd w:val="clear" w:color="000000" w:fill="A6A6A6"/>
            <w:noWrap/>
            <w:vAlign w:val="center"/>
            <w:hideMark/>
          </w:tcPr>
          <w:p w14:paraId="554CC25C"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5" w:type="dxa"/>
            <w:tcBorders>
              <w:top w:val="nil"/>
              <w:bottom w:val="nil"/>
            </w:tcBorders>
            <w:shd w:val="clear" w:color="000000" w:fill="A6A6A6"/>
            <w:noWrap/>
            <w:vAlign w:val="center"/>
            <w:hideMark/>
          </w:tcPr>
          <w:p w14:paraId="7CC92B58"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r>
      <w:tr w:rsidR="00824C53" w:rsidRPr="00824C53" w14:paraId="54986C71" w14:textId="77777777" w:rsidTr="00824C53">
        <w:trPr>
          <w:trHeight w:val="300"/>
        </w:trPr>
        <w:tc>
          <w:tcPr>
            <w:tcW w:w="1843" w:type="dxa"/>
            <w:tcBorders>
              <w:top w:val="nil"/>
              <w:left w:val="nil"/>
              <w:bottom w:val="nil"/>
              <w:right w:val="nil"/>
            </w:tcBorders>
            <w:shd w:val="clear" w:color="auto" w:fill="auto"/>
            <w:noWrap/>
            <w:vAlign w:val="bottom"/>
            <w:hideMark/>
          </w:tcPr>
          <w:p w14:paraId="6A09C112" w14:textId="77777777" w:rsidR="00824C53" w:rsidRPr="00824C53" w:rsidRDefault="00824C53" w:rsidP="00B10D1C">
            <w:pPr>
              <w:spacing w:after="0" w:line="480" w:lineRule="auto"/>
              <w:rPr>
                <w:rFonts w:asciiTheme="minorHAnsi" w:eastAsia="Times New Roman" w:hAnsiTheme="minorHAnsi" w:cs="Arial"/>
                <w:color w:val="000000"/>
                <w:sz w:val="18"/>
                <w:szCs w:val="18"/>
              </w:rPr>
            </w:pPr>
          </w:p>
        </w:tc>
        <w:tc>
          <w:tcPr>
            <w:tcW w:w="2126" w:type="dxa"/>
            <w:tcBorders>
              <w:top w:val="nil"/>
              <w:left w:val="nil"/>
              <w:bottom w:val="nil"/>
              <w:right w:val="single" w:sz="4" w:space="0" w:color="auto"/>
            </w:tcBorders>
            <w:shd w:val="clear" w:color="auto" w:fill="auto"/>
            <w:hideMark/>
          </w:tcPr>
          <w:p w14:paraId="1340CBC6"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HCR20 Clinical</w:t>
            </w:r>
          </w:p>
        </w:tc>
        <w:tc>
          <w:tcPr>
            <w:tcW w:w="1244" w:type="dxa"/>
            <w:tcBorders>
              <w:top w:val="nil"/>
              <w:left w:val="single" w:sz="4" w:space="0" w:color="auto"/>
              <w:bottom w:val="nil"/>
              <w:right w:val="single" w:sz="4" w:space="0" w:color="000000"/>
            </w:tcBorders>
            <w:shd w:val="clear" w:color="auto" w:fill="auto"/>
            <w:noWrap/>
            <w:vAlign w:val="center"/>
            <w:hideMark/>
          </w:tcPr>
          <w:p w14:paraId="37D6248D"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-.54</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right w:val="single" w:sz="4" w:space="0" w:color="000000"/>
            </w:tcBorders>
            <w:shd w:val="clear" w:color="auto" w:fill="auto"/>
            <w:noWrap/>
            <w:vAlign w:val="center"/>
            <w:hideMark/>
          </w:tcPr>
          <w:p w14:paraId="2D4502DA"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-.68</w:t>
            </w:r>
            <w:r w:rsidRPr="00824C53">
              <w:rPr>
                <w:rFonts w:asciiTheme="minorHAnsi" w:eastAsia="Times New Roman" w:hAnsiTheme="minorHAnsi" w:cs="Arial"/>
                <w:color w:val="000000"/>
                <w:sz w:val="18"/>
                <w:szCs w:val="18"/>
                <w:vertAlign w:val="superscript"/>
              </w:rPr>
              <w:t>**</w:t>
            </w:r>
          </w:p>
        </w:tc>
        <w:tc>
          <w:tcPr>
            <w:tcW w:w="1245" w:type="dxa"/>
            <w:tcBorders>
              <w:top w:val="nil"/>
              <w:left w:val="nil"/>
              <w:bottom w:val="nil"/>
              <w:right w:val="single" w:sz="4" w:space="0" w:color="000000"/>
            </w:tcBorders>
            <w:shd w:val="clear" w:color="auto" w:fill="auto"/>
            <w:noWrap/>
            <w:vAlign w:val="center"/>
            <w:hideMark/>
          </w:tcPr>
          <w:p w14:paraId="4B8B1F90"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.04</w:t>
            </w:r>
          </w:p>
        </w:tc>
        <w:tc>
          <w:tcPr>
            <w:tcW w:w="1244" w:type="dxa"/>
            <w:tcBorders>
              <w:top w:val="nil"/>
              <w:left w:val="nil"/>
              <w:bottom w:val="nil"/>
              <w:right w:val="single" w:sz="8" w:space="0" w:color="auto"/>
            </w:tcBorders>
            <w:shd w:val="clear" w:color="auto" w:fill="auto"/>
            <w:noWrap/>
            <w:vAlign w:val="center"/>
            <w:hideMark/>
          </w:tcPr>
          <w:p w14:paraId="3346C442"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-.65</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tcBorders>
            <w:shd w:val="clear" w:color="auto" w:fill="auto"/>
            <w:noWrap/>
            <w:vAlign w:val="center"/>
            <w:hideMark/>
          </w:tcPr>
          <w:p w14:paraId="3CE3F5DD"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.45</w:t>
            </w:r>
            <w:r w:rsidRPr="00824C53">
              <w:rPr>
                <w:rFonts w:asciiTheme="minorHAnsi" w:eastAsia="Times New Roman" w:hAnsiTheme="minorHAnsi" w:cs="Arial"/>
                <w:color w:val="000000"/>
                <w:sz w:val="18"/>
                <w:szCs w:val="18"/>
                <w:vertAlign w:val="superscript"/>
              </w:rPr>
              <w:t>**</w:t>
            </w:r>
          </w:p>
        </w:tc>
        <w:tc>
          <w:tcPr>
            <w:tcW w:w="1245" w:type="dxa"/>
            <w:tcBorders>
              <w:top w:val="nil"/>
              <w:bottom w:val="nil"/>
            </w:tcBorders>
            <w:shd w:val="clear" w:color="000000" w:fill="A6A6A6"/>
            <w:noWrap/>
            <w:vAlign w:val="center"/>
            <w:hideMark/>
          </w:tcPr>
          <w:p w14:paraId="105BE99E"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nil"/>
              <w:bottom w:val="nil"/>
            </w:tcBorders>
            <w:shd w:val="clear" w:color="000000" w:fill="A6A6A6"/>
            <w:noWrap/>
            <w:vAlign w:val="center"/>
            <w:hideMark/>
          </w:tcPr>
          <w:p w14:paraId="311E0D12"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nil"/>
              <w:left w:val="nil"/>
              <w:bottom w:val="nil"/>
            </w:tcBorders>
            <w:shd w:val="clear" w:color="000000" w:fill="A6A6A6"/>
            <w:noWrap/>
            <w:vAlign w:val="center"/>
            <w:hideMark/>
          </w:tcPr>
          <w:p w14:paraId="68E827A1"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5" w:type="dxa"/>
            <w:tcBorders>
              <w:top w:val="nil"/>
              <w:bottom w:val="nil"/>
            </w:tcBorders>
            <w:shd w:val="clear" w:color="000000" w:fill="A6A6A6"/>
            <w:noWrap/>
            <w:vAlign w:val="center"/>
            <w:hideMark/>
          </w:tcPr>
          <w:p w14:paraId="2D453F41"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r>
      <w:tr w:rsidR="00824C53" w:rsidRPr="00824C53" w14:paraId="5D036B6F" w14:textId="77777777" w:rsidTr="00824C53">
        <w:trPr>
          <w:trHeight w:val="300"/>
        </w:trPr>
        <w:tc>
          <w:tcPr>
            <w:tcW w:w="1843" w:type="dxa"/>
            <w:tcBorders>
              <w:top w:val="nil"/>
              <w:left w:val="nil"/>
              <w:bottom w:val="nil"/>
              <w:right w:val="nil"/>
            </w:tcBorders>
            <w:shd w:val="clear" w:color="auto" w:fill="auto"/>
            <w:noWrap/>
            <w:vAlign w:val="bottom"/>
            <w:hideMark/>
          </w:tcPr>
          <w:p w14:paraId="7684FDFE" w14:textId="77777777" w:rsidR="00824C53" w:rsidRPr="00824C53" w:rsidRDefault="00824C53" w:rsidP="00B10D1C">
            <w:pPr>
              <w:spacing w:after="0" w:line="480" w:lineRule="auto"/>
              <w:rPr>
                <w:rFonts w:asciiTheme="minorHAnsi" w:eastAsia="Times New Roman" w:hAnsiTheme="minorHAnsi" w:cs="Arial"/>
                <w:color w:val="000000"/>
                <w:sz w:val="18"/>
                <w:szCs w:val="18"/>
              </w:rPr>
            </w:pPr>
          </w:p>
        </w:tc>
        <w:tc>
          <w:tcPr>
            <w:tcW w:w="2126" w:type="dxa"/>
            <w:tcBorders>
              <w:top w:val="nil"/>
              <w:left w:val="nil"/>
              <w:bottom w:val="nil"/>
              <w:right w:val="single" w:sz="4" w:space="0" w:color="auto"/>
            </w:tcBorders>
            <w:shd w:val="clear" w:color="auto" w:fill="auto"/>
            <w:hideMark/>
          </w:tcPr>
          <w:p w14:paraId="6710FC65"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HCR20 Risk</w:t>
            </w:r>
          </w:p>
        </w:tc>
        <w:tc>
          <w:tcPr>
            <w:tcW w:w="1244" w:type="dxa"/>
            <w:tcBorders>
              <w:top w:val="nil"/>
              <w:left w:val="single" w:sz="4" w:space="0" w:color="auto"/>
              <w:bottom w:val="nil"/>
              <w:right w:val="single" w:sz="4" w:space="0" w:color="000000"/>
            </w:tcBorders>
            <w:shd w:val="clear" w:color="auto" w:fill="auto"/>
            <w:noWrap/>
            <w:vAlign w:val="center"/>
            <w:hideMark/>
          </w:tcPr>
          <w:p w14:paraId="11AFAA1A"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-.56</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right w:val="single" w:sz="4" w:space="0" w:color="000000"/>
            </w:tcBorders>
            <w:shd w:val="clear" w:color="auto" w:fill="auto"/>
            <w:noWrap/>
            <w:vAlign w:val="center"/>
            <w:hideMark/>
          </w:tcPr>
          <w:p w14:paraId="1B1D6125"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-.72</w:t>
            </w:r>
            <w:r w:rsidRPr="00824C53">
              <w:rPr>
                <w:rFonts w:asciiTheme="minorHAnsi" w:eastAsia="Times New Roman" w:hAnsiTheme="minorHAnsi" w:cs="Arial"/>
                <w:color w:val="000000"/>
                <w:sz w:val="18"/>
                <w:szCs w:val="18"/>
                <w:vertAlign w:val="superscript"/>
              </w:rPr>
              <w:t>**</w:t>
            </w:r>
          </w:p>
        </w:tc>
        <w:tc>
          <w:tcPr>
            <w:tcW w:w="1245" w:type="dxa"/>
            <w:tcBorders>
              <w:top w:val="nil"/>
              <w:left w:val="nil"/>
              <w:bottom w:val="nil"/>
              <w:right w:val="single" w:sz="4" w:space="0" w:color="000000"/>
            </w:tcBorders>
            <w:shd w:val="clear" w:color="auto" w:fill="auto"/>
            <w:noWrap/>
            <w:vAlign w:val="center"/>
            <w:hideMark/>
          </w:tcPr>
          <w:p w14:paraId="512476AC"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-.22</w:t>
            </w:r>
          </w:p>
        </w:tc>
        <w:tc>
          <w:tcPr>
            <w:tcW w:w="1244" w:type="dxa"/>
            <w:tcBorders>
              <w:top w:val="nil"/>
              <w:left w:val="nil"/>
              <w:bottom w:val="nil"/>
              <w:right w:val="single" w:sz="8" w:space="0" w:color="auto"/>
            </w:tcBorders>
            <w:shd w:val="clear" w:color="auto" w:fill="auto"/>
            <w:noWrap/>
            <w:vAlign w:val="center"/>
            <w:hideMark/>
          </w:tcPr>
          <w:p w14:paraId="7EE98118"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-.75</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right w:val="single" w:sz="4" w:space="0" w:color="000000"/>
            </w:tcBorders>
            <w:shd w:val="clear" w:color="auto" w:fill="auto"/>
            <w:noWrap/>
            <w:vAlign w:val="center"/>
            <w:hideMark/>
          </w:tcPr>
          <w:p w14:paraId="5F0A630A"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.32</w:t>
            </w:r>
            <w:r w:rsidRPr="00824C53">
              <w:rPr>
                <w:rFonts w:asciiTheme="minorHAnsi" w:eastAsia="Times New Roman" w:hAnsiTheme="minorHAnsi" w:cs="Arial"/>
                <w:color w:val="000000"/>
                <w:sz w:val="18"/>
                <w:szCs w:val="18"/>
                <w:vertAlign w:val="superscript"/>
              </w:rPr>
              <w:t>*</w:t>
            </w:r>
          </w:p>
        </w:tc>
        <w:tc>
          <w:tcPr>
            <w:tcW w:w="1245" w:type="dxa"/>
            <w:tcBorders>
              <w:top w:val="nil"/>
              <w:left w:val="nil"/>
              <w:bottom w:val="nil"/>
            </w:tcBorders>
            <w:shd w:val="clear" w:color="auto" w:fill="auto"/>
            <w:noWrap/>
            <w:vAlign w:val="center"/>
            <w:hideMark/>
          </w:tcPr>
          <w:p w14:paraId="2C865113"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.71</w:t>
            </w:r>
            <w:r w:rsidRPr="00824C53">
              <w:rPr>
                <w:rFonts w:asciiTheme="minorHAnsi" w:eastAsia="Times New Roman" w:hAnsiTheme="minorHAnsi" w:cs="Arial"/>
                <w:color w:val="000000"/>
                <w:sz w:val="18"/>
                <w:szCs w:val="18"/>
                <w:vertAlign w:val="superscript"/>
              </w:rPr>
              <w:t>**</w:t>
            </w:r>
          </w:p>
        </w:tc>
        <w:tc>
          <w:tcPr>
            <w:tcW w:w="1244" w:type="dxa"/>
            <w:tcBorders>
              <w:top w:val="nil"/>
              <w:bottom w:val="nil"/>
            </w:tcBorders>
            <w:shd w:val="clear" w:color="000000" w:fill="A6A6A6"/>
            <w:noWrap/>
            <w:vAlign w:val="center"/>
            <w:hideMark/>
          </w:tcPr>
          <w:p w14:paraId="37E10298"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nil"/>
              <w:left w:val="nil"/>
              <w:bottom w:val="nil"/>
            </w:tcBorders>
            <w:shd w:val="clear" w:color="000000" w:fill="A6A6A6"/>
            <w:noWrap/>
            <w:vAlign w:val="center"/>
            <w:hideMark/>
          </w:tcPr>
          <w:p w14:paraId="4E2D6001"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5" w:type="dxa"/>
            <w:tcBorders>
              <w:top w:val="nil"/>
              <w:bottom w:val="nil"/>
            </w:tcBorders>
            <w:shd w:val="clear" w:color="000000" w:fill="A6A6A6"/>
            <w:noWrap/>
            <w:vAlign w:val="center"/>
            <w:hideMark/>
          </w:tcPr>
          <w:p w14:paraId="3DC8D796"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r>
      <w:tr w:rsidR="00824C53" w:rsidRPr="00824C53" w14:paraId="3E14D4F2" w14:textId="77777777" w:rsidTr="00824C53">
        <w:trPr>
          <w:trHeight w:val="300"/>
        </w:trPr>
        <w:tc>
          <w:tcPr>
            <w:tcW w:w="1843" w:type="dxa"/>
            <w:tcBorders>
              <w:top w:val="nil"/>
              <w:left w:val="nil"/>
              <w:bottom w:val="nil"/>
              <w:right w:val="nil"/>
            </w:tcBorders>
            <w:shd w:val="clear" w:color="auto" w:fill="auto"/>
            <w:noWrap/>
            <w:vAlign w:val="bottom"/>
            <w:hideMark/>
          </w:tcPr>
          <w:p w14:paraId="673D6846" w14:textId="77777777" w:rsidR="00824C53" w:rsidRPr="00824C53" w:rsidRDefault="00824C53" w:rsidP="00B10D1C">
            <w:pPr>
              <w:spacing w:after="0" w:line="480" w:lineRule="auto"/>
              <w:rPr>
                <w:rFonts w:asciiTheme="minorHAnsi" w:eastAsia="Times New Roman" w:hAnsiTheme="minorHAnsi" w:cs="Arial"/>
                <w:color w:val="000000"/>
                <w:sz w:val="18"/>
                <w:szCs w:val="18"/>
              </w:rPr>
            </w:pPr>
          </w:p>
        </w:tc>
        <w:tc>
          <w:tcPr>
            <w:tcW w:w="2126" w:type="dxa"/>
            <w:tcBorders>
              <w:top w:val="nil"/>
              <w:left w:val="nil"/>
              <w:bottom w:val="nil"/>
              <w:right w:val="single" w:sz="4" w:space="0" w:color="auto"/>
            </w:tcBorders>
            <w:shd w:val="clear" w:color="auto" w:fill="auto"/>
            <w:hideMark/>
          </w:tcPr>
          <w:p w14:paraId="39D6354C"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HCR20 Total</w:t>
            </w:r>
          </w:p>
        </w:tc>
        <w:tc>
          <w:tcPr>
            <w:tcW w:w="1244" w:type="dxa"/>
            <w:tcBorders>
              <w:top w:val="nil"/>
              <w:left w:val="single" w:sz="4" w:space="0" w:color="auto"/>
              <w:bottom w:val="nil"/>
              <w:right w:val="single" w:sz="4" w:space="0" w:color="000000"/>
            </w:tcBorders>
            <w:shd w:val="clear" w:color="auto" w:fill="auto"/>
            <w:noWrap/>
            <w:vAlign w:val="center"/>
            <w:hideMark/>
          </w:tcPr>
          <w:p w14:paraId="69C785B7"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-.76</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right w:val="single" w:sz="4" w:space="0" w:color="000000"/>
            </w:tcBorders>
            <w:shd w:val="clear" w:color="auto" w:fill="auto"/>
            <w:noWrap/>
            <w:vAlign w:val="center"/>
            <w:hideMark/>
          </w:tcPr>
          <w:p w14:paraId="2661A6E8"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-.71</w:t>
            </w:r>
            <w:r w:rsidRPr="00824C53">
              <w:rPr>
                <w:rFonts w:asciiTheme="minorHAnsi" w:eastAsia="Times New Roman" w:hAnsiTheme="minorHAnsi" w:cs="Arial"/>
                <w:color w:val="000000"/>
                <w:sz w:val="18"/>
                <w:szCs w:val="18"/>
                <w:vertAlign w:val="superscript"/>
              </w:rPr>
              <w:t>**</w:t>
            </w:r>
          </w:p>
        </w:tc>
        <w:tc>
          <w:tcPr>
            <w:tcW w:w="1245" w:type="dxa"/>
            <w:tcBorders>
              <w:top w:val="nil"/>
              <w:left w:val="nil"/>
              <w:bottom w:val="nil"/>
              <w:right w:val="single" w:sz="4" w:space="0" w:color="000000"/>
            </w:tcBorders>
            <w:shd w:val="clear" w:color="auto" w:fill="auto"/>
            <w:noWrap/>
            <w:vAlign w:val="center"/>
            <w:hideMark/>
          </w:tcPr>
          <w:p w14:paraId="0B4CDB91"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-.07</w:t>
            </w:r>
          </w:p>
        </w:tc>
        <w:tc>
          <w:tcPr>
            <w:tcW w:w="1244" w:type="dxa"/>
            <w:tcBorders>
              <w:top w:val="nil"/>
              <w:left w:val="nil"/>
              <w:bottom w:val="nil"/>
              <w:right w:val="single" w:sz="8" w:space="0" w:color="auto"/>
            </w:tcBorders>
            <w:shd w:val="clear" w:color="auto" w:fill="auto"/>
            <w:noWrap/>
            <w:vAlign w:val="center"/>
            <w:hideMark/>
          </w:tcPr>
          <w:p w14:paraId="1E8FEF84"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-.79</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right w:val="single" w:sz="4" w:space="0" w:color="000000"/>
            </w:tcBorders>
            <w:shd w:val="clear" w:color="auto" w:fill="auto"/>
            <w:noWrap/>
            <w:vAlign w:val="center"/>
            <w:hideMark/>
          </w:tcPr>
          <w:p w14:paraId="12E46A61"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.82</w:t>
            </w:r>
            <w:r w:rsidRPr="00824C53">
              <w:rPr>
                <w:rFonts w:asciiTheme="minorHAnsi" w:eastAsia="Times New Roman" w:hAnsiTheme="minorHAnsi" w:cs="Arial"/>
                <w:color w:val="000000"/>
                <w:sz w:val="18"/>
                <w:szCs w:val="18"/>
                <w:vertAlign w:val="superscript"/>
              </w:rPr>
              <w:t>**</w:t>
            </w:r>
          </w:p>
        </w:tc>
        <w:tc>
          <w:tcPr>
            <w:tcW w:w="1245" w:type="dxa"/>
            <w:tcBorders>
              <w:top w:val="nil"/>
              <w:left w:val="nil"/>
              <w:bottom w:val="nil"/>
              <w:right w:val="single" w:sz="4" w:space="0" w:color="000000"/>
            </w:tcBorders>
            <w:shd w:val="clear" w:color="auto" w:fill="auto"/>
            <w:noWrap/>
            <w:vAlign w:val="center"/>
            <w:hideMark/>
          </w:tcPr>
          <w:p w14:paraId="5FD1D365"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.84</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right w:val="single" w:sz="4" w:space="0" w:color="000000"/>
            </w:tcBorders>
            <w:shd w:val="clear" w:color="auto" w:fill="auto"/>
            <w:noWrap/>
            <w:vAlign w:val="center"/>
            <w:hideMark/>
          </w:tcPr>
          <w:p w14:paraId="0FA7A076"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.75</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tcBorders>
            <w:shd w:val="clear" w:color="000000" w:fill="A6A6A6"/>
            <w:noWrap/>
            <w:vAlign w:val="center"/>
            <w:hideMark/>
          </w:tcPr>
          <w:p w14:paraId="2CC38F62"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5" w:type="dxa"/>
            <w:tcBorders>
              <w:top w:val="nil"/>
              <w:bottom w:val="nil"/>
            </w:tcBorders>
            <w:shd w:val="clear" w:color="000000" w:fill="A6A6A6"/>
            <w:noWrap/>
            <w:vAlign w:val="center"/>
            <w:hideMark/>
          </w:tcPr>
          <w:p w14:paraId="65606523"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r>
      <w:tr w:rsidR="00824C53" w:rsidRPr="00824C53" w14:paraId="4054E06A" w14:textId="77777777" w:rsidTr="00824C53">
        <w:trPr>
          <w:trHeight w:val="300"/>
        </w:trPr>
        <w:tc>
          <w:tcPr>
            <w:tcW w:w="1843" w:type="dxa"/>
            <w:tcBorders>
              <w:top w:val="nil"/>
              <w:left w:val="nil"/>
              <w:bottom w:val="nil"/>
              <w:right w:val="nil"/>
            </w:tcBorders>
            <w:shd w:val="clear" w:color="auto" w:fill="auto"/>
            <w:noWrap/>
            <w:vAlign w:val="bottom"/>
            <w:hideMark/>
          </w:tcPr>
          <w:p w14:paraId="403A0A9A" w14:textId="77777777" w:rsidR="00824C53" w:rsidRPr="00824C53" w:rsidRDefault="00824C53" w:rsidP="00B10D1C">
            <w:pPr>
              <w:spacing w:after="0" w:line="480" w:lineRule="auto"/>
              <w:rPr>
                <w:rFonts w:asciiTheme="minorHAnsi" w:eastAsia="Times New Roman" w:hAnsiTheme="minorHAnsi" w:cs="Arial"/>
                <w:color w:val="000000"/>
                <w:sz w:val="18"/>
                <w:szCs w:val="18"/>
              </w:rPr>
            </w:pPr>
          </w:p>
        </w:tc>
        <w:tc>
          <w:tcPr>
            <w:tcW w:w="2126" w:type="dxa"/>
            <w:tcBorders>
              <w:top w:val="nil"/>
              <w:left w:val="nil"/>
              <w:bottom w:val="nil"/>
              <w:right w:val="single" w:sz="4" w:space="0" w:color="auto"/>
            </w:tcBorders>
            <w:shd w:val="clear" w:color="auto" w:fill="auto"/>
            <w:hideMark/>
          </w:tcPr>
          <w:p w14:paraId="0DB582C0"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HCR20-SAPROF Index</w:t>
            </w:r>
          </w:p>
        </w:tc>
        <w:tc>
          <w:tcPr>
            <w:tcW w:w="1244" w:type="dxa"/>
            <w:tcBorders>
              <w:top w:val="nil"/>
              <w:left w:val="single" w:sz="4" w:space="0" w:color="auto"/>
              <w:bottom w:val="nil"/>
              <w:right w:val="single" w:sz="4" w:space="0" w:color="000000"/>
            </w:tcBorders>
            <w:shd w:val="clear" w:color="auto" w:fill="auto"/>
            <w:noWrap/>
            <w:vAlign w:val="center"/>
            <w:hideMark/>
          </w:tcPr>
          <w:p w14:paraId="0765BA33"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-.82</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right w:val="single" w:sz="4" w:space="0" w:color="000000"/>
            </w:tcBorders>
            <w:shd w:val="clear" w:color="auto" w:fill="auto"/>
            <w:noWrap/>
            <w:vAlign w:val="center"/>
            <w:hideMark/>
          </w:tcPr>
          <w:p w14:paraId="64A4DDB7"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-.82</w:t>
            </w:r>
            <w:r w:rsidRPr="00824C53">
              <w:rPr>
                <w:rFonts w:asciiTheme="minorHAnsi" w:eastAsia="Times New Roman" w:hAnsiTheme="minorHAnsi" w:cs="Arial"/>
                <w:color w:val="000000"/>
                <w:sz w:val="18"/>
                <w:szCs w:val="18"/>
                <w:vertAlign w:val="superscript"/>
              </w:rPr>
              <w:t>**</w:t>
            </w:r>
          </w:p>
        </w:tc>
        <w:tc>
          <w:tcPr>
            <w:tcW w:w="1245" w:type="dxa"/>
            <w:tcBorders>
              <w:top w:val="nil"/>
              <w:left w:val="nil"/>
              <w:bottom w:val="nil"/>
              <w:right w:val="single" w:sz="4" w:space="0" w:color="000000"/>
            </w:tcBorders>
            <w:shd w:val="clear" w:color="auto" w:fill="auto"/>
            <w:noWrap/>
            <w:vAlign w:val="center"/>
            <w:hideMark/>
          </w:tcPr>
          <w:p w14:paraId="23DA8F3F"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-.18</w:t>
            </w:r>
          </w:p>
        </w:tc>
        <w:tc>
          <w:tcPr>
            <w:tcW w:w="1244" w:type="dxa"/>
            <w:tcBorders>
              <w:top w:val="nil"/>
              <w:left w:val="nil"/>
              <w:bottom w:val="nil"/>
              <w:right w:val="single" w:sz="8" w:space="0" w:color="auto"/>
            </w:tcBorders>
            <w:shd w:val="clear" w:color="auto" w:fill="auto"/>
            <w:noWrap/>
            <w:vAlign w:val="center"/>
            <w:hideMark/>
          </w:tcPr>
          <w:p w14:paraId="12B62E98"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-.92</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right w:val="single" w:sz="4" w:space="0" w:color="000000"/>
            </w:tcBorders>
            <w:shd w:val="clear" w:color="auto" w:fill="auto"/>
            <w:noWrap/>
            <w:vAlign w:val="center"/>
            <w:hideMark/>
          </w:tcPr>
          <w:p w14:paraId="7226345D"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.77</w:t>
            </w:r>
            <w:r w:rsidRPr="00824C53">
              <w:rPr>
                <w:rFonts w:asciiTheme="minorHAnsi" w:eastAsia="Times New Roman" w:hAnsiTheme="minorHAnsi" w:cs="Arial"/>
                <w:color w:val="000000"/>
                <w:sz w:val="18"/>
                <w:szCs w:val="18"/>
                <w:vertAlign w:val="superscript"/>
              </w:rPr>
              <w:t>**</w:t>
            </w:r>
          </w:p>
        </w:tc>
        <w:tc>
          <w:tcPr>
            <w:tcW w:w="1245" w:type="dxa"/>
            <w:tcBorders>
              <w:top w:val="nil"/>
              <w:left w:val="nil"/>
              <w:bottom w:val="nil"/>
              <w:right w:val="single" w:sz="4" w:space="0" w:color="000000"/>
            </w:tcBorders>
            <w:shd w:val="clear" w:color="auto" w:fill="auto"/>
            <w:noWrap/>
            <w:vAlign w:val="center"/>
            <w:hideMark/>
          </w:tcPr>
          <w:p w14:paraId="3EB3C800"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.81</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right w:val="single" w:sz="4" w:space="0" w:color="000000"/>
            </w:tcBorders>
            <w:shd w:val="clear" w:color="auto" w:fill="auto"/>
            <w:noWrap/>
            <w:vAlign w:val="center"/>
            <w:hideMark/>
          </w:tcPr>
          <w:p w14:paraId="120C775A"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.79</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tcBorders>
            <w:shd w:val="clear" w:color="auto" w:fill="auto"/>
            <w:noWrap/>
            <w:vAlign w:val="center"/>
            <w:hideMark/>
          </w:tcPr>
          <w:p w14:paraId="034B78E3"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.97</w:t>
            </w:r>
            <w:r w:rsidRPr="00824C53">
              <w:rPr>
                <w:rFonts w:asciiTheme="minorHAnsi" w:eastAsia="Times New Roman" w:hAnsiTheme="minorHAnsi" w:cs="Arial"/>
                <w:color w:val="000000"/>
                <w:sz w:val="18"/>
                <w:szCs w:val="18"/>
                <w:vertAlign w:val="superscript"/>
              </w:rPr>
              <w:t>**</w:t>
            </w:r>
          </w:p>
        </w:tc>
        <w:tc>
          <w:tcPr>
            <w:tcW w:w="1245" w:type="dxa"/>
            <w:tcBorders>
              <w:top w:val="nil"/>
              <w:bottom w:val="nil"/>
            </w:tcBorders>
            <w:shd w:val="clear" w:color="000000" w:fill="A6A6A6"/>
            <w:noWrap/>
            <w:vAlign w:val="center"/>
            <w:hideMark/>
          </w:tcPr>
          <w:p w14:paraId="016950FE"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r>
      <w:tr w:rsidR="00824C53" w:rsidRPr="00824C53" w14:paraId="2E4FB426" w14:textId="77777777" w:rsidTr="00824C53">
        <w:trPr>
          <w:trHeight w:val="315"/>
        </w:trPr>
        <w:tc>
          <w:tcPr>
            <w:tcW w:w="1843" w:type="dxa"/>
            <w:tcBorders>
              <w:top w:val="nil"/>
              <w:left w:val="nil"/>
              <w:bottom w:val="single" w:sz="8" w:space="0" w:color="auto"/>
              <w:right w:val="nil"/>
            </w:tcBorders>
            <w:shd w:val="clear" w:color="auto" w:fill="auto"/>
            <w:noWrap/>
            <w:vAlign w:val="bottom"/>
            <w:hideMark/>
          </w:tcPr>
          <w:p w14:paraId="13321F91"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2126" w:type="dxa"/>
            <w:tcBorders>
              <w:top w:val="nil"/>
              <w:left w:val="nil"/>
              <w:bottom w:val="single" w:sz="8" w:space="0" w:color="auto"/>
              <w:right w:val="single" w:sz="4" w:space="0" w:color="auto"/>
            </w:tcBorders>
            <w:shd w:val="clear" w:color="auto" w:fill="auto"/>
            <w:hideMark/>
          </w:tcPr>
          <w:p w14:paraId="04F1B4FA"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PCL-SV Total</w:t>
            </w:r>
          </w:p>
        </w:tc>
        <w:tc>
          <w:tcPr>
            <w:tcW w:w="1244" w:type="dxa"/>
            <w:tcBorders>
              <w:top w:val="nil"/>
              <w:left w:val="single" w:sz="4" w:space="0" w:color="auto"/>
              <w:bottom w:val="single" w:sz="8" w:space="0" w:color="auto"/>
              <w:right w:val="single" w:sz="4" w:space="0" w:color="000000"/>
            </w:tcBorders>
            <w:shd w:val="clear" w:color="auto" w:fill="auto"/>
            <w:noWrap/>
            <w:vAlign w:val="center"/>
            <w:hideMark/>
          </w:tcPr>
          <w:p w14:paraId="47B8903E"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-.78</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single" w:sz="4" w:space="0" w:color="auto"/>
              <w:right w:val="single" w:sz="4" w:space="0" w:color="000000"/>
            </w:tcBorders>
            <w:shd w:val="clear" w:color="auto" w:fill="auto"/>
            <w:noWrap/>
            <w:vAlign w:val="center"/>
            <w:hideMark/>
          </w:tcPr>
          <w:p w14:paraId="0E8287EC"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-.49</w:t>
            </w:r>
            <w:r w:rsidRPr="00824C53">
              <w:rPr>
                <w:rFonts w:asciiTheme="minorHAnsi" w:eastAsia="Times New Roman" w:hAnsiTheme="minorHAnsi" w:cs="Arial"/>
                <w:color w:val="000000"/>
                <w:sz w:val="18"/>
                <w:szCs w:val="18"/>
                <w:vertAlign w:val="superscript"/>
              </w:rPr>
              <w:t>**</w:t>
            </w:r>
          </w:p>
        </w:tc>
        <w:tc>
          <w:tcPr>
            <w:tcW w:w="1245" w:type="dxa"/>
            <w:tcBorders>
              <w:top w:val="nil"/>
              <w:left w:val="nil"/>
              <w:bottom w:val="single" w:sz="4" w:space="0" w:color="auto"/>
              <w:right w:val="single" w:sz="4" w:space="0" w:color="000000"/>
            </w:tcBorders>
            <w:shd w:val="clear" w:color="auto" w:fill="auto"/>
            <w:noWrap/>
            <w:vAlign w:val="center"/>
            <w:hideMark/>
          </w:tcPr>
          <w:p w14:paraId="40A523B4"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.03</w:t>
            </w:r>
          </w:p>
        </w:tc>
        <w:tc>
          <w:tcPr>
            <w:tcW w:w="1244" w:type="dxa"/>
            <w:tcBorders>
              <w:top w:val="nil"/>
              <w:left w:val="nil"/>
              <w:bottom w:val="single" w:sz="4" w:space="0" w:color="auto"/>
              <w:right w:val="single" w:sz="8" w:space="0" w:color="auto"/>
            </w:tcBorders>
            <w:shd w:val="clear" w:color="auto" w:fill="auto"/>
            <w:noWrap/>
            <w:vAlign w:val="center"/>
            <w:hideMark/>
          </w:tcPr>
          <w:p w14:paraId="1A57885C"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-.64</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single" w:sz="4" w:space="0" w:color="auto"/>
              <w:right w:val="single" w:sz="4" w:space="0" w:color="000000"/>
            </w:tcBorders>
            <w:shd w:val="clear" w:color="auto" w:fill="auto"/>
            <w:noWrap/>
            <w:vAlign w:val="center"/>
            <w:hideMark/>
          </w:tcPr>
          <w:p w14:paraId="2B16EE57"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.71</w:t>
            </w:r>
            <w:r w:rsidRPr="00824C53">
              <w:rPr>
                <w:rFonts w:asciiTheme="minorHAnsi" w:eastAsia="Times New Roman" w:hAnsiTheme="minorHAnsi" w:cs="Arial"/>
                <w:color w:val="000000"/>
                <w:sz w:val="18"/>
                <w:szCs w:val="18"/>
                <w:vertAlign w:val="superscript"/>
              </w:rPr>
              <w:t>**</w:t>
            </w:r>
          </w:p>
        </w:tc>
        <w:tc>
          <w:tcPr>
            <w:tcW w:w="1245" w:type="dxa"/>
            <w:tcBorders>
              <w:top w:val="nil"/>
              <w:left w:val="nil"/>
              <w:bottom w:val="single" w:sz="4" w:space="0" w:color="auto"/>
              <w:right w:val="single" w:sz="4" w:space="0" w:color="000000"/>
            </w:tcBorders>
            <w:shd w:val="clear" w:color="auto" w:fill="auto"/>
            <w:noWrap/>
            <w:vAlign w:val="center"/>
            <w:hideMark/>
          </w:tcPr>
          <w:p w14:paraId="29C24CEF"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.42</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single" w:sz="4" w:space="0" w:color="auto"/>
              <w:right w:val="single" w:sz="4" w:space="0" w:color="000000"/>
            </w:tcBorders>
            <w:shd w:val="clear" w:color="auto" w:fill="auto"/>
            <w:noWrap/>
            <w:vAlign w:val="center"/>
            <w:hideMark/>
          </w:tcPr>
          <w:p w14:paraId="1E0E31B0"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.51</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single" w:sz="4" w:space="0" w:color="auto"/>
              <w:right w:val="single" w:sz="8" w:space="0" w:color="auto"/>
            </w:tcBorders>
            <w:shd w:val="clear" w:color="auto" w:fill="auto"/>
            <w:noWrap/>
            <w:vAlign w:val="center"/>
            <w:hideMark/>
          </w:tcPr>
          <w:p w14:paraId="2194DDA5"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.71</w:t>
            </w:r>
            <w:r w:rsidRPr="00824C53">
              <w:rPr>
                <w:rFonts w:asciiTheme="minorHAnsi" w:eastAsia="Times New Roman" w:hAnsiTheme="minorHAnsi" w:cs="Arial"/>
                <w:color w:val="000000"/>
                <w:sz w:val="18"/>
                <w:szCs w:val="18"/>
                <w:vertAlign w:val="superscript"/>
              </w:rPr>
              <w:t>**</w:t>
            </w:r>
          </w:p>
        </w:tc>
        <w:tc>
          <w:tcPr>
            <w:tcW w:w="1245" w:type="dxa"/>
            <w:tcBorders>
              <w:top w:val="nil"/>
              <w:left w:val="nil"/>
              <w:bottom w:val="single" w:sz="4" w:space="0" w:color="auto"/>
            </w:tcBorders>
            <w:shd w:val="clear" w:color="auto" w:fill="auto"/>
            <w:noWrap/>
            <w:vAlign w:val="center"/>
            <w:hideMark/>
          </w:tcPr>
          <w:p w14:paraId="6707B8F6"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.72</w:t>
            </w:r>
            <w:r w:rsidRPr="00824C53">
              <w:rPr>
                <w:rFonts w:asciiTheme="minorHAnsi" w:eastAsia="Times New Roman" w:hAnsiTheme="minorHAnsi" w:cs="Arial"/>
                <w:color w:val="000000"/>
                <w:sz w:val="18"/>
                <w:szCs w:val="18"/>
                <w:vertAlign w:val="superscript"/>
              </w:rPr>
              <w:t>**</w:t>
            </w:r>
          </w:p>
        </w:tc>
      </w:tr>
      <w:tr w:rsidR="00824C53" w:rsidRPr="00824C53" w14:paraId="70FB1C90" w14:textId="77777777" w:rsidTr="00824C53">
        <w:trPr>
          <w:trHeight w:val="300"/>
        </w:trPr>
        <w:tc>
          <w:tcPr>
            <w:tcW w:w="1843" w:type="dxa"/>
            <w:tcBorders>
              <w:top w:val="nil"/>
              <w:left w:val="nil"/>
              <w:bottom w:val="nil"/>
              <w:right w:val="nil"/>
            </w:tcBorders>
            <w:shd w:val="clear" w:color="auto" w:fill="auto"/>
            <w:noWrap/>
            <w:vAlign w:val="bottom"/>
            <w:hideMark/>
          </w:tcPr>
          <w:p w14:paraId="42BED62B"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General inpatient</w:t>
            </w:r>
          </w:p>
        </w:tc>
        <w:tc>
          <w:tcPr>
            <w:tcW w:w="2126" w:type="dxa"/>
            <w:tcBorders>
              <w:top w:val="nil"/>
              <w:left w:val="nil"/>
              <w:bottom w:val="nil"/>
              <w:right w:val="single" w:sz="4" w:space="0" w:color="auto"/>
            </w:tcBorders>
            <w:shd w:val="clear" w:color="auto" w:fill="auto"/>
            <w:hideMark/>
          </w:tcPr>
          <w:p w14:paraId="2E2B0A96"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SAPROF Motivational</w:t>
            </w:r>
          </w:p>
        </w:tc>
        <w:tc>
          <w:tcPr>
            <w:tcW w:w="1244" w:type="dxa"/>
            <w:tcBorders>
              <w:top w:val="nil"/>
              <w:left w:val="single" w:sz="4" w:space="0" w:color="auto"/>
              <w:bottom w:val="nil"/>
              <w:right w:val="single" w:sz="4" w:space="0" w:color="000000"/>
            </w:tcBorders>
            <w:shd w:val="clear" w:color="auto" w:fill="auto"/>
            <w:noWrap/>
            <w:vAlign w:val="center"/>
            <w:hideMark/>
          </w:tcPr>
          <w:p w14:paraId="4441E399"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.44</w:t>
            </w:r>
            <w:r w:rsidRPr="00824C53">
              <w:rPr>
                <w:rFonts w:asciiTheme="minorHAnsi" w:eastAsia="Times New Roman" w:hAnsiTheme="minorHAnsi" w:cs="Arial"/>
                <w:color w:val="000000"/>
                <w:sz w:val="18"/>
                <w:szCs w:val="18"/>
                <w:vertAlign w:val="superscript"/>
              </w:rPr>
              <w:t>**</w:t>
            </w:r>
          </w:p>
        </w:tc>
        <w:tc>
          <w:tcPr>
            <w:tcW w:w="1244" w:type="dxa"/>
            <w:tcBorders>
              <w:top w:val="single" w:sz="4" w:space="0" w:color="auto"/>
              <w:left w:val="nil"/>
              <w:bottom w:val="nil"/>
            </w:tcBorders>
            <w:shd w:val="clear" w:color="000000" w:fill="A6A6A6"/>
            <w:noWrap/>
            <w:vAlign w:val="center"/>
            <w:hideMark/>
          </w:tcPr>
          <w:p w14:paraId="2EC54CE2"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5" w:type="dxa"/>
            <w:tcBorders>
              <w:top w:val="single" w:sz="4" w:space="0" w:color="auto"/>
              <w:bottom w:val="nil"/>
            </w:tcBorders>
            <w:shd w:val="clear" w:color="000000" w:fill="A6A6A6"/>
            <w:noWrap/>
            <w:vAlign w:val="center"/>
            <w:hideMark/>
          </w:tcPr>
          <w:p w14:paraId="62234DF2"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single" w:sz="4" w:space="0" w:color="auto"/>
              <w:bottom w:val="nil"/>
            </w:tcBorders>
            <w:shd w:val="clear" w:color="000000" w:fill="A6A6A6"/>
            <w:noWrap/>
            <w:vAlign w:val="center"/>
            <w:hideMark/>
          </w:tcPr>
          <w:p w14:paraId="7F722091"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single" w:sz="4" w:space="0" w:color="auto"/>
              <w:bottom w:val="nil"/>
            </w:tcBorders>
            <w:shd w:val="clear" w:color="000000" w:fill="A6A6A6"/>
            <w:noWrap/>
            <w:vAlign w:val="center"/>
            <w:hideMark/>
          </w:tcPr>
          <w:p w14:paraId="58584AD8"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5" w:type="dxa"/>
            <w:tcBorders>
              <w:top w:val="single" w:sz="4" w:space="0" w:color="auto"/>
              <w:left w:val="nil"/>
              <w:bottom w:val="nil"/>
            </w:tcBorders>
            <w:shd w:val="clear" w:color="000000" w:fill="A6A6A6"/>
            <w:noWrap/>
            <w:vAlign w:val="center"/>
            <w:hideMark/>
          </w:tcPr>
          <w:p w14:paraId="4E3C1729"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single" w:sz="4" w:space="0" w:color="auto"/>
              <w:bottom w:val="nil"/>
            </w:tcBorders>
            <w:shd w:val="clear" w:color="000000" w:fill="A6A6A6"/>
            <w:noWrap/>
            <w:vAlign w:val="center"/>
            <w:hideMark/>
          </w:tcPr>
          <w:p w14:paraId="72515FCD"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single" w:sz="4" w:space="0" w:color="auto"/>
              <w:left w:val="nil"/>
              <w:bottom w:val="nil"/>
            </w:tcBorders>
            <w:shd w:val="clear" w:color="000000" w:fill="A6A6A6"/>
            <w:noWrap/>
            <w:vAlign w:val="center"/>
            <w:hideMark/>
          </w:tcPr>
          <w:p w14:paraId="36D5287F"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5" w:type="dxa"/>
            <w:tcBorders>
              <w:top w:val="single" w:sz="4" w:space="0" w:color="auto"/>
              <w:bottom w:val="nil"/>
            </w:tcBorders>
            <w:shd w:val="clear" w:color="000000" w:fill="A6A6A6"/>
            <w:noWrap/>
            <w:vAlign w:val="center"/>
            <w:hideMark/>
          </w:tcPr>
          <w:p w14:paraId="2A7F4EB4"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r>
      <w:tr w:rsidR="00824C53" w:rsidRPr="00824C53" w14:paraId="325B9C14" w14:textId="77777777" w:rsidTr="00824C53">
        <w:trPr>
          <w:trHeight w:val="300"/>
        </w:trPr>
        <w:tc>
          <w:tcPr>
            <w:tcW w:w="1843" w:type="dxa"/>
            <w:tcBorders>
              <w:top w:val="nil"/>
              <w:left w:val="nil"/>
              <w:bottom w:val="nil"/>
              <w:right w:val="nil"/>
            </w:tcBorders>
            <w:shd w:val="clear" w:color="auto" w:fill="auto"/>
            <w:noWrap/>
            <w:vAlign w:val="bottom"/>
            <w:hideMark/>
          </w:tcPr>
          <w:p w14:paraId="6C83C3F6"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n=100</w:t>
            </w:r>
          </w:p>
        </w:tc>
        <w:tc>
          <w:tcPr>
            <w:tcW w:w="2126" w:type="dxa"/>
            <w:tcBorders>
              <w:top w:val="nil"/>
              <w:left w:val="nil"/>
              <w:bottom w:val="nil"/>
              <w:right w:val="single" w:sz="4" w:space="0" w:color="auto"/>
            </w:tcBorders>
            <w:shd w:val="clear" w:color="auto" w:fill="auto"/>
            <w:hideMark/>
          </w:tcPr>
          <w:p w14:paraId="160193C1"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SAPROF External</w:t>
            </w:r>
          </w:p>
        </w:tc>
        <w:tc>
          <w:tcPr>
            <w:tcW w:w="1244" w:type="dxa"/>
            <w:tcBorders>
              <w:top w:val="nil"/>
              <w:left w:val="single" w:sz="4" w:space="0" w:color="auto"/>
              <w:bottom w:val="nil"/>
              <w:right w:val="single" w:sz="4" w:space="0" w:color="000000"/>
            </w:tcBorders>
            <w:shd w:val="clear" w:color="auto" w:fill="auto"/>
            <w:noWrap/>
            <w:vAlign w:val="center"/>
            <w:hideMark/>
          </w:tcPr>
          <w:p w14:paraId="558E0F6E"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.02</w:t>
            </w:r>
          </w:p>
        </w:tc>
        <w:tc>
          <w:tcPr>
            <w:tcW w:w="1244" w:type="dxa"/>
            <w:tcBorders>
              <w:top w:val="nil"/>
              <w:left w:val="nil"/>
              <w:bottom w:val="nil"/>
            </w:tcBorders>
            <w:shd w:val="clear" w:color="auto" w:fill="auto"/>
            <w:noWrap/>
            <w:vAlign w:val="center"/>
            <w:hideMark/>
          </w:tcPr>
          <w:p w14:paraId="45F2D144"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-.19</w:t>
            </w:r>
          </w:p>
        </w:tc>
        <w:tc>
          <w:tcPr>
            <w:tcW w:w="1245" w:type="dxa"/>
            <w:tcBorders>
              <w:top w:val="nil"/>
              <w:bottom w:val="nil"/>
            </w:tcBorders>
            <w:shd w:val="clear" w:color="000000" w:fill="A6A6A6"/>
            <w:noWrap/>
            <w:vAlign w:val="center"/>
            <w:hideMark/>
          </w:tcPr>
          <w:p w14:paraId="0F530389"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nil"/>
              <w:bottom w:val="nil"/>
            </w:tcBorders>
            <w:shd w:val="clear" w:color="000000" w:fill="A6A6A6"/>
            <w:noWrap/>
            <w:vAlign w:val="center"/>
            <w:hideMark/>
          </w:tcPr>
          <w:p w14:paraId="7EBB4C79"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nil"/>
              <w:bottom w:val="nil"/>
            </w:tcBorders>
            <w:shd w:val="clear" w:color="000000" w:fill="A6A6A6"/>
            <w:noWrap/>
            <w:vAlign w:val="center"/>
            <w:hideMark/>
          </w:tcPr>
          <w:p w14:paraId="7271B684"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5" w:type="dxa"/>
            <w:tcBorders>
              <w:top w:val="nil"/>
              <w:left w:val="nil"/>
              <w:bottom w:val="nil"/>
            </w:tcBorders>
            <w:shd w:val="clear" w:color="000000" w:fill="A6A6A6"/>
            <w:noWrap/>
            <w:vAlign w:val="center"/>
            <w:hideMark/>
          </w:tcPr>
          <w:p w14:paraId="0F73C9D6"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nil"/>
              <w:bottom w:val="nil"/>
            </w:tcBorders>
            <w:shd w:val="clear" w:color="000000" w:fill="A6A6A6"/>
            <w:noWrap/>
            <w:vAlign w:val="center"/>
            <w:hideMark/>
          </w:tcPr>
          <w:p w14:paraId="6812CF29"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nil"/>
              <w:left w:val="nil"/>
              <w:bottom w:val="nil"/>
            </w:tcBorders>
            <w:shd w:val="clear" w:color="000000" w:fill="A6A6A6"/>
            <w:noWrap/>
            <w:vAlign w:val="center"/>
            <w:hideMark/>
          </w:tcPr>
          <w:p w14:paraId="34A24F7B"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5" w:type="dxa"/>
            <w:tcBorders>
              <w:top w:val="nil"/>
              <w:bottom w:val="nil"/>
            </w:tcBorders>
            <w:shd w:val="clear" w:color="000000" w:fill="A6A6A6"/>
            <w:noWrap/>
            <w:vAlign w:val="center"/>
            <w:hideMark/>
          </w:tcPr>
          <w:p w14:paraId="51CFF7A0"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r>
      <w:tr w:rsidR="00824C53" w:rsidRPr="00824C53" w14:paraId="2590B918" w14:textId="77777777" w:rsidTr="00824C53">
        <w:trPr>
          <w:trHeight w:val="300"/>
        </w:trPr>
        <w:tc>
          <w:tcPr>
            <w:tcW w:w="1843" w:type="dxa"/>
            <w:tcBorders>
              <w:top w:val="nil"/>
              <w:left w:val="nil"/>
              <w:bottom w:val="nil"/>
              <w:right w:val="nil"/>
            </w:tcBorders>
            <w:shd w:val="clear" w:color="auto" w:fill="auto"/>
            <w:noWrap/>
            <w:vAlign w:val="bottom"/>
            <w:hideMark/>
          </w:tcPr>
          <w:p w14:paraId="7F7F74C4" w14:textId="77777777" w:rsidR="00824C53" w:rsidRPr="00824C53" w:rsidRDefault="00824C53" w:rsidP="00B10D1C">
            <w:pPr>
              <w:spacing w:after="0" w:line="480" w:lineRule="auto"/>
              <w:rPr>
                <w:rFonts w:asciiTheme="minorHAnsi" w:eastAsia="Times New Roman" w:hAnsiTheme="minorHAnsi" w:cs="Arial"/>
                <w:color w:val="000000"/>
                <w:sz w:val="18"/>
                <w:szCs w:val="18"/>
              </w:rPr>
            </w:pPr>
          </w:p>
        </w:tc>
        <w:tc>
          <w:tcPr>
            <w:tcW w:w="2126" w:type="dxa"/>
            <w:tcBorders>
              <w:top w:val="nil"/>
              <w:left w:val="nil"/>
              <w:bottom w:val="nil"/>
              <w:right w:val="single" w:sz="4" w:space="0" w:color="auto"/>
            </w:tcBorders>
            <w:shd w:val="clear" w:color="auto" w:fill="auto"/>
            <w:hideMark/>
          </w:tcPr>
          <w:p w14:paraId="57AF8AAC"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SAPROF Total</w:t>
            </w:r>
          </w:p>
        </w:tc>
        <w:tc>
          <w:tcPr>
            <w:tcW w:w="1244" w:type="dxa"/>
            <w:tcBorders>
              <w:top w:val="nil"/>
              <w:left w:val="single" w:sz="4" w:space="0" w:color="auto"/>
              <w:bottom w:val="nil"/>
              <w:right w:val="single" w:sz="4" w:space="0" w:color="000000"/>
            </w:tcBorders>
            <w:shd w:val="clear" w:color="auto" w:fill="auto"/>
            <w:noWrap/>
            <w:vAlign w:val="center"/>
            <w:hideMark/>
          </w:tcPr>
          <w:p w14:paraId="0467D1EA"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.73</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right w:val="single" w:sz="4" w:space="0" w:color="000000"/>
            </w:tcBorders>
            <w:shd w:val="clear" w:color="auto" w:fill="auto"/>
            <w:noWrap/>
            <w:vAlign w:val="center"/>
            <w:hideMark/>
          </w:tcPr>
          <w:p w14:paraId="1DECA0ED"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.75</w:t>
            </w:r>
            <w:r w:rsidRPr="00824C53">
              <w:rPr>
                <w:rFonts w:asciiTheme="minorHAnsi" w:eastAsia="Times New Roman" w:hAnsiTheme="minorHAnsi" w:cs="Arial"/>
                <w:color w:val="000000"/>
                <w:sz w:val="18"/>
                <w:szCs w:val="18"/>
                <w:vertAlign w:val="superscript"/>
              </w:rPr>
              <w:t>**</w:t>
            </w:r>
          </w:p>
        </w:tc>
        <w:tc>
          <w:tcPr>
            <w:tcW w:w="1245" w:type="dxa"/>
            <w:tcBorders>
              <w:top w:val="nil"/>
              <w:left w:val="nil"/>
              <w:bottom w:val="nil"/>
            </w:tcBorders>
            <w:shd w:val="clear" w:color="auto" w:fill="auto"/>
            <w:noWrap/>
            <w:vAlign w:val="center"/>
            <w:hideMark/>
          </w:tcPr>
          <w:p w14:paraId="19E6704D"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.39</w:t>
            </w:r>
            <w:r w:rsidRPr="00824C53">
              <w:rPr>
                <w:rFonts w:asciiTheme="minorHAnsi" w:eastAsia="Times New Roman" w:hAnsiTheme="minorHAnsi" w:cs="Arial"/>
                <w:color w:val="000000"/>
                <w:sz w:val="18"/>
                <w:szCs w:val="18"/>
                <w:vertAlign w:val="superscript"/>
              </w:rPr>
              <w:t>**</w:t>
            </w:r>
          </w:p>
        </w:tc>
        <w:tc>
          <w:tcPr>
            <w:tcW w:w="1244" w:type="dxa"/>
            <w:tcBorders>
              <w:top w:val="nil"/>
              <w:bottom w:val="nil"/>
            </w:tcBorders>
            <w:shd w:val="clear" w:color="000000" w:fill="A6A6A6"/>
            <w:noWrap/>
            <w:vAlign w:val="center"/>
            <w:hideMark/>
          </w:tcPr>
          <w:p w14:paraId="386F0966"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nil"/>
              <w:bottom w:val="nil"/>
            </w:tcBorders>
            <w:shd w:val="clear" w:color="000000" w:fill="A6A6A6"/>
            <w:noWrap/>
            <w:vAlign w:val="center"/>
            <w:hideMark/>
          </w:tcPr>
          <w:p w14:paraId="16C85637"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5" w:type="dxa"/>
            <w:tcBorders>
              <w:top w:val="nil"/>
              <w:left w:val="nil"/>
              <w:bottom w:val="nil"/>
            </w:tcBorders>
            <w:shd w:val="clear" w:color="000000" w:fill="A6A6A6"/>
            <w:noWrap/>
            <w:vAlign w:val="center"/>
            <w:hideMark/>
          </w:tcPr>
          <w:p w14:paraId="1EA02C63"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nil"/>
              <w:bottom w:val="nil"/>
            </w:tcBorders>
            <w:shd w:val="clear" w:color="000000" w:fill="A6A6A6"/>
            <w:noWrap/>
            <w:vAlign w:val="center"/>
            <w:hideMark/>
          </w:tcPr>
          <w:p w14:paraId="01D3927B"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nil"/>
              <w:left w:val="nil"/>
              <w:bottom w:val="nil"/>
            </w:tcBorders>
            <w:shd w:val="clear" w:color="000000" w:fill="A6A6A6"/>
            <w:noWrap/>
            <w:vAlign w:val="center"/>
            <w:hideMark/>
          </w:tcPr>
          <w:p w14:paraId="2CA73B39"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5" w:type="dxa"/>
            <w:tcBorders>
              <w:top w:val="nil"/>
              <w:bottom w:val="nil"/>
            </w:tcBorders>
            <w:shd w:val="clear" w:color="000000" w:fill="A6A6A6"/>
            <w:noWrap/>
            <w:vAlign w:val="center"/>
            <w:hideMark/>
          </w:tcPr>
          <w:p w14:paraId="2697B893"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r>
      <w:tr w:rsidR="00824C53" w:rsidRPr="00824C53" w14:paraId="672489B4" w14:textId="77777777" w:rsidTr="00824C53">
        <w:trPr>
          <w:trHeight w:val="300"/>
        </w:trPr>
        <w:tc>
          <w:tcPr>
            <w:tcW w:w="1843" w:type="dxa"/>
            <w:tcBorders>
              <w:top w:val="nil"/>
              <w:left w:val="nil"/>
              <w:bottom w:val="nil"/>
              <w:right w:val="nil"/>
            </w:tcBorders>
            <w:shd w:val="clear" w:color="auto" w:fill="auto"/>
            <w:noWrap/>
            <w:vAlign w:val="bottom"/>
            <w:hideMark/>
          </w:tcPr>
          <w:p w14:paraId="3C199174" w14:textId="77777777" w:rsidR="00824C53" w:rsidRPr="00824C53" w:rsidRDefault="00824C53" w:rsidP="00B10D1C">
            <w:pPr>
              <w:spacing w:after="0" w:line="480" w:lineRule="auto"/>
              <w:rPr>
                <w:rFonts w:asciiTheme="minorHAnsi" w:eastAsia="Times New Roman" w:hAnsiTheme="minorHAnsi" w:cs="Arial"/>
                <w:color w:val="000000"/>
                <w:sz w:val="18"/>
                <w:szCs w:val="18"/>
              </w:rPr>
            </w:pPr>
          </w:p>
        </w:tc>
        <w:tc>
          <w:tcPr>
            <w:tcW w:w="2126" w:type="dxa"/>
            <w:tcBorders>
              <w:top w:val="nil"/>
              <w:left w:val="nil"/>
              <w:bottom w:val="nil"/>
              <w:right w:val="single" w:sz="4" w:space="0" w:color="auto"/>
            </w:tcBorders>
            <w:shd w:val="clear" w:color="auto" w:fill="auto"/>
            <w:hideMark/>
          </w:tcPr>
          <w:p w14:paraId="3BEDF0C6"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HCR20 Historical</w:t>
            </w:r>
          </w:p>
        </w:tc>
        <w:tc>
          <w:tcPr>
            <w:tcW w:w="1244" w:type="dxa"/>
            <w:tcBorders>
              <w:top w:val="nil"/>
              <w:left w:val="single" w:sz="4" w:space="0" w:color="auto"/>
              <w:bottom w:val="nil"/>
              <w:right w:val="single" w:sz="4" w:space="0" w:color="000000"/>
            </w:tcBorders>
            <w:shd w:val="clear" w:color="auto" w:fill="auto"/>
            <w:noWrap/>
            <w:vAlign w:val="center"/>
            <w:hideMark/>
          </w:tcPr>
          <w:p w14:paraId="323AA968"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-.66</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right w:val="single" w:sz="4" w:space="0" w:color="000000"/>
            </w:tcBorders>
            <w:shd w:val="clear" w:color="auto" w:fill="auto"/>
            <w:noWrap/>
            <w:vAlign w:val="center"/>
            <w:hideMark/>
          </w:tcPr>
          <w:p w14:paraId="0F81CD95"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-.44</w:t>
            </w:r>
            <w:r w:rsidRPr="00824C53">
              <w:rPr>
                <w:rFonts w:asciiTheme="minorHAnsi" w:eastAsia="Times New Roman" w:hAnsiTheme="minorHAnsi" w:cs="Arial"/>
                <w:color w:val="000000"/>
                <w:sz w:val="18"/>
                <w:szCs w:val="18"/>
                <w:vertAlign w:val="superscript"/>
              </w:rPr>
              <w:t>**</w:t>
            </w:r>
          </w:p>
        </w:tc>
        <w:tc>
          <w:tcPr>
            <w:tcW w:w="1245" w:type="dxa"/>
            <w:tcBorders>
              <w:top w:val="nil"/>
              <w:left w:val="nil"/>
              <w:bottom w:val="nil"/>
              <w:right w:val="single" w:sz="4" w:space="0" w:color="000000"/>
            </w:tcBorders>
            <w:shd w:val="clear" w:color="auto" w:fill="auto"/>
            <w:noWrap/>
            <w:vAlign w:val="center"/>
            <w:hideMark/>
          </w:tcPr>
          <w:p w14:paraId="01B87598"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.12</w:t>
            </w:r>
          </w:p>
        </w:tc>
        <w:tc>
          <w:tcPr>
            <w:tcW w:w="1244" w:type="dxa"/>
            <w:tcBorders>
              <w:top w:val="nil"/>
              <w:left w:val="nil"/>
              <w:bottom w:val="nil"/>
            </w:tcBorders>
            <w:shd w:val="clear" w:color="auto" w:fill="auto"/>
            <w:noWrap/>
            <w:vAlign w:val="center"/>
            <w:hideMark/>
          </w:tcPr>
          <w:p w14:paraId="1C83FEFE"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-.51</w:t>
            </w:r>
            <w:r w:rsidRPr="00824C53">
              <w:rPr>
                <w:rFonts w:asciiTheme="minorHAnsi" w:eastAsia="Times New Roman" w:hAnsiTheme="minorHAnsi" w:cs="Arial"/>
                <w:color w:val="000000"/>
                <w:sz w:val="18"/>
                <w:szCs w:val="18"/>
                <w:vertAlign w:val="superscript"/>
              </w:rPr>
              <w:t>**</w:t>
            </w:r>
          </w:p>
        </w:tc>
        <w:tc>
          <w:tcPr>
            <w:tcW w:w="1244" w:type="dxa"/>
            <w:tcBorders>
              <w:top w:val="nil"/>
              <w:bottom w:val="nil"/>
            </w:tcBorders>
            <w:shd w:val="clear" w:color="000000" w:fill="A6A6A6"/>
            <w:noWrap/>
            <w:vAlign w:val="center"/>
            <w:hideMark/>
          </w:tcPr>
          <w:p w14:paraId="0EDA27A7"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5" w:type="dxa"/>
            <w:tcBorders>
              <w:top w:val="nil"/>
              <w:left w:val="nil"/>
              <w:bottom w:val="nil"/>
            </w:tcBorders>
            <w:shd w:val="clear" w:color="000000" w:fill="A6A6A6"/>
            <w:noWrap/>
            <w:vAlign w:val="center"/>
            <w:hideMark/>
          </w:tcPr>
          <w:p w14:paraId="622FDFD2"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nil"/>
              <w:bottom w:val="nil"/>
            </w:tcBorders>
            <w:shd w:val="clear" w:color="000000" w:fill="A6A6A6"/>
            <w:noWrap/>
            <w:vAlign w:val="center"/>
            <w:hideMark/>
          </w:tcPr>
          <w:p w14:paraId="61AA774B"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nil"/>
              <w:left w:val="nil"/>
              <w:bottom w:val="nil"/>
            </w:tcBorders>
            <w:shd w:val="clear" w:color="000000" w:fill="A6A6A6"/>
            <w:noWrap/>
            <w:vAlign w:val="center"/>
            <w:hideMark/>
          </w:tcPr>
          <w:p w14:paraId="63AF69B0"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5" w:type="dxa"/>
            <w:tcBorders>
              <w:top w:val="nil"/>
              <w:bottom w:val="nil"/>
            </w:tcBorders>
            <w:shd w:val="clear" w:color="000000" w:fill="A6A6A6"/>
            <w:noWrap/>
            <w:vAlign w:val="center"/>
            <w:hideMark/>
          </w:tcPr>
          <w:p w14:paraId="5B765EED"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r>
      <w:tr w:rsidR="00824C53" w:rsidRPr="00824C53" w14:paraId="4E83AA45" w14:textId="77777777" w:rsidTr="00824C53">
        <w:trPr>
          <w:trHeight w:val="300"/>
        </w:trPr>
        <w:tc>
          <w:tcPr>
            <w:tcW w:w="1843" w:type="dxa"/>
            <w:tcBorders>
              <w:top w:val="nil"/>
              <w:left w:val="nil"/>
              <w:bottom w:val="nil"/>
              <w:right w:val="nil"/>
            </w:tcBorders>
            <w:shd w:val="clear" w:color="auto" w:fill="auto"/>
            <w:noWrap/>
            <w:vAlign w:val="bottom"/>
            <w:hideMark/>
          </w:tcPr>
          <w:p w14:paraId="7FC3B5E6" w14:textId="77777777" w:rsidR="00824C53" w:rsidRPr="00824C53" w:rsidRDefault="00824C53" w:rsidP="00B10D1C">
            <w:pPr>
              <w:spacing w:after="0" w:line="480" w:lineRule="auto"/>
              <w:rPr>
                <w:rFonts w:asciiTheme="minorHAnsi" w:eastAsia="Times New Roman" w:hAnsiTheme="minorHAnsi" w:cs="Arial"/>
                <w:color w:val="000000"/>
                <w:sz w:val="18"/>
                <w:szCs w:val="18"/>
              </w:rPr>
            </w:pPr>
          </w:p>
        </w:tc>
        <w:tc>
          <w:tcPr>
            <w:tcW w:w="2126" w:type="dxa"/>
            <w:tcBorders>
              <w:top w:val="nil"/>
              <w:left w:val="nil"/>
              <w:bottom w:val="nil"/>
              <w:right w:val="single" w:sz="4" w:space="0" w:color="auto"/>
            </w:tcBorders>
            <w:shd w:val="clear" w:color="auto" w:fill="auto"/>
            <w:hideMark/>
          </w:tcPr>
          <w:p w14:paraId="12262DE5"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HCR20 Clinical</w:t>
            </w:r>
          </w:p>
        </w:tc>
        <w:tc>
          <w:tcPr>
            <w:tcW w:w="1244" w:type="dxa"/>
            <w:tcBorders>
              <w:top w:val="nil"/>
              <w:left w:val="single" w:sz="4" w:space="0" w:color="auto"/>
              <w:bottom w:val="nil"/>
              <w:right w:val="single" w:sz="4" w:space="0" w:color="000000"/>
            </w:tcBorders>
            <w:shd w:val="clear" w:color="auto" w:fill="auto"/>
            <w:noWrap/>
            <w:vAlign w:val="center"/>
            <w:hideMark/>
          </w:tcPr>
          <w:p w14:paraId="5DBB6F0D"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-.29</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right w:val="single" w:sz="4" w:space="0" w:color="000000"/>
            </w:tcBorders>
            <w:shd w:val="clear" w:color="auto" w:fill="auto"/>
            <w:noWrap/>
            <w:vAlign w:val="center"/>
            <w:hideMark/>
          </w:tcPr>
          <w:p w14:paraId="7AA01CC9"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-.62</w:t>
            </w:r>
            <w:r w:rsidRPr="00824C53">
              <w:rPr>
                <w:rFonts w:asciiTheme="minorHAnsi" w:eastAsia="Times New Roman" w:hAnsiTheme="minorHAnsi" w:cs="Arial"/>
                <w:color w:val="000000"/>
                <w:sz w:val="18"/>
                <w:szCs w:val="18"/>
                <w:vertAlign w:val="superscript"/>
              </w:rPr>
              <w:t>**</w:t>
            </w:r>
          </w:p>
        </w:tc>
        <w:tc>
          <w:tcPr>
            <w:tcW w:w="1245" w:type="dxa"/>
            <w:tcBorders>
              <w:top w:val="nil"/>
              <w:left w:val="nil"/>
              <w:bottom w:val="nil"/>
              <w:right w:val="single" w:sz="4" w:space="0" w:color="000000"/>
            </w:tcBorders>
            <w:shd w:val="clear" w:color="auto" w:fill="auto"/>
            <w:noWrap/>
            <w:vAlign w:val="center"/>
            <w:hideMark/>
          </w:tcPr>
          <w:p w14:paraId="6B7D4DC4"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.34</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right w:val="single" w:sz="8" w:space="0" w:color="auto"/>
            </w:tcBorders>
            <w:shd w:val="clear" w:color="auto" w:fill="auto"/>
            <w:noWrap/>
            <w:vAlign w:val="center"/>
            <w:hideMark/>
          </w:tcPr>
          <w:p w14:paraId="411D570F"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-.36</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right w:val="single" w:sz="4" w:space="0" w:color="000000"/>
            </w:tcBorders>
            <w:shd w:val="clear" w:color="auto" w:fill="auto"/>
            <w:noWrap/>
            <w:vAlign w:val="center"/>
            <w:hideMark/>
          </w:tcPr>
          <w:p w14:paraId="1DA1A1DC"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.44</w:t>
            </w:r>
            <w:r w:rsidRPr="00824C53">
              <w:rPr>
                <w:rFonts w:asciiTheme="minorHAnsi" w:eastAsia="Times New Roman" w:hAnsiTheme="minorHAnsi" w:cs="Arial"/>
                <w:color w:val="000000"/>
                <w:sz w:val="18"/>
                <w:szCs w:val="18"/>
                <w:vertAlign w:val="superscript"/>
              </w:rPr>
              <w:t>**</w:t>
            </w:r>
          </w:p>
        </w:tc>
        <w:tc>
          <w:tcPr>
            <w:tcW w:w="1245" w:type="dxa"/>
            <w:tcBorders>
              <w:top w:val="nil"/>
              <w:left w:val="nil"/>
              <w:bottom w:val="nil"/>
            </w:tcBorders>
            <w:shd w:val="clear" w:color="000000" w:fill="A6A6A6"/>
            <w:noWrap/>
            <w:vAlign w:val="center"/>
            <w:hideMark/>
          </w:tcPr>
          <w:p w14:paraId="5CCB2C5E"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nil"/>
              <w:bottom w:val="nil"/>
            </w:tcBorders>
            <w:shd w:val="clear" w:color="000000" w:fill="A6A6A6"/>
            <w:noWrap/>
            <w:vAlign w:val="center"/>
            <w:hideMark/>
          </w:tcPr>
          <w:p w14:paraId="7971FBDE"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nil"/>
              <w:left w:val="nil"/>
              <w:bottom w:val="nil"/>
            </w:tcBorders>
            <w:shd w:val="clear" w:color="000000" w:fill="A6A6A6"/>
            <w:noWrap/>
            <w:vAlign w:val="center"/>
            <w:hideMark/>
          </w:tcPr>
          <w:p w14:paraId="24D87F2B"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5" w:type="dxa"/>
            <w:tcBorders>
              <w:top w:val="nil"/>
              <w:bottom w:val="nil"/>
            </w:tcBorders>
            <w:shd w:val="clear" w:color="000000" w:fill="A6A6A6"/>
            <w:noWrap/>
            <w:vAlign w:val="center"/>
            <w:hideMark/>
          </w:tcPr>
          <w:p w14:paraId="2093507E"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r>
      <w:tr w:rsidR="00824C53" w:rsidRPr="00824C53" w14:paraId="283E3433" w14:textId="77777777" w:rsidTr="00824C53">
        <w:trPr>
          <w:trHeight w:val="300"/>
        </w:trPr>
        <w:tc>
          <w:tcPr>
            <w:tcW w:w="1843" w:type="dxa"/>
            <w:tcBorders>
              <w:top w:val="nil"/>
              <w:left w:val="nil"/>
              <w:bottom w:val="nil"/>
              <w:right w:val="nil"/>
            </w:tcBorders>
            <w:shd w:val="clear" w:color="auto" w:fill="auto"/>
            <w:noWrap/>
            <w:vAlign w:val="bottom"/>
            <w:hideMark/>
          </w:tcPr>
          <w:p w14:paraId="2C27F142" w14:textId="77777777" w:rsidR="00824C53" w:rsidRPr="00824C53" w:rsidRDefault="00824C53" w:rsidP="00B10D1C">
            <w:pPr>
              <w:spacing w:after="0" w:line="480" w:lineRule="auto"/>
              <w:rPr>
                <w:rFonts w:asciiTheme="minorHAnsi" w:eastAsia="Times New Roman" w:hAnsiTheme="minorHAnsi" w:cs="Arial"/>
                <w:color w:val="000000"/>
                <w:sz w:val="18"/>
                <w:szCs w:val="18"/>
              </w:rPr>
            </w:pPr>
          </w:p>
        </w:tc>
        <w:tc>
          <w:tcPr>
            <w:tcW w:w="2126" w:type="dxa"/>
            <w:tcBorders>
              <w:top w:val="nil"/>
              <w:left w:val="nil"/>
              <w:bottom w:val="nil"/>
              <w:right w:val="single" w:sz="4" w:space="0" w:color="auto"/>
            </w:tcBorders>
            <w:shd w:val="clear" w:color="auto" w:fill="auto"/>
            <w:hideMark/>
          </w:tcPr>
          <w:p w14:paraId="135F42CD"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HCR20 Risk</w:t>
            </w:r>
          </w:p>
        </w:tc>
        <w:tc>
          <w:tcPr>
            <w:tcW w:w="1244" w:type="dxa"/>
            <w:tcBorders>
              <w:top w:val="nil"/>
              <w:left w:val="single" w:sz="4" w:space="0" w:color="auto"/>
              <w:bottom w:val="nil"/>
              <w:right w:val="single" w:sz="4" w:space="0" w:color="000000"/>
            </w:tcBorders>
            <w:shd w:val="clear" w:color="auto" w:fill="auto"/>
            <w:noWrap/>
            <w:vAlign w:val="center"/>
            <w:hideMark/>
          </w:tcPr>
          <w:p w14:paraId="4892736F"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-.37</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right w:val="single" w:sz="4" w:space="0" w:color="000000"/>
            </w:tcBorders>
            <w:shd w:val="clear" w:color="auto" w:fill="auto"/>
            <w:noWrap/>
            <w:vAlign w:val="center"/>
            <w:hideMark/>
          </w:tcPr>
          <w:p w14:paraId="356355AC"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-.61</w:t>
            </w:r>
            <w:r w:rsidRPr="00824C53">
              <w:rPr>
                <w:rFonts w:asciiTheme="minorHAnsi" w:eastAsia="Times New Roman" w:hAnsiTheme="minorHAnsi" w:cs="Arial"/>
                <w:color w:val="000000"/>
                <w:sz w:val="18"/>
                <w:szCs w:val="18"/>
                <w:vertAlign w:val="superscript"/>
              </w:rPr>
              <w:t>**</w:t>
            </w:r>
          </w:p>
        </w:tc>
        <w:tc>
          <w:tcPr>
            <w:tcW w:w="1245" w:type="dxa"/>
            <w:tcBorders>
              <w:top w:val="nil"/>
              <w:left w:val="nil"/>
              <w:bottom w:val="nil"/>
              <w:right w:val="single" w:sz="4" w:space="0" w:color="000000"/>
            </w:tcBorders>
            <w:shd w:val="clear" w:color="auto" w:fill="auto"/>
            <w:noWrap/>
            <w:vAlign w:val="center"/>
            <w:hideMark/>
          </w:tcPr>
          <w:p w14:paraId="3EDA73FD"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.10</w:t>
            </w:r>
          </w:p>
        </w:tc>
        <w:tc>
          <w:tcPr>
            <w:tcW w:w="1244" w:type="dxa"/>
            <w:tcBorders>
              <w:top w:val="nil"/>
              <w:left w:val="nil"/>
              <w:bottom w:val="nil"/>
              <w:right w:val="single" w:sz="8" w:space="0" w:color="auto"/>
            </w:tcBorders>
            <w:shd w:val="clear" w:color="auto" w:fill="auto"/>
            <w:noWrap/>
            <w:vAlign w:val="center"/>
            <w:hideMark/>
          </w:tcPr>
          <w:p w14:paraId="5DA075D8"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-.51</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right w:val="single" w:sz="4" w:space="0" w:color="000000"/>
            </w:tcBorders>
            <w:shd w:val="clear" w:color="auto" w:fill="auto"/>
            <w:noWrap/>
            <w:vAlign w:val="center"/>
            <w:hideMark/>
          </w:tcPr>
          <w:p w14:paraId="6FD5BD80"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.42</w:t>
            </w:r>
            <w:r w:rsidRPr="00824C53">
              <w:rPr>
                <w:rFonts w:asciiTheme="minorHAnsi" w:eastAsia="Times New Roman" w:hAnsiTheme="minorHAnsi" w:cs="Arial"/>
                <w:color w:val="000000"/>
                <w:sz w:val="18"/>
                <w:szCs w:val="18"/>
                <w:vertAlign w:val="superscript"/>
              </w:rPr>
              <w:t>**</w:t>
            </w:r>
          </w:p>
        </w:tc>
        <w:tc>
          <w:tcPr>
            <w:tcW w:w="1245" w:type="dxa"/>
            <w:tcBorders>
              <w:top w:val="nil"/>
              <w:left w:val="nil"/>
              <w:bottom w:val="nil"/>
            </w:tcBorders>
            <w:shd w:val="clear" w:color="auto" w:fill="auto"/>
            <w:noWrap/>
            <w:vAlign w:val="center"/>
            <w:hideMark/>
          </w:tcPr>
          <w:p w14:paraId="75D3D620"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.50</w:t>
            </w:r>
            <w:r w:rsidRPr="00824C53">
              <w:rPr>
                <w:rFonts w:asciiTheme="minorHAnsi" w:eastAsia="Times New Roman" w:hAnsiTheme="minorHAnsi" w:cs="Arial"/>
                <w:color w:val="000000"/>
                <w:sz w:val="18"/>
                <w:szCs w:val="18"/>
                <w:vertAlign w:val="superscript"/>
              </w:rPr>
              <w:t>**</w:t>
            </w:r>
          </w:p>
        </w:tc>
        <w:tc>
          <w:tcPr>
            <w:tcW w:w="1244" w:type="dxa"/>
            <w:tcBorders>
              <w:top w:val="nil"/>
              <w:bottom w:val="nil"/>
            </w:tcBorders>
            <w:shd w:val="clear" w:color="000000" w:fill="A6A6A6"/>
            <w:noWrap/>
            <w:vAlign w:val="center"/>
            <w:hideMark/>
          </w:tcPr>
          <w:p w14:paraId="5ACA88ED"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nil"/>
              <w:left w:val="nil"/>
              <w:bottom w:val="nil"/>
            </w:tcBorders>
            <w:shd w:val="clear" w:color="000000" w:fill="A6A6A6"/>
            <w:noWrap/>
            <w:vAlign w:val="center"/>
            <w:hideMark/>
          </w:tcPr>
          <w:p w14:paraId="26F3DD51"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5" w:type="dxa"/>
            <w:tcBorders>
              <w:top w:val="nil"/>
              <w:bottom w:val="nil"/>
            </w:tcBorders>
            <w:shd w:val="clear" w:color="000000" w:fill="A6A6A6"/>
            <w:noWrap/>
            <w:vAlign w:val="center"/>
            <w:hideMark/>
          </w:tcPr>
          <w:p w14:paraId="747E3182"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r>
      <w:tr w:rsidR="00824C53" w:rsidRPr="00824C53" w14:paraId="5EC24810" w14:textId="77777777" w:rsidTr="00824C53">
        <w:trPr>
          <w:trHeight w:val="300"/>
        </w:trPr>
        <w:tc>
          <w:tcPr>
            <w:tcW w:w="1843" w:type="dxa"/>
            <w:tcBorders>
              <w:top w:val="nil"/>
              <w:left w:val="nil"/>
              <w:bottom w:val="nil"/>
              <w:right w:val="nil"/>
            </w:tcBorders>
            <w:shd w:val="clear" w:color="auto" w:fill="auto"/>
            <w:noWrap/>
            <w:vAlign w:val="bottom"/>
            <w:hideMark/>
          </w:tcPr>
          <w:p w14:paraId="7565589F" w14:textId="77777777" w:rsidR="00824C53" w:rsidRPr="00824C53" w:rsidRDefault="00824C53" w:rsidP="00B10D1C">
            <w:pPr>
              <w:spacing w:after="0" w:line="480" w:lineRule="auto"/>
              <w:rPr>
                <w:rFonts w:asciiTheme="minorHAnsi" w:eastAsia="Times New Roman" w:hAnsiTheme="minorHAnsi" w:cs="Arial"/>
                <w:color w:val="000000"/>
                <w:sz w:val="18"/>
                <w:szCs w:val="18"/>
              </w:rPr>
            </w:pPr>
          </w:p>
        </w:tc>
        <w:tc>
          <w:tcPr>
            <w:tcW w:w="2126" w:type="dxa"/>
            <w:tcBorders>
              <w:top w:val="nil"/>
              <w:left w:val="nil"/>
              <w:bottom w:val="nil"/>
              <w:right w:val="single" w:sz="4" w:space="0" w:color="auto"/>
            </w:tcBorders>
            <w:shd w:val="clear" w:color="auto" w:fill="auto"/>
            <w:hideMark/>
          </w:tcPr>
          <w:p w14:paraId="4C05D2A2"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HCR20 Total</w:t>
            </w:r>
          </w:p>
        </w:tc>
        <w:tc>
          <w:tcPr>
            <w:tcW w:w="1244" w:type="dxa"/>
            <w:tcBorders>
              <w:top w:val="nil"/>
              <w:left w:val="single" w:sz="4" w:space="0" w:color="auto"/>
              <w:bottom w:val="nil"/>
              <w:right w:val="single" w:sz="4" w:space="0" w:color="000000"/>
            </w:tcBorders>
            <w:shd w:val="clear" w:color="auto" w:fill="auto"/>
            <w:noWrap/>
            <w:vAlign w:val="center"/>
            <w:hideMark/>
          </w:tcPr>
          <w:p w14:paraId="166E68E5"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-.61</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right w:val="single" w:sz="4" w:space="0" w:color="000000"/>
            </w:tcBorders>
            <w:shd w:val="clear" w:color="auto" w:fill="auto"/>
            <w:noWrap/>
            <w:vAlign w:val="center"/>
            <w:hideMark/>
          </w:tcPr>
          <w:p w14:paraId="24BADD14"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-.65</w:t>
            </w:r>
            <w:r w:rsidRPr="00824C53">
              <w:rPr>
                <w:rFonts w:asciiTheme="minorHAnsi" w:eastAsia="Times New Roman" w:hAnsiTheme="minorHAnsi" w:cs="Arial"/>
                <w:color w:val="000000"/>
                <w:sz w:val="18"/>
                <w:szCs w:val="18"/>
                <w:vertAlign w:val="superscript"/>
              </w:rPr>
              <w:t>**</w:t>
            </w:r>
          </w:p>
        </w:tc>
        <w:tc>
          <w:tcPr>
            <w:tcW w:w="1245" w:type="dxa"/>
            <w:tcBorders>
              <w:top w:val="nil"/>
              <w:left w:val="nil"/>
              <w:bottom w:val="nil"/>
              <w:right w:val="single" w:sz="4" w:space="0" w:color="000000"/>
            </w:tcBorders>
            <w:shd w:val="clear" w:color="auto" w:fill="auto"/>
            <w:noWrap/>
            <w:vAlign w:val="center"/>
            <w:hideMark/>
          </w:tcPr>
          <w:p w14:paraId="2FC01179"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.23</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right w:val="single" w:sz="8" w:space="0" w:color="auto"/>
            </w:tcBorders>
            <w:shd w:val="clear" w:color="auto" w:fill="auto"/>
            <w:noWrap/>
            <w:vAlign w:val="center"/>
            <w:hideMark/>
          </w:tcPr>
          <w:p w14:paraId="766B1430"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-.58</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right w:val="single" w:sz="4" w:space="0" w:color="000000"/>
            </w:tcBorders>
            <w:shd w:val="clear" w:color="auto" w:fill="auto"/>
            <w:noWrap/>
            <w:vAlign w:val="center"/>
            <w:hideMark/>
          </w:tcPr>
          <w:p w14:paraId="04F26F5A"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.89</w:t>
            </w:r>
            <w:r w:rsidRPr="00824C53">
              <w:rPr>
                <w:rFonts w:asciiTheme="minorHAnsi" w:eastAsia="Times New Roman" w:hAnsiTheme="minorHAnsi" w:cs="Arial"/>
                <w:color w:val="000000"/>
                <w:sz w:val="18"/>
                <w:szCs w:val="18"/>
                <w:vertAlign w:val="superscript"/>
              </w:rPr>
              <w:t>**</w:t>
            </w:r>
          </w:p>
        </w:tc>
        <w:tc>
          <w:tcPr>
            <w:tcW w:w="1245" w:type="dxa"/>
            <w:tcBorders>
              <w:top w:val="nil"/>
              <w:left w:val="nil"/>
              <w:bottom w:val="nil"/>
              <w:right w:val="single" w:sz="4" w:space="0" w:color="000000"/>
            </w:tcBorders>
            <w:shd w:val="clear" w:color="auto" w:fill="auto"/>
            <w:noWrap/>
            <w:vAlign w:val="center"/>
            <w:hideMark/>
          </w:tcPr>
          <w:p w14:paraId="63A67130"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.76</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right w:val="single" w:sz="4" w:space="0" w:color="000000"/>
            </w:tcBorders>
            <w:shd w:val="clear" w:color="auto" w:fill="auto"/>
            <w:noWrap/>
            <w:vAlign w:val="center"/>
            <w:hideMark/>
          </w:tcPr>
          <w:p w14:paraId="03511FB3"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.69</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tcBorders>
            <w:shd w:val="clear" w:color="000000" w:fill="A6A6A6"/>
            <w:noWrap/>
            <w:vAlign w:val="center"/>
            <w:hideMark/>
          </w:tcPr>
          <w:p w14:paraId="5A39C0A9"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5" w:type="dxa"/>
            <w:tcBorders>
              <w:top w:val="nil"/>
              <w:bottom w:val="nil"/>
            </w:tcBorders>
            <w:shd w:val="clear" w:color="000000" w:fill="A6A6A6"/>
            <w:noWrap/>
            <w:vAlign w:val="center"/>
            <w:hideMark/>
          </w:tcPr>
          <w:p w14:paraId="74A0FACC"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r>
      <w:tr w:rsidR="00824C53" w:rsidRPr="00824C53" w14:paraId="2A6DDF86" w14:textId="77777777" w:rsidTr="00824C53">
        <w:trPr>
          <w:trHeight w:val="300"/>
        </w:trPr>
        <w:tc>
          <w:tcPr>
            <w:tcW w:w="1843" w:type="dxa"/>
            <w:tcBorders>
              <w:top w:val="nil"/>
              <w:left w:val="nil"/>
              <w:bottom w:val="nil"/>
              <w:right w:val="nil"/>
            </w:tcBorders>
            <w:shd w:val="clear" w:color="auto" w:fill="auto"/>
            <w:noWrap/>
            <w:vAlign w:val="bottom"/>
            <w:hideMark/>
          </w:tcPr>
          <w:p w14:paraId="5E5373A3" w14:textId="77777777" w:rsidR="00824C53" w:rsidRPr="00824C53" w:rsidRDefault="00824C53" w:rsidP="00B10D1C">
            <w:pPr>
              <w:spacing w:after="0" w:line="480" w:lineRule="auto"/>
              <w:rPr>
                <w:rFonts w:asciiTheme="minorHAnsi" w:eastAsia="Times New Roman" w:hAnsiTheme="minorHAnsi" w:cs="Arial"/>
                <w:color w:val="000000"/>
                <w:sz w:val="18"/>
                <w:szCs w:val="18"/>
              </w:rPr>
            </w:pPr>
          </w:p>
        </w:tc>
        <w:tc>
          <w:tcPr>
            <w:tcW w:w="2126" w:type="dxa"/>
            <w:tcBorders>
              <w:top w:val="nil"/>
              <w:left w:val="nil"/>
              <w:bottom w:val="nil"/>
              <w:right w:val="single" w:sz="4" w:space="0" w:color="auto"/>
            </w:tcBorders>
            <w:shd w:val="clear" w:color="auto" w:fill="auto"/>
            <w:hideMark/>
          </w:tcPr>
          <w:p w14:paraId="42882EA6"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HCR20-SAPROF Index</w:t>
            </w:r>
          </w:p>
        </w:tc>
        <w:tc>
          <w:tcPr>
            <w:tcW w:w="1244" w:type="dxa"/>
            <w:tcBorders>
              <w:top w:val="nil"/>
              <w:left w:val="single" w:sz="4" w:space="0" w:color="auto"/>
              <w:bottom w:val="nil"/>
              <w:right w:val="single" w:sz="4" w:space="0" w:color="000000"/>
            </w:tcBorders>
            <w:shd w:val="clear" w:color="auto" w:fill="auto"/>
            <w:noWrap/>
            <w:vAlign w:val="center"/>
            <w:hideMark/>
          </w:tcPr>
          <w:p w14:paraId="7D72687F"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-.73</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right w:val="single" w:sz="4" w:space="0" w:color="000000"/>
            </w:tcBorders>
            <w:shd w:val="clear" w:color="auto" w:fill="auto"/>
            <w:noWrap/>
            <w:vAlign w:val="center"/>
            <w:hideMark/>
          </w:tcPr>
          <w:p w14:paraId="291FDA4E"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-.77</w:t>
            </w:r>
            <w:r w:rsidRPr="00824C53">
              <w:rPr>
                <w:rFonts w:asciiTheme="minorHAnsi" w:eastAsia="Times New Roman" w:hAnsiTheme="minorHAnsi" w:cs="Arial"/>
                <w:color w:val="000000"/>
                <w:sz w:val="18"/>
                <w:szCs w:val="18"/>
                <w:vertAlign w:val="superscript"/>
              </w:rPr>
              <w:t>**</w:t>
            </w:r>
          </w:p>
        </w:tc>
        <w:tc>
          <w:tcPr>
            <w:tcW w:w="1245" w:type="dxa"/>
            <w:tcBorders>
              <w:top w:val="nil"/>
              <w:left w:val="nil"/>
              <w:bottom w:val="nil"/>
              <w:right w:val="single" w:sz="4" w:space="0" w:color="000000"/>
            </w:tcBorders>
            <w:shd w:val="clear" w:color="auto" w:fill="auto"/>
            <w:noWrap/>
            <w:vAlign w:val="center"/>
            <w:hideMark/>
          </w:tcPr>
          <w:p w14:paraId="4606BA14"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.00</w:t>
            </w:r>
          </w:p>
        </w:tc>
        <w:tc>
          <w:tcPr>
            <w:tcW w:w="1244" w:type="dxa"/>
            <w:tcBorders>
              <w:top w:val="nil"/>
              <w:left w:val="nil"/>
              <w:bottom w:val="nil"/>
              <w:right w:val="single" w:sz="8" w:space="0" w:color="auto"/>
            </w:tcBorders>
            <w:shd w:val="clear" w:color="auto" w:fill="auto"/>
            <w:noWrap/>
            <w:vAlign w:val="center"/>
            <w:hideMark/>
          </w:tcPr>
          <w:p w14:paraId="0B1D5FA5"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-.82</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right w:val="single" w:sz="4" w:space="0" w:color="000000"/>
            </w:tcBorders>
            <w:shd w:val="clear" w:color="auto" w:fill="auto"/>
            <w:noWrap/>
            <w:vAlign w:val="center"/>
            <w:hideMark/>
          </w:tcPr>
          <w:p w14:paraId="00EAF045"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.84</w:t>
            </w:r>
            <w:r w:rsidRPr="00824C53">
              <w:rPr>
                <w:rFonts w:asciiTheme="minorHAnsi" w:eastAsia="Times New Roman" w:hAnsiTheme="minorHAnsi" w:cs="Arial"/>
                <w:color w:val="000000"/>
                <w:sz w:val="18"/>
                <w:szCs w:val="18"/>
                <w:vertAlign w:val="superscript"/>
              </w:rPr>
              <w:t>**</w:t>
            </w:r>
          </w:p>
        </w:tc>
        <w:tc>
          <w:tcPr>
            <w:tcW w:w="1245" w:type="dxa"/>
            <w:tcBorders>
              <w:top w:val="nil"/>
              <w:left w:val="nil"/>
              <w:bottom w:val="nil"/>
              <w:right w:val="single" w:sz="4" w:space="0" w:color="000000"/>
            </w:tcBorders>
            <w:shd w:val="clear" w:color="auto" w:fill="auto"/>
            <w:noWrap/>
            <w:vAlign w:val="center"/>
            <w:hideMark/>
          </w:tcPr>
          <w:p w14:paraId="50104ACD"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.68</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right w:val="single" w:sz="4" w:space="0" w:color="000000"/>
            </w:tcBorders>
            <w:shd w:val="clear" w:color="auto" w:fill="auto"/>
            <w:noWrap/>
            <w:vAlign w:val="center"/>
            <w:hideMark/>
          </w:tcPr>
          <w:p w14:paraId="1C127C1C"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.70</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tcBorders>
            <w:shd w:val="clear" w:color="auto" w:fill="auto"/>
            <w:noWrap/>
            <w:vAlign w:val="center"/>
            <w:hideMark/>
          </w:tcPr>
          <w:p w14:paraId="0C2FF0C1"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.94</w:t>
            </w:r>
            <w:r w:rsidRPr="00824C53">
              <w:rPr>
                <w:rFonts w:asciiTheme="minorHAnsi" w:eastAsia="Times New Roman" w:hAnsiTheme="minorHAnsi" w:cs="Arial"/>
                <w:color w:val="000000"/>
                <w:sz w:val="18"/>
                <w:szCs w:val="18"/>
                <w:vertAlign w:val="superscript"/>
              </w:rPr>
              <w:t>**</w:t>
            </w:r>
          </w:p>
        </w:tc>
        <w:tc>
          <w:tcPr>
            <w:tcW w:w="1245" w:type="dxa"/>
            <w:tcBorders>
              <w:top w:val="nil"/>
              <w:bottom w:val="nil"/>
            </w:tcBorders>
            <w:shd w:val="clear" w:color="000000" w:fill="A6A6A6"/>
            <w:noWrap/>
            <w:vAlign w:val="center"/>
            <w:hideMark/>
          </w:tcPr>
          <w:p w14:paraId="2633C088"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r>
      <w:tr w:rsidR="00824C53" w:rsidRPr="00824C53" w14:paraId="09578F91" w14:textId="77777777" w:rsidTr="00824C53">
        <w:trPr>
          <w:trHeight w:val="315"/>
        </w:trPr>
        <w:tc>
          <w:tcPr>
            <w:tcW w:w="1843" w:type="dxa"/>
            <w:tcBorders>
              <w:top w:val="nil"/>
              <w:left w:val="nil"/>
              <w:bottom w:val="single" w:sz="8" w:space="0" w:color="auto"/>
              <w:right w:val="nil"/>
            </w:tcBorders>
            <w:shd w:val="clear" w:color="auto" w:fill="auto"/>
            <w:noWrap/>
            <w:vAlign w:val="bottom"/>
            <w:hideMark/>
          </w:tcPr>
          <w:p w14:paraId="5424E169"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lastRenderedPageBreak/>
              <w:t> </w:t>
            </w:r>
          </w:p>
        </w:tc>
        <w:tc>
          <w:tcPr>
            <w:tcW w:w="2126" w:type="dxa"/>
            <w:tcBorders>
              <w:top w:val="nil"/>
              <w:left w:val="nil"/>
              <w:bottom w:val="single" w:sz="8" w:space="0" w:color="auto"/>
              <w:right w:val="single" w:sz="4" w:space="0" w:color="auto"/>
            </w:tcBorders>
            <w:shd w:val="clear" w:color="auto" w:fill="auto"/>
            <w:hideMark/>
          </w:tcPr>
          <w:p w14:paraId="25E848CC"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PCL-SV Total</w:t>
            </w:r>
          </w:p>
        </w:tc>
        <w:tc>
          <w:tcPr>
            <w:tcW w:w="1244" w:type="dxa"/>
            <w:tcBorders>
              <w:top w:val="nil"/>
              <w:left w:val="single" w:sz="4" w:space="0" w:color="auto"/>
              <w:bottom w:val="single" w:sz="8" w:space="0" w:color="auto"/>
              <w:right w:val="single" w:sz="4" w:space="0" w:color="000000"/>
            </w:tcBorders>
            <w:shd w:val="clear" w:color="auto" w:fill="auto"/>
            <w:noWrap/>
            <w:vAlign w:val="center"/>
            <w:hideMark/>
          </w:tcPr>
          <w:p w14:paraId="5B3D70CE"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-.72</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single" w:sz="8" w:space="0" w:color="auto"/>
              <w:right w:val="single" w:sz="4" w:space="0" w:color="000000"/>
            </w:tcBorders>
            <w:shd w:val="clear" w:color="auto" w:fill="auto"/>
            <w:noWrap/>
            <w:vAlign w:val="center"/>
            <w:hideMark/>
          </w:tcPr>
          <w:p w14:paraId="5F1D7F9A"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-.49</w:t>
            </w:r>
            <w:r w:rsidRPr="00824C53">
              <w:rPr>
                <w:rFonts w:asciiTheme="minorHAnsi" w:eastAsia="Times New Roman" w:hAnsiTheme="minorHAnsi" w:cs="Arial"/>
                <w:color w:val="000000"/>
                <w:sz w:val="18"/>
                <w:szCs w:val="18"/>
                <w:vertAlign w:val="superscript"/>
              </w:rPr>
              <w:t>**</w:t>
            </w:r>
          </w:p>
        </w:tc>
        <w:tc>
          <w:tcPr>
            <w:tcW w:w="1245" w:type="dxa"/>
            <w:tcBorders>
              <w:top w:val="nil"/>
              <w:left w:val="nil"/>
              <w:bottom w:val="single" w:sz="4" w:space="0" w:color="auto"/>
              <w:right w:val="single" w:sz="4" w:space="0" w:color="000000"/>
            </w:tcBorders>
            <w:shd w:val="clear" w:color="auto" w:fill="auto"/>
            <w:noWrap/>
            <w:vAlign w:val="center"/>
            <w:hideMark/>
          </w:tcPr>
          <w:p w14:paraId="09B51EF3"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-.06</w:t>
            </w:r>
          </w:p>
        </w:tc>
        <w:tc>
          <w:tcPr>
            <w:tcW w:w="1244" w:type="dxa"/>
            <w:tcBorders>
              <w:top w:val="nil"/>
              <w:left w:val="nil"/>
              <w:bottom w:val="single" w:sz="4" w:space="0" w:color="auto"/>
              <w:right w:val="single" w:sz="8" w:space="0" w:color="auto"/>
            </w:tcBorders>
            <w:shd w:val="clear" w:color="auto" w:fill="auto"/>
            <w:noWrap/>
            <w:vAlign w:val="center"/>
            <w:hideMark/>
          </w:tcPr>
          <w:p w14:paraId="04710841"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-.66</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single" w:sz="4" w:space="0" w:color="auto"/>
              <w:right w:val="single" w:sz="4" w:space="0" w:color="000000"/>
            </w:tcBorders>
            <w:shd w:val="clear" w:color="auto" w:fill="auto"/>
            <w:noWrap/>
            <w:vAlign w:val="center"/>
            <w:hideMark/>
          </w:tcPr>
          <w:p w14:paraId="7F564D06"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.69</w:t>
            </w:r>
            <w:r w:rsidRPr="00824C53">
              <w:rPr>
                <w:rFonts w:asciiTheme="minorHAnsi" w:eastAsia="Times New Roman" w:hAnsiTheme="minorHAnsi" w:cs="Arial"/>
                <w:color w:val="000000"/>
                <w:sz w:val="18"/>
                <w:szCs w:val="18"/>
                <w:vertAlign w:val="superscript"/>
              </w:rPr>
              <w:t>**</w:t>
            </w:r>
          </w:p>
        </w:tc>
        <w:tc>
          <w:tcPr>
            <w:tcW w:w="1245" w:type="dxa"/>
            <w:tcBorders>
              <w:top w:val="nil"/>
              <w:left w:val="nil"/>
              <w:bottom w:val="single" w:sz="4" w:space="0" w:color="auto"/>
              <w:right w:val="single" w:sz="4" w:space="0" w:color="000000"/>
            </w:tcBorders>
            <w:shd w:val="clear" w:color="auto" w:fill="auto"/>
            <w:noWrap/>
            <w:vAlign w:val="center"/>
            <w:hideMark/>
          </w:tcPr>
          <w:p w14:paraId="2CD5CDDA"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.46</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single" w:sz="4" w:space="0" w:color="auto"/>
              <w:right w:val="single" w:sz="4" w:space="0" w:color="000000"/>
            </w:tcBorders>
            <w:shd w:val="clear" w:color="auto" w:fill="auto"/>
            <w:noWrap/>
            <w:vAlign w:val="center"/>
            <w:hideMark/>
          </w:tcPr>
          <w:p w14:paraId="2146E29D"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.46</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single" w:sz="4" w:space="0" w:color="auto"/>
              <w:right w:val="single" w:sz="8" w:space="0" w:color="auto"/>
            </w:tcBorders>
            <w:shd w:val="clear" w:color="auto" w:fill="auto"/>
            <w:noWrap/>
            <w:vAlign w:val="center"/>
            <w:hideMark/>
          </w:tcPr>
          <w:p w14:paraId="37706047"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.71</w:t>
            </w:r>
            <w:r w:rsidRPr="00824C53">
              <w:rPr>
                <w:rFonts w:asciiTheme="minorHAnsi" w:eastAsia="Times New Roman" w:hAnsiTheme="minorHAnsi" w:cs="Arial"/>
                <w:color w:val="000000"/>
                <w:sz w:val="18"/>
                <w:szCs w:val="18"/>
                <w:vertAlign w:val="superscript"/>
              </w:rPr>
              <w:t>**</w:t>
            </w:r>
          </w:p>
        </w:tc>
        <w:tc>
          <w:tcPr>
            <w:tcW w:w="1245" w:type="dxa"/>
            <w:tcBorders>
              <w:top w:val="nil"/>
              <w:left w:val="nil"/>
              <w:bottom w:val="single" w:sz="4" w:space="0" w:color="auto"/>
            </w:tcBorders>
            <w:shd w:val="clear" w:color="auto" w:fill="auto"/>
            <w:noWrap/>
            <w:vAlign w:val="center"/>
            <w:hideMark/>
          </w:tcPr>
          <w:p w14:paraId="6D2A42F5"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.77</w:t>
            </w:r>
            <w:r w:rsidRPr="00824C53">
              <w:rPr>
                <w:rFonts w:asciiTheme="minorHAnsi" w:eastAsia="Times New Roman" w:hAnsiTheme="minorHAnsi" w:cs="Arial"/>
                <w:color w:val="000000"/>
                <w:sz w:val="18"/>
                <w:szCs w:val="18"/>
                <w:vertAlign w:val="superscript"/>
              </w:rPr>
              <w:t>**</w:t>
            </w:r>
          </w:p>
        </w:tc>
      </w:tr>
      <w:tr w:rsidR="00824C53" w:rsidRPr="00824C53" w14:paraId="49950A03" w14:textId="77777777" w:rsidTr="00824C53">
        <w:trPr>
          <w:trHeight w:val="300"/>
        </w:trPr>
        <w:tc>
          <w:tcPr>
            <w:tcW w:w="1843" w:type="dxa"/>
            <w:tcBorders>
              <w:top w:val="nil"/>
              <w:left w:val="nil"/>
              <w:bottom w:val="nil"/>
              <w:right w:val="nil"/>
            </w:tcBorders>
            <w:shd w:val="clear" w:color="auto" w:fill="auto"/>
            <w:noWrap/>
            <w:vAlign w:val="bottom"/>
            <w:hideMark/>
          </w:tcPr>
          <w:p w14:paraId="7F2B6A24"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Community</w:t>
            </w:r>
          </w:p>
        </w:tc>
        <w:tc>
          <w:tcPr>
            <w:tcW w:w="2126" w:type="dxa"/>
            <w:tcBorders>
              <w:top w:val="nil"/>
              <w:left w:val="nil"/>
              <w:bottom w:val="nil"/>
              <w:right w:val="single" w:sz="4" w:space="0" w:color="auto"/>
            </w:tcBorders>
            <w:shd w:val="clear" w:color="auto" w:fill="auto"/>
            <w:hideMark/>
          </w:tcPr>
          <w:p w14:paraId="3F93D752"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SAPROF Motivational</w:t>
            </w:r>
          </w:p>
        </w:tc>
        <w:tc>
          <w:tcPr>
            <w:tcW w:w="1244" w:type="dxa"/>
            <w:tcBorders>
              <w:top w:val="nil"/>
              <w:left w:val="single" w:sz="4" w:space="0" w:color="auto"/>
              <w:bottom w:val="nil"/>
              <w:right w:val="single" w:sz="4" w:space="0" w:color="000000"/>
            </w:tcBorders>
            <w:shd w:val="clear" w:color="auto" w:fill="auto"/>
            <w:noWrap/>
            <w:vAlign w:val="center"/>
            <w:hideMark/>
          </w:tcPr>
          <w:p w14:paraId="25B84287"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.47</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tcBorders>
            <w:shd w:val="clear" w:color="000000" w:fill="A6A6A6"/>
            <w:noWrap/>
            <w:vAlign w:val="center"/>
            <w:hideMark/>
          </w:tcPr>
          <w:p w14:paraId="28DCF170"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5" w:type="dxa"/>
            <w:tcBorders>
              <w:top w:val="single" w:sz="4" w:space="0" w:color="auto"/>
              <w:bottom w:val="nil"/>
            </w:tcBorders>
            <w:shd w:val="clear" w:color="000000" w:fill="A6A6A6"/>
            <w:noWrap/>
            <w:vAlign w:val="center"/>
            <w:hideMark/>
          </w:tcPr>
          <w:p w14:paraId="3F271899"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single" w:sz="4" w:space="0" w:color="auto"/>
              <w:bottom w:val="nil"/>
            </w:tcBorders>
            <w:shd w:val="clear" w:color="000000" w:fill="A6A6A6"/>
            <w:noWrap/>
            <w:vAlign w:val="center"/>
            <w:hideMark/>
          </w:tcPr>
          <w:p w14:paraId="59E7874A"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single" w:sz="4" w:space="0" w:color="auto"/>
              <w:bottom w:val="nil"/>
            </w:tcBorders>
            <w:shd w:val="clear" w:color="000000" w:fill="A6A6A6"/>
            <w:noWrap/>
            <w:vAlign w:val="center"/>
            <w:hideMark/>
          </w:tcPr>
          <w:p w14:paraId="223DF654"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5" w:type="dxa"/>
            <w:tcBorders>
              <w:top w:val="single" w:sz="4" w:space="0" w:color="auto"/>
              <w:bottom w:val="nil"/>
            </w:tcBorders>
            <w:shd w:val="clear" w:color="000000" w:fill="A6A6A6"/>
            <w:noWrap/>
            <w:vAlign w:val="center"/>
            <w:hideMark/>
          </w:tcPr>
          <w:p w14:paraId="3E1FC331"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single" w:sz="4" w:space="0" w:color="auto"/>
              <w:bottom w:val="nil"/>
            </w:tcBorders>
            <w:shd w:val="clear" w:color="000000" w:fill="A6A6A6"/>
            <w:noWrap/>
            <w:vAlign w:val="center"/>
            <w:hideMark/>
          </w:tcPr>
          <w:p w14:paraId="638FFE00"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single" w:sz="4" w:space="0" w:color="auto"/>
              <w:bottom w:val="nil"/>
            </w:tcBorders>
            <w:shd w:val="clear" w:color="000000" w:fill="A6A6A6"/>
            <w:noWrap/>
            <w:vAlign w:val="center"/>
            <w:hideMark/>
          </w:tcPr>
          <w:p w14:paraId="26101F9E"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5" w:type="dxa"/>
            <w:tcBorders>
              <w:top w:val="single" w:sz="4" w:space="0" w:color="auto"/>
              <w:bottom w:val="nil"/>
            </w:tcBorders>
            <w:shd w:val="clear" w:color="000000" w:fill="A6A6A6"/>
            <w:noWrap/>
            <w:vAlign w:val="center"/>
            <w:hideMark/>
          </w:tcPr>
          <w:p w14:paraId="5399AD2A"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r>
      <w:tr w:rsidR="00824C53" w:rsidRPr="00824C53" w14:paraId="55C4A5D0" w14:textId="77777777" w:rsidTr="00824C53">
        <w:trPr>
          <w:trHeight w:val="300"/>
        </w:trPr>
        <w:tc>
          <w:tcPr>
            <w:tcW w:w="1843" w:type="dxa"/>
            <w:tcBorders>
              <w:top w:val="nil"/>
              <w:left w:val="nil"/>
              <w:bottom w:val="nil"/>
              <w:right w:val="nil"/>
            </w:tcBorders>
            <w:shd w:val="clear" w:color="auto" w:fill="auto"/>
            <w:noWrap/>
            <w:vAlign w:val="bottom"/>
            <w:hideMark/>
          </w:tcPr>
          <w:p w14:paraId="75ADE230"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n=106</w:t>
            </w:r>
          </w:p>
        </w:tc>
        <w:tc>
          <w:tcPr>
            <w:tcW w:w="2126" w:type="dxa"/>
            <w:tcBorders>
              <w:top w:val="nil"/>
              <w:left w:val="nil"/>
              <w:bottom w:val="nil"/>
              <w:right w:val="single" w:sz="4" w:space="0" w:color="auto"/>
            </w:tcBorders>
            <w:shd w:val="clear" w:color="auto" w:fill="auto"/>
            <w:hideMark/>
          </w:tcPr>
          <w:p w14:paraId="2ACB481F"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SAPROF External</w:t>
            </w:r>
          </w:p>
        </w:tc>
        <w:tc>
          <w:tcPr>
            <w:tcW w:w="1244" w:type="dxa"/>
            <w:tcBorders>
              <w:top w:val="nil"/>
              <w:left w:val="single" w:sz="4" w:space="0" w:color="auto"/>
              <w:bottom w:val="nil"/>
              <w:right w:val="single" w:sz="4" w:space="0" w:color="000000"/>
            </w:tcBorders>
            <w:shd w:val="clear" w:color="auto" w:fill="auto"/>
            <w:noWrap/>
            <w:vAlign w:val="center"/>
            <w:hideMark/>
          </w:tcPr>
          <w:p w14:paraId="539A8A54"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-.21</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tcBorders>
            <w:shd w:val="clear" w:color="auto" w:fill="auto"/>
            <w:noWrap/>
            <w:vAlign w:val="center"/>
            <w:hideMark/>
          </w:tcPr>
          <w:p w14:paraId="6AB993C7"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.27</w:t>
            </w:r>
            <w:r w:rsidRPr="00824C53">
              <w:rPr>
                <w:rFonts w:asciiTheme="minorHAnsi" w:eastAsia="Times New Roman" w:hAnsiTheme="minorHAnsi" w:cs="Arial"/>
                <w:color w:val="000000"/>
                <w:sz w:val="18"/>
                <w:szCs w:val="18"/>
                <w:vertAlign w:val="superscript"/>
              </w:rPr>
              <w:t>**</w:t>
            </w:r>
          </w:p>
        </w:tc>
        <w:tc>
          <w:tcPr>
            <w:tcW w:w="1245" w:type="dxa"/>
            <w:tcBorders>
              <w:top w:val="nil"/>
              <w:bottom w:val="nil"/>
            </w:tcBorders>
            <w:shd w:val="clear" w:color="000000" w:fill="A6A6A6"/>
            <w:noWrap/>
            <w:vAlign w:val="center"/>
            <w:hideMark/>
          </w:tcPr>
          <w:p w14:paraId="6C671C45"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nil"/>
              <w:bottom w:val="nil"/>
            </w:tcBorders>
            <w:shd w:val="clear" w:color="000000" w:fill="A6A6A6"/>
            <w:noWrap/>
            <w:vAlign w:val="center"/>
            <w:hideMark/>
          </w:tcPr>
          <w:p w14:paraId="4AB4813F"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nil"/>
              <w:bottom w:val="nil"/>
            </w:tcBorders>
            <w:shd w:val="clear" w:color="000000" w:fill="A6A6A6"/>
            <w:noWrap/>
            <w:vAlign w:val="center"/>
            <w:hideMark/>
          </w:tcPr>
          <w:p w14:paraId="09CF233C"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5" w:type="dxa"/>
            <w:tcBorders>
              <w:top w:val="nil"/>
              <w:bottom w:val="nil"/>
            </w:tcBorders>
            <w:shd w:val="clear" w:color="000000" w:fill="A6A6A6"/>
            <w:noWrap/>
            <w:vAlign w:val="center"/>
            <w:hideMark/>
          </w:tcPr>
          <w:p w14:paraId="6A876400"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nil"/>
              <w:bottom w:val="nil"/>
            </w:tcBorders>
            <w:shd w:val="clear" w:color="000000" w:fill="A6A6A6"/>
            <w:noWrap/>
            <w:vAlign w:val="center"/>
            <w:hideMark/>
          </w:tcPr>
          <w:p w14:paraId="67143E79"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nil"/>
              <w:bottom w:val="nil"/>
            </w:tcBorders>
            <w:shd w:val="clear" w:color="000000" w:fill="A6A6A6"/>
            <w:noWrap/>
            <w:vAlign w:val="center"/>
            <w:hideMark/>
          </w:tcPr>
          <w:p w14:paraId="0EAD8612"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5" w:type="dxa"/>
            <w:tcBorders>
              <w:top w:val="nil"/>
              <w:bottom w:val="nil"/>
            </w:tcBorders>
            <w:shd w:val="clear" w:color="000000" w:fill="A6A6A6"/>
            <w:noWrap/>
            <w:vAlign w:val="center"/>
            <w:hideMark/>
          </w:tcPr>
          <w:p w14:paraId="31FD1969"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r>
      <w:tr w:rsidR="00824C53" w:rsidRPr="00824C53" w14:paraId="3522DFE7" w14:textId="77777777" w:rsidTr="00824C53">
        <w:trPr>
          <w:trHeight w:val="300"/>
        </w:trPr>
        <w:tc>
          <w:tcPr>
            <w:tcW w:w="1843" w:type="dxa"/>
            <w:tcBorders>
              <w:top w:val="nil"/>
              <w:left w:val="nil"/>
              <w:bottom w:val="nil"/>
              <w:right w:val="nil"/>
            </w:tcBorders>
            <w:shd w:val="clear" w:color="auto" w:fill="auto"/>
            <w:noWrap/>
            <w:vAlign w:val="bottom"/>
            <w:hideMark/>
          </w:tcPr>
          <w:p w14:paraId="741A0024" w14:textId="77777777" w:rsidR="00824C53" w:rsidRPr="00824C53" w:rsidRDefault="00824C53" w:rsidP="00B10D1C">
            <w:pPr>
              <w:spacing w:after="0" w:line="480" w:lineRule="auto"/>
              <w:rPr>
                <w:rFonts w:asciiTheme="minorHAnsi" w:eastAsia="Times New Roman" w:hAnsiTheme="minorHAnsi" w:cs="Arial"/>
                <w:color w:val="000000"/>
                <w:sz w:val="18"/>
                <w:szCs w:val="18"/>
              </w:rPr>
            </w:pPr>
          </w:p>
        </w:tc>
        <w:tc>
          <w:tcPr>
            <w:tcW w:w="2126" w:type="dxa"/>
            <w:tcBorders>
              <w:top w:val="nil"/>
              <w:left w:val="nil"/>
              <w:bottom w:val="nil"/>
              <w:right w:val="single" w:sz="4" w:space="0" w:color="auto"/>
            </w:tcBorders>
            <w:shd w:val="clear" w:color="auto" w:fill="auto"/>
            <w:hideMark/>
          </w:tcPr>
          <w:p w14:paraId="24844E48"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SAPROF Total</w:t>
            </w:r>
          </w:p>
        </w:tc>
        <w:tc>
          <w:tcPr>
            <w:tcW w:w="1244" w:type="dxa"/>
            <w:tcBorders>
              <w:top w:val="nil"/>
              <w:left w:val="single" w:sz="4" w:space="0" w:color="auto"/>
              <w:bottom w:val="nil"/>
              <w:right w:val="single" w:sz="4" w:space="0" w:color="000000"/>
            </w:tcBorders>
            <w:shd w:val="clear" w:color="auto" w:fill="auto"/>
            <w:noWrap/>
            <w:vAlign w:val="center"/>
            <w:hideMark/>
          </w:tcPr>
          <w:p w14:paraId="02BBD489"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.64</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right w:val="single" w:sz="4" w:space="0" w:color="000000"/>
            </w:tcBorders>
            <w:shd w:val="clear" w:color="auto" w:fill="auto"/>
            <w:noWrap/>
            <w:vAlign w:val="center"/>
            <w:hideMark/>
          </w:tcPr>
          <w:p w14:paraId="7AD53DF8"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.91</w:t>
            </w:r>
            <w:r w:rsidRPr="00824C53">
              <w:rPr>
                <w:rFonts w:asciiTheme="minorHAnsi" w:eastAsia="Times New Roman" w:hAnsiTheme="minorHAnsi" w:cs="Arial"/>
                <w:color w:val="000000"/>
                <w:sz w:val="18"/>
                <w:szCs w:val="18"/>
                <w:vertAlign w:val="superscript"/>
              </w:rPr>
              <w:t>**</w:t>
            </w:r>
          </w:p>
        </w:tc>
        <w:tc>
          <w:tcPr>
            <w:tcW w:w="1245" w:type="dxa"/>
            <w:tcBorders>
              <w:top w:val="nil"/>
              <w:left w:val="nil"/>
              <w:bottom w:val="nil"/>
            </w:tcBorders>
            <w:shd w:val="clear" w:color="auto" w:fill="auto"/>
            <w:noWrap/>
            <w:vAlign w:val="center"/>
            <w:hideMark/>
          </w:tcPr>
          <w:p w14:paraId="61B747C2"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.45</w:t>
            </w:r>
            <w:r w:rsidRPr="00824C53">
              <w:rPr>
                <w:rFonts w:asciiTheme="minorHAnsi" w:eastAsia="Times New Roman" w:hAnsiTheme="minorHAnsi" w:cs="Arial"/>
                <w:color w:val="000000"/>
                <w:sz w:val="18"/>
                <w:szCs w:val="18"/>
                <w:vertAlign w:val="superscript"/>
              </w:rPr>
              <w:t>**</w:t>
            </w:r>
          </w:p>
        </w:tc>
        <w:tc>
          <w:tcPr>
            <w:tcW w:w="1244" w:type="dxa"/>
            <w:tcBorders>
              <w:top w:val="nil"/>
              <w:bottom w:val="nil"/>
            </w:tcBorders>
            <w:shd w:val="clear" w:color="000000" w:fill="A6A6A6"/>
            <w:noWrap/>
            <w:vAlign w:val="center"/>
            <w:hideMark/>
          </w:tcPr>
          <w:p w14:paraId="4F48C733"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nil"/>
              <w:bottom w:val="nil"/>
            </w:tcBorders>
            <w:shd w:val="clear" w:color="000000" w:fill="A6A6A6"/>
            <w:noWrap/>
            <w:vAlign w:val="center"/>
            <w:hideMark/>
          </w:tcPr>
          <w:p w14:paraId="360ED4AE"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5" w:type="dxa"/>
            <w:tcBorders>
              <w:top w:val="nil"/>
              <w:bottom w:val="nil"/>
            </w:tcBorders>
            <w:shd w:val="clear" w:color="000000" w:fill="A6A6A6"/>
            <w:noWrap/>
            <w:vAlign w:val="center"/>
            <w:hideMark/>
          </w:tcPr>
          <w:p w14:paraId="7201F94A"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nil"/>
              <w:bottom w:val="nil"/>
            </w:tcBorders>
            <w:shd w:val="clear" w:color="000000" w:fill="A6A6A6"/>
            <w:noWrap/>
            <w:vAlign w:val="center"/>
            <w:hideMark/>
          </w:tcPr>
          <w:p w14:paraId="50C5832B"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nil"/>
              <w:bottom w:val="nil"/>
            </w:tcBorders>
            <w:shd w:val="clear" w:color="000000" w:fill="A6A6A6"/>
            <w:noWrap/>
            <w:vAlign w:val="center"/>
            <w:hideMark/>
          </w:tcPr>
          <w:p w14:paraId="4445E90E"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5" w:type="dxa"/>
            <w:tcBorders>
              <w:top w:val="nil"/>
              <w:bottom w:val="nil"/>
            </w:tcBorders>
            <w:shd w:val="clear" w:color="000000" w:fill="A6A6A6"/>
            <w:noWrap/>
            <w:vAlign w:val="center"/>
            <w:hideMark/>
          </w:tcPr>
          <w:p w14:paraId="490A8F28"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r>
      <w:tr w:rsidR="00824C53" w:rsidRPr="00824C53" w14:paraId="0E59A92C" w14:textId="77777777" w:rsidTr="00824C53">
        <w:trPr>
          <w:trHeight w:val="300"/>
        </w:trPr>
        <w:tc>
          <w:tcPr>
            <w:tcW w:w="1843" w:type="dxa"/>
            <w:tcBorders>
              <w:top w:val="nil"/>
              <w:left w:val="nil"/>
              <w:bottom w:val="nil"/>
              <w:right w:val="nil"/>
            </w:tcBorders>
            <w:shd w:val="clear" w:color="auto" w:fill="auto"/>
            <w:noWrap/>
            <w:vAlign w:val="bottom"/>
            <w:hideMark/>
          </w:tcPr>
          <w:p w14:paraId="15F469C0" w14:textId="77777777" w:rsidR="00824C53" w:rsidRPr="00824C53" w:rsidRDefault="00824C53" w:rsidP="00B10D1C">
            <w:pPr>
              <w:spacing w:after="0" w:line="480" w:lineRule="auto"/>
              <w:rPr>
                <w:rFonts w:asciiTheme="minorHAnsi" w:eastAsia="Times New Roman" w:hAnsiTheme="minorHAnsi" w:cs="Arial"/>
                <w:color w:val="000000"/>
                <w:sz w:val="18"/>
                <w:szCs w:val="18"/>
              </w:rPr>
            </w:pPr>
          </w:p>
        </w:tc>
        <w:tc>
          <w:tcPr>
            <w:tcW w:w="2126" w:type="dxa"/>
            <w:tcBorders>
              <w:top w:val="nil"/>
              <w:left w:val="nil"/>
              <w:bottom w:val="nil"/>
              <w:right w:val="single" w:sz="4" w:space="0" w:color="auto"/>
            </w:tcBorders>
            <w:shd w:val="clear" w:color="auto" w:fill="auto"/>
            <w:hideMark/>
          </w:tcPr>
          <w:p w14:paraId="5C89B381"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HCR20 Historical</w:t>
            </w:r>
          </w:p>
        </w:tc>
        <w:tc>
          <w:tcPr>
            <w:tcW w:w="1244" w:type="dxa"/>
            <w:tcBorders>
              <w:top w:val="nil"/>
              <w:left w:val="single" w:sz="4" w:space="0" w:color="auto"/>
              <w:bottom w:val="nil"/>
              <w:right w:val="single" w:sz="4" w:space="0" w:color="000000"/>
            </w:tcBorders>
            <w:shd w:val="clear" w:color="auto" w:fill="auto"/>
            <w:noWrap/>
            <w:vAlign w:val="center"/>
            <w:hideMark/>
          </w:tcPr>
          <w:p w14:paraId="29B84404"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-.65</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right w:val="single" w:sz="4" w:space="0" w:color="000000"/>
            </w:tcBorders>
            <w:shd w:val="clear" w:color="auto" w:fill="auto"/>
            <w:noWrap/>
            <w:vAlign w:val="center"/>
            <w:hideMark/>
          </w:tcPr>
          <w:p w14:paraId="1D16135D"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-.65</w:t>
            </w:r>
            <w:r w:rsidRPr="00824C53">
              <w:rPr>
                <w:rFonts w:asciiTheme="minorHAnsi" w:eastAsia="Times New Roman" w:hAnsiTheme="minorHAnsi" w:cs="Arial"/>
                <w:color w:val="000000"/>
                <w:sz w:val="18"/>
                <w:szCs w:val="18"/>
                <w:vertAlign w:val="superscript"/>
              </w:rPr>
              <w:t>**</w:t>
            </w:r>
          </w:p>
        </w:tc>
        <w:tc>
          <w:tcPr>
            <w:tcW w:w="1245" w:type="dxa"/>
            <w:tcBorders>
              <w:top w:val="nil"/>
              <w:left w:val="nil"/>
              <w:bottom w:val="nil"/>
              <w:right w:val="single" w:sz="4" w:space="0" w:color="000000"/>
            </w:tcBorders>
            <w:shd w:val="clear" w:color="auto" w:fill="auto"/>
            <w:noWrap/>
            <w:vAlign w:val="center"/>
            <w:hideMark/>
          </w:tcPr>
          <w:p w14:paraId="72F19C51"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-.13</w:t>
            </w:r>
          </w:p>
        </w:tc>
        <w:tc>
          <w:tcPr>
            <w:tcW w:w="1244" w:type="dxa"/>
            <w:tcBorders>
              <w:top w:val="nil"/>
              <w:left w:val="nil"/>
              <w:bottom w:val="nil"/>
            </w:tcBorders>
            <w:shd w:val="clear" w:color="auto" w:fill="auto"/>
            <w:noWrap/>
            <w:vAlign w:val="center"/>
            <w:hideMark/>
          </w:tcPr>
          <w:p w14:paraId="3A06BED8"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-.72</w:t>
            </w:r>
            <w:r w:rsidRPr="00824C53">
              <w:rPr>
                <w:rFonts w:asciiTheme="minorHAnsi" w:eastAsia="Times New Roman" w:hAnsiTheme="minorHAnsi" w:cs="Arial"/>
                <w:color w:val="000000"/>
                <w:sz w:val="18"/>
                <w:szCs w:val="18"/>
                <w:vertAlign w:val="superscript"/>
              </w:rPr>
              <w:t>**</w:t>
            </w:r>
          </w:p>
        </w:tc>
        <w:tc>
          <w:tcPr>
            <w:tcW w:w="1244" w:type="dxa"/>
            <w:tcBorders>
              <w:top w:val="nil"/>
              <w:bottom w:val="nil"/>
            </w:tcBorders>
            <w:shd w:val="clear" w:color="000000" w:fill="A6A6A6"/>
            <w:noWrap/>
            <w:vAlign w:val="center"/>
            <w:hideMark/>
          </w:tcPr>
          <w:p w14:paraId="2FD44235"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5" w:type="dxa"/>
            <w:tcBorders>
              <w:top w:val="nil"/>
              <w:bottom w:val="nil"/>
            </w:tcBorders>
            <w:shd w:val="clear" w:color="000000" w:fill="A6A6A6"/>
            <w:noWrap/>
            <w:vAlign w:val="center"/>
            <w:hideMark/>
          </w:tcPr>
          <w:p w14:paraId="7CFCA7A5"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nil"/>
              <w:bottom w:val="nil"/>
            </w:tcBorders>
            <w:shd w:val="clear" w:color="000000" w:fill="A6A6A6"/>
            <w:noWrap/>
            <w:vAlign w:val="center"/>
            <w:hideMark/>
          </w:tcPr>
          <w:p w14:paraId="03B84E38"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nil"/>
              <w:bottom w:val="nil"/>
            </w:tcBorders>
            <w:shd w:val="clear" w:color="000000" w:fill="A6A6A6"/>
            <w:noWrap/>
            <w:vAlign w:val="center"/>
            <w:hideMark/>
          </w:tcPr>
          <w:p w14:paraId="509D75C3"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5" w:type="dxa"/>
            <w:tcBorders>
              <w:top w:val="nil"/>
              <w:bottom w:val="nil"/>
            </w:tcBorders>
            <w:shd w:val="clear" w:color="000000" w:fill="A6A6A6"/>
            <w:noWrap/>
            <w:vAlign w:val="center"/>
            <w:hideMark/>
          </w:tcPr>
          <w:p w14:paraId="43BB9541"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r>
      <w:tr w:rsidR="00824C53" w:rsidRPr="00824C53" w14:paraId="7128D1CF" w14:textId="77777777" w:rsidTr="00824C53">
        <w:trPr>
          <w:trHeight w:val="300"/>
        </w:trPr>
        <w:tc>
          <w:tcPr>
            <w:tcW w:w="1843" w:type="dxa"/>
            <w:tcBorders>
              <w:top w:val="nil"/>
              <w:left w:val="nil"/>
              <w:bottom w:val="nil"/>
              <w:right w:val="nil"/>
            </w:tcBorders>
            <w:shd w:val="clear" w:color="auto" w:fill="auto"/>
            <w:noWrap/>
            <w:vAlign w:val="bottom"/>
            <w:hideMark/>
          </w:tcPr>
          <w:p w14:paraId="20BBA632" w14:textId="77777777" w:rsidR="00824C53" w:rsidRPr="00824C53" w:rsidRDefault="00824C53" w:rsidP="00B10D1C">
            <w:pPr>
              <w:spacing w:after="0" w:line="480" w:lineRule="auto"/>
              <w:rPr>
                <w:rFonts w:asciiTheme="minorHAnsi" w:eastAsia="Times New Roman" w:hAnsiTheme="minorHAnsi" w:cs="Arial"/>
                <w:color w:val="000000"/>
                <w:sz w:val="18"/>
                <w:szCs w:val="18"/>
              </w:rPr>
            </w:pPr>
          </w:p>
        </w:tc>
        <w:tc>
          <w:tcPr>
            <w:tcW w:w="2126" w:type="dxa"/>
            <w:tcBorders>
              <w:top w:val="nil"/>
              <w:left w:val="nil"/>
              <w:bottom w:val="nil"/>
              <w:right w:val="single" w:sz="4" w:space="0" w:color="auto"/>
            </w:tcBorders>
            <w:shd w:val="clear" w:color="auto" w:fill="auto"/>
            <w:hideMark/>
          </w:tcPr>
          <w:p w14:paraId="59E3A241"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HCR20 Clinical</w:t>
            </w:r>
          </w:p>
        </w:tc>
        <w:tc>
          <w:tcPr>
            <w:tcW w:w="1244" w:type="dxa"/>
            <w:tcBorders>
              <w:top w:val="nil"/>
              <w:left w:val="single" w:sz="4" w:space="0" w:color="auto"/>
              <w:bottom w:val="nil"/>
              <w:right w:val="single" w:sz="4" w:space="0" w:color="000000"/>
            </w:tcBorders>
            <w:shd w:val="clear" w:color="auto" w:fill="auto"/>
            <w:noWrap/>
            <w:vAlign w:val="center"/>
            <w:hideMark/>
          </w:tcPr>
          <w:p w14:paraId="0CD48C81"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-.48</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right w:val="single" w:sz="4" w:space="0" w:color="000000"/>
            </w:tcBorders>
            <w:shd w:val="clear" w:color="auto" w:fill="auto"/>
            <w:noWrap/>
            <w:vAlign w:val="center"/>
            <w:hideMark/>
          </w:tcPr>
          <w:p w14:paraId="511EF220"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-.54</w:t>
            </w:r>
            <w:r w:rsidRPr="00824C53">
              <w:rPr>
                <w:rFonts w:asciiTheme="minorHAnsi" w:eastAsia="Times New Roman" w:hAnsiTheme="minorHAnsi" w:cs="Arial"/>
                <w:color w:val="000000"/>
                <w:sz w:val="18"/>
                <w:szCs w:val="18"/>
                <w:vertAlign w:val="superscript"/>
              </w:rPr>
              <w:t>**</w:t>
            </w:r>
          </w:p>
        </w:tc>
        <w:tc>
          <w:tcPr>
            <w:tcW w:w="1245" w:type="dxa"/>
            <w:tcBorders>
              <w:top w:val="nil"/>
              <w:left w:val="nil"/>
              <w:bottom w:val="nil"/>
              <w:right w:val="single" w:sz="4" w:space="0" w:color="000000"/>
            </w:tcBorders>
            <w:shd w:val="clear" w:color="auto" w:fill="auto"/>
            <w:noWrap/>
            <w:vAlign w:val="center"/>
            <w:hideMark/>
          </w:tcPr>
          <w:p w14:paraId="2B3B977C"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-.09</w:t>
            </w:r>
          </w:p>
        </w:tc>
        <w:tc>
          <w:tcPr>
            <w:tcW w:w="1244" w:type="dxa"/>
            <w:tcBorders>
              <w:top w:val="nil"/>
              <w:left w:val="nil"/>
              <w:bottom w:val="nil"/>
              <w:right w:val="single" w:sz="8" w:space="0" w:color="auto"/>
            </w:tcBorders>
            <w:shd w:val="clear" w:color="auto" w:fill="auto"/>
            <w:noWrap/>
            <w:vAlign w:val="center"/>
            <w:hideMark/>
          </w:tcPr>
          <w:p w14:paraId="282F2C11"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-.57</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tcBorders>
            <w:shd w:val="clear" w:color="auto" w:fill="auto"/>
            <w:noWrap/>
            <w:vAlign w:val="center"/>
            <w:hideMark/>
          </w:tcPr>
          <w:p w14:paraId="34BA4E9C"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.46</w:t>
            </w:r>
            <w:r w:rsidRPr="00824C53">
              <w:rPr>
                <w:rFonts w:asciiTheme="minorHAnsi" w:eastAsia="Times New Roman" w:hAnsiTheme="minorHAnsi" w:cs="Arial"/>
                <w:color w:val="000000"/>
                <w:sz w:val="18"/>
                <w:szCs w:val="18"/>
                <w:vertAlign w:val="superscript"/>
              </w:rPr>
              <w:t>**</w:t>
            </w:r>
          </w:p>
        </w:tc>
        <w:tc>
          <w:tcPr>
            <w:tcW w:w="1245" w:type="dxa"/>
            <w:tcBorders>
              <w:top w:val="nil"/>
              <w:bottom w:val="nil"/>
            </w:tcBorders>
            <w:shd w:val="clear" w:color="000000" w:fill="A6A6A6"/>
            <w:noWrap/>
            <w:vAlign w:val="center"/>
            <w:hideMark/>
          </w:tcPr>
          <w:p w14:paraId="6A66869E"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nil"/>
              <w:bottom w:val="nil"/>
            </w:tcBorders>
            <w:shd w:val="clear" w:color="000000" w:fill="A6A6A6"/>
            <w:noWrap/>
            <w:vAlign w:val="center"/>
            <w:hideMark/>
          </w:tcPr>
          <w:p w14:paraId="7A475454"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nil"/>
              <w:bottom w:val="nil"/>
            </w:tcBorders>
            <w:shd w:val="clear" w:color="000000" w:fill="A6A6A6"/>
            <w:noWrap/>
            <w:vAlign w:val="center"/>
            <w:hideMark/>
          </w:tcPr>
          <w:p w14:paraId="1D7B212A"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5" w:type="dxa"/>
            <w:tcBorders>
              <w:top w:val="nil"/>
              <w:bottom w:val="nil"/>
            </w:tcBorders>
            <w:shd w:val="clear" w:color="000000" w:fill="A6A6A6"/>
            <w:noWrap/>
            <w:vAlign w:val="center"/>
            <w:hideMark/>
          </w:tcPr>
          <w:p w14:paraId="17B40B79"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r>
      <w:tr w:rsidR="00824C53" w:rsidRPr="00824C53" w14:paraId="0045A99B" w14:textId="77777777" w:rsidTr="00824C53">
        <w:trPr>
          <w:trHeight w:val="300"/>
        </w:trPr>
        <w:tc>
          <w:tcPr>
            <w:tcW w:w="1843" w:type="dxa"/>
            <w:tcBorders>
              <w:top w:val="nil"/>
              <w:left w:val="nil"/>
              <w:bottom w:val="nil"/>
              <w:right w:val="nil"/>
            </w:tcBorders>
            <w:shd w:val="clear" w:color="auto" w:fill="auto"/>
            <w:noWrap/>
            <w:vAlign w:val="bottom"/>
            <w:hideMark/>
          </w:tcPr>
          <w:p w14:paraId="4605DC86" w14:textId="77777777" w:rsidR="00824C53" w:rsidRPr="00824C53" w:rsidRDefault="00824C53" w:rsidP="00B10D1C">
            <w:pPr>
              <w:spacing w:after="0" w:line="480" w:lineRule="auto"/>
              <w:rPr>
                <w:rFonts w:asciiTheme="minorHAnsi" w:eastAsia="Times New Roman" w:hAnsiTheme="minorHAnsi" w:cs="Arial"/>
                <w:color w:val="000000"/>
                <w:sz w:val="18"/>
                <w:szCs w:val="18"/>
              </w:rPr>
            </w:pPr>
          </w:p>
        </w:tc>
        <w:tc>
          <w:tcPr>
            <w:tcW w:w="2126" w:type="dxa"/>
            <w:tcBorders>
              <w:top w:val="nil"/>
              <w:left w:val="nil"/>
              <w:bottom w:val="nil"/>
              <w:right w:val="single" w:sz="4" w:space="0" w:color="auto"/>
            </w:tcBorders>
            <w:shd w:val="clear" w:color="auto" w:fill="auto"/>
            <w:hideMark/>
          </w:tcPr>
          <w:p w14:paraId="69E9D0ED"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HCR20 Risk</w:t>
            </w:r>
          </w:p>
        </w:tc>
        <w:tc>
          <w:tcPr>
            <w:tcW w:w="1244" w:type="dxa"/>
            <w:tcBorders>
              <w:top w:val="nil"/>
              <w:left w:val="single" w:sz="4" w:space="0" w:color="auto"/>
              <w:bottom w:val="nil"/>
              <w:right w:val="single" w:sz="4" w:space="0" w:color="000000"/>
            </w:tcBorders>
            <w:shd w:val="clear" w:color="auto" w:fill="auto"/>
            <w:noWrap/>
            <w:vAlign w:val="center"/>
            <w:hideMark/>
          </w:tcPr>
          <w:p w14:paraId="4A01028B"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-.12</w:t>
            </w:r>
          </w:p>
        </w:tc>
        <w:tc>
          <w:tcPr>
            <w:tcW w:w="1244" w:type="dxa"/>
            <w:tcBorders>
              <w:top w:val="nil"/>
              <w:left w:val="nil"/>
              <w:bottom w:val="nil"/>
              <w:right w:val="single" w:sz="4" w:space="0" w:color="000000"/>
            </w:tcBorders>
            <w:shd w:val="clear" w:color="auto" w:fill="auto"/>
            <w:noWrap/>
            <w:vAlign w:val="center"/>
            <w:hideMark/>
          </w:tcPr>
          <w:p w14:paraId="23CB5E4C"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-.54</w:t>
            </w:r>
            <w:r w:rsidRPr="00824C53">
              <w:rPr>
                <w:rFonts w:asciiTheme="minorHAnsi" w:eastAsia="Times New Roman" w:hAnsiTheme="minorHAnsi" w:cs="Arial"/>
                <w:color w:val="000000"/>
                <w:sz w:val="18"/>
                <w:szCs w:val="18"/>
                <w:vertAlign w:val="superscript"/>
              </w:rPr>
              <w:t>**</w:t>
            </w:r>
          </w:p>
        </w:tc>
        <w:tc>
          <w:tcPr>
            <w:tcW w:w="1245" w:type="dxa"/>
            <w:tcBorders>
              <w:top w:val="nil"/>
              <w:left w:val="nil"/>
              <w:bottom w:val="nil"/>
              <w:right w:val="single" w:sz="4" w:space="0" w:color="000000"/>
            </w:tcBorders>
            <w:shd w:val="clear" w:color="auto" w:fill="auto"/>
            <w:noWrap/>
            <w:vAlign w:val="center"/>
            <w:hideMark/>
          </w:tcPr>
          <w:p w14:paraId="4BED4E3E"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-.45</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right w:val="single" w:sz="8" w:space="0" w:color="auto"/>
            </w:tcBorders>
            <w:shd w:val="clear" w:color="auto" w:fill="auto"/>
            <w:noWrap/>
            <w:vAlign w:val="center"/>
            <w:hideMark/>
          </w:tcPr>
          <w:p w14:paraId="69DF890C"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-.55</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right w:val="single" w:sz="4" w:space="0" w:color="000000"/>
            </w:tcBorders>
            <w:shd w:val="clear" w:color="auto" w:fill="auto"/>
            <w:noWrap/>
            <w:vAlign w:val="center"/>
            <w:hideMark/>
          </w:tcPr>
          <w:p w14:paraId="3F997A1C"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.39</w:t>
            </w:r>
            <w:r w:rsidRPr="00824C53">
              <w:rPr>
                <w:rFonts w:asciiTheme="minorHAnsi" w:eastAsia="Times New Roman" w:hAnsiTheme="minorHAnsi" w:cs="Arial"/>
                <w:color w:val="000000"/>
                <w:sz w:val="18"/>
                <w:szCs w:val="18"/>
                <w:vertAlign w:val="superscript"/>
              </w:rPr>
              <w:t>**</w:t>
            </w:r>
          </w:p>
        </w:tc>
        <w:tc>
          <w:tcPr>
            <w:tcW w:w="1245" w:type="dxa"/>
            <w:tcBorders>
              <w:top w:val="nil"/>
              <w:left w:val="nil"/>
              <w:bottom w:val="nil"/>
            </w:tcBorders>
            <w:shd w:val="clear" w:color="auto" w:fill="auto"/>
            <w:noWrap/>
            <w:vAlign w:val="center"/>
            <w:hideMark/>
          </w:tcPr>
          <w:p w14:paraId="7DEE5B76"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.45</w:t>
            </w:r>
            <w:r w:rsidRPr="00824C53">
              <w:rPr>
                <w:rFonts w:asciiTheme="minorHAnsi" w:eastAsia="Times New Roman" w:hAnsiTheme="minorHAnsi" w:cs="Arial"/>
                <w:color w:val="000000"/>
                <w:sz w:val="18"/>
                <w:szCs w:val="18"/>
                <w:vertAlign w:val="superscript"/>
              </w:rPr>
              <w:t>**</w:t>
            </w:r>
          </w:p>
        </w:tc>
        <w:tc>
          <w:tcPr>
            <w:tcW w:w="1244" w:type="dxa"/>
            <w:tcBorders>
              <w:top w:val="nil"/>
              <w:bottom w:val="nil"/>
            </w:tcBorders>
            <w:shd w:val="clear" w:color="000000" w:fill="A6A6A6"/>
            <w:noWrap/>
            <w:vAlign w:val="center"/>
            <w:hideMark/>
          </w:tcPr>
          <w:p w14:paraId="3C37AF29"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4" w:type="dxa"/>
            <w:tcBorders>
              <w:top w:val="nil"/>
              <w:bottom w:val="nil"/>
            </w:tcBorders>
            <w:shd w:val="clear" w:color="000000" w:fill="A6A6A6"/>
            <w:noWrap/>
            <w:vAlign w:val="center"/>
            <w:hideMark/>
          </w:tcPr>
          <w:p w14:paraId="3F4783F2"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5" w:type="dxa"/>
            <w:tcBorders>
              <w:top w:val="nil"/>
              <w:bottom w:val="nil"/>
            </w:tcBorders>
            <w:shd w:val="clear" w:color="000000" w:fill="A6A6A6"/>
            <w:noWrap/>
            <w:vAlign w:val="center"/>
            <w:hideMark/>
          </w:tcPr>
          <w:p w14:paraId="359DC2C4"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r>
      <w:tr w:rsidR="00824C53" w:rsidRPr="00824C53" w14:paraId="40CB7399" w14:textId="77777777" w:rsidTr="00824C53">
        <w:trPr>
          <w:trHeight w:val="300"/>
        </w:trPr>
        <w:tc>
          <w:tcPr>
            <w:tcW w:w="1843" w:type="dxa"/>
            <w:tcBorders>
              <w:top w:val="nil"/>
              <w:left w:val="nil"/>
              <w:bottom w:val="nil"/>
              <w:right w:val="nil"/>
            </w:tcBorders>
            <w:shd w:val="clear" w:color="auto" w:fill="auto"/>
            <w:noWrap/>
            <w:vAlign w:val="bottom"/>
            <w:hideMark/>
          </w:tcPr>
          <w:p w14:paraId="0B884EF7" w14:textId="77777777" w:rsidR="00824C53" w:rsidRPr="00824C53" w:rsidRDefault="00824C53" w:rsidP="00B10D1C">
            <w:pPr>
              <w:spacing w:after="0" w:line="480" w:lineRule="auto"/>
              <w:rPr>
                <w:rFonts w:asciiTheme="minorHAnsi" w:eastAsia="Times New Roman" w:hAnsiTheme="minorHAnsi" w:cs="Arial"/>
                <w:color w:val="000000"/>
                <w:sz w:val="18"/>
                <w:szCs w:val="18"/>
              </w:rPr>
            </w:pPr>
          </w:p>
        </w:tc>
        <w:tc>
          <w:tcPr>
            <w:tcW w:w="2126" w:type="dxa"/>
            <w:tcBorders>
              <w:top w:val="nil"/>
              <w:left w:val="nil"/>
              <w:bottom w:val="nil"/>
              <w:right w:val="single" w:sz="4" w:space="0" w:color="auto"/>
            </w:tcBorders>
            <w:shd w:val="clear" w:color="auto" w:fill="auto"/>
            <w:hideMark/>
          </w:tcPr>
          <w:p w14:paraId="074A214B"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HCR20 Total</w:t>
            </w:r>
          </w:p>
        </w:tc>
        <w:tc>
          <w:tcPr>
            <w:tcW w:w="1244" w:type="dxa"/>
            <w:tcBorders>
              <w:top w:val="nil"/>
              <w:left w:val="single" w:sz="4" w:space="0" w:color="auto"/>
              <w:bottom w:val="nil"/>
              <w:right w:val="single" w:sz="4" w:space="0" w:color="000000"/>
            </w:tcBorders>
            <w:shd w:val="clear" w:color="auto" w:fill="auto"/>
            <w:noWrap/>
            <w:vAlign w:val="center"/>
            <w:hideMark/>
          </w:tcPr>
          <w:p w14:paraId="41EBE7A5"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-.58</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right w:val="single" w:sz="4" w:space="0" w:color="000000"/>
            </w:tcBorders>
            <w:shd w:val="clear" w:color="auto" w:fill="auto"/>
            <w:noWrap/>
            <w:vAlign w:val="center"/>
            <w:hideMark/>
          </w:tcPr>
          <w:p w14:paraId="12227260"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-.74</w:t>
            </w:r>
            <w:r w:rsidRPr="00824C53">
              <w:rPr>
                <w:rFonts w:asciiTheme="minorHAnsi" w:eastAsia="Times New Roman" w:hAnsiTheme="minorHAnsi" w:cs="Arial"/>
                <w:color w:val="000000"/>
                <w:sz w:val="18"/>
                <w:szCs w:val="18"/>
                <w:vertAlign w:val="superscript"/>
              </w:rPr>
              <w:t>**</w:t>
            </w:r>
          </w:p>
        </w:tc>
        <w:tc>
          <w:tcPr>
            <w:tcW w:w="1245" w:type="dxa"/>
            <w:tcBorders>
              <w:top w:val="nil"/>
              <w:left w:val="nil"/>
              <w:bottom w:val="nil"/>
              <w:right w:val="single" w:sz="4" w:space="0" w:color="000000"/>
            </w:tcBorders>
            <w:shd w:val="clear" w:color="auto" w:fill="auto"/>
            <w:noWrap/>
            <w:vAlign w:val="center"/>
            <w:hideMark/>
          </w:tcPr>
          <w:p w14:paraId="4E8A79C2"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-.26</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right w:val="single" w:sz="8" w:space="0" w:color="auto"/>
            </w:tcBorders>
            <w:shd w:val="clear" w:color="auto" w:fill="auto"/>
            <w:noWrap/>
            <w:vAlign w:val="center"/>
            <w:hideMark/>
          </w:tcPr>
          <w:p w14:paraId="316DD9C0"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-.80</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right w:val="single" w:sz="4" w:space="0" w:color="000000"/>
            </w:tcBorders>
            <w:shd w:val="clear" w:color="auto" w:fill="auto"/>
            <w:noWrap/>
            <w:vAlign w:val="center"/>
            <w:hideMark/>
          </w:tcPr>
          <w:p w14:paraId="5E475F28"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.87</w:t>
            </w:r>
            <w:r w:rsidRPr="00824C53">
              <w:rPr>
                <w:rFonts w:asciiTheme="minorHAnsi" w:eastAsia="Times New Roman" w:hAnsiTheme="minorHAnsi" w:cs="Arial"/>
                <w:color w:val="000000"/>
                <w:sz w:val="18"/>
                <w:szCs w:val="18"/>
                <w:vertAlign w:val="superscript"/>
              </w:rPr>
              <w:t>**</w:t>
            </w:r>
          </w:p>
        </w:tc>
        <w:tc>
          <w:tcPr>
            <w:tcW w:w="1245" w:type="dxa"/>
            <w:tcBorders>
              <w:top w:val="nil"/>
              <w:left w:val="nil"/>
              <w:bottom w:val="nil"/>
              <w:right w:val="single" w:sz="4" w:space="0" w:color="000000"/>
            </w:tcBorders>
            <w:shd w:val="clear" w:color="auto" w:fill="auto"/>
            <w:noWrap/>
            <w:vAlign w:val="center"/>
            <w:hideMark/>
          </w:tcPr>
          <w:p w14:paraId="731A7B83"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.75</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tcBorders>
            <w:shd w:val="clear" w:color="auto" w:fill="auto"/>
            <w:noWrap/>
            <w:vAlign w:val="center"/>
            <w:hideMark/>
          </w:tcPr>
          <w:p w14:paraId="5A0145B4"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.72</w:t>
            </w:r>
            <w:r w:rsidRPr="00824C53">
              <w:rPr>
                <w:rFonts w:asciiTheme="minorHAnsi" w:eastAsia="Times New Roman" w:hAnsiTheme="minorHAnsi" w:cs="Arial"/>
                <w:color w:val="000000"/>
                <w:sz w:val="18"/>
                <w:szCs w:val="18"/>
                <w:vertAlign w:val="superscript"/>
              </w:rPr>
              <w:t>**</w:t>
            </w:r>
          </w:p>
        </w:tc>
        <w:tc>
          <w:tcPr>
            <w:tcW w:w="1244" w:type="dxa"/>
            <w:tcBorders>
              <w:top w:val="nil"/>
              <w:bottom w:val="nil"/>
            </w:tcBorders>
            <w:shd w:val="clear" w:color="000000" w:fill="A6A6A6"/>
            <w:noWrap/>
            <w:vAlign w:val="center"/>
            <w:hideMark/>
          </w:tcPr>
          <w:p w14:paraId="7DDBE0A1"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c>
          <w:tcPr>
            <w:tcW w:w="1245" w:type="dxa"/>
            <w:tcBorders>
              <w:top w:val="nil"/>
              <w:bottom w:val="nil"/>
            </w:tcBorders>
            <w:shd w:val="clear" w:color="000000" w:fill="A6A6A6"/>
            <w:noWrap/>
            <w:vAlign w:val="center"/>
            <w:hideMark/>
          </w:tcPr>
          <w:p w14:paraId="7745834F"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r>
      <w:tr w:rsidR="00824C53" w:rsidRPr="00824C53" w14:paraId="32A85AB6" w14:textId="77777777" w:rsidTr="00824C53">
        <w:trPr>
          <w:trHeight w:val="300"/>
        </w:trPr>
        <w:tc>
          <w:tcPr>
            <w:tcW w:w="1843" w:type="dxa"/>
            <w:tcBorders>
              <w:top w:val="nil"/>
              <w:left w:val="nil"/>
              <w:bottom w:val="nil"/>
              <w:right w:val="nil"/>
            </w:tcBorders>
            <w:shd w:val="clear" w:color="auto" w:fill="auto"/>
            <w:noWrap/>
            <w:vAlign w:val="bottom"/>
            <w:hideMark/>
          </w:tcPr>
          <w:p w14:paraId="581E7ED6" w14:textId="77777777" w:rsidR="00824C53" w:rsidRPr="00824C53" w:rsidRDefault="00824C53" w:rsidP="00B10D1C">
            <w:pPr>
              <w:spacing w:after="0" w:line="480" w:lineRule="auto"/>
              <w:rPr>
                <w:rFonts w:asciiTheme="minorHAnsi" w:eastAsia="Times New Roman" w:hAnsiTheme="minorHAnsi" w:cs="Arial"/>
                <w:color w:val="000000"/>
                <w:sz w:val="18"/>
                <w:szCs w:val="18"/>
              </w:rPr>
            </w:pPr>
          </w:p>
        </w:tc>
        <w:tc>
          <w:tcPr>
            <w:tcW w:w="2126" w:type="dxa"/>
            <w:tcBorders>
              <w:top w:val="nil"/>
              <w:left w:val="nil"/>
              <w:bottom w:val="nil"/>
              <w:right w:val="single" w:sz="4" w:space="0" w:color="auto"/>
            </w:tcBorders>
            <w:shd w:val="clear" w:color="auto" w:fill="auto"/>
            <w:hideMark/>
          </w:tcPr>
          <w:p w14:paraId="24F4B1CF"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HCR20-SAPROF Index</w:t>
            </w:r>
          </w:p>
        </w:tc>
        <w:tc>
          <w:tcPr>
            <w:tcW w:w="1244" w:type="dxa"/>
            <w:tcBorders>
              <w:top w:val="nil"/>
              <w:left w:val="single" w:sz="4" w:space="0" w:color="auto"/>
              <w:bottom w:val="nil"/>
              <w:right w:val="single" w:sz="4" w:space="0" w:color="000000"/>
            </w:tcBorders>
            <w:shd w:val="clear" w:color="auto" w:fill="auto"/>
            <w:noWrap/>
            <w:vAlign w:val="center"/>
            <w:hideMark/>
          </w:tcPr>
          <w:p w14:paraId="5A561269"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-.64</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right w:val="single" w:sz="4" w:space="0" w:color="000000"/>
            </w:tcBorders>
            <w:shd w:val="clear" w:color="auto" w:fill="auto"/>
            <w:noWrap/>
            <w:vAlign w:val="center"/>
            <w:hideMark/>
          </w:tcPr>
          <w:p w14:paraId="330D3989"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-.86</w:t>
            </w:r>
            <w:r w:rsidRPr="00824C53">
              <w:rPr>
                <w:rFonts w:asciiTheme="minorHAnsi" w:eastAsia="Times New Roman" w:hAnsiTheme="minorHAnsi" w:cs="Arial"/>
                <w:color w:val="000000"/>
                <w:sz w:val="18"/>
                <w:szCs w:val="18"/>
                <w:vertAlign w:val="superscript"/>
              </w:rPr>
              <w:t>**</w:t>
            </w:r>
          </w:p>
        </w:tc>
        <w:tc>
          <w:tcPr>
            <w:tcW w:w="1245" w:type="dxa"/>
            <w:tcBorders>
              <w:top w:val="nil"/>
              <w:left w:val="nil"/>
              <w:bottom w:val="nil"/>
              <w:right w:val="single" w:sz="4" w:space="0" w:color="000000"/>
            </w:tcBorders>
            <w:shd w:val="clear" w:color="auto" w:fill="auto"/>
            <w:noWrap/>
            <w:vAlign w:val="center"/>
            <w:hideMark/>
          </w:tcPr>
          <w:p w14:paraId="1D650C1F"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-.37</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right w:val="single" w:sz="8" w:space="0" w:color="auto"/>
            </w:tcBorders>
            <w:shd w:val="clear" w:color="auto" w:fill="auto"/>
            <w:noWrap/>
            <w:vAlign w:val="center"/>
            <w:hideMark/>
          </w:tcPr>
          <w:p w14:paraId="488EC273"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-.93</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right w:val="single" w:sz="4" w:space="0" w:color="000000"/>
            </w:tcBorders>
            <w:shd w:val="clear" w:color="auto" w:fill="auto"/>
            <w:noWrap/>
            <w:vAlign w:val="center"/>
            <w:hideMark/>
          </w:tcPr>
          <w:p w14:paraId="27C690AB"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.85</w:t>
            </w:r>
            <w:r w:rsidRPr="00824C53">
              <w:rPr>
                <w:rFonts w:asciiTheme="minorHAnsi" w:eastAsia="Times New Roman" w:hAnsiTheme="minorHAnsi" w:cs="Arial"/>
                <w:color w:val="000000"/>
                <w:sz w:val="18"/>
                <w:szCs w:val="18"/>
                <w:vertAlign w:val="superscript"/>
              </w:rPr>
              <w:t>**</w:t>
            </w:r>
          </w:p>
        </w:tc>
        <w:tc>
          <w:tcPr>
            <w:tcW w:w="1245" w:type="dxa"/>
            <w:tcBorders>
              <w:top w:val="nil"/>
              <w:left w:val="nil"/>
              <w:bottom w:val="nil"/>
              <w:right w:val="single" w:sz="4" w:space="0" w:color="000000"/>
            </w:tcBorders>
            <w:shd w:val="clear" w:color="auto" w:fill="auto"/>
            <w:noWrap/>
            <w:vAlign w:val="center"/>
            <w:hideMark/>
          </w:tcPr>
          <w:p w14:paraId="07A8B043"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.70</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right w:val="single" w:sz="4" w:space="0" w:color="000000"/>
            </w:tcBorders>
            <w:shd w:val="clear" w:color="auto" w:fill="auto"/>
            <w:noWrap/>
            <w:vAlign w:val="center"/>
            <w:hideMark/>
          </w:tcPr>
          <w:p w14:paraId="6D7EC065"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.68</w:t>
            </w:r>
            <w:r w:rsidRPr="00824C53">
              <w:rPr>
                <w:rFonts w:asciiTheme="minorHAnsi" w:eastAsia="Times New Roman" w:hAnsiTheme="minorHAnsi" w:cs="Arial"/>
                <w:color w:val="000000"/>
                <w:sz w:val="18"/>
                <w:szCs w:val="18"/>
                <w:vertAlign w:val="superscript"/>
              </w:rPr>
              <w:t>**</w:t>
            </w:r>
          </w:p>
        </w:tc>
        <w:tc>
          <w:tcPr>
            <w:tcW w:w="1244" w:type="dxa"/>
            <w:tcBorders>
              <w:top w:val="nil"/>
              <w:left w:val="nil"/>
              <w:bottom w:val="nil"/>
            </w:tcBorders>
            <w:shd w:val="clear" w:color="auto" w:fill="auto"/>
            <w:noWrap/>
            <w:vAlign w:val="center"/>
            <w:hideMark/>
          </w:tcPr>
          <w:p w14:paraId="32A7DC87"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xml:space="preserve"> .96</w:t>
            </w:r>
            <w:r w:rsidRPr="00824C53">
              <w:rPr>
                <w:rFonts w:asciiTheme="minorHAnsi" w:eastAsia="Times New Roman" w:hAnsiTheme="minorHAnsi" w:cs="Arial"/>
                <w:color w:val="000000"/>
                <w:sz w:val="18"/>
                <w:szCs w:val="18"/>
                <w:vertAlign w:val="superscript"/>
              </w:rPr>
              <w:t>**</w:t>
            </w:r>
          </w:p>
        </w:tc>
        <w:tc>
          <w:tcPr>
            <w:tcW w:w="1245" w:type="dxa"/>
            <w:tcBorders>
              <w:top w:val="nil"/>
              <w:bottom w:val="nil"/>
            </w:tcBorders>
            <w:shd w:val="clear" w:color="000000" w:fill="A6A6A6"/>
            <w:noWrap/>
            <w:vAlign w:val="center"/>
            <w:hideMark/>
          </w:tcPr>
          <w:p w14:paraId="6CC3E801"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 </w:t>
            </w:r>
          </w:p>
        </w:tc>
      </w:tr>
      <w:tr w:rsidR="00824C53" w:rsidRPr="00824C53" w14:paraId="03A8BBE0" w14:textId="77777777" w:rsidTr="00470785">
        <w:trPr>
          <w:trHeight w:val="300"/>
        </w:trPr>
        <w:tc>
          <w:tcPr>
            <w:tcW w:w="1843" w:type="dxa"/>
            <w:tcBorders>
              <w:top w:val="nil"/>
              <w:left w:val="nil"/>
              <w:bottom w:val="single" w:sz="4" w:space="0" w:color="auto"/>
              <w:right w:val="nil"/>
            </w:tcBorders>
            <w:shd w:val="clear" w:color="auto" w:fill="auto"/>
            <w:noWrap/>
            <w:vAlign w:val="bottom"/>
          </w:tcPr>
          <w:p w14:paraId="7FACC4C4" w14:textId="77777777" w:rsidR="00824C53" w:rsidRPr="00824C53" w:rsidRDefault="00824C53" w:rsidP="00B10D1C">
            <w:pPr>
              <w:spacing w:after="0" w:line="480" w:lineRule="auto"/>
              <w:rPr>
                <w:rFonts w:asciiTheme="minorHAnsi" w:eastAsia="Times New Roman" w:hAnsiTheme="minorHAnsi" w:cs="Arial"/>
                <w:color w:val="000000"/>
                <w:sz w:val="18"/>
                <w:szCs w:val="18"/>
              </w:rPr>
            </w:pPr>
          </w:p>
        </w:tc>
        <w:tc>
          <w:tcPr>
            <w:tcW w:w="2126" w:type="dxa"/>
            <w:tcBorders>
              <w:top w:val="nil"/>
              <w:left w:val="nil"/>
              <w:bottom w:val="single" w:sz="4" w:space="0" w:color="auto"/>
              <w:right w:val="single" w:sz="4" w:space="0" w:color="auto"/>
            </w:tcBorders>
            <w:shd w:val="clear" w:color="auto" w:fill="auto"/>
          </w:tcPr>
          <w:p w14:paraId="22058C70"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PCL-SV Total</w:t>
            </w:r>
          </w:p>
        </w:tc>
        <w:tc>
          <w:tcPr>
            <w:tcW w:w="1244" w:type="dxa"/>
            <w:tcBorders>
              <w:top w:val="nil"/>
              <w:left w:val="single" w:sz="4" w:space="0" w:color="auto"/>
              <w:bottom w:val="single" w:sz="4" w:space="0" w:color="auto"/>
              <w:right w:val="single" w:sz="4" w:space="0" w:color="000000"/>
            </w:tcBorders>
            <w:shd w:val="clear" w:color="auto" w:fill="auto"/>
            <w:noWrap/>
            <w:vAlign w:val="center"/>
          </w:tcPr>
          <w:p w14:paraId="49E97AA1"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-.62*</w:t>
            </w:r>
          </w:p>
        </w:tc>
        <w:tc>
          <w:tcPr>
            <w:tcW w:w="1244" w:type="dxa"/>
            <w:tcBorders>
              <w:top w:val="nil"/>
              <w:left w:val="nil"/>
              <w:bottom w:val="single" w:sz="4" w:space="0" w:color="auto"/>
              <w:right w:val="single" w:sz="4" w:space="0" w:color="000000"/>
            </w:tcBorders>
            <w:shd w:val="clear" w:color="auto" w:fill="auto"/>
            <w:noWrap/>
            <w:vAlign w:val="center"/>
          </w:tcPr>
          <w:p w14:paraId="1D125971"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-.63**</w:t>
            </w:r>
          </w:p>
        </w:tc>
        <w:tc>
          <w:tcPr>
            <w:tcW w:w="1245" w:type="dxa"/>
            <w:tcBorders>
              <w:top w:val="nil"/>
              <w:left w:val="nil"/>
              <w:bottom w:val="single" w:sz="4" w:space="0" w:color="auto"/>
              <w:right w:val="single" w:sz="4" w:space="0" w:color="000000"/>
            </w:tcBorders>
            <w:shd w:val="clear" w:color="auto" w:fill="auto"/>
            <w:noWrap/>
            <w:vAlign w:val="center"/>
          </w:tcPr>
          <w:p w14:paraId="63FE0D8E"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.06</w:t>
            </w:r>
          </w:p>
        </w:tc>
        <w:tc>
          <w:tcPr>
            <w:tcW w:w="1244" w:type="dxa"/>
            <w:tcBorders>
              <w:top w:val="nil"/>
              <w:left w:val="nil"/>
              <w:bottom w:val="single" w:sz="4" w:space="0" w:color="auto"/>
              <w:right w:val="single" w:sz="8" w:space="0" w:color="auto"/>
            </w:tcBorders>
            <w:shd w:val="clear" w:color="auto" w:fill="auto"/>
            <w:noWrap/>
            <w:vAlign w:val="center"/>
          </w:tcPr>
          <w:p w14:paraId="245AE1B2"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-.63**</w:t>
            </w:r>
          </w:p>
        </w:tc>
        <w:tc>
          <w:tcPr>
            <w:tcW w:w="1244" w:type="dxa"/>
            <w:tcBorders>
              <w:top w:val="nil"/>
              <w:left w:val="nil"/>
              <w:bottom w:val="single" w:sz="4" w:space="0" w:color="auto"/>
              <w:right w:val="single" w:sz="4" w:space="0" w:color="000000"/>
            </w:tcBorders>
            <w:shd w:val="clear" w:color="auto" w:fill="auto"/>
            <w:noWrap/>
            <w:vAlign w:val="center"/>
          </w:tcPr>
          <w:p w14:paraId="4D912CB9"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.74**</w:t>
            </w:r>
          </w:p>
        </w:tc>
        <w:tc>
          <w:tcPr>
            <w:tcW w:w="1245" w:type="dxa"/>
            <w:tcBorders>
              <w:top w:val="nil"/>
              <w:left w:val="nil"/>
              <w:bottom w:val="single" w:sz="4" w:space="0" w:color="auto"/>
              <w:right w:val="single" w:sz="4" w:space="0" w:color="000000"/>
            </w:tcBorders>
            <w:shd w:val="clear" w:color="auto" w:fill="auto"/>
            <w:noWrap/>
            <w:vAlign w:val="center"/>
          </w:tcPr>
          <w:p w14:paraId="556DA4D9"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.51**</w:t>
            </w:r>
          </w:p>
        </w:tc>
        <w:tc>
          <w:tcPr>
            <w:tcW w:w="1244" w:type="dxa"/>
            <w:tcBorders>
              <w:top w:val="nil"/>
              <w:left w:val="nil"/>
              <w:bottom w:val="single" w:sz="4" w:space="0" w:color="auto"/>
              <w:right w:val="single" w:sz="4" w:space="0" w:color="000000"/>
            </w:tcBorders>
            <w:shd w:val="clear" w:color="auto" w:fill="auto"/>
            <w:noWrap/>
            <w:vAlign w:val="center"/>
          </w:tcPr>
          <w:p w14:paraId="6A5A0B65"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.48**</w:t>
            </w:r>
          </w:p>
        </w:tc>
        <w:tc>
          <w:tcPr>
            <w:tcW w:w="1244" w:type="dxa"/>
            <w:tcBorders>
              <w:top w:val="nil"/>
              <w:left w:val="nil"/>
              <w:bottom w:val="single" w:sz="4" w:space="0" w:color="auto"/>
            </w:tcBorders>
            <w:shd w:val="clear" w:color="auto" w:fill="auto"/>
            <w:noWrap/>
            <w:vAlign w:val="center"/>
          </w:tcPr>
          <w:p w14:paraId="1B74177B"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.77**</w:t>
            </w:r>
          </w:p>
        </w:tc>
        <w:tc>
          <w:tcPr>
            <w:tcW w:w="1245" w:type="dxa"/>
            <w:tcBorders>
              <w:top w:val="nil"/>
              <w:bottom w:val="single" w:sz="4" w:space="0" w:color="auto"/>
            </w:tcBorders>
            <w:shd w:val="clear" w:color="auto" w:fill="auto"/>
            <w:noWrap/>
            <w:vAlign w:val="center"/>
          </w:tcPr>
          <w:p w14:paraId="4FB591D7" w14:textId="77777777" w:rsidR="00824C53" w:rsidRPr="00824C53" w:rsidRDefault="00824C53" w:rsidP="00B10D1C">
            <w:pPr>
              <w:spacing w:after="0" w:line="480" w:lineRule="auto"/>
              <w:rPr>
                <w:rFonts w:asciiTheme="minorHAnsi" w:eastAsia="Times New Roman" w:hAnsiTheme="minorHAnsi" w:cs="Arial"/>
                <w:color w:val="000000"/>
                <w:sz w:val="18"/>
                <w:szCs w:val="18"/>
              </w:rPr>
            </w:pPr>
            <w:r w:rsidRPr="00824C53">
              <w:rPr>
                <w:rFonts w:asciiTheme="minorHAnsi" w:eastAsia="Times New Roman" w:hAnsiTheme="minorHAnsi" w:cs="Arial"/>
                <w:color w:val="000000"/>
                <w:sz w:val="18"/>
                <w:szCs w:val="18"/>
              </w:rPr>
              <w:t>.74**</w:t>
            </w:r>
          </w:p>
        </w:tc>
      </w:tr>
    </w:tbl>
    <w:p w14:paraId="7B3C40E3" w14:textId="776C03F4" w:rsidR="00824C53" w:rsidRPr="00824C53" w:rsidRDefault="00470785" w:rsidP="00470785">
      <w:pPr>
        <w:tabs>
          <w:tab w:val="left" w:pos="2205"/>
        </w:tabs>
        <w:spacing w:after="0" w:line="480" w:lineRule="auto"/>
        <w:rPr>
          <w:rFonts w:asciiTheme="minorHAnsi" w:eastAsia="Times New Roman" w:hAnsiTheme="minorHAnsi" w:cs="Times New Roman"/>
          <w:sz w:val="18"/>
          <w:szCs w:val="18"/>
        </w:rPr>
      </w:pPr>
      <w:r>
        <w:rPr>
          <w:rFonts w:asciiTheme="minorHAnsi" w:eastAsia="Times New Roman" w:hAnsiTheme="minorHAnsi" w:cs="Times New Roman"/>
          <w:sz w:val="18"/>
          <w:szCs w:val="18"/>
        </w:rPr>
        <w:tab/>
      </w:r>
    </w:p>
    <w:p w14:paraId="269B9211" w14:textId="6930350A" w:rsidR="002117CA" w:rsidRPr="002117CA" w:rsidRDefault="002117CA" w:rsidP="002117CA">
      <w:pPr>
        <w:spacing w:after="0" w:line="480" w:lineRule="auto"/>
        <w:jc w:val="left"/>
        <w:rPr>
          <w:rFonts w:asciiTheme="minorHAnsi" w:eastAsia="Times New Roman" w:hAnsiTheme="minorHAnsi" w:cs="Times New Roman"/>
          <w:sz w:val="18"/>
          <w:szCs w:val="18"/>
        </w:rPr>
      </w:pPr>
      <w:r w:rsidRPr="002117CA">
        <w:rPr>
          <w:rFonts w:asciiTheme="minorHAnsi" w:eastAsia="Times New Roman" w:hAnsiTheme="minorHAnsi" w:cs="Times New Roman"/>
          <w:sz w:val="18"/>
          <w:szCs w:val="18"/>
        </w:rPr>
        <w:t xml:space="preserve">Note. SAPROF = Structured Assessment of Protective Factors; HCR = Historical, Clinical, Risk management; PCL-SV = </w:t>
      </w:r>
      <w:r w:rsidR="00470785">
        <w:rPr>
          <w:rFonts w:asciiTheme="minorHAnsi" w:eastAsia="Times New Roman" w:hAnsiTheme="minorHAnsi" w:cs="Times New Roman"/>
          <w:sz w:val="18"/>
          <w:szCs w:val="18"/>
        </w:rPr>
        <w:t xml:space="preserve">Psychopathy Checklist–Screening </w:t>
      </w:r>
      <w:r w:rsidRPr="002117CA">
        <w:rPr>
          <w:rFonts w:asciiTheme="minorHAnsi" w:eastAsia="Times New Roman" w:hAnsiTheme="minorHAnsi" w:cs="Times New Roman"/>
          <w:sz w:val="18"/>
          <w:szCs w:val="18"/>
        </w:rPr>
        <w:t>Version.</w:t>
      </w:r>
    </w:p>
    <w:p w14:paraId="393F4D06" w14:textId="77777777" w:rsidR="002117CA" w:rsidRPr="002117CA" w:rsidRDefault="002117CA" w:rsidP="002117CA">
      <w:pPr>
        <w:spacing w:after="0" w:line="480" w:lineRule="auto"/>
        <w:jc w:val="left"/>
        <w:rPr>
          <w:rFonts w:asciiTheme="minorHAnsi" w:eastAsia="Times New Roman" w:hAnsiTheme="minorHAnsi" w:cs="Times New Roman"/>
          <w:sz w:val="18"/>
          <w:szCs w:val="18"/>
        </w:rPr>
      </w:pPr>
      <w:r w:rsidRPr="002117CA">
        <w:rPr>
          <w:rFonts w:asciiTheme="minorHAnsi" w:eastAsia="Times New Roman" w:hAnsiTheme="minorHAnsi" w:cs="Times New Roman"/>
          <w:sz w:val="18"/>
          <w:szCs w:val="18"/>
        </w:rPr>
        <w:t>*statistically significant at p &lt; .05</w:t>
      </w:r>
    </w:p>
    <w:p w14:paraId="51922D5D" w14:textId="4C7AB785" w:rsidR="00934574" w:rsidRDefault="002117CA" w:rsidP="002117CA">
      <w:pPr>
        <w:spacing w:after="0" w:line="480" w:lineRule="auto"/>
        <w:jc w:val="left"/>
        <w:rPr>
          <w:rFonts w:asciiTheme="minorHAnsi" w:eastAsia="Times New Roman" w:hAnsiTheme="minorHAnsi" w:cs="Times New Roman"/>
          <w:sz w:val="18"/>
          <w:szCs w:val="18"/>
        </w:rPr>
      </w:pPr>
      <w:r w:rsidRPr="002117CA">
        <w:rPr>
          <w:rFonts w:asciiTheme="minorHAnsi" w:eastAsia="Times New Roman" w:hAnsiTheme="minorHAnsi" w:cs="Times New Roman"/>
          <w:sz w:val="18"/>
          <w:szCs w:val="18"/>
        </w:rPr>
        <w:t>**statistically significant at p &lt; .01</w:t>
      </w:r>
    </w:p>
    <w:p w14:paraId="2FD15FCA" w14:textId="77777777" w:rsidR="00470785" w:rsidRDefault="00470785">
      <w:pPr>
        <w:spacing w:after="160" w:line="259" w:lineRule="auto"/>
        <w:jc w:val="left"/>
        <w:rPr>
          <w:rFonts w:asciiTheme="minorHAnsi" w:eastAsia="Times New Roman" w:hAnsiTheme="minorHAnsi" w:cs="Arial"/>
          <w:b/>
          <w:sz w:val="18"/>
          <w:szCs w:val="18"/>
        </w:rPr>
      </w:pPr>
      <w:r>
        <w:rPr>
          <w:rFonts w:asciiTheme="minorHAnsi" w:eastAsia="Times New Roman" w:hAnsiTheme="minorHAnsi" w:cs="Arial"/>
          <w:b/>
          <w:sz w:val="18"/>
          <w:szCs w:val="18"/>
        </w:rPr>
        <w:br w:type="page"/>
      </w:r>
    </w:p>
    <w:p w14:paraId="6FE32E03" w14:textId="5B8F9EF1" w:rsidR="00824C53" w:rsidRPr="00824C53" w:rsidRDefault="00824C53" w:rsidP="00B10D1C">
      <w:pPr>
        <w:spacing w:after="0" w:line="480" w:lineRule="auto"/>
        <w:rPr>
          <w:rFonts w:asciiTheme="minorHAnsi" w:eastAsia="Times New Roman" w:hAnsiTheme="minorHAnsi" w:cs="Arial"/>
          <w:b/>
          <w:sz w:val="18"/>
          <w:szCs w:val="18"/>
        </w:rPr>
      </w:pPr>
      <w:r w:rsidRPr="00824C53">
        <w:rPr>
          <w:rFonts w:asciiTheme="minorHAnsi" w:eastAsia="Times New Roman" w:hAnsiTheme="minorHAnsi" w:cs="Arial"/>
          <w:b/>
          <w:sz w:val="18"/>
          <w:szCs w:val="18"/>
        </w:rPr>
        <w:lastRenderedPageBreak/>
        <w:t>Table 4: Predictive validity of SAPROF, HCR20 and PCL-SV in non-forensic samples</w:t>
      </w:r>
    </w:p>
    <w:tbl>
      <w:tblPr>
        <w:tblW w:w="5000" w:type="pct"/>
        <w:tblLook w:val="04A0" w:firstRow="1" w:lastRow="0" w:firstColumn="1" w:lastColumn="0" w:noHBand="0" w:noVBand="1"/>
      </w:tblPr>
      <w:tblGrid>
        <w:gridCol w:w="2160"/>
        <w:gridCol w:w="1731"/>
        <w:gridCol w:w="674"/>
        <w:gridCol w:w="675"/>
        <w:gridCol w:w="546"/>
        <w:gridCol w:w="2601"/>
        <w:gridCol w:w="675"/>
        <w:gridCol w:w="675"/>
        <w:gridCol w:w="546"/>
        <w:gridCol w:w="2601"/>
        <w:gridCol w:w="675"/>
        <w:gridCol w:w="675"/>
        <w:gridCol w:w="444"/>
      </w:tblGrid>
      <w:tr w:rsidR="00824C53" w:rsidRPr="00824C53" w14:paraId="5A67475A" w14:textId="77777777" w:rsidTr="00470785">
        <w:trPr>
          <w:trHeight w:val="375"/>
        </w:trPr>
        <w:tc>
          <w:tcPr>
            <w:tcW w:w="736" w:type="pct"/>
            <w:vMerge w:val="restart"/>
            <w:tcBorders>
              <w:top w:val="nil"/>
              <w:left w:val="nil"/>
              <w:bottom w:val="nil"/>
              <w:right w:val="nil"/>
            </w:tcBorders>
            <w:shd w:val="clear" w:color="auto" w:fill="auto"/>
            <w:noWrap/>
            <w:hideMark/>
          </w:tcPr>
          <w:p w14:paraId="79691223" w14:textId="77777777" w:rsidR="00824C53" w:rsidRPr="00824C53" w:rsidRDefault="00824C53" w:rsidP="00B10D1C">
            <w:pPr>
              <w:spacing w:after="0" w:line="480" w:lineRule="auto"/>
              <w:rPr>
                <w:rFonts w:asciiTheme="minorHAnsi" w:eastAsia="Times New Roman" w:hAnsiTheme="minorHAnsi" w:cs="Times New Roman"/>
                <w:sz w:val="18"/>
                <w:szCs w:val="18"/>
              </w:rPr>
            </w:pPr>
          </w:p>
        </w:tc>
        <w:tc>
          <w:tcPr>
            <w:tcW w:w="1235" w:type="pct"/>
            <w:gridSpan w:val="4"/>
            <w:tcBorders>
              <w:top w:val="nil"/>
              <w:left w:val="nil"/>
              <w:bottom w:val="nil"/>
              <w:right w:val="nil"/>
            </w:tcBorders>
            <w:shd w:val="clear" w:color="auto" w:fill="auto"/>
            <w:noWrap/>
            <w:vAlign w:val="center"/>
            <w:hideMark/>
          </w:tcPr>
          <w:p w14:paraId="4EE9BC07" w14:textId="77777777" w:rsidR="00824C53" w:rsidRPr="00824C53" w:rsidRDefault="00824C53" w:rsidP="00B10D1C">
            <w:pPr>
              <w:spacing w:after="0" w:line="480" w:lineRule="auto"/>
              <w:jc w:val="center"/>
              <w:rPr>
                <w:rFonts w:asciiTheme="minorHAnsi" w:eastAsia="Times New Roman" w:hAnsiTheme="minorHAnsi" w:cs="Arial"/>
                <w:sz w:val="18"/>
                <w:szCs w:val="18"/>
              </w:rPr>
            </w:pPr>
            <w:r w:rsidRPr="00824C53">
              <w:rPr>
                <w:rFonts w:asciiTheme="minorHAnsi" w:eastAsia="Times New Roman" w:hAnsiTheme="minorHAnsi" w:cs="Arial"/>
                <w:sz w:val="18"/>
                <w:szCs w:val="18"/>
              </w:rPr>
              <w:t>Total Phase 2</w:t>
            </w:r>
          </w:p>
        </w:tc>
        <w:tc>
          <w:tcPr>
            <w:tcW w:w="1532" w:type="pct"/>
            <w:gridSpan w:val="4"/>
            <w:tcBorders>
              <w:top w:val="nil"/>
              <w:left w:val="nil"/>
              <w:bottom w:val="nil"/>
              <w:right w:val="nil"/>
            </w:tcBorders>
            <w:shd w:val="clear" w:color="auto" w:fill="auto"/>
            <w:noWrap/>
            <w:vAlign w:val="center"/>
            <w:hideMark/>
          </w:tcPr>
          <w:p w14:paraId="77DF475C" w14:textId="77777777" w:rsidR="00824C53" w:rsidRPr="00824C53" w:rsidRDefault="00824C53" w:rsidP="00B10D1C">
            <w:pPr>
              <w:spacing w:after="0" w:line="480" w:lineRule="auto"/>
              <w:jc w:val="center"/>
              <w:rPr>
                <w:rFonts w:asciiTheme="minorHAnsi" w:eastAsia="Times New Roman" w:hAnsiTheme="minorHAnsi" w:cs="Arial"/>
                <w:sz w:val="18"/>
                <w:szCs w:val="18"/>
              </w:rPr>
            </w:pPr>
            <w:r w:rsidRPr="00824C53">
              <w:rPr>
                <w:rFonts w:asciiTheme="minorHAnsi" w:eastAsia="Times New Roman" w:hAnsiTheme="minorHAnsi" w:cs="Arial"/>
                <w:sz w:val="18"/>
                <w:szCs w:val="18"/>
              </w:rPr>
              <w:t>General in-patient</w:t>
            </w:r>
          </w:p>
        </w:tc>
        <w:tc>
          <w:tcPr>
            <w:tcW w:w="1497" w:type="pct"/>
            <w:gridSpan w:val="4"/>
            <w:tcBorders>
              <w:top w:val="nil"/>
              <w:left w:val="nil"/>
              <w:bottom w:val="nil"/>
              <w:right w:val="nil"/>
            </w:tcBorders>
            <w:shd w:val="clear" w:color="auto" w:fill="auto"/>
            <w:noWrap/>
            <w:vAlign w:val="center"/>
            <w:hideMark/>
          </w:tcPr>
          <w:p w14:paraId="4BC18710" w14:textId="77777777" w:rsidR="00824C53" w:rsidRPr="00824C53" w:rsidRDefault="00824C53" w:rsidP="00B10D1C">
            <w:pPr>
              <w:spacing w:after="0" w:line="480" w:lineRule="auto"/>
              <w:jc w:val="center"/>
              <w:rPr>
                <w:rFonts w:asciiTheme="minorHAnsi" w:eastAsia="Times New Roman" w:hAnsiTheme="minorHAnsi" w:cs="Arial"/>
                <w:sz w:val="18"/>
                <w:szCs w:val="18"/>
              </w:rPr>
            </w:pPr>
            <w:r w:rsidRPr="00824C53">
              <w:rPr>
                <w:rFonts w:asciiTheme="minorHAnsi" w:eastAsia="Times New Roman" w:hAnsiTheme="minorHAnsi" w:cs="Arial"/>
                <w:sz w:val="18"/>
                <w:szCs w:val="18"/>
              </w:rPr>
              <w:t>Community</w:t>
            </w:r>
          </w:p>
        </w:tc>
      </w:tr>
      <w:tr w:rsidR="00824C53" w:rsidRPr="00824C53" w14:paraId="1CBD35BB" w14:textId="77777777" w:rsidTr="00470785">
        <w:trPr>
          <w:trHeight w:val="375"/>
        </w:trPr>
        <w:tc>
          <w:tcPr>
            <w:tcW w:w="736" w:type="pct"/>
            <w:vMerge/>
            <w:tcBorders>
              <w:top w:val="nil"/>
              <w:left w:val="nil"/>
              <w:bottom w:val="nil"/>
              <w:right w:val="nil"/>
            </w:tcBorders>
            <w:vAlign w:val="center"/>
            <w:hideMark/>
          </w:tcPr>
          <w:p w14:paraId="47294008" w14:textId="77777777" w:rsidR="00824C53" w:rsidRPr="00824C53" w:rsidRDefault="00824C53" w:rsidP="00B10D1C">
            <w:pPr>
              <w:spacing w:after="0" w:line="480" w:lineRule="auto"/>
              <w:rPr>
                <w:rFonts w:asciiTheme="minorHAnsi" w:eastAsia="Times New Roman" w:hAnsiTheme="minorHAnsi" w:cs="Times New Roman"/>
                <w:sz w:val="18"/>
                <w:szCs w:val="18"/>
              </w:rPr>
            </w:pPr>
          </w:p>
        </w:tc>
        <w:tc>
          <w:tcPr>
            <w:tcW w:w="1235" w:type="pct"/>
            <w:gridSpan w:val="4"/>
            <w:tcBorders>
              <w:top w:val="nil"/>
              <w:left w:val="nil"/>
              <w:bottom w:val="nil"/>
              <w:right w:val="nil"/>
            </w:tcBorders>
            <w:shd w:val="clear" w:color="auto" w:fill="auto"/>
            <w:noWrap/>
            <w:vAlign w:val="center"/>
            <w:hideMark/>
          </w:tcPr>
          <w:p w14:paraId="148A41CF" w14:textId="77777777" w:rsidR="00824C53" w:rsidRPr="00824C53" w:rsidRDefault="00824C53" w:rsidP="00B10D1C">
            <w:pPr>
              <w:spacing w:after="0" w:line="480" w:lineRule="auto"/>
              <w:jc w:val="center"/>
              <w:rPr>
                <w:rFonts w:asciiTheme="minorHAnsi" w:eastAsia="Times New Roman" w:hAnsiTheme="minorHAnsi" w:cs="Arial"/>
                <w:sz w:val="18"/>
                <w:szCs w:val="18"/>
              </w:rPr>
            </w:pPr>
            <w:r w:rsidRPr="00824C53">
              <w:rPr>
                <w:rFonts w:asciiTheme="minorHAnsi" w:eastAsia="Times New Roman" w:hAnsiTheme="minorHAnsi" w:cs="Arial"/>
                <w:sz w:val="18"/>
                <w:szCs w:val="18"/>
              </w:rPr>
              <w:t>(n=151)</w:t>
            </w:r>
          </w:p>
        </w:tc>
        <w:tc>
          <w:tcPr>
            <w:tcW w:w="1532" w:type="pct"/>
            <w:gridSpan w:val="4"/>
            <w:tcBorders>
              <w:top w:val="nil"/>
              <w:left w:val="nil"/>
              <w:bottom w:val="nil"/>
              <w:right w:val="nil"/>
            </w:tcBorders>
            <w:shd w:val="clear" w:color="auto" w:fill="auto"/>
            <w:noWrap/>
            <w:vAlign w:val="center"/>
            <w:hideMark/>
          </w:tcPr>
          <w:p w14:paraId="170B5FF1" w14:textId="77777777" w:rsidR="00824C53" w:rsidRPr="00824C53" w:rsidRDefault="00824C53" w:rsidP="00B10D1C">
            <w:pPr>
              <w:spacing w:after="0" w:line="480" w:lineRule="auto"/>
              <w:jc w:val="center"/>
              <w:rPr>
                <w:rFonts w:asciiTheme="minorHAnsi" w:eastAsia="Times New Roman" w:hAnsiTheme="minorHAnsi" w:cs="Arial"/>
                <w:sz w:val="18"/>
                <w:szCs w:val="18"/>
              </w:rPr>
            </w:pPr>
            <w:r w:rsidRPr="00824C53">
              <w:rPr>
                <w:rFonts w:asciiTheme="minorHAnsi" w:eastAsia="Times New Roman" w:hAnsiTheme="minorHAnsi" w:cs="Arial"/>
                <w:sz w:val="18"/>
                <w:szCs w:val="18"/>
              </w:rPr>
              <w:t>(n=43)</w:t>
            </w:r>
          </w:p>
        </w:tc>
        <w:tc>
          <w:tcPr>
            <w:tcW w:w="1497" w:type="pct"/>
            <w:gridSpan w:val="4"/>
            <w:tcBorders>
              <w:top w:val="nil"/>
              <w:left w:val="nil"/>
              <w:bottom w:val="nil"/>
              <w:right w:val="nil"/>
            </w:tcBorders>
            <w:shd w:val="clear" w:color="auto" w:fill="auto"/>
            <w:noWrap/>
            <w:vAlign w:val="center"/>
            <w:hideMark/>
          </w:tcPr>
          <w:p w14:paraId="2A6C6DCE" w14:textId="77777777" w:rsidR="00824C53" w:rsidRPr="00824C53" w:rsidRDefault="00824C53" w:rsidP="00B10D1C">
            <w:pPr>
              <w:spacing w:after="0" w:line="480" w:lineRule="auto"/>
              <w:jc w:val="center"/>
              <w:rPr>
                <w:rFonts w:asciiTheme="minorHAnsi" w:eastAsia="Times New Roman" w:hAnsiTheme="minorHAnsi" w:cs="Arial"/>
                <w:sz w:val="18"/>
                <w:szCs w:val="18"/>
              </w:rPr>
            </w:pPr>
            <w:r w:rsidRPr="00824C53">
              <w:rPr>
                <w:rFonts w:asciiTheme="minorHAnsi" w:eastAsia="Times New Roman" w:hAnsiTheme="minorHAnsi" w:cs="Arial"/>
                <w:sz w:val="18"/>
                <w:szCs w:val="18"/>
              </w:rPr>
              <w:t>(n=105)</w:t>
            </w:r>
          </w:p>
        </w:tc>
      </w:tr>
      <w:tr w:rsidR="00824C53" w:rsidRPr="00824C53" w14:paraId="4BAD1C0F" w14:textId="77777777" w:rsidTr="00470785">
        <w:trPr>
          <w:trHeight w:val="375"/>
        </w:trPr>
        <w:tc>
          <w:tcPr>
            <w:tcW w:w="736" w:type="pct"/>
            <w:tcBorders>
              <w:top w:val="nil"/>
              <w:left w:val="nil"/>
              <w:right w:val="nil"/>
            </w:tcBorders>
            <w:shd w:val="clear" w:color="auto" w:fill="auto"/>
            <w:noWrap/>
            <w:hideMark/>
          </w:tcPr>
          <w:p w14:paraId="21C2FBC3" w14:textId="77777777" w:rsidR="00824C53" w:rsidRPr="00824C53" w:rsidRDefault="00824C53" w:rsidP="00B10D1C">
            <w:pPr>
              <w:spacing w:after="0" w:line="480" w:lineRule="auto"/>
              <w:jc w:val="center"/>
              <w:rPr>
                <w:rFonts w:asciiTheme="minorHAnsi" w:eastAsia="Times New Roman" w:hAnsiTheme="minorHAnsi" w:cs="Arial"/>
                <w:sz w:val="18"/>
                <w:szCs w:val="18"/>
              </w:rPr>
            </w:pPr>
          </w:p>
        </w:tc>
        <w:tc>
          <w:tcPr>
            <w:tcW w:w="590" w:type="pct"/>
            <w:tcBorders>
              <w:top w:val="nil"/>
              <w:left w:val="nil"/>
              <w:right w:val="nil"/>
            </w:tcBorders>
            <w:shd w:val="clear" w:color="auto" w:fill="auto"/>
            <w:noWrap/>
            <w:vAlign w:val="center"/>
            <w:hideMark/>
          </w:tcPr>
          <w:p w14:paraId="50411D7D" w14:textId="77777777" w:rsidR="00824C53" w:rsidRPr="00824C53" w:rsidRDefault="00824C53" w:rsidP="00B10D1C">
            <w:pPr>
              <w:spacing w:after="0" w:line="480" w:lineRule="auto"/>
              <w:jc w:val="center"/>
              <w:rPr>
                <w:rFonts w:asciiTheme="minorHAnsi" w:eastAsia="Times New Roman" w:hAnsiTheme="minorHAnsi" w:cs="Arial"/>
                <w:sz w:val="18"/>
                <w:szCs w:val="18"/>
              </w:rPr>
            </w:pPr>
            <w:r w:rsidRPr="00824C53">
              <w:rPr>
                <w:rFonts w:asciiTheme="minorHAnsi" w:eastAsia="Times New Roman" w:hAnsiTheme="minorHAnsi" w:cs="Arial"/>
                <w:sz w:val="18"/>
                <w:szCs w:val="18"/>
              </w:rPr>
              <w:t>AUC</w:t>
            </w:r>
          </w:p>
        </w:tc>
        <w:tc>
          <w:tcPr>
            <w:tcW w:w="460" w:type="pct"/>
            <w:gridSpan w:val="2"/>
            <w:tcBorders>
              <w:top w:val="nil"/>
              <w:left w:val="nil"/>
              <w:right w:val="nil"/>
            </w:tcBorders>
            <w:shd w:val="clear" w:color="auto" w:fill="auto"/>
            <w:noWrap/>
            <w:vAlign w:val="center"/>
            <w:hideMark/>
          </w:tcPr>
          <w:p w14:paraId="6D152058" w14:textId="77777777" w:rsidR="00824C53" w:rsidRPr="00824C53" w:rsidRDefault="00824C53" w:rsidP="00B10D1C">
            <w:pPr>
              <w:spacing w:after="0" w:line="480" w:lineRule="auto"/>
              <w:jc w:val="center"/>
              <w:rPr>
                <w:rFonts w:asciiTheme="minorHAnsi" w:eastAsia="Times New Roman" w:hAnsiTheme="minorHAnsi" w:cs="Arial"/>
                <w:sz w:val="18"/>
                <w:szCs w:val="18"/>
              </w:rPr>
            </w:pPr>
            <w:r w:rsidRPr="00824C53">
              <w:rPr>
                <w:rFonts w:asciiTheme="minorHAnsi" w:eastAsia="Times New Roman" w:hAnsiTheme="minorHAnsi" w:cs="Arial"/>
                <w:sz w:val="18"/>
                <w:szCs w:val="18"/>
              </w:rPr>
              <w:t>95% CI</w:t>
            </w:r>
          </w:p>
        </w:tc>
        <w:tc>
          <w:tcPr>
            <w:tcW w:w="186" w:type="pct"/>
            <w:tcBorders>
              <w:top w:val="nil"/>
              <w:left w:val="nil"/>
              <w:right w:val="nil"/>
            </w:tcBorders>
            <w:shd w:val="clear" w:color="auto" w:fill="auto"/>
            <w:noWrap/>
            <w:vAlign w:val="center"/>
            <w:hideMark/>
          </w:tcPr>
          <w:p w14:paraId="5E86CB4D" w14:textId="77777777" w:rsidR="00824C53" w:rsidRPr="00824C53" w:rsidRDefault="00824C53" w:rsidP="00B10D1C">
            <w:pPr>
              <w:spacing w:after="0" w:line="480" w:lineRule="auto"/>
              <w:jc w:val="center"/>
              <w:rPr>
                <w:rFonts w:asciiTheme="minorHAnsi" w:eastAsia="Times New Roman" w:hAnsiTheme="minorHAnsi" w:cs="Arial"/>
                <w:i/>
                <w:iCs/>
                <w:sz w:val="18"/>
                <w:szCs w:val="18"/>
              </w:rPr>
            </w:pPr>
            <w:r w:rsidRPr="00824C53">
              <w:rPr>
                <w:rFonts w:asciiTheme="minorHAnsi" w:eastAsia="Times New Roman" w:hAnsiTheme="minorHAnsi" w:cs="Arial"/>
                <w:i/>
                <w:iCs/>
                <w:sz w:val="18"/>
                <w:szCs w:val="18"/>
              </w:rPr>
              <w:t>p</w:t>
            </w:r>
          </w:p>
        </w:tc>
        <w:tc>
          <w:tcPr>
            <w:tcW w:w="886" w:type="pct"/>
            <w:tcBorders>
              <w:top w:val="nil"/>
              <w:left w:val="nil"/>
              <w:right w:val="nil"/>
            </w:tcBorders>
            <w:shd w:val="clear" w:color="auto" w:fill="auto"/>
            <w:noWrap/>
            <w:vAlign w:val="center"/>
            <w:hideMark/>
          </w:tcPr>
          <w:p w14:paraId="74322236" w14:textId="77777777" w:rsidR="00824C53" w:rsidRPr="00824C53" w:rsidRDefault="00824C53" w:rsidP="00B10D1C">
            <w:pPr>
              <w:spacing w:after="0" w:line="480" w:lineRule="auto"/>
              <w:jc w:val="center"/>
              <w:rPr>
                <w:rFonts w:asciiTheme="minorHAnsi" w:eastAsia="Times New Roman" w:hAnsiTheme="minorHAnsi" w:cs="Arial"/>
                <w:sz w:val="18"/>
                <w:szCs w:val="18"/>
              </w:rPr>
            </w:pPr>
            <w:r w:rsidRPr="00824C53">
              <w:rPr>
                <w:rFonts w:asciiTheme="minorHAnsi" w:eastAsia="Times New Roman" w:hAnsiTheme="minorHAnsi" w:cs="Arial"/>
                <w:sz w:val="18"/>
                <w:szCs w:val="18"/>
              </w:rPr>
              <w:t>AUC</w:t>
            </w:r>
          </w:p>
        </w:tc>
        <w:tc>
          <w:tcPr>
            <w:tcW w:w="460" w:type="pct"/>
            <w:gridSpan w:val="2"/>
            <w:tcBorders>
              <w:top w:val="nil"/>
              <w:left w:val="nil"/>
              <w:right w:val="nil"/>
            </w:tcBorders>
            <w:shd w:val="clear" w:color="auto" w:fill="auto"/>
            <w:noWrap/>
            <w:vAlign w:val="center"/>
            <w:hideMark/>
          </w:tcPr>
          <w:p w14:paraId="42575845" w14:textId="77777777" w:rsidR="00824C53" w:rsidRPr="00824C53" w:rsidRDefault="00824C53" w:rsidP="00B10D1C">
            <w:pPr>
              <w:spacing w:after="0" w:line="480" w:lineRule="auto"/>
              <w:jc w:val="center"/>
              <w:rPr>
                <w:rFonts w:asciiTheme="minorHAnsi" w:eastAsia="Times New Roman" w:hAnsiTheme="minorHAnsi" w:cs="Arial"/>
                <w:sz w:val="18"/>
                <w:szCs w:val="18"/>
              </w:rPr>
            </w:pPr>
            <w:r w:rsidRPr="00824C53">
              <w:rPr>
                <w:rFonts w:asciiTheme="minorHAnsi" w:eastAsia="Times New Roman" w:hAnsiTheme="minorHAnsi" w:cs="Arial"/>
                <w:sz w:val="18"/>
                <w:szCs w:val="18"/>
              </w:rPr>
              <w:t>95% CI</w:t>
            </w:r>
          </w:p>
        </w:tc>
        <w:tc>
          <w:tcPr>
            <w:tcW w:w="186" w:type="pct"/>
            <w:tcBorders>
              <w:top w:val="nil"/>
              <w:left w:val="nil"/>
              <w:right w:val="nil"/>
            </w:tcBorders>
            <w:shd w:val="clear" w:color="auto" w:fill="auto"/>
            <w:noWrap/>
            <w:vAlign w:val="center"/>
            <w:hideMark/>
          </w:tcPr>
          <w:p w14:paraId="2BE22336" w14:textId="77777777" w:rsidR="00824C53" w:rsidRPr="00824C53" w:rsidRDefault="00824C53" w:rsidP="00B10D1C">
            <w:pPr>
              <w:spacing w:after="0" w:line="480" w:lineRule="auto"/>
              <w:jc w:val="center"/>
              <w:rPr>
                <w:rFonts w:asciiTheme="minorHAnsi" w:eastAsia="Times New Roman" w:hAnsiTheme="minorHAnsi" w:cs="Arial"/>
                <w:i/>
                <w:iCs/>
                <w:sz w:val="18"/>
                <w:szCs w:val="18"/>
              </w:rPr>
            </w:pPr>
            <w:r w:rsidRPr="00824C53">
              <w:rPr>
                <w:rFonts w:asciiTheme="minorHAnsi" w:eastAsia="Times New Roman" w:hAnsiTheme="minorHAnsi" w:cs="Arial"/>
                <w:i/>
                <w:iCs/>
                <w:sz w:val="18"/>
                <w:szCs w:val="18"/>
              </w:rPr>
              <w:t>p</w:t>
            </w:r>
          </w:p>
        </w:tc>
        <w:tc>
          <w:tcPr>
            <w:tcW w:w="886" w:type="pct"/>
            <w:tcBorders>
              <w:top w:val="nil"/>
              <w:left w:val="nil"/>
              <w:right w:val="nil"/>
            </w:tcBorders>
            <w:shd w:val="clear" w:color="auto" w:fill="auto"/>
            <w:noWrap/>
            <w:vAlign w:val="center"/>
            <w:hideMark/>
          </w:tcPr>
          <w:p w14:paraId="1D6DA7C9" w14:textId="77777777" w:rsidR="00824C53" w:rsidRPr="00824C53" w:rsidRDefault="00824C53" w:rsidP="00B10D1C">
            <w:pPr>
              <w:spacing w:after="0" w:line="480" w:lineRule="auto"/>
              <w:jc w:val="center"/>
              <w:rPr>
                <w:rFonts w:asciiTheme="minorHAnsi" w:eastAsia="Times New Roman" w:hAnsiTheme="minorHAnsi" w:cs="Arial"/>
                <w:sz w:val="18"/>
                <w:szCs w:val="18"/>
              </w:rPr>
            </w:pPr>
            <w:r w:rsidRPr="00824C53">
              <w:rPr>
                <w:rFonts w:asciiTheme="minorHAnsi" w:eastAsia="Times New Roman" w:hAnsiTheme="minorHAnsi" w:cs="Arial"/>
                <w:sz w:val="18"/>
                <w:szCs w:val="18"/>
              </w:rPr>
              <w:t>AUC</w:t>
            </w:r>
          </w:p>
        </w:tc>
        <w:tc>
          <w:tcPr>
            <w:tcW w:w="460" w:type="pct"/>
            <w:gridSpan w:val="2"/>
            <w:tcBorders>
              <w:top w:val="nil"/>
              <w:left w:val="nil"/>
              <w:right w:val="nil"/>
            </w:tcBorders>
            <w:shd w:val="clear" w:color="auto" w:fill="auto"/>
            <w:noWrap/>
            <w:vAlign w:val="center"/>
            <w:hideMark/>
          </w:tcPr>
          <w:p w14:paraId="12CA8358" w14:textId="77777777" w:rsidR="00824C53" w:rsidRPr="00824C53" w:rsidRDefault="00824C53" w:rsidP="00B10D1C">
            <w:pPr>
              <w:spacing w:after="0" w:line="480" w:lineRule="auto"/>
              <w:jc w:val="center"/>
              <w:rPr>
                <w:rFonts w:asciiTheme="minorHAnsi" w:eastAsia="Times New Roman" w:hAnsiTheme="minorHAnsi" w:cs="Arial"/>
                <w:sz w:val="18"/>
                <w:szCs w:val="18"/>
              </w:rPr>
            </w:pPr>
            <w:r w:rsidRPr="00824C53">
              <w:rPr>
                <w:rFonts w:asciiTheme="minorHAnsi" w:eastAsia="Times New Roman" w:hAnsiTheme="minorHAnsi" w:cs="Arial"/>
                <w:sz w:val="18"/>
                <w:szCs w:val="18"/>
              </w:rPr>
              <w:t>95% CI</w:t>
            </w:r>
          </w:p>
        </w:tc>
        <w:tc>
          <w:tcPr>
            <w:tcW w:w="151" w:type="pct"/>
            <w:tcBorders>
              <w:top w:val="nil"/>
              <w:left w:val="nil"/>
              <w:right w:val="nil"/>
            </w:tcBorders>
            <w:shd w:val="clear" w:color="auto" w:fill="auto"/>
            <w:noWrap/>
            <w:vAlign w:val="center"/>
            <w:hideMark/>
          </w:tcPr>
          <w:p w14:paraId="7E1D78B8" w14:textId="77777777" w:rsidR="00824C53" w:rsidRPr="00824C53" w:rsidRDefault="00824C53" w:rsidP="00B10D1C">
            <w:pPr>
              <w:spacing w:after="0" w:line="480" w:lineRule="auto"/>
              <w:jc w:val="center"/>
              <w:rPr>
                <w:rFonts w:asciiTheme="minorHAnsi" w:eastAsia="Times New Roman" w:hAnsiTheme="minorHAnsi" w:cs="Arial"/>
                <w:i/>
                <w:iCs/>
                <w:sz w:val="18"/>
                <w:szCs w:val="18"/>
              </w:rPr>
            </w:pPr>
            <w:r w:rsidRPr="00824C53">
              <w:rPr>
                <w:rFonts w:asciiTheme="minorHAnsi" w:eastAsia="Times New Roman" w:hAnsiTheme="minorHAnsi" w:cs="Arial"/>
                <w:i/>
                <w:iCs/>
                <w:sz w:val="18"/>
                <w:szCs w:val="18"/>
              </w:rPr>
              <w:t>p</w:t>
            </w:r>
          </w:p>
        </w:tc>
      </w:tr>
      <w:tr w:rsidR="00824C53" w:rsidRPr="00824C53" w14:paraId="45DCD9F7" w14:textId="77777777" w:rsidTr="00470785">
        <w:trPr>
          <w:trHeight w:val="375"/>
        </w:trPr>
        <w:tc>
          <w:tcPr>
            <w:tcW w:w="736" w:type="pct"/>
            <w:tcBorders>
              <w:top w:val="nil"/>
              <w:left w:val="nil"/>
              <w:bottom w:val="single" w:sz="4" w:space="0" w:color="auto"/>
              <w:right w:val="nil"/>
            </w:tcBorders>
            <w:shd w:val="clear" w:color="auto" w:fill="auto"/>
            <w:noWrap/>
            <w:hideMark/>
          </w:tcPr>
          <w:p w14:paraId="4B1A56F9" w14:textId="77777777" w:rsidR="00824C53" w:rsidRPr="00824C53" w:rsidRDefault="00824C53" w:rsidP="00B10D1C">
            <w:pPr>
              <w:spacing w:after="0" w:line="480" w:lineRule="auto"/>
              <w:jc w:val="center"/>
              <w:rPr>
                <w:rFonts w:asciiTheme="minorHAnsi" w:eastAsia="Times New Roman" w:hAnsiTheme="minorHAnsi" w:cs="Arial"/>
                <w:i/>
                <w:iCs/>
                <w:sz w:val="18"/>
                <w:szCs w:val="18"/>
              </w:rPr>
            </w:pPr>
          </w:p>
        </w:tc>
        <w:tc>
          <w:tcPr>
            <w:tcW w:w="590" w:type="pct"/>
            <w:tcBorders>
              <w:top w:val="nil"/>
              <w:left w:val="nil"/>
              <w:bottom w:val="single" w:sz="4" w:space="0" w:color="auto"/>
              <w:right w:val="nil"/>
            </w:tcBorders>
            <w:shd w:val="clear" w:color="auto" w:fill="auto"/>
            <w:noWrap/>
            <w:vAlign w:val="center"/>
            <w:hideMark/>
          </w:tcPr>
          <w:p w14:paraId="4C875B09" w14:textId="77777777" w:rsidR="00824C53" w:rsidRPr="00824C53" w:rsidRDefault="00824C53" w:rsidP="00B10D1C">
            <w:pPr>
              <w:spacing w:after="0" w:line="480" w:lineRule="auto"/>
              <w:rPr>
                <w:rFonts w:asciiTheme="minorHAnsi" w:eastAsia="Times New Roman" w:hAnsiTheme="minorHAnsi" w:cs="Times New Roman"/>
                <w:sz w:val="18"/>
                <w:szCs w:val="18"/>
              </w:rPr>
            </w:pPr>
          </w:p>
        </w:tc>
        <w:tc>
          <w:tcPr>
            <w:tcW w:w="230" w:type="pct"/>
            <w:tcBorders>
              <w:top w:val="nil"/>
              <w:left w:val="nil"/>
              <w:bottom w:val="single" w:sz="4" w:space="0" w:color="auto"/>
              <w:right w:val="nil"/>
            </w:tcBorders>
            <w:shd w:val="clear" w:color="auto" w:fill="auto"/>
            <w:noWrap/>
            <w:vAlign w:val="center"/>
            <w:hideMark/>
          </w:tcPr>
          <w:p w14:paraId="7FBC342B" w14:textId="77777777" w:rsidR="00824C53" w:rsidRPr="00824C53" w:rsidRDefault="00824C53" w:rsidP="00B10D1C">
            <w:pPr>
              <w:spacing w:after="0" w:line="480" w:lineRule="auto"/>
              <w:jc w:val="center"/>
              <w:rPr>
                <w:rFonts w:asciiTheme="minorHAnsi" w:eastAsia="Times New Roman" w:hAnsiTheme="minorHAnsi" w:cs="Arial"/>
                <w:sz w:val="18"/>
                <w:szCs w:val="18"/>
              </w:rPr>
            </w:pPr>
            <w:r w:rsidRPr="00824C53">
              <w:rPr>
                <w:rFonts w:asciiTheme="minorHAnsi" w:eastAsia="Times New Roman" w:hAnsiTheme="minorHAnsi" w:cs="Arial"/>
                <w:sz w:val="18"/>
                <w:szCs w:val="18"/>
              </w:rPr>
              <w:t>Lower</w:t>
            </w:r>
          </w:p>
        </w:tc>
        <w:tc>
          <w:tcPr>
            <w:tcW w:w="230" w:type="pct"/>
            <w:tcBorders>
              <w:top w:val="nil"/>
              <w:left w:val="nil"/>
              <w:bottom w:val="single" w:sz="4" w:space="0" w:color="auto"/>
              <w:right w:val="nil"/>
            </w:tcBorders>
            <w:shd w:val="clear" w:color="auto" w:fill="auto"/>
            <w:noWrap/>
            <w:vAlign w:val="center"/>
            <w:hideMark/>
          </w:tcPr>
          <w:p w14:paraId="722A55E5" w14:textId="77777777" w:rsidR="00824C53" w:rsidRPr="00824C53" w:rsidRDefault="00824C53" w:rsidP="00B10D1C">
            <w:pPr>
              <w:spacing w:after="0" w:line="480" w:lineRule="auto"/>
              <w:jc w:val="center"/>
              <w:rPr>
                <w:rFonts w:asciiTheme="minorHAnsi" w:eastAsia="Times New Roman" w:hAnsiTheme="minorHAnsi" w:cs="Arial"/>
                <w:sz w:val="18"/>
                <w:szCs w:val="18"/>
              </w:rPr>
            </w:pPr>
            <w:r w:rsidRPr="00824C53">
              <w:rPr>
                <w:rFonts w:asciiTheme="minorHAnsi" w:eastAsia="Times New Roman" w:hAnsiTheme="minorHAnsi" w:cs="Arial"/>
                <w:sz w:val="18"/>
                <w:szCs w:val="18"/>
              </w:rPr>
              <w:t>Upper</w:t>
            </w:r>
          </w:p>
        </w:tc>
        <w:tc>
          <w:tcPr>
            <w:tcW w:w="186" w:type="pct"/>
            <w:tcBorders>
              <w:top w:val="nil"/>
              <w:left w:val="nil"/>
              <w:bottom w:val="single" w:sz="4" w:space="0" w:color="auto"/>
              <w:right w:val="nil"/>
            </w:tcBorders>
            <w:shd w:val="clear" w:color="auto" w:fill="auto"/>
            <w:noWrap/>
            <w:hideMark/>
          </w:tcPr>
          <w:p w14:paraId="5D2E3132" w14:textId="77777777" w:rsidR="00824C53" w:rsidRPr="00824C53" w:rsidRDefault="00824C53" w:rsidP="00B10D1C">
            <w:pPr>
              <w:spacing w:after="0" w:line="480" w:lineRule="auto"/>
              <w:jc w:val="center"/>
              <w:rPr>
                <w:rFonts w:asciiTheme="minorHAnsi" w:eastAsia="Times New Roman" w:hAnsiTheme="minorHAnsi" w:cs="Arial"/>
                <w:sz w:val="18"/>
                <w:szCs w:val="18"/>
              </w:rPr>
            </w:pPr>
          </w:p>
        </w:tc>
        <w:tc>
          <w:tcPr>
            <w:tcW w:w="886" w:type="pct"/>
            <w:tcBorders>
              <w:top w:val="nil"/>
              <w:left w:val="nil"/>
              <w:bottom w:val="single" w:sz="4" w:space="0" w:color="auto"/>
              <w:right w:val="nil"/>
            </w:tcBorders>
            <w:shd w:val="clear" w:color="auto" w:fill="auto"/>
            <w:noWrap/>
            <w:vAlign w:val="center"/>
            <w:hideMark/>
          </w:tcPr>
          <w:p w14:paraId="50222082" w14:textId="77777777" w:rsidR="00824C53" w:rsidRPr="00824C53" w:rsidRDefault="00824C53" w:rsidP="00B10D1C">
            <w:pPr>
              <w:spacing w:after="0" w:line="480" w:lineRule="auto"/>
              <w:rPr>
                <w:rFonts w:asciiTheme="minorHAnsi" w:eastAsia="Times New Roman" w:hAnsiTheme="minorHAnsi" w:cs="Times New Roman"/>
                <w:sz w:val="18"/>
                <w:szCs w:val="18"/>
              </w:rPr>
            </w:pPr>
          </w:p>
        </w:tc>
        <w:tc>
          <w:tcPr>
            <w:tcW w:w="230" w:type="pct"/>
            <w:tcBorders>
              <w:top w:val="nil"/>
              <w:left w:val="nil"/>
              <w:bottom w:val="single" w:sz="4" w:space="0" w:color="auto"/>
              <w:right w:val="nil"/>
            </w:tcBorders>
            <w:shd w:val="clear" w:color="auto" w:fill="auto"/>
            <w:noWrap/>
            <w:vAlign w:val="center"/>
            <w:hideMark/>
          </w:tcPr>
          <w:p w14:paraId="4845F0CB" w14:textId="77777777" w:rsidR="00824C53" w:rsidRPr="00824C53" w:rsidRDefault="00824C53" w:rsidP="00B10D1C">
            <w:pPr>
              <w:spacing w:after="0" w:line="480" w:lineRule="auto"/>
              <w:jc w:val="center"/>
              <w:rPr>
                <w:rFonts w:asciiTheme="minorHAnsi" w:eastAsia="Times New Roman" w:hAnsiTheme="minorHAnsi" w:cs="Arial"/>
                <w:sz w:val="18"/>
                <w:szCs w:val="18"/>
              </w:rPr>
            </w:pPr>
            <w:r w:rsidRPr="00824C53">
              <w:rPr>
                <w:rFonts w:asciiTheme="minorHAnsi" w:eastAsia="Times New Roman" w:hAnsiTheme="minorHAnsi" w:cs="Arial"/>
                <w:sz w:val="18"/>
                <w:szCs w:val="18"/>
              </w:rPr>
              <w:t>Lower</w:t>
            </w:r>
          </w:p>
        </w:tc>
        <w:tc>
          <w:tcPr>
            <w:tcW w:w="230" w:type="pct"/>
            <w:tcBorders>
              <w:top w:val="nil"/>
              <w:left w:val="nil"/>
              <w:bottom w:val="single" w:sz="4" w:space="0" w:color="auto"/>
              <w:right w:val="nil"/>
            </w:tcBorders>
            <w:shd w:val="clear" w:color="auto" w:fill="auto"/>
            <w:noWrap/>
            <w:vAlign w:val="center"/>
            <w:hideMark/>
          </w:tcPr>
          <w:p w14:paraId="3E338638" w14:textId="77777777" w:rsidR="00824C53" w:rsidRPr="00824C53" w:rsidRDefault="00824C53" w:rsidP="00B10D1C">
            <w:pPr>
              <w:spacing w:after="0" w:line="480" w:lineRule="auto"/>
              <w:jc w:val="center"/>
              <w:rPr>
                <w:rFonts w:asciiTheme="minorHAnsi" w:eastAsia="Times New Roman" w:hAnsiTheme="minorHAnsi" w:cs="Arial"/>
                <w:sz w:val="18"/>
                <w:szCs w:val="18"/>
              </w:rPr>
            </w:pPr>
            <w:r w:rsidRPr="00824C53">
              <w:rPr>
                <w:rFonts w:asciiTheme="minorHAnsi" w:eastAsia="Times New Roman" w:hAnsiTheme="minorHAnsi" w:cs="Arial"/>
                <w:sz w:val="18"/>
                <w:szCs w:val="18"/>
              </w:rPr>
              <w:t>Upper</w:t>
            </w:r>
          </w:p>
        </w:tc>
        <w:tc>
          <w:tcPr>
            <w:tcW w:w="186" w:type="pct"/>
            <w:tcBorders>
              <w:top w:val="nil"/>
              <w:left w:val="nil"/>
              <w:bottom w:val="single" w:sz="4" w:space="0" w:color="auto"/>
              <w:right w:val="nil"/>
            </w:tcBorders>
            <w:shd w:val="clear" w:color="auto" w:fill="auto"/>
            <w:noWrap/>
            <w:hideMark/>
          </w:tcPr>
          <w:p w14:paraId="59B0F074" w14:textId="77777777" w:rsidR="00824C53" w:rsidRPr="00824C53" w:rsidRDefault="00824C53" w:rsidP="00B10D1C">
            <w:pPr>
              <w:spacing w:after="0" w:line="480" w:lineRule="auto"/>
              <w:jc w:val="center"/>
              <w:rPr>
                <w:rFonts w:asciiTheme="minorHAnsi" w:eastAsia="Times New Roman" w:hAnsiTheme="minorHAnsi" w:cs="Arial"/>
                <w:sz w:val="18"/>
                <w:szCs w:val="18"/>
              </w:rPr>
            </w:pPr>
          </w:p>
        </w:tc>
        <w:tc>
          <w:tcPr>
            <w:tcW w:w="886" w:type="pct"/>
            <w:tcBorders>
              <w:top w:val="nil"/>
              <w:left w:val="nil"/>
              <w:bottom w:val="single" w:sz="4" w:space="0" w:color="auto"/>
              <w:right w:val="nil"/>
            </w:tcBorders>
            <w:shd w:val="clear" w:color="auto" w:fill="auto"/>
            <w:noWrap/>
            <w:vAlign w:val="center"/>
            <w:hideMark/>
          </w:tcPr>
          <w:p w14:paraId="7405715F" w14:textId="77777777" w:rsidR="00824C53" w:rsidRPr="00824C53" w:rsidRDefault="00824C53" w:rsidP="00B10D1C">
            <w:pPr>
              <w:spacing w:after="0" w:line="480" w:lineRule="auto"/>
              <w:rPr>
                <w:rFonts w:asciiTheme="minorHAnsi" w:eastAsia="Times New Roman" w:hAnsiTheme="minorHAnsi" w:cs="Times New Roman"/>
                <w:sz w:val="18"/>
                <w:szCs w:val="18"/>
              </w:rPr>
            </w:pPr>
          </w:p>
        </w:tc>
        <w:tc>
          <w:tcPr>
            <w:tcW w:w="230" w:type="pct"/>
            <w:tcBorders>
              <w:top w:val="nil"/>
              <w:left w:val="nil"/>
              <w:bottom w:val="single" w:sz="4" w:space="0" w:color="auto"/>
              <w:right w:val="nil"/>
            </w:tcBorders>
            <w:shd w:val="clear" w:color="auto" w:fill="auto"/>
            <w:noWrap/>
            <w:vAlign w:val="center"/>
            <w:hideMark/>
          </w:tcPr>
          <w:p w14:paraId="0FDB448C" w14:textId="77777777" w:rsidR="00824C53" w:rsidRPr="00824C53" w:rsidRDefault="00824C53" w:rsidP="00B10D1C">
            <w:pPr>
              <w:spacing w:after="0" w:line="480" w:lineRule="auto"/>
              <w:jc w:val="center"/>
              <w:rPr>
                <w:rFonts w:asciiTheme="minorHAnsi" w:eastAsia="Times New Roman" w:hAnsiTheme="minorHAnsi" w:cs="Arial"/>
                <w:sz w:val="18"/>
                <w:szCs w:val="18"/>
              </w:rPr>
            </w:pPr>
            <w:r w:rsidRPr="00824C53">
              <w:rPr>
                <w:rFonts w:asciiTheme="minorHAnsi" w:eastAsia="Times New Roman" w:hAnsiTheme="minorHAnsi" w:cs="Arial"/>
                <w:sz w:val="18"/>
                <w:szCs w:val="18"/>
              </w:rPr>
              <w:t>Lower</w:t>
            </w:r>
          </w:p>
        </w:tc>
        <w:tc>
          <w:tcPr>
            <w:tcW w:w="230" w:type="pct"/>
            <w:tcBorders>
              <w:top w:val="nil"/>
              <w:left w:val="nil"/>
              <w:bottom w:val="single" w:sz="4" w:space="0" w:color="auto"/>
              <w:right w:val="nil"/>
            </w:tcBorders>
            <w:shd w:val="clear" w:color="auto" w:fill="auto"/>
            <w:noWrap/>
            <w:vAlign w:val="center"/>
            <w:hideMark/>
          </w:tcPr>
          <w:p w14:paraId="69E16C39" w14:textId="77777777" w:rsidR="00824C53" w:rsidRPr="00824C53" w:rsidRDefault="00824C53" w:rsidP="00B10D1C">
            <w:pPr>
              <w:spacing w:after="0" w:line="480" w:lineRule="auto"/>
              <w:jc w:val="center"/>
              <w:rPr>
                <w:rFonts w:asciiTheme="minorHAnsi" w:eastAsia="Times New Roman" w:hAnsiTheme="minorHAnsi" w:cs="Arial"/>
                <w:sz w:val="18"/>
                <w:szCs w:val="18"/>
              </w:rPr>
            </w:pPr>
            <w:r w:rsidRPr="00824C53">
              <w:rPr>
                <w:rFonts w:asciiTheme="minorHAnsi" w:eastAsia="Times New Roman" w:hAnsiTheme="minorHAnsi" w:cs="Arial"/>
                <w:sz w:val="18"/>
                <w:szCs w:val="18"/>
              </w:rPr>
              <w:t>Upper</w:t>
            </w:r>
          </w:p>
        </w:tc>
        <w:tc>
          <w:tcPr>
            <w:tcW w:w="151" w:type="pct"/>
            <w:tcBorders>
              <w:top w:val="nil"/>
              <w:left w:val="nil"/>
              <w:bottom w:val="single" w:sz="4" w:space="0" w:color="auto"/>
              <w:right w:val="nil"/>
            </w:tcBorders>
            <w:shd w:val="clear" w:color="auto" w:fill="auto"/>
            <w:noWrap/>
            <w:vAlign w:val="center"/>
            <w:hideMark/>
          </w:tcPr>
          <w:p w14:paraId="0801BDD9" w14:textId="77777777" w:rsidR="00824C53" w:rsidRPr="00824C53" w:rsidRDefault="00824C53" w:rsidP="00B10D1C">
            <w:pPr>
              <w:spacing w:after="0" w:line="480" w:lineRule="auto"/>
              <w:jc w:val="center"/>
              <w:rPr>
                <w:rFonts w:asciiTheme="minorHAnsi" w:eastAsia="Times New Roman" w:hAnsiTheme="minorHAnsi" w:cs="Arial"/>
                <w:sz w:val="18"/>
                <w:szCs w:val="18"/>
              </w:rPr>
            </w:pPr>
          </w:p>
        </w:tc>
      </w:tr>
      <w:tr w:rsidR="00824C53" w:rsidRPr="00824C53" w14:paraId="5EB23E10" w14:textId="77777777" w:rsidTr="00470785">
        <w:trPr>
          <w:trHeight w:val="375"/>
        </w:trPr>
        <w:tc>
          <w:tcPr>
            <w:tcW w:w="736" w:type="pct"/>
            <w:tcBorders>
              <w:top w:val="single" w:sz="4" w:space="0" w:color="auto"/>
              <w:left w:val="nil"/>
              <w:bottom w:val="nil"/>
              <w:right w:val="nil"/>
            </w:tcBorders>
            <w:shd w:val="clear" w:color="auto" w:fill="auto"/>
            <w:vAlign w:val="center"/>
            <w:hideMark/>
          </w:tcPr>
          <w:p w14:paraId="44A2B20C" w14:textId="77777777" w:rsidR="00824C53" w:rsidRPr="00824C53" w:rsidRDefault="00824C53" w:rsidP="00B10D1C">
            <w:pPr>
              <w:spacing w:after="0" w:line="480" w:lineRule="auto"/>
              <w:rPr>
                <w:rFonts w:asciiTheme="minorHAnsi" w:eastAsia="Times New Roman" w:hAnsiTheme="minorHAnsi" w:cs="Arial"/>
                <w:sz w:val="18"/>
                <w:szCs w:val="18"/>
              </w:rPr>
            </w:pPr>
            <w:r w:rsidRPr="00824C53">
              <w:rPr>
                <w:rFonts w:asciiTheme="minorHAnsi" w:eastAsia="Times New Roman" w:hAnsiTheme="minorHAnsi" w:cs="Arial"/>
                <w:sz w:val="18"/>
                <w:szCs w:val="18"/>
              </w:rPr>
              <w:t>SAPROF Internal</w:t>
            </w:r>
          </w:p>
        </w:tc>
        <w:tc>
          <w:tcPr>
            <w:tcW w:w="590" w:type="pct"/>
            <w:tcBorders>
              <w:top w:val="single" w:sz="4" w:space="0" w:color="auto"/>
              <w:left w:val="nil"/>
              <w:bottom w:val="nil"/>
              <w:right w:val="nil"/>
            </w:tcBorders>
            <w:shd w:val="clear" w:color="auto" w:fill="auto"/>
            <w:noWrap/>
            <w:vAlign w:val="center"/>
            <w:hideMark/>
          </w:tcPr>
          <w:p w14:paraId="30953D9E" w14:textId="77777777" w:rsidR="00824C53" w:rsidRPr="00824C53" w:rsidRDefault="00824C53" w:rsidP="00B10D1C">
            <w:pPr>
              <w:spacing w:after="0" w:line="480" w:lineRule="auto"/>
              <w:jc w:val="center"/>
              <w:rPr>
                <w:rFonts w:asciiTheme="minorHAnsi" w:eastAsia="Times New Roman" w:hAnsiTheme="minorHAnsi" w:cs="Arial"/>
                <w:b/>
                <w:bCs/>
                <w:sz w:val="18"/>
                <w:szCs w:val="18"/>
              </w:rPr>
            </w:pPr>
            <w:r w:rsidRPr="00824C53">
              <w:rPr>
                <w:rFonts w:asciiTheme="minorHAnsi" w:eastAsia="Times New Roman" w:hAnsiTheme="minorHAnsi" w:cs="Arial"/>
                <w:b/>
                <w:bCs/>
                <w:sz w:val="18"/>
                <w:szCs w:val="18"/>
              </w:rPr>
              <w:t>.55</w:t>
            </w:r>
          </w:p>
        </w:tc>
        <w:tc>
          <w:tcPr>
            <w:tcW w:w="230" w:type="pct"/>
            <w:tcBorders>
              <w:top w:val="single" w:sz="4" w:space="0" w:color="auto"/>
              <w:left w:val="nil"/>
              <w:bottom w:val="nil"/>
              <w:right w:val="nil"/>
            </w:tcBorders>
            <w:shd w:val="clear" w:color="auto" w:fill="auto"/>
            <w:noWrap/>
            <w:vAlign w:val="center"/>
            <w:hideMark/>
          </w:tcPr>
          <w:p w14:paraId="6869A645"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.42</w:t>
            </w:r>
          </w:p>
        </w:tc>
        <w:tc>
          <w:tcPr>
            <w:tcW w:w="230" w:type="pct"/>
            <w:tcBorders>
              <w:top w:val="single" w:sz="4" w:space="0" w:color="auto"/>
              <w:left w:val="nil"/>
              <w:bottom w:val="nil"/>
              <w:right w:val="nil"/>
            </w:tcBorders>
            <w:shd w:val="clear" w:color="auto" w:fill="auto"/>
            <w:noWrap/>
            <w:vAlign w:val="center"/>
            <w:hideMark/>
          </w:tcPr>
          <w:p w14:paraId="381C9708"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.68</w:t>
            </w:r>
          </w:p>
        </w:tc>
        <w:tc>
          <w:tcPr>
            <w:tcW w:w="186" w:type="pct"/>
            <w:tcBorders>
              <w:top w:val="single" w:sz="4" w:space="0" w:color="auto"/>
              <w:left w:val="nil"/>
              <w:bottom w:val="nil"/>
              <w:right w:val="nil"/>
            </w:tcBorders>
            <w:shd w:val="clear" w:color="auto" w:fill="auto"/>
            <w:noWrap/>
            <w:vAlign w:val="center"/>
            <w:hideMark/>
          </w:tcPr>
          <w:p w14:paraId="3BDAF250"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NS</w:t>
            </w:r>
          </w:p>
        </w:tc>
        <w:tc>
          <w:tcPr>
            <w:tcW w:w="886" w:type="pct"/>
            <w:tcBorders>
              <w:top w:val="single" w:sz="4" w:space="0" w:color="auto"/>
              <w:left w:val="nil"/>
              <w:bottom w:val="nil"/>
              <w:right w:val="nil"/>
            </w:tcBorders>
            <w:shd w:val="clear" w:color="auto" w:fill="auto"/>
            <w:noWrap/>
            <w:vAlign w:val="center"/>
            <w:hideMark/>
          </w:tcPr>
          <w:p w14:paraId="598EA9D3" w14:textId="77777777" w:rsidR="00824C53" w:rsidRPr="00824C53" w:rsidRDefault="00824C53" w:rsidP="00B10D1C">
            <w:pPr>
              <w:spacing w:after="0" w:line="480" w:lineRule="auto"/>
              <w:jc w:val="center"/>
              <w:rPr>
                <w:rFonts w:asciiTheme="minorHAnsi" w:eastAsia="Times New Roman" w:hAnsiTheme="minorHAnsi" w:cs="Arial"/>
                <w:b/>
                <w:bCs/>
                <w:sz w:val="18"/>
                <w:szCs w:val="18"/>
              </w:rPr>
            </w:pPr>
            <w:r w:rsidRPr="00824C53">
              <w:rPr>
                <w:rFonts w:asciiTheme="minorHAnsi" w:eastAsia="Times New Roman" w:hAnsiTheme="minorHAnsi" w:cs="Arial"/>
                <w:b/>
                <w:bCs/>
                <w:sz w:val="18"/>
                <w:szCs w:val="18"/>
              </w:rPr>
              <w:t>.69</w:t>
            </w:r>
          </w:p>
        </w:tc>
        <w:tc>
          <w:tcPr>
            <w:tcW w:w="230" w:type="pct"/>
            <w:tcBorders>
              <w:top w:val="single" w:sz="4" w:space="0" w:color="auto"/>
              <w:left w:val="nil"/>
              <w:bottom w:val="nil"/>
              <w:right w:val="nil"/>
            </w:tcBorders>
            <w:shd w:val="clear" w:color="auto" w:fill="auto"/>
            <w:noWrap/>
            <w:vAlign w:val="center"/>
            <w:hideMark/>
          </w:tcPr>
          <w:p w14:paraId="5115D76C"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.51</w:t>
            </w:r>
          </w:p>
        </w:tc>
        <w:tc>
          <w:tcPr>
            <w:tcW w:w="230" w:type="pct"/>
            <w:tcBorders>
              <w:top w:val="single" w:sz="4" w:space="0" w:color="auto"/>
              <w:left w:val="nil"/>
              <w:bottom w:val="nil"/>
              <w:right w:val="nil"/>
            </w:tcBorders>
            <w:shd w:val="clear" w:color="auto" w:fill="auto"/>
            <w:noWrap/>
            <w:vAlign w:val="center"/>
            <w:hideMark/>
          </w:tcPr>
          <w:p w14:paraId="4DF626EC"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.87</w:t>
            </w:r>
          </w:p>
        </w:tc>
        <w:tc>
          <w:tcPr>
            <w:tcW w:w="186" w:type="pct"/>
            <w:tcBorders>
              <w:top w:val="single" w:sz="4" w:space="0" w:color="auto"/>
              <w:left w:val="nil"/>
              <w:bottom w:val="nil"/>
              <w:right w:val="nil"/>
            </w:tcBorders>
            <w:shd w:val="clear" w:color="auto" w:fill="auto"/>
            <w:noWrap/>
            <w:vAlign w:val="center"/>
            <w:hideMark/>
          </w:tcPr>
          <w:p w14:paraId="773FF9A8"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NS</w:t>
            </w:r>
          </w:p>
        </w:tc>
        <w:tc>
          <w:tcPr>
            <w:tcW w:w="886" w:type="pct"/>
            <w:tcBorders>
              <w:top w:val="single" w:sz="4" w:space="0" w:color="auto"/>
              <w:left w:val="nil"/>
              <w:bottom w:val="nil"/>
              <w:right w:val="nil"/>
            </w:tcBorders>
            <w:shd w:val="clear" w:color="auto" w:fill="auto"/>
            <w:noWrap/>
            <w:vAlign w:val="center"/>
            <w:hideMark/>
          </w:tcPr>
          <w:p w14:paraId="6C599EA2" w14:textId="77777777" w:rsidR="00824C53" w:rsidRPr="00824C53" w:rsidRDefault="00824C53" w:rsidP="00B10D1C">
            <w:pPr>
              <w:spacing w:after="0" w:line="480" w:lineRule="auto"/>
              <w:jc w:val="center"/>
              <w:rPr>
                <w:rFonts w:asciiTheme="minorHAnsi" w:eastAsia="Times New Roman" w:hAnsiTheme="minorHAnsi" w:cs="Arial"/>
                <w:b/>
                <w:bCs/>
                <w:sz w:val="18"/>
                <w:szCs w:val="18"/>
              </w:rPr>
            </w:pPr>
            <w:r w:rsidRPr="00824C53">
              <w:rPr>
                <w:rFonts w:asciiTheme="minorHAnsi" w:eastAsia="Times New Roman" w:hAnsiTheme="minorHAnsi" w:cs="Arial"/>
                <w:b/>
                <w:bCs/>
                <w:sz w:val="18"/>
                <w:szCs w:val="18"/>
              </w:rPr>
              <w:t>.44</w:t>
            </w:r>
          </w:p>
        </w:tc>
        <w:tc>
          <w:tcPr>
            <w:tcW w:w="230" w:type="pct"/>
            <w:tcBorders>
              <w:top w:val="single" w:sz="4" w:space="0" w:color="auto"/>
              <w:left w:val="nil"/>
              <w:bottom w:val="nil"/>
              <w:right w:val="nil"/>
            </w:tcBorders>
            <w:shd w:val="clear" w:color="auto" w:fill="auto"/>
            <w:noWrap/>
            <w:vAlign w:val="center"/>
            <w:hideMark/>
          </w:tcPr>
          <w:p w14:paraId="4527AFC0"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.29</w:t>
            </w:r>
          </w:p>
        </w:tc>
        <w:tc>
          <w:tcPr>
            <w:tcW w:w="230" w:type="pct"/>
            <w:tcBorders>
              <w:top w:val="single" w:sz="4" w:space="0" w:color="auto"/>
              <w:left w:val="nil"/>
              <w:bottom w:val="nil"/>
              <w:right w:val="nil"/>
            </w:tcBorders>
            <w:shd w:val="clear" w:color="auto" w:fill="auto"/>
            <w:noWrap/>
            <w:vAlign w:val="center"/>
            <w:hideMark/>
          </w:tcPr>
          <w:p w14:paraId="1E8E3F2E"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.60</w:t>
            </w:r>
          </w:p>
        </w:tc>
        <w:tc>
          <w:tcPr>
            <w:tcW w:w="151" w:type="pct"/>
            <w:tcBorders>
              <w:top w:val="single" w:sz="4" w:space="0" w:color="auto"/>
              <w:left w:val="nil"/>
              <w:bottom w:val="nil"/>
              <w:right w:val="nil"/>
            </w:tcBorders>
            <w:shd w:val="clear" w:color="auto" w:fill="auto"/>
            <w:noWrap/>
            <w:vAlign w:val="center"/>
            <w:hideMark/>
          </w:tcPr>
          <w:p w14:paraId="521A86CD"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NS</w:t>
            </w:r>
          </w:p>
        </w:tc>
      </w:tr>
      <w:tr w:rsidR="00824C53" w:rsidRPr="00824C53" w14:paraId="3FDCF399" w14:textId="77777777" w:rsidTr="00470785">
        <w:trPr>
          <w:trHeight w:val="375"/>
        </w:trPr>
        <w:tc>
          <w:tcPr>
            <w:tcW w:w="736" w:type="pct"/>
            <w:tcBorders>
              <w:top w:val="nil"/>
              <w:left w:val="nil"/>
              <w:bottom w:val="nil"/>
              <w:right w:val="nil"/>
            </w:tcBorders>
            <w:shd w:val="clear" w:color="auto" w:fill="auto"/>
            <w:vAlign w:val="center"/>
            <w:hideMark/>
          </w:tcPr>
          <w:p w14:paraId="7703D29C" w14:textId="77777777" w:rsidR="00824C53" w:rsidRPr="00824C53" w:rsidRDefault="00824C53" w:rsidP="00B10D1C">
            <w:pPr>
              <w:spacing w:after="0" w:line="480" w:lineRule="auto"/>
              <w:rPr>
                <w:rFonts w:asciiTheme="minorHAnsi" w:eastAsia="Times New Roman" w:hAnsiTheme="minorHAnsi" w:cs="Arial"/>
                <w:sz w:val="18"/>
                <w:szCs w:val="18"/>
              </w:rPr>
            </w:pPr>
            <w:r w:rsidRPr="00824C53">
              <w:rPr>
                <w:rFonts w:asciiTheme="minorHAnsi" w:eastAsia="Times New Roman" w:hAnsiTheme="minorHAnsi" w:cs="Arial"/>
                <w:sz w:val="18"/>
                <w:szCs w:val="18"/>
              </w:rPr>
              <w:t>SAPROF Motivational</w:t>
            </w:r>
          </w:p>
        </w:tc>
        <w:tc>
          <w:tcPr>
            <w:tcW w:w="590" w:type="pct"/>
            <w:tcBorders>
              <w:top w:val="nil"/>
              <w:left w:val="nil"/>
              <w:bottom w:val="nil"/>
              <w:right w:val="nil"/>
            </w:tcBorders>
            <w:shd w:val="clear" w:color="auto" w:fill="auto"/>
            <w:noWrap/>
            <w:vAlign w:val="center"/>
            <w:hideMark/>
          </w:tcPr>
          <w:p w14:paraId="68B3B2F7" w14:textId="77777777" w:rsidR="00824C53" w:rsidRPr="00824C53" w:rsidRDefault="00824C53" w:rsidP="00B10D1C">
            <w:pPr>
              <w:spacing w:after="0" w:line="480" w:lineRule="auto"/>
              <w:jc w:val="center"/>
              <w:rPr>
                <w:rFonts w:asciiTheme="minorHAnsi" w:eastAsia="Times New Roman" w:hAnsiTheme="minorHAnsi" w:cs="Arial"/>
                <w:b/>
                <w:bCs/>
                <w:sz w:val="18"/>
                <w:szCs w:val="18"/>
              </w:rPr>
            </w:pPr>
            <w:r w:rsidRPr="00824C53">
              <w:rPr>
                <w:rFonts w:asciiTheme="minorHAnsi" w:eastAsia="Times New Roman" w:hAnsiTheme="minorHAnsi" w:cs="Arial"/>
                <w:b/>
                <w:bCs/>
                <w:sz w:val="18"/>
                <w:szCs w:val="18"/>
              </w:rPr>
              <w:t>.61</w:t>
            </w:r>
          </w:p>
        </w:tc>
        <w:tc>
          <w:tcPr>
            <w:tcW w:w="230" w:type="pct"/>
            <w:tcBorders>
              <w:top w:val="nil"/>
              <w:left w:val="nil"/>
              <w:bottom w:val="nil"/>
              <w:right w:val="nil"/>
            </w:tcBorders>
            <w:shd w:val="clear" w:color="auto" w:fill="auto"/>
            <w:noWrap/>
            <w:vAlign w:val="center"/>
            <w:hideMark/>
          </w:tcPr>
          <w:p w14:paraId="50E59727"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.48</w:t>
            </w:r>
          </w:p>
        </w:tc>
        <w:tc>
          <w:tcPr>
            <w:tcW w:w="230" w:type="pct"/>
            <w:tcBorders>
              <w:top w:val="nil"/>
              <w:left w:val="nil"/>
              <w:bottom w:val="nil"/>
              <w:right w:val="nil"/>
            </w:tcBorders>
            <w:shd w:val="clear" w:color="auto" w:fill="auto"/>
            <w:noWrap/>
            <w:vAlign w:val="center"/>
            <w:hideMark/>
          </w:tcPr>
          <w:p w14:paraId="12E4A2D0"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.73</w:t>
            </w:r>
          </w:p>
        </w:tc>
        <w:tc>
          <w:tcPr>
            <w:tcW w:w="186" w:type="pct"/>
            <w:tcBorders>
              <w:top w:val="nil"/>
              <w:left w:val="nil"/>
              <w:bottom w:val="nil"/>
              <w:right w:val="nil"/>
            </w:tcBorders>
            <w:shd w:val="clear" w:color="auto" w:fill="auto"/>
            <w:noWrap/>
            <w:vAlign w:val="center"/>
            <w:hideMark/>
          </w:tcPr>
          <w:p w14:paraId="6846D1C3"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NS</w:t>
            </w:r>
          </w:p>
        </w:tc>
        <w:tc>
          <w:tcPr>
            <w:tcW w:w="886" w:type="pct"/>
            <w:tcBorders>
              <w:top w:val="nil"/>
              <w:left w:val="nil"/>
              <w:bottom w:val="nil"/>
              <w:right w:val="nil"/>
            </w:tcBorders>
            <w:shd w:val="clear" w:color="auto" w:fill="auto"/>
            <w:noWrap/>
            <w:vAlign w:val="center"/>
            <w:hideMark/>
          </w:tcPr>
          <w:p w14:paraId="7FEA1BA0" w14:textId="77777777" w:rsidR="00824C53" w:rsidRPr="00824C53" w:rsidRDefault="00824C53" w:rsidP="00B10D1C">
            <w:pPr>
              <w:spacing w:after="0" w:line="480" w:lineRule="auto"/>
              <w:jc w:val="center"/>
              <w:rPr>
                <w:rFonts w:asciiTheme="minorHAnsi" w:eastAsia="Times New Roman" w:hAnsiTheme="minorHAnsi" w:cs="Arial"/>
                <w:b/>
                <w:bCs/>
                <w:sz w:val="18"/>
                <w:szCs w:val="18"/>
              </w:rPr>
            </w:pPr>
            <w:r w:rsidRPr="00824C53">
              <w:rPr>
                <w:rFonts w:asciiTheme="minorHAnsi" w:eastAsia="Times New Roman" w:hAnsiTheme="minorHAnsi" w:cs="Arial"/>
                <w:b/>
                <w:bCs/>
                <w:sz w:val="18"/>
                <w:szCs w:val="18"/>
              </w:rPr>
              <w:t>.60</w:t>
            </w:r>
          </w:p>
        </w:tc>
        <w:tc>
          <w:tcPr>
            <w:tcW w:w="230" w:type="pct"/>
            <w:tcBorders>
              <w:top w:val="nil"/>
              <w:left w:val="nil"/>
              <w:bottom w:val="nil"/>
              <w:right w:val="nil"/>
            </w:tcBorders>
            <w:shd w:val="clear" w:color="auto" w:fill="auto"/>
            <w:noWrap/>
            <w:vAlign w:val="center"/>
            <w:hideMark/>
          </w:tcPr>
          <w:p w14:paraId="5332B7A5"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.39</w:t>
            </w:r>
          </w:p>
        </w:tc>
        <w:tc>
          <w:tcPr>
            <w:tcW w:w="230" w:type="pct"/>
            <w:tcBorders>
              <w:top w:val="nil"/>
              <w:left w:val="nil"/>
              <w:bottom w:val="nil"/>
              <w:right w:val="nil"/>
            </w:tcBorders>
            <w:shd w:val="clear" w:color="auto" w:fill="auto"/>
            <w:noWrap/>
            <w:vAlign w:val="center"/>
            <w:hideMark/>
          </w:tcPr>
          <w:p w14:paraId="5BBC0BC8"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.80</w:t>
            </w:r>
          </w:p>
        </w:tc>
        <w:tc>
          <w:tcPr>
            <w:tcW w:w="186" w:type="pct"/>
            <w:tcBorders>
              <w:top w:val="nil"/>
              <w:left w:val="nil"/>
              <w:bottom w:val="nil"/>
              <w:right w:val="nil"/>
            </w:tcBorders>
            <w:shd w:val="clear" w:color="auto" w:fill="auto"/>
            <w:noWrap/>
            <w:vAlign w:val="center"/>
            <w:hideMark/>
          </w:tcPr>
          <w:p w14:paraId="581CE580"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NS</w:t>
            </w:r>
          </w:p>
        </w:tc>
        <w:tc>
          <w:tcPr>
            <w:tcW w:w="886" w:type="pct"/>
            <w:tcBorders>
              <w:top w:val="nil"/>
              <w:left w:val="nil"/>
              <w:bottom w:val="nil"/>
              <w:right w:val="nil"/>
            </w:tcBorders>
            <w:shd w:val="clear" w:color="auto" w:fill="auto"/>
            <w:noWrap/>
            <w:vAlign w:val="center"/>
            <w:hideMark/>
          </w:tcPr>
          <w:p w14:paraId="679D4447" w14:textId="77777777" w:rsidR="00824C53" w:rsidRPr="00824C53" w:rsidRDefault="00824C53" w:rsidP="00B10D1C">
            <w:pPr>
              <w:spacing w:after="0" w:line="480" w:lineRule="auto"/>
              <w:jc w:val="center"/>
              <w:rPr>
                <w:rFonts w:asciiTheme="minorHAnsi" w:eastAsia="Times New Roman" w:hAnsiTheme="minorHAnsi" w:cs="Arial"/>
                <w:b/>
                <w:bCs/>
                <w:sz w:val="18"/>
                <w:szCs w:val="18"/>
              </w:rPr>
            </w:pPr>
            <w:r w:rsidRPr="00824C53">
              <w:rPr>
                <w:rFonts w:asciiTheme="minorHAnsi" w:eastAsia="Times New Roman" w:hAnsiTheme="minorHAnsi" w:cs="Arial"/>
                <w:b/>
                <w:bCs/>
                <w:sz w:val="18"/>
                <w:szCs w:val="18"/>
              </w:rPr>
              <w:t>.58</w:t>
            </w:r>
          </w:p>
        </w:tc>
        <w:tc>
          <w:tcPr>
            <w:tcW w:w="230" w:type="pct"/>
            <w:tcBorders>
              <w:top w:val="nil"/>
              <w:left w:val="nil"/>
              <w:bottom w:val="nil"/>
              <w:right w:val="nil"/>
            </w:tcBorders>
            <w:shd w:val="clear" w:color="auto" w:fill="auto"/>
            <w:noWrap/>
            <w:vAlign w:val="center"/>
            <w:hideMark/>
          </w:tcPr>
          <w:p w14:paraId="17513D66"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.42</w:t>
            </w:r>
          </w:p>
        </w:tc>
        <w:tc>
          <w:tcPr>
            <w:tcW w:w="230" w:type="pct"/>
            <w:tcBorders>
              <w:top w:val="nil"/>
              <w:left w:val="nil"/>
              <w:bottom w:val="nil"/>
              <w:right w:val="nil"/>
            </w:tcBorders>
            <w:shd w:val="clear" w:color="auto" w:fill="auto"/>
            <w:noWrap/>
            <w:vAlign w:val="center"/>
            <w:hideMark/>
          </w:tcPr>
          <w:p w14:paraId="22AD3139"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.73</w:t>
            </w:r>
          </w:p>
        </w:tc>
        <w:tc>
          <w:tcPr>
            <w:tcW w:w="151" w:type="pct"/>
            <w:tcBorders>
              <w:top w:val="nil"/>
              <w:left w:val="nil"/>
              <w:bottom w:val="nil"/>
              <w:right w:val="nil"/>
            </w:tcBorders>
            <w:shd w:val="clear" w:color="auto" w:fill="auto"/>
            <w:noWrap/>
            <w:vAlign w:val="center"/>
            <w:hideMark/>
          </w:tcPr>
          <w:p w14:paraId="69460FE7"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NS</w:t>
            </w:r>
          </w:p>
        </w:tc>
      </w:tr>
      <w:tr w:rsidR="00824C53" w:rsidRPr="00824C53" w14:paraId="42251E1A" w14:textId="77777777" w:rsidTr="00470785">
        <w:trPr>
          <w:trHeight w:val="375"/>
        </w:trPr>
        <w:tc>
          <w:tcPr>
            <w:tcW w:w="736" w:type="pct"/>
            <w:tcBorders>
              <w:top w:val="nil"/>
              <w:left w:val="nil"/>
              <w:right w:val="nil"/>
            </w:tcBorders>
            <w:shd w:val="clear" w:color="auto" w:fill="auto"/>
            <w:vAlign w:val="center"/>
            <w:hideMark/>
          </w:tcPr>
          <w:p w14:paraId="1A7A16E4" w14:textId="77777777" w:rsidR="00824C53" w:rsidRPr="00824C53" w:rsidRDefault="00824C53" w:rsidP="00B10D1C">
            <w:pPr>
              <w:spacing w:after="0" w:line="480" w:lineRule="auto"/>
              <w:rPr>
                <w:rFonts w:asciiTheme="minorHAnsi" w:eastAsia="Times New Roman" w:hAnsiTheme="minorHAnsi" w:cs="Arial"/>
                <w:sz w:val="18"/>
                <w:szCs w:val="18"/>
              </w:rPr>
            </w:pPr>
            <w:r w:rsidRPr="00824C53">
              <w:rPr>
                <w:rFonts w:asciiTheme="minorHAnsi" w:eastAsia="Times New Roman" w:hAnsiTheme="minorHAnsi" w:cs="Arial"/>
                <w:sz w:val="18"/>
                <w:szCs w:val="18"/>
              </w:rPr>
              <w:t>SAPROF External</w:t>
            </w:r>
          </w:p>
        </w:tc>
        <w:tc>
          <w:tcPr>
            <w:tcW w:w="590" w:type="pct"/>
            <w:tcBorders>
              <w:top w:val="nil"/>
              <w:left w:val="nil"/>
              <w:right w:val="nil"/>
            </w:tcBorders>
            <w:shd w:val="clear" w:color="auto" w:fill="auto"/>
            <w:noWrap/>
            <w:vAlign w:val="center"/>
            <w:hideMark/>
          </w:tcPr>
          <w:p w14:paraId="58CCE84B" w14:textId="77777777" w:rsidR="00824C53" w:rsidRPr="00824C53" w:rsidRDefault="00824C53" w:rsidP="00B10D1C">
            <w:pPr>
              <w:spacing w:after="0" w:line="480" w:lineRule="auto"/>
              <w:jc w:val="center"/>
              <w:rPr>
                <w:rFonts w:asciiTheme="minorHAnsi" w:eastAsia="Times New Roman" w:hAnsiTheme="minorHAnsi" w:cs="Arial"/>
                <w:b/>
                <w:bCs/>
                <w:sz w:val="18"/>
                <w:szCs w:val="18"/>
              </w:rPr>
            </w:pPr>
            <w:r w:rsidRPr="00824C53">
              <w:rPr>
                <w:rFonts w:asciiTheme="minorHAnsi" w:eastAsia="Times New Roman" w:hAnsiTheme="minorHAnsi" w:cs="Arial"/>
                <w:b/>
                <w:bCs/>
                <w:sz w:val="18"/>
                <w:szCs w:val="18"/>
              </w:rPr>
              <w:t>.56</w:t>
            </w:r>
          </w:p>
        </w:tc>
        <w:tc>
          <w:tcPr>
            <w:tcW w:w="230" w:type="pct"/>
            <w:tcBorders>
              <w:top w:val="nil"/>
              <w:left w:val="nil"/>
              <w:right w:val="nil"/>
            </w:tcBorders>
            <w:shd w:val="clear" w:color="auto" w:fill="auto"/>
            <w:noWrap/>
            <w:vAlign w:val="center"/>
            <w:hideMark/>
          </w:tcPr>
          <w:p w14:paraId="47F85951"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.44</w:t>
            </w:r>
          </w:p>
        </w:tc>
        <w:tc>
          <w:tcPr>
            <w:tcW w:w="230" w:type="pct"/>
            <w:tcBorders>
              <w:top w:val="nil"/>
              <w:left w:val="nil"/>
              <w:right w:val="nil"/>
            </w:tcBorders>
            <w:shd w:val="clear" w:color="auto" w:fill="auto"/>
            <w:noWrap/>
            <w:vAlign w:val="center"/>
            <w:hideMark/>
          </w:tcPr>
          <w:p w14:paraId="1D874AA0"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.68</w:t>
            </w:r>
          </w:p>
        </w:tc>
        <w:tc>
          <w:tcPr>
            <w:tcW w:w="186" w:type="pct"/>
            <w:tcBorders>
              <w:top w:val="nil"/>
              <w:left w:val="nil"/>
              <w:right w:val="nil"/>
            </w:tcBorders>
            <w:shd w:val="clear" w:color="auto" w:fill="auto"/>
            <w:noWrap/>
            <w:vAlign w:val="center"/>
            <w:hideMark/>
          </w:tcPr>
          <w:p w14:paraId="6A469990"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NS</w:t>
            </w:r>
          </w:p>
        </w:tc>
        <w:tc>
          <w:tcPr>
            <w:tcW w:w="886" w:type="pct"/>
            <w:tcBorders>
              <w:top w:val="nil"/>
              <w:left w:val="nil"/>
              <w:right w:val="nil"/>
            </w:tcBorders>
            <w:shd w:val="clear" w:color="auto" w:fill="auto"/>
            <w:noWrap/>
            <w:vAlign w:val="center"/>
            <w:hideMark/>
          </w:tcPr>
          <w:p w14:paraId="317E276B" w14:textId="77777777" w:rsidR="00824C53" w:rsidRPr="00824C53" w:rsidRDefault="00824C53" w:rsidP="00B10D1C">
            <w:pPr>
              <w:spacing w:after="0" w:line="480" w:lineRule="auto"/>
              <w:jc w:val="center"/>
              <w:rPr>
                <w:rFonts w:asciiTheme="minorHAnsi" w:eastAsia="Times New Roman" w:hAnsiTheme="minorHAnsi" w:cs="Arial"/>
                <w:b/>
                <w:bCs/>
                <w:sz w:val="18"/>
                <w:szCs w:val="18"/>
              </w:rPr>
            </w:pPr>
            <w:r w:rsidRPr="00824C53">
              <w:rPr>
                <w:rFonts w:asciiTheme="minorHAnsi" w:eastAsia="Times New Roman" w:hAnsiTheme="minorHAnsi" w:cs="Arial"/>
                <w:b/>
                <w:bCs/>
                <w:sz w:val="18"/>
                <w:szCs w:val="18"/>
              </w:rPr>
              <w:t>.42</w:t>
            </w:r>
          </w:p>
        </w:tc>
        <w:tc>
          <w:tcPr>
            <w:tcW w:w="230" w:type="pct"/>
            <w:tcBorders>
              <w:top w:val="nil"/>
              <w:left w:val="nil"/>
              <w:right w:val="nil"/>
            </w:tcBorders>
            <w:shd w:val="clear" w:color="auto" w:fill="auto"/>
            <w:noWrap/>
            <w:vAlign w:val="center"/>
            <w:hideMark/>
          </w:tcPr>
          <w:p w14:paraId="4FBB023F"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.24</w:t>
            </w:r>
          </w:p>
        </w:tc>
        <w:tc>
          <w:tcPr>
            <w:tcW w:w="230" w:type="pct"/>
            <w:tcBorders>
              <w:top w:val="nil"/>
              <w:left w:val="nil"/>
              <w:right w:val="nil"/>
            </w:tcBorders>
            <w:shd w:val="clear" w:color="auto" w:fill="auto"/>
            <w:noWrap/>
            <w:vAlign w:val="center"/>
            <w:hideMark/>
          </w:tcPr>
          <w:p w14:paraId="54520493"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.61</w:t>
            </w:r>
          </w:p>
        </w:tc>
        <w:tc>
          <w:tcPr>
            <w:tcW w:w="186" w:type="pct"/>
            <w:tcBorders>
              <w:top w:val="nil"/>
              <w:left w:val="nil"/>
              <w:right w:val="nil"/>
            </w:tcBorders>
            <w:shd w:val="clear" w:color="auto" w:fill="auto"/>
            <w:noWrap/>
            <w:vAlign w:val="center"/>
            <w:hideMark/>
          </w:tcPr>
          <w:p w14:paraId="69866580"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NS</w:t>
            </w:r>
          </w:p>
        </w:tc>
        <w:tc>
          <w:tcPr>
            <w:tcW w:w="886" w:type="pct"/>
            <w:tcBorders>
              <w:top w:val="nil"/>
              <w:left w:val="nil"/>
              <w:right w:val="nil"/>
            </w:tcBorders>
            <w:shd w:val="clear" w:color="auto" w:fill="auto"/>
            <w:noWrap/>
            <w:vAlign w:val="center"/>
            <w:hideMark/>
          </w:tcPr>
          <w:p w14:paraId="63F0C121" w14:textId="77777777" w:rsidR="00824C53" w:rsidRPr="00824C53" w:rsidRDefault="00824C53" w:rsidP="00B10D1C">
            <w:pPr>
              <w:spacing w:after="0" w:line="480" w:lineRule="auto"/>
              <w:jc w:val="center"/>
              <w:rPr>
                <w:rFonts w:asciiTheme="minorHAnsi" w:eastAsia="Times New Roman" w:hAnsiTheme="minorHAnsi" w:cs="Arial"/>
                <w:b/>
                <w:bCs/>
                <w:sz w:val="18"/>
                <w:szCs w:val="18"/>
              </w:rPr>
            </w:pPr>
            <w:r w:rsidRPr="00824C53">
              <w:rPr>
                <w:rFonts w:asciiTheme="minorHAnsi" w:eastAsia="Times New Roman" w:hAnsiTheme="minorHAnsi" w:cs="Arial"/>
                <w:b/>
                <w:bCs/>
                <w:sz w:val="18"/>
                <w:szCs w:val="18"/>
              </w:rPr>
              <w:t>.62</w:t>
            </w:r>
          </w:p>
        </w:tc>
        <w:tc>
          <w:tcPr>
            <w:tcW w:w="230" w:type="pct"/>
            <w:tcBorders>
              <w:top w:val="nil"/>
              <w:left w:val="nil"/>
              <w:right w:val="nil"/>
            </w:tcBorders>
            <w:shd w:val="clear" w:color="auto" w:fill="auto"/>
            <w:noWrap/>
            <w:vAlign w:val="center"/>
            <w:hideMark/>
          </w:tcPr>
          <w:p w14:paraId="262E02D4"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.46</w:t>
            </w:r>
          </w:p>
        </w:tc>
        <w:tc>
          <w:tcPr>
            <w:tcW w:w="230" w:type="pct"/>
            <w:tcBorders>
              <w:top w:val="nil"/>
              <w:left w:val="nil"/>
              <w:right w:val="nil"/>
            </w:tcBorders>
            <w:shd w:val="clear" w:color="auto" w:fill="auto"/>
            <w:noWrap/>
            <w:vAlign w:val="center"/>
            <w:hideMark/>
          </w:tcPr>
          <w:p w14:paraId="4E2F51D0"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.77</w:t>
            </w:r>
          </w:p>
        </w:tc>
        <w:tc>
          <w:tcPr>
            <w:tcW w:w="151" w:type="pct"/>
            <w:tcBorders>
              <w:top w:val="nil"/>
              <w:left w:val="nil"/>
              <w:right w:val="nil"/>
            </w:tcBorders>
            <w:shd w:val="clear" w:color="auto" w:fill="auto"/>
            <w:noWrap/>
            <w:vAlign w:val="center"/>
            <w:hideMark/>
          </w:tcPr>
          <w:p w14:paraId="08626764"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NS</w:t>
            </w:r>
          </w:p>
        </w:tc>
      </w:tr>
      <w:tr w:rsidR="00824C53" w:rsidRPr="00824C53" w14:paraId="37EF8E74" w14:textId="77777777" w:rsidTr="00470785">
        <w:trPr>
          <w:trHeight w:val="80"/>
        </w:trPr>
        <w:tc>
          <w:tcPr>
            <w:tcW w:w="736" w:type="pct"/>
            <w:tcBorders>
              <w:top w:val="nil"/>
              <w:left w:val="nil"/>
              <w:bottom w:val="single" w:sz="4" w:space="0" w:color="auto"/>
              <w:right w:val="nil"/>
            </w:tcBorders>
            <w:shd w:val="clear" w:color="auto" w:fill="auto"/>
            <w:vAlign w:val="center"/>
            <w:hideMark/>
          </w:tcPr>
          <w:p w14:paraId="25009CD2" w14:textId="77777777" w:rsidR="00824C53" w:rsidRPr="00824C53" w:rsidRDefault="00824C53" w:rsidP="00B10D1C">
            <w:pPr>
              <w:spacing w:after="0" w:line="480" w:lineRule="auto"/>
              <w:rPr>
                <w:rFonts w:asciiTheme="minorHAnsi" w:eastAsia="Times New Roman" w:hAnsiTheme="minorHAnsi" w:cs="Arial"/>
                <w:sz w:val="18"/>
                <w:szCs w:val="18"/>
              </w:rPr>
            </w:pPr>
            <w:r w:rsidRPr="00824C53">
              <w:rPr>
                <w:rFonts w:asciiTheme="minorHAnsi" w:eastAsia="Times New Roman" w:hAnsiTheme="minorHAnsi" w:cs="Arial"/>
                <w:sz w:val="18"/>
                <w:szCs w:val="18"/>
              </w:rPr>
              <w:t>SAPROF Total</w:t>
            </w:r>
          </w:p>
        </w:tc>
        <w:tc>
          <w:tcPr>
            <w:tcW w:w="590" w:type="pct"/>
            <w:tcBorders>
              <w:top w:val="nil"/>
              <w:left w:val="nil"/>
              <w:bottom w:val="single" w:sz="4" w:space="0" w:color="auto"/>
              <w:right w:val="nil"/>
            </w:tcBorders>
            <w:shd w:val="clear" w:color="auto" w:fill="auto"/>
            <w:noWrap/>
            <w:vAlign w:val="center"/>
            <w:hideMark/>
          </w:tcPr>
          <w:p w14:paraId="238CE1CF" w14:textId="77777777" w:rsidR="00824C53" w:rsidRPr="00824C53" w:rsidRDefault="00824C53" w:rsidP="00B10D1C">
            <w:pPr>
              <w:spacing w:after="0" w:line="480" w:lineRule="auto"/>
              <w:jc w:val="center"/>
              <w:rPr>
                <w:rFonts w:asciiTheme="minorHAnsi" w:eastAsia="Times New Roman" w:hAnsiTheme="minorHAnsi" w:cs="Arial"/>
                <w:b/>
                <w:bCs/>
                <w:sz w:val="18"/>
                <w:szCs w:val="18"/>
              </w:rPr>
            </w:pPr>
            <w:r w:rsidRPr="00824C53">
              <w:rPr>
                <w:rFonts w:asciiTheme="minorHAnsi" w:eastAsia="Times New Roman" w:hAnsiTheme="minorHAnsi" w:cs="Arial"/>
                <w:b/>
                <w:bCs/>
                <w:sz w:val="18"/>
                <w:szCs w:val="18"/>
              </w:rPr>
              <w:t>.60</w:t>
            </w:r>
          </w:p>
        </w:tc>
        <w:tc>
          <w:tcPr>
            <w:tcW w:w="230" w:type="pct"/>
            <w:tcBorders>
              <w:top w:val="nil"/>
              <w:left w:val="nil"/>
              <w:bottom w:val="single" w:sz="4" w:space="0" w:color="auto"/>
              <w:right w:val="nil"/>
            </w:tcBorders>
            <w:shd w:val="clear" w:color="auto" w:fill="auto"/>
            <w:noWrap/>
            <w:vAlign w:val="center"/>
            <w:hideMark/>
          </w:tcPr>
          <w:p w14:paraId="6EBF7A8B"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.48</w:t>
            </w:r>
          </w:p>
        </w:tc>
        <w:tc>
          <w:tcPr>
            <w:tcW w:w="230" w:type="pct"/>
            <w:tcBorders>
              <w:top w:val="nil"/>
              <w:left w:val="nil"/>
              <w:bottom w:val="single" w:sz="4" w:space="0" w:color="auto"/>
              <w:right w:val="nil"/>
            </w:tcBorders>
            <w:shd w:val="clear" w:color="auto" w:fill="auto"/>
            <w:noWrap/>
            <w:vAlign w:val="center"/>
            <w:hideMark/>
          </w:tcPr>
          <w:p w14:paraId="42CD171D"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.72</w:t>
            </w:r>
          </w:p>
        </w:tc>
        <w:tc>
          <w:tcPr>
            <w:tcW w:w="186" w:type="pct"/>
            <w:tcBorders>
              <w:top w:val="nil"/>
              <w:left w:val="nil"/>
              <w:bottom w:val="single" w:sz="4" w:space="0" w:color="auto"/>
              <w:right w:val="nil"/>
            </w:tcBorders>
            <w:shd w:val="clear" w:color="auto" w:fill="auto"/>
            <w:noWrap/>
            <w:vAlign w:val="center"/>
            <w:hideMark/>
          </w:tcPr>
          <w:p w14:paraId="50FC8DAC"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NS</w:t>
            </w:r>
          </w:p>
        </w:tc>
        <w:tc>
          <w:tcPr>
            <w:tcW w:w="886" w:type="pct"/>
            <w:tcBorders>
              <w:top w:val="nil"/>
              <w:left w:val="nil"/>
              <w:bottom w:val="single" w:sz="4" w:space="0" w:color="auto"/>
              <w:right w:val="nil"/>
            </w:tcBorders>
            <w:shd w:val="clear" w:color="auto" w:fill="auto"/>
            <w:noWrap/>
            <w:vAlign w:val="center"/>
            <w:hideMark/>
          </w:tcPr>
          <w:p w14:paraId="03D3ED09" w14:textId="77777777" w:rsidR="00824C53" w:rsidRPr="00824C53" w:rsidRDefault="00824C53" w:rsidP="00B10D1C">
            <w:pPr>
              <w:spacing w:after="0" w:line="480" w:lineRule="auto"/>
              <w:jc w:val="center"/>
              <w:rPr>
                <w:rFonts w:asciiTheme="minorHAnsi" w:eastAsia="Times New Roman" w:hAnsiTheme="minorHAnsi" w:cs="Arial"/>
                <w:b/>
                <w:bCs/>
                <w:sz w:val="18"/>
                <w:szCs w:val="18"/>
              </w:rPr>
            </w:pPr>
            <w:r w:rsidRPr="00824C53">
              <w:rPr>
                <w:rFonts w:asciiTheme="minorHAnsi" w:eastAsia="Times New Roman" w:hAnsiTheme="minorHAnsi" w:cs="Arial"/>
                <w:b/>
                <w:bCs/>
                <w:sz w:val="18"/>
                <w:szCs w:val="18"/>
              </w:rPr>
              <w:t>.60</w:t>
            </w:r>
          </w:p>
        </w:tc>
        <w:tc>
          <w:tcPr>
            <w:tcW w:w="230" w:type="pct"/>
            <w:tcBorders>
              <w:top w:val="nil"/>
              <w:left w:val="nil"/>
              <w:bottom w:val="single" w:sz="4" w:space="0" w:color="auto"/>
              <w:right w:val="nil"/>
            </w:tcBorders>
            <w:shd w:val="clear" w:color="auto" w:fill="auto"/>
            <w:noWrap/>
            <w:vAlign w:val="center"/>
            <w:hideMark/>
          </w:tcPr>
          <w:p w14:paraId="743914CF"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.40</w:t>
            </w:r>
          </w:p>
        </w:tc>
        <w:tc>
          <w:tcPr>
            <w:tcW w:w="230" w:type="pct"/>
            <w:tcBorders>
              <w:top w:val="nil"/>
              <w:left w:val="nil"/>
              <w:bottom w:val="single" w:sz="4" w:space="0" w:color="auto"/>
              <w:right w:val="nil"/>
            </w:tcBorders>
            <w:shd w:val="clear" w:color="auto" w:fill="auto"/>
            <w:noWrap/>
            <w:vAlign w:val="center"/>
            <w:hideMark/>
          </w:tcPr>
          <w:p w14:paraId="4CE03F49"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.80</w:t>
            </w:r>
          </w:p>
        </w:tc>
        <w:tc>
          <w:tcPr>
            <w:tcW w:w="186" w:type="pct"/>
            <w:tcBorders>
              <w:top w:val="nil"/>
              <w:left w:val="nil"/>
              <w:bottom w:val="single" w:sz="4" w:space="0" w:color="auto"/>
              <w:right w:val="nil"/>
            </w:tcBorders>
            <w:shd w:val="clear" w:color="auto" w:fill="auto"/>
            <w:noWrap/>
            <w:vAlign w:val="center"/>
            <w:hideMark/>
          </w:tcPr>
          <w:p w14:paraId="51E8B78C"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NS</w:t>
            </w:r>
          </w:p>
        </w:tc>
        <w:tc>
          <w:tcPr>
            <w:tcW w:w="886" w:type="pct"/>
            <w:tcBorders>
              <w:top w:val="nil"/>
              <w:left w:val="nil"/>
              <w:bottom w:val="single" w:sz="4" w:space="0" w:color="auto"/>
              <w:right w:val="nil"/>
            </w:tcBorders>
            <w:shd w:val="clear" w:color="auto" w:fill="auto"/>
            <w:noWrap/>
            <w:vAlign w:val="center"/>
            <w:hideMark/>
          </w:tcPr>
          <w:p w14:paraId="67D66281" w14:textId="77777777" w:rsidR="00824C53" w:rsidRPr="00824C53" w:rsidRDefault="00824C53" w:rsidP="00B10D1C">
            <w:pPr>
              <w:spacing w:after="0" w:line="480" w:lineRule="auto"/>
              <w:jc w:val="center"/>
              <w:rPr>
                <w:rFonts w:asciiTheme="minorHAnsi" w:eastAsia="Times New Roman" w:hAnsiTheme="minorHAnsi" w:cs="Arial"/>
                <w:b/>
                <w:bCs/>
                <w:sz w:val="18"/>
                <w:szCs w:val="18"/>
              </w:rPr>
            </w:pPr>
            <w:r w:rsidRPr="00824C53">
              <w:rPr>
                <w:rFonts w:asciiTheme="minorHAnsi" w:eastAsia="Times New Roman" w:hAnsiTheme="minorHAnsi" w:cs="Arial"/>
                <w:b/>
                <w:bCs/>
                <w:sz w:val="18"/>
                <w:szCs w:val="18"/>
              </w:rPr>
              <w:t>.57</w:t>
            </w:r>
          </w:p>
        </w:tc>
        <w:tc>
          <w:tcPr>
            <w:tcW w:w="230" w:type="pct"/>
            <w:tcBorders>
              <w:top w:val="nil"/>
              <w:left w:val="nil"/>
              <w:bottom w:val="single" w:sz="4" w:space="0" w:color="auto"/>
              <w:right w:val="nil"/>
            </w:tcBorders>
            <w:shd w:val="clear" w:color="auto" w:fill="auto"/>
            <w:noWrap/>
            <w:vAlign w:val="center"/>
            <w:hideMark/>
          </w:tcPr>
          <w:p w14:paraId="268DD73E"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.42</w:t>
            </w:r>
          </w:p>
        </w:tc>
        <w:tc>
          <w:tcPr>
            <w:tcW w:w="230" w:type="pct"/>
            <w:tcBorders>
              <w:top w:val="nil"/>
              <w:left w:val="nil"/>
              <w:bottom w:val="single" w:sz="4" w:space="0" w:color="auto"/>
              <w:right w:val="nil"/>
            </w:tcBorders>
            <w:shd w:val="clear" w:color="auto" w:fill="auto"/>
            <w:noWrap/>
            <w:vAlign w:val="center"/>
            <w:hideMark/>
          </w:tcPr>
          <w:p w14:paraId="2A8719FA"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.73</w:t>
            </w:r>
          </w:p>
        </w:tc>
        <w:tc>
          <w:tcPr>
            <w:tcW w:w="151" w:type="pct"/>
            <w:tcBorders>
              <w:top w:val="nil"/>
              <w:left w:val="nil"/>
              <w:bottom w:val="single" w:sz="4" w:space="0" w:color="auto"/>
              <w:right w:val="nil"/>
            </w:tcBorders>
            <w:shd w:val="clear" w:color="auto" w:fill="auto"/>
            <w:noWrap/>
            <w:vAlign w:val="center"/>
            <w:hideMark/>
          </w:tcPr>
          <w:p w14:paraId="1BFC44FE"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NS</w:t>
            </w:r>
          </w:p>
        </w:tc>
      </w:tr>
      <w:tr w:rsidR="00824C53" w:rsidRPr="00824C53" w14:paraId="10FD39B9" w14:textId="77777777" w:rsidTr="00470785">
        <w:trPr>
          <w:trHeight w:val="375"/>
        </w:trPr>
        <w:tc>
          <w:tcPr>
            <w:tcW w:w="736" w:type="pct"/>
            <w:tcBorders>
              <w:top w:val="single" w:sz="4" w:space="0" w:color="auto"/>
              <w:left w:val="nil"/>
              <w:bottom w:val="nil"/>
              <w:right w:val="nil"/>
            </w:tcBorders>
            <w:shd w:val="clear" w:color="auto" w:fill="auto"/>
            <w:vAlign w:val="center"/>
            <w:hideMark/>
          </w:tcPr>
          <w:p w14:paraId="7C38CB3C" w14:textId="77777777" w:rsidR="00824C53" w:rsidRPr="00824C53" w:rsidRDefault="00824C53" w:rsidP="00B10D1C">
            <w:pPr>
              <w:spacing w:after="0" w:line="480" w:lineRule="auto"/>
              <w:rPr>
                <w:rFonts w:asciiTheme="minorHAnsi" w:eastAsia="Times New Roman" w:hAnsiTheme="minorHAnsi" w:cs="Arial"/>
                <w:sz w:val="18"/>
                <w:szCs w:val="18"/>
              </w:rPr>
            </w:pPr>
            <w:r w:rsidRPr="00824C53">
              <w:rPr>
                <w:rFonts w:asciiTheme="minorHAnsi" w:eastAsia="Times New Roman" w:hAnsiTheme="minorHAnsi" w:cs="Arial"/>
                <w:sz w:val="18"/>
                <w:szCs w:val="18"/>
              </w:rPr>
              <w:t>HCR20 Historical</w:t>
            </w:r>
          </w:p>
        </w:tc>
        <w:tc>
          <w:tcPr>
            <w:tcW w:w="590" w:type="pct"/>
            <w:tcBorders>
              <w:top w:val="single" w:sz="4" w:space="0" w:color="auto"/>
              <w:left w:val="nil"/>
              <w:bottom w:val="nil"/>
              <w:right w:val="nil"/>
            </w:tcBorders>
            <w:shd w:val="clear" w:color="auto" w:fill="auto"/>
            <w:noWrap/>
            <w:vAlign w:val="center"/>
            <w:hideMark/>
          </w:tcPr>
          <w:p w14:paraId="29D9A77F" w14:textId="77777777" w:rsidR="00824C53" w:rsidRPr="00824C53" w:rsidRDefault="00824C53" w:rsidP="00B10D1C">
            <w:pPr>
              <w:spacing w:after="0" w:line="480" w:lineRule="auto"/>
              <w:jc w:val="center"/>
              <w:rPr>
                <w:rFonts w:asciiTheme="minorHAnsi" w:eastAsia="Times New Roman" w:hAnsiTheme="minorHAnsi" w:cs="Arial"/>
                <w:b/>
                <w:bCs/>
                <w:sz w:val="18"/>
                <w:szCs w:val="18"/>
              </w:rPr>
            </w:pPr>
            <w:r w:rsidRPr="00824C53">
              <w:rPr>
                <w:rFonts w:asciiTheme="minorHAnsi" w:eastAsia="Times New Roman" w:hAnsiTheme="minorHAnsi" w:cs="Arial"/>
                <w:b/>
                <w:bCs/>
                <w:sz w:val="18"/>
                <w:szCs w:val="18"/>
              </w:rPr>
              <w:t>.62</w:t>
            </w:r>
          </w:p>
        </w:tc>
        <w:tc>
          <w:tcPr>
            <w:tcW w:w="230" w:type="pct"/>
            <w:tcBorders>
              <w:top w:val="single" w:sz="4" w:space="0" w:color="auto"/>
              <w:left w:val="nil"/>
              <w:bottom w:val="nil"/>
              <w:right w:val="nil"/>
            </w:tcBorders>
            <w:shd w:val="clear" w:color="auto" w:fill="auto"/>
            <w:noWrap/>
            <w:vAlign w:val="center"/>
            <w:hideMark/>
          </w:tcPr>
          <w:p w14:paraId="1DFB7FCA"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.50</w:t>
            </w:r>
          </w:p>
        </w:tc>
        <w:tc>
          <w:tcPr>
            <w:tcW w:w="230" w:type="pct"/>
            <w:tcBorders>
              <w:top w:val="single" w:sz="4" w:space="0" w:color="auto"/>
              <w:left w:val="nil"/>
              <w:bottom w:val="nil"/>
              <w:right w:val="nil"/>
            </w:tcBorders>
            <w:shd w:val="clear" w:color="auto" w:fill="auto"/>
            <w:noWrap/>
            <w:vAlign w:val="center"/>
            <w:hideMark/>
          </w:tcPr>
          <w:p w14:paraId="54623B41"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.73</w:t>
            </w:r>
          </w:p>
        </w:tc>
        <w:tc>
          <w:tcPr>
            <w:tcW w:w="186" w:type="pct"/>
            <w:tcBorders>
              <w:top w:val="single" w:sz="4" w:space="0" w:color="auto"/>
              <w:left w:val="nil"/>
              <w:bottom w:val="nil"/>
              <w:right w:val="nil"/>
            </w:tcBorders>
            <w:shd w:val="clear" w:color="auto" w:fill="auto"/>
            <w:noWrap/>
            <w:vAlign w:val="center"/>
            <w:hideMark/>
          </w:tcPr>
          <w:p w14:paraId="57880268"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&lt;.05</w:t>
            </w:r>
          </w:p>
        </w:tc>
        <w:tc>
          <w:tcPr>
            <w:tcW w:w="886" w:type="pct"/>
            <w:tcBorders>
              <w:top w:val="single" w:sz="4" w:space="0" w:color="auto"/>
              <w:left w:val="nil"/>
              <w:bottom w:val="nil"/>
              <w:right w:val="nil"/>
            </w:tcBorders>
            <w:shd w:val="clear" w:color="auto" w:fill="auto"/>
            <w:noWrap/>
            <w:vAlign w:val="center"/>
            <w:hideMark/>
          </w:tcPr>
          <w:p w14:paraId="17D128CD" w14:textId="77777777" w:rsidR="00824C53" w:rsidRPr="00824C53" w:rsidRDefault="00824C53" w:rsidP="00B10D1C">
            <w:pPr>
              <w:spacing w:after="0" w:line="480" w:lineRule="auto"/>
              <w:jc w:val="center"/>
              <w:rPr>
                <w:rFonts w:asciiTheme="minorHAnsi" w:eastAsia="Times New Roman" w:hAnsiTheme="minorHAnsi" w:cs="Arial"/>
                <w:b/>
                <w:bCs/>
                <w:sz w:val="18"/>
                <w:szCs w:val="18"/>
              </w:rPr>
            </w:pPr>
            <w:r w:rsidRPr="00824C53">
              <w:rPr>
                <w:rFonts w:asciiTheme="minorHAnsi" w:eastAsia="Times New Roman" w:hAnsiTheme="minorHAnsi" w:cs="Arial"/>
                <w:b/>
                <w:bCs/>
                <w:sz w:val="18"/>
                <w:szCs w:val="18"/>
              </w:rPr>
              <w:t>.71</w:t>
            </w:r>
          </w:p>
        </w:tc>
        <w:tc>
          <w:tcPr>
            <w:tcW w:w="230" w:type="pct"/>
            <w:tcBorders>
              <w:top w:val="single" w:sz="4" w:space="0" w:color="auto"/>
              <w:left w:val="nil"/>
              <w:bottom w:val="nil"/>
              <w:right w:val="nil"/>
            </w:tcBorders>
            <w:shd w:val="clear" w:color="auto" w:fill="auto"/>
            <w:noWrap/>
            <w:vAlign w:val="center"/>
            <w:hideMark/>
          </w:tcPr>
          <w:p w14:paraId="4E16EBDB"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.53</w:t>
            </w:r>
          </w:p>
        </w:tc>
        <w:tc>
          <w:tcPr>
            <w:tcW w:w="230" w:type="pct"/>
            <w:tcBorders>
              <w:top w:val="single" w:sz="4" w:space="0" w:color="auto"/>
              <w:left w:val="nil"/>
              <w:bottom w:val="nil"/>
              <w:right w:val="nil"/>
            </w:tcBorders>
            <w:shd w:val="clear" w:color="auto" w:fill="auto"/>
            <w:noWrap/>
            <w:vAlign w:val="center"/>
            <w:hideMark/>
          </w:tcPr>
          <w:p w14:paraId="606310EA"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.88</w:t>
            </w:r>
          </w:p>
        </w:tc>
        <w:tc>
          <w:tcPr>
            <w:tcW w:w="186" w:type="pct"/>
            <w:tcBorders>
              <w:top w:val="single" w:sz="4" w:space="0" w:color="auto"/>
              <w:left w:val="nil"/>
              <w:bottom w:val="nil"/>
              <w:right w:val="nil"/>
            </w:tcBorders>
            <w:shd w:val="clear" w:color="auto" w:fill="auto"/>
            <w:noWrap/>
            <w:vAlign w:val="center"/>
            <w:hideMark/>
          </w:tcPr>
          <w:p w14:paraId="538CD179"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&lt;.05</w:t>
            </w:r>
          </w:p>
        </w:tc>
        <w:tc>
          <w:tcPr>
            <w:tcW w:w="886" w:type="pct"/>
            <w:tcBorders>
              <w:top w:val="single" w:sz="4" w:space="0" w:color="auto"/>
              <w:left w:val="nil"/>
              <w:bottom w:val="nil"/>
              <w:right w:val="nil"/>
            </w:tcBorders>
            <w:shd w:val="clear" w:color="auto" w:fill="auto"/>
            <w:noWrap/>
            <w:vAlign w:val="center"/>
            <w:hideMark/>
          </w:tcPr>
          <w:p w14:paraId="5C4D0172" w14:textId="77777777" w:rsidR="00824C53" w:rsidRPr="00824C53" w:rsidRDefault="00824C53" w:rsidP="00B10D1C">
            <w:pPr>
              <w:spacing w:after="0" w:line="480" w:lineRule="auto"/>
              <w:jc w:val="center"/>
              <w:rPr>
                <w:rFonts w:asciiTheme="minorHAnsi" w:eastAsia="Times New Roman" w:hAnsiTheme="minorHAnsi" w:cs="Arial"/>
                <w:b/>
                <w:bCs/>
                <w:sz w:val="18"/>
                <w:szCs w:val="18"/>
              </w:rPr>
            </w:pPr>
            <w:r w:rsidRPr="00824C53">
              <w:rPr>
                <w:rFonts w:asciiTheme="minorHAnsi" w:eastAsia="Times New Roman" w:hAnsiTheme="minorHAnsi" w:cs="Arial"/>
                <w:b/>
                <w:bCs/>
                <w:sz w:val="18"/>
                <w:szCs w:val="18"/>
              </w:rPr>
              <w:t>.56</w:t>
            </w:r>
          </w:p>
        </w:tc>
        <w:tc>
          <w:tcPr>
            <w:tcW w:w="230" w:type="pct"/>
            <w:tcBorders>
              <w:top w:val="single" w:sz="4" w:space="0" w:color="auto"/>
              <w:left w:val="nil"/>
              <w:bottom w:val="nil"/>
              <w:right w:val="nil"/>
            </w:tcBorders>
            <w:shd w:val="clear" w:color="auto" w:fill="auto"/>
            <w:noWrap/>
            <w:vAlign w:val="center"/>
            <w:hideMark/>
          </w:tcPr>
          <w:p w14:paraId="113D613C"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.42</w:t>
            </w:r>
          </w:p>
        </w:tc>
        <w:tc>
          <w:tcPr>
            <w:tcW w:w="230" w:type="pct"/>
            <w:tcBorders>
              <w:top w:val="single" w:sz="4" w:space="0" w:color="auto"/>
              <w:left w:val="nil"/>
              <w:bottom w:val="nil"/>
              <w:right w:val="nil"/>
            </w:tcBorders>
            <w:shd w:val="clear" w:color="auto" w:fill="auto"/>
            <w:noWrap/>
            <w:vAlign w:val="center"/>
            <w:hideMark/>
          </w:tcPr>
          <w:p w14:paraId="7AC80712"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.70</w:t>
            </w:r>
          </w:p>
        </w:tc>
        <w:tc>
          <w:tcPr>
            <w:tcW w:w="151" w:type="pct"/>
            <w:tcBorders>
              <w:top w:val="single" w:sz="4" w:space="0" w:color="auto"/>
              <w:left w:val="nil"/>
              <w:bottom w:val="nil"/>
              <w:right w:val="nil"/>
            </w:tcBorders>
            <w:shd w:val="clear" w:color="auto" w:fill="auto"/>
            <w:noWrap/>
            <w:vAlign w:val="center"/>
            <w:hideMark/>
          </w:tcPr>
          <w:p w14:paraId="66C43A4B"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NS</w:t>
            </w:r>
          </w:p>
        </w:tc>
      </w:tr>
      <w:tr w:rsidR="00824C53" w:rsidRPr="00824C53" w14:paraId="5D02AC68" w14:textId="77777777" w:rsidTr="00470785">
        <w:trPr>
          <w:trHeight w:val="375"/>
        </w:trPr>
        <w:tc>
          <w:tcPr>
            <w:tcW w:w="736" w:type="pct"/>
            <w:tcBorders>
              <w:top w:val="nil"/>
              <w:left w:val="nil"/>
              <w:bottom w:val="nil"/>
              <w:right w:val="nil"/>
            </w:tcBorders>
            <w:shd w:val="clear" w:color="auto" w:fill="auto"/>
            <w:vAlign w:val="center"/>
            <w:hideMark/>
          </w:tcPr>
          <w:p w14:paraId="5D9C25F4" w14:textId="77777777" w:rsidR="00824C53" w:rsidRPr="00824C53" w:rsidRDefault="00824C53" w:rsidP="00B10D1C">
            <w:pPr>
              <w:spacing w:after="0" w:line="480" w:lineRule="auto"/>
              <w:rPr>
                <w:rFonts w:asciiTheme="minorHAnsi" w:eastAsia="Times New Roman" w:hAnsiTheme="minorHAnsi" w:cs="Arial"/>
                <w:sz w:val="18"/>
                <w:szCs w:val="18"/>
              </w:rPr>
            </w:pPr>
            <w:r w:rsidRPr="00824C53">
              <w:rPr>
                <w:rFonts w:asciiTheme="minorHAnsi" w:eastAsia="Times New Roman" w:hAnsiTheme="minorHAnsi" w:cs="Arial"/>
                <w:sz w:val="18"/>
                <w:szCs w:val="18"/>
              </w:rPr>
              <w:t>HCR20 Clinical</w:t>
            </w:r>
          </w:p>
        </w:tc>
        <w:tc>
          <w:tcPr>
            <w:tcW w:w="590" w:type="pct"/>
            <w:tcBorders>
              <w:top w:val="nil"/>
              <w:left w:val="nil"/>
              <w:bottom w:val="nil"/>
              <w:right w:val="nil"/>
            </w:tcBorders>
            <w:shd w:val="clear" w:color="auto" w:fill="auto"/>
            <w:noWrap/>
            <w:vAlign w:val="center"/>
            <w:hideMark/>
          </w:tcPr>
          <w:p w14:paraId="4A68E0E0" w14:textId="77777777" w:rsidR="00824C53" w:rsidRPr="00824C53" w:rsidRDefault="00824C53" w:rsidP="00B10D1C">
            <w:pPr>
              <w:spacing w:after="0" w:line="480" w:lineRule="auto"/>
              <w:jc w:val="center"/>
              <w:rPr>
                <w:rFonts w:asciiTheme="minorHAnsi" w:eastAsia="Times New Roman" w:hAnsiTheme="minorHAnsi" w:cs="Arial"/>
                <w:b/>
                <w:bCs/>
                <w:sz w:val="18"/>
                <w:szCs w:val="18"/>
              </w:rPr>
            </w:pPr>
            <w:r w:rsidRPr="00824C53">
              <w:rPr>
                <w:rFonts w:asciiTheme="minorHAnsi" w:eastAsia="Times New Roman" w:hAnsiTheme="minorHAnsi" w:cs="Arial"/>
                <w:b/>
                <w:bCs/>
                <w:sz w:val="18"/>
                <w:szCs w:val="18"/>
              </w:rPr>
              <w:t>.61</w:t>
            </w:r>
          </w:p>
        </w:tc>
        <w:tc>
          <w:tcPr>
            <w:tcW w:w="230" w:type="pct"/>
            <w:tcBorders>
              <w:top w:val="nil"/>
              <w:left w:val="nil"/>
              <w:bottom w:val="nil"/>
              <w:right w:val="nil"/>
            </w:tcBorders>
            <w:shd w:val="clear" w:color="auto" w:fill="auto"/>
            <w:noWrap/>
            <w:vAlign w:val="center"/>
            <w:hideMark/>
          </w:tcPr>
          <w:p w14:paraId="3487C60C"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.50</w:t>
            </w:r>
          </w:p>
        </w:tc>
        <w:tc>
          <w:tcPr>
            <w:tcW w:w="230" w:type="pct"/>
            <w:tcBorders>
              <w:top w:val="nil"/>
              <w:left w:val="nil"/>
              <w:bottom w:val="nil"/>
              <w:right w:val="nil"/>
            </w:tcBorders>
            <w:shd w:val="clear" w:color="auto" w:fill="auto"/>
            <w:noWrap/>
            <w:vAlign w:val="center"/>
            <w:hideMark/>
          </w:tcPr>
          <w:p w14:paraId="57C57793"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.71</w:t>
            </w:r>
          </w:p>
        </w:tc>
        <w:tc>
          <w:tcPr>
            <w:tcW w:w="186" w:type="pct"/>
            <w:tcBorders>
              <w:top w:val="nil"/>
              <w:left w:val="nil"/>
              <w:bottom w:val="nil"/>
              <w:right w:val="nil"/>
            </w:tcBorders>
            <w:shd w:val="clear" w:color="auto" w:fill="auto"/>
            <w:noWrap/>
            <w:vAlign w:val="center"/>
            <w:hideMark/>
          </w:tcPr>
          <w:p w14:paraId="4D892B9A"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NS</w:t>
            </w:r>
          </w:p>
        </w:tc>
        <w:tc>
          <w:tcPr>
            <w:tcW w:w="886" w:type="pct"/>
            <w:tcBorders>
              <w:top w:val="nil"/>
              <w:left w:val="nil"/>
              <w:bottom w:val="nil"/>
              <w:right w:val="nil"/>
            </w:tcBorders>
            <w:shd w:val="clear" w:color="auto" w:fill="auto"/>
            <w:noWrap/>
            <w:vAlign w:val="center"/>
            <w:hideMark/>
          </w:tcPr>
          <w:p w14:paraId="225A8DB0" w14:textId="77777777" w:rsidR="00824C53" w:rsidRPr="00824C53" w:rsidRDefault="00824C53" w:rsidP="00B10D1C">
            <w:pPr>
              <w:spacing w:after="0" w:line="480" w:lineRule="auto"/>
              <w:jc w:val="center"/>
              <w:rPr>
                <w:rFonts w:asciiTheme="minorHAnsi" w:eastAsia="Times New Roman" w:hAnsiTheme="minorHAnsi" w:cs="Arial"/>
                <w:b/>
                <w:bCs/>
                <w:sz w:val="18"/>
                <w:szCs w:val="18"/>
              </w:rPr>
            </w:pPr>
            <w:r w:rsidRPr="00824C53">
              <w:rPr>
                <w:rFonts w:asciiTheme="minorHAnsi" w:eastAsia="Times New Roman" w:hAnsiTheme="minorHAnsi" w:cs="Arial"/>
                <w:b/>
                <w:bCs/>
                <w:sz w:val="18"/>
                <w:szCs w:val="18"/>
              </w:rPr>
              <w:t>.54</w:t>
            </w:r>
          </w:p>
        </w:tc>
        <w:tc>
          <w:tcPr>
            <w:tcW w:w="230" w:type="pct"/>
            <w:tcBorders>
              <w:top w:val="nil"/>
              <w:left w:val="nil"/>
              <w:bottom w:val="nil"/>
              <w:right w:val="nil"/>
            </w:tcBorders>
            <w:shd w:val="clear" w:color="auto" w:fill="auto"/>
            <w:noWrap/>
            <w:vAlign w:val="center"/>
            <w:hideMark/>
          </w:tcPr>
          <w:p w14:paraId="06FA4B25"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.36</w:t>
            </w:r>
          </w:p>
        </w:tc>
        <w:tc>
          <w:tcPr>
            <w:tcW w:w="230" w:type="pct"/>
            <w:tcBorders>
              <w:top w:val="nil"/>
              <w:left w:val="nil"/>
              <w:bottom w:val="nil"/>
              <w:right w:val="nil"/>
            </w:tcBorders>
            <w:shd w:val="clear" w:color="auto" w:fill="auto"/>
            <w:noWrap/>
            <w:vAlign w:val="center"/>
            <w:hideMark/>
          </w:tcPr>
          <w:p w14:paraId="4B217261"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.71</w:t>
            </w:r>
          </w:p>
        </w:tc>
        <w:tc>
          <w:tcPr>
            <w:tcW w:w="186" w:type="pct"/>
            <w:tcBorders>
              <w:top w:val="nil"/>
              <w:left w:val="nil"/>
              <w:bottom w:val="nil"/>
              <w:right w:val="nil"/>
            </w:tcBorders>
            <w:shd w:val="clear" w:color="auto" w:fill="auto"/>
            <w:noWrap/>
            <w:vAlign w:val="center"/>
            <w:hideMark/>
          </w:tcPr>
          <w:p w14:paraId="5D2DC5F5"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NS</w:t>
            </w:r>
          </w:p>
        </w:tc>
        <w:tc>
          <w:tcPr>
            <w:tcW w:w="886" w:type="pct"/>
            <w:tcBorders>
              <w:top w:val="nil"/>
              <w:left w:val="nil"/>
              <w:bottom w:val="nil"/>
              <w:right w:val="nil"/>
            </w:tcBorders>
            <w:shd w:val="clear" w:color="auto" w:fill="auto"/>
            <w:noWrap/>
            <w:vAlign w:val="center"/>
            <w:hideMark/>
          </w:tcPr>
          <w:p w14:paraId="40103639" w14:textId="77777777" w:rsidR="00824C53" w:rsidRPr="00824C53" w:rsidRDefault="00824C53" w:rsidP="00B10D1C">
            <w:pPr>
              <w:spacing w:after="0" w:line="480" w:lineRule="auto"/>
              <w:jc w:val="center"/>
              <w:rPr>
                <w:rFonts w:asciiTheme="minorHAnsi" w:eastAsia="Times New Roman" w:hAnsiTheme="minorHAnsi" w:cs="Arial"/>
                <w:b/>
                <w:bCs/>
                <w:sz w:val="18"/>
                <w:szCs w:val="18"/>
              </w:rPr>
            </w:pPr>
            <w:r w:rsidRPr="00824C53">
              <w:rPr>
                <w:rFonts w:asciiTheme="minorHAnsi" w:eastAsia="Times New Roman" w:hAnsiTheme="minorHAnsi" w:cs="Arial"/>
                <w:b/>
                <w:bCs/>
                <w:sz w:val="18"/>
                <w:szCs w:val="18"/>
              </w:rPr>
              <w:t>.59</w:t>
            </w:r>
          </w:p>
        </w:tc>
        <w:tc>
          <w:tcPr>
            <w:tcW w:w="230" w:type="pct"/>
            <w:tcBorders>
              <w:top w:val="nil"/>
              <w:left w:val="nil"/>
              <w:bottom w:val="nil"/>
              <w:right w:val="nil"/>
            </w:tcBorders>
            <w:shd w:val="clear" w:color="auto" w:fill="auto"/>
            <w:noWrap/>
            <w:vAlign w:val="center"/>
            <w:hideMark/>
          </w:tcPr>
          <w:p w14:paraId="48FD09F7"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.46</w:t>
            </w:r>
          </w:p>
        </w:tc>
        <w:tc>
          <w:tcPr>
            <w:tcW w:w="230" w:type="pct"/>
            <w:tcBorders>
              <w:top w:val="nil"/>
              <w:left w:val="nil"/>
              <w:bottom w:val="nil"/>
              <w:right w:val="nil"/>
            </w:tcBorders>
            <w:shd w:val="clear" w:color="auto" w:fill="auto"/>
            <w:noWrap/>
            <w:vAlign w:val="center"/>
            <w:hideMark/>
          </w:tcPr>
          <w:p w14:paraId="2E7419BB"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.72</w:t>
            </w:r>
          </w:p>
        </w:tc>
        <w:tc>
          <w:tcPr>
            <w:tcW w:w="151" w:type="pct"/>
            <w:tcBorders>
              <w:top w:val="nil"/>
              <w:left w:val="nil"/>
              <w:bottom w:val="nil"/>
              <w:right w:val="nil"/>
            </w:tcBorders>
            <w:shd w:val="clear" w:color="auto" w:fill="auto"/>
            <w:noWrap/>
            <w:vAlign w:val="center"/>
            <w:hideMark/>
          </w:tcPr>
          <w:p w14:paraId="370BDBF9"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NS</w:t>
            </w:r>
          </w:p>
        </w:tc>
      </w:tr>
      <w:tr w:rsidR="00824C53" w:rsidRPr="00824C53" w14:paraId="39710AF3" w14:textId="77777777" w:rsidTr="00470785">
        <w:trPr>
          <w:trHeight w:val="375"/>
        </w:trPr>
        <w:tc>
          <w:tcPr>
            <w:tcW w:w="736" w:type="pct"/>
            <w:tcBorders>
              <w:top w:val="nil"/>
              <w:left w:val="nil"/>
              <w:right w:val="nil"/>
            </w:tcBorders>
            <w:shd w:val="clear" w:color="auto" w:fill="auto"/>
            <w:vAlign w:val="center"/>
            <w:hideMark/>
          </w:tcPr>
          <w:p w14:paraId="4A9D0086" w14:textId="77777777" w:rsidR="00824C53" w:rsidRPr="00824C53" w:rsidRDefault="00824C53" w:rsidP="00B10D1C">
            <w:pPr>
              <w:spacing w:after="0" w:line="480" w:lineRule="auto"/>
              <w:rPr>
                <w:rFonts w:asciiTheme="minorHAnsi" w:eastAsia="Times New Roman" w:hAnsiTheme="minorHAnsi" w:cs="Arial"/>
                <w:sz w:val="18"/>
                <w:szCs w:val="18"/>
              </w:rPr>
            </w:pPr>
            <w:r w:rsidRPr="00824C53">
              <w:rPr>
                <w:rFonts w:asciiTheme="minorHAnsi" w:eastAsia="Times New Roman" w:hAnsiTheme="minorHAnsi" w:cs="Arial"/>
                <w:sz w:val="18"/>
                <w:szCs w:val="18"/>
              </w:rPr>
              <w:t>HCR20 Risk</w:t>
            </w:r>
          </w:p>
        </w:tc>
        <w:tc>
          <w:tcPr>
            <w:tcW w:w="590" w:type="pct"/>
            <w:tcBorders>
              <w:top w:val="nil"/>
              <w:left w:val="nil"/>
              <w:right w:val="nil"/>
            </w:tcBorders>
            <w:shd w:val="clear" w:color="auto" w:fill="auto"/>
            <w:noWrap/>
            <w:vAlign w:val="center"/>
            <w:hideMark/>
          </w:tcPr>
          <w:p w14:paraId="042A005B" w14:textId="77777777" w:rsidR="00824C53" w:rsidRPr="00824C53" w:rsidRDefault="00824C53" w:rsidP="00B10D1C">
            <w:pPr>
              <w:spacing w:after="0" w:line="480" w:lineRule="auto"/>
              <w:jc w:val="center"/>
              <w:rPr>
                <w:rFonts w:asciiTheme="minorHAnsi" w:eastAsia="Times New Roman" w:hAnsiTheme="minorHAnsi" w:cs="Arial"/>
                <w:b/>
                <w:bCs/>
                <w:sz w:val="18"/>
                <w:szCs w:val="18"/>
              </w:rPr>
            </w:pPr>
            <w:r w:rsidRPr="00824C53">
              <w:rPr>
                <w:rFonts w:asciiTheme="minorHAnsi" w:eastAsia="Times New Roman" w:hAnsiTheme="minorHAnsi" w:cs="Arial"/>
                <w:b/>
                <w:bCs/>
                <w:sz w:val="18"/>
                <w:szCs w:val="18"/>
              </w:rPr>
              <w:t>.64</w:t>
            </w:r>
          </w:p>
        </w:tc>
        <w:tc>
          <w:tcPr>
            <w:tcW w:w="230" w:type="pct"/>
            <w:tcBorders>
              <w:top w:val="nil"/>
              <w:left w:val="nil"/>
              <w:right w:val="nil"/>
            </w:tcBorders>
            <w:shd w:val="clear" w:color="auto" w:fill="auto"/>
            <w:noWrap/>
            <w:vAlign w:val="center"/>
            <w:hideMark/>
          </w:tcPr>
          <w:p w14:paraId="5A5C5735"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.54</w:t>
            </w:r>
          </w:p>
        </w:tc>
        <w:tc>
          <w:tcPr>
            <w:tcW w:w="230" w:type="pct"/>
            <w:tcBorders>
              <w:top w:val="nil"/>
              <w:left w:val="nil"/>
              <w:right w:val="nil"/>
            </w:tcBorders>
            <w:shd w:val="clear" w:color="auto" w:fill="auto"/>
            <w:noWrap/>
            <w:vAlign w:val="center"/>
            <w:hideMark/>
          </w:tcPr>
          <w:p w14:paraId="238A7648"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.75</w:t>
            </w:r>
          </w:p>
        </w:tc>
        <w:tc>
          <w:tcPr>
            <w:tcW w:w="186" w:type="pct"/>
            <w:tcBorders>
              <w:top w:val="nil"/>
              <w:left w:val="nil"/>
              <w:right w:val="nil"/>
            </w:tcBorders>
            <w:shd w:val="clear" w:color="auto" w:fill="auto"/>
            <w:noWrap/>
            <w:vAlign w:val="center"/>
            <w:hideMark/>
          </w:tcPr>
          <w:p w14:paraId="11E85C76"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.01</w:t>
            </w:r>
          </w:p>
        </w:tc>
        <w:tc>
          <w:tcPr>
            <w:tcW w:w="886" w:type="pct"/>
            <w:tcBorders>
              <w:top w:val="nil"/>
              <w:left w:val="nil"/>
              <w:right w:val="nil"/>
            </w:tcBorders>
            <w:shd w:val="clear" w:color="auto" w:fill="auto"/>
            <w:noWrap/>
            <w:vAlign w:val="center"/>
            <w:hideMark/>
          </w:tcPr>
          <w:p w14:paraId="1A2FC61A" w14:textId="77777777" w:rsidR="00824C53" w:rsidRPr="00824C53" w:rsidRDefault="00824C53" w:rsidP="00B10D1C">
            <w:pPr>
              <w:spacing w:after="0" w:line="480" w:lineRule="auto"/>
              <w:jc w:val="center"/>
              <w:rPr>
                <w:rFonts w:asciiTheme="minorHAnsi" w:eastAsia="Times New Roman" w:hAnsiTheme="minorHAnsi" w:cs="Arial"/>
                <w:b/>
                <w:bCs/>
                <w:sz w:val="18"/>
                <w:szCs w:val="18"/>
              </w:rPr>
            </w:pPr>
            <w:r w:rsidRPr="00824C53">
              <w:rPr>
                <w:rFonts w:asciiTheme="minorHAnsi" w:eastAsia="Times New Roman" w:hAnsiTheme="minorHAnsi" w:cs="Arial"/>
                <w:b/>
                <w:bCs/>
                <w:sz w:val="18"/>
                <w:szCs w:val="18"/>
              </w:rPr>
              <w:t>.49</w:t>
            </w:r>
          </w:p>
        </w:tc>
        <w:tc>
          <w:tcPr>
            <w:tcW w:w="230" w:type="pct"/>
            <w:tcBorders>
              <w:top w:val="nil"/>
              <w:left w:val="nil"/>
              <w:right w:val="nil"/>
            </w:tcBorders>
            <w:shd w:val="clear" w:color="auto" w:fill="auto"/>
            <w:noWrap/>
            <w:vAlign w:val="center"/>
            <w:hideMark/>
          </w:tcPr>
          <w:p w14:paraId="35CFA5DE"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.29</w:t>
            </w:r>
          </w:p>
        </w:tc>
        <w:tc>
          <w:tcPr>
            <w:tcW w:w="230" w:type="pct"/>
            <w:tcBorders>
              <w:top w:val="nil"/>
              <w:left w:val="nil"/>
              <w:right w:val="nil"/>
            </w:tcBorders>
            <w:shd w:val="clear" w:color="auto" w:fill="auto"/>
            <w:noWrap/>
            <w:vAlign w:val="center"/>
            <w:hideMark/>
          </w:tcPr>
          <w:p w14:paraId="7A1B07FE"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.68</w:t>
            </w:r>
          </w:p>
        </w:tc>
        <w:tc>
          <w:tcPr>
            <w:tcW w:w="186" w:type="pct"/>
            <w:tcBorders>
              <w:top w:val="nil"/>
              <w:left w:val="nil"/>
              <w:right w:val="nil"/>
            </w:tcBorders>
            <w:shd w:val="clear" w:color="auto" w:fill="auto"/>
            <w:noWrap/>
            <w:vAlign w:val="center"/>
            <w:hideMark/>
          </w:tcPr>
          <w:p w14:paraId="7A0E8D03"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NS</w:t>
            </w:r>
          </w:p>
        </w:tc>
        <w:tc>
          <w:tcPr>
            <w:tcW w:w="886" w:type="pct"/>
            <w:tcBorders>
              <w:top w:val="nil"/>
              <w:left w:val="nil"/>
              <w:right w:val="nil"/>
            </w:tcBorders>
            <w:shd w:val="clear" w:color="auto" w:fill="auto"/>
            <w:noWrap/>
            <w:vAlign w:val="center"/>
            <w:hideMark/>
          </w:tcPr>
          <w:p w14:paraId="1B44A21B" w14:textId="77777777" w:rsidR="00824C53" w:rsidRPr="00824C53" w:rsidRDefault="00824C53" w:rsidP="00B10D1C">
            <w:pPr>
              <w:spacing w:after="0" w:line="480" w:lineRule="auto"/>
              <w:jc w:val="center"/>
              <w:rPr>
                <w:rFonts w:asciiTheme="minorHAnsi" w:eastAsia="Times New Roman" w:hAnsiTheme="minorHAnsi" w:cs="Arial"/>
                <w:b/>
                <w:bCs/>
                <w:sz w:val="18"/>
                <w:szCs w:val="18"/>
              </w:rPr>
            </w:pPr>
            <w:r w:rsidRPr="00824C53">
              <w:rPr>
                <w:rFonts w:asciiTheme="minorHAnsi" w:eastAsia="Times New Roman" w:hAnsiTheme="minorHAnsi" w:cs="Arial"/>
                <w:b/>
                <w:bCs/>
                <w:sz w:val="18"/>
                <w:szCs w:val="18"/>
              </w:rPr>
              <w:t>.67</w:t>
            </w:r>
          </w:p>
        </w:tc>
        <w:tc>
          <w:tcPr>
            <w:tcW w:w="230" w:type="pct"/>
            <w:tcBorders>
              <w:top w:val="nil"/>
              <w:left w:val="nil"/>
              <w:right w:val="nil"/>
            </w:tcBorders>
            <w:shd w:val="clear" w:color="auto" w:fill="auto"/>
            <w:noWrap/>
            <w:vAlign w:val="center"/>
            <w:hideMark/>
          </w:tcPr>
          <w:p w14:paraId="330B9C95"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.54</w:t>
            </w:r>
          </w:p>
        </w:tc>
        <w:tc>
          <w:tcPr>
            <w:tcW w:w="230" w:type="pct"/>
            <w:tcBorders>
              <w:top w:val="nil"/>
              <w:left w:val="nil"/>
              <w:right w:val="nil"/>
            </w:tcBorders>
            <w:shd w:val="clear" w:color="auto" w:fill="auto"/>
            <w:noWrap/>
            <w:vAlign w:val="center"/>
            <w:hideMark/>
          </w:tcPr>
          <w:p w14:paraId="5F82D180"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.81</w:t>
            </w:r>
          </w:p>
        </w:tc>
        <w:tc>
          <w:tcPr>
            <w:tcW w:w="151" w:type="pct"/>
            <w:tcBorders>
              <w:top w:val="nil"/>
              <w:left w:val="nil"/>
              <w:right w:val="nil"/>
            </w:tcBorders>
            <w:shd w:val="clear" w:color="auto" w:fill="auto"/>
            <w:noWrap/>
            <w:vAlign w:val="center"/>
            <w:hideMark/>
          </w:tcPr>
          <w:p w14:paraId="38ABFF61"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.01</w:t>
            </w:r>
          </w:p>
        </w:tc>
      </w:tr>
      <w:tr w:rsidR="00824C53" w:rsidRPr="00824C53" w14:paraId="0F0CF645" w14:textId="77777777" w:rsidTr="00470785">
        <w:trPr>
          <w:trHeight w:val="375"/>
        </w:trPr>
        <w:tc>
          <w:tcPr>
            <w:tcW w:w="736" w:type="pct"/>
            <w:tcBorders>
              <w:top w:val="nil"/>
              <w:left w:val="nil"/>
              <w:bottom w:val="single" w:sz="4" w:space="0" w:color="auto"/>
              <w:right w:val="nil"/>
            </w:tcBorders>
            <w:shd w:val="clear" w:color="auto" w:fill="auto"/>
            <w:vAlign w:val="center"/>
            <w:hideMark/>
          </w:tcPr>
          <w:p w14:paraId="40BDD688" w14:textId="77777777" w:rsidR="00824C53" w:rsidRPr="00824C53" w:rsidRDefault="00824C53" w:rsidP="00B10D1C">
            <w:pPr>
              <w:spacing w:after="0" w:line="480" w:lineRule="auto"/>
              <w:rPr>
                <w:rFonts w:asciiTheme="minorHAnsi" w:eastAsia="Times New Roman" w:hAnsiTheme="minorHAnsi" w:cs="Arial"/>
                <w:sz w:val="18"/>
                <w:szCs w:val="18"/>
              </w:rPr>
            </w:pPr>
            <w:r w:rsidRPr="00824C53">
              <w:rPr>
                <w:rFonts w:asciiTheme="minorHAnsi" w:eastAsia="Times New Roman" w:hAnsiTheme="minorHAnsi" w:cs="Arial"/>
                <w:sz w:val="18"/>
                <w:szCs w:val="18"/>
              </w:rPr>
              <w:t>HCR20 Total</w:t>
            </w:r>
          </w:p>
        </w:tc>
        <w:tc>
          <w:tcPr>
            <w:tcW w:w="590" w:type="pct"/>
            <w:tcBorders>
              <w:top w:val="nil"/>
              <w:left w:val="nil"/>
              <w:bottom w:val="single" w:sz="4" w:space="0" w:color="auto"/>
              <w:right w:val="nil"/>
            </w:tcBorders>
            <w:shd w:val="clear" w:color="auto" w:fill="auto"/>
            <w:noWrap/>
            <w:vAlign w:val="center"/>
            <w:hideMark/>
          </w:tcPr>
          <w:p w14:paraId="4DDBF978" w14:textId="77777777" w:rsidR="00824C53" w:rsidRPr="00824C53" w:rsidRDefault="00824C53" w:rsidP="00B10D1C">
            <w:pPr>
              <w:spacing w:after="0" w:line="480" w:lineRule="auto"/>
              <w:jc w:val="center"/>
              <w:rPr>
                <w:rFonts w:asciiTheme="minorHAnsi" w:eastAsia="Times New Roman" w:hAnsiTheme="minorHAnsi" w:cs="Arial"/>
                <w:b/>
                <w:bCs/>
                <w:sz w:val="18"/>
                <w:szCs w:val="18"/>
              </w:rPr>
            </w:pPr>
            <w:r w:rsidRPr="00824C53">
              <w:rPr>
                <w:rFonts w:asciiTheme="minorHAnsi" w:eastAsia="Times New Roman" w:hAnsiTheme="minorHAnsi" w:cs="Arial"/>
                <w:b/>
                <w:bCs/>
                <w:sz w:val="18"/>
                <w:szCs w:val="18"/>
              </w:rPr>
              <w:t>.65</w:t>
            </w:r>
          </w:p>
        </w:tc>
        <w:tc>
          <w:tcPr>
            <w:tcW w:w="230" w:type="pct"/>
            <w:tcBorders>
              <w:top w:val="nil"/>
              <w:left w:val="nil"/>
              <w:bottom w:val="single" w:sz="4" w:space="0" w:color="auto"/>
              <w:right w:val="nil"/>
            </w:tcBorders>
            <w:shd w:val="clear" w:color="auto" w:fill="auto"/>
            <w:noWrap/>
            <w:vAlign w:val="center"/>
            <w:hideMark/>
          </w:tcPr>
          <w:p w14:paraId="0AFE572D"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.54</w:t>
            </w:r>
          </w:p>
        </w:tc>
        <w:tc>
          <w:tcPr>
            <w:tcW w:w="230" w:type="pct"/>
            <w:tcBorders>
              <w:top w:val="nil"/>
              <w:left w:val="nil"/>
              <w:bottom w:val="single" w:sz="4" w:space="0" w:color="auto"/>
              <w:right w:val="nil"/>
            </w:tcBorders>
            <w:shd w:val="clear" w:color="auto" w:fill="auto"/>
            <w:noWrap/>
            <w:vAlign w:val="center"/>
            <w:hideMark/>
          </w:tcPr>
          <w:p w14:paraId="5A630002"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.76</w:t>
            </w:r>
          </w:p>
        </w:tc>
        <w:tc>
          <w:tcPr>
            <w:tcW w:w="186" w:type="pct"/>
            <w:tcBorders>
              <w:top w:val="nil"/>
              <w:left w:val="nil"/>
              <w:bottom w:val="single" w:sz="4" w:space="0" w:color="auto"/>
              <w:right w:val="nil"/>
            </w:tcBorders>
            <w:shd w:val="clear" w:color="auto" w:fill="auto"/>
            <w:noWrap/>
            <w:vAlign w:val="center"/>
            <w:hideMark/>
          </w:tcPr>
          <w:p w14:paraId="23044271"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&lt;.01</w:t>
            </w:r>
          </w:p>
        </w:tc>
        <w:tc>
          <w:tcPr>
            <w:tcW w:w="886" w:type="pct"/>
            <w:tcBorders>
              <w:top w:val="nil"/>
              <w:left w:val="nil"/>
              <w:bottom w:val="single" w:sz="4" w:space="0" w:color="auto"/>
              <w:right w:val="nil"/>
            </w:tcBorders>
            <w:shd w:val="clear" w:color="auto" w:fill="auto"/>
            <w:noWrap/>
            <w:vAlign w:val="center"/>
            <w:hideMark/>
          </w:tcPr>
          <w:p w14:paraId="7575AA3C" w14:textId="77777777" w:rsidR="00824C53" w:rsidRPr="00824C53" w:rsidRDefault="00824C53" w:rsidP="00B10D1C">
            <w:pPr>
              <w:spacing w:after="0" w:line="480" w:lineRule="auto"/>
              <w:jc w:val="center"/>
              <w:rPr>
                <w:rFonts w:asciiTheme="minorHAnsi" w:eastAsia="Times New Roman" w:hAnsiTheme="minorHAnsi" w:cs="Arial"/>
                <w:b/>
                <w:bCs/>
                <w:sz w:val="18"/>
                <w:szCs w:val="18"/>
              </w:rPr>
            </w:pPr>
            <w:r w:rsidRPr="00824C53">
              <w:rPr>
                <w:rFonts w:asciiTheme="minorHAnsi" w:eastAsia="Times New Roman" w:hAnsiTheme="minorHAnsi" w:cs="Arial"/>
                <w:b/>
                <w:bCs/>
                <w:sz w:val="18"/>
                <w:szCs w:val="18"/>
              </w:rPr>
              <w:t>.67</w:t>
            </w:r>
          </w:p>
        </w:tc>
        <w:tc>
          <w:tcPr>
            <w:tcW w:w="230" w:type="pct"/>
            <w:tcBorders>
              <w:top w:val="nil"/>
              <w:left w:val="nil"/>
              <w:bottom w:val="single" w:sz="4" w:space="0" w:color="auto"/>
              <w:right w:val="nil"/>
            </w:tcBorders>
            <w:shd w:val="clear" w:color="auto" w:fill="auto"/>
            <w:noWrap/>
            <w:vAlign w:val="center"/>
            <w:hideMark/>
          </w:tcPr>
          <w:p w14:paraId="3E10C10C"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.50</w:t>
            </w:r>
          </w:p>
        </w:tc>
        <w:tc>
          <w:tcPr>
            <w:tcW w:w="230" w:type="pct"/>
            <w:tcBorders>
              <w:top w:val="nil"/>
              <w:left w:val="nil"/>
              <w:bottom w:val="single" w:sz="4" w:space="0" w:color="auto"/>
              <w:right w:val="nil"/>
            </w:tcBorders>
            <w:shd w:val="clear" w:color="auto" w:fill="auto"/>
            <w:noWrap/>
            <w:vAlign w:val="center"/>
            <w:hideMark/>
          </w:tcPr>
          <w:p w14:paraId="23CACFF0"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.84</w:t>
            </w:r>
          </w:p>
        </w:tc>
        <w:tc>
          <w:tcPr>
            <w:tcW w:w="186" w:type="pct"/>
            <w:tcBorders>
              <w:top w:val="nil"/>
              <w:left w:val="nil"/>
              <w:bottom w:val="single" w:sz="4" w:space="0" w:color="auto"/>
              <w:right w:val="nil"/>
            </w:tcBorders>
            <w:shd w:val="clear" w:color="auto" w:fill="auto"/>
            <w:noWrap/>
            <w:vAlign w:val="center"/>
            <w:hideMark/>
          </w:tcPr>
          <w:p w14:paraId="3697F737"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NS</w:t>
            </w:r>
          </w:p>
        </w:tc>
        <w:tc>
          <w:tcPr>
            <w:tcW w:w="886" w:type="pct"/>
            <w:tcBorders>
              <w:top w:val="nil"/>
              <w:left w:val="nil"/>
              <w:bottom w:val="single" w:sz="4" w:space="0" w:color="auto"/>
              <w:right w:val="nil"/>
            </w:tcBorders>
            <w:shd w:val="clear" w:color="auto" w:fill="auto"/>
            <w:noWrap/>
            <w:vAlign w:val="center"/>
            <w:hideMark/>
          </w:tcPr>
          <w:p w14:paraId="7EF3C853" w14:textId="77777777" w:rsidR="00824C53" w:rsidRPr="00824C53" w:rsidRDefault="00824C53" w:rsidP="00B10D1C">
            <w:pPr>
              <w:spacing w:after="0" w:line="480" w:lineRule="auto"/>
              <w:jc w:val="center"/>
              <w:rPr>
                <w:rFonts w:asciiTheme="minorHAnsi" w:eastAsia="Times New Roman" w:hAnsiTheme="minorHAnsi" w:cs="Arial"/>
                <w:b/>
                <w:bCs/>
                <w:sz w:val="18"/>
                <w:szCs w:val="18"/>
              </w:rPr>
            </w:pPr>
            <w:r w:rsidRPr="00824C53">
              <w:rPr>
                <w:rFonts w:asciiTheme="minorHAnsi" w:eastAsia="Times New Roman" w:hAnsiTheme="minorHAnsi" w:cs="Arial"/>
                <w:b/>
                <w:bCs/>
                <w:sz w:val="18"/>
                <w:szCs w:val="18"/>
              </w:rPr>
              <w:t>.61</w:t>
            </w:r>
          </w:p>
        </w:tc>
        <w:tc>
          <w:tcPr>
            <w:tcW w:w="230" w:type="pct"/>
            <w:tcBorders>
              <w:top w:val="nil"/>
              <w:left w:val="nil"/>
              <w:bottom w:val="single" w:sz="4" w:space="0" w:color="auto"/>
              <w:right w:val="nil"/>
            </w:tcBorders>
            <w:shd w:val="clear" w:color="auto" w:fill="auto"/>
            <w:noWrap/>
            <w:vAlign w:val="center"/>
            <w:hideMark/>
          </w:tcPr>
          <w:p w14:paraId="69592610"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.48</w:t>
            </w:r>
          </w:p>
        </w:tc>
        <w:tc>
          <w:tcPr>
            <w:tcW w:w="230" w:type="pct"/>
            <w:tcBorders>
              <w:top w:val="nil"/>
              <w:left w:val="nil"/>
              <w:bottom w:val="single" w:sz="4" w:space="0" w:color="auto"/>
              <w:right w:val="nil"/>
            </w:tcBorders>
            <w:shd w:val="clear" w:color="auto" w:fill="auto"/>
            <w:noWrap/>
            <w:vAlign w:val="center"/>
            <w:hideMark/>
          </w:tcPr>
          <w:p w14:paraId="1C163537"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.75</w:t>
            </w:r>
          </w:p>
        </w:tc>
        <w:tc>
          <w:tcPr>
            <w:tcW w:w="151" w:type="pct"/>
            <w:tcBorders>
              <w:top w:val="nil"/>
              <w:left w:val="nil"/>
              <w:bottom w:val="single" w:sz="4" w:space="0" w:color="auto"/>
              <w:right w:val="nil"/>
            </w:tcBorders>
            <w:shd w:val="clear" w:color="auto" w:fill="auto"/>
            <w:noWrap/>
            <w:vAlign w:val="center"/>
            <w:hideMark/>
          </w:tcPr>
          <w:p w14:paraId="1B044D0F"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NS</w:t>
            </w:r>
          </w:p>
        </w:tc>
      </w:tr>
      <w:tr w:rsidR="00824C53" w:rsidRPr="00824C53" w14:paraId="6E381375" w14:textId="77777777" w:rsidTr="00470785">
        <w:trPr>
          <w:trHeight w:val="375"/>
        </w:trPr>
        <w:tc>
          <w:tcPr>
            <w:tcW w:w="736" w:type="pct"/>
            <w:tcBorders>
              <w:top w:val="single" w:sz="4" w:space="0" w:color="auto"/>
              <w:left w:val="nil"/>
              <w:bottom w:val="single" w:sz="4" w:space="0" w:color="auto"/>
              <w:right w:val="nil"/>
            </w:tcBorders>
            <w:shd w:val="clear" w:color="auto" w:fill="auto"/>
            <w:vAlign w:val="center"/>
            <w:hideMark/>
          </w:tcPr>
          <w:p w14:paraId="7F5062EB" w14:textId="77777777" w:rsidR="00824C53" w:rsidRPr="00824C53" w:rsidRDefault="00824C53" w:rsidP="00B10D1C">
            <w:pPr>
              <w:spacing w:after="0" w:line="480" w:lineRule="auto"/>
              <w:rPr>
                <w:rFonts w:asciiTheme="minorHAnsi" w:eastAsia="Times New Roman" w:hAnsiTheme="minorHAnsi" w:cs="Arial"/>
                <w:sz w:val="18"/>
                <w:szCs w:val="18"/>
              </w:rPr>
            </w:pPr>
            <w:r w:rsidRPr="00824C53">
              <w:rPr>
                <w:rFonts w:asciiTheme="minorHAnsi" w:eastAsia="Times New Roman" w:hAnsiTheme="minorHAnsi" w:cs="Arial"/>
                <w:sz w:val="18"/>
                <w:szCs w:val="18"/>
              </w:rPr>
              <w:t>HCR20-SAPROF Index</w:t>
            </w:r>
          </w:p>
        </w:tc>
        <w:tc>
          <w:tcPr>
            <w:tcW w:w="590" w:type="pct"/>
            <w:tcBorders>
              <w:top w:val="single" w:sz="4" w:space="0" w:color="auto"/>
              <w:left w:val="nil"/>
              <w:bottom w:val="single" w:sz="4" w:space="0" w:color="auto"/>
              <w:right w:val="nil"/>
            </w:tcBorders>
            <w:shd w:val="clear" w:color="auto" w:fill="auto"/>
            <w:noWrap/>
            <w:vAlign w:val="center"/>
            <w:hideMark/>
          </w:tcPr>
          <w:p w14:paraId="49EFD7DE" w14:textId="77777777" w:rsidR="00824C53" w:rsidRPr="00824C53" w:rsidRDefault="00824C53" w:rsidP="00B10D1C">
            <w:pPr>
              <w:spacing w:after="0" w:line="480" w:lineRule="auto"/>
              <w:jc w:val="center"/>
              <w:rPr>
                <w:rFonts w:asciiTheme="minorHAnsi" w:eastAsia="Times New Roman" w:hAnsiTheme="minorHAnsi" w:cs="Arial"/>
                <w:b/>
                <w:bCs/>
                <w:sz w:val="18"/>
                <w:szCs w:val="18"/>
              </w:rPr>
            </w:pPr>
            <w:r w:rsidRPr="00824C53">
              <w:rPr>
                <w:rFonts w:asciiTheme="minorHAnsi" w:eastAsia="Times New Roman" w:hAnsiTheme="minorHAnsi" w:cs="Arial"/>
                <w:b/>
                <w:bCs/>
                <w:sz w:val="18"/>
                <w:szCs w:val="18"/>
              </w:rPr>
              <w:t>.62</w:t>
            </w:r>
          </w:p>
        </w:tc>
        <w:tc>
          <w:tcPr>
            <w:tcW w:w="230" w:type="pct"/>
            <w:tcBorders>
              <w:top w:val="single" w:sz="4" w:space="0" w:color="auto"/>
              <w:left w:val="nil"/>
              <w:bottom w:val="single" w:sz="4" w:space="0" w:color="auto"/>
              <w:right w:val="nil"/>
            </w:tcBorders>
            <w:shd w:val="clear" w:color="auto" w:fill="auto"/>
            <w:noWrap/>
            <w:vAlign w:val="center"/>
            <w:hideMark/>
          </w:tcPr>
          <w:p w14:paraId="11393B4A"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.50</w:t>
            </w:r>
          </w:p>
        </w:tc>
        <w:tc>
          <w:tcPr>
            <w:tcW w:w="230" w:type="pct"/>
            <w:tcBorders>
              <w:top w:val="single" w:sz="4" w:space="0" w:color="auto"/>
              <w:left w:val="nil"/>
              <w:bottom w:val="single" w:sz="4" w:space="0" w:color="auto"/>
              <w:right w:val="nil"/>
            </w:tcBorders>
            <w:shd w:val="clear" w:color="auto" w:fill="auto"/>
            <w:noWrap/>
            <w:vAlign w:val="center"/>
            <w:hideMark/>
          </w:tcPr>
          <w:p w14:paraId="5BA43EFA"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.73</w:t>
            </w:r>
          </w:p>
        </w:tc>
        <w:tc>
          <w:tcPr>
            <w:tcW w:w="186" w:type="pct"/>
            <w:tcBorders>
              <w:top w:val="single" w:sz="4" w:space="0" w:color="auto"/>
              <w:left w:val="nil"/>
              <w:bottom w:val="single" w:sz="4" w:space="0" w:color="auto"/>
              <w:right w:val="nil"/>
            </w:tcBorders>
            <w:shd w:val="clear" w:color="auto" w:fill="auto"/>
            <w:noWrap/>
            <w:vAlign w:val="center"/>
            <w:hideMark/>
          </w:tcPr>
          <w:p w14:paraId="4710E665"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&lt;.05</w:t>
            </w:r>
          </w:p>
        </w:tc>
        <w:tc>
          <w:tcPr>
            <w:tcW w:w="886" w:type="pct"/>
            <w:tcBorders>
              <w:top w:val="single" w:sz="4" w:space="0" w:color="auto"/>
              <w:left w:val="nil"/>
              <w:bottom w:val="single" w:sz="4" w:space="0" w:color="auto"/>
              <w:right w:val="nil"/>
            </w:tcBorders>
            <w:shd w:val="clear" w:color="auto" w:fill="auto"/>
            <w:noWrap/>
            <w:vAlign w:val="center"/>
            <w:hideMark/>
          </w:tcPr>
          <w:p w14:paraId="6E6387E8" w14:textId="77777777" w:rsidR="00824C53" w:rsidRPr="00824C53" w:rsidRDefault="00824C53" w:rsidP="00B10D1C">
            <w:pPr>
              <w:spacing w:after="0" w:line="480" w:lineRule="auto"/>
              <w:jc w:val="center"/>
              <w:rPr>
                <w:rFonts w:asciiTheme="minorHAnsi" w:eastAsia="Times New Roman" w:hAnsiTheme="minorHAnsi" w:cs="Arial"/>
                <w:b/>
                <w:bCs/>
                <w:sz w:val="18"/>
                <w:szCs w:val="18"/>
              </w:rPr>
            </w:pPr>
            <w:r w:rsidRPr="00824C53">
              <w:rPr>
                <w:rFonts w:asciiTheme="minorHAnsi" w:eastAsia="Times New Roman" w:hAnsiTheme="minorHAnsi" w:cs="Arial"/>
                <w:b/>
                <w:bCs/>
                <w:sz w:val="18"/>
                <w:szCs w:val="18"/>
              </w:rPr>
              <w:t>.63</w:t>
            </w:r>
          </w:p>
        </w:tc>
        <w:tc>
          <w:tcPr>
            <w:tcW w:w="230" w:type="pct"/>
            <w:tcBorders>
              <w:top w:val="single" w:sz="4" w:space="0" w:color="auto"/>
              <w:left w:val="nil"/>
              <w:bottom w:val="single" w:sz="4" w:space="0" w:color="auto"/>
              <w:right w:val="nil"/>
            </w:tcBorders>
            <w:shd w:val="clear" w:color="auto" w:fill="auto"/>
            <w:noWrap/>
            <w:vAlign w:val="center"/>
            <w:hideMark/>
          </w:tcPr>
          <w:p w14:paraId="7B61B99A"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.44</w:t>
            </w:r>
          </w:p>
        </w:tc>
        <w:tc>
          <w:tcPr>
            <w:tcW w:w="230" w:type="pct"/>
            <w:tcBorders>
              <w:top w:val="single" w:sz="4" w:space="0" w:color="auto"/>
              <w:left w:val="nil"/>
              <w:bottom w:val="single" w:sz="4" w:space="0" w:color="auto"/>
              <w:right w:val="nil"/>
            </w:tcBorders>
            <w:shd w:val="clear" w:color="auto" w:fill="auto"/>
            <w:noWrap/>
            <w:vAlign w:val="center"/>
            <w:hideMark/>
          </w:tcPr>
          <w:p w14:paraId="6F1A3F8E"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.82</w:t>
            </w:r>
          </w:p>
        </w:tc>
        <w:tc>
          <w:tcPr>
            <w:tcW w:w="186" w:type="pct"/>
            <w:tcBorders>
              <w:top w:val="single" w:sz="4" w:space="0" w:color="auto"/>
              <w:left w:val="nil"/>
              <w:bottom w:val="single" w:sz="4" w:space="0" w:color="auto"/>
              <w:right w:val="nil"/>
            </w:tcBorders>
            <w:shd w:val="clear" w:color="auto" w:fill="auto"/>
            <w:noWrap/>
            <w:vAlign w:val="center"/>
            <w:hideMark/>
          </w:tcPr>
          <w:p w14:paraId="5D05191B"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NS</w:t>
            </w:r>
          </w:p>
        </w:tc>
        <w:tc>
          <w:tcPr>
            <w:tcW w:w="886" w:type="pct"/>
            <w:tcBorders>
              <w:top w:val="single" w:sz="4" w:space="0" w:color="auto"/>
              <w:left w:val="nil"/>
              <w:bottom w:val="single" w:sz="4" w:space="0" w:color="auto"/>
              <w:right w:val="nil"/>
            </w:tcBorders>
            <w:shd w:val="clear" w:color="auto" w:fill="auto"/>
            <w:noWrap/>
            <w:vAlign w:val="center"/>
            <w:hideMark/>
          </w:tcPr>
          <w:p w14:paraId="27A0F7A7" w14:textId="77777777" w:rsidR="00824C53" w:rsidRPr="00824C53" w:rsidRDefault="00824C53" w:rsidP="00B10D1C">
            <w:pPr>
              <w:spacing w:after="0" w:line="480" w:lineRule="auto"/>
              <w:jc w:val="center"/>
              <w:rPr>
                <w:rFonts w:asciiTheme="minorHAnsi" w:eastAsia="Times New Roman" w:hAnsiTheme="minorHAnsi" w:cs="Arial"/>
                <w:b/>
                <w:bCs/>
                <w:sz w:val="18"/>
                <w:szCs w:val="18"/>
              </w:rPr>
            </w:pPr>
            <w:r w:rsidRPr="00824C53">
              <w:rPr>
                <w:rFonts w:asciiTheme="minorHAnsi" w:eastAsia="Times New Roman" w:hAnsiTheme="minorHAnsi" w:cs="Arial"/>
                <w:b/>
                <w:bCs/>
                <w:sz w:val="18"/>
                <w:szCs w:val="18"/>
              </w:rPr>
              <w:t>.59</w:t>
            </w:r>
          </w:p>
        </w:tc>
        <w:tc>
          <w:tcPr>
            <w:tcW w:w="230" w:type="pct"/>
            <w:tcBorders>
              <w:top w:val="single" w:sz="4" w:space="0" w:color="auto"/>
              <w:left w:val="nil"/>
              <w:bottom w:val="single" w:sz="4" w:space="0" w:color="auto"/>
              <w:right w:val="nil"/>
            </w:tcBorders>
            <w:shd w:val="clear" w:color="auto" w:fill="auto"/>
            <w:noWrap/>
            <w:vAlign w:val="center"/>
            <w:hideMark/>
          </w:tcPr>
          <w:p w14:paraId="65498926"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.45</w:t>
            </w:r>
          </w:p>
        </w:tc>
        <w:tc>
          <w:tcPr>
            <w:tcW w:w="230" w:type="pct"/>
            <w:tcBorders>
              <w:top w:val="single" w:sz="4" w:space="0" w:color="auto"/>
              <w:left w:val="nil"/>
              <w:bottom w:val="single" w:sz="4" w:space="0" w:color="auto"/>
              <w:right w:val="nil"/>
            </w:tcBorders>
            <w:shd w:val="clear" w:color="auto" w:fill="auto"/>
            <w:noWrap/>
            <w:vAlign w:val="center"/>
            <w:hideMark/>
          </w:tcPr>
          <w:p w14:paraId="511F5B95"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.73</w:t>
            </w:r>
          </w:p>
        </w:tc>
        <w:tc>
          <w:tcPr>
            <w:tcW w:w="151" w:type="pct"/>
            <w:tcBorders>
              <w:top w:val="single" w:sz="4" w:space="0" w:color="auto"/>
              <w:left w:val="nil"/>
              <w:bottom w:val="single" w:sz="4" w:space="0" w:color="auto"/>
              <w:right w:val="nil"/>
            </w:tcBorders>
            <w:shd w:val="clear" w:color="auto" w:fill="auto"/>
            <w:noWrap/>
            <w:vAlign w:val="center"/>
            <w:hideMark/>
          </w:tcPr>
          <w:p w14:paraId="3B0948BB"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NS</w:t>
            </w:r>
          </w:p>
        </w:tc>
      </w:tr>
      <w:tr w:rsidR="00824C53" w:rsidRPr="00824C53" w14:paraId="71B4A772" w14:textId="77777777" w:rsidTr="00470785">
        <w:trPr>
          <w:trHeight w:val="375"/>
        </w:trPr>
        <w:tc>
          <w:tcPr>
            <w:tcW w:w="736" w:type="pct"/>
            <w:tcBorders>
              <w:top w:val="single" w:sz="4" w:space="0" w:color="auto"/>
              <w:left w:val="nil"/>
              <w:bottom w:val="single" w:sz="4" w:space="0" w:color="auto"/>
              <w:right w:val="nil"/>
            </w:tcBorders>
            <w:shd w:val="clear" w:color="auto" w:fill="auto"/>
            <w:vAlign w:val="center"/>
            <w:hideMark/>
          </w:tcPr>
          <w:p w14:paraId="784F746C" w14:textId="77777777" w:rsidR="00824C53" w:rsidRPr="00824C53" w:rsidRDefault="00824C53" w:rsidP="00B10D1C">
            <w:pPr>
              <w:spacing w:after="0" w:line="480" w:lineRule="auto"/>
              <w:rPr>
                <w:rFonts w:asciiTheme="minorHAnsi" w:eastAsia="Times New Roman" w:hAnsiTheme="minorHAnsi" w:cs="Arial"/>
                <w:sz w:val="18"/>
                <w:szCs w:val="18"/>
              </w:rPr>
            </w:pPr>
            <w:r w:rsidRPr="00824C53">
              <w:rPr>
                <w:rFonts w:asciiTheme="minorHAnsi" w:eastAsia="Times New Roman" w:hAnsiTheme="minorHAnsi" w:cs="Arial"/>
                <w:sz w:val="18"/>
                <w:szCs w:val="18"/>
              </w:rPr>
              <w:t>PCL:SV Total</w:t>
            </w:r>
          </w:p>
        </w:tc>
        <w:tc>
          <w:tcPr>
            <w:tcW w:w="590" w:type="pct"/>
            <w:tcBorders>
              <w:top w:val="single" w:sz="4" w:space="0" w:color="auto"/>
              <w:left w:val="nil"/>
              <w:bottom w:val="single" w:sz="4" w:space="0" w:color="auto"/>
              <w:right w:val="nil"/>
            </w:tcBorders>
            <w:shd w:val="clear" w:color="auto" w:fill="auto"/>
            <w:noWrap/>
            <w:vAlign w:val="center"/>
            <w:hideMark/>
          </w:tcPr>
          <w:p w14:paraId="1B325C6E" w14:textId="77777777" w:rsidR="00824C53" w:rsidRPr="00824C53" w:rsidRDefault="00824C53" w:rsidP="00B10D1C">
            <w:pPr>
              <w:spacing w:after="0" w:line="480" w:lineRule="auto"/>
              <w:jc w:val="center"/>
              <w:rPr>
                <w:rFonts w:asciiTheme="minorHAnsi" w:eastAsia="Times New Roman" w:hAnsiTheme="minorHAnsi" w:cs="Arial"/>
                <w:b/>
                <w:bCs/>
                <w:sz w:val="18"/>
                <w:szCs w:val="18"/>
              </w:rPr>
            </w:pPr>
            <w:r w:rsidRPr="00824C53">
              <w:rPr>
                <w:rFonts w:asciiTheme="minorHAnsi" w:eastAsia="Times New Roman" w:hAnsiTheme="minorHAnsi" w:cs="Arial"/>
                <w:b/>
                <w:bCs/>
                <w:sz w:val="18"/>
                <w:szCs w:val="18"/>
              </w:rPr>
              <w:t>.66</w:t>
            </w:r>
          </w:p>
        </w:tc>
        <w:tc>
          <w:tcPr>
            <w:tcW w:w="230" w:type="pct"/>
            <w:tcBorders>
              <w:top w:val="single" w:sz="4" w:space="0" w:color="auto"/>
              <w:left w:val="nil"/>
              <w:bottom w:val="single" w:sz="4" w:space="0" w:color="auto"/>
              <w:right w:val="nil"/>
            </w:tcBorders>
            <w:shd w:val="clear" w:color="auto" w:fill="auto"/>
            <w:noWrap/>
            <w:vAlign w:val="center"/>
            <w:hideMark/>
          </w:tcPr>
          <w:p w14:paraId="7610B1EA"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.54</w:t>
            </w:r>
          </w:p>
        </w:tc>
        <w:tc>
          <w:tcPr>
            <w:tcW w:w="230" w:type="pct"/>
            <w:tcBorders>
              <w:top w:val="single" w:sz="4" w:space="0" w:color="auto"/>
              <w:left w:val="nil"/>
              <w:bottom w:val="single" w:sz="4" w:space="0" w:color="auto"/>
              <w:right w:val="nil"/>
            </w:tcBorders>
            <w:shd w:val="clear" w:color="auto" w:fill="auto"/>
            <w:noWrap/>
            <w:vAlign w:val="center"/>
            <w:hideMark/>
          </w:tcPr>
          <w:p w14:paraId="7986428F"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.77</w:t>
            </w:r>
          </w:p>
        </w:tc>
        <w:tc>
          <w:tcPr>
            <w:tcW w:w="186" w:type="pct"/>
            <w:tcBorders>
              <w:top w:val="single" w:sz="4" w:space="0" w:color="auto"/>
              <w:left w:val="nil"/>
              <w:bottom w:val="single" w:sz="4" w:space="0" w:color="auto"/>
              <w:right w:val="nil"/>
            </w:tcBorders>
            <w:shd w:val="clear" w:color="auto" w:fill="auto"/>
            <w:noWrap/>
            <w:vAlign w:val="center"/>
            <w:hideMark/>
          </w:tcPr>
          <w:p w14:paraId="2EB45F29"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&lt;.01</w:t>
            </w:r>
          </w:p>
        </w:tc>
        <w:tc>
          <w:tcPr>
            <w:tcW w:w="886" w:type="pct"/>
            <w:tcBorders>
              <w:top w:val="single" w:sz="4" w:space="0" w:color="auto"/>
              <w:left w:val="nil"/>
              <w:bottom w:val="single" w:sz="4" w:space="0" w:color="auto"/>
              <w:right w:val="nil"/>
            </w:tcBorders>
            <w:shd w:val="clear" w:color="auto" w:fill="auto"/>
            <w:noWrap/>
            <w:vAlign w:val="center"/>
            <w:hideMark/>
          </w:tcPr>
          <w:p w14:paraId="58B3816F" w14:textId="77777777" w:rsidR="00824C53" w:rsidRPr="00824C53" w:rsidRDefault="00824C53" w:rsidP="00B10D1C">
            <w:pPr>
              <w:spacing w:after="0" w:line="480" w:lineRule="auto"/>
              <w:jc w:val="center"/>
              <w:rPr>
                <w:rFonts w:asciiTheme="minorHAnsi" w:eastAsia="Times New Roman" w:hAnsiTheme="minorHAnsi" w:cs="Arial"/>
                <w:b/>
                <w:bCs/>
                <w:sz w:val="18"/>
                <w:szCs w:val="18"/>
              </w:rPr>
            </w:pPr>
            <w:r w:rsidRPr="00824C53">
              <w:rPr>
                <w:rFonts w:asciiTheme="minorHAnsi" w:eastAsia="Times New Roman" w:hAnsiTheme="minorHAnsi" w:cs="Arial"/>
                <w:b/>
                <w:bCs/>
                <w:sz w:val="18"/>
                <w:szCs w:val="18"/>
              </w:rPr>
              <w:t>.77</w:t>
            </w:r>
          </w:p>
        </w:tc>
        <w:tc>
          <w:tcPr>
            <w:tcW w:w="230" w:type="pct"/>
            <w:tcBorders>
              <w:top w:val="single" w:sz="4" w:space="0" w:color="auto"/>
              <w:left w:val="nil"/>
              <w:bottom w:val="single" w:sz="4" w:space="0" w:color="auto"/>
              <w:right w:val="nil"/>
            </w:tcBorders>
            <w:shd w:val="clear" w:color="auto" w:fill="auto"/>
            <w:noWrap/>
            <w:vAlign w:val="center"/>
            <w:hideMark/>
          </w:tcPr>
          <w:p w14:paraId="79795B7C"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.59</w:t>
            </w:r>
          </w:p>
        </w:tc>
        <w:tc>
          <w:tcPr>
            <w:tcW w:w="230" w:type="pct"/>
            <w:tcBorders>
              <w:top w:val="single" w:sz="4" w:space="0" w:color="auto"/>
              <w:left w:val="nil"/>
              <w:bottom w:val="single" w:sz="4" w:space="0" w:color="auto"/>
              <w:right w:val="nil"/>
            </w:tcBorders>
            <w:shd w:val="clear" w:color="auto" w:fill="auto"/>
            <w:noWrap/>
            <w:vAlign w:val="center"/>
            <w:hideMark/>
          </w:tcPr>
          <w:p w14:paraId="3FB78DEC"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.94</w:t>
            </w:r>
          </w:p>
        </w:tc>
        <w:tc>
          <w:tcPr>
            <w:tcW w:w="186" w:type="pct"/>
            <w:tcBorders>
              <w:top w:val="single" w:sz="4" w:space="0" w:color="auto"/>
              <w:left w:val="nil"/>
              <w:bottom w:val="single" w:sz="4" w:space="0" w:color="auto"/>
              <w:right w:val="nil"/>
            </w:tcBorders>
            <w:shd w:val="clear" w:color="auto" w:fill="auto"/>
            <w:noWrap/>
            <w:vAlign w:val="center"/>
            <w:hideMark/>
          </w:tcPr>
          <w:p w14:paraId="7FCC6388"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&lt;.01</w:t>
            </w:r>
          </w:p>
        </w:tc>
        <w:tc>
          <w:tcPr>
            <w:tcW w:w="886" w:type="pct"/>
            <w:tcBorders>
              <w:top w:val="single" w:sz="4" w:space="0" w:color="auto"/>
              <w:left w:val="nil"/>
              <w:bottom w:val="single" w:sz="4" w:space="0" w:color="auto"/>
              <w:right w:val="nil"/>
            </w:tcBorders>
            <w:shd w:val="clear" w:color="auto" w:fill="auto"/>
            <w:noWrap/>
            <w:vAlign w:val="center"/>
            <w:hideMark/>
          </w:tcPr>
          <w:p w14:paraId="5F135F93" w14:textId="77777777" w:rsidR="00824C53" w:rsidRPr="00824C53" w:rsidRDefault="00824C53" w:rsidP="00B10D1C">
            <w:pPr>
              <w:spacing w:after="0" w:line="480" w:lineRule="auto"/>
              <w:jc w:val="center"/>
              <w:rPr>
                <w:rFonts w:asciiTheme="minorHAnsi" w:eastAsia="Times New Roman" w:hAnsiTheme="minorHAnsi" w:cs="Arial"/>
                <w:b/>
                <w:bCs/>
                <w:sz w:val="18"/>
                <w:szCs w:val="18"/>
              </w:rPr>
            </w:pPr>
            <w:r w:rsidRPr="00824C53">
              <w:rPr>
                <w:rFonts w:asciiTheme="minorHAnsi" w:eastAsia="Times New Roman" w:hAnsiTheme="minorHAnsi" w:cs="Arial"/>
                <w:b/>
                <w:bCs/>
                <w:sz w:val="18"/>
                <w:szCs w:val="18"/>
              </w:rPr>
              <w:t>.60</w:t>
            </w:r>
          </w:p>
        </w:tc>
        <w:tc>
          <w:tcPr>
            <w:tcW w:w="230" w:type="pct"/>
            <w:tcBorders>
              <w:top w:val="single" w:sz="4" w:space="0" w:color="auto"/>
              <w:left w:val="nil"/>
              <w:bottom w:val="single" w:sz="4" w:space="0" w:color="auto"/>
              <w:right w:val="nil"/>
            </w:tcBorders>
            <w:shd w:val="clear" w:color="auto" w:fill="auto"/>
            <w:noWrap/>
            <w:vAlign w:val="center"/>
            <w:hideMark/>
          </w:tcPr>
          <w:p w14:paraId="05467E52"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.46</w:t>
            </w:r>
          </w:p>
        </w:tc>
        <w:tc>
          <w:tcPr>
            <w:tcW w:w="230" w:type="pct"/>
            <w:tcBorders>
              <w:top w:val="single" w:sz="4" w:space="0" w:color="auto"/>
              <w:left w:val="nil"/>
              <w:bottom w:val="single" w:sz="4" w:space="0" w:color="auto"/>
              <w:right w:val="nil"/>
            </w:tcBorders>
            <w:shd w:val="clear" w:color="auto" w:fill="auto"/>
            <w:noWrap/>
            <w:vAlign w:val="center"/>
            <w:hideMark/>
          </w:tcPr>
          <w:p w14:paraId="7C68C330"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.75</w:t>
            </w:r>
          </w:p>
        </w:tc>
        <w:tc>
          <w:tcPr>
            <w:tcW w:w="151" w:type="pct"/>
            <w:tcBorders>
              <w:top w:val="single" w:sz="4" w:space="0" w:color="auto"/>
              <w:left w:val="nil"/>
              <w:bottom w:val="single" w:sz="4" w:space="0" w:color="auto"/>
              <w:right w:val="nil"/>
            </w:tcBorders>
            <w:shd w:val="clear" w:color="auto" w:fill="auto"/>
            <w:noWrap/>
            <w:vAlign w:val="center"/>
            <w:hideMark/>
          </w:tcPr>
          <w:p w14:paraId="5A14F981" w14:textId="77777777" w:rsidR="00824C53" w:rsidRPr="00824C53" w:rsidRDefault="00824C53" w:rsidP="00B10D1C">
            <w:pPr>
              <w:spacing w:after="0" w:line="480" w:lineRule="auto"/>
              <w:jc w:val="right"/>
              <w:rPr>
                <w:rFonts w:asciiTheme="minorHAnsi" w:eastAsia="Times New Roman" w:hAnsiTheme="minorHAnsi" w:cs="Arial"/>
                <w:sz w:val="18"/>
                <w:szCs w:val="18"/>
              </w:rPr>
            </w:pPr>
            <w:r w:rsidRPr="00824C53">
              <w:rPr>
                <w:rFonts w:asciiTheme="minorHAnsi" w:eastAsia="Times New Roman" w:hAnsiTheme="minorHAnsi" w:cs="Arial"/>
                <w:sz w:val="18"/>
                <w:szCs w:val="18"/>
              </w:rPr>
              <w:t>NS</w:t>
            </w:r>
          </w:p>
        </w:tc>
      </w:tr>
    </w:tbl>
    <w:p w14:paraId="3A88BB99" w14:textId="5245486D" w:rsidR="00824C53" w:rsidRPr="00E02ACD" w:rsidRDefault="00470785" w:rsidP="00470785">
      <w:pPr>
        <w:tabs>
          <w:tab w:val="left" w:pos="1455"/>
        </w:tabs>
        <w:spacing w:after="0" w:line="480" w:lineRule="auto"/>
        <w:rPr>
          <w:rFonts w:asciiTheme="minorHAnsi" w:hAnsiTheme="minorHAnsi" w:cs="Arial"/>
          <w:sz w:val="18"/>
          <w:szCs w:val="18"/>
        </w:rPr>
        <w:sectPr w:rsidR="00824C53" w:rsidRPr="00E02ACD" w:rsidSect="00824C53">
          <w:type w:val="continuous"/>
          <w:pgSz w:w="16838" w:h="11906" w:orient="landscape"/>
          <w:pgMar w:top="1440" w:right="1080" w:bottom="1440" w:left="1080" w:header="709" w:footer="709" w:gutter="0"/>
          <w:cols w:space="708"/>
          <w:docGrid w:linePitch="360"/>
        </w:sectPr>
      </w:pPr>
      <w:r w:rsidRPr="00470785">
        <w:rPr>
          <w:rFonts w:asciiTheme="minorHAnsi" w:hAnsiTheme="minorHAnsi" w:cs="Arial"/>
          <w:sz w:val="18"/>
          <w:szCs w:val="18"/>
        </w:rPr>
        <w:t xml:space="preserve">Note. SAPROF = Structured Assessment of Protective Factors; HCR = Historical, Clinical, Risk management; PCL-SV = </w:t>
      </w:r>
      <w:r>
        <w:rPr>
          <w:rFonts w:asciiTheme="minorHAnsi" w:hAnsiTheme="minorHAnsi" w:cs="Arial"/>
          <w:sz w:val="18"/>
          <w:szCs w:val="18"/>
        </w:rPr>
        <w:t xml:space="preserve">Psychopathy Checklist–Screening </w:t>
      </w:r>
      <w:r w:rsidRPr="00470785">
        <w:rPr>
          <w:rFonts w:asciiTheme="minorHAnsi" w:hAnsiTheme="minorHAnsi" w:cs="Arial"/>
          <w:sz w:val="18"/>
          <w:szCs w:val="18"/>
        </w:rPr>
        <w:t>Version; AUC = area u</w:t>
      </w:r>
      <w:r>
        <w:rPr>
          <w:rFonts w:asciiTheme="minorHAnsi" w:hAnsiTheme="minorHAnsi" w:cs="Arial"/>
          <w:sz w:val="18"/>
          <w:szCs w:val="18"/>
        </w:rPr>
        <w:t xml:space="preserve">nder the curve; CI = confidence </w:t>
      </w:r>
      <w:r w:rsidRPr="00470785">
        <w:rPr>
          <w:rFonts w:asciiTheme="minorHAnsi" w:hAnsiTheme="minorHAnsi" w:cs="Arial"/>
          <w:sz w:val="18"/>
          <w:szCs w:val="18"/>
        </w:rPr>
        <w:t>interval.</w:t>
      </w:r>
    </w:p>
    <w:p w14:paraId="2A91A7BD" w14:textId="77777777" w:rsidR="006A3D1E" w:rsidRPr="00BF5F82" w:rsidRDefault="006A3D1E" w:rsidP="00B10D1C">
      <w:pPr>
        <w:pStyle w:val="Heading1"/>
        <w:spacing w:line="480" w:lineRule="auto"/>
        <w:rPr>
          <w:rFonts w:asciiTheme="minorHAnsi" w:hAnsiTheme="minorHAnsi"/>
          <w:sz w:val="24"/>
          <w:szCs w:val="24"/>
        </w:rPr>
      </w:pPr>
    </w:p>
    <w:sectPr w:rsidR="006A3D1E" w:rsidRPr="00BF5F82" w:rsidSect="000A2563">
      <w:type w:val="continuous"/>
      <w:pgSz w:w="16838" w:h="11906" w:orient="landscape"/>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CB154" w14:textId="77777777" w:rsidR="002117CA" w:rsidRDefault="002117CA" w:rsidP="00DE1E15">
      <w:pPr>
        <w:spacing w:after="0" w:line="240" w:lineRule="auto"/>
      </w:pPr>
      <w:r>
        <w:separator/>
      </w:r>
    </w:p>
  </w:endnote>
  <w:endnote w:type="continuationSeparator" w:id="0">
    <w:p w14:paraId="4D7C941C" w14:textId="77777777" w:rsidR="002117CA" w:rsidRDefault="002117CA" w:rsidP="00DE1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A4638" w14:textId="77777777" w:rsidR="00470785" w:rsidRDefault="004707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0423219"/>
      <w:docPartObj>
        <w:docPartGallery w:val="Page Numbers (Bottom of Page)"/>
        <w:docPartUnique/>
      </w:docPartObj>
    </w:sdtPr>
    <w:sdtEndPr>
      <w:rPr>
        <w:noProof/>
      </w:rPr>
    </w:sdtEndPr>
    <w:sdtContent>
      <w:p w14:paraId="3220EB86" w14:textId="03AEB396" w:rsidR="002117CA" w:rsidRDefault="002117CA">
        <w:pPr>
          <w:pStyle w:val="Footer"/>
          <w:jc w:val="center"/>
        </w:pPr>
        <w:r>
          <w:fldChar w:fldCharType="begin"/>
        </w:r>
        <w:r>
          <w:instrText xml:space="preserve"> PAGE   \* MERGEFORMAT </w:instrText>
        </w:r>
        <w:r>
          <w:fldChar w:fldCharType="separate"/>
        </w:r>
        <w:r w:rsidR="00470785">
          <w:rPr>
            <w:noProof/>
          </w:rPr>
          <w:t>22</w:t>
        </w:r>
        <w:r>
          <w:rPr>
            <w:noProof/>
          </w:rPr>
          <w:fldChar w:fldCharType="end"/>
        </w:r>
      </w:p>
    </w:sdtContent>
  </w:sdt>
  <w:p w14:paraId="33F84979" w14:textId="77777777" w:rsidR="002117CA" w:rsidRDefault="002117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234E8" w14:textId="77777777" w:rsidR="00470785" w:rsidRDefault="004707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41C60" w14:textId="77777777" w:rsidR="002117CA" w:rsidRDefault="002117CA" w:rsidP="00DE1E15">
      <w:pPr>
        <w:spacing w:after="0" w:line="240" w:lineRule="auto"/>
      </w:pPr>
      <w:r>
        <w:separator/>
      </w:r>
    </w:p>
  </w:footnote>
  <w:footnote w:type="continuationSeparator" w:id="0">
    <w:p w14:paraId="040E4D9A" w14:textId="77777777" w:rsidR="002117CA" w:rsidRDefault="002117CA" w:rsidP="00DE1E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D40AC" w14:textId="77777777" w:rsidR="00470785" w:rsidRDefault="004707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8912240"/>
      <w:docPartObj>
        <w:docPartGallery w:val="Watermarks"/>
        <w:docPartUnique/>
      </w:docPartObj>
    </w:sdtPr>
    <w:sdtContent>
      <w:p w14:paraId="1113EB66" w14:textId="0CECD747" w:rsidR="00470785" w:rsidRDefault="00470785">
        <w:pPr>
          <w:pStyle w:val="Header"/>
        </w:pPr>
        <w:r>
          <w:rPr>
            <w:noProof/>
            <w:lang w:val="en-US" w:eastAsia="en-US"/>
          </w:rPr>
          <w:pict w14:anchorId="4AF473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436.5pt;height:44.25pt;rotation:315;z-index:-251657216;mso-position-horizontal:center;mso-position-horizontal-relative:margin;mso-position-vertical:center;mso-position-vertical-relative:margin" o:allowincell="f" fillcolor="silver" stroked="f">
              <v:fill opacity=".5"/>
              <v:textpath style="font-family:&quot;Calibri&quot;" string="Copy accepted for publication"/>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13EC5" w14:textId="77777777" w:rsidR="00470785" w:rsidRDefault="004707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279E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056229"/>
    <w:multiLevelType w:val="multilevel"/>
    <w:tmpl w:val="F806BB9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15440E"/>
    <w:multiLevelType w:val="hybridMultilevel"/>
    <w:tmpl w:val="056C38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810D83"/>
    <w:multiLevelType w:val="hybridMultilevel"/>
    <w:tmpl w:val="2B70D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02876"/>
    <w:multiLevelType w:val="hybridMultilevel"/>
    <w:tmpl w:val="D688D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85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295907"/>
    <w:multiLevelType w:val="hybridMultilevel"/>
    <w:tmpl w:val="7654E2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216C22"/>
    <w:multiLevelType w:val="hybridMultilevel"/>
    <w:tmpl w:val="3C5E2B32"/>
    <w:lvl w:ilvl="0" w:tplc="900C88B0">
      <w:start w:val="1"/>
      <w:numFmt w:val="bullet"/>
      <w:lvlText w:val=""/>
      <w:lvlJc w:val="left"/>
      <w:pPr>
        <w:tabs>
          <w:tab w:val="num" w:pos="720"/>
        </w:tabs>
        <w:ind w:left="720" w:hanging="360"/>
      </w:pPr>
      <w:rPr>
        <w:rFonts w:ascii="Wingdings" w:hAnsi="Wingdings" w:hint="default"/>
      </w:rPr>
    </w:lvl>
    <w:lvl w:ilvl="1" w:tplc="39724504" w:tentative="1">
      <w:start w:val="1"/>
      <w:numFmt w:val="bullet"/>
      <w:lvlText w:val=""/>
      <w:lvlJc w:val="left"/>
      <w:pPr>
        <w:tabs>
          <w:tab w:val="num" w:pos="1440"/>
        </w:tabs>
        <w:ind w:left="1440" w:hanging="360"/>
      </w:pPr>
      <w:rPr>
        <w:rFonts w:ascii="Wingdings" w:hAnsi="Wingdings" w:hint="default"/>
      </w:rPr>
    </w:lvl>
    <w:lvl w:ilvl="2" w:tplc="2B9EC756" w:tentative="1">
      <w:start w:val="1"/>
      <w:numFmt w:val="bullet"/>
      <w:lvlText w:val=""/>
      <w:lvlJc w:val="left"/>
      <w:pPr>
        <w:tabs>
          <w:tab w:val="num" w:pos="2160"/>
        </w:tabs>
        <w:ind w:left="2160" w:hanging="360"/>
      </w:pPr>
      <w:rPr>
        <w:rFonts w:ascii="Wingdings" w:hAnsi="Wingdings" w:hint="default"/>
      </w:rPr>
    </w:lvl>
    <w:lvl w:ilvl="3" w:tplc="A3BCCE7C" w:tentative="1">
      <w:start w:val="1"/>
      <w:numFmt w:val="bullet"/>
      <w:lvlText w:val=""/>
      <w:lvlJc w:val="left"/>
      <w:pPr>
        <w:tabs>
          <w:tab w:val="num" w:pos="2880"/>
        </w:tabs>
        <w:ind w:left="2880" w:hanging="360"/>
      </w:pPr>
      <w:rPr>
        <w:rFonts w:ascii="Wingdings" w:hAnsi="Wingdings" w:hint="default"/>
      </w:rPr>
    </w:lvl>
    <w:lvl w:ilvl="4" w:tplc="19681BE8" w:tentative="1">
      <w:start w:val="1"/>
      <w:numFmt w:val="bullet"/>
      <w:lvlText w:val=""/>
      <w:lvlJc w:val="left"/>
      <w:pPr>
        <w:tabs>
          <w:tab w:val="num" w:pos="3600"/>
        </w:tabs>
        <w:ind w:left="3600" w:hanging="360"/>
      </w:pPr>
      <w:rPr>
        <w:rFonts w:ascii="Wingdings" w:hAnsi="Wingdings" w:hint="default"/>
      </w:rPr>
    </w:lvl>
    <w:lvl w:ilvl="5" w:tplc="FC54BE0A" w:tentative="1">
      <w:start w:val="1"/>
      <w:numFmt w:val="bullet"/>
      <w:lvlText w:val=""/>
      <w:lvlJc w:val="left"/>
      <w:pPr>
        <w:tabs>
          <w:tab w:val="num" w:pos="4320"/>
        </w:tabs>
        <w:ind w:left="4320" w:hanging="360"/>
      </w:pPr>
      <w:rPr>
        <w:rFonts w:ascii="Wingdings" w:hAnsi="Wingdings" w:hint="default"/>
      </w:rPr>
    </w:lvl>
    <w:lvl w:ilvl="6" w:tplc="2E1A04E2" w:tentative="1">
      <w:start w:val="1"/>
      <w:numFmt w:val="bullet"/>
      <w:lvlText w:val=""/>
      <w:lvlJc w:val="left"/>
      <w:pPr>
        <w:tabs>
          <w:tab w:val="num" w:pos="5040"/>
        </w:tabs>
        <w:ind w:left="5040" w:hanging="360"/>
      </w:pPr>
      <w:rPr>
        <w:rFonts w:ascii="Wingdings" w:hAnsi="Wingdings" w:hint="default"/>
      </w:rPr>
    </w:lvl>
    <w:lvl w:ilvl="7" w:tplc="B7306250" w:tentative="1">
      <w:start w:val="1"/>
      <w:numFmt w:val="bullet"/>
      <w:lvlText w:val=""/>
      <w:lvlJc w:val="left"/>
      <w:pPr>
        <w:tabs>
          <w:tab w:val="num" w:pos="5760"/>
        </w:tabs>
        <w:ind w:left="5760" w:hanging="360"/>
      </w:pPr>
      <w:rPr>
        <w:rFonts w:ascii="Wingdings" w:hAnsi="Wingdings" w:hint="default"/>
      </w:rPr>
    </w:lvl>
    <w:lvl w:ilvl="8" w:tplc="34EE183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7C6DE7"/>
    <w:multiLevelType w:val="hybridMultilevel"/>
    <w:tmpl w:val="F8D22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914C65"/>
    <w:multiLevelType w:val="hybridMultilevel"/>
    <w:tmpl w:val="026EA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D459F1"/>
    <w:multiLevelType w:val="hybridMultilevel"/>
    <w:tmpl w:val="9084C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DD4A24"/>
    <w:multiLevelType w:val="hybridMultilevel"/>
    <w:tmpl w:val="09FA0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1C3B53"/>
    <w:multiLevelType w:val="hybridMultilevel"/>
    <w:tmpl w:val="E3DC335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DD2BCA"/>
    <w:multiLevelType w:val="hybridMultilevel"/>
    <w:tmpl w:val="272C4704"/>
    <w:lvl w:ilvl="0" w:tplc="D9D660D0">
      <w:start w:val="1"/>
      <w:numFmt w:val="bullet"/>
      <w:lvlText w:val=""/>
      <w:lvlJc w:val="left"/>
      <w:pPr>
        <w:tabs>
          <w:tab w:val="num" w:pos="720"/>
        </w:tabs>
        <w:ind w:left="720" w:hanging="360"/>
      </w:pPr>
      <w:rPr>
        <w:rFonts w:ascii="Wingdings" w:hAnsi="Wingdings" w:hint="default"/>
      </w:rPr>
    </w:lvl>
    <w:lvl w:ilvl="1" w:tplc="7348F456">
      <w:start w:val="1116"/>
      <w:numFmt w:val="bullet"/>
      <w:lvlText w:val=""/>
      <w:lvlJc w:val="left"/>
      <w:pPr>
        <w:tabs>
          <w:tab w:val="num" w:pos="1440"/>
        </w:tabs>
        <w:ind w:left="1440" w:hanging="360"/>
      </w:pPr>
      <w:rPr>
        <w:rFonts w:ascii="Wingdings" w:hAnsi="Wingdings" w:hint="default"/>
      </w:rPr>
    </w:lvl>
    <w:lvl w:ilvl="2" w:tplc="347247BA" w:tentative="1">
      <w:start w:val="1"/>
      <w:numFmt w:val="bullet"/>
      <w:lvlText w:val=""/>
      <w:lvlJc w:val="left"/>
      <w:pPr>
        <w:tabs>
          <w:tab w:val="num" w:pos="2160"/>
        </w:tabs>
        <w:ind w:left="2160" w:hanging="360"/>
      </w:pPr>
      <w:rPr>
        <w:rFonts w:ascii="Wingdings" w:hAnsi="Wingdings" w:hint="default"/>
      </w:rPr>
    </w:lvl>
    <w:lvl w:ilvl="3" w:tplc="1BBC51FA" w:tentative="1">
      <w:start w:val="1"/>
      <w:numFmt w:val="bullet"/>
      <w:lvlText w:val=""/>
      <w:lvlJc w:val="left"/>
      <w:pPr>
        <w:tabs>
          <w:tab w:val="num" w:pos="2880"/>
        </w:tabs>
        <w:ind w:left="2880" w:hanging="360"/>
      </w:pPr>
      <w:rPr>
        <w:rFonts w:ascii="Wingdings" w:hAnsi="Wingdings" w:hint="default"/>
      </w:rPr>
    </w:lvl>
    <w:lvl w:ilvl="4" w:tplc="65201434" w:tentative="1">
      <w:start w:val="1"/>
      <w:numFmt w:val="bullet"/>
      <w:lvlText w:val=""/>
      <w:lvlJc w:val="left"/>
      <w:pPr>
        <w:tabs>
          <w:tab w:val="num" w:pos="3600"/>
        </w:tabs>
        <w:ind w:left="3600" w:hanging="360"/>
      </w:pPr>
      <w:rPr>
        <w:rFonts w:ascii="Wingdings" w:hAnsi="Wingdings" w:hint="default"/>
      </w:rPr>
    </w:lvl>
    <w:lvl w:ilvl="5" w:tplc="60ECD308" w:tentative="1">
      <w:start w:val="1"/>
      <w:numFmt w:val="bullet"/>
      <w:lvlText w:val=""/>
      <w:lvlJc w:val="left"/>
      <w:pPr>
        <w:tabs>
          <w:tab w:val="num" w:pos="4320"/>
        </w:tabs>
        <w:ind w:left="4320" w:hanging="360"/>
      </w:pPr>
      <w:rPr>
        <w:rFonts w:ascii="Wingdings" w:hAnsi="Wingdings" w:hint="default"/>
      </w:rPr>
    </w:lvl>
    <w:lvl w:ilvl="6" w:tplc="693C8722" w:tentative="1">
      <w:start w:val="1"/>
      <w:numFmt w:val="bullet"/>
      <w:lvlText w:val=""/>
      <w:lvlJc w:val="left"/>
      <w:pPr>
        <w:tabs>
          <w:tab w:val="num" w:pos="5040"/>
        </w:tabs>
        <w:ind w:left="5040" w:hanging="360"/>
      </w:pPr>
      <w:rPr>
        <w:rFonts w:ascii="Wingdings" w:hAnsi="Wingdings" w:hint="default"/>
      </w:rPr>
    </w:lvl>
    <w:lvl w:ilvl="7" w:tplc="9B10205C" w:tentative="1">
      <w:start w:val="1"/>
      <w:numFmt w:val="bullet"/>
      <w:lvlText w:val=""/>
      <w:lvlJc w:val="left"/>
      <w:pPr>
        <w:tabs>
          <w:tab w:val="num" w:pos="5760"/>
        </w:tabs>
        <w:ind w:left="5760" w:hanging="360"/>
      </w:pPr>
      <w:rPr>
        <w:rFonts w:ascii="Wingdings" w:hAnsi="Wingdings" w:hint="default"/>
      </w:rPr>
    </w:lvl>
    <w:lvl w:ilvl="8" w:tplc="A940ADD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2E0971"/>
    <w:multiLevelType w:val="hybridMultilevel"/>
    <w:tmpl w:val="B748F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097824"/>
    <w:multiLevelType w:val="hybridMultilevel"/>
    <w:tmpl w:val="B95C9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5245C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07B0243"/>
    <w:multiLevelType w:val="hybridMultilevel"/>
    <w:tmpl w:val="F934E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E131C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9D3EF4"/>
    <w:multiLevelType w:val="hybridMultilevel"/>
    <w:tmpl w:val="09B0E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5E64E9"/>
    <w:multiLevelType w:val="hybridMultilevel"/>
    <w:tmpl w:val="A3128A88"/>
    <w:lvl w:ilvl="0" w:tplc="4AF8813E">
      <w:numFmt w:val="bullet"/>
      <w:lvlText w:val=""/>
      <w:lvlJc w:val="left"/>
      <w:pPr>
        <w:ind w:left="900" w:hanging="54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A87C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B2B5338"/>
    <w:multiLevelType w:val="hybridMultilevel"/>
    <w:tmpl w:val="AB0A3BE4"/>
    <w:lvl w:ilvl="0" w:tplc="B57854FC">
      <w:start w:val="1"/>
      <w:numFmt w:val="decimal"/>
      <w:lvlText w:val="%1."/>
      <w:lvlJc w:val="left"/>
      <w:pPr>
        <w:ind w:left="2160" w:hanging="144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B98201C"/>
    <w:multiLevelType w:val="multilevel"/>
    <w:tmpl w:val="38580262"/>
    <w:lvl w:ilvl="0">
      <w:start w:val="1"/>
      <w:numFmt w:val="decimal"/>
      <w:lvlText w:val="%1."/>
      <w:lvlJc w:val="left"/>
      <w:pPr>
        <w:ind w:left="720" w:hanging="360"/>
      </w:pPr>
      <w:rPr>
        <w:rFonts w:hint="default"/>
        <w:b/>
        <w:color w:val="auto"/>
      </w:rPr>
    </w:lvl>
    <w:lvl w:ilvl="1">
      <w:start w:val="1"/>
      <w:numFmt w:val="decimal"/>
      <w:isLgl/>
      <w:lvlText w:val="%1.%2."/>
      <w:lvlJc w:val="left"/>
      <w:pPr>
        <w:ind w:left="1080" w:hanging="720"/>
      </w:pPr>
      <w:rPr>
        <w:rFonts w:eastAsiaTheme="majorEastAsia" w:hint="default"/>
      </w:rPr>
    </w:lvl>
    <w:lvl w:ilvl="2">
      <w:start w:val="1"/>
      <w:numFmt w:val="decimal"/>
      <w:isLgl/>
      <w:lvlText w:val="%1.%2.%3."/>
      <w:lvlJc w:val="left"/>
      <w:pPr>
        <w:ind w:left="1080" w:hanging="720"/>
      </w:pPr>
      <w:rPr>
        <w:rFonts w:eastAsiaTheme="majorEastAsia" w:hint="default"/>
      </w:rPr>
    </w:lvl>
    <w:lvl w:ilvl="3">
      <w:start w:val="1"/>
      <w:numFmt w:val="decimal"/>
      <w:isLgl/>
      <w:lvlText w:val="%1.%2.%3.%4."/>
      <w:lvlJc w:val="left"/>
      <w:pPr>
        <w:ind w:left="1440" w:hanging="1080"/>
      </w:pPr>
      <w:rPr>
        <w:rFonts w:eastAsiaTheme="majorEastAsia" w:hint="default"/>
      </w:rPr>
    </w:lvl>
    <w:lvl w:ilvl="4">
      <w:start w:val="1"/>
      <w:numFmt w:val="decimal"/>
      <w:isLgl/>
      <w:lvlText w:val="%1.%2.%3.%4.%5."/>
      <w:lvlJc w:val="left"/>
      <w:pPr>
        <w:ind w:left="1440" w:hanging="1080"/>
      </w:pPr>
      <w:rPr>
        <w:rFonts w:eastAsiaTheme="majorEastAsia" w:hint="default"/>
      </w:rPr>
    </w:lvl>
    <w:lvl w:ilvl="5">
      <w:start w:val="1"/>
      <w:numFmt w:val="decimal"/>
      <w:isLgl/>
      <w:lvlText w:val="%1.%2.%3.%4.%5.%6."/>
      <w:lvlJc w:val="left"/>
      <w:pPr>
        <w:ind w:left="1800" w:hanging="1440"/>
      </w:pPr>
      <w:rPr>
        <w:rFonts w:eastAsiaTheme="majorEastAsia" w:hint="default"/>
      </w:rPr>
    </w:lvl>
    <w:lvl w:ilvl="6">
      <w:start w:val="1"/>
      <w:numFmt w:val="decimal"/>
      <w:isLgl/>
      <w:lvlText w:val="%1.%2.%3.%4.%5.%6.%7."/>
      <w:lvlJc w:val="left"/>
      <w:pPr>
        <w:ind w:left="1800" w:hanging="1440"/>
      </w:pPr>
      <w:rPr>
        <w:rFonts w:eastAsiaTheme="majorEastAsia" w:hint="default"/>
      </w:rPr>
    </w:lvl>
    <w:lvl w:ilvl="7">
      <w:start w:val="1"/>
      <w:numFmt w:val="decimal"/>
      <w:isLgl/>
      <w:lvlText w:val="%1.%2.%3.%4.%5.%6.%7.%8."/>
      <w:lvlJc w:val="left"/>
      <w:pPr>
        <w:ind w:left="2160" w:hanging="1800"/>
      </w:pPr>
      <w:rPr>
        <w:rFonts w:eastAsiaTheme="majorEastAsia" w:hint="default"/>
      </w:rPr>
    </w:lvl>
    <w:lvl w:ilvl="8">
      <w:start w:val="1"/>
      <w:numFmt w:val="decimal"/>
      <w:isLgl/>
      <w:lvlText w:val="%1.%2.%3.%4.%5.%6.%7.%8.%9."/>
      <w:lvlJc w:val="left"/>
      <w:pPr>
        <w:ind w:left="2520" w:hanging="2160"/>
      </w:pPr>
      <w:rPr>
        <w:rFonts w:eastAsiaTheme="majorEastAsia" w:hint="default"/>
      </w:rPr>
    </w:lvl>
  </w:abstractNum>
  <w:abstractNum w:abstractNumId="24" w15:restartNumberingAfterBreak="0">
    <w:nsid w:val="5C445EF9"/>
    <w:multiLevelType w:val="hybridMultilevel"/>
    <w:tmpl w:val="6BAE90A8"/>
    <w:lvl w:ilvl="0" w:tplc="4AF8813E">
      <w:numFmt w:val="bullet"/>
      <w:lvlText w:val=""/>
      <w:lvlJc w:val="left"/>
      <w:pPr>
        <w:ind w:left="900" w:hanging="54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1962B4"/>
    <w:multiLevelType w:val="hybridMultilevel"/>
    <w:tmpl w:val="B748F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0E1B3D"/>
    <w:multiLevelType w:val="hybridMultilevel"/>
    <w:tmpl w:val="1DA0E594"/>
    <w:lvl w:ilvl="0" w:tplc="769CD3F6">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824767"/>
    <w:multiLevelType w:val="hybridMultilevel"/>
    <w:tmpl w:val="8DA0C14A"/>
    <w:lvl w:ilvl="0" w:tplc="DF3EE9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B861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6F16B24"/>
    <w:multiLevelType w:val="hybridMultilevel"/>
    <w:tmpl w:val="0742F2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9AD6DB8"/>
    <w:multiLevelType w:val="hybridMultilevel"/>
    <w:tmpl w:val="14D47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0025C3"/>
    <w:multiLevelType w:val="hybridMultilevel"/>
    <w:tmpl w:val="4C26C7BC"/>
    <w:lvl w:ilvl="0" w:tplc="1E18DA20">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73085C1C"/>
    <w:multiLevelType w:val="hybridMultilevel"/>
    <w:tmpl w:val="D2348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8"/>
  </w:num>
  <w:num w:numId="3">
    <w:abstractNumId w:val="13"/>
  </w:num>
  <w:num w:numId="4">
    <w:abstractNumId w:val="7"/>
  </w:num>
  <w:num w:numId="5">
    <w:abstractNumId w:val="16"/>
  </w:num>
  <w:num w:numId="6">
    <w:abstractNumId w:val="21"/>
  </w:num>
  <w:num w:numId="7">
    <w:abstractNumId w:val="1"/>
  </w:num>
  <w:num w:numId="8">
    <w:abstractNumId w:val="28"/>
  </w:num>
  <w:num w:numId="9">
    <w:abstractNumId w:val="0"/>
  </w:num>
  <w:num w:numId="10">
    <w:abstractNumId w:val="5"/>
  </w:num>
  <w:num w:numId="11">
    <w:abstractNumId w:val="18"/>
  </w:num>
  <w:num w:numId="12">
    <w:abstractNumId w:val="11"/>
  </w:num>
  <w:num w:numId="13">
    <w:abstractNumId w:val="32"/>
  </w:num>
  <w:num w:numId="14">
    <w:abstractNumId w:val="9"/>
  </w:num>
  <w:num w:numId="15">
    <w:abstractNumId w:val="2"/>
  </w:num>
  <w:num w:numId="16">
    <w:abstractNumId w:val="6"/>
  </w:num>
  <w:num w:numId="17">
    <w:abstractNumId w:val="23"/>
  </w:num>
  <w:num w:numId="18">
    <w:abstractNumId w:val="22"/>
  </w:num>
  <w:num w:numId="19">
    <w:abstractNumId w:val="27"/>
  </w:num>
  <w:num w:numId="20">
    <w:abstractNumId w:val="29"/>
  </w:num>
  <w:num w:numId="21">
    <w:abstractNumId w:val="20"/>
  </w:num>
  <w:num w:numId="22">
    <w:abstractNumId w:val="24"/>
  </w:num>
  <w:num w:numId="23">
    <w:abstractNumId w:val="26"/>
  </w:num>
  <w:num w:numId="24">
    <w:abstractNumId w:val="15"/>
  </w:num>
  <w:num w:numId="25">
    <w:abstractNumId w:val="19"/>
  </w:num>
  <w:num w:numId="26">
    <w:abstractNumId w:val="17"/>
  </w:num>
  <w:num w:numId="27">
    <w:abstractNumId w:val="30"/>
  </w:num>
  <w:num w:numId="28">
    <w:abstractNumId w:val="3"/>
  </w:num>
  <w:num w:numId="29">
    <w:abstractNumId w:val="10"/>
  </w:num>
  <w:num w:numId="30">
    <w:abstractNumId w:val="4"/>
  </w:num>
  <w:num w:numId="31">
    <w:abstractNumId w:val="12"/>
  </w:num>
  <w:num w:numId="32">
    <w:abstractNumId w:val="14"/>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885D78"/>
    <w:rsid w:val="0000062F"/>
    <w:rsid w:val="000273AE"/>
    <w:rsid w:val="00050C28"/>
    <w:rsid w:val="0006130D"/>
    <w:rsid w:val="0008617A"/>
    <w:rsid w:val="000A2563"/>
    <w:rsid w:val="000F153B"/>
    <w:rsid w:val="00161196"/>
    <w:rsid w:val="001D7A90"/>
    <w:rsid w:val="002117CA"/>
    <w:rsid w:val="00235518"/>
    <w:rsid w:val="0028018E"/>
    <w:rsid w:val="002C3374"/>
    <w:rsid w:val="002D1A85"/>
    <w:rsid w:val="003C7A44"/>
    <w:rsid w:val="00440CDD"/>
    <w:rsid w:val="00440F3B"/>
    <w:rsid w:val="00456103"/>
    <w:rsid w:val="004612A9"/>
    <w:rsid w:val="00470785"/>
    <w:rsid w:val="0055263C"/>
    <w:rsid w:val="005A3E1E"/>
    <w:rsid w:val="005D58DB"/>
    <w:rsid w:val="005E345D"/>
    <w:rsid w:val="005F448F"/>
    <w:rsid w:val="00625738"/>
    <w:rsid w:val="00673A30"/>
    <w:rsid w:val="006A3D1E"/>
    <w:rsid w:val="006A7020"/>
    <w:rsid w:val="006E37D7"/>
    <w:rsid w:val="006F013F"/>
    <w:rsid w:val="00702F5C"/>
    <w:rsid w:val="00730F9E"/>
    <w:rsid w:val="00824C53"/>
    <w:rsid w:val="00843840"/>
    <w:rsid w:val="00851C2E"/>
    <w:rsid w:val="00885D78"/>
    <w:rsid w:val="00886C2A"/>
    <w:rsid w:val="00893990"/>
    <w:rsid w:val="008C479D"/>
    <w:rsid w:val="008E1A1B"/>
    <w:rsid w:val="008E66A7"/>
    <w:rsid w:val="00934574"/>
    <w:rsid w:val="00A60774"/>
    <w:rsid w:val="00A76460"/>
    <w:rsid w:val="00AD4406"/>
    <w:rsid w:val="00AF0371"/>
    <w:rsid w:val="00AF660A"/>
    <w:rsid w:val="00B10D1C"/>
    <w:rsid w:val="00B218AC"/>
    <w:rsid w:val="00BE46E1"/>
    <w:rsid w:val="00BF28DD"/>
    <w:rsid w:val="00BF5F82"/>
    <w:rsid w:val="00C03BEE"/>
    <w:rsid w:val="00C065AE"/>
    <w:rsid w:val="00C44682"/>
    <w:rsid w:val="00C6417E"/>
    <w:rsid w:val="00C75700"/>
    <w:rsid w:val="00CB4FDA"/>
    <w:rsid w:val="00CE4BAE"/>
    <w:rsid w:val="00D32B12"/>
    <w:rsid w:val="00D477F0"/>
    <w:rsid w:val="00D662EF"/>
    <w:rsid w:val="00D70E41"/>
    <w:rsid w:val="00DA798C"/>
    <w:rsid w:val="00DB2F7E"/>
    <w:rsid w:val="00DC5C74"/>
    <w:rsid w:val="00DE1E15"/>
    <w:rsid w:val="00E02ACD"/>
    <w:rsid w:val="00E85ECD"/>
    <w:rsid w:val="00F11382"/>
    <w:rsid w:val="00F33741"/>
    <w:rsid w:val="00F8317E"/>
    <w:rsid w:val="00FA6251"/>
    <w:rsid w:val="00FA6DB3"/>
    <w:rsid w:val="00FD25B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04B203"/>
  <w15:chartTrackingRefBased/>
  <w15:docId w15:val="{2D91B4F5-BD5F-4A12-97BF-0F3C418A6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D78"/>
    <w:pPr>
      <w:spacing w:after="200" w:line="360" w:lineRule="auto"/>
      <w:jc w:val="both"/>
    </w:pPr>
    <w:rPr>
      <w:rFonts w:ascii="Arial" w:eastAsiaTheme="minorEastAsia" w:hAnsi="Arial"/>
      <w:lang w:val="en-GB" w:eastAsia="en-GB"/>
    </w:rPr>
  </w:style>
  <w:style w:type="paragraph" w:styleId="Heading1">
    <w:name w:val="heading 1"/>
    <w:basedOn w:val="Normal"/>
    <w:next w:val="Normal"/>
    <w:link w:val="Heading1Char"/>
    <w:uiPriority w:val="9"/>
    <w:qFormat/>
    <w:rsid w:val="00885D78"/>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885D78"/>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9"/>
    <w:qFormat/>
    <w:rsid w:val="00885D78"/>
    <w:pPr>
      <w:keepNext/>
      <w:suppressAutoHyphens/>
      <w:spacing w:before="240" w:after="120" w:line="240" w:lineRule="auto"/>
      <w:ind w:left="720" w:hanging="720"/>
      <w:outlineLvl w:val="2"/>
    </w:pPr>
    <w:rPr>
      <w:rFonts w:eastAsia="Times New Roman" w:cs="Arial"/>
      <w:b/>
      <w:szCs w:val="24"/>
      <w:lang w:eastAsia="ar-SA"/>
    </w:rPr>
  </w:style>
  <w:style w:type="paragraph" w:styleId="Heading4">
    <w:name w:val="heading 4"/>
    <w:basedOn w:val="Normal"/>
    <w:next w:val="Normal"/>
    <w:link w:val="Heading4Char"/>
    <w:uiPriority w:val="99"/>
    <w:qFormat/>
    <w:rsid w:val="00885D78"/>
    <w:pPr>
      <w:keepNext/>
      <w:tabs>
        <w:tab w:val="num" w:pos="1440"/>
      </w:tabs>
      <w:suppressAutoHyphens/>
      <w:spacing w:before="240" w:after="120" w:line="240" w:lineRule="auto"/>
      <w:ind w:left="-2160"/>
      <w:outlineLvl w:val="3"/>
    </w:pPr>
    <w:rPr>
      <w:rFonts w:eastAsia="Times New Roman" w:cs="Arial"/>
      <w:b/>
      <w:bCs/>
      <w:i/>
      <w:sz w:val="23"/>
      <w:szCs w:val="23"/>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D78"/>
    <w:rPr>
      <w:rFonts w:ascii="Arial" w:eastAsiaTheme="majorEastAsia" w:hAnsi="Arial" w:cstheme="majorBidi"/>
      <w:b/>
      <w:bCs/>
      <w:sz w:val="28"/>
      <w:szCs w:val="28"/>
      <w:lang w:val="en-GB" w:eastAsia="en-GB"/>
    </w:rPr>
  </w:style>
  <w:style w:type="character" w:customStyle="1" w:styleId="Heading2Char">
    <w:name w:val="Heading 2 Char"/>
    <w:basedOn w:val="DefaultParagraphFont"/>
    <w:link w:val="Heading2"/>
    <w:uiPriority w:val="9"/>
    <w:rsid w:val="00885D78"/>
    <w:rPr>
      <w:rFonts w:ascii="Arial" w:eastAsiaTheme="majorEastAsia" w:hAnsi="Arial" w:cstheme="majorBidi"/>
      <w:b/>
      <w:bCs/>
      <w:sz w:val="26"/>
      <w:szCs w:val="26"/>
      <w:lang w:val="en-GB" w:eastAsia="en-GB"/>
    </w:rPr>
  </w:style>
  <w:style w:type="character" w:customStyle="1" w:styleId="Heading3Char">
    <w:name w:val="Heading 3 Char"/>
    <w:basedOn w:val="DefaultParagraphFont"/>
    <w:link w:val="Heading3"/>
    <w:uiPriority w:val="99"/>
    <w:rsid w:val="00885D78"/>
    <w:rPr>
      <w:rFonts w:ascii="Arial" w:eastAsia="Times New Roman" w:hAnsi="Arial" w:cs="Arial"/>
      <w:b/>
      <w:szCs w:val="24"/>
      <w:lang w:val="en-GB" w:eastAsia="ar-SA"/>
    </w:rPr>
  </w:style>
  <w:style w:type="character" w:customStyle="1" w:styleId="Heading4Char">
    <w:name w:val="Heading 4 Char"/>
    <w:basedOn w:val="DefaultParagraphFont"/>
    <w:link w:val="Heading4"/>
    <w:uiPriority w:val="99"/>
    <w:rsid w:val="00885D78"/>
    <w:rPr>
      <w:rFonts w:ascii="Arial" w:eastAsia="Times New Roman" w:hAnsi="Arial" w:cs="Arial"/>
      <w:b/>
      <w:bCs/>
      <w:i/>
      <w:sz w:val="23"/>
      <w:szCs w:val="23"/>
      <w:lang w:val="en-GB" w:eastAsia="ar-SA"/>
    </w:rPr>
  </w:style>
  <w:style w:type="paragraph" w:styleId="BodyText">
    <w:name w:val="Body Text"/>
    <w:basedOn w:val="Normal"/>
    <w:link w:val="BodyTextChar"/>
    <w:uiPriority w:val="99"/>
    <w:semiHidden/>
    <w:rsid w:val="00885D78"/>
    <w:pPr>
      <w:suppressAutoHyphens/>
      <w:spacing w:after="0" w:line="240" w:lineRule="auto"/>
    </w:pPr>
    <w:rPr>
      <w:rFonts w:ascii="Times New Roman" w:eastAsia="Times New Roman" w:hAnsi="Times New Roman" w:cs="Times New Roman"/>
      <w:szCs w:val="24"/>
      <w:lang w:val="en-US" w:eastAsia="ar-SA"/>
    </w:rPr>
  </w:style>
  <w:style w:type="character" w:customStyle="1" w:styleId="BodyTextChar">
    <w:name w:val="Body Text Char"/>
    <w:basedOn w:val="DefaultParagraphFont"/>
    <w:link w:val="BodyText"/>
    <w:uiPriority w:val="99"/>
    <w:semiHidden/>
    <w:rsid w:val="00885D78"/>
    <w:rPr>
      <w:rFonts w:ascii="Times New Roman" w:eastAsia="Times New Roman" w:hAnsi="Times New Roman" w:cs="Times New Roman"/>
      <w:szCs w:val="24"/>
      <w:lang w:val="en-US" w:eastAsia="ar-SA"/>
    </w:rPr>
  </w:style>
  <w:style w:type="paragraph" w:customStyle="1" w:styleId="WW-Default">
    <w:name w:val="WW-Default"/>
    <w:uiPriority w:val="99"/>
    <w:rsid w:val="00885D78"/>
    <w:pPr>
      <w:suppressAutoHyphens/>
      <w:autoSpaceDE w:val="0"/>
      <w:spacing w:after="0" w:line="240" w:lineRule="auto"/>
    </w:pPr>
    <w:rPr>
      <w:rFonts w:ascii="Arial" w:eastAsia="Times New Roman" w:hAnsi="Arial" w:cs="Arial"/>
      <w:color w:val="000000"/>
      <w:sz w:val="24"/>
      <w:szCs w:val="24"/>
      <w:lang w:val="en-GB" w:eastAsia="ar-SA"/>
    </w:rPr>
  </w:style>
  <w:style w:type="paragraph" w:styleId="ListParagraph">
    <w:name w:val="List Paragraph"/>
    <w:basedOn w:val="Normal"/>
    <w:uiPriority w:val="99"/>
    <w:qFormat/>
    <w:rsid w:val="00885D78"/>
    <w:pPr>
      <w:suppressAutoHyphens/>
      <w:spacing w:after="0" w:line="240" w:lineRule="auto"/>
      <w:ind w:left="720"/>
    </w:pPr>
    <w:rPr>
      <w:rFonts w:ascii="Times New Roman" w:eastAsia="Times New Roman" w:hAnsi="Times New Roman" w:cs="Times New Roman"/>
      <w:szCs w:val="24"/>
      <w:lang w:val="en-US" w:eastAsia="ar-SA"/>
    </w:rPr>
  </w:style>
  <w:style w:type="paragraph" w:customStyle="1" w:styleId="mphilheading3">
    <w:name w:val="mphil heading 3"/>
    <w:basedOn w:val="BodyText"/>
    <w:uiPriority w:val="99"/>
    <w:rsid w:val="00885D78"/>
    <w:pPr>
      <w:spacing w:line="360" w:lineRule="auto"/>
      <w:jc w:val="left"/>
    </w:pPr>
    <w:rPr>
      <w:b/>
      <w:bCs/>
      <w:lang w:val="en-GB"/>
    </w:rPr>
  </w:style>
  <w:style w:type="table" w:styleId="TableGrid">
    <w:name w:val="Table Grid"/>
    <w:basedOn w:val="TableNormal"/>
    <w:uiPriority w:val="59"/>
    <w:rsid w:val="00885D78"/>
    <w:pPr>
      <w:spacing w:after="0" w:line="240" w:lineRule="auto"/>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5D78"/>
    <w:pPr>
      <w:tabs>
        <w:tab w:val="center" w:pos="4513"/>
        <w:tab w:val="right" w:pos="9026"/>
      </w:tabs>
      <w:spacing w:after="0" w:line="240" w:lineRule="auto"/>
    </w:pPr>
    <w:rPr>
      <w:rFonts w:eastAsia="Times New Roman"/>
    </w:rPr>
  </w:style>
  <w:style w:type="character" w:customStyle="1" w:styleId="HeaderChar">
    <w:name w:val="Header Char"/>
    <w:basedOn w:val="DefaultParagraphFont"/>
    <w:link w:val="Header"/>
    <w:uiPriority w:val="99"/>
    <w:rsid w:val="00885D78"/>
    <w:rPr>
      <w:rFonts w:ascii="Arial" w:eastAsia="Times New Roman" w:hAnsi="Arial"/>
      <w:lang w:val="en-GB" w:eastAsia="en-GB"/>
    </w:rPr>
  </w:style>
  <w:style w:type="character" w:styleId="CommentReference">
    <w:name w:val="annotation reference"/>
    <w:basedOn w:val="DefaultParagraphFont"/>
    <w:uiPriority w:val="99"/>
    <w:semiHidden/>
    <w:unhideWhenUsed/>
    <w:rsid w:val="00885D78"/>
    <w:rPr>
      <w:rFonts w:cs="Times New Roman"/>
      <w:sz w:val="16"/>
      <w:szCs w:val="16"/>
    </w:rPr>
  </w:style>
  <w:style w:type="paragraph" w:styleId="CommentText">
    <w:name w:val="annotation text"/>
    <w:basedOn w:val="Normal"/>
    <w:link w:val="CommentTextChar"/>
    <w:uiPriority w:val="99"/>
    <w:unhideWhenUsed/>
    <w:rsid w:val="00885D78"/>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rsid w:val="00885D78"/>
    <w:rPr>
      <w:rFonts w:ascii="Times New Roman" w:eastAsia="Times New Roman" w:hAnsi="Times New Roman" w:cs="Times New Roman"/>
      <w:sz w:val="20"/>
      <w:szCs w:val="20"/>
      <w:lang w:val="en-GB" w:eastAsia="ar-SA"/>
    </w:rPr>
  </w:style>
  <w:style w:type="paragraph" w:styleId="BalloonText">
    <w:name w:val="Balloon Text"/>
    <w:basedOn w:val="Normal"/>
    <w:link w:val="BalloonTextChar"/>
    <w:uiPriority w:val="99"/>
    <w:semiHidden/>
    <w:unhideWhenUsed/>
    <w:rsid w:val="00885D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D78"/>
    <w:rPr>
      <w:rFonts w:ascii="Tahoma" w:eastAsiaTheme="minorEastAsia" w:hAnsi="Tahoma" w:cs="Tahoma"/>
      <w:sz w:val="16"/>
      <w:szCs w:val="16"/>
      <w:lang w:val="en-GB" w:eastAsia="en-GB"/>
    </w:rPr>
  </w:style>
  <w:style w:type="character" w:styleId="Hyperlink">
    <w:name w:val="Hyperlink"/>
    <w:basedOn w:val="DefaultParagraphFont"/>
    <w:uiPriority w:val="99"/>
    <w:unhideWhenUsed/>
    <w:rsid w:val="00885D78"/>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885D78"/>
    <w:pPr>
      <w:suppressAutoHyphens w:val="0"/>
      <w:spacing w:after="200"/>
    </w:pPr>
    <w:rPr>
      <w:b/>
      <w:bCs/>
    </w:rPr>
  </w:style>
  <w:style w:type="character" w:customStyle="1" w:styleId="CommentSubjectChar">
    <w:name w:val="Comment Subject Char"/>
    <w:basedOn w:val="CommentTextChar"/>
    <w:link w:val="CommentSubject"/>
    <w:uiPriority w:val="99"/>
    <w:semiHidden/>
    <w:rsid w:val="00885D78"/>
    <w:rPr>
      <w:rFonts w:ascii="Times New Roman" w:eastAsia="Times New Roman" w:hAnsi="Times New Roman" w:cs="Times New Roman"/>
      <w:b/>
      <w:bCs/>
      <w:sz w:val="20"/>
      <w:szCs w:val="20"/>
      <w:lang w:val="en-GB" w:eastAsia="ar-SA"/>
    </w:rPr>
  </w:style>
  <w:style w:type="paragraph" w:styleId="Footer">
    <w:name w:val="footer"/>
    <w:basedOn w:val="Normal"/>
    <w:link w:val="FooterChar"/>
    <w:uiPriority w:val="99"/>
    <w:unhideWhenUsed/>
    <w:rsid w:val="00885D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D78"/>
    <w:rPr>
      <w:rFonts w:ascii="Arial" w:eastAsiaTheme="minorEastAsia" w:hAnsi="Arial"/>
      <w:lang w:val="en-GB" w:eastAsia="en-GB"/>
    </w:rPr>
  </w:style>
  <w:style w:type="paragraph" w:styleId="NormalWeb">
    <w:name w:val="Normal (Web)"/>
    <w:basedOn w:val="Normal"/>
    <w:uiPriority w:val="99"/>
    <w:semiHidden/>
    <w:unhideWhenUsed/>
    <w:rsid w:val="00885D78"/>
    <w:pPr>
      <w:spacing w:before="100" w:beforeAutospacing="1" w:after="100" w:afterAutospacing="1" w:line="240" w:lineRule="auto"/>
    </w:pPr>
    <w:rPr>
      <w:rFonts w:ascii="Times New Roman" w:eastAsia="Times New Roman" w:hAnsi="Times New Roman" w:cs="Times New Roman"/>
      <w:szCs w:val="24"/>
    </w:rPr>
  </w:style>
  <w:style w:type="character" w:customStyle="1" w:styleId="highlight">
    <w:name w:val="highlight"/>
    <w:basedOn w:val="DefaultParagraphFont"/>
    <w:rsid w:val="00885D78"/>
  </w:style>
  <w:style w:type="character" w:styleId="Emphasis">
    <w:name w:val="Emphasis"/>
    <w:basedOn w:val="DefaultParagraphFont"/>
    <w:uiPriority w:val="20"/>
    <w:qFormat/>
    <w:rsid w:val="00885D78"/>
    <w:rPr>
      <w:i/>
      <w:iCs/>
    </w:rPr>
  </w:style>
  <w:style w:type="paragraph" w:styleId="NoSpacing">
    <w:name w:val="No Spacing"/>
    <w:uiPriority w:val="1"/>
    <w:qFormat/>
    <w:rsid w:val="00885D78"/>
    <w:pPr>
      <w:spacing w:after="0" w:line="360" w:lineRule="auto"/>
    </w:pPr>
    <w:rPr>
      <w:rFonts w:ascii="Arial" w:eastAsiaTheme="minorEastAsia" w:hAnsi="Arial"/>
      <w:lang w:val="en-GB" w:eastAsia="en-GB"/>
    </w:rPr>
  </w:style>
  <w:style w:type="paragraph" w:styleId="Title">
    <w:name w:val="Title"/>
    <w:basedOn w:val="Normal"/>
    <w:next w:val="Normal"/>
    <w:link w:val="TitleChar"/>
    <w:uiPriority w:val="10"/>
    <w:qFormat/>
    <w:rsid w:val="00885D7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5D78"/>
    <w:rPr>
      <w:rFonts w:asciiTheme="majorHAnsi" w:eastAsiaTheme="majorEastAsia" w:hAnsiTheme="majorHAnsi" w:cstheme="majorBidi"/>
      <w:color w:val="323E4F" w:themeColor="text2" w:themeShade="BF"/>
      <w:spacing w:val="5"/>
      <w:kern w:val="28"/>
      <w:sz w:val="52"/>
      <w:szCs w:val="52"/>
      <w:lang w:val="en-GB" w:eastAsia="en-GB"/>
    </w:rPr>
  </w:style>
  <w:style w:type="character" w:styleId="FollowedHyperlink">
    <w:name w:val="FollowedHyperlink"/>
    <w:basedOn w:val="DefaultParagraphFont"/>
    <w:uiPriority w:val="99"/>
    <w:semiHidden/>
    <w:unhideWhenUsed/>
    <w:rsid w:val="00885D78"/>
    <w:rPr>
      <w:color w:val="954F72" w:themeColor="followedHyperlink"/>
      <w:u w:val="single"/>
    </w:rPr>
  </w:style>
  <w:style w:type="table" w:customStyle="1" w:styleId="TableGrid1">
    <w:name w:val="Table Grid1"/>
    <w:basedOn w:val="TableNormal"/>
    <w:next w:val="TableGrid"/>
    <w:uiPriority w:val="59"/>
    <w:rsid w:val="00885D78"/>
    <w:pPr>
      <w:spacing w:after="0" w:line="240" w:lineRule="auto"/>
    </w:pPr>
    <w:rPr>
      <w:rFonts w:eastAsia="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885D78"/>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885D78"/>
    <w:rPr>
      <w:rFonts w:ascii="Calibri" w:eastAsiaTheme="minorEastAsia" w:hAnsi="Calibri"/>
      <w:noProof/>
      <w:lang w:val="en-GB" w:eastAsia="en-GB"/>
    </w:rPr>
  </w:style>
  <w:style w:type="paragraph" w:customStyle="1" w:styleId="EndNoteBibliography">
    <w:name w:val="EndNote Bibliography"/>
    <w:basedOn w:val="Normal"/>
    <w:link w:val="EndNoteBibliographyChar"/>
    <w:rsid w:val="00885D78"/>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885D78"/>
    <w:rPr>
      <w:rFonts w:ascii="Calibri" w:eastAsiaTheme="minorEastAsia" w:hAnsi="Calibri"/>
      <w:noProof/>
      <w:lang w:val="en-GB" w:eastAsia="en-GB"/>
    </w:rPr>
  </w:style>
  <w:style w:type="table" w:customStyle="1" w:styleId="TableGrid2">
    <w:name w:val="Table Grid2"/>
    <w:basedOn w:val="TableNormal"/>
    <w:next w:val="TableGrid"/>
    <w:uiPriority w:val="59"/>
    <w:rsid w:val="00885D78"/>
    <w:pPr>
      <w:spacing w:after="0" w:line="240" w:lineRule="auto"/>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85D78"/>
    <w:pPr>
      <w:spacing w:after="0" w:line="240" w:lineRule="auto"/>
    </w:pPr>
    <w:rPr>
      <w:rFonts w:eastAsia="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85D78"/>
    <w:pPr>
      <w:spacing w:after="0" w:line="240" w:lineRule="auto"/>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5D78"/>
    <w:pPr>
      <w:spacing w:after="0" w:line="240" w:lineRule="auto"/>
    </w:pPr>
    <w:rPr>
      <w:rFonts w:ascii="Arial" w:eastAsiaTheme="minorEastAsia" w:hAnsi="Arial"/>
      <w:lang w:val="en-GB" w:eastAsia="en-GB"/>
    </w:rPr>
  </w:style>
  <w:style w:type="character" w:customStyle="1" w:styleId="Mention">
    <w:name w:val="Mention"/>
    <w:basedOn w:val="DefaultParagraphFont"/>
    <w:uiPriority w:val="99"/>
    <w:semiHidden/>
    <w:unhideWhenUsed/>
    <w:rsid w:val="00885D7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45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7435</Words>
  <Characters>42382</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Whittington, Richard;Alina Haines</dc:creator>
  <cp:keywords/>
  <dc:description/>
  <cp:lastModifiedBy>Haines, Alina</cp:lastModifiedBy>
  <cp:revision>2</cp:revision>
  <dcterms:created xsi:type="dcterms:W3CDTF">2018-01-02T10:17:00Z</dcterms:created>
  <dcterms:modified xsi:type="dcterms:W3CDTF">2018-01-02T10:17:00Z</dcterms:modified>
</cp:coreProperties>
</file>