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FACB1" w14:textId="77777777" w:rsidR="00BC3676" w:rsidRDefault="00632C84" w:rsidP="00F16791">
      <w:pPr>
        <w:spacing w:after="360" w:line="360" w:lineRule="auto"/>
        <w:rPr>
          <w:b/>
        </w:rPr>
      </w:pPr>
      <w:bookmarkStart w:id="0" w:name="_GoBack"/>
      <w:bookmarkEnd w:id="0"/>
      <w:r w:rsidRPr="00A4248E">
        <w:rPr>
          <w:b/>
        </w:rPr>
        <w:t xml:space="preserve">Exome sequencing of synchronously resected primary colorectal tumours and </w:t>
      </w:r>
      <w:r w:rsidR="00CD3A41" w:rsidRPr="00A4248E">
        <w:rPr>
          <w:b/>
        </w:rPr>
        <w:t xml:space="preserve">colorectal </w:t>
      </w:r>
      <w:r w:rsidRPr="00A4248E">
        <w:rPr>
          <w:b/>
        </w:rPr>
        <w:t>liver metastases</w:t>
      </w:r>
      <w:r w:rsidR="00CD3A41" w:rsidRPr="00A4248E">
        <w:rPr>
          <w:b/>
        </w:rPr>
        <w:t xml:space="preserve"> to inform oncosurgical management</w:t>
      </w:r>
    </w:p>
    <w:p w14:paraId="5F967BFB" w14:textId="77777777" w:rsidR="007E71E5" w:rsidRDefault="007E71E5" w:rsidP="00F16791">
      <w:pPr>
        <w:spacing w:after="360" w:line="360" w:lineRule="auto"/>
        <w:rPr>
          <w:b/>
        </w:rPr>
      </w:pPr>
    </w:p>
    <w:p w14:paraId="6E70B4CD" w14:textId="6DC17B9C" w:rsidR="00CA56B9" w:rsidRPr="00CA56B9" w:rsidRDefault="00F84C55" w:rsidP="00F16791">
      <w:pPr>
        <w:spacing w:after="360" w:line="360" w:lineRule="auto"/>
        <w:rPr>
          <w:vertAlign w:val="superscript"/>
        </w:rPr>
      </w:pPr>
      <w:r>
        <w:t>*</w:t>
      </w:r>
      <w:r w:rsidR="00CA56B9" w:rsidRPr="00CA56B9">
        <w:t>P A Sutton</w:t>
      </w:r>
      <w:r w:rsidR="00CA56B9" w:rsidRPr="00CA56B9">
        <w:rPr>
          <w:vertAlign w:val="superscript"/>
        </w:rPr>
        <w:t>1</w:t>
      </w:r>
      <w:r w:rsidR="00CA56B9" w:rsidRPr="00CA56B9">
        <w:t>, P V Jithesh</w:t>
      </w:r>
      <w:r w:rsidR="00EC621C">
        <w:rPr>
          <w:vertAlign w:val="superscript"/>
        </w:rPr>
        <w:t>2</w:t>
      </w:r>
      <w:r w:rsidR="00CA56B9" w:rsidRPr="00CA56B9">
        <w:t>, R P Jones</w:t>
      </w:r>
      <w:r w:rsidR="00CA56B9" w:rsidRPr="00CA56B9">
        <w:rPr>
          <w:vertAlign w:val="superscript"/>
        </w:rPr>
        <w:t>1</w:t>
      </w:r>
      <w:r w:rsidR="00CA56B9" w:rsidRPr="00CA56B9">
        <w:t>, J P Evans</w:t>
      </w:r>
      <w:r w:rsidR="00CA56B9" w:rsidRPr="00CA56B9">
        <w:rPr>
          <w:vertAlign w:val="superscript"/>
        </w:rPr>
        <w:t>1</w:t>
      </w:r>
      <w:r w:rsidR="00CA56B9" w:rsidRPr="00CA56B9">
        <w:t>, D Vimalachandran</w:t>
      </w:r>
      <w:r w:rsidR="00EC621C">
        <w:rPr>
          <w:vertAlign w:val="superscript"/>
        </w:rPr>
        <w:t>3</w:t>
      </w:r>
      <w:r w:rsidR="00CA56B9" w:rsidRPr="00CA56B9">
        <w:t xml:space="preserve">, H </w:t>
      </w:r>
      <w:r w:rsidR="00AB3CF1">
        <w:t xml:space="preserve">Z </w:t>
      </w:r>
      <w:r w:rsidR="00CA56B9" w:rsidRPr="00CA56B9">
        <w:t>Malik</w:t>
      </w:r>
      <w:r w:rsidR="00EC621C">
        <w:rPr>
          <w:vertAlign w:val="superscript"/>
        </w:rPr>
        <w:t>4</w:t>
      </w:r>
      <w:r w:rsidR="00CA56B9" w:rsidRPr="00CA56B9">
        <w:t xml:space="preserve">, </w:t>
      </w:r>
      <w:r w:rsidR="00AB3CF1">
        <w:t>B K Park</w:t>
      </w:r>
      <w:r w:rsidR="00AB3CF1" w:rsidRPr="00AB3CF1">
        <w:rPr>
          <w:vertAlign w:val="superscript"/>
        </w:rPr>
        <w:t>1</w:t>
      </w:r>
      <w:r w:rsidR="00AB3CF1">
        <w:t xml:space="preserve">, </w:t>
      </w:r>
      <w:r w:rsidR="00CA56B9" w:rsidRPr="00CA56B9">
        <w:t xml:space="preserve">C </w:t>
      </w:r>
      <w:r w:rsidR="00AB3CF1">
        <w:t xml:space="preserve">E </w:t>
      </w:r>
      <w:r w:rsidR="00CA56B9" w:rsidRPr="00CA56B9">
        <w:t>Goldring</w:t>
      </w:r>
      <w:r w:rsidR="00CA56B9" w:rsidRPr="00CA56B9">
        <w:rPr>
          <w:vertAlign w:val="superscript"/>
        </w:rPr>
        <w:t>1</w:t>
      </w:r>
      <w:r w:rsidR="00CA56B9" w:rsidRPr="00CA56B9">
        <w:t>, D</w:t>
      </w:r>
      <w:r w:rsidR="00AB3CF1">
        <w:t xml:space="preserve"> H</w:t>
      </w:r>
      <w:r w:rsidR="00CA56B9" w:rsidRPr="00CA56B9">
        <w:t xml:space="preserve"> Palmer</w:t>
      </w:r>
      <w:r w:rsidR="00CA56B9" w:rsidRPr="00CA56B9">
        <w:rPr>
          <w:vertAlign w:val="superscript"/>
        </w:rPr>
        <w:t>1</w:t>
      </w:r>
      <w:r w:rsidR="00CA56B9" w:rsidRPr="00CA56B9">
        <w:t>, N</w:t>
      </w:r>
      <w:r w:rsidR="00AB3CF1">
        <w:t xml:space="preserve"> R</w:t>
      </w:r>
      <w:r w:rsidR="00CA56B9" w:rsidRPr="00CA56B9">
        <w:t xml:space="preserve"> Kitteringham</w:t>
      </w:r>
      <w:r w:rsidR="00CA56B9" w:rsidRPr="00CA56B9">
        <w:rPr>
          <w:vertAlign w:val="superscript"/>
        </w:rPr>
        <w:t>1</w:t>
      </w:r>
    </w:p>
    <w:p w14:paraId="74D506A5" w14:textId="73400480" w:rsidR="00CA56B9" w:rsidRDefault="00CA56B9" w:rsidP="00CA56B9">
      <w:pPr>
        <w:pStyle w:val="ListParagraph"/>
        <w:numPr>
          <w:ilvl w:val="0"/>
          <w:numId w:val="10"/>
        </w:numPr>
        <w:spacing w:after="360" w:line="360" w:lineRule="auto"/>
        <w:ind w:left="709" w:hanging="709"/>
      </w:pPr>
      <w:r w:rsidRPr="00CA56B9">
        <w:t>Institute of Translational Medicine, University of Liverpool</w:t>
      </w:r>
      <w:r w:rsidR="002502D5">
        <w:t>, Liverpool</w:t>
      </w:r>
      <w:r w:rsidR="00B955D5">
        <w:t xml:space="preserve"> L69 3GE</w:t>
      </w:r>
    </w:p>
    <w:p w14:paraId="16A61E5B" w14:textId="7DE7479F" w:rsidR="00EC621C" w:rsidRPr="00CA56B9" w:rsidRDefault="00EC621C" w:rsidP="00CA56B9">
      <w:pPr>
        <w:pStyle w:val="ListParagraph"/>
        <w:numPr>
          <w:ilvl w:val="0"/>
          <w:numId w:val="10"/>
        </w:numPr>
        <w:spacing w:after="360" w:line="360" w:lineRule="auto"/>
        <w:ind w:left="709" w:hanging="709"/>
      </w:pPr>
      <w:r>
        <w:t>Sidra Medical and Research Centre, Doha, Qatar</w:t>
      </w:r>
    </w:p>
    <w:p w14:paraId="2B6CD09E" w14:textId="520B0030" w:rsidR="00CA56B9" w:rsidRPr="00CA56B9" w:rsidRDefault="00CA56B9" w:rsidP="00CA56B9">
      <w:pPr>
        <w:pStyle w:val="ListParagraph"/>
        <w:numPr>
          <w:ilvl w:val="0"/>
          <w:numId w:val="10"/>
        </w:numPr>
        <w:spacing w:after="360" w:line="360" w:lineRule="auto"/>
        <w:ind w:left="709" w:hanging="709"/>
      </w:pPr>
      <w:r w:rsidRPr="00CA56B9">
        <w:t>Countess of Chester NHS Foundation Trust</w:t>
      </w:r>
      <w:r w:rsidR="00B955D5">
        <w:t xml:space="preserve">, Liverpool Road, Chester </w:t>
      </w:r>
      <w:r w:rsidR="002502D5">
        <w:t xml:space="preserve"> </w:t>
      </w:r>
      <w:r w:rsidR="00B955D5">
        <w:t>CH2 1UL</w:t>
      </w:r>
    </w:p>
    <w:p w14:paraId="088C0DCD" w14:textId="34CCAEAC" w:rsidR="00CA56B9" w:rsidRPr="00CA56B9" w:rsidRDefault="00CA56B9" w:rsidP="00CA56B9">
      <w:pPr>
        <w:pStyle w:val="ListParagraph"/>
        <w:numPr>
          <w:ilvl w:val="0"/>
          <w:numId w:val="10"/>
        </w:numPr>
        <w:spacing w:after="360" w:line="360" w:lineRule="auto"/>
        <w:ind w:left="709" w:hanging="709"/>
      </w:pPr>
      <w:r w:rsidRPr="00CA56B9">
        <w:t>Aintree University Hospital NHS Foundation Trust</w:t>
      </w:r>
      <w:r w:rsidR="00B955D5">
        <w:t>, Longmoor Lane, Liverpool L9 7AL</w:t>
      </w:r>
    </w:p>
    <w:p w14:paraId="7FFA2120" w14:textId="673B61D9" w:rsidR="00CA56B9" w:rsidRDefault="00F801AC" w:rsidP="00CA56B9">
      <w:pPr>
        <w:spacing w:after="360" w:line="360" w:lineRule="auto"/>
      </w:pPr>
      <w:r>
        <w:t>P A Sutton and P V Jithesh contributed</w:t>
      </w:r>
      <w:r w:rsidR="00CA56B9" w:rsidRPr="00CA56B9">
        <w:t xml:space="preserve"> equally to the manuscript (joint first authors)</w:t>
      </w:r>
    </w:p>
    <w:p w14:paraId="39D5B68C" w14:textId="2FDDF86E" w:rsidR="00CA56B9" w:rsidRDefault="00F801AC" w:rsidP="00CA56B9">
      <w:pPr>
        <w:spacing w:after="360" w:line="360" w:lineRule="auto"/>
      </w:pPr>
      <w:r>
        <w:t>*</w:t>
      </w:r>
      <w:r w:rsidR="00CA56B9">
        <w:t>Correspondence to:</w:t>
      </w:r>
    </w:p>
    <w:p w14:paraId="56C8DE51" w14:textId="1B4363C3" w:rsidR="00CA56B9" w:rsidRDefault="00E71DCF" w:rsidP="00CA56B9">
      <w:pPr>
        <w:spacing w:after="0" w:line="360" w:lineRule="auto"/>
      </w:pPr>
      <w:r>
        <w:t>Mr Paul Sutton</w:t>
      </w:r>
    </w:p>
    <w:p w14:paraId="7305B1DF" w14:textId="09A6B4F9" w:rsidR="00CA56B9" w:rsidRDefault="00E71DCF" w:rsidP="00CA56B9">
      <w:pPr>
        <w:spacing w:after="0" w:line="360" w:lineRule="auto"/>
      </w:pPr>
      <w:r>
        <w:t>Institute of Translational Medicine</w:t>
      </w:r>
    </w:p>
    <w:p w14:paraId="3B355FBD" w14:textId="5B7969BB" w:rsidR="00E71DCF" w:rsidRDefault="00E71DCF" w:rsidP="00CA56B9">
      <w:pPr>
        <w:spacing w:after="0" w:line="360" w:lineRule="auto"/>
      </w:pPr>
      <w:r>
        <w:t>University of Liverpool</w:t>
      </w:r>
    </w:p>
    <w:p w14:paraId="3C85C028" w14:textId="77777777" w:rsidR="00CA56B9" w:rsidRDefault="00CA56B9" w:rsidP="00CA56B9">
      <w:pPr>
        <w:spacing w:after="0" w:line="360" w:lineRule="auto"/>
      </w:pPr>
      <w:r>
        <w:t>Sherrington Building</w:t>
      </w:r>
    </w:p>
    <w:p w14:paraId="72299A04" w14:textId="77777777" w:rsidR="00CA56B9" w:rsidRDefault="00CA56B9" w:rsidP="00CA56B9">
      <w:pPr>
        <w:spacing w:after="0" w:line="360" w:lineRule="auto"/>
      </w:pPr>
      <w:r>
        <w:t>Ashton Street</w:t>
      </w:r>
    </w:p>
    <w:p w14:paraId="41068357" w14:textId="77777777" w:rsidR="00CA56B9" w:rsidRDefault="00CA56B9" w:rsidP="00CA56B9">
      <w:pPr>
        <w:spacing w:after="0" w:line="360" w:lineRule="auto"/>
      </w:pPr>
      <w:r>
        <w:t>Liverpool</w:t>
      </w:r>
    </w:p>
    <w:p w14:paraId="31E96C0F" w14:textId="77777777" w:rsidR="00CA56B9" w:rsidRPr="00CA56B9" w:rsidRDefault="00CA56B9" w:rsidP="00CA56B9">
      <w:pPr>
        <w:spacing w:after="0" w:line="360" w:lineRule="auto"/>
      </w:pPr>
      <w:r>
        <w:t>L69 3GE</w:t>
      </w:r>
    </w:p>
    <w:p w14:paraId="62E351EA" w14:textId="77777777" w:rsidR="00CA56B9" w:rsidRDefault="00CA56B9" w:rsidP="00CA56B9">
      <w:pPr>
        <w:spacing w:after="360" w:line="360" w:lineRule="auto"/>
        <w:rPr>
          <w:b/>
        </w:rPr>
      </w:pPr>
    </w:p>
    <w:p w14:paraId="45CA6F60" w14:textId="77777777" w:rsidR="00CA56B9" w:rsidRDefault="00CA56B9" w:rsidP="00CA56B9">
      <w:pPr>
        <w:spacing w:after="0" w:line="360" w:lineRule="auto"/>
      </w:pPr>
      <w:r w:rsidRPr="00CA56B9">
        <w:t>Tel: 0151 7942000</w:t>
      </w:r>
    </w:p>
    <w:p w14:paraId="021F88E6" w14:textId="77777777" w:rsidR="00CA56B9" w:rsidRPr="00CA56B9" w:rsidRDefault="00CA56B9" w:rsidP="00CA56B9">
      <w:pPr>
        <w:spacing w:after="0" w:line="360" w:lineRule="auto"/>
      </w:pPr>
    </w:p>
    <w:p w14:paraId="0ED39CED" w14:textId="56CD87E7" w:rsidR="00CA56B9" w:rsidRDefault="00CA56B9" w:rsidP="00CA56B9">
      <w:pPr>
        <w:spacing w:after="0" w:line="360" w:lineRule="auto"/>
      </w:pPr>
      <w:r w:rsidRPr="00CA56B9">
        <w:t xml:space="preserve">Email: </w:t>
      </w:r>
      <w:r w:rsidR="00E71DCF">
        <w:t>paulsutton01@doctors.org.uk</w:t>
      </w:r>
    </w:p>
    <w:p w14:paraId="6737DA82" w14:textId="77777777" w:rsidR="00CA56B9" w:rsidRDefault="00CA56B9" w:rsidP="00CA56B9">
      <w:pPr>
        <w:spacing w:after="0" w:line="360" w:lineRule="auto"/>
      </w:pPr>
    </w:p>
    <w:p w14:paraId="64C696B9" w14:textId="2B555C23" w:rsidR="00CA56B9" w:rsidRDefault="00CA56B9" w:rsidP="00CA56B9">
      <w:pPr>
        <w:spacing w:after="0" w:line="360" w:lineRule="auto"/>
      </w:pPr>
    </w:p>
    <w:p w14:paraId="31912DD2" w14:textId="77777777" w:rsidR="00CA56B9" w:rsidRDefault="00CA56B9" w:rsidP="00CA56B9">
      <w:pPr>
        <w:spacing w:after="0" w:line="360" w:lineRule="auto"/>
      </w:pPr>
    </w:p>
    <w:p w14:paraId="2997995F" w14:textId="1FE46783" w:rsidR="00CA56B9" w:rsidRDefault="00CA56B9" w:rsidP="00CA56B9">
      <w:pPr>
        <w:spacing w:after="0" w:line="360" w:lineRule="auto"/>
      </w:pPr>
      <w:r>
        <w:t>Word Count:</w:t>
      </w:r>
      <w:r w:rsidR="00AF24C4">
        <w:t xml:space="preserve"> </w:t>
      </w:r>
      <w:r w:rsidR="006B3FFC">
        <w:t>31</w:t>
      </w:r>
      <w:r w:rsidR="008E5C9D">
        <w:t>26</w:t>
      </w:r>
    </w:p>
    <w:p w14:paraId="37E1C7E7" w14:textId="77777777" w:rsidR="00AF24C4" w:rsidRDefault="00AF24C4" w:rsidP="00CA56B9">
      <w:pPr>
        <w:spacing w:after="0" w:line="360" w:lineRule="auto"/>
      </w:pPr>
    </w:p>
    <w:p w14:paraId="7ECF7273" w14:textId="77777777" w:rsidR="008A0081" w:rsidRDefault="008A0081">
      <w:pPr>
        <w:rPr>
          <w:rFonts w:cs="Times New Roman"/>
        </w:rPr>
      </w:pPr>
      <w:r>
        <w:rPr>
          <w:rFonts w:cs="Times New Roman"/>
        </w:rPr>
        <w:br w:type="page"/>
      </w:r>
    </w:p>
    <w:p w14:paraId="412223CE" w14:textId="55C46419" w:rsidR="00E71DCF" w:rsidRDefault="00E71DCF" w:rsidP="0088797E">
      <w:pPr>
        <w:spacing w:after="360" w:line="480" w:lineRule="auto"/>
        <w:rPr>
          <w:rFonts w:cs="Times New Roman"/>
        </w:rPr>
      </w:pPr>
      <w:r>
        <w:rPr>
          <w:rFonts w:cs="Times New Roman"/>
        </w:rPr>
        <w:lastRenderedPageBreak/>
        <w:t>Abstract</w:t>
      </w:r>
    </w:p>
    <w:p w14:paraId="67F5B5EE" w14:textId="77777777" w:rsidR="00E71DCF" w:rsidRPr="006011CA" w:rsidRDefault="00E71DCF" w:rsidP="00E71DCF">
      <w:pPr>
        <w:spacing w:line="480" w:lineRule="auto"/>
        <w:rPr>
          <w:rFonts w:cs="Times New Roman"/>
          <w:i/>
        </w:rPr>
      </w:pPr>
      <w:r w:rsidRPr="006011CA">
        <w:rPr>
          <w:rFonts w:cs="Times New Roman"/>
          <w:i/>
        </w:rPr>
        <w:t>Background</w:t>
      </w:r>
    </w:p>
    <w:p w14:paraId="585162AC" w14:textId="659D08D4" w:rsidR="00E71DCF" w:rsidRPr="00A4248E" w:rsidRDefault="00E71DCF" w:rsidP="00E71DCF">
      <w:pPr>
        <w:spacing w:after="360" w:line="480" w:lineRule="auto"/>
        <w:rPr>
          <w:rFonts w:cs="Times New Roman"/>
        </w:rPr>
      </w:pPr>
      <w:r>
        <w:rPr>
          <w:rFonts w:cs="Times New Roman"/>
        </w:rPr>
        <w:t>Next generation sequencing technology has facilitated mapping of the colorectal cancer genotype and furthered our understanding of metastogenesis. The aim of this study was</w:t>
      </w:r>
      <w:r w:rsidRPr="00A4248E">
        <w:rPr>
          <w:rFonts w:cs="Times New Roman"/>
        </w:rPr>
        <w:t xml:space="preserve"> to </w:t>
      </w:r>
      <w:r w:rsidR="008322DB">
        <w:rPr>
          <w:rFonts w:cs="Times New Roman"/>
        </w:rPr>
        <w:t xml:space="preserve">investigate for conserved and different mutations in the </w:t>
      </w:r>
      <w:r w:rsidRPr="00A4248E">
        <w:rPr>
          <w:rFonts w:cs="Times New Roman"/>
        </w:rPr>
        <w:t>exome</w:t>
      </w:r>
      <w:r>
        <w:rPr>
          <w:rFonts w:cs="Times New Roman"/>
        </w:rPr>
        <w:t>s</w:t>
      </w:r>
      <w:r w:rsidRPr="00A4248E">
        <w:rPr>
          <w:rFonts w:cs="Times New Roman"/>
        </w:rPr>
        <w:t xml:space="preserve"> of synchronously resected </w:t>
      </w:r>
      <w:r>
        <w:rPr>
          <w:rFonts w:cs="Times New Roman"/>
        </w:rPr>
        <w:t xml:space="preserve">primary </w:t>
      </w:r>
      <w:r w:rsidRPr="00A4248E">
        <w:rPr>
          <w:rFonts w:cs="Times New Roman"/>
        </w:rPr>
        <w:t xml:space="preserve">colorectal </w:t>
      </w:r>
      <w:r>
        <w:rPr>
          <w:rFonts w:cs="Times New Roman"/>
        </w:rPr>
        <w:t>tumour and liver metastases</w:t>
      </w:r>
      <w:r w:rsidR="008322DB">
        <w:rPr>
          <w:rFonts w:cs="Times New Roman"/>
        </w:rPr>
        <w:t xml:space="preserve">. </w:t>
      </w:r>
      <w:r>
        <w:rPr>
          <w:rFonts w:cs="Times New Roman"/>
        </w:rPr>
        <w:t xml:space="preserve"> </w:t>
      </w:r>
      <w:r w:rsidR="008322DB">
        <w:rPr>
          <w:rFonts w:cs="Times New Roman"/>
        </w:rPr>
        <w:t>This information could potentially be utilised to guide the</w:t>
      </w:r>
      <w:r>
        <w:rPr>
          <w:rFonts w:cs="Times New Roman"/>
        </w:rPr>
        <w:t xml:space="preserve"> treatment of advanced disease with the help of biological information from the primary tumour.</w:t>
      </w:r>
    </w:p>
    <w:p w14:paraId="454339F3" w14:textId="77777777" w:rsidR="00E71DCF" w:rsidRPr="006011CA" w:rsidRDefault="00E71DCF" w:rsidP="00E71DCF">
      <w:pPr>
        <w:spacing w:line="480" w:lineRule="auto"/>
        <w:rPr>
          <w:rFonts w:cs="Times New Roman"/>
          <w:i/>
        </w:rPr>
      </w:pPr>
      <w:r w:rsidRPr="006011CA">
        <w:rPr>
          <w:rFonts w:cs="Times New Roman"/>
          <w:i/>
        </w:rPr>
        <w:t>Methods</w:t>
      </w:r>
    </w:p>
    <w:p w14:paraId="3F12F479" w14:textId="77777777" w:rsidR="00E71DCF" w:rsidRDefault="00E71DCF" w:rsidP="00E71DCF">
      <w:pPr>
        <w:spacing w:line="480" w:lineRule="auto"/>
        <w:rPr>
          <w:rFonts w:cs="Times New Roman"/>
        </w:rPr>
      </w:pPr>
      <w:r>
        <w:rPr>
          <w:rFonts w:cs="Times New Roman"/>
        </w:rPr>
        <w:t>We performed exome sequencing of synchronously resected primary colorectal cancer and colorectal liver metastases as well as normal colonic mucosa and liver parenchyma, from four patients who had received neo-adjuvant chemotherapy, at a depth of 50X using the Ion Proton platform. Raw data was mapped to the reference genome prior to variant calling, annotation and downstream analysis.</w:t>
      </w:r>
    </w:p>
    <w:p w14:paraId="55398D96" w14:textId="77777777" w:rsidR="00E71DCF" w:rsidRPr="006011CA" w:rsidRDefault="00E71DCF" w:rsidP="00E71DCF">
      <w:pPr>
        <w:spacing w:line="480" w:lineRule="auto"/>
        <w:rPr>
          <w:rFonts w:cs="Times New Roman"/>
          <w:i/>
        </w:rPr>
      </w:pPr>
      <w:r w:rsidRPr="006011CA">
        <w:rPr>
          <w:rFonts w:cs="Times New Roman"/>
          <w:i/>
        </w:rPr>
        <w:t>Results</w:t>
      </w:r>
    </w:p>
    <w:p w14:paraId="1BF9A636" w14:textId="0079289B" w:rsidR="00E71DCF" w:rsidRDefault="00E71DCF" w:rsidP="00E71DCF">
      <w:pPr>
        <w:spacing w:line="480" w:lineRule="auto"/>
        <w:rPr>
          <w:rFonts w:cs="Times New Roman"/>
        </w:rPr>
      </w:pPr>
      <w:r>
        <w:rPr>
          <w:rFonts w:cs="Times New Roman"/>
        </w:rPr>
        <w:t xml:space="preserve">Exome sequencing identified 585 non-synonymous missense </w:t>
      </w:r>
      <w:r w:rsidR="00F84C55">
        <w:rPr>
          <w:rFonts w:cs="Times New Roman"/>
        </w:rPr>
        <w:t>single nucleotide variants (</w:t>
      </w:r>
      <w:r>
        <w:rPr>
          <w:rFonts w:cs="Times New Roman"/>
        </w:rPr>
        <w:t>SNVs</w:t>
      </w:r>
      <w:r w:rsidR="00F84C55">
        <w:rPr>
          <w:rFonts w:cs="Times New Roman"/>
        </w:rPr>
        <w:t>)</w:t>
      </w:r>
      <w:r>
        <w:rPr>
          <w:rFonts w:cs="Times New Roman"/>
        </w:rPr>
        <w:t xml:space="preserve">, of which 215 (36.8%) were unique to the primary tumour, 226 (38.6%) unique to the metastasis and 81 (13.8%) present in patient matched pairs. </w:t>
      </w:r>
      <w:r w:rsidRPr="00A4248E">
        <w:rPr>
          <w:rFonts w:cs="Times New Roman"/>
        </w:rPr>
        <w:t>SNVs identified in the ErbB pathway appear to be concordant between primary and metastatic tumours</w:t>
      </w:r>
      <w:r>
        <w:rPr>
          <w:rFonts w:cs="Times New Roman"/>
        </w:rPr>
        <w:t>.</w:t>
      </w:r>
    </w:p>
    <w:p w14:paraId="536A1C9D" w14:textId="77777777" w:rsidR="00E71DCF" w:rsidRDefault="00E71DCF" w:rsidP="00E71DCF">
      <w:pPr>
        <w:spacing w:line="480" w:lineRule="auto"/>
        <w:rPr>
          <w:rFonts w:cs="Times New Roman"/>
          <w:i/>
        </w:rPr>
      </w:pPr>
      <w:r w:rsidRPr="006011CA">
        <w:rPr>
          <w:rFonts w:cs="Times New Roman"/>
          <w:i/>
        </w:rPr>
        <w:t>Conclusion</w:t>
      </w:r>
    </w:p>
    <w:p w14:paraId="28D89950" w14:textId="09E134C6" w:rsidR="00E71DCF" w:rsidRDefault="00E71DCF" w:rsidP="00E71DCF">
      <w:pPr>
        <w:spacing w:line="480" w:lineRule="auto"/>
        <w:rPr>
          <w:rFonts w:cs="Times New Roman"/>
        </w:rPr>
      </w:pPr>
      <w:r>
        <w:rPr>
          <w:rFonts w:cs="Times New Roman"/>
        </w:rPr>
        <w:lastRenderedPageBreak/>
        <w:t>O</w:t>
      </w:r>
      <w:r w:rsidRPr="00A4248E">
        <w:rPr>
          <w:rFonts w:cs="Times New Roman"/>
        </w:rPr>
        <w:t xml:space="preserve">nly 13.8% of the metastatic </w:t>
      </w:r>
      <w:r>
        <w:rPr>
          <w:rFonts w:cs="Times New Roman"/>
        </w:rPr>
        <w:t>exome</w:t>
      </w:r>
      <w:r w:rsidRPr="00A4248E">
        <w:rPr>
          <w:rFonts w:cs="Times New Roman"/>
        </w:rPr>
        <w:t xml:space="preserve"> can be predicted by the</w:t>
      </w:r>
      <w:r w:rsidR="00AF113D">
        <w:rPr>
          <w:rFonts w:cs="Times New Roman"/>
        </w:rPr>
        <w:t xml:space="preserve"> genotype of the primary tumour</w:t>
      </w:r>
      <w:r w:rsidR="008322DB">
        <w:rPr>
          <w:rFonts w:cs="Times New Roman"/>
        </w:rPr>
        <w:t>. We have demonstrated</w:t>
      </w:r>
      <w:r w:rsidR="00AF113D">
        <w:rPr>
          <w:rFonts w:cs="Times New Roman"/>
        </w:rPr>
        <w:t xml:space="preserve"> c</w:t>
      </w:r>
      <w:r>
        <w:rPr>
          <w:rFonts w:cs="Times New Roman"/>
        </w:rPr>
        <w:t>oncordance of</w:t>
      </w:r>
      <w:r w:rsidR="008322DB">
        <w:rPr>
          <w:rFonts w:cs="Times New Roman"/>
        </w:rPr>
        <w:t xml:space="preserve"> a number of SNVs in the ErbB pathway, which </w:t>
      </w:r>
      <w:r>
        <w:rPr>
          <w:rFonts w:cs="Times New Roman"/>
        </w:rPr>
        <w:t>may inform selection of therapeutic agents in advanced colorectal cancer.</w:t>
      </w:r>
    </w:p>
    <w:p w14:paraId="187E6995" w14:textId="77777777" w:rsidR="00E71DCF" w:rsidRDefault="00E71DCF" w:rsidP="00E71DCF">
      <w:pPr>
        <w:rPr>
          <w:rFonts w:cs="Times New Roman"/>
        </w:rPr>
      </w:pPr>
    </w:p>
    <w:p w14:paraId="44A53299" w14:textId="77777777" w:rsidR="00E71DCF" w:rsidRDefault="00E71DCF" w:rsidP="00E71DCF">
      <w:pPr>
        <w:rPr>
          <w:rFonts w:cs="Times New Roman"/>
        </w:rPr>
      </w:pPr>
    </w:p>
    <w:p w14:paraId="1092FDA3" w14:textId="77777777" w:rsidR="00E71DCF" w:rsidRDefault="00E71DCF" w:rsidP="00E71DCF">
      <w:pPr>
        <w:rPr>
          <w:rFonts w:cs="Times New Roman"/>
        </w:rPr>
      </w:pPr>
    </w:p>
    <w:p w14:paraId="721918D3" w14:textId="77777777" w:rsidR="00E71DCF" w:rsidRDefault="00E71DCF" w:rsidP="00E71DCF">
      <w:pPr>
        <w:spacing w:after="0" w:line="360" w:lineRule="auto"/>
      </w:pPr>
      <w:r>
        <w:t>Key Words: colorectal cancer, exome, next generation sequencing, stage IV, synchronous resection</w:t>
      </w:r>
    </w:p>
    <w:p w14:paraId="5AE4B97F" w14:textId="77777777" w:rsidR="00B955D5" w:rsidRDefault="00B955D5">
      <w:pPr>
        <w:rPr>
          <w:rFonts w:cs="Times New Roman"/>
        </w:rPr>
      </w:pPr>
    </w:p>
    <w:p w14:paraId="13AD13FB" w14:textId="77777777" w:rsidR="00B955D5" w:rsidRDefault="00B955D5">
      <w:pPr>
        <w:rPr>
          <w:rFonts w:cs="Times New Roman"/>
        </w:rPr>
      </w:pPr>
    </w:p>
    <w:p w14:paraId="71E44BAA" w14:textId="77777777" w:rsidR="00B955D5" w:rsidRDefault="00B955D5">
      <w:pPr>
        <w:rPr>
          <w:rFonts w:cs="Times New Roman"/>
        </w:rPr>
      </w:pPr>
    </w:p>
    <w:p w14:paraId="2BEEEC4F" w14:textId="77777777" w:rsidR="006011CA" w:rsidRDefault="006011CA" w:rsidP="00B955D5">
      <w:pPr>
        <w:spacing w:after="0" w:line="360" w:lineRule="auto"/>
      </w:pPr>
    </w:p>
    <w:p w14:paraId="462D07CB" w14:textId="77777777" w:rsidR="00B955D5" w:rsidRDefault="00B955D5" w:rsidP="00B955D5">
      <w:pPr>
        <w:spacing w:after="0" w:line="360" w:lineRule="auto"/>
      </w:pPr>
    </w:p>
    <w:p w14:paraId="40EACA0E" w14:textId="77777777" w:rsidR="00B955D5" w:rsidRPr="00CA56B9" w:rsidRDefault="00B955D5" w:rsidP="00B955D5">
      <w:pPr>
        <w:spacing w:after="0" w:line="360" w:lineRule="auto"/>
      </w:pPr>
    </w:p>
    <w:p w14:paraId="67B1C815" w14:textId="3468085C" w:rsidR="00B955D5" w:rsidRDefault="00B955D5">
      <w:pPr>
        <w:rPr>
          <w:rFonts w:cs="Times New Roman"/>
        </w:rPr>
      </w:pPr>
    </w:p>
    <w:p w14:paraId="5241C9E2" w14:textId="77777777" w:rsidR="00B955D5" w:rsidRDefault="00B955D5">
      <w:pPr>
        <w:rPr>
          <w:rFonts w:cs="Times New Roman"/>
        </w:rPr>
      </w:pPr>
      <w:r>
        <w:rPr>
          <w:rFonts w:cs="Times New Roman"/>
        </w:rPr>
        <w:br w:type="page"/>
      </w:r>
    </w:p>
    <w:p w14:paraId="7E497E17" w14:textId="161582A6" w:rsidR="00B0508C" w:rsidRPr="00A4248E" w:rsidRDefault="00CD3A41" w:rsidP="001A69AC">
      <w:pPr>
        <w:suppressLineNumbers/>
        <w:spacing w:after="360" w:line="480" w:lineRule="auto"/>
        <w:rPr>
          <w:rFonts w:cs="Times New Roman"/>
        </w:rPr>
      </w:pPr>
      <w:r w:rsidRPr="00A4248E">
        <w:rPr>
          <w:rFonts w:cs="Times New Roman"/>
        </w:rPr>
        <w:lastRenderedPageBreak/>
        <w:t>Introduction</w:t>
      </w:r>
    </w:p>
    <w:p w14:paraId="64772F44" w14:textId="732EE4F2" w:rsidR="00483B7F" w:rsidRPr="00A4248E" w:rsidRDefault="00EA6226" w:rsidP="001A69AC">
      <w:pPr>
        <w:suppressLineNumbers/>
        <w:spacing w:after="360" w:line="480" w:lineRule="auto"/>
        <w:rPr>
          <w:rFonts w:cs="Times New Roman"/>
        </w:rPr>
      </w:pPr>
      <w:r w:rsidRPr="00A4248E">
        <w:rPr>
          <w:rFonts w:cs="Times New Roman"/>
        </w:rPr>
        <w:t>Colorectal cancer (CRC) remains the fourth commonest cancer worldwide and the s</w:t>
      </w:r>
      <w:r w:rsidR="00955C4A">
        <w:rPr>
          <w:rFonts w:cs="Times New Roman"/>
        </w:rPr>
        <w:t>econd commonest cause of cancer-</w:t>
      </w:r>
      <w:r w:rsidRPr="00A4248E">
        <w:rPr>
          <w:rFonts w:cs="Times New Roman"/>
        </w:rPr>
        <w:t xml:space="preserve">related death. Like most solid tumours, CRC is a highly complex disorder arising </w:t>
      </w:r>
      <w:r w:rsidR="00AE6AF4" w:rsidRPr="00A4248E">
        <w:rPr>
          <w:rFonts w:cs="Times New Roman"/>
        </w:rPr>
        <w:t>from</w:t>
      </w:r>
      <w:r w:rsidRPr="00A4248E">
        <w:rPr>
          <w:rFonts w:cs="Times New Roman"/>
        </w:rPr>
        <w:t xml:space="preserve"> an interplay between a number of genomic alterations, such as point mutations, rearrangements, gene fusi</w:t>
      </w:r>
      <w:r w:rsidR="00C96B65">
        <w:rPr>
          <w:rFonts w:cs="Times New Roman"/>
        </w:rPr>
        <w:t>ons or copy number alterations</w:t>
      </w:r>
      <w:r w:rsidRPr="00A4248E">
        <w:rPr>
          <w:rFonts w:cs="Times New Roman"/>
        </w:rPr>
        <w:t xml:space="preserve"> and environmental factors such as diet</w:t>
      </w:r>
      <w:r w:rsidR="00955C4A">
        <w:rPr>
          <w:rFonts w:cs="Times New Roman"/>
        </w:rPr>
        <w:t xml:space="preserve">, </w:t>
      </w:r>
      <w:r w:rsidRPr="00A4248E">
        <w:rPr>
          <w:rFonts w:cs="Times New Roman"/>
        </w:rPr>
        <w:t>lifestyle</w:t>
      </w:r>
      <w:r w:rsidR="00955C4A">
        <w:rPr>
          <w:rFonts w:cs="Times New Roman"/>
        </w:rPr>
        <w:t xml:space="preserve"> and disease</w:t>
      </w:r>
      <w:r w:rsidR="00805447">
        <w:rPr>
          <w:rFonts w:cs="Times New Roman"/>
        </w:rPr>
        <w:t>.</w:t>
      </w:r>
      <w:r w:rsidR="00F84C55">
        <w:rPr>
          <w:rFonts w:cs="Times New Roman"/>
        </w:rPr>
        <w:t xml:space="preserve"> [1,2]</w:t>
      </w:r>
      <w:r w:rsidR="00805447">
        <w:rPr>
          <w:rFonts w:cs="Times New Roman"/>
        </w:rPr>
        <w:t xml:space="preserve"> </w:t>
      </w:r>
      <w:r w:rsidRPr="00A4248E">
        <w:rPr>
          <w:rFonts w:cs="Times New Roman"/>
        </w:rPr>
        <w:t>A failure to identify the disease at an early stage of carcinogenesis increases the likelihood of the development of metastases</w:t>
      </w:r>
      <w:r w:rsidR="00C42CE4" w:rsidRPr="00A4248E">
        <w:rPr>
          <w:rFonts w:cs="Times New Roman"/>
        </w:rPr>
        <w:t xml:space="preserve">, which, despite significant advances both </w:t>
      </w:r>
      <w:r w:rsidR="00955C4A">
        <w:rPr>
          <w:rFonts w:cs="Times New Roman"/>
        </w:rPr>
        <w:t xml:space="preserve">surgically </w:t>
      </w:r>
      <w:r w:rsidR="00C42CE4" w:rsidRPr="00A4248E">
        <w:rPr>
          <w:rFonts w:cs="Times New Roman"/>
        </w:rPr>
        <w:t xml:space="preserve">oncologically, is </w:t>
      </w:r>
      <w:r w:rsidR="00DA01EE" w:rsidRPr="00A4248E">
        <w:rPr>
          <w:rFonts w:cs="Times New Roman"/>
        </w:rPr>
        <w:t xml:space="preserve">still </w:t>
      </w:r>
      <w:r w:rsidR="00C42CE4" w:rsidRPr="00A4248E">
        <w:rPr>
          <w:rFonts w:cs="Times New Roman"/>
        </w:rPr>
        <w:t>associated with significantly poorer outcomes</w:t>
      </w:r>
      <w:r w:rsidR="00F84C55">
        <w:rPr>
          <w:rFonts w:cs="Times New Roman"/>
        </w:rPr>
        <w:t>. [3]</w:t>
      </w:r>
    </w:p>
    <w:p w14:paraId="719659C2" w14:textId="77777777" w:rsidR="00AF113D" w:rsidRDefault="00483B7F" w:rsidP="001A69AC">
      <w:pPr>
        <w:suppressLineNumbers/>
        <w:spacing w:after="360" w:line="480" w:lineRule="auto"/>
        <w:rPr>
          <w:rFonts w:cs="Times New Roman"/>
        </w:rPr>
      </w:pPr>
      <w:r w:rsidRPr="00A4248E">
        <w:rPr>
          <w:rFonts w:cs="Times New Roman"/>
        </w:rPr>
        <w:t xml:space="preserve">Our understanding of the development of primary colorectal cancer is improving, with sequential genetic alterations in </w:t>
      </w:r>
      <w:r w:rsidRPr="00A4248E">
        <w:rPr>
          <w:rFonts w:cs="Times New Roman"/>
          <w:i/>
        </w:rPr>
        <w:t>APC</w:t>
      </w:r>
      <w:r w:rsidRPr="00A4248E">
        <w:rPr>
          <w:rFonts w:cs="Times New Roman"/>
        </w:rPr>
        <w:t xml:space="preserve">, </w:t>
      </w:r>
      <w:r w:rsidR="00360041" w:rsidRPr="00A4248E">
        <w:rPr>
          <w:rFonts w:cs="Times New Roman"/>
          <w:i/>
        </w:rPr>
        <w:t>KRAS</w:t>
      </w:r>
      <w:r w:rsidRPr="00A4248E">
        <w:rPr>
          <w:rFonts w:cs="Times New Roman"/>
        </w:rPr>
        <w:t xml:space="preserve">, mismatch repair genes, </w:t>
      </w:r>
      <w:r w:rsidRPr="00A4248E">
        <w:rPr>
          <w:rFonts w:cs="Times New Roman"/>
          <w:i/>
        </w:rPr>
        <w:t>TP53</w:t>
      </w:r>
      <w:r w:rsidRPr="00A4248E">
        <w:rPr>
          <w:rFonts w:cs="Times New Roman"/>
        </w:rPr>
        <w:t xml:space="preserve"> and loss of 18q heterozygosity </w:t>
      </w:r>
      <w:r w:rsidR="00F252E9">
        <w:rPr>
          <w:rFonts w:cs="Times New Roman"/>
        </w:rPr>
        <w:t>known to be significant disease drivers</w:t>
      </w:r>
      <w:r w:rsidRPr="00A4248E">
        <w:rPr>
          <w:rFonts w:cs="Times New Roman"/>
        </w:rPr>
        <w:t>. However</w:t>
      </w:r>
      <w:r w:rsidR="00E14AAB">
        <w:rPr>
          <w:rFonts w:cs="Times New Roman"/>
        </w:rPr>
        <w:t>,</w:t>
      </w:r>
      <w:r w:rsidRPr="00A4248E">
        <w:rPr>
          <w:rFonts w:cs="Times New Roman"/>
        </w:rPr>
        <w:t xml:space="preserve"> how these cells evolve in the process of metastagenesis and the clonal origin and genetic heterogeneity of colorectal liver metastases remains unclear. </w:t>
      </w:r>
      <w:r w:rsidR="00C42CE4" w:rsidRPr="00A4248E">
        <w:rPr>
          <w:rFonts w:cs="Times New Roman"/>
        </w:rPr>
        <w:t xml:space="preserve">The initial concept of monoclonal evolution of a tumour, </w:t>
      </w:r>
      <w:r w:rsidR="00C75778" w:rsidRPr="00A4248E">
        <w:rPr>
          <w:rFonts w:cs="Times New Roman"/>
        </w:rPr>
        <w:t xml:space="preserve">essentially the </w:t>
      </w:r>
      <w:r w:rsidR="00C42CE4" w:rsidRPr="00A4248E">
        <w:rPr>
          <w:rFonts w:cs="Times New Roman"/>
        </w:rPr>
        <w:t>clonal expansion of dominant tumour clones</w:t>
      </w:r>
      <w:r w:rsidR="00C75778" w:rsidRPr="00A4248E">
        <w:rPr>
          <w:rFonts w:cs="Times New Roman"/>
        </w:rPr>
        <w:t>,</w:t>
      </w:r>
      <w:r w:rsidR="00C42CE4" w:rsidRPr="00A4248E">
        <w:rPr>
          <w:rFonts w:cs="Times New Roman"/>
        </w:rPr>
        <w:t xml:space="preserve"> has been challenged. The self-</w:t>
      </w:r>
      <w:r w:rsidR="00981D16">
        <w:rPr>
          <w:rFonts w:cs="Times New Roman"/>
        </w:rPr>
        <w:t>s</w:t>
      </w:r>
      <w:r w:rsidR="00C42CE4" w:rsidRPr="00A4248E">
        <w:rPr>
          <w:rFonts w:cs="Times New Roman"/>
        </w:rPr>
        <w:t>eeding polyclonal hypothesis proposes that tumour cells enter the systemic circulation via the tumour vasculature and colonise at a different site therefore establishing a new subpopulation</w:t>
      </w:r>
      <w:r w:rsidR="00C75778" w:rsidRPr="00A4248E">
        <w:rPr>
          <w:rFonts w:cs="Times New Roman"/>
        </w:rPr>
        <w:t>, whereas the mutator phenotype suggests a small population of diverse tumour cells may migrate</w:t>
      </w:r>
      <w:r w:rsidR="00145F4A">
        <w:rPr>
          <w:rFonts w:cs="Times New Roman"/>
        </w:rPr>
        <w:t>.</w:t>
      </w:r>
      <w:r w:rsidR="00F84C55">
        <w:rPr>
          <w:rFonts w:cs="Times New Roman"/>
        </w:rPr>
        <w:t xml:space="preserve"> [4]</w:t>
      </w:r>
      <w:r w:rsidR="00145F4A">
        <w:rPr>
          <w:rFonts w:cs="Times New Roman"/>
        </w:rPr>
        <w:t xml:space="preserve"> M</w:t>
      </w:r>
      <w:r w:rsidR="00C75778" w:rsidRPr="00A4248E">
        <w:rPr>
          <w:rFonts w:cs="Times New Roman"/>
        </w:rPr>
        <w:t xml:space="preserve">etastases therefore can be expected to carry similar mutations to their corresponding primary tumour, but </w:t>
      </w:r>
      <w:r w:rsidRPr="00A4248E">
        <w:rPr>
          <w:rFonts w:cs="Times New Roman"/>
        </w:rPr>
        <w:t>also</w:t>
      </w:r>
      <w:r w:rsidR="00C75778" w:rsidRPr="00A4248E">
        <w:rPr>
          <w:rFonts w:cs="Times New Roman"/>
        </w:rPr>
        <w:t xml:space="preserve"> harbour additional mutations acquired after transformation</w:t>
      </w:r>
      <w:r w:rsidR="00F84C55">
        <w:rPr>
          <w:rFonts w:cs="Times New Roman"/>
        </w:rPr>
        <w:t>. [5]</w:t>
      </w:r>
      <w:r w:rsidR="00E14282">
        <w:rPr>
          <w:rFonts w:cs="Times New Roman"/>
        </w:rPr>
        <w:t xml:space="preserve"> </w:t>
      </w:r>
      <w:r w:rsidR="00C75778" w:rsidRPr="00A4248E">
        <w:rPr>
          <w:rFonts w:cs="Times New Roman"/>
        </w:rPr>
        <w:t>The accrual of these genetic mutations in the metastases results in tumour heterogeneity between sites, presenting problems for treating clinicians</w:t>
      </w:r>
      <w:r w:rsidR="00F252E9">
        <w:rPr>
          <w:rFonts w:cs="Times New Roman"/>
        </w:rPr>
        <w:t xml:space="preserve"> in selecting the most appropriate treatment regimen</w:t>
      </w:r>
      <w:r w:rsidR="00C75778" w:rsidRPr="00A4248E">
        <w:rPr>
          <w:rFonts w:cs="Times New Roman"/>
        </w:rPr>
        <w:t xml:space="preserve">. </w:t>
      </w:r>
      <w:r w:rsidR="00917C38">
        <w:rPr>
          <w:rFonts w:cs="Times New Roman"/>
        </w:rPr>
        <w:t>Inter-metastatic evolution and expansion p</w:t>
      </w:r>
      <w:r w:rsidR="00C96B65">
        <w:rPr>
          <w:rFonts w:cs="Times New Roman"/>
        </w:rPr>
        <w:t>resents yet further challenges</w:t>
      </w:r>
      <w:r w:rsidR="00F84C55">
        <w:rPr>
          <w:rFonts w:cs="Times New Roman"/>
        </w:rPr>
        <w:t>. [6]</w:t>
      </w:r>
      <w:r w:rsidR="00145F4A">
        <w:rPr>
          <w:rFonts w:cs="Times New Roman"/>
        </w:rPr>
        <w:t xml:space="preserve"> </w:t>
      </w:r>
    </w:p>
    <w:p w14:paraId="4B5D27BB" w14:textId="4A167B69" w:rsidR="00B0508C" w:rsidRPr="00A4248E" w:rsidRDefault="00C75778" w:rsidP="001A69AC">
      <w:pPr>
        <w:suppressLineNumbers/>
        <w:spacing w:after="360" w:line="480" w:lineRule="auto"/>
        <w:rPr>
          <w:rFonts w:cs="Times New Roman"/>
        </w:rPr>
      </w:pPr>
      <w:r w:rsidRPr="00A4248E">
        <w:rPr>
          <w:rFonts w:cs="Times New Roman"/>
        </w:rPr>
        <w:lastRenderedPageBreak/>
        <w:t>These problems are further co</w:t>
      </w:r>
      <w:r w:rsidR="00A55D47" w:rsidRPr="00A4248E">
        <w:rPr>
          <w:rFonts w:cs="Times New Roman"/>
        </w:rPr>
        <w:t>nfounded</w:t>
      </w:r>
      <w:r w:rsidRPr="00A4248E">
        <w:rPr>
          <w:rFonts w:cs="Times New Roman"/>
        </w:rPr>
        <w:t xml:space="preserve"> in the case of colorectal liver metastas</w:t>
      </w:r>
      <w:r w:rsidR="00A55D47" w:rsidRPr="00A4248E">
        <w:rPr>
          <w:rFonts w:cs="Times New Roman"/>
        </w:rPr>
        <w:t xml:space="preserve">es </w:t>
      </w:r>
      <w:r w:rsidR="00AE6AF4" w:rsidRPr="00A4248E">
        <w:rPr>
          <w:rFonts w:cs="Times New Roman"/>
        </w:rPr>
        <w:t>with</w:t>
      </w:r>
      <w:r w:rsidR="00A55D47" w:rsidRPr="00A4248E">
        <w:rPr>
          <w:rFonts w:cs="Times New Roman"/>
        </w:rPr>
        <w:t xml:space="preserve"> the knowledge that transcutaneous needle </w:t>
      </w:r>
      <w:r w:rsidRPr="00A4248E">
        <w:rPr>
          <w:rFonts w:cs="Times New Roman"/>
        </w:rPr>
        <w:t>biopsy of the liver lesion is associated with cutaneous seeding and po</w:t>
      </w:r>
      <w:r w:rsidR="00A145A9">
        <w:rPr>
          <w:rFonts w:cs="Times New Roman"/>
        </w:rPr>
        <w:t>orer outcomes following surgery</w:t>
      </w:r>
      <w:r w:rsidR="00F84C55">
        <w:rPr>
          <w:rFonts w:cs="Times New Roman"/>
        </w:rPr>
        <w:t xml:space="preserve">. [7] </w:t>
      </w:r>
      <w:r w:rsidR="00B0508C" w:rsidRPr="00A4248E">
        <w:rPr>
          <w:rFonts w:cs="Times New Roman"/>
        </w:rPr>
        <w:t xml:space="preserve">A thorough understanding of genetic heterogeneity between tumour sites is </w:t>
      </w:r>
      <w:r w:rsidR="00AF113D">
        <w:rPr>
          <w:rFonts w:cs="Times New Roman"/>
        </w:rPr>
        <w:t xml:space="preserve">therefore </w:t>
      </w:r>
      <w:r w:rsidR="00B0508C" w:rsidRPr="00A4248E">
        <w:rPr>
          <w:rFonts w:cs="Times New Roman"/>
        </w:rPr>
        <w:t xml:space="preserve">vital to the development of novel therapeutic agents </w:t>
      </w:r>
      <w:r w:rsidR="00F252E9">
        <w:rPr>
          <w:rFonts w:cs="Times New Roman"/>
        </w:rPr>
        <w:t>su</w:t>
      </w:r>
      <w:r w:rsidR="00145F4A">
        <w:rPr>
          <w:rFonts w:cs="Times New Roman"/>
        </w:rPr>
        <w:t>ch as small molecule inhibitors.</w:t>
      </w:r>
      <w:r w:rsidR="00F84C55">
        <w:rPr>
          <w:rFonts w:cs="Times New Roman"/>
          <w:vertAlign w:val="superscript"/>
        </w:rPr>
        <w:t xml:space="preserve"> </w:t>
      </w:r>
      <w:r w:rsidR="00F84C55">
        <w:rPr>
          <w:rFonts w:cs="Times New Roman"/>
        </w:rPr>
        <w:t>[8]</w:t>
      </w:r>
    </w:p>
    <w:p w14:paraId="4FCA1D94" w14:textId="02F92450" w:rsidR="00B66F4A" w:rsidRPr="00A4248E" w:rsidRDefault="00955C4A" w:rsidP="001A69AC">
      <w:pPr>
        <w:spacing w:after="360" w:line="480" w:lineRule="auto"/>
        <w:rPr>
          <w:rFonts w:cs="Times New Roman"/>
        </w:rPr>
      </w:pPr>
      <w:r>
        <w:rPr>
          <w:rFonts w:cs="Times New Roman"/>
        </w:rPr>
        <w:t>The aim of this study was</w:t>
      </w:r>
      <w:r w:rsidR="00B66F4A" w:rsidRPr="00A4248E">
        <w:rPr>
          <w:rFonts w:cs="Times New Roman"/>
        </w:rPr>
        <w:t xml:space="preserve"> to compare the exome</w:t>
      </w:r>
      <w:r w:rsidR="00CB02D1">
        <w:rPr>
          <w:rFonts w:cs="Times New Roman"/>
        </w:rPr>
        <w:t>s</w:t>
      </w:r>
      <w:r w:rsidR="00B66F4A" w:rsidRPr="00A4248E">
        <w:rPr>
          <w:rFonts w:cs="Times New Roman"/>
        </w:rPr>
        <w:t xml:space="preserve"> of synchronously resected primary and metastatic colorectal </w:t>
      </w:r>
      <w:r w:rsidR="00F16791">
        <w:rPr>
          <w:rFonts w:cs="Times New Roman"/>
        </w:rPr>
        <w:t>tumours</w:t>
      </w:r>
      <w:r w:rsidR="00131813">
        <w:rPr>
          <w:rFonts w:cs="Times New Roman"/>
        </w:rPr>
        <w:t xml:space="preserve"> to examine for conserved mutations between primary and metastatic tumours in order to guide the treatment of advanced disease on easily accessible tissue from the primary tumour.</w:t>
      </w:r>
    </w:p>
    <w:p w14:paraId="6CC88138" w14:textId="6A64030E" w:rsidR="00D866D5" w:rsidRPr="00A4248E" w:rsidRDefault="00B66F4A" w:rsidP="007E71E5">
      <w:pPr>
        <w:spacing w:line="480" w:lineRule="auto"/>
        <w:rPr>
          <w:rFonts w:ascii="Times New Roman" w:hAnsi="Times New Roman" w:cs="Times New Roman"/>
        </w:rPr>
      </w:pPr>
      <w:r w:rsidRPr="00A4248E">
        <w:rPr>
          <w:rFonts w:cs="Times New Roman"/>
        </w:rPr>
        <w:br w:type="page"/>
      </w:r>
    </w:p>
    <w:p w14:paraId="33BE02D5" w14:textId="77777777" w:rsidR="00E71DCF" w:rsidRPr="00A4248E" w:rsidRDefault="00E71DCF" w:rsidP="00E71DCF">
      <w:pPr>
        <w:spacing w:line="480" w:lineRule="auto"/>
        <w:rPr>
          <w:rFonts w:cs="Times New Roman"/>
        </w:rPr>
      </w:pPr>
      <w:r>
        <w:rPr>
          <w:rFonts w:cs="Times New Roman"/>
        </w:rPr>
        <w:lastRenderedPageBreak/>
        <w:t xml:space="preserve">Patients and </w:t>
      </w:r>
      <w:r w:rsidRPr="00A4248E">
        <w:rPr>
          <w:rFonts w:cs="Times New Roman"/>
        </w:rPr>
        <w:t>Methods</w:t>
      </w:r>
    </w:p>
    <w:p w14:paraId="1B7F6A51" w14:textId="014EAB72" w:rsidR="00E71DCF" w:rsidRDefault="00E71DCF" w:rsidP="00E71DCF">
      <w:pPr>
        <w:spacing w:after="360" w:line="480" w:lineRule="auto"/>
        <w:rPr>
          <w:rFonts w:cs="Times New Roman"/>
        </w:rPr>
      </w:pPr>
      <w:r w:rsidRPr="00A4248E">
        <w:rPr>
          <w:rFonts w:cs="Times New Roman"/>
        </w:rPr>
        <w:t>National Health Service Research Ethics Committee and Research and Development approval was obtained for this study</w:t>
      </w:r>
      <w:r w:rsidR="008322DB">
        <w:rPr>
          <w:rFonts w:cs="Times New Roman"/>
        </w:rPr>
        <w:t xml:space="preserve"> (12/NW/0011)</w:t>
      </w:r>
      <w:r>
        <w:rPr>
          <w:rFonts w:cs="Times New Roman"/>
        </w:rPr>
        <w:t>, and the study was conducted in accordance with this approval</w:t>
      </w:r>
      <w:r w:rsidRPr="00A4248E">
        <w:rPr>
          <w:rFonts w:cs="Times New Roman"/>
        </w:rPr>
        <w:t xml:space="preserve">. </w:t>
      </w:r>
      <w:r>
        <w:rPr>
          <w:rFonts w:cs="Times New Roman"/>
        </w:rPr>
        <w:t>Following informed consent, s</w:t>
      </w:r>
      <w:r w:rsidRPr="00A4248E">
        <w:rPr>
          <w:rFonts w:cs="Times New Roman"/>
        </w:rPr>
        <w:t xml:space="preserve">amples were obtained from four patients undergoing synchronous resection of a primary colorectal tumour and liver metastases. </w:t>
      </w:r>
    </w:p>
    <w:p w14:paraId="021E5D1A" w14:textId="77777777" w:rsidR="00E71DCF" w:rsidRPr="00CA56B9" w:rsidRDefault="00E71DCF" w:rsidP="00E71DCF">
      <w:pPr>
        <w:suppressLineNumbers/>
        <w:spacing w:after="360" w:line="480" w:lineRule="auto"/>
        <w:rPr>
          <w:rFonts w:cs="Times New Roman"/>
          <w:i/>
        </w:rPr>
      </w:pPr>
      <w:r w:rsidRPr="00CA56B9">
        <w:rPr>
          <w:rFonts w:cs="Times New Roman"/>
          <w:i/>
        </w:rPr>
        <w:t>Tissue collection</w:t>
      </w:r>
    </w:p>
    <w:p w14:paraId="61E66059" w14:textId="5781CC73" w:rsidR="00E71DCF" w:rsidRPr="00A4248E" w:rsidRDefault="00E71DCF" w:rsidP="00E71DCF">
      <w:pPr>
        <w:spacing w:after="360" w:line="480" w:lineRule="auto"/>
        <w:rPr>
          <w:rFonts w:cs="Times New Roman"/>
        </w:rPr>
      </w:pPr>
      <w:r w:rsidRPr="00A4248E">
        <w:rPr>
          <w:rFonts w:cs="Times New Roman"/>
        </w:rPr>
        <w:t xml:space="preserve">Following delivery of the colorectal specimen the proximal staple line was incised and a linear cut made down the antimesenteric border before excising a peripheral section of tumour using forceps and a scalpel. Following delivery of the liver specimen, an incision was made through the resected surface to the liver metastasis, with care being taken not to breach the liver capsule; a peripheral sample of tumour was </w:t>
      </w:r>
      <w:r>
        <w:rPr>
          <w:rFonts w:cs="Times New Roman"/>
        </w:rPr>
        <w:t>obtained</w:t>
      </w:r>
      <w:r w:rsidRPr="00A4248E">
        <w:rPr>
          <w:rFonts w:cs="Times New Roman"/>
        </w:rPr>
        <w:t>. Macroscopically normal adjacent colonic mucosa and liver parenchyma were also obtained, with all tissue sampling performed in the operating theatre under aseptic conditions followed by immediate s</w:t>
      </w:r>
      <w:r>
        <w:rPr>
          <w:rFonts w:cs="Times New Roman"/>
        </w:rPr>
        <w:t xml:space="preserve">tabilisation in liquid nitrogen. An additional </w:t>
      </w:r>
      <w:r w:rsidR="00C3624E">
        <w:rPr>
          <w:rFonts w:cs="Times New Roman"/>
        </w:rPr>
        <w:t xml:space="preserve">representative </w:t>
      </w:r>
      <w:r>
        <w:rPr>
          <w:rFonts w:cs="Times New Roman"/>
        </w:rPr>
        <w:t>sample was obtained</w:t>
      </w:r>
      <w:r w:rsidR="00C3624E">
        <w:rPr>
          <w:rFonts w:cs="Times New Roman"/>
        </w:rPr>
        <w:t xml:space="preserve"> for each (primary and metastatic) tumour sampled, and formalin fixed/</w:t>
      </w:r>
      <w:r>
        <w:rPr>
          <w:rFonts w:cs="Times New Roman"/>
        </w:rPr>
        <w:t>paraffin embedded for concurrent histopathological assessment</w:t>
      </w:r>
      <w:r w:rsidR="00C3624E">
        <w:rPr>
          <w:rFonts w:cs="Times New Roman"/>
        </w:rPr>
        <w:t xml:space="preserve"> prior to sequencing</w:t>
      </w:r>
      <w:r>
        <w:rPr>
          <w:rFonts w:cs="Times New Roman"/>
        </w:rPr>
        <w:t>.</w:t>
      </w:r>
      <w:r w:rsidR="00C3624E">
        <w:rPr>
          <w:rFonts w:cs="Times New Roman"/>
        </w:rPr>
        <w:t xml:space="preserve"> Review of hematoxylin and eosin stained slides by a consultant histopathologist confirmed the </w:t>
      </w:r>
      <w:r w:rsidR="00B51CD5">
        <w:rPr>
          <w:rFonts w:cs="Times New Roman"/>
        </w:rPr>
        <w:t>tissue to be</w:t>
      </w:r>
      <w:r w:rsidR="00C3624E">
        <w:rPr>
          <w:rFonts w:cs="Times New Roman"/>
        </w:rPr>
        <w:t xml:space="preserve"> adenocarcinoma.</w:t>
      </w:r>
    </w:p>
    <w:p w14:paraId="5E0B0F1F" w14:textId="77777777" w:rsidR="00E71DCF" w:rsidRPr="008F3345" w:rsidRDefault="00E71DCF" w:rsidP="00E71DCF">
      <w:pPr>
        <w:pStyle w:val="Default"/>
        <w:spacing w:after="360" w:line="480" w:lineRule="auto"/>
        <w:rPr>
          <w:rFonts w:asciiTheme="minorHAnsi" w:hAnsiTheme="minorHAnsi" w:cs="Arial"/>
          <w:i/>
          <w:color w:val="auto"/>
          <w:sz w:val="22"/>
          <w:szCs w:val="22"/>
        </w:rPr>
      </w:pPr>
      <w:r w:rsidRPr="008F3345">
        <w:rPr>
          <w:rFonts w:asciiTheme="minorHAnsi" w:hAnsiTheme="minorHAnsi" w:cs="Arial"/>
          <w:i/>
          <w:color w:val="auto"/>
          <w:sz w:val="22"/>
          <w:szCs w:val="22"/>
        </w:rPr>
        <w:t>DNA extraction, quality control and library preparation</w:t>
      </w:r>
    </w:p>
    <w:p w14:paraId="69501278" w14:textId="77777777" w:rsidR="00E71DCF" w:rsidRPr="00A4248E" w:rsidRDefault="00E71DCF" w:rsidP="00E71DCF">
      <w:pPr>
        <w:pStyle w:val="Default"/>
        <w:spacing w:after="360" w:line="480" w:lineRule="auto"/>
        <w:rPr>
          <w:rFonts w:asciiTheme="minorHAnsi" w:hAnsiTheme="minorHAnsi" w:cs="Arial"/>
          <w:color w:val="00000A"/>
          <w:sz w:val="22"/>
          <w:szCs w:val="22"/>
        </w:rPr>
      </w:pPr>
      <w:r w:rsidRPr="00A4248E">
        <w:rPr>
          <w:rFonts w:asciiTheme="minorHAnsi" w:hAnsiTheme="minorHAnsi" w:cs="Arial"/>
          <w:sz w:val="22"/>
          <w:szCs w:val="22"/>
        </w:rPr>
        <w:t xml:space="preserve">DNA was extracted from harvested material using the </w:t>
      </w:r>
      <w:r w:rsidRPr="00A4248E">
        <w:rPr>
          <w:rFonts w:asciiTheme="minorHAnsi" w:hAnsiTheme="minorHAnsi" w:cs="Arial"/>
          <w:sz w:val="22"/>
          <w:szCs w:val="22"/>
          <w:lang w:val="en-IN"/>
        </w:rPr>
        <w:t xml:space="preserve">DNeasy Blood &amp; Tissue </w:t>
      </w:r>
      <w:r w:rsidRPr="00A4248E">
        <w:rPr>
          <w:rFonts w:asciiTheme="minorHAnsi" w:hAnsiTheme="minorHAnsi" w:cs="Arial"/>
          <w:sz w:val="22"/>
          <w:szCs w:val="22"/>
        </w:rPr>
        <w:t>Kit</w:t>
      </w:r>
      <w:r w:rsidRPr="00A4248E">
        <w:rPr>
          <w:rFonts w:asciiTheme="minorHAnsi" w:hAnsiTheme="minorHAnsi" w:cs="Arial"/>
          <w:color w:val="00000A"/>
          <w:sz w:val="22"/>
          <w:szCs w:val="22"/>
        </w:rPr>
        <w:t xml:space="preserve"> as per manufacturer’s instructions (Qiagen, Venlo, Netherlands). Library preparation and sequencing was performed using </w:t>
      </w:r>
      <w:r w:rsidRPr="00A4248E">
        <w:rPr>
          <w:rFonts w:asciiTheme="minorHAnsi" w:hAnsiTheme="minorHAnsi" w:cs="Arial"/>
          <w:bCs/>
          <w:color w:val="00000A"/>
          <w:sz w:val="22"/>
          <w:szCs w:val="22"/>
        </w:rPr>
        <w:t xml:space="preserve">Ion TargetSeq™ exome enrichment for the Ion Proton™ </w:t>
      </w:r>
      <w:r w:rsidRPr="00A4248E">
        <w:rPr>
          <w:rFonts w:asciiTheme="minorHAnsi" w:hAnsiTheme="minorHAnsi" w:cs="Arial"/>
          <w:bCs/>
          <w:color w:val="00000A"/>
          <w:sz w:val="22"/>
          <w:szCs w:val="22"/>
        </w:rPr>
        <w:lastRenderedPageBreak/>
        <w:t xml:space="preserve">System (Life Technologies, Carlsbad, USA). </w:t>
      </w:r>
      <w:r w:rsidRPr="00A4248E">
        <w:rPr>
          <w:rFonts w:asciiTheme="minorHAnsi" w:hAnsiTheme="minorHAnsi" w:cs="Arial"/>
          <w:color w:val="00000A"/>
          <w:sz w:val="22"/>
          <w:szCs w:val="22"/>
        </w:rPr>
        <w:t xml:space="preserve">Genomic DNA (3.5µg) was fragmented using an ion shear enzyme, and the resulting fragmented DNA cleaned up using Agencourt® AMPure® XP beads (Beckman Coulter, Brea, USA). The size distribution was checked by running an aliquot of the sample on 2% E-Gel® (Life Technologies, Carlsbad, USA). Adapter ligation was performed using the Ion Plus Fragment Library Kit according to manufacturer’s instructions (Life Technologies, Carlsbad, USA). The resulting samples were again cleaned using Agencourt® AMPure® XP beads of 300bp in length using a 2% agarose gel and were eluted using MinElute columns (Qiagen, Venlo, Netherlands). PCR amplification (10 cycles) was subsequently performed to enrich the adaptor-ligated fragments. </w:t>
      </w:r>
    </w:p>
    <w:p w14:paraId="3FE16940" w14:textId="77777777" w:rsidR="00E71DCF" w:rsidRPr="008F3345" w:rsidRDefault="00E71DCF" w:rsidP="00E71DCF">
      <w:pPr>
        <w:pStyle w:val="Default"/>
        <w:spacing w:after="360" w:line="480" w:lineRule="auto"/>
        <w:rPr>
          <w:rFonts w:asciiTheme="minorHAnsi" w:hAnsiTheme="minorHAnsi" w:cs="Arial"/>
          <w:i/>
          <w:color w:val="00000A"/>
          <w:sz w:val="22"/>
          <w:szCs w:val="22"/>
        </w:rPr>
      </w:pPr>
      <w:r w:rsidRPr="008F3345">
        <w:rPr>
          <w:rFonts w:asciiTheme="minorHAnsi" w:hAnsiTheme="minorHAnsi" w:cs="Arial"/>
          <w:i/>
          <w:color w:val="00000A"/>
          <w:sz w:val="22"/>
          <w:szCs w:val="22"/>
        </w:rPr>
        <w:t>Exome sequencing</w:t>
      </w:r>
    </w:p>
    <w:p w14:paraId="458F860E" w14:textId="77777777" w:rsidR="00E71DCF" w:rsidRPr="00A4248E" w:rsidRDefault="00E71DCF" w:rsidP="00E71DCF">
      <w:pPr>
        <w:pStyle w:val="Default"/>
        <w:spacing w:after="360" w:line="480" w:lineRule="auto"/>
        <w:rPr>
          <w:rFonts w:asciiTheme="minorHAnsi" w:hAnsiTheme="minorHAnsi" w:cs="Arial"/>
          <w:color w:val="00000A"/>
          <w:sz w:val="22"/>
          <w:szCs w:val="22"/>
        </w:rPr>
      </w:pPr>
      <w:r w:rsidRPr="00A4248E">
        <w:rPr>
          <w:rFonts w:asciiTheme="minorHAnsi" w:hAnsiTheme="minorHAnsi" w:cs="Arial"/>
          <w:color w:val="00000A"/>
          <w:sz w:val="22"/>
          <w:szCs w:val="22"/>
        </w:rPr>
        <w:t>For capture, 500ng of prepared library was concentrated using a vacuum concentrator and then hybridized with the Ion TargetSeq</w:t>
      </w:r>
      <w:r w:rsidRPr="00A4248E">
        <w:rPr>
          <w:rFonts w:asciiTheme="minorHAnsi" w:eastAsia="MS Mincho" w:hAnsiTheme="minorHAnsi" w:cs="Arial"/>
          <w:color w:val="00000A"/>
          <w:sz w:val="22"/>
          <w:szCs w:val="22"/>
        </w:rPr>
        <w:t xml:space="preserve">™ Exome Probe Pool at 47°C for 66 hours. Hybridized library fragments were isolated by magnetic capture using </w:t>
      </w:r>
      <w:r>
        <w:rPr>
          <w:rFonts w:asciiTheme="minorHAnsi" w:eastAsia="MS Mincho" w:hAnsiTheme="minorHAnsi" w:cs="Arial"/>
          <w:color w:val="00000A"/>
          <w:sz w:val="22"/>
          <w:szCs w:val="22"/>
        </w:rPr>
        <w:t>Dynal M-270 streptavidin-</w:t>
      </w:r>
      <w:r w:rsidRPr="00A4248E">
        <w:rPr>
          <w:rFonts w:asciiTheme="minorHAnsi" w:eastAsia="MS Mincho" w:hAnsiTheme="minorHAnsi" w:cs="Arial"/>
          <w:color w:val="00000A"/>
          <w:sz w:val="22"/>
          <w:szCs w:val="22"/>
        </w:rPr>
        <w:t xml:space="preserve">coated beads (Invitrogen, Carlsbad, USA). PCR amplification (8 cycles) was carried out to amplify the captured library which was </w:t>
      </w:r>
      <w:r w:rsidRPr="00A4248E">
        <w:rPr>
          <w:rFonts w:asciiTheme="minorHAnsi" w:hAnsiTheme="minorHAnsi" w:cs="Arial"/>
          <w:color w:val="00000A"/>
          <w:sz w:val="22"/>
          <w:szCs w:val="22"/>
        </w:rPr>
        <w:t>again cleaned using Agencourt® AMPure® XP beads</w:t>
      </w:r>
      <w:r w:rsidRPr="00A4248E">
        <w:rPr>
          <w:rFonts w:asciiTheme="minorHAnsi" w:eastAsia="MS Mincho" w:hAnsiTheme="minorHAnsi" w:cs="Arial"/>
          <w:color w:val="00000A"/>
          <w:sz w:val="22"/>
          <w:szCs w:val="22"/>
        </w:rPr>
        <w:t xml:space="preserve">. An aliquot of the captured library was run on a High Sensitivity DNA Chip on </w:t>
      </w:r>
      <w:r>
        <w:rPr>
          <w:rFonts w:asciiTheme="minorHAnsi" w:eastAsia="MS Mincho" w:hAnsiTheme="minorHAnsi" w:cs="Arial"/>
          <w:color w:val="00000A"/>
          <w:sz w:val="22"/>
          <w:szCs w:val="22"/>
        </w:rPr>
        <w:t>an</w:t>
      </w:r>
      <w:r w:rsidRPr="00A4248E">
        <w:rPr>
          <w:rFonts w:asciiTheme="minorHAnsi" w:eastAsia="MS Mincho" w:hAnsiTheme="minorHAnsi" w:cs="Arial"/>
          <w:color w:val="00000A"/>
          <w:sz w:val="22"/>
          <w:szCs w:val="22"/>
        </w:rPr>
        <w:t xml:space="preserve"> Agilent Bioanalyser (Agilent, Santa Clara, USA). </w:t>
      </w:r>
      <w:r w:rsidRPr="00A4248E">
        <w:rPr>
          <w:rFonts w:asciiTheme="minorHAnsi" w:hAnsiTheme="minorHAnsi" w:cs="Arial"/>
          <w:color w:val="00000A"/>
          <w:sz w:val="22"/>
          <w:szCs w:val="22"/>
        </w:rPr>
        <w:t xml:space="preserve">Real time PCR validation was performed with pre and post capture libraries to observe the capture efficiency. The purified, exome-enriched library was then used to prepare clonally amplified templated Ion PI™ Ion Sphere™ Particles (ISPs) for sequencing on an Ion PI™ Chip to obtain the necessary data coverage. Sequencing was performed on </w:t>
      </w:r>
      <w:r>
        <w:rPr>
          <w:rFonts w:asciiTheme="minorHAnsi" w:hAnsiTheme="minorHAnsi" w:cs="Arial"/>
          <w:color w:val="00000A"/>
          <w:sz w:val="22"/>
          <w:szCs w:val="22"/>
        </w:rPr>
        <w:t>an</w:t>
      </w:r>
      <w:r w:rsidRPr="00A4248E">
        <w:rPr>
          <w:rFonts w:asciiTheme="minorHAnsi" w:hAnsiTheme="minorHAnsi" w:cs="Arial"/>
          <w:color w:val="00000A"/>
          <w:sz w:val="22"/>
          <w:szCs w:val="22"/>
        </w:rPr>
        <w:t xml:space="preserve"> </w:t>
      </w:r>
      <w:r w:rsidRPr="00A4248E">
        <w:rPr>
          <w:rFonts w:asciiTheme="minorHAnsi" w:hAnsiTheme="minorHAnsi" w:cs="Arial"/>
          <w:bCs/>
          <w:color w:val="00000A"/>
          <w:sz w:val="22"/>
          <w:szCs w:val="22"/>
        </w:rPr>
        <w:t xml:space="preserve">Ion Proton™ sequencer </w:t>
      </w:r>
      <w:r w:rsidRPr="00A4248E">
        <w:rPr>
          <w:rFonts w:asciiTheme="minorHAnsi" w:hAnsiTheme="minorHAnsi" w:cs="Arial"/>
          <w:color w:val="00000A"/>
          <w:sz w:val="22"/>
          <w:szCs w:val="22"/>
        </w:rPr>
        <w:t>at Genotypic Technology’s Genomics facility (Bangalore, India).</w:t>
      </w:r>
    </w:p>
    <w:p w14:paraId="2E169DB4" w14:textId="77777777" w:rsidR="00E71DCF" w:rsidRPr="008F3345" w:rsidRDefault="00E71DCF" w:rsidP="00E71DCF">
      <w:pPr>
        <w:spacing w:after="360" w:line="480" w:lineRule="auto"/>
        <w:rPr>
          <w:rFonts w:cs="Arial"/>
          <w:i/>
          <w:color w:val="000000" w:themeColor="text1"/>
        </w:rPr>
      </w:pPr>
      <w:r w:rsidRPr="008F3345">
        <w:rPr>
          <w:rFonts w:cs="Arial"/>
          <w:i/>
          <w:color w:val="000000" w:themeColor="text1"/>
        </w:rPr>
        <w:t>Variant calling and annotation</w:t>
      </w:r>
    </w:p>
    <w:p w14:paraId="34ACDB55" w14:textId="77777777" w:rsidR="00E71DCF" w:rsidRDefault="00E71DCF" w:rsidP="00E71DCF">
      <w:pPr>
        <w:spacing w:line="480" w:lineRule="auto"/>
        <w:rPr>
          <w:rFonts w:cs="Arial"/>
        </w:rPr>
      </w:pPr>
      <w:r w:rsidRPr="00A4248E">
        <w:rPr>
          <w:rFonts w:cs="Arial"/>
          <w:color w:val="000000" w:themeColor="text1"/>
        </w:rPr>
        <w:lastRenderedPageBreak/>
        <w:t>Sequenced data w</w:t>
      </w:r>
      <w:r>
        <w:rPr>
          <w:rFonts w:cs="Arial"/>
          <w:color w:val="000000" w:themeColor="text1"/>
        </w:rPr>
        <w:t>ere</w:t>
      </w:r>
      <w:r w:rsidRPr="00A4248E">
        <w:rPr>
          <w:rFonts w:cs="Arial"/>
        </w:rPr>
        <w:t xml:space="preserve"> analyzed with Torrent Suite</w:t>
      </w:r>
      <w:r w:rsidRPr="00A4248E">
        <w:rPr>
          <w:rFonts w:cs="Arial"/>
          <w:vertAlign w:val="superscript"/>
        </w:rPr>
        <w:t>TM</w:t>
      </w:r>
      <w:r w:rsidRPr="00A4248E">
        <w:rPr>
          <w:rFonts w:cs="Arial"/>
        </w:rPr>
        <w:t xml:space="preserve"> v 3.6 (Life Technologies, Carlsbad, USA). Following base calling, raw reads underwent trimming of undesired base calls at the 3' end of the read, the adapter sequence, and low quality 3' ends. The resultant data w</w:t>
      </w:r>
      <w:r>
        <w:rPr>
          <w:rFonts w:cs="Arial"/>
        </w:rPr>
        <w:t>ere</w:t>
      </w:r>
      <w:r w:rsidRPr="00A4248E">
        <w:rPr>
          <w:rFonts w:cs="Arial"/>
        </w:rPr>
        <w:t xml:space="preserve"> filtered of low quality base calls.</w:t>
      </w:r>
      <w:r w:rsidRPr="00A4248E">
        <w:rPr>
          <w:rFonts w:cs="Arial"/>
          <w:color w:val="000000" w:themeColor="text1"/>
        </w:rPr>
        <w:t xml:space="preserve"> </w:t>
      </w:r>
      <w:r w:rsidRPr="00A4248E">
        <w:rPr>
          <w:rFonts w:cs="Arial"/>
        </w:rPr>
        <w:t>The raw reads obtained were then aligned to the reference genome (HG19) using the Torrent Mapping Alignment Program for Ion Torrent Data (</w:t>
      </w:r>
      <w:r w:rsidRPr="00A4248E">
        <w:rPr>
          <w:rFonts w:cs="Arial"/>
          <w:bCs/>
        </w:rPr>
        <w:t>TMAP) software. Variants were then called and detected using Variant Caller v 4.0, an inbuilt plugin of Torrent Suite v 3.6.</w:t>
      </w:r>
      <w:r w:rsidRPr="00A4248E">
        <w:rPr>
          <w:rFonts w:cs="Arial"/>
          <w:color w:val="000000" w:themeColor="text1"/>
        </w:rPr>
        <w:t xml:space="preserve"> These variants </w:t>
      </w:r>
      <w:r w:rsidRPr="00A4248E">
        <w:rPr>
          <w:rFonts w:cs="Arial"/>
        </w:rPr>
        <w:t xml:space="preserve">were further annotated using </w:t>
      </w:r>
      <w:r w:rsidRPr="00A4248E">
        <w:rPr>
          <w:rFonts w:cs="Arial"/>
          <w:bCs/>
        </w:rPr>
        <w:t>Ion Reporter v 1.6</w:t>
      </w:r>
      <w:r w:rsidRPr="00A4248E">
        <w:rPr>
          <w:rFonts w:cs="Arial"/>
        </w:rPr>
        <w:t xml:space="preserve"> to give location (intronic/exonic/utr), gene name, protein change, function and dbSNP identifier (from the dbSNP database 137).</w:t>
      </w:r>
    </w:p>
    <w:p w14:paraId="778DDD5C" w14:textId="77777777" w:rsidR="00C3624E" w:rsidRPr="00A4248E" w:rsidRDefault="00C3624E" w:rsidP="00E71DCF">
      <w:pPr>
        <w:spacing w:line="480" w:lineRule="auto"/>
        <w:rPr>
          <w:rFonts w:cs="Arial"/>
        </w:rPr>
      </w:pPr>
    </w:p>
    <w:p w14:paraId="666716A8" w14:textId="77777777" w:rsidR="00E71DCF" w:rsidRPr="008F3345" w:rsidRDefault="00E71DCF" w:rsidP="00E71DCF">
      <w:pPr>
        <w:spacing w:after="360" w:line="480" w:lineRule="auto"/>
        <w:rPr>
          <w:rFonts w:cs="Arial"/>
          <w:i/>
        </w:rPr>
      </w:pPr>
      <w:r w:rsidRPr="008F3345">
        <w:rPr>
          <w:rFonts w:cs="Arial"/>
          <w:i/>
        </w:rPr>
        <w:t>Somatic variant analysis</w:t>
      </w:r>
    </w:p>
    <w:p w14:paraId="1BDD0F83" w14:textId="2A2F7F09" w:rsidR="00E71DCF" w:rsidRDefault="00E71DCF" w:rsidP="00E71DCF">
      <w:pPr>
        <w:spacing w:after="360" w:line="480" w:lineRule="auto"/>
        <w:rPr>
          <w:rFonts w:cs="Arial"/>
          <w:bCs/>
        </w:rPr>
      </w:pPr>
      <w:r w:rsidRPr="00A4248E">
        <w:rPr>
          <w:rFonts w:cs="Arial"/>
          <w:bCs/>
        </w:rPr>
        <w:t>Data from tumorous and non-tumorous tissue w</w:t>
      </w:r>
      <w:r>
        <w:rPr>
          <w:rFonts w:cs="Arial"/>
          <w:bCs/>
        </w:rPr>
        <w:t>ere</w:t>
      </w:r>
      <w:r w:rsidRPr="00A4248E">
        <w:rPr>
          <w:rFonts w:cs="Arial"/>
          <w:bCs/>
        </w:rPr>
        <w:t xml:space="preserve"> compared for each patient. </w:t>
      </w:r>
      <w:r w:rsidRPr="00A4248E">
        <w:rPr>
          <w:rFonts w:cs="Arial"/>
        </w:rPr>
        <w:t>The variants of each sample were compared by chromosome number and position to identify those mutations in the tumour samples which were somatic</w:t>
      </w:r>
      <w:r>
        <w:rPr>
          <w:rFonts w:cs="Arial"/>
        </w:rPr>
        <w:t xml:space="preserve">. </w:t>
      </w:r>
      <w:r w:rsidRPr="00A4248E">
        <w:rPr>
          <w:rFonts w:cs="Arial"/>
          <w:bCs/>
        </w:rPr>
        <w:t xml:space="preserve">The somatic single nucleotide variants (SNVs) identified in both primary and metastatic </w:t>
      </w:r>
      <w:r>
        <w:rPr>
          <w:rFonts w:cs="Arial"/>
          <w:bCs/>
        </w:rPr>
        <w:t>samples</w:t>
      </w:r>
      <w:r w:rsidRPr="00A4248E">
        <w:rPr>
          <w:rFonts w:cs="Arial"/>
          <w:bCs/>
        </w:rPr>
        <w:t xml:space="preserve"> were asse</w:t>
      </w:r>
      <w:r>
        <w:rPr>
          <w:rFonts w:cs="Arial"/>
          <w:bCs/>
        </w:rPr>
        <w:t>ssed for functional consequence</w:t>
      </w:r>
      <w:r w:rsidRPr="00A4248E">
        <w:rPr>
          <w:rFonts w:cs="Arial"/>
          <w:bCs/>
        </w:rPr>
        <w:t xml:space="preserve"> and biologically deleterious</w:t>
      </w:r>
      <w:r w:rsidRPr="00A4248E" w:rsidDel="000D3DAC">
        <w:rPr>
          <w:rFonts w:cs="Arial"/>
          <w:bCs/>
        </w:rPr>
        <w:t xml:space="preserve"> </w:t>
      </w:r>
      <w:r w:rsidRPr="00A4248E">
        <w:rPr>
          <w:rFonts w:cs="Arial"/>
          <w:bCs/>
        </w:rPr>
        <w:t xml:space="preserve">non-synonymous SNVs were selected.  The resulting SNVs were compared to identify those </w:t>
      </w:r>
      <w:r>
        <w:rPr>
          <w:rFonts w:cs="Arial"/>
          <w:bCs/>
        </w:rPr>
        <w:t xml:space="preserve">present in patient-matched primary and metastatic paired samples. </w:t>
      </w:r>
    </w:p>
    <w:p w14:paraId="0AA8DE53" w14:textId="77777777" w:rsidR="00E71DCF" w:rsidRPr="008F3345" w:rsidRDefault="00E71DCF" w:rsidP="00E71DCF">
      <w:pPr>
        <w:spacing w:after="360" w:line="480" w:lineRule="auto"/>
        <w:rPr>
          <w:rFonts w:cs="Arial"/>
          <w:bCs/>
          <w:i/>
        </w:rPr>
      </w:pPr>
      <w:r>
        <w:rPr>
          <w:rFonts w:cs="Arial"/>
          <w:bCs/>
          <w:i/>
        </w:rPr>
        <w:t>P</w:t>
      </w:r>
      <w:r w:rsidRPr="008F3345">
        <w:rPr>
          <w:rFonts w:cs="Arial"/>
          <w:bCs/>
          <w:i/>
        </w:rPr>
        <w:t>athway and network analysis</w:t>
      </w:r>
    </w:p>
    <w:p w14:paraId="0B65BF71" w14:textId="46B2BFE5" w:rsidR="00E71DCF" w:rsidRDefault="00E71DCF" w:rsidP="00E71DCF">
      <w:pPr>
        <w:spacing w:after="360" w:line="480" w:lineRule="auto"/>
        <w:rPr>
          <w:rFonts w:cs="Arial"/>
          <w:bCs/>
        </w:rPr>
      </w:pPr>
      <w:r w:rsidRPr="00A4248E">
        <w:rPr>
          <w:rFonts w:cs="Arial"/>
          <w:bCs/>
        </w:rPr>
        <w:t xml:space="preserve">Genes identified from the lists of SNVs were subjected to pathway analysis using Ingenuity Pathway Analysis (Redwood City, USA). Significant canonical pathways were identified with a threshold p value of &lt;0.05 for significance </w:t>
      </w:r>
      <w:r>
        <w:rPr>
          <w:rFonts w:cs="Arial"/>
          <w:bCs/>
        </w:rPr>
        <w:t xml:space="preserve">following </w:t>
      </w:r>
      <w:r w:rsidRPr="00A4248E">
        <w:rPr>
          <w:rFonts w:cs="Arial"/>
          <w:bCs/>
        </w:rPr>
        <w:t>Benjamini-Hochberg multiple test correction</w:t>
      </w:r>
      <w:r w:rsidR="00AF113D">
        <w:rPr>
          <w:rFonts w:cs="Arial"/>
          <w:bCs/>
        </w:rPr>
        <w:t xml:space="preserve">. </w:t>
      </w:r>
    </w:p>
    <w:p w14:paraId="596E08BF" w14:textId="77777777" w:rsidR="00E71DCF" w:rsidRPr="002E4FDE" w:rsidRDefault="00E71DCF" w:rsidP="00E71DCF">
      <w:pPr>
        <w:spacing w:after="360" w:line="480" w:lineRule="auto"/>
        <w:rPr>
          <w:rFonts w:cs="Arial"/>
          <w:bCs/>
        </w:rPr>
      </w:pPr>
      <w:r w:rsidRPr="008F3345">
        <w:rPr>
          <w:rFonts w:cs="Arial"/>
          <w:i/>
        </w:rPr>
        <w:lastRenderedPageBreak/>
        <w:t>Validation of SNVs by Sanger sequencing</w:t>
      </w:r>
    </w:p>
    <w:p w14:paraId="6D527827" w14:textId="77777777" w:rsidR="00E71DCF" w:rsidRPr="00A4248E" w:rsidRDefault="00E71DCF" w:rsidP="00E71DCF">
      <w:pPr>
        <w:spacing w:after="360" w:line="480" w:lineRule="auto"/>
        <w:rPr>
          <w:rFonts w:ascii="Times New Roman" w:hAnsi="Times New Roman" w:cs="Times New Roman"/>
        </w:rPr>
      </w:pPr>
      <w:r w:rsidRPr="00A4248E">
        <w:rPr>
          <w:rFonts w:cs="Arial"/>
        </w:rPr>
        <w:t xml:space="preserve">SNVs identified as being of interest during analysis were subjected to validation by Sanger sequencing on the same tissue set. </w:t>
      </w:r>
      <w:r w:rsidRPr="00A4248E">
        <w:rPr>
          <w:rFonts w:cs="Times New Roman"/>
        </w:rPr>
        <w:t>Following reconfirmation of DNA quality by agarose gel electrophoresis, samples were cleaned up with an Ultraclean® PCR Clean Up Kit (Mobio, Carlsbad, USA) and quantified using the Nanodrop</w:t>
      </w:r>
      <w:r w:rsidRPr="00A4248E">
        <w:rPr>
          <w:rFonts w:cs="Times New Roman"/>
          <w:vertAlign w:val="superscript"/>
        </w:rPr>
        <w:t>TM</w:t>
      </w:r>
      <w:r w:rsidRPr="00A4248E">
        <w:rPr>
          <w:rFonts w:cs="Times New Roman"/>
        </w:rPr>
        <w:t xml:space="preserve"> spectrophotometer (Thermo Scientific, Waltham, USA). Targeted forward and reverse primers were specifically designed and manufactured for each of the SNVs of interest. Sanger sequencing was performed using a </w:t>
      </w:r>
      <w:r w:rsidRPr="00A4248E">
        <w:rPr>
          <w:rFonts w:cs="Times New Roman"/>
          <w:iCs/>
        </w:rPr>
        <w:t>BigDye</w:t>
      </w:r>
      <w:r w:rsidRPr="00A4248E">
        <w:rPr>
          <w:rFonts w:cs="Times New Roman"/>
          <w:iCs/>
          <w:vertAlign w:val="superscript"/>
        </w:rPr>
        <w:t>®</w:t>
      </w:r>
      <w:r w:rsidRPr="00A4248E">
        <w:rPr>
          <w:rFonts w:cs="Times New Roman"/>
          <w:iCs/>
        </w:rPr>
        <w:t xml:space="preserve"> Terminator v3.1 Cycle Sequencing Kit (Life Technologies, Carlsbad, USA) and 3130XL </w:t>
      </w:r>
      <w:r w:rsidRPr="00A4248E">
        <w:rPr>
          <w:rFonts w:cs="Times New Roman"/>
        </w:rPr>
        <w:t>Genetic Analyser (Life Technologies,</w:t>
      </w:r>
      <w:r w:rsidRPr="00A4248E">
        <w:rPr>
          <w:rFonts w:cs="Times New Roman"/>
          <w:iCs/>
        </w:rPr>
        <w:t xml:space="preserve"> Carlsbad, USA), with the resultant FASTA sequence compared with both the reference genome and exome sequencing data to confirm the presence of the previously identified SN</w:t>
      </w:r>
      <w:r w:rsidRPr="00A4248E">
        <w:rPr>
          <w:rFonts w:cs="Times New Roman"/>
        </w:rPr>
        <w:t>Vs.</w:t>
      </w:r>
    </w:p>
    <w:p w14:paraId="79BB47F4" w14:textId="77777777" w:rsidR="00E71DCF" w:rsidRDefault="00E71DCF">
      <w:r>
        <w:br w:type="page"/>
      </w:r>
    </w:p>
    <w:p w14:paraId="631242D1" w14:textId="0FD8582C" w:rsidR="008A1580" w:rsidRPr="00A4248E" w:rsidRDefault="008A1580" w:rsidP="007E71E5">
      <w:pPr>
        <w:spacing w:line="480" w:lineRule="auto"/>
      </w:pPr>
      <w:r w:rsidRPr="00A4248E">
        <w:lastRenderedPageBreak/>
        <w:t>Results</w:t>
      </w:r>
    </w:p>
    <w:p w14:paraId="4E9A4755" w14:textId="77777777" w:rsidR="00FD4129" w:rsidRPr="008F3345" w:rsidRDefault="00FD4129" w:rsidP="001A69AC">
      <w:pPr>
        <w:spacing w:after="360" w:line="480" w:lineRule="auto"/>
        <w:rPr>
          <w:i/>
        </w:rPr>
      </w:pPr>
      <w:r w:rsidRPr="008F3345">
        <w:rPr>
          <w:i/>
        </w:rPr>
        <w:t>Clinical information</w:t>
      </w:r>
    </w:p>
    <w:p w14:paraId="0FAF67F1" w14:textId="77777777" w:rsidR="007D41E6" w:rsidRPr="00A4248E" w:rsidRDefault="0070397A" w:rsidP="001A69AC">
      <w:pPr>
        <w:spacing w:after="360" w:line="480" w:lineRule="auto"/>
        <w:rPr>
          <w:rFonts w:cs="Arial"/>
        </w:rPr>
      </w:pPr>
      <w:r w:rsidRPr="00A4248E">
        <w:rPr>
          <w:rFonts w:cs="Arial"/>
        </w:rPr>
        <w:t xml:space="preserve">Demographic and clinical information pertaining to the </w:t>
      </w:r>
      <w:r w:rsidR="006F606E" w:rsidRPr="00A4248E">
        <w:rPr>
          <w:rFonts w:cs="Arial"/>
        </w:rPr>
        <w:t xml:space="preserve">four </w:t>
      </w:r>
      <w:r w:rsidRPr="00A4248E">
        <w:rPr>
          <w:rFonts w:cs="Arial"/>
        </w:rPr>
        <w:t xml:space="preserve">patients sequenced is displayed in Table </w:t>
      </w:r>
      <w:r w:rsidR="004B21B4">
        <w:rPr>
          <w:rFonts w:cs="Arial"/>
        </w:rPr>
        <w:t>1</w:t>
      </w:r>
      <w:r w:rsidRPr="00A4248E">
        <w:rPr>
          <w:rFonts w:cs="Arial"/>
        </w:rPr>
        <w:t xml:space="preserve">. </w:t>
      </w:r>
      <w:r w:rsidR="008F3345">
        <w:rPr>
          <w:rFonts w:cs="Arial"/>
        </w:rPr>
        <w:t>A</w:t>
      </w:r>
      <w:r w:rsidR="007D41E6" w:rsidRPr="00A4248E">
        <w:rPr>
          <w:rFonts w:cs="Arial"/>
        </w:rPr>
        <w:t>ll patients underwent 5-fluorouracil based neoadjuvant chemotherapy followed by synchronous resection of a colonic primary and metastatic lesions at a single institution during the course of the study. All resections were R0 with no significant complications. At the time of writing, all patients were alive with no evidence of recurrent disease.</w:t>
      </w:r>
    </w:p>
    <w:p w14:paraId="573336C8" w14:textId="77777777" w:rsidR="00012BBD" w:rsidRPr="00DB1F0A" w:rsidRDefault="00DB1F0A" w:rsidP="001A69AC">
      <w:pPr>
        <w:spacing w:after="360" w:line="480" w:lineRule="auto"/>
        <w:rPr>
          <w:rFonts w:cs="Arial"/>
          <w:i/>
        </w:rPr>
      </w:pPr>
      <w:r w:rsidRPr="00DB1F0A">
        <w:rPr>
          <w:rFonts w:cs="Arial"/>
          <w:i/>
        </w:rPr>
        <w:t>S</w:t>
      </w:r>
      <w:r w:rsidR="00012BBD" w:rsidRPr="00DB1F0A">
        <w:rPr>
          <w:rFonts w:cs="Arial"/>
          <w:i/>
        </w:rPr>
        <w:t>equencing statistics</w:t>
      </w:r>
    </w:p>
    <w:p w14:paraId="62C97344" w14:textId="7A70C38A" w:rsidR="00E80D4E" w:rsidRPr="00A4248E" w:rsidRDefault="007D41E6" w:rsidP="001A69AC">
      <w:pPr>
        <w:spacing w:after="360" w:line="480" w:lineRule="auto"/>
        <w:rPr>
          <w:rFonts w:cs="Arial"/>
        </w:rPr>
      </w:pPr>
      <w:r w:rsidRPr="00A4248E">
        <w:rPr>
          <w:rFonts w:cs="Arial"/>
        </w:rPr>
        <w:t xml:space="preserve">All DNA samples passed the necessary quality control steps </w:t>
      </w:r>
      <w:r w:rsidR="00EE451C" w:rsidRPr="00A4248E">
        <w:rPr>
          <w:rFonts w:cs="Arial"/>
        </w:rPr>
        <w:t xml:space="preserve">with adequate 260:280 and 260:230. </w:t>
      </w:r>
      <w:r w:rsidR="00E80D4E" w:rsidRPr="00A4248E">
        <w:rPr>
          <w:rFonts w:cs="Arial"/>
        </w:rPr>
        <w:t xml:space="preserve">The total number of reads obtained per sample </w:t>
      </w:r>
      <w:r w:rsidRPr="00A4248E">
        <w:rPr>
          <w:rFonts w:cs="Arial"/>
        </w:rPr>
        <w:t xml:space="preserve">ranged from </w:t>
      </w:r>
      <w:r w:rsidR="00927145" w:rsidRPr="00A4248E">
        <w:rPr>
          <w:rFonts w:cs="Arial"/>
        </w:rPr>
        <w:t>~</w:t>
      </w:r>
      <w:r w:rsidR="0070397A" w:rsidRPr="00A4248E">
        <w:rPr>
          <w:rFonts w:cs="Arial"/>
        </w:rPr>
        <w:t>23-54</w:t>
      </w:r>
      <w:r w:rsidR="00E80D4E" w:rsidRPr="00A4248E">
        <w:rPr>
          <w:rFonts w:cs="Arial"/>
        </w:rPr>
        <w:t>x10</w:t>
      </w:r>
      <w:r w:rsidR="00E80D4E" w:rsidRPr="00A4248E">
        <w:rPr>
          <w:rFonts w:cs="Arial"/>
          <w:vertAlign w:val="superscript"/>
        </w:rPr>
        <w:t>6</w:t>
      </w:r>
      <w:r w:rsidR="00DB1F0A">
        <w:rPr>
          <w:rFonts w:cs="Arial"/>
        </w:rPr>
        <w:t>. F</w:t>
      </w:r>
      <w:r w:rsidR="00650C0B" w:rsidRPr="00A4248E">
        <w:rPr>
          <w:rFonts w:cs="Arial"/>
        </w:rPr>
        <w:t xml:space="preserve">urther analysis of the sequencing statistics identified that 62.96 - 83.17% of reads were successfully </w:t>
      </w:r>
      <w:r w:rsidR="006E2919" w:rsidRPr="00A4248E">
        <w:rPr>
          <w:rFonts w:cs="Arial"/>
        </w:rPr>
        <w:t>on target areas of the</w:t>
      </w:r>
      <w:r w:rsidR="00650C0B" w:rsidRPr="00A4248E">
        <w:rPr>
          <w:rFonts w:cs="Arial"/>
        </w:rPr>
        <w:t xml:space="preserve"> genome, with average base depth per target of 34.68 – 79.63</w:t>
      </w:r>
      <w:r w:rsidR="0070397A" w:rsidRPr="00A4248E">
        <w:rPr>
          <w:rFonts w:cs="Arial"/>
        </w:rPr>
        <w:t>.</w:t>
      </w:r>
      <w:r w:rsidR="00650C0B" w:rsidRPr="00A4248E">
        <w:rPr>
          <w:rFonts w:cs="Arial"/>
        </w:rPr>
        <w:t xml:space="preserve"> The result of this coverage has ensured that a minimum of 96.58% of the target </w:t>
      </w:r>
      <w:r w:rsidR="006E2919" w:rsidRPr="00A4248E">
        <w:rPr>
          <w:rFonts w:cs="Arial"/>
        </w:rPr>
        <w:t xml:space="preserve">(the whole </w:t>
      </w:r>
      <w:r w:rsidR="00650C0B" w:rsidRPr="00A4248E">
        <w:rPr>
          <w:rFonts w:cs="Arial"/>
        </w:rPr>
        <w:t>exome</w:t>
      </w:r>
      <w:r w:rsidR="006E2919" w:rsidRPr="00A4248E">
        <w:rPr>
          <w:rFonts w:cs="Arial"/>
        </w:rPr>
        <w:t>)</w:t>
      </w:r>
      <w:r w:rsidR="00650C0B" w:rsidRPr="00A4248E">
        <w:rPr>
          <w:rFonts w:cs="Arial"/>
        </w:rPr>
        <w:t xml:space="preserve"> has been sequenced, with 67.61 – 88.33% of targets cove</w:t>
      </w:r>
      <w:r w:rsidR="00DB1F0A">
        <w:rPr>
          <w:rFonts w:cs="Arial"/>
        </w:rPr>
        <w:t>red to a depth of at least 20X.</w:t>
      </w:r>
    </w:p>
    <w:p w14:paraId="36B55A11" w14:textId="77777777" w:rsidR="009026CE" w:rsidRPr="00DB1F0A" w:rsidRDefault="009026CE" w:rsidP="001A69AC">
      <w:pPr>
        <w:spacing w:after="360" w:line="480" w:lineRule="auto"/>
        <w:rPr>
          <w:rFonts w:cs="Arial"/>
          <w:i/>
        </w:rPr>
      </w:pPr>
      <w:r>
        <w:rPr>
          <w:rFonts w:cs="Arial"/>
          <w:i/>
        </w:rPr>
        <w:t>Somatic Variants</w:t>
      </w:r>
    </w:p>
    <w:p w14:paraId="7FAB601B" w14:textId="4387F8CF" w:rsidR="000D3160" w:rsidRPr="00A4248E" w:rsidRDefault="000D3160" w:rsidP="001A69AC">
      <w:pPr>
        <w:spacing w:after="360" w:line="480" w:lineRule="auto"/>
        <w:rPr>
          <w:rFonts w:cs="Arial"/>
        </w:rPr>
      </w:pPr>
      <w:r w:rsidRPr="00A4248E">
        <w:rPr>
          <w:rFonts w:cs="Arial"/>
        </w:rPr>
        <w:t xml:space="preserve">The </w:t>
      </w:r>
      <w:r w:rsidR="00796EBE" w:rsidRPr="00A4248E">
        <w:rPr>
          <w:rFonts w:cs="Arial"/>
        </w:rPr>
        <w:t xml:space="preserve">mapped reads were subjected to </w:t>
      </w:r>
      <w:r w:rsidR="00A33C95" w:rsidRPr="00A4248E">
        <w:rPr>
          <w:rFonts w:cs="Arial"/>
        </w:rPr>
        <w:t xml:space="preserve">variant calling </w:t>
      </w:r>
      <w:r w:rsidR="00074AB2" w:rsidRPr="00A4248E">
        <w:rPr>
          <w:rFonts w:cs="Arial"/>
        </w:rPr>
        <w:t xml:space="preserve">based on a number of quality control criteria designed to optimise the analysis for high frequency variants and minimal false positive calls. These include minimum coverage criteria and quality scores for the SNV on each strand and a minimum observed allele frequency. The total number of variants identified can be seen in </w:t>
      </w:r>
      <w:r w:rsidR="00911C6B">
        <w:rPr>
          <w:rFonts w:cs="Arial"/>
        </w:rPr>
        <w:t xml:space="preserve">Supplementary </w:t>
      </w:r>
      <w:r w:rsidR="004B21B4">
        <w:rPr>
          <w:rFonts w:cs="Arial"/>
        </w:rPr>
        <w:t xml:space="preserve">Table </w:t>
      </w:r>
      <w:r w:rsidR="007E71E5">
        <w:rPr>
          <w:rFonts w:cs="Arial"/>
        </w:rPr>
        <w:t>S</w:t>
      </w:r>
      <w:r w:rsidR="00911C6B">
        <w:rPr>
          <w:rFonts w:cs="Arial"/>
        </w:rPr>
        <w:t>1</w:t>
      </w:r>
      <w:r w:rsidR="00DB1F0A">
        <w:rPr>
          <w:rFonts w:cs="Arial"/>
        </w:rPr>
        <w:t>.</w:t>
      </w:r>
      <w:r w:rsidR="00074AB2" w:rsidRPr="00A4248E">
        <w:rPr>
          <w:rFonts w:cs="Arial"/>
        </w:rPr>
        <w:t xml:space="preserve"> </w:t>
      </w:r>
      <w:r w:rsidR="00DB1F0A">
        <w:rPr>
          <w:rFonts w:cs="Arial"/>
        </w:rPr>
        <w:t>The analysis</w:t>
      </w:r>
      <w:r w:rsidR="00796EBE" w:rsidRPr="00A4248E">
        <w:rPr>
          <w:rFonts w:cs="Arial"/>
        </w:rPr>
        <w:t xml:space="preserve"> workflow was designed to </w:t>
      </w:r>
      <w:r w:rsidR="00796EBE" w:rsidRPr="00A4248E">
        <w:rPr>
          <w:rFonts w:cs="Arial"/>
        </w:rPr>
        <w:lastRenderedPageBreak/>
        <w:t>remove germline mutations and identify somatic SNVs that are non-synonymous, missense and biologically deleterious</w:t>
      </w:r>
      <w:r w:rsidR="009026CE">
        <w:rPr>
          <w:rFonts w:cs="Arial"/>
        </w:rPr>
        <w:t xml:space="preserve">, resulting in </w:t>
      </w:r>
      <w:r w:rsidR="00F417E1" w:rsidRPr="00A4248E">
        <w:rPr>
          <w:rFonts w:cs="Arial"/>
        </w:rPr>
        <w:t>585 unique SNVs.</w:t>
      </w:r>
    </w:p>
    <w:p w14:paraId="5B276441" w14:textId="658FE515" w:rsidR="005F2B93" w:rsidRPr="00A4248E" w:rsidRDefault="001862A7" w:rsidP="001A69AC">
      <w:pPr>
        <w:spacing w:after="360" w:line="480" w:lineRule="auto"/>
        <w:rPr>
          <w:rFonts w:cs="Arial"/>
        </w:rPr>
      </w:pPr>
      <w:r w:rsidRPr="00A4248E">
        <w:rPr>
          <w:rFonts w:cs="Arial"/>
        </w:rPr>
        <w:t xml:space="preserve">A total of 215 SNVs </w:t>
      </w:r>
      <w:r w:rsidR="00B1017D">
        <w:rPr>
          <w:rFonts w:cs="Arial"/>
        </w:rPr>
        <w:t xml:space="preserve">(36.8%) </w:t>
      </w:r>
      <w:r w:rsidRPr="00A4248E">
        <w:rPr>
          <w:rFonts w:cs="Arial"/>
        </w:rPr>
        <w:t xml:space="preserve">were </w:t>
      </w:r>
      <w:r w:rsidR="00DB1F0A" w:rsidRPr="00A4248E">
        <w:rPr>
          <w:rFonts w:cs="Arial"/>
        </w:rPr>
        <w:t xml:space="preserve">present in one or more of the primary tumours but not </w:t>
      </w:r>
      <w:r w:rsidR="00B1017D">
        <w:rPr>
          <w:rFonts w:cs="Arial"/>
        </w:rPr>
        <w:t>present in any of the metastases</w:t>
      </w:r>
      <w:r w:rsidR="00DB1F0A">
        <w:rPr>
          <w:rFonts w:cs="Arial"/>
        </w:rPr>
        <w:t xml:space="preserve">, and 226 </w:t>
      </w:r>
      <w:r w:rsidR="00B1017D">
        <w:rPr>
          <w:rFonts w:cs="Arial"/>
        </w:rPr>
        <w:t xml:space="preserve">(38.6%) </w:t>
      </w:r>
      <w:r w:rsidR="00DB1F0A">
        <w:rPr>
          <w:rFonts w:cs="Arial"/>
        </w:rPr>
        <w:t xml:space="preserve">were present in the metastases but not present in any of the primary tumours. </w:t>
      </w:r>
      <w:r w:rsidR="0030018A" w:rsidRPr="00A4248E">
        <w:rPr>
          <w:rFonts w:cs="Arial"/>
        </w:rPr>
        <w:t xml:space="preserve">A total of 81 SNVs </w:t>
      </w:r>
      <w:r w:rsidR="00B1017D">
        <w:rPr>
          <w:rFonts w:cs="Arial"/>
        </w:rPr>
        <w:t xml:space="preserve">(13.8%) </w:t>
      </w:r>
      <w:r w:rsidR="0030018A" w:rsidRPr="00A4248E">
        <w:rPr>
          <w:rFonts w:cs="Arial"/>
        </w:rPr>
        <w:t xml:space="preserve">were </w:t>
      </w:r>
      <w:r w:rsidR="00AA7660" w:rsidRPr="00A4248E">
        <w:rPr>
          <w:rFonts w:cs="Arial"/>
        </w:rPr>
        <w:t>present in at least one primary and metastatic tumour pertaining to the same patient</w:t>
      </w:r>
      <w:r w:rsidR="00B1017D">
        <w:rPr>
          <w:rFonts w:cs="Arial"/>
        </w:rPr>
        <w:t xml:space="preserve">, and the remaining 63 (10.8%) were present in a primary and metastasis of different patients. </w:t>
      </w:r>
      <w:r w:rsidR="0030018A" w:rsidRPr="00A4248E">
        <w:rPr>
          <w:rFonts w:cs="Arial"/>
        </w:rPr>
        <w:t>Ingenuity core analysis of direct and indirect relationships revealed the significant canonical pathways in this group to be</w:t>
      </w:r>
      <w:r w:rsidR="0040738F" w:rsidRPr="00A4248E">
        <w:rPr>
          <w:rFonts w:cs="Arial"/>
        </w:rPr>
        <w:t xml:space="preserve"> ErbB signalling, germ cell-sertoli cell junction signalling, endothelin-1 signalling, antiproliferative role of somatostatin receptor 2, and rening-angiotensin signalling. </w:t>
      </w:r>
      <w:r w:rsidR="0030018A" w:rsidRPr="00A4248E">
        <w:rPr>
          <w:rFonts w:cs="Arial"/>
        </w:rPr>
        <w:t xml:space="preserve"> </w:t>
      </w:r>
      <w:r w:rsidR="00F81C6A">
        <w:rPr>
          <w:rFonts w:cs="Arial"/>
        </w:rPr>
        <w:t>Pathway s</w:t>
      </w:r>
      <w:r w:rsidR="0030018A" w:rsidRPr="00A4248E">
        <w:rPr>
          <w:rFonts w:cs="Arial"/>
        </w:rPr>
        <w:t xml:space="preserve">tatistics for these identified pathways can be seen in </w:t>
      </w:r>
      <w:r w:rsidR="00CF23DE" w:rsidRPr="00A4248E">
        <w:rPr>
          <w:rFonts w:cs="Arial"/>
        </w:rPr>
        <w:t>Table</w:t>
      </w:r>
      <w:r w:rsidR="0030018A" w:rsidRPr="00A4248E">
        <w:rPr>
          <w:rFonts w:cs="Arial"/>
        </w:rPr>
        <w:t xml:space="preserve"> </w:t>
      </w:r>
      <w:r w:rsidR="00911C6B">
        <w:rPr>
          <w:rFonts w:cs="Arial"/>
        </w:rPr>
        <w:t>2</w:t>
      </w:r>
      <w:r w:rsidR="00AA7660">
        <w:rPr>
          <w:rFonts w:cs="Arial"/>
        </w:rPr>
        <w:t xml:space="preserve">. </w:t>
      </w:r>
      <w:r w:rsidR="0040738F" w:rsidRPr="00A4248E">
        <w:rPr>
          <w:rFonts w:cs="Arial"/>
          <w:noProof/>
        </w:rPr>
        <w:t xml:space="preserve"> </w:t>
      </w:r>
    </w:p>
    <w:p w14:paraId="113DE742" w14:textId="7A8882B7" w:rsidR="0040738F" w:rsidRPr="00A4248E" w:rsidRDefault="0040738F" w:rsidP="001A69AC">
      <w:pPr>
        <w:spacing w:after="360" w:line="480" w:lineRule="auto"/>
        <w:rPr>
          <w:rFonts w:cs="Arial"/>
        </w:rPr>
      </w:pPr>
      <w:r w:rsidRPr="00A4248E">
        <w:rPr>
          <w:rFonts w:cs="Arial"/>
        </w:rPr>
        <w:t xml:space="preserve">The ErbB signalling pathway was identified as the most significant </w:t>
      </w:r>
      <w:r w:rsidR="00D05D9E" w:rsidRPr="00A4248E">
        <w:rPr>
          <w:rFonts w:cs="Arial"/>
        </w:rPr>
        <w:t xml:space="preserve">pathway arising from the analysis of SNVs meeting these criteria. </w:t>
      </w:r>
      <w:r w:rsidR="00F81C6A">
        <w:rPr>
          <w:rFonts w:cs="Arial"/>
        </w:rPr>
        <w:t>Six</w:t>
      </w:r>
      <w:r w:rsidR="00D05D9E" w:rsidRPr="00A4248E">
        <w:rPr>
          <w:rFonts w:cs="Arial"/>
        </w:rPr>
        <w:t xml:space="preserve"> (</w:t>
      </w:r>
      <w:r w:rsidR="00D05D9E" w:rsidRPr="00EC1A30">
        <w:rPr>
          <w:rFonts w:cs="Arial"/>
          <w:i/>
        </w:rPr>
        <w:t>KRAS, MAP2K3, PAK2, PIK3C2G, PLCG2, RRAS</w:t>
      </w:r>
      <w:r w:rsidR="00D05D9E" w:rsidRPr="00A4248E">
        <w:rPr>
          <w:rFonts w:cs="Arial"/>
        </w:rPr>
        <w:t xml:space="preserve">) </w:t>
      </w:r>
      <w:r w:rsidR="00F81C6A">
        <w:rPr>
          <w:rFonts w:cs="Arial"/>
        </w:rPr>
        <w:t>genes within this pathway</w:t>
      </w:r>
      <w:r w:rsidR="00D05D9E" w:rsidRPr="00A4248E">
        <w:rPr>
          <w:rFonts w:cs="Arial"/>
        </w:rPr>
        <w:t xml:space="preserve"> </w:t>
      </w:r>
      <w:r w:rsidR="00F81C6A">
        <w:rPr>
          <w:rFonts w:cs="Arial"/>
        </w:rPr>
        <w:t xml:space="preserve">(Figure 1) </w:t>
      </w:r>
      <w:r w:rsidR="00D05D9E" w:rsidRPr="00A4248E">
        <w:rPr>
          <w:rFonts w:cs="Arial"/>
        </w:rPr>
        <w:t>contained SNVs (ratio 0.07)</w:t>
      </w:r>
      <w:r w:rsidR="00F81C6A">
        <w:rPr>
          <w:rFonts w:cs="Arial"/>
        </w:rPr>
        <w:t>;</w:t>
      </w:r>
      <w:r w:rsidR="00D05D9E" w:rsidRPr="00A4248E">
        <w:rPr>
          <w:rFonts w:cs="Arial"/>
        </w:rPr>
        <w:t xml:space="preserve"> the likelihood of this combination of SNVs occurring due to chance alone is &lt;5.87x10</w:t>
      </w:r>
      <w:r w:rsidR="00D05D9E" w:rsidRPr="00A4248E">
        <w:rPr>
          <w:rFonts w:cs="Arial"/>
          <w:vertAlign w:val="superscript"/>
        </w:rPr>
        <w:t>-7</w:t>
      </w:r>
      <w:r w:rsidR="00FC7CA2" w:rsidRPr="00A4248E">
        <w:rPr>
          <w:rFonts w:cs="Arial"/>
          <w:vertAlign w:val="superscript"/>
        </w:rPr>
        <w:t xml:space="preserve">. </w:t>
      </w:r>
    </w:p>
    <w:p w14:paraId="0EDD9A0F" w14:textId="2EC92CF9" w:rsidR="0040738F" w:rsidRPr="00A4248E" w:rsidRDefault="0040738F" w:rsidP="001A69AC">
      <w:pPr>
        <w:spacing w:after="360" w:line="480" w:lineRule="auto"/>
        <w:rPr>
          <w:rFonts w:cs="Arial"/>
        </w:rPr>
      </w:pPr>
      <w:r w:rsidRPr="00A4248E">
        <w:rPr>
          <w:rFonts w:cs="Arial"/>
        </w:rPr>
        <w:t xml:space="preserve">Further analysis of all (unfiltered) biological pathways identified </w:t>
      </w:r>
      <w:r w:rsidR="00217843" w:rsidRPr="00A4248E">
        <w:rPr>
          <w:rFonts w:cs="Arial"/>
        </w:rPr>
        <w:t>3</w:t>
      </w:r>
      <w:r w:rsidRPr="00A4248E">
        <w:rPr>
          <w:rFonts w:cs="Arial"/>
        </w:rPr>
        <w:t xml:space="preserve"> networks with scores greater than 2 pertaining to</w:t>
      </w:r>
      <w:r w:rsidR="00217843" w:rsidRPr="00A4248E">
        <w:rPr>
          <w:rFonts w:cs="Arial"/>
        </w:rPr>
        <w:t xml:space="preserve"> endocrine system disorders, gastrointestinal disease, inflammatory disease, cellular development, nervous system development and function, tissue development, free radical scavenging, molecular transport and cellular growth and proliferation</w:t>
      </w:r>
      <w:r w:rsidRPr="00A4248E">
        <w:rPr>
          <w:rFonts w:cs="Arial"/>
        </w:rPr>
        <w:t xml:space="preserve">. The focus genes and statistics pertinent to these networks can be seen in </w:t>
      </w:r>
      <w:r w:rsidR="00CF23DE" w:rsidRPr="00A4248E">
        <w:rPr>
          <w:rFonts w:cs="Arial"/>
        </w:rPr>
        <w:t>Table</w:t>
      </w:r>
      <w:r w:rsidRPr="00A4248E">
        <w:rPr>
          <w:rFonts w:cs="Arial"/>
        </w:rPr>
        <w:t xml:space="preserve"> </w:t>
      </w:r>
      <w:r w:rsidR="00911C6B">
        <w:rPr>
          <w:rFonts w:cs="Arial"/>
        </w:rPr>
        <w:t>3</w:t>
      </w:r>
      <w:r w:rsidR="00AA7660">
        <w:rPr>
          <w:rFonts w:cs="Arial"/>
        </w:rPr>
        <w:t>.</w:t>
      </w:r>
      <w:r w:rsidRPr="00A4248E">
        <w:rPr>
          <w:rFonts w:cs="Arial"/>
        </w:rPr>
        <w:t xml:space="preserve"> </w:t>
      </w:r>
    </w:p>
    <w:p w14:paraId="666BE513" w14:textId="77777777" w:rsidR="00A73469" w:rsidRPr="00AA7660" w:rsidRDefault="00AA7660" w:rsidP="001A69AC">
      <w:pPr>
        <w:spacing w:after="360" w:line="480" w:lineRule="auto"/>
        <w:rPr>
          <w:rFonts w:cs="Arial"/>
          <w:i/>
        </w:rPr>
      </w:pPr>
      <w:r w:rsidRPr="00AA7660">
        <w:rPr>
          <w:rFonts w:cs="Arial"/>
          <w:i/>
        </w:rPr>
        <w:t xml:space="preserve">Validation by </w:t>
      </w:r>
      <w:r w:rsidR="00A73469" w:rsidRPr="00AA7660">
        <w:rPr>
          <w:rFonts w:cs="Arial"/>
          <w:i/>
        </w:rPr>
        <w:t xml:space="preserve">Sanger sequencing </w:t>
      </w:r>
    </w:p>
    <w:p w14:paraId="7C54E70B" w14:textId="13112914" w:rsidR="00321646" w:rsidRPr="00A4248E" w:rsidRDefault="00560B21" w:rsidP="008322DB">
      <w:pPr>
        <w:spacing w:after="360" w:line="480" w:lineRule="auto"/>
      </w:pPr>
      <w:r w:rsidRPr="00A4248E">
        <w:rPr>
          <w:rFonts w:cs="Arial"/>
        </w:rPr>
        <w:lastRenderedPageBreak/>
        <w:t xml:space="preserve">Sanger sequencing was </w:t>
      </w:r>
      <w:r w:rsidR="00F81C6A">
        <w:rPr>
          <w:rFonts w:cs="Arial"/>
        </w:rPr>
        <w:t>performed</w:t>
      </w:r>
      <w:r w:rsidRPr="00A4248E">
        <w:rPr>
          <w:rFonts w:cs="Arial"/>
        </w:rPr>
        <w:t xml:space="preserve"> for </w:t>
      </w:r>
      <w:r w:rsidR="00AA7660">
        <w:rPr>
          <w:rFonts w:cs="Arial"/>
        </w:rPr>
        <w:t xml:space="preserve">the 6 </w:t>
      </w:r>
      <w:r w:rsidRPr="00A4248E">
        <w:rPr>
          <w:rFonts w:cs="Arial"/>
        </w:rPr>
        <w:t xml:space="preserve">SNVs </w:t>
      </w:r>
      <w:r w:rsidR="00AA7660">
        <w:rPr>
          <w:rFonts w:cs="Arial"/>
        </w:rPr>
        <w:t xml:space="preserve">identified in the </w:t>
      </w:r>
      <w:r w:rsidR="00F81C6A">
        <w:rPr>
          <w:rFonts w:cs="Arial"/>
        </w:rPr>
        <w:t xml:space="preserve">ErbB signalling pathway, which largely correlate the sequencing data </w:t>
      </w:r>
      <w:r w:rsidR="00911C6B">
        <w:rPr>
          <w:rFonts w:cs="Arial"/>
        </w:rPr>
        <w:t>(Table 4</w:t>
      </w:r>
      <w:r w:rsidR="00AA7660">
        <w:rPr>
          <w:rFonts w:cs="Arial"/>
        </w:rPr>
        <w:t>)</w:t>
      </w:r>
      <w:r w:rsidR="003D64F1">
        <w:rPr>
          <w:rFonts w:cs="Arial"/>
        </w:rPr>
        <w:t>. T</w:t>
      </w:r>
      <w:r w:rsidR="002B33FE" w:rsidRPr="00A4248E">
        <w:t>he SNV</w:t>
      </w:r>
      <w:r w:rsidR="00955C4A">
        <w:t xml:space="preserve"> in the</w:t>
      </w:r>
      <w:r w:rsidR="008322DB">
        <w:t xml:space="preserve"> </w:t>
      </w:r>
      <w:r w:rsidR="002B33FE" w:rsidRPr="00666C1C">
        <w:rPr>
          <w:i/>
        </w:rPr>
        <w:t>KRAS</w:t>
      </w:r>
      <w:r w:rsidR="002B33FE" w:rsidRPr="00A4248E">
        <w:t xml:space="preserve"> gene was confirmed in 1 of 2 expected samples</w:t>
      </w:r>
      <w:r w:rsidR="00321646" w:rsidRPr="00A4248E">
        <w:t xml:space="preserve"> and no others</w:t>
      </w:r>
      <w:r w:rsidR="008322DB">
        <w:t xml:space="preserve">. The SNV in the </w:t>
      </w:r>
      <w:r w:rsidR="002B33FE" w:rsidRPr="00666C1C">
        <w:rPr>
          <w:i/>
        </w:rPr>
        <w:t>MAP2K3</w:t>
      </w:r>
      <w:r w:rsidR="002B33FE" w:rsidRPr="00A4248E">
        <w:t xml:space="preserve"> gene was confirmed in 2 of 2 expected samples and </w:t>
      </w:r>
      <w:r w:rsidR="00321646" w:rsidRPr="00A4248E">
        <w:t>two</w:t>
      </w:r>
      <w:r w:rsidR="008322DB">
        <w:t xml:space="preserve"> others (from the same </w:t>
      </w:r>
      <w:r w:rsidR="002B33FE" w:rsidRPr="00A4248E">
        <w:t>patient)</w:t>
      </w:r>
      <w:r w:rsidR="008322DB">
        <w:t xml:space="preserve">. The SNV in the </w:t>
      </w:r>
      <w:r w:rsidR="002B33FE" w:rsidRPr="00666C1C">
        <w:rPr>
          <w:i/>
        </w:rPr>
        <w:t>PAK2</w:t>
      </w:r>
      <w:r w:rsidR="002B33FE" w:rsidRPr="00A4248E">
        <w:t xml:space="preserve"> gene was not </w:t>
      </w:r>
      <w:r w:rsidR="00321646" w:rsidRPr="00A4248E">
        <w:t xml:space="preserve">confirmed </w:t>
      </w:r>
      <w:r w:rsidR="002B33FE" w:rsidRPr="00A4248E">
        <w:t>in any sample</w:t>
      </w:r>
      <w:r w:rsidR="008322DB">
        <w:t xml:space="preserve">. The SNV in the </w:t>
      </w:r>
      <w:r w:rsidR="002B33FE" w:rsidRPr="00666C1C">
        <w:rPr>
          <w:i/>
        </w:rPr>
        <w:t>PIK3C2G</w:t>
      </w:r>
      <w:r w:rsidR="002B33FE" w:rsidRPr="00A4248E">
        <w:t xml:space="preserve"> gene was </w:t>
      </w:r>
      <w:r w:rsidR="00321646" w:rsidRPr="00A4248E">
        <w:t>confirmed</w:t>
      </w:r>
      <w:r w:rsidR="002B33FE" w:rsidRPr="00A4248E">
        <w:t xml:space="preserve"> in 2 of 2 expected samples and one other</w:t>
      </w:r>
      <w:r w:rsidR="008322DB">
        <w:t xml:space="preserve">. The SNV in the </w:t>
      </w:r>
      <w:r w:rsidR="00321646" w:rsidRPr="00666C1C">
        <w:rPr>
          <w:i/>
        </w:rPr>
        <w:t>PLCG2</w:t>
      </w:r>
      <w:r w:rsidR="00321646" w:rsidRPr="00A4248E">
        <w:t xml:space="preserve"> gene was confirmed in 2 of 2 expected samples and no others</w:t>
      </w:r>
      <w:r w:rsidR="008322DB">
        <w:t xml:space="preserve">. Finally, the SNV in the </w:t>
      </w:r>
      <w:r w:rsidR="00321646" w:rsidRPr="00666C1C">
        <w:rPr>
          <w:i/>
        </w:rPr>
        <w:t>RRAS</w:t>
      </w:r>
      <w:r w:rsidR="00321646" w:rsidRPr="00A4248E">
        <w:t xml:space="preserve"> gene was confirmed in 2 of 2 expected samples and no others</w:t>
      </w:r>
    </w:p>
    <w:p w14:paraId="44168E11" w14:textId="55526019" w:rsidR="00F36C1A" w:rsidRPr="00A4248E" w:rsidRDefault="00E80D4E" w:rsidP="001A69AC">
      <w:pPr>
        <w:spacing w:after="360" w:line="480" w:lineRule="auto"/>
      </w:pPr>
      <w:r w:rsidRPr="00A4248E">
        <w:br w:type="page"/>
      </w:r>
      <w:r w:rsidR="00F36C1A" w:rsidRPr="00A4248E">
        <w:lastRenderedPageBreak/>
        <w:t>Discussion</w:t>
      </w:r>
    </w:p>
    <w:p w14:paraId="44C2B4BE" w14:textId="61CFC243" w:rsidR="00420803" w:rsidRPr="00A4248E" w:rsidRDefault="0007146A" w:rsidP="001A69AC">
      <w:pPr>
        <w:spacing w:after="360" w:line="480" w:lineRule="auto"/>
        <w:rPr>
          <w:rFonts w:cs="Arial"/>
          <w:vertAlign w:val="superscript"/>
        </w:rPr>
      </w:pPr>
      <w:r w:rsidRPr="00A4248E">
        <w:t xml:space="preserve">In this study, a comprehensive exome analysis of four </w:t>
      </w:r>
      <w:r w:rsidR="00F81C6A">
        <w:t>synchronously</w:t>
      </w:r>
      <w:r w:rsidRPr="00A4248E">
        <w:t xml:space="preserve"> resected patient matched primary and metastatic tumours was performed. </w:t>
      </w:r>
      <w:r w:rsidR="00F417E1" w:rsidRPr="00A4248E">
        <w:rPr>
          <w:rFonts w:cs="Times New Roman"/>
        </w:rPr>
        <w:t>Of the 585 unique non-synonymous, missense SNVs identified</w:t>
      </w:r>
      <w:r w:rsidR="00025D9C">
        <w:rPr>
          <w:rFonts w:cs="Times New Roman"/>
        </w:rPr>
        <w:t>,</w:t>
      </w:r>
      <w:r w:rsidR="00F417E1" w:rsidRPr="00A4248E">
        <w:rPr>
          <w:rFonts w:cs="Times New Roman"/>
        </w:rPr>
        <w:t xml:space="preserve"> 215 (36.8%) were unique to the primary tumour, 226 (38.6%) unique to the met</w:t>
      </w:r>
      <w:r w:rsidR="00321646" w:rsidRPr="00A4248E">
        <w:rPr>
          <w:rFonts w:cs="Times New Roman"/>
        </w:rPr>
        <w:t>astasis and 81 (13.8%) present</w:t>
      </w:r>
      <w:r w:rsidR="00F417E1" w:rsidRPr="00A4248E">
        <w:rPr>
          <w:rFonts w:cs="Times New Roman"/>
        </w:rPr>
        <w:t xml:space="preserve"> in at least one primary and metastatic tumour pertaining to the same patient. The remaining 63 (10.8%) were neither unique to a tissue type </w:t>
      </w:r>
      <w:r w:rsidR="00263EBB">
        <w:rPr>
          <w:rFonts w:cs="Times New Roman"/>
        </w:rPr>
        <w:t>n</w:t>
      </w:r>
      <w:r w:rsidR="00F417E1" w:rsidRPr="00A4248E">
        <w:rPr>
          <w:rFonts w:cs="Times New Roman"/>
        </w:rPr>
        <w:t>or present in a pair of samples from the same patient.</w:t>
      </w:r>
      <w:r w:rsidR="00321646" w:rsidRPr="00A4248E">
        <w:rPr>
          <w:rFonts w:cs="Times New Roman"/>
        </w:rPr>
        <w:t xml:space="preserve"> </w:t>
      </w:r>
      <w:r w:rsidR="00420803" w:rsidRPr="00A4248E">
        <w:rPr>
          <w:rFonts w:cs="Arial"/>
        </w:rPr>
        <w:t>The ErbB signalling pathway was identified as the most significant pathway arising from the analysis of SNVs in paired patient samples, with 6 (</w:t>
      </w:r>
      <w:r w:rsidR="00420803" w:rsidRPr="00A4248E">
        <w:rPr>
          <w:rFonts w:cs="Arial"/>
          <w:i/>
        </w:rPr>
        <w:t>KRAS, MAP2K3, PAK2, PIK3C2G, PLCG2, RRAS</w:t>
      </w:r>
      <w:r w:rsidR="00420803" w:rsidRPr="00A4248E">
        <w:rPr>
          <w:rFonts w:cs="Arial"/>
        </w:rPr>
        <w:t>) pathway genes containing SNVs (Ratio 0.07, p=5.87x10</w:t>
      </w:r>
      <w:r w:rsidR="00666C1C">
        <w:rPr>
          <w:rFonts w:cs="Arial"/>
          <w:vertAlign w:val="superscript"/>
        </w:rPr>
        <w:t>-7</w:t>
      </w:r>
      <w:r w:rsidR="00666C1C" w:rsidRPr="00666C1C">
        <w:rPr>
          <w:rFonts w:cs="Arial"/>
        </w:rPr>
        <w:t>).</w:t>
      </w:r>
    </w:p>
    <w:p w14:paraId="7C9CA70D" w14:textId="360F0D77" w:rsidR="000117B2" w:rsidRPr="00A4248E" w:rsidRDefault="000117B2" w:rsidP="001A69AC">
      <w:pPr>
        <w:spacing w:after="360" w:line="480" w:lineRule="auto"/>
        <w:rPr>
          <w:rFonts w:cs="Times New Roman"/>
        </w:rPr>
      </w:pPr>
      <w:r w:rsidRPr="00A4248E">
        <w:rPr>
          <w:rFonts w:cs="Times New Roman"/>
        </w:rPr>
        <w:t>For decades our understanding of the genetics of colorectal carcinogenesis has gone un</w:t>
      </w:r>
      <w:r w:rsidR="00666C1C">
        <w:rPr>
          <w:rFonts w:cs="Times New Roman"/>
        </w:rPr>
        <w:t xml:space="preserve">challenged, </w:t>
      </w:r>
      <w:r w:rsidRPr="00A4248E">
        <w:rPr>
          <w:rFonts w:cs="Times New Roman"/>
        </w:rPr>
        <w:t>however a complete catalogue of oncogenic drivers has yet to be determined.</w:t>
      </w:r>
      <w:r w:rsidR="003D64F1">
        <w:rPr>
          <w:rFonts w:cs="Times New Roman"/>
        </w:rPr>
        <w:t xml:space="preserve"> </w:t>
      </w:r>
      <w:r w:rsidRPr="00A4248E">
        <w:rPr>
          <w:rFonts w:cs="Times New Roman"/>
        </w:rPr>
        <w:t>The largest published study to date remains T</w:t>
      </w:r>
      <w:r w:rsidR="00312368">
        <w:rPr>
          <w:rFonts w:cs="Times New Roman"/>
        </w:rPr>
        <w:t xml:space="preserve">he Cancer Genome Atlas Network </w:t>
      </w:r>
      <w:r w:rsidRPr="00A4248E">
        <w:rPr>
          <w:rFonts w:cs="Times New Roman"/>
        </w:rPr>
        <w:t>of 276 colorectal samples subjected to exome sequencing, 97 of which also un</w:t>
      </w:r>
      <w:r w:rsidR="00E14282">
        <w:rPr>
          <w:rFonts w:cs="Times New Roman"/>
        </w:rPr>
        <w:t>derwent whole genome sequencing (Cancer Genome Atlas Network, 2012).</w:t>
      </w:r>
      <w:r w:rsidR="00F84C55">
        <w:rPr>
          <w:rFonts w:cs="Times New Roman"/>
          <w:vertAlign w:val="superscript"/>
        </w:rPr>
        <w:t xml:space="preserve"> </w:t>
      </w:r>
      <w:r w:rsidR="00F84C55">
        <w:rPr>
          <w:rFonts w:cs="Times New Roman"/>
        </w:rPr>
        <w:t xml:space="preserve">[9] </w:t>
      </w:r>
      <w:r w:rsidRPr="00A4248E">
        <w:rPr>
          <w:rFonts w:cs="Times New Roman"/>
        </w:rPr>
        <w:t xml:space="preserve">This paper demonstrated that colon and rectal cancers had similar patterns of genomic alteration, and that most of the 24 genes found to be significantly mutated were known cancer-related genes such as </w:t>
      </w:r>
      <w:r w:rsidRPr="00A4248E">
        <w:rPr>
          <w:rFonts w:cs="Times New Roman"/>
          <w:i/>
        </w:rPr>
        <w:t>APC, TP53, KRAS, PIK3CA and SMAD4</w:t>
      </w:r>
      <w:r w:rsidRPr="00A4248E">
        <w:rPr>
          <w:rFonts w:cs="Times New Roman"/>
        </w:rPr>
        <w:t xml:space="preserve">. </w:t>
      </w:r>
    </w:p>
    <w:p w14:paraId="20C1893F" w14:textId="20F67CE6" w:rsidR="004F34E0" w:rsidRPr="00F15DFE" w:rsidRDefault="009F08C0" w:rsidP="001A69AC">
      <w:pPr>
        <w:spacing w:after="360" w:line="480" w:lineRule="auto"/>
      </w:pPr>
      <w:r w:rsidRPr="00A4248E">
        <w:rPr>
          <w:rFonts w:cs="Times New Roman"/>
        </w:rPr>
        <w:t>A number of</w:t>
      </w:r>
      <w:r w:rsidR="003D64F1">
        <w:rPr>
          <w:rFonts w:cs="Times New Roman"/>
        </w:rPr>
        <w:t xml:space="preserve"> smaller</w:t>
      </w:r>
      <w:r w:rsidRPr="00A4248E">
        <w:rPr>
          <w:rFonts w:cs="Times New Roman"/>
        </w:rPr>
        <w:t xml:space="preserve"> studies, published both before and after, have attempted to improve our understanding of the genomic aberrations in colorectal cancer</w:t>
      </w:r>
      <w:r w:rsidR="002A6121" w:rsidRPr="00A4248E">
        <w:rPr>
          <w:rFonts w:cs="Times New Roman"/>
        </w:rPr>
        <w:t xml:space="preserve"> with three main aims: identifying clinically actionable targets for personalised therapy, improving pathway-level understanding of carcinogenesis, and identifying novel features or mutation types. A summary of these papers can be seen in </w:t>
      </w:r>
      <w:r w:rsidR="00835B62">
        <w:rPr>
          <w:rFonts w:cs="Times New Roman"/>
        </w:rPr>
        <w:t xml:space="preserve">Supplementary Table </w:t>
      </w:r>
      <w:r w:rsidR="007E71E5">
        <w:rPr>
          <w:rFonts w:cs="Times New Roman"/>
        </w:rPr>
        <w:t>S</w:t>
      </w:r>
      <w:r w:rsidR="00BC4765">
        <w:rPr>
          <w:rFonts w:cs="Times New Roman"/>
        </w:rPr>
        <w:t>2</w:t>
      </w:r>
      <w:r w:rsidR="003D64F1">
        <w:rPr>
          <w:rFonts w:cs="Times New Roman"/>
        </w:rPr>
        <w:t xml:space="preserve">. </w:t>
      </w:r>
      <w:r w:rsidR="00B34DC0" w:rsidRPr="00A4248E">
        <w:rPr>
          <w:rFonts w:cs="Times New Roman"/>
        </w:rPr>
        <w:t xml:space="preserve">Kloosterman </w:t>
      </w:r>
      <w:r w:rsidR="00B34DC0" w:rsidRPr="00A4248E">
        <w:rPr>
          <w:rFonts w:cs="Times New Roman"/>
          <w:i/>
        </w:rPr>
        <w:t>et al</w:t>
      </w:r>
      <w:r w:rsidR="00B34DC0" w:rsidRPr="00A4248E">
        <w:rPr>
          <w:rFonts w:cs="Times New Roman"/>
        </w:rPr>
        <w:t xml:space="preserve"> </w:t>
      </w:r>
      <w:r w:rsidR="008A152A" w:rsidRPr="00A4248E">
        <w:rPr>
          <w:rFonts w:cs="Times New Roman"/>
        </w:rPr>
        <w:t xml:space="preserve">demonstrated that chromothripsis is a widespread phenomenon in colorectal primary and </w:t>
      </w:r>
      <w:r w:rsidR="008A152A" w:rsidRPr="00A4248E">
        <w:rPr>
          <w:rFonts w:cs="Times New Roman"/>
        </w:rPr>
        <w:lastRenderedPageBreak/>
        <w:t>metastatic tumours with considerable variation be</w:t>
      </w:r>
      <w:r w:rsidR="00D85094" w:rsidRPr="00A4248E">
        <w:rPr>
          <w:rFonts w:cs="Times New Roman"/>
        </w:rPr>
        <w:t>tween sites</w:t>
      </w:r>
      <w:r w:rsidR="00F84C55">
        <w:rPr>
          <w:rFonts w:cs="Times New Roman"/>
        </w:rPr>
        <w:t xml:space="preserve"> [10]</w:t>
      </w:r>
      <w:r w:rsidR="00DC3811">
        <w:rPr>
          <w:rFonts w:cs="Times New Roman"/>
        </w:rPr>
        <w:t xml:space="preserve">. </w:t>
      </w:r>
      <w:r w:rsidR="002E4FDE">
        <w:rPr>
          <w:rFonts w:cs="Times New Roman"/>
        </w:rPr>
        <w:t xml:space="preserve"> </w:t>
      </w:r>
      <w:r w:rsidR="004F34E0" w:rsidRPr="00F15DFE">
        <w:t xml:space="preserve">Xie </w:t>
      </w:r>
      <w:r w:rsidR="004F34E0" w:rsidRPr="00F15DFE">
        <w:rPr>
          <w:i/>
        </w:rPr>
        <w:t>et al</w:t>
      </w:r>
      <w:r w:rsidR="00E14282">
        <w:rPr>
          <w:i/>
        </w:rPr>
        <w:t xml:space="preserve"> </w:t>
      </w:r>
      <w:r w:rsidR="004F34E0" w:rsidRPr="00F15DFE">
        <w:t>performed whole genome sequencing of patient matched primary an</w:t>
      </w:r>
      <w:r w:rsidR="00F84C55">
        <w:t>d metastatic colorectal tumours. [11]</w:t>
      </w:r>
      <w:r w:rsidR="004F34E0" w:rsidRPr="00F15DFE">
        <w:t xml:space="preserve"> Comparing the data to germline DNA they characterised somatic alterations including single nucleotide variants, insertions and deletions, copy number aberrations and structural alterations. The proportion of somatic SNVs shared between primary tumour and liver metastasis were 68.4% and 52.8%, compared to 13.8% in our study.</w:t>
      </w:r>
      <w:r w:rsidR="004F34E0">
        <w:t xml:space="preserve"> </w:t>
      </w:r>
      <w:r w:rsidR="004F34E0" w:rsidRPr="00F15DFE">
        <w:t xml:space="preserve">Brannon </w:t>
      </w:r>
      <w:r w:rsidR="004F34E0" w:rsidRPr="00F15DFE">
        <w:rPr>
          <w:i/>
        </w:rPr>
        <w:t>et al</w:t>
      </w:r>
      <w:r w:rsidR="00312368">
        <w:t xml:space="preserve"> </w:t>
      </w:r>
      <w:r w:rsidR="004F34E0" w:rsidRPr="00F15DFE">
        <w:t xml:space="preserve">performed targeted sequencing of 230 key genes in 69 matched primary and metastatic tumours, alongside whole </w:t>
      </w:r>
      <w:r w:rsidR="00F84C55">
        <w:t>genome sequencing of 4 patients. [12]</w:t>
      </w:r>
      <w:r w:rsidR="004F34E0" w:rsidRPr="00F15DFE">
        <w:t xml:space="preserve"> Overall, 434 distinct non-synonymous somatic mutations were identified, with 79% concordance between primary and metastatic tumour.</w:t>
      </w:r>
      <w:r w:rsidR="00DC3811">
        <w:t xml:space="preserve"> </w:t>
      </w:r>
      <w:r w:rsidR="004F34E0" w:rsidRPr="00F15DFE">
        <w:t xml:space="preserve">Lee </w:t>
      </w:r>
      <w:r w:rsidR="004F34E0" w:rsidRPr="00F15DFE">
        <w:rPr>
          <w:i/>
        </w:rPr>
        <w:t>et al</w:t>
      </w:r>
      <w:r w:rsidR="004F34E0" w:rsidRPr="00F15DFE">
        <w:t xml:space="preserve"> performed exome sequencing of 15 patient matched micro-satellite stable</w:t>
      </w:r>
      <w:r w:rsidR="00F84C55">
        <w:t xml:space="preserve"> primary and metastatic tumours. [13] </w:t>
      </w:r>
      <w:r w:rsidR="004F34E0" w:rsidRPr="00F15DFE">
        <w:t xml:space="preserve">In total, 1079 and 4366 mutations were identified in the primary and metastatic tumours respectively. 60.8% of those mutations in the primary tumour were non-synonymous compared to 54.9% in the metastases. </w:t>
      </w:r>
      <w:r w:rsidR="00F84C55">
        <w:t>[14]</w:t>
      </w:r>
      <w:r w:rsidR="00145F4A">
        <w:t xml:space="preserve"> </w:t>
      </w:r>
      <w:r w:rsidR="00C61AAD">
        <w:t>A more recent study reported a global concordance rate between primary and metastatic</w:t>
      </w:r>
      <w:r w:rsidR="00E264B7">
        <w:t xml:space="preserve"> </w:t>
      </w:r>
      <w:r w:rsidR="00C61AAD">
        <w:t xml:space="preserve">tumours of 78% despite considerable variation in neoadjuvant treatment, suggesting the mutations are inherent rather than induced by therapy.  [15] </w:t>
      </w:r>
      <w:r w:rsidR="004F34E0" w:rsidRPr="00F15DFE">
        <w:t>Our data are complementary to these publications, and the finding of concordance in the SNVs within the ErbB family remains novel. The discrepancy in the proportion of mutations concordant between primary and metastatic tumours may possibly be explained by the biopsy of clones/subclones within a tumour, but also the inclusion of other genetic aberrations (for example indels) included in the reported figures.</w:t>
      </w:r>
    </w:p>
    <w:p w14:paraId="63AD6B28" w14:textId="59AB14C7" w:rsidR="002021DD" w:rsidRPr="00A4248E" w:rsidRDefault="002021DD" w:rsidP="001A69AC">
      <w:pPr>
        <w:spacing w:after="360" w:line="480" w:lineRule="auto"/>
        <w:rPr>
          <w:rFonts w:cs="Times New Roman"/>
        </w:rPr>
      </w:pPr>
      <w:r w:rsidRPr="00A4248E">
        <w:rPr>
          <w:rFonts w:cs="Times New Roman"/>
        </w:rPr>
        <w:t xml:space="preserve">The epidermal growth factor receptor (EGFR) family consists of </w:t>
      </w:r>
      <w:r w:rsidR="00955C4A">
        <w:rPr>
          <w:rFonts w:cs="Times New Roman"/>
        </w:rPr>
        <w:t>four</w:t>
      </w:r>
      <w:r w:rsidRPr="00A4248E">
        <w:rPr>
          <w:rFonts w:cs="Times New Roman"/>
        </w:rPr>
        <w:t xml:space="preserve"> members, ErbB1-4. These receptors </w:t>
      </w:r>
      <w:r w:rsidR="00955C4A">
        <w:rPr>
          <w:rFonts w:cs="Times New Roman"/>
        </w:rPr>
        <w:t>comprise</w:t>
      </w:r>
      <w:r w:rsidRPr="00A4248E">
        <w:rPr>
          <w:rFonts w:cs="Times New Roman"/>
        </w:rPr>
        <w:t xml:space="preserve"> a glycosylated extracellular domain and an intracellular domain with a juxtamembrane segment, pr</w:t>
      </w:r>
      <w:r w:rsidR="00955C4A">
        <w:rPr>
          <w:rFonts w:cs="Times New Roman"/>
        </w:rPr>
        <w:t xml:space="preserve">otein kinase domain and carboxy </w:t>
      </w:r>
      <w:r w:rsidRPr="00A4248E">
        <w:rPr>
          <w:rFonts w:cs="Times New Roman"/>
        </w:rPr>
        <w:t xml:space="preserve">terminal tail. </w:t>
      </w:r>
      <w:r w:rsidR="004C5645" w:rsidRPr="00A4248E">
        <w:rPr>
          <w:rFonts w:cs="Times New Roman"/>
        </w:rPr>
        <w:t>ErbB1, ErbB3</w:t>
      </w:r>
      <w:r w:rsidR="00E45C7C" w:rsidRPr="00A4248E">
        <w:rPr>
          <w:rFonts w:cs="Times New Roman"/>
        </w:rPr>
        <w:t xml:space="preserve"> and ErbB4 all have </w:t>
      </w:r>
      <w:r w:rsidR="00955C4A">
        <w:rPr>
          <w:rFonts w:cs="Times New Roman"/>
        </w:rPr>
        <w:t>seven</w:t>
      </w:r>
      <w:r w:rsidR="00866188" w:rsidRPr="00A4248E">
        <w:rPr>
          <w:rFonts w:cs="Times New Roman"/>
        </w:rPr>
        <w:t xml:space="preserve"> biologically occurring ligands</w:t>
      </w:r>
      <w:r w:rsidR="00E45C7C" w:rsidRPr="00A4248E">
        <w:rPr>
          <w:rFonts w:cs="Times New Roman"/>
        </w:rPr>
        <w:t xml:space="preserve"> </w:t>
      </w:r>
      <w:r w:rsidR="00866188" w:rsidRPr="00A4248E">
        <w:rPr>
          <w:rFonts w:cs="Times New Roman"/>
        </w:rPr>
        <w:t>(</w:t>
      </w:r>
      <w:r w:rsidR="00E45C7C" w:rsidRPr="00A4248E">
        <w:rPr>
          <w:rFonts w:cs="Times New Roman"/>
        </w:rPr>
        <w:t>EGF, EPG, TGFα, AR, BTC, HB-</w:t>
      </w:r>
      <w:r w:rsidR="00E45C7C" w:rsidRPr="00A4248E">
        <w:rPr>
          <w:rFonts w:cs="Times New Roman"/>
        </w:rPr>
        <w:lastRenderedPageBreak/>
        <w:t>EGFEPR</w:t>
      </w:r>
      <w:r w:rsidR="00866188" w:rsidRPr="00A4248E">
        <w:rPr>
          <w:rFonts w:cs="Times New Roman"/>
        </w:rPr>
        <w:t>)</w:t>
      </w:r>
      <w:r w:rsidR="00E45C7C" w:rsidRPr="00A4248E">
        <w:rPr>
          <w:rFonts w:cs="Times New Roman"/>
        </w:rPr>
        <w:t>, wherea</w:t>
      </w:r>
      <w:r w:rsidR="00F84C55">
        <w:rPr>
          <w:rFonts w:cs="Times New Roman"/>
        </w:rPr>
        <w:t>s Erb</w:t>
      </w:r>
      <w:r w:rsidR="008322DB">
        <w:rPr>
          <w:rFonts w:cs="Times New Roman"/>
        </w:rPr>
        <w:t>B</w:t>
      </w:r>
      <w:r w:rsidR="00F84C55">
        <w:rPr>
          <w:rFonts w:cs="Times New Roman"/>
        </w:rPr>
        <w:t>2 has none. [1</w:t>
      </w:r>
      <w:r w:rsidR="00C61AAD">
        <w:rPr>
          <w:rFonts w:cs="Times New Roman"/>
        </w:rPr>
        <w:t>6</w:t>
      </w:r>
      <w:r w:rsidR="00F84C55">
        <w:rPr>
          <w:rFonts w:cs="Times New Roman"/>
        </w:rPr>
        <w:t>]</w:t>
      </w:r>
      <w:r w:rsidR="00F81C6A">
        <w:rPr>
          <w:rFonts w:cs="Times New Roman"/>
        </w:rPr>
        <w:t xml:space="preserve"> </w:t>
      </w:r>
      <w:r w:rsidRPr="00A4248E">
        <w:rPr>
          <w:rFonts w:cs="Times New Roman"/>
        </w:rPr>
        <w:t xml:space="preserve">Downstream signalling of ErbB activation is </w:t>
      </w:r>
      <w:r w:rsidR="00866188" w:rsidRPr="00A4248E">
        <w:rPr>
          <w:rFonts w:cs="Times New Roman"/>
        </w:rPr>
        <w:t xml:space="preserve">by </w:t>
      </w:r>
      <w:r w:rsidR="00955C4A">
        <w:rPr>
          <w:rFonts w:cs="Times New Roman"/>
        </w:rPr>
        <w:t>three</w:t>
      </w:r>
      <w:r w:rsidR="00866188" w:rsidRPr="00A4248E">
        <w:rPr>
          <w:rFonts w:cs="Times New Roman"/>
        </w:rPr>
        <w:t xml:space="preserve"> integrated pathways</w:t>
      </w:r>
      <w:r w:rsidRPr="00A4248E">
        <w:rPr>
          <w:rFonts w:cs="Times New Roman"/>
        </w:rPr>
        <w:t>: the phosphatidylinositol 3-kinase/Akt (PKB) pathway, the Ras/Raf/Mek/ERK pathway a</w:t>
      </w:r>
      <w:r w:rsidR="00312368">
        <w:rPr>
          <w:rFonts w:cs="Times New Roman"/>
        </w:rPr>
        <w:t xml:space="preserve">nd the phospholipase C pathway. </w:t>
      </w:r>
      <w:r w:rsidR="00E45C7C" w:rsidRPr="00A4248E">
        <w:rPr>
          <w:rFonts w:cs="Times New Roman"/>
        </w:rPr>
        <w:t>These mutations result in aberrant a</w:t>
      </w:r>
      <w:r w:rsidR="00312368">
        <w:rPr>
          <w:rFonts w:cs="Times New Roman"/>
        </w:rPr>
        <w:t>ctivity of downs</w:t>
      </w:r>
      <w:r w:rsidR="00F84C55">
        <w:rPr>
          <w:rFonts w:cs="Times New Roman"/>
        </w:rPr>
        <w:t>tream pathways. [1</w:t>
      </w:r>
      <w:r w:rsidR="00C61AAD">
        <w:rPr>
          <w:rFonts w:cs="Times New Roman"/>
        </w:rPr>
        <w:t>7</w:t>
      </w:r>
      <w:r w:rsidR="00F84C55">
        <w:rPr>
          <w:rFonts w:cs="Times New Roman"/>
        </w:rPr>
        <w:t>]</w:t>
      </w:r>
      <w:r w:rsidR="00F81C6A">
        <w:rPr>
          <w:rFonts w:cs="Times New Roman"/>
        </w:rPr>
        <w:t xml:space="preserve"> </w:t>
      </w:r>
      <w:r w:rsidRPr="00A4248E">
        <w:rPr>
          <w:rFonts w:cs="Times New Roman"/>
        </w:rPr>
        <w:t xml:space="preserve">Given their </w:t>
      </w:r>
      <w:r w:rsidR="00E45C7C" w:rsidRPr="00A4248E">
        <w:rPr>
          <w:rFonts w:cs="Times New Roman"/>
        </w:rPr>
        <w:t xml:space="preserve">importance in a number of cell functions, including regulation of apoptosis, cell cycle progression, cytoskeletal rearrangement, </w:t>
      </w:r>
      <w:r w:rsidR="00312368">
        <w:rPr>
          <w:rFonts w:cs="Times New Roman"/>
        </w:rPr>
        <w:t xml:space="preserve">differentiation and development, </w:t>
      </w:r>
      <w:r w:rsidR="00E45C7C" w:rsidRPr="00A4248E">
        <w:rPr>
          <w:rFonts w:cs="Times New Roman"/>
        </w:rPr>
        <w:t>and their biological implication in colorectal cancer, the ErbB family and downstream pathways have become a co</w:t>
      </w:r>
      <w:r w:rsidR="00C9114F" w:rsidRPr="00A4248E">
        <w:rPr>
          <w:rFonts w:cs="Times New Roman"/>
        </w:rPr>
        <w:t>mmonly utilised drug target (</w:t>
      </w:r>
      <w:r w:rsidR="00E71DCF">
        <w:rPr>
          <w:rFonts w:cs="Times New Roman"/>
        </w:rPr>
        <w:t>Supplementary Table 3</w:t>
      </w:r>
      <w:r w:rsidR="00E14282">
        <w:rPr>
          <w:rFonts w:cs="Times New Roman"/>
        </w:rPr>
        <w:t>)</w:t>
      </w:r>
      <w:r w:rsidR="00F84C55">
        <w:rPr>
          <w:rFonts w:cs="Times New Roman"/>
        </w:rPr>
        <w:t>. [1</w:t>
      </w:r>
      <w:r w:rsidR="00C61AAD">
        <w:rPr>
          <w:rFonts w:cs="Times New Roman"/>
        </w:rPr>
        <w:t>8</w:t>
      </w:r>
      <w:r w:rsidR="00F84C55">
        <w:rPr>
          <w:rFonts w:cs="Times New Roman"/>
        </w:rPr>
        <w:t>,1</w:t>
      </w:r>
      <w:r w:rsidR="00C61AAD">
        <w:rPr>
          <w:rFonts w:cs="Times New Roman"/>
        </w:rPr>
        <w:t>9</w:t>
      </w:r>
      <w:r w:rsidR="00F84C55">
        <w:rPr>
          <w:rFonts w:cs="Times New Roman"/>
        </w:rPr>
        <w:t>]</w:t>
      </w:r>
    </w:p>
    <w:p w14:paraId="0EF4B68D" w14:textId="77777777" w:rsidR="00564ADC" w:rsidRDefault="000D2D7C" w:rsidP="001A69AC">
      <w:pPr>
        <w:spacing w:after="360" w:line="480" w:lineRule="auto"/>
        <w:rPr>
          <w:rFonts w:cs="Times New Roman"/>
        </w:rPr>
      </w:pPr>
      <w:r w:rsidRPr="00A4248E">
        <w:rPr>
          <w:rFonts w:cs="Times New Roman"/>
        </w:rPr>
        <w:t xml:space="preserve">The efficacy of cetuximab in relation to </w:t>
      </w:r>
      <w:r w:rsidRPr="00A4248E">
        <w:rPr>
          <w:rFonts w:cs="Times New Roman"/>
          <w:i/>
        </w:rPr>
        <w:t>KRAS</w:t>
      </w:r>
      <w:r w:rsidRPr="00A4248E">
        <w:rPr>
          <w:rFonts w:cs="Times New Roman"/>
        </w:rPr>
        <w:t xml:space="preserve"> status</w:t>
      </w:r>
      <w:r w:rsidR="00211BC1" w:rsidRPr="00A4248E">
        <w:rPr>
          <w:rFonts w:cs="Times New Roman"/>
        </w:rPr>
        <w:t>,</w:t>
      </w:r>
      <w:r w:rsidRPr="00A4248E">
        <w:rPr>
          <w:rFonts w:cs="Times New Roman"/>
        </w:rPr>
        <w:t xml:space="preserve"> and concordance of </w:t>
      </w:r>
      <w:r w:rsidR="00372059" w:rsidRPr="00A4248E">
        <w:rPr>
          <w:rFonts w:cs="Times New Roman"/>
        </w:rPr>
        <w:t xml:space="preserve">the primary and metastatic genotype in this regard has been </w:t>
      </w:r>
      <w:r w:rsidR="003D64F1">
        <w:rPr>
          <w:rFonts w:cs="Times New Roman"/>
        </w:rPr>
        <w:t>established</w:t>
      </w:r>
      <w:r w:rsidR="00372059" w:rsidRPr="00A4248E">
        <w:rPr>
          <w:rFonts w:cs="Times New Roman"/>
        </w:rPr>
        <w:t xml:space="preserve">. </w:t>
      </w:r>
      <w:r w:rsidR="004F35ED" w:rsidRPr="00A4248E">
        <w:rPr>
          <w:rFonts w:cs="Times New Roman"/>
        </w:rPr>
        <w:t>Given t</w:t>
      </w:r>
      <w:r w:rsidR="00372059" w:rsidRPr="00A4248E">
        <w:rPr>
          <w:rFonts w:cs="Times New Roman"/>
        </w:rPr>
        <w:t xml:space="preserve">he inter-relation of the </w:t>
      </w:r>
      <w:r w:rsidR="00372059" w:rsidRPr="00A4248E">
        <w:rPr>
          <w:rFonts w:cs="Times New Roman"/>
          <w:i/>
        </w:rPr>
        <w:t>RAS/RAF</w:t>
      </w:r>
      <w:r w:rsidR="00372059" w:rsidRPr="00A4248E">
        <w:rPr>
          <w:rFonts w:cs="Times New Roman"/>
        </w:rPr>
        <w:t xml:space="preserve"> pathway with other downstream effectors of ErbB signalling, our study raises the question of whether the concordance seen in the case of </w:t>
      </w:r>
      <w:r w:rsidR="00372059" w:rsidRPr="00A4248E">
        <w:rPr>
          <w:rFonts w:cs="Times New Roman"/>
          <w:i/>
        </w:rPr>
        <w:t>KRAS</w:t>
      </w:r>
      <w:r w:rsidR="00372059" w:rsidRPr="00A4248E">
        <w:rPr>
          <w:rFonts w:cs="Times New Roman"/>
        </w:rPr>
        <w:t xml:space="preserve"> can be extrapolated to other m</w:t>
      </w:r>
      <w:r w:rsidR="002B6596" w:rsidRPr="00A4248E">
        <w:rPr>
          <w:rFonts w:cs="Times New Roman"/>
        </w:rPr>
        <w:t xml:space="preserve">embers of the ErbB pathways. As our understanding of the role of these genes in treatment response improves, this concordance could be exploited to create personalised treatment regimens.  Such a move would have </w:t>
      </w:r>
      <w:r w:rsidR="00CA297D" w:rsidRPr="00A4248E">
        <w:rPr>
          <w:rFonts w:cs="Times New Roman"/>
        </w:rPr>
        <w:t xml:space="preserve">the potential for improved </w:t>
      </w:r>
      <w:r w:rsidR="002B6596" w:rsidRPr="00A4248E">
        <w:rPr>
          <w:rFonts w:cs="Times New Roman"/>
        </w:rPr>
        <w:t xml:space="preserve">treatment </w:t>
      </w:r>
      <w:r w:rsidR="00CA297D" w:rsidRPr="00A4248E">
        <w:rPr>
          <w:rFonts w:cs="Times New Roman"/>
        </w:rPr>
        <w:t>efficacy a</w:t>
      </w:r>
      <w:r w:rsidR="002B6596" w:rsidRPr="00A4248E">
        <w:rPr>
          <w:rFonts w:cs="Times New Roman"/>
        </w:rPr>
        <w:t>s well as</w:t>
      </w:r>
      <w:r w:rsidR="00CA297D" w:rsidRPr="00A4248E">
        <w:rPr>
          <w:rFonts w:cs="Times New Roman"/>
        </w:rPr>
        <w:t xml:space="preserve"> a reduction </w:t>
      </w:r>
      <w:r w:rsidR="003F70AB" w:rsidRPr="00A4248E">
        <w:rPr>
          <w:rFonts w:cs="Times New Roman"/>
        </w:rPr>
        <w:t xml:space="preserve">in unwanted off-target effects. </w:t>
      </w:r>
    </w:p>
    <w:p w14:paraId="5D0BEA9B" w14:textId="0F5040C1" w:rsidR="00103E19" w:rsidRPr="00A4248E" w:rsidRDefault="006B3FFC" w:rsidP="001A69AC">
      <w:pPr>
        <w:spacing w:after="360" w:line="480" w:lineRule="auto"/>
        <w:rPr>
          <w:rFonts w:cs="Times New Roman"/>
        </w:rPr>
      </w:pPr>
      <w:r>
        <w:rPr>
          <w:rFonts w:cs="Times New Roman"/>
        </w:rPr>
        <w:t xml:space="preserve">Our study offers a rare insight into the biology of </w:t>
      </w:r>
      <w:r w:rsidR="00103E19" w:rsidRPr="00A4248E">
        <w:rPr>
          <w:rFonts w:cs="Times New Roman"/>
        </w:rPr>
        <w:t>synchronously resected patient matched primary colorectal tumour and colorectal liver metastases</w:t>
      </w:r>
      <w:r>
        <w:rPr>
          <w:rFonts w:cs="Times New Roman"/>
        </w:rPr>
        <w:t xml:space="preserve">. </w:t>
      </w:r>
      <w:r w:rsidR="00993AE5">
        <w:rPr>
          <w:rFonts w:cs="Times New Roman"/>
        </w:rPr>
        <w:t>Whilst such samples are challenging to acquire, the use of synchronously resected samples as described in this study, means that several potential confounding factors can be excluded from the analysis</w:t>
      </w:r>
      <w:r w:rsidR="00993AE5" w:rsidRPr="00A4248E">
        <w:rPr>
          <w:rFonts w:cs="Times New Roman"/>
        </w:rPr>
        <w:t>.</w:t>
      </w:r>
      <w:r w:rsidR="00993AE5">
        <w:rPr>
          <w:rFonts w:cs="Times New Roman"/>
        </w:rPr>
        <w:t xml:space="preserve"> These include exposure of the secondary tumour to chemotherapeutic agents that might show preferential cytotoxicity within the tumour mass; the influence of the initial surgical procedure to remove the primary lesion, which may result in stress responses within the secondary tumour site; the spontaneous evolution of the secondary tumour in the period between the two surgical procedures. Such factors could have a profound effect on the </w:t>
      </w:r>
      <w:r w:rsidR="00993AE5">
        <w:rPr>
          <w:rFonts w:cs="Times New Roman"/>
        </w:rPr>
        <w:lastRenderedPageBreak/>
        <w:t>gentotypic characteristics of the metastasis, given that the scheduling of the two surgical interventions might involve a lengthy time period.</w:t>
      </w:r>
    </w:p>
    <w:p w14:paraId="2D341CAB" w14:textId="6FD55E3A" w:rsidR="001A4998" w:rsidRPr="00A4248E" w:rsidRDefault="001A4998" w:rsidP="001A69AC">
      <w:pPr>
        <w:spacing w:after="360" w:line="480" w:lineRule="auto"/>
        <w:rPr>
          <w:rFonts w:cs="Times New Roman"/>
        </w:rPr>
      </w:pPr>
      <w:r w:rsidRPr="00A4248E">
        <w:rPr>
          <w:rFonts w:cs="Times New Roman"/>
        </w:rPr>
        <w:t>We opted to validate the SNVs of interest in the same tissue set but using an alternative technology, specifically Sanger sequencing. The preferred alternative would have been validation on a larger, different tissue set using either the same or a different platform. The precious nature of these difficult to acquire samples m</w:t>
      </w:r>
      <w:r w:rsidR="006B3FFC">
        <w:rPr>
          <w:rFonts w:cs="Times New Roman"/>
        </w:rPr>
        <w:t xml:space="preserve">eant that this was not feasible. </w:t>
      </w:r>
      <w:r w:rsidRPr="00A4248E">
        <w:rPr>
          <w:rFonts w:cs="Times New Roman"/>
        </w:rPr>
        <w:t xml:space="preserve">The incorporation of metachronous resections into the tissue set would have increased numbers </w:t>
      </w:r>
      <w:r w:rsidR="007C78B4" w:rsidRPr="00A4248E">
        <w:rPr>
          <w:rFonts w:cs="Times New Roman"/>
        </w:rPr>
        <w:t xml:space="preserve">(and cost) </w:t>
      </w:r>
      <w:r w:rsidRPr="00A4248E">
        <w:rPr>
          <w:rFonts w:cs="Times New Roman"/>
        </w:rPr>
        <w:t>at the expense of losing the novelty and scientific value we have achieved with this study.</w:t>
      </w:r>
      <w:r w:rsidR="00D51D57">
        <w:rPr>
          <w:rFonts w:cs="Times New Roman"/>
        </w:rPr>
        <w:t xml:space="preserve"> Given this approach to validation the applicability of these findings to other matched sample sets remains unanswered, limiting this study to one which is clinically relevant and novel, but descriptive only. </w:t>
      </w:r>
    </w:p>
    <w:p w14:paraId="433C963A" w14:textId="7070572D" w:rsidR="00632C84" w:rsidRDefault="001A4998" w:rsidP="001A69AC">
      <w:pPr>
        <w:spacing w:after="360" w:line="480" w:lineRule="auto"/>
        <w:rPr>
          <w:rFonts w:cs="Times New Roman"/>
        </w:rPr>
      </w:pPr>
      <w:r w:rsidRPr="00A4248E">
        <w:rPr>
          <w:rFonts w:cs="Times New Roman"/>
        </w:rPr>
        <w:t>The final limitation is the inherent heterogeneity in the study population. Differences ex</w:t>
      </w:r>
      <w:r w:rsidR="00053372" w:rsidRPr="00A4248E">
        <w:rPr>
          <w:rFonts w:cs="Times New Roman"/>
        </w:rPr>
        <w:t>isted in terms of patient age, gender</w:t>
      </w:r>
      <w:r w:rsidRPr="00A4248E">
        <w:rPr>
          <w:rFonts w:cs="Times New Roman"/>
        </w:rPr>
        <w:t>, TNM stage, burden and distribution of metastases</w:t>
      </w:r>
      <w:r w:rsidR="00053372" w:rsidRPr="00A4248E">
        <w:rPr>
          <w:rFonts w:cs="Times New Roman"/>
        </w:rPr>
        <w:t xml:space="preserve">, </w:t>
      </w:r>
      <w:r w:rsidR="00C61AAD">
        <w:rPr>
          <w:rFonts w:cs="Times New Roman"/>
        </w:rPr>
        <w:t xml:space="preserve">response to treatment </w:t>
      </w:r>
      <w:r w:rsidR="00053372" w:rsidRPr="00A4248E">
        <w:rPr>
          <w:rFonts w:cs="Times New Roman"/>
        </w:rPr>
        <w:t xml:space="preserve">and the presence of adverse pathological features. It is advantageous that all of the primary tumours were confined to the colon (rather than including rectal cancers also), although there were primary tumours from both the right and left colon. It is now widely </w:t>
      </w:r>
      <w:r w:rsidR="001C56FB" w:rsidRPr="00A4248E">
        <w:rPr>
          <w:rFonts w:cs="Times New Roman"/>
        </w:rPr>
        <w:t>accepted</w:t>
      </w:r>
      <w:r w:rsidR="00053372" w:rsidRPr="00A4248E">
        <w:rPr>
          <w:rFonts w:cs="Times New Roman"/>
        </w:rPr>
        <w:t xml:space="preserve"> that right and left colonic tumours are to be regarded as different biological entities, particularly where genomic aberrat</w:t>
      </w:r>
      <w:r w:rsidR="00BA5EC0">
        <w:rPr>
          <w:rFonts w:cs="Times New Roman"/>
        </w:rPr>
        <w:t>ions are conce</w:t>
      </w:r>
      <w:r w:rsidR="00F84C55">
        <w:rPr>
          <w:rFonts w:cs="Times New Roman"/>
        </w:rPr>
        <w:t>rned. [</w:t>
      </w:r>
      <w:r w:rsidR="00C61AAD">
        <w:rPr>
          <w:rFonts w:cs="Times New Roman"/>
        </w:rPr>
        <w:t>20</w:t>
      </w:r>
      <w:r w:rsidR="00F84C55">
        <w:rPr>
          <w:rFonts w:cs="Times New Roman"/>
        </w:rPr>
        <w:t>]</w:t>
      </w:r>
      <w:r w:rsidR="00D75044">
        <w:rPr>
          <w:rFonts w:cs="Times New Roman"/>
        </w:rPr>
        <w:t xml:space="preserve"> </w:t>
      </w:r>
    </w:p>
    <w:p w14:paraId="11C09BFC" w14:textId="57AF45E7" w:rsidR="00AA7660" w:rsidRDefault="009A2CC3" w:rsidP="001A69AC">
      <w:pPr>
        <w:spacing w:after="360" w:line="480" w:lineRule="auto"/>
        <w:rPr>
          <w:rFonts w:cs="Times New Roman"/>
        </w:rPr>
      </w:pPr>
      <w:r>
        <w:rPr>
          <w:rFonts w:cs="Times New Roman"/>
        </w:rPr>
        <w:t>In conclusion our study reports that a</w:t>
      </w:r>
      <w:r w:rsidR="0030507D" w:rsidRPr="00A4248E">
        <w:rPr>
          <w:rFonts w:cs="Times New Roman"/>
        </w:rPr>
        <w:t>pproximately one third of mutations identified in this study are present exclusively in the primary tumour, one third are present exclusively in the metastases</w:t>
      </w:r>
      <w:r w:rsidR="00C84508" w:rsidRPr="00A4248E">
        <w:rPr>
          <w:rFonts w:cs="Times New Roman"/>
        </w:rPr>
        <w:t xml:space="preserve"> </w:t>
      </w:r>
      <w:r w:rsidR="0030507D" w:rsidRPr="00A4248E">
        <w:rPr>
          <w:rFonts w:cs="Times New Roman"/>
        </w:rPr>
        <w:t>and one third are present in tumours at both sites. In this cohort, only 13.8% of mutations were present in patient matched samples, i.e. only 13.8% of the metastatic genotype can be predicted by the genotype of the primary tumour. SNVs i</w:t>
      </w:r>
      <w:r w:rsidR="00F43073" w:rsidRPr="00A4248E">
        <w:rPr>
          <w:rFonts w:cs="Times New Roman"/>
        </w:rPr>
        <w:t>dentified i</w:t>
      </w:r>
      <w:r w:rsidR="0030507D" w:rsidRPr="00A4248E">
        <w:rPr>
          <w:rFonts w:cs="Times New Roman"/>
        </w:rPr>
        <w:t xml:space="preserve">n the </w:t>
      </w:r>
      <w:r w:rsidR="0030507D" w:rsidRPr="00A4248E">
        <w:rPr>
          <w:rFonts w:cs="Times New Roman"/>
        </w:rPr>
        <w:lastRenderedPageBreak/>
        <w:t xml:space="preserve">ErbB pathway </w:t>
      </w:r>
      <w:r w:rsidR="00F43073" w:rsidRPr="00A4248E">
        <w:rPr>
          <w:rFonts w:cs="Times New Roman"/>
        </w:rPr>
        <w:t>appear to be concordant between primary and metastatic tumours. As our understanding of the relevance of this pathway (and genetic variants within) to response to treatment with chemotherapy and target</w:t>
      </w:r>
      <w:r w:rsidR="0014109A" w:rsidRPr="00A4248E">
        <w:rPr>
          <w:rFonts w:cs="Times New Roman"/>
        </w:rPr>
        <w:t>ed</w:t>
      </w:r>
      <w:r w:rsidR="00F43073" w:rsidRPr="00A4248E">
        <w:rPr>
          <w:rFonts w:cs="Times New Roman"/>
        </w:rPr>
        <w:t xml:space="preserve"> agents grows, treatment decisions may increasingly be made on the basis of </w:t>
      </w:r>
      <w:r w:rsidR="00BE3091" w:rsidRPr="00A4248E">
        <w:rPr>
          <w:rFonts w:cs="Times New Roman"/>
        </w:rPr>
        <w:t xml:space="preserve">other genetic </w:t>
      </w:r>
      <w:r w:rsidR="00FA678D" w:rsidRPr="00A4248E">
        <w:rPr>
          <w:rFonts w:cs="Times New Roman"/>
        </w:rPr>
        <w:t>aberrations</w:t>
      </w:r>
      <w:r w:rsidR="00BE3091" w:rsidRPr="00A4248E">
        <w:rPr>
          <w:rFonts w:cs="Times New Roman"/>
        </w:rPr>
        <w:t xml:space="preserve"> beyond the currently used </w:t>
      </w:r>
      <w:r w:rsidR="00BE3091" w:rsidRPr="00A4248E">
        <w:rPr>
          <w:rFonts w:cs="Times New Roman"/>
          <w:i/>
        </w:rPr>
        <w:t>KRAS</w:t>
      </w:r>
      <w:r w:rsidR="00BE3091" w:rsidRPr="00A4248E">
        <w:rPr>
          <w:rFonts w:cs="Times New Roman"/>
        </w:rPr>
        <w:t xml:space="preserve"> status. This g</w:t>
      </w:r>
      <w:r w:rsidR="00F43073" w:rsidRPr="00A4248E">
        <w:rPr>
          <w:rFonts w:cs="Times New Roman"/>
        </w:rPr>
        <w:t xml:space="preserve">enotypic information </w:t>
      </w:r>
      <w:r w:rsidR="00BE3091" w:rsidRPr="00A4248E">
        <w:rPr>
          <w:rFonts w:cs="Times New Roman"/>
        </w:rPr>
        <w:t>can be acquired</w:t>
      </w:r>
      <w:r w:rsidR="006B3FFC">
        <w:rPr>
          <w:rFonts w:cs="Times New Roman"/>
        </w:rPr>
        <w:t xml:space="preserve"> endoscopically</w:t>
      </w:r>
      <w:r w:rsidR="00BE3091" w:rsidRPr="00A4248E">
        <w:rPr>
          <w:rFonts w:cs="Times New Roman"/>
        </w:rPr>
        <w:t xml:space="preserve"> from the primary tumour given its concordanc</w:t>
      </w:r>
      <w:r w:rsidR="006B3FFC">
        <w:rPr>
          <w:rFonts w:cs="Times New Roman"/>
        </w:rPr>
        <w:t xml:space="preserve">e with the metastatic genotype. </w:t>
      </w:r>
      <w:r w:rsidR="00AA7660">
        <w:rPr>
          <w:rFonts w:cs="Times New Roman"/>
        </w:rPr>
        <w:br w:type="page"/>
      </w:r>
    </w:p>
    <w:p w14:paraId="78DCA50F" w14:textId="77777777" w:rsidR="00E8027A" w:rsidRDefault="00E8027A" w:rsidP="00E8027A">
      <w:pPr>
        <w:spacing w:after="360" w:line="480" w:lineRule="auto"/>
        <w:rPr>
          <w:rFonts w:cs="Times New Roman"/>
        </w:rPr>
      </w:pPr>
      <w:r>
        <w:rPr>
          <w:rFonts w:cs="Times New Roman"/>
        </w:rPr>
        <w:lastRenderedPageBreak/>
        <w:t>Conflict of Interest Statement</w:t>
      </w:r>
    </w:p>
    <w:p w14:paraId="43B52C15" w14:textId="77777777" w:rsidR="00E8027A" w:rsidRDefault="00E8027A" w:rsidP="00E8027A">
      <w:pPr>
        <w:spacing w:after="360" w:line="480" w:lineRule="auto"/>
        <w:rPr>
          <w:rFonts w:cs="Times New Roman"/>
        </w:rPr>
      </w:pPr>
      <w:r>
        <w:rPr>
          <w:rFonts w:cs="Times New Roman"/>
        </w:rPr>
        <w:t>The authors have no conflict of interest to declare.</w:t>
      </w:r>
    </w:p>
    <w:p w14:paraId="37BC5E46" w14:textId="77777777" w:rsidR="00E8027A" w:rsidRDefault="00E8027A" w:rsidP="00E8027A">
      <w:pPr>
        <w:spacing w:after="360" w:line="480" w:lineRule="auto"/>
        <w:rPr>
          <w:rFonts w:cs="Times New Roman"/>
        </w:rPr>
      </w:pPr>
    </w:p>
    <w:p w14:paraId="613A610E" w14:textId="77777777" w:rsidR="00E8027A" w:rsidRDefault="00E8027A" w:rsidP="00E8027A">
      <w:pPr>
        <w:spacing w:after="360" w:line="480" w:lineRule="auto"/>
        <w:rPr>
          <w:rFonts w:cs="Times New Roman"/>
        </w:rPr>
      </w:pPr>
      <w:r>
        <w:rPr>
          <w:rFonts w:cs="Times New Roman"/>
        </w:rPr>
        <w:t>Acknowledgements</w:t>
      </w:r>
    </w:p>
    <w:p w14:paraId="17AA34F3" w14:textId="77777777" w:rsidR="00E8027A" w:rsidRDefault="00E8027A" w:rsidP="00E8027A">
      <w:pPr>
        <w:spacing w:after="360" w:line="480" w:lineRule="auto"/>
        <w:rPr>
          <w:rFonts w:cs="Times New Roman"/>
        </w:rPr>
      </w:pPr>
      <w:r>
        <w:rPr>
          <w:rFonts w:cs="Times New Roman"/>
        </w:rPr>
        <w:t>This work was funded by Cancer Research (UK) with sequencing performed at Genotypic Technology Ltd, Bangalore, India.</w:t>
      </w:r>
    </w:p>
    <w:p w14:paraId="507986EF" w14:textId="77777777" w:rsidR="00E8027A" w:rsidRDefault="00E8027A" w:rsidP="00E8027A">
      <w:pPr>
        <w:spacing w:after="360" w:line="480" w:lineRule="auto"/>
        <w:rPr>
          <w:rFonts w:cs="Times New Roman"/>
        </w:rPr>
      </w:pPr>
    </w:p>
    <w:p w14:paraId="6344DABB" w14:textId="20C44FC8" w:rsidR="008F3345" w:rsidRDefault="007E71E5">
      <w:pPr>
        <w:rPr>
          <w:rFonts w:cs="Times New Roman"/>
        </w:rPr>
      </w:pPr>
      <w:r>
        <w:rPr>
          <w:rFonts w:cs="Times New Roman"/>
        </w:rPr>
        <w:br w:type="page"/>
      </w:r>
      <w:r w:rsidR="008F3345">
        <w:rPr>
          <w:rFonts w:cs="Times New Roman"/>
        </w:rPr>
        <w:lastRenderedPageBreak/>
        <w:t>References</w:t>
      </w:r>
    </w:p>
    <w:p w14:paraId="1BE6AF10" w14:textId="77777777" w:rsidR="009E2001" w:rsidRDefault="009E2001" w:rsidP="00917C38">
      <w:pPr>
        <w:spacing w:after="0" w:line="240" w:lineRule="auto"/>
        <w:rPr>
          <w:rFonts w:ascii="Arial" w:eastAsia="Times New Roman" w:hAnsi="Arial" w:cs="Arial"/>
          <w:color w:val="222222"/>
          <w:sz w:val="20"/>
          <w:szCs w:val="20"/>
        </w:rPr>
      </w:pPr>
    </w:p>
    <w:p w14:paraId="2D56FCDE" w14:textId="28486B2D" w:rsidR="00BA5EC0" w:rsidRDefault="002502D5" w:rsidP="00F801AC">
      <w:pPr>
        <w:spacing w:after="0" w:line="240" w:lineRule="auto"/>
        <w:ind w:left="720" w:hanging="720"/>
      </w:pPr>
      <w:r>
        <w:t>[</w:t>
      </w:r>
      <w:r w:rsidR="00F801AC">
        <w:t>1</w:t>
      </w:r>
      <w:r>
        <w:t>]</w:t>
      </w:r>
      <w:r w:rsidR="00F801AC">
        <w:tab/>
      </w:r>
      <w:r w:rsidR="00BA5EC0">
        <w:t xml:space="preserve">Fearon, E. </w:t>
      </w:r>
      <w:r w:rsidR="00BA5EC0" w:rsidRPr="0036020E">
        <w:t xml:space="preserve">Molecular genetics of colorectal cancer. </w:t>
      </w:r>
      <w:r w:rsidR="00BA5EC0" w:rsidRPr="006937BD">
        <w:rPr>
          <w:i/>
        </w:rPr>
        <w:t>Annual Review of Pathology</w:t>
      </w:r>
      <w:r w:rsidR="00BA5EC0">
        <w:rPr>
          <w:i/>
        </w:rPr>
        <w:t xml:space="preserve">. </w:t>
      </w:r>
      <w:r w:rsidR="00BA5EC0" w:rsidRPr="006937BD">
        <w:rPr>
          <w:b/>
        </w:rPr>
        <w:t>6</w:t>
      </w:r>
      <w:r w:rsidR="00BA5EC0">
        <w:rPr>
          <w:b/>
        </w:rPr>
        <w:t xml:space="preserve">, </w:t>
      </w:r>
      <w:r w:rsidR="00BA5EC0" w:rsidRPr="0036020E">
        <w:t>479-507</w:t>
      </w:r>
      <w:r w:rsidR="00BA5EC0">
        <w:t xml:space="preserve"> (2011).</w:t>
      </w:r>
    </w:p>
    <w:p w14:paraId="0BCDABD0" w14:textId="77777777" w:rsidR="00BA5EC0" w:rsidRDefault="00BA5EC0" w:rsidP="006937BD">
      <w:pPr>
        <w:spacing w:after="0" w:line="240" w:lineRule="auto"/>
        <w:rPr>
          <w:rFonts w:eastAsia="Times New Roman" w:cs="Arial"/>
        </w:rPr>
      </w:pPr>
    </w:p>
    <w:p w14:paraId="19D9217A" w14:textId="4216D23A" w:rsidR="00BA5EC0" w:rsidRDefault="002502D5" w:rsidP="00F801AC">
      <w:pPr>
        <w:spacing w:after="0" w:line="240" w:lineRule="auto"/>
        <w:ind w:left="720" w:hanging="720"/>
      </w:pPr>
      <w:r>
        <w:t>[</w:t>
      </w:r>
      <w:r w:rsidR="00F801AC">
        <w:t>2</w:t>
      </w:r>
      <w:r>
        <w:t>]</w:t>
      </w:r>
      <w:r w:rsidR="00F801AC">
        <w:tab/>
      </w:r>
      <w:r w:rsidR="00BA5EC0" w:rsidRPr="0036020E">
        <w:t>Huxley, R</w:t>
      </w:r>
      <w:r w:rsidR="00BA5EC0">
        <w:t xml:space="preserve">. </w:t>
      </w:r>
      <w:r w:rsidR="00BA5EC0" w:rsidRPr="009052DA">
        <w:rPr>
          <w:i/>
        </w:rPr>
        <w:t>et al</w:t>
      </w:r>
      <w:r w:rsidR="00BA5EC0">
        <w:t xml:space="preserve">. </w:t>
      </w:r>
      <w:r w:rsidR="00BA5EC0" w:rsidRPr="0036020E">
        <w:t xml:space="preserve">The impact of dietary and lifestyle risk factors on risk of colorectal cancer: a quantitative overview of the epidemiological evidence. </w:t>
      </w:r>
      <w:r w:rsidR="00BA5EC0" w:rsidRPr="006937BD">
        <w:rPr>
          <w:i/>
        </w:rPr>
        <w:t>International Journal of Cancer</w:t>
      </w:r>
      <w:r w:rsidR="00BA5EC0">
        <w:t xml:space="preserve">. </w:t>
      </w:r>
      <w:r w:rsidR="00BA5EC0" w:rsidRPr="006937BD">
        <w:rPr>
          <w:b/>
        </w:rPr>
        <w:t>125</w:t>
      </w:r>
      <w:r w:rsidR="00BA5EC0">
        <w:rPr>
          <w:b/>
        </w:rPr>
        <w:t>,</w:t>
      </w:r>
      <w:r w:rsidR="00BA5EC0">
        <w:t xml:space="preserve"> 171-180 </w:t>
      </w:r>
      <w:r w:rsidR="00BA5EC0" w:rsidRPr="0036020E">
        <w:t>(2009).</w:t>
      </w:r>
    </w:p>
    <w:p w14:paraId="6C44FAD0" w14:textId="77777777" w:rsidR="00BA5EC0" w:rsidRDefault="00BA5EC0" w:rsidP="006937BD">
      <w:pPr>
        <w:spacing w:after="0" w:line="240" w:lineRule="auto"/>
        <w:rPr>
          <w:rFonts w:eastAsia="Times New Roman" w:cs="Arial"/>
        </w:rPr>
      </w:pPr>
    </w:p>
    <w:p w14:paraId="4B5B2F18" w14:textId="1111ADB2" w:rsidR="00BA5EC0" w:rsidRDefault="002502D5" w:rsidP="00F801AC">
      <w:pPr>
        <w:spacing w:after="0" w:line="240" w:lineRule="auto"/>
        <w:ind w:left="720" w:hanging="720"/>
      </w:pPr>
      <w:r>
        <w:t>[</w:t>
      </w:r>
      <w:r w:rsidR="00F801AC">
        <w:t>3</w:t>
      </w:r>
      <w:r>
        <w:t>]</w:t>
      </w:r>
      <w:r w:rsidR="00F801AC">
        <w:tab/>
      </w:r>
      <w:r w:rsidR="00BA5EC0" w:rsidRPr="0036020E">
        <w:t xml:space="preserve">Cancer Research </w:t>
      </w:r>
      <w:r w:rsidR="00BA5EC0">
        <w:t>UK</w:t>
      </w:r>
      <w:r w:rsidR="00BA5EC0" w:rsidRPr="0036020E">
        <w:t xml:space="preserve"> </w:t>
      </w:r>
      <w:r w:rsidR="00BA5EC0">
        <w:t xml:space="preserve">2014 </w:t>
      </w:r>
      <w:r w:rsidR="00BA5EC0" w:rsidRPr="006937BD">
        <w:rPr>
          <w:i/>
        </w:rPr>
        <w:t>Bowel Cancers Statistics</w:t>
      </w:r>
      <w:r w:rsidR="00BA5EC0" w:rsidRPr="0036020E">
        <w:t xml:space="preserve"> [on-line]. Available at: http://www.cancerresearchuk.org/cancer-info/cancerstats/types/bowel [Accessed 2 September 2016].</w:t>
      </w:r>
    </w:p>
    <w:p w14:paraId="15A145CB" w14:textId="77777777" w:rsidR="006937BD" w:rsidRDefault="006937BD" w:rsidP="006937BD">
      <w:pPr>
        <w:spacing w:after="0" w:line="240" w:lineRule="auto"/>
        <w:rPr>
          <w:rFonts w:eastAsia="Times New Roman" w:cs="Arial"/>
        </w:rPr>
      </w:pPr>
    </w:p>
    <w:p w14:paraId="0C8971B4" w14:textId="5A3694D9" w:rsidR="00BA5EC0" w:rsidRDefault="002502D5" w:rsidP="00F801AC">
      <w:pPr>
        <w:spacing w:after="0" w:line="240" w:lineRule="auto"/>
        <w:ind w:left="720" w:hanging="720"/>
      </w:pPr>
      <w:r>
        <w:t>[</w:t>
      </w:r>
      <w:r w:rsidR="00F801AC">
        <w:t>4</w:t>
      </w:r>
      <w:r>
        <w:t>]</w:t>
      </w:r>
      <w:r w:rsidR="00F801AC">
        <w:tab/>
      </w:r>
      <w:r w:rsidR="00BA5EC0">
        <w:t xml:space="preserve">Navin, N. and Hicks, J. </w:t>
      </w:r>
      <w:r w:rsidR="00BA5EC0" w:rsidRPr="0036020E">
        <w:t xml:space="preserve">Tracing the tumor lineage. </w:t>
      </w:r>
      <w:r w:rsidR="00BA5EC0" w:rsidRPr="006937BD">
        <w:rPr>
          <w:i/>
        </w:rPr>
        <w:t>Molecular Oncology</w:t>
      </w:r>
      <w:r w:rsidR="00BA5EC0">
        <w:rPr>
          <w:i/>
        </w:rPr>
        <w:t>.</w:t>
      </w:r>
      <w:r w:rsidR="00BA5EC0" w:rsidRPr="0036020E">
        <w:t xml:space="preserve"> </w:t>
      </w:r>
      <w:r w:rsidR="00BA5EC0" w:rsidRPr="006937BD">
        <w:rPr>
          <w:b/>
        </w:rPr>
        <w:t>4</w:t>
      </w:r>
      <w:r w:rsidR="00BA5EC0">
        <w:t>, 267-283 (</w:t>
      </w:r>
      <w:r w:rsidR="00BA5EC0" w:rsidRPr="0036020E">
        <w:t>2010).</w:t>
      </w:r>
    </w:p>
    <w:p w14:paraId="66FF3384" w14:textId="77777777" w:rsidR="006937BD" w:rsidRDefault="006937BD" w:rsidP="006937BD">
      <w:pPr>
        <w:spacing w:after="0" w:line="240" w:lineRule="auto"/>
      </w:pPr>
    </w:p>
    <w:p w14:paraId="7D6C758F" w14:textId="4748BD64" w:rsidR="00BA5EC0" w:rsidRDefault="002502D5" w:rsidP="00F801AC">
      <w:pPr>
        <w:spacing w:after="0" w:line="240" w:lineRule="auto"/>
        <w:ind w:left="720" w:hanging="720"/>
      </w:pPr>
      <w:r>
        <w:t>[</w:t>
      </w:r>
      <w:r w:rsidR="00F801AC">
        <w:t>5</w:t>
      </w:r>
      <w:r>
        <w:t>]</w:t>
      </w:r>
      <w:r w:rsidR="00F801AC">
        <w:tab/>
      </w:r>
      <w:r w:rsidR="00BA5EC0" w:rsidRPr="0036020E">
        <w:t xml:space="preserve">Siegmund, K., Marjoram, P., Tavare, S. and Shibata, D. Many colorectal cancers are “flat” clonal expansions. </w:t>
      </w:r>
      <w:r w:rsidR="00BA5EC0" w:rsidRPr="006937BD">
        <w:rPr>
          <w:i/>
        </w:rPr>
        <w:t>Cell Cycle</w:t>
      </w:r>
      <w:r w:rsidR="00BA5EC0">
        <w:rPr>
          <w:i/>
        </w:rPr>
        <w:t>.</w:t>
      </w:r>
      <w:r w:rsidR="00BA5EC0" w:rsidRPr="0036020E">
        <w:t xml:space="preserve"> </w:t>
      </w:r>
      <w:r w:rsidR="00BA5EC0" w:rsidRPr="006937BD">
        <w:rPr>
          <w:b/>
        </w:rPr>
        <w:t>8</w:t>
      </w:r>
      <w:r w:rsidR="00BA5EC0">
        <w:t xml:space="preserve">, 2187-2193 </w:t>
      </w:r>
      <w:r w:rsidR="00BA5EC0" w:rsidRPr="0036020E">
        <w:t>(2009).</w:t>
      </w:r>
    </w:p>
    <w:p w14:paraId="676846B0" w14:textId="77777777" w:rsidR="006937BD" w:rsidRDefault="006937BD" w:rsidP="006937BD">
      <w:pPr>
        <w:spacing w:after="0" w:line="240" w:lineRule="auto"/>
      </w:pPr>
    </w:p>
    <w:p w14:paraId="11012EB5" w14:textId="458ADB6E" w:rsidR="00F801AC" w:rsidRDefault="002502D5" w:rsidP="00F801AC">
      <w:pPr>
        <w:spacing w:after="0" w:line="240" w:lineRule="auto"/>
        <w:ind w:left="720" w:hanging="720"/>
        <w:rPr>
          <w:rFonts w:eastAsia="Times New Roman" w:cs="Arial"/>
        </w:rPr>
      </w:pPr>
      <w:r>
        <w:rPr>
          <w:rFonts w:eastAsia="Times New Roman" w:cs="Arial"/>
        </w:rPr>
        <w:t>[</w:t>
      </w:r>
      <w:r w:rsidR="00F801AC">
        <w:rPr>
          <w:rFonts w:eastAsia="Times New Roman" w:cs="Arial"/>
        </w:rPr>
        <w:t>6</w:t>
      </w:r>
      <w:r>
        <w:rPr>
          <w:rFonts w:eastAsia="Times New Roman" w:cs="Arial"/>
        </w:rPr>
        <w:t>]</w:t>
      </w:r>
      <w:r w:rsidR="00F801AC">
        <w:rPr>
          <w:rFonts w:eastAsia="Times New Roman" w:cs="Arial"/>
        </w:rPr>
        <w:tab/>
      </w:r>
      <w:r w:rsidR="00F801AC" w:rsidRPr="006937BD">
        <w:rPr>
          <w:rFonts w:eastAsia="Times New Roman" w:cs="Arial"/>
        </w:rPr>
        <w:t>Gerlinger, M</w:t>
      </w:r>
      <w:r w:rsidR="00F801AC">
        <w:rPr>
          <w:rFonts w:eastAsia="Times New Roman" w:cs="Arial"/>
        </w:rPr>
        <w:t xml:space="preserve">. </w:t>
      </w:r>
      <w:r w:rsidR="00F801AC" w:rsidRPr="009052DA">
        <w:rPr>
          <w:rFonts w:eastAsia="Times New Roman" w:cs="Arial"/>
          <w:i/>
        </w:rPr>
        <w:t>et al</w:t>
      </w:r>
      <w:r w:rsidR="00F801AC" w:rsidRPr="006937BD">
        <w:rPr>
          <w:rFonts w:eastAsia="Times New Roman" w:cs="Arial"/>
        </w:rPr>
        <w:t xml:space="preserve">. Intratumor heterogeneity and branched evolution revealed by multiregion sequencing. </w:t>
      </w:r>
      <w:r w:rsidR="00F801AC" w:rsidRPr="006937BD">
        <w:rPr>
          <w:rFonts w:eastAsia="Times New Roman" w:cs="Arial"/>
          <w:i/>
          <w:iCs/>
        </w:rPr>
        <w:t>New England journal of medicine</w:t>
      </w:r>
      <w:r w:rsidR="00F801AC">
        <w:rPr>
          <w:rFonts w:eastAsia="Times New Roman" w:cs="Arial"/>
          <w:i/>
          <w:iCs/>
        </w:rPr>
        <w:t xml:space="preserve">. </w:t>
      </w:r>
      <w:r w:rsidR="00F801AC" w:rsidRPr="006937BD">
        <w:rPr>
          <w:rFonts w:eastAsia="Times New Roman" w:cs="Arial"/>
          <w:b/>
          <w:iCs/>
        </w:rPr>
        <w:t>366</w:t>
      </w:r>
      <w:r w:rsidR="00F801AC">
        <w:rPr>
          <w:rFonts w:eastAsia="Times New Roman" w:cs="Arial"/>
        </w:rPr>
        <w:t xml:space="preserve">, 883-892 </w:t>
      </w:r>
      <w:r w:rsidR="00F801AC" w:rsidRPr="006937BD">
        <w:rPr>
          <w:rFonts w:eastAsia="Times New Roman" w:cs="Arial"/>
        </w:rPr>
        <w:t>(2012).</w:t>
      </w:r>
    </w:p>
    <w:p w14:paraId="459AF598" w14:textId="77777777" w:rsidR="00BA5EC0" w:rsidRDefault="00BA5EC0" w:rsidP="006937BD">
      <w:pPr>
        <w:spacing w:after="0" w:line="240" w:lineRule="auto"/>
      </w:pPr>
    </w:p>
    <w:p w14:paraId="0C037B86" w14:textId="51F2A079" w:rsidR="00F801AC" w:rsidRDefault="002502D5" w:rsidP="00F801AC">
      <w:pPr>
        <w:spacing w:after="0" w:line="240" w:lineRule="auto"/>
        <w:ind w:left="720" w:hanging="720"/>
      </w:pPr>
      <w:r>
        <w:t>[</w:t>
      </w:r>
      <w:r w:rsidR="00F801AC">
        <w:t>7</w:t>
      </w:r>
      <w:r>
        <w:t>]</w:t>
      </w:r>
      <w:r w:rsidR="00F801AC">
        <w:tab/>
      </w:r>
      <w:r w:rsidR="00F801AC" w:rsidRPr="0036020E">
        <w:t xml:space="preserve">Jones, O., Rees, M., John, T., Bygrave, S. and Plant, G. Biopsy of resectable colorectal liver  metastases causes tumour dissemination and adversely affects survival after liver resection. </w:t>
      </w:r>
      <w:r w:rsidR="00F801AC" w:rsidRPr="006937BD">
        <w:rPr>
          <w:i/>
        </w:rPr>
        <w:t>British Journal of Surgery</w:t>
      </w:r>
      <w:r w:rsidR="00F801AC">
        <w:t xml:space="preserve">. </w:t>
      </w:r>
      <w:r w:rsidR="00F801AC" w:rsidRPr="006937BD">
        <w:rPr>
          <w:b/>
        </w:rPr>
        <w:t>92</w:t>
      </w:r>
      <w:r w:rsidR="00F801AC">
        <w:rPr>
          <w:b/>
        </w:rPr>
        <w:t>,</w:t>
      </w:r>
      <w:r w:rsidR="00F801AC">
        <w:t xml:space="preserve"> 1165-1168 </w:t>
      </w:r>
      <w:r w:rsidR="00F801AC" w:rsidRPr="0036020E">
        <w:t>(2005).</w:t>
      </w:r>
    </w:p>
    <w:p w14:paraId="64CCAEDE" w14:textId="77777777" w:rsidR="00BA5EC0" w:rsidRDefault="00BA5EC0" w:rsidP="006937BD">
      <w:pPr>
        <w:spacing w:after="0" w:line="240" w:lineRule="auto"/>
      </w:pPr>
    </w:p>
    <w:p w14:paraId="052EC8A3" w14:textId="65DB37F4" w:rsidR="00F801AC" w:rsidRDefault="002502D5" w:rsidP="00F801AC">
      <w:pPr>
        <w:spacing w:after="0" w:line="240" w:lineRule="auto"/>
        <w:ind w:left="720" w:hanging="720"/>
      </w:pPr>
      <w:r>
        <w:t>[</w:t>
      </w:r>
      <w:r w:rsidR="00F801AC">
        <w:t>8</w:t>
      </w:r>
      <w:r>
        <w:t>]</w:t>
      </w:r>
      <w:r w:rsidR="00F801AC">
        <w:tab/>
      </w:r>
      <w:r w:rsidR="00F801AC" w:rsidRPr="0036020E">
        <w:t xml:space="preserve">Klein, C. Parallel progression of primary tumours and metastases. </w:t>
      </w:r>
      <w:r w:rsidR="00F801AC" w:rsidRPr="006937BD">
        <w:rPr>
          <w:i/>
        </w:rPr>
        <w:t>Nature Reviews Cancer</w:t>
      </w:r>
      <w:r w:rsidR="00F801AC">
        <w:rPr>
          <w:i/>
        </w:rPr>
        <w:t xml:space="preserve">. </w:t>
      </w:r>
      <w:r w:rsidR="00F801AC" w:rsidRPr="006937BD">
        <w:rPr>
          <w:b/>
        </w:rPr>
        <w:t>9</w:t>
      </w:r>
      <w:r w:rsidR="00F801AC">
        <w:rPr>
          <w:b/>
        </w:rPr>
        <w:t xml:space="preserve">, </w:t>
      </w:r>
      <w:r w:rsidR="00F801AC">
        <w:t xml:space="preserve">302-312 </w:t>
      </w:r>
      <w:r w:rsidR="00F801AC" w:rsidRPr="0036020E">
        <w:t>(2009).</w:t>
      </w:r>
    </w:p>
    <w:p w14:paraId="1B5D7502" w14:textId="77777777" w:rsidR="00BA5EC0" w:rsidRDefault="00BA5EC0" w:rsidP="006937BD">
      <w:pPr>
        <w:spacing w:after="0" w:line="240" w:lineRule="auto"/>
      </w:pPr>
    </w:p>
    <w:p w14:paraId="1F49A6C5" w14:textId="2D2B9E7A" w:rsidR="00F801AC" w:rsidRDefault="002502D5" w:rsidP="00F801AC">
      <w:pPr>
        <w:spacing w:after="0" w:line="240" w:lineRule="auto"/>
        <w:ind w:left="720" w:hanging="720"/>
        <w:rPr>
          <w:rFonts w:eastAsia="Times New Roman" w:cs="Arial"/>
        </w:rPr>
      </w:pPr>
      <w:r>
        <w:rPr>
          <w:rFonts w:eastAsia="Times New Roman" w:cs="Arial"/>
        </w:rPr>
        <w:t>[</w:t>
      </w:r>
      <w:r w:rsidR="00F801AC">
        <w:rPr>
          <w:rFonts w:eastAsia="Times New Roman" w:cs="Arial"/>
        </w:rPr>
        <w:t>9</w:t>
      </w:r>
      <w:r>
        <w:rPr>
          <w:rFonts w:eastAsia="Times New Roman" w:cs="Arial"/>
        </w:rPr>
        <w:t>]</w:t>
      </w:r>
      <w:r w:rsidR="00F801AC">
        <w:rPr>
          <w:rFonts w:eastAsia="Times New Roman" w:cs="Arial"/>
        </w:rPr>
        <w:tab/>
      </w:r>
      <w:r w:rsidR="00F801AC" w:rsidRPr="006937BD">
        <w:rPr>
          <w:rFonts w:eastAsia="Times New Roman" w:cs="Arial"/>
        </w:rPr>
        <w:t xml:space="preserve">Cancer Genome Atlas Network. Comprehensive molecular characterization of human colon and rectal cancer. </w:t>
      </w:r>
      <w:r w:rsidR="00F801AC" w:rsidRPr="006937BD">
        <w:rPr>
          <w:rFonts w:eastAsia="Times New Roman" w:cs="Arial"/>
          <w:i/>
          <w:iCs/>
        </w:rPr>
        <w:t>Nature</w:t>
      </w:r>
      <w:r w:rsidR="00F801AC">
        <w:rPr>
          <w:rFonts w:eastAsia="Times New Roman" w:cs="Arial"/>
          <w:i/>
          <w:iCs/>
        </w:rPr>
        <w:t xml:space="preserve">. </w:t>
      </w:r>
      <w:r w:rsidR="00F801AC" w:rsidRPr="006937BD">
        <w:rPr>
          <w:rFonts w:eastAsia="Times New Roman" w:cs="Arial"/>
          <w:b/>
          <w:iCs/>
        </w:rPr>
        <w:t>487</w:t>
      </w:r>
      <w:r w:rsidR="00F801AC">
        <w:rPr>
          <w:rFonts w:eastAsia="Times New Roman" w:cs="Arial"/>
        </w:rPr>
        <w:t xml:space="preserve">, 330-337 </w:t>
      </w:r>
      <w:r w:rsidR="00F801AC" w:rsidRPr="006937BD">
        <w:rPr>
          <w:rFonts w:eastAsia="Times New Roman" w:cs="Arial"/>
        </w:rPr>
        <w:t>(2012).</w:t>
      </w:r>
    </w:p>
    <w:p w14:paraId="0FDBCBB4" w14:textId="77777777" w:rsidR="00BA5EC0" w:rsidRDefault="00BA5EC0" w:rsidP="006937BD">
      <w:pPr>
        <w:spacing w:after="0" w:line="240" w:lineRule="auto"/>
        <w:rPr>
          <w:rFonts w:eastAsia="Times New Roman" w:cs="Arial"/>
        </w:rPr>
      </w:pPr>
    </w:p>
    <w:p w14:paraId="195962D3" w14:textId="1D540C9C" w:rsidR="00F801AC" w:rsidRDefault="002502D5" w:rsidP="00F801AC">
      <w:pPr>
        <w:spacing w:after="0" w:line="240" w:lineRule="auto"/>
        <w:ind w:left="720" w:hanging="720"/>
      </w:pPr>
      <w:r>
        <w:t>[</w:t>
      </w:r>
      <w:r w:rsidR="00F801AC">
        <w:t>10</w:t>
      </w:r>
      <w:r>
        <w:t>]</w:t>
      </w:r>
      <w:r w:rsidR="00F801AC">
        <w:tab/>
        <w:t xml:space="preserve">Kloosterman, W. </w:t>
      </w:r>
      <w:r w:rsidR="00F801AC" w:rsidRPr="009052DA">
        <w:rPr>
          <w:i/>
        </w:rPr>
        <w:t>et al</w:t>
      </w:r>
      <w:r w:rsidR="00F801AC" w:rsidRPr="0036020E">
        <w:t>. Chromothripsi</w:t>
      </w:r>
      <w:r w:rsidR="00F801AC">
        <w:t xml:space="preserve">s is a common mechanism driving </w:t>
      </w:r>
      <w:r w:rsidR="00F801AC" w:rsidRPr="0036020E">
        <w:t xml:space="preserve">genomic rearrangements in primary and metastatic colorectal cancer. </w:t>
      </w:r>
      <w:r w:rsidR="00F801AC" w:rsidRPr="006937BD">
        <w:rPr>
          <w:i/>
        </w:rPr>
        <w:t>Genome Biology</w:t>
      </w:r>
      <w:r w:rsidR="00F801AC">
        <w:t xml:space="preserve">. </w:t>
      </w:r>
      <w:r w:rsidR="00F801AC" w:rsidRPr="006937BD">
        <w:rPr>
          <w:b/>
        </w:rPr>
        <w:t>12</w:t>
      </w:r>
      <w:r w:rsidR="00F801AC">
        <w:t xml:space="preserve">: R103 </w:t>
      </w:r>
      <w:r w:rsidR="00F801AC" w:rsidRPr="0036020E">
        <w:t>(2011).</w:t>
      </w:r>
    </w:p>
    <w:p w14:paraId="6ED3DAE5" w14:textId="77777777" w:rsidR="00F801AC" w:rsidRDefault="00F801AC" w:rsidP="006937BD">
      <w:pPr>
        <w:spacing w:after="0" w:line="240" w:lineRule="auto"/>
        <w:rPr>
          <w:rFonts w:eastAsia="Times New Roman" w:cs="Arial"/>
        </w:rPr>
      </w:pPr>
    </w:p>
    <w:p w14:paraId="599A0CE6" w14:textId="5B5823F5" w:rsidR="00F801AC" w:rsidRDefault="002502D5" w:rsidP="00F801AC">
      <w:pPr>
        <w:spacing w:after="0" w:line="240" w:lineRule="auto"/>
        <w:ind w:left="720" w:hanging="720"/>
        <w:rPr>
          <w:rFonts w:eastAsia="Times New Roman" w:cs="Arial"/>
        </w:rPr>
      </w:pPr>
      <w:r>
        <w:rPr>
          <w:rFonts w:eastAsia="Times New Roman" w:cs="Arial"/>
        </w:rPr>
        <w:t>[</w:t>
      </w:r>
      <w:r w:rsidR="00F801AC">
        <w:rPr>
          <w:rFonts w:eastAsia="Times New Roman" w:cs="Arial"/>
        </w:rPr>
        <w:t>11</w:t>
      </w:r>
      <w:r>
        <w:rPr>
          <w:rFonts w:eastAsia="Times New Roman" w:cs="Arial"/>
        </w:rPr>
        <w:t>]</w:t>
      </w:r>
      <w:r w:rsidR="00F801AC">
        <w:rPr>
          <w:rFonts w:eastAsia="Times New Roman" w:cs="Arial"/>
        </w:rPr>
        <w:tab/>
        <w:t xml:space="preserve">Xie, T. </w:t>
      </w:r>
      <w:r w:rsidR="00F801AC" w:rsidRPr="009052DA">
        <w:rPr>
          <w:rFonts w:eastAsia="Times New Roman" w:cs="Arial"/>
          <w:i/>
        </w:rPr>
        <w:t>et al</w:t>
      </w:r>
      <w:r w:rsidR="00F801AC" w:rsidRPr="006937BD">
        <w:rPr>
          <w:rFonts w:eastAsia="Times New Roman" w:cs="Arial"/>
        </w:rPr>
        <w:t xml:space="preserve">. Patterns of somatic alterations between matched primary and metastatic colorectal tumors characterized by whole-genome sequencing. </w:t>
      </w:r>
      <w:r w:rsidR="00F801AC" w:rsidRPr="006937BD">
        <w:rPr>
          <w:rFonts w:eastAsia="Times New Roman" w:cs="Arial"/>
          <w:i/>
          <w:iCs/>
        </w:rPr>
        <w:t>Genomics</w:t>
      </w:r>
      <w:r w:rsidR="00F801AC">
        <w:rPr>
          <w:rFonts w:eastAsia="Times New Roman" w:cs="Arial"/>
        </w:rPr>
        <w:t xml:space="preserve">. </w:t>
      </w:r>
      <w:r w:rsidR="00F801AC" w:rsidRPr="006937BD">
        <w:rPr>
          <w:rFonts w:eastAsia="Times New Roman" w:cs="Arial"/>
          <w:b/>
          <w:iCs/>
        </w:rPr>
        <w:t>104</w:t>
      </w:r>
      <w:r w:rsidR="00F801AC">
        <w:rPr>
          <w:rFonts w:eastAsia="Times New Roman" w:cs="Arial"/>
        </w:rPr>
        <w:t xml:space="preserve">, 234-241 </w:t>
      </w:r>
      <w:r w:rsidR="00F801AC" w:rsidRPr="006937BD">
        <w:rPr>
          <w:rFonts w:eastAsia="Times New Roman" w:cs="Arial"/>
        </w:rPr>
        <w:t>(2014).</w:t>
      </w:r>
    </w:p>
    <w:p w14:paraId="5081808C" w14:textId="77777777" w:rsidR="00F801AC" w:rsidRDefault="00F801AC" w:rsidP="006937BD">
      <w:pPr>
        <w:spacing w:after="0" w:line="240" w:lineRule="auto"/>
        <w:rPr>
          <w:rFonts w:eastAsia="Times New Roman" w:cs="Arial"/>
        </w:rPr>
      </w:pPr>
    </w:p>
    <w:p w14:paraId="57B285E3" w14:textId="3F28B4AD" w:rsidR="00BA5EC0" w:rsidRDefault="002502D5" w:rsidP="00F801AC">
      <w:pPr>
        <w:spacing w:after="0" w:line="240" w:lineRule="auto"/>
        <w:ind w:left="720" w:hanging="720"/>
        <w:rPr>
          <w:rFonts w:eastAsia="Times New Roman" w:cs="Arial"/>
        </w:rPr>
      </w:pPr>
      <w:r>
        <w:rPr>
          <w:rFonts w:eastAsia="Times New Roman" w:cs="Arial"/>
        </w:rPr>
        <w:t>[</w:t>
      </w:r>
      <w:r w:rsidR="00F801AC">
        <w:rPr>
          <w:rFonts w:eastAsia="Times New Roman" w:cs="Arial"/>
        </w:rPr>
        <w:t>12</w:t>
      </w:r>
      <w:r>
        <w:rPr>
          <w:rFonts w:eastAsia="Times New Roman" w:cs="Arial"/>
        </w:rPr>
        <w:t>]</w:t>
      </w:r>
      <w:r w:rsidR="00F801AC">
        <w:rPr>
          <w:rFonts w:eastAsia="Times New Roman" w:cs="Arial"/>
        </w:rPr>
        <w:tab/>
      </w:r>
      <w:r w:rsidR="00BA5EC0" w:rsidRPr="006937BD">
        <w:rPr>
          <w:rFonts w:eastAsia="Times New Roman" w:cs="Arial"/>
        </w:rPr>
        <w:t>Brannon, A.R.</w:t>
      </w:r>
      <w:r w:rsidR="00BA5EC0">
        <w:rPr>
          <w:rFonts w:eastAsia="Times New Roman" w:cs="Arial"/>
        </w:rPr>
        <w:t xml:space="preserve"> </w:t>
      </w:r>
      <w:r w:rsidR="00BA5EC0" w:rsidRPr="009052DA">
        <w:rPr>
          <w:rFonts w:eastAsia="Times New Roman" w:cs="Arial"/>
          <w:i/>
        </w:rPr>
        <w:t>et al</w:t>
      </w:r>
      <w:r w:rsidR="00BA5EC0">
        <w:rPr>
          <w:rFonts w:eastAsia="Times New Roman" w:cs="Arial"/>
        </w:rPr>
        <w:t xml:space="preserve">. </w:t>
      </w:r>
      <w:r w:rsidR="00BA5EC0" w:rsidRPr="006937BD">
        <w:rPr>
          <w:rFonts w:eastAsia="Times New Roman" w:cs="Arial"/>
        </w:rPr>
        <w:t xml:space="preserve">Comparative sequencing analysis reveals high genomic concordance between matched primary and metastatic colorectal cancer lesions. </w:t>
      </w:r>
      <w:r w:rsidR="00BA5EC0" w:rsidRPr="006937BD">
        <w:rPr>
          <w:rFonts w:eastAsia="Times New Roman" w:cs="Arial"/>
          <w:i/>
          <w:iCs/>
        </w:rPr>
        <w:t>Genome biology</w:t>
      </w:r>
      <w:r w:rsidR="00BA5EC0">
        <w:rPr>
          <w:rFonts w:eastAsia="Times New Roman" w:cs="Arial"/>
          <w:i/>
          <w:iCs/>
        </w:rPr>
        <w:t xml:space="preserve">. </w:t>
      </w:r>
      <w:r w:rsidR="00BA5EC0" w:rsidRPr="006937BD">
        <w:rPr>
          <w:rFonts w:eastAsia="Times New Roman" w:cs="Arial"/>
          <w:b/>
          <w:iCs/>
        </w:rPr>
        <w:t>15</w:t>
      </w:r>
      <w:r w:rsidR="00BA5EC0">
        <w:rPr>
          <w:rFonts w:eastAsia="Times New Roman" w:cs="Arial"/>
          <w:b/>
        </w:rPr>
        <w:t xml:space="preserve">, </w:t>
      </w:r>
      <w:r w:rsidR="00BA5EC0">
        <w:rPr>
          <w:rFonts w:eastAsia="Times New Roman" w:cs="Arial"/>
        </w:rPr>
        <w:t>1-8 (2014).</w:t>
      </w:r>
    </w:p>
    <w:p w14:paraId="05EDB3FE" w14:textId="77777777" w:rsidR="00F801AC" w:rsidRDefault="00F801AC" w:rsidP="00BA5EC0">
      <w:pPr>
        <w:spacing w:after="0" w:line="240" w:lineRule="auto"/>
        <w:rPr>
          <w:rFonts w:eastAsia="Times New Roman" w:cs="Arial"/>
        </w:rPr>
      </w:pPr>
    </w:p>
    <w:p w14:paraId="4A9AA3E7" w14:textId="27470CF6" w:rsidR="00F801AC" w:rsidRDefault="002502D5" w:rsidP="00F801AC">
      <w:pPr>
        <w:spacing w:after="0" w:line="240" w:lineRule="auto"/>
        <w:ind w:left="720" w:hanging="720"/>
        <w:rPr>
          <w:rFonts w:eastAsia="Times New Roman" w:cs="Arial"/>
        </w:rPr>
      </w:pPr>
      <w:r>
        <w:rPr>
          <w:rFonts w:eastAsia="Times New Roman" w:cs="Arial"/>
        </w:rPr>
        <w:t>[</w:t>
      </w:r>
      <w:r w:rsidR="00F801AC">
        <w:rPr>
          <w:rFonts w:eastAsia="Times New Roman" w:cs="Arial"/>
        </w:rPr>
        <w:t>13</w:t>
      </w:r>
      <w:r>
        <w:rPr>
          <w:rFonts w:eastAsia="Times New Roman" w:cs="Arial"/>
        </w:rPr>
        <w:t>]</w:t>
      </w:r>
      <w:r w:rsidR="00F801AC">
        <w:rPr>
          <w:rFonts w:eastAsia="Times New Roman" w:cs="Arial"/>
        </w:rPr>
        <w:tab/>
        <w:t xml:space="preserve">Lee, S.Y. </w:t>
      </w:r>
      <w:r w:rsidR="00F801AC" w:rsidRPr="009052DA">
        <w:rPr>
          <w:rFonts w:eastAsia="Times New Roman" w:cs="Arial"/>
          <w:i/>
        </w:rPr>
        <w:t>et al</w:t>
      </w:r>
      <w:r w:rsidR="00F801AC" w:rsidRPr="006937BD">
        <w:rPr>
          <w:rFonts w:eastAsia="Times New Roman" w:cs="Arial"/>
        </w:rPr>
        <w:t xml:space="preserve">. Comparative genomic analysis of primary and synchronous metastatic colorectal cancers. </w:t>
      </w:r>
      <w:r w:rsidR="00F801AC">
        <w:rPr>
          <w:rFonts w:eastAsia="Times New Roman" w:cs="Arial"/>
          <w:i/>
          <w:iCs/>
        </w:rPr>
        <w:t>PloS O</w:t>
      </w:r>
      <w:r w:rsidR="00F801AC" w:rsidRPr="006937BD">
        <w:rPr>
          <w:rFonts w:eastAsia="Times New Roman" w:cs="Arial"/>
          <w:i/>
          <w:iCs/>
        </w:rPr>
        <w:t>ne</w:t>
      </w:r>
      <w:r w:rsidR="00F801AC">
        <w:rPr>
          <w:rFonts w:eastAsia="Times New Roman" w:cs="Arial"/>
        </w:rPr>
        <w:t>.</w:t>
      </w:r>
      <w:r w:rsidR="00F801AC" w:rsidRPr="006937BD">
        <w:rPr>
          <w:rFonts w:eastAsia="Times New Roman" w:cs="Arial"/>
        </w:rPr>
        <w:t xml:space="preserve"> </w:t>
      </w:r>
      <w:r w:rsidR="00F801AC" w:rsidRPr="006937BD">
        <w:rPr>
          <w:rFonts w:eastAsia="Times New Roman" w:cs="Arial"/>
          <w:b/>
          <w:iCs/>
        </w:rPr>
        <w:t>9</w:t>
      </w:r>
      <w:r w:rsidR="00F801AC">
        <w:rPr>
          <w:rFonts w:eastAsia="Times New Roman" w:cs="Arial"/>
        </w:rPr>
        <w:t xml:space="preserve">, e90459 </w:t>
      </w:r>
      <w:r w:rsidR="00F801AC" w:rsidRPr="006937BD">
        <w:rPr>
          <w:rFonts w:eastAsia="Times New Roman" w:cs="Arial"/>
        </w:rPr>
        <w:t>(2014).</w:t>
      </w:r>
    </w:p>
    <w:p w14:paraId="266CB1D2" w14:textId="77777777" w:rsidR="006937BD" w:rsidRDefault="006937BD" w:rsidP="006937BD">
      <w:pPr>
        <w:spacing w:after="0" w:line="240" w:lineRule="auto"/>
        <w:rPr>
          <w:rFonts w:eastAsia="Times New Roman" w:cs="Arial"/>
        </w:rPr>
      </w:pPr>
    </w:p>
    <w:p w14:paraId="7B60E80B" w14:textId="1672294C" w:rsidR="006937BD" w:rsidRDefault="002502D5" w:rsidP="00F801AC">
      <w:pPr>
        <w:spacing w:after="0" w:line="240" w:lineRule="auto"/>
        <w:ind w:left="720" w:hanging="720"/>
      </w:pPr>
      <w:r>
        <w:t>[</w:t>
      </w:r>
      <w:r w:rsidR="00F801AC">
        <w:t>14</w:t>
      </w:r>
      <w:r>
        <w:t>]</w:t>
      </w:r>
      <w:r w:rsidR="00F801AC">
        <w:tab/>
      </w:r>
      <w:r w:rsidR="006937BD" w:rsidRPr="0036020E">
        <w:t>Greenman, C.</w:t>
      </w:r>
      <w:r w:rsidR="009052DA">
        <w:t xml:space="preserve"> </w:t>
      </w:r>
      <w:r w:rsidR="009052DA" w:rsidRPr="00F1333C">
        <w:rPr>
          <w:i/>
        </w:rPr>
        <w:t>et al</w:t>
      </w:r>
      <w:r w:rsidR="009052DA">
        <w:t xml:space="preserve">. </w:t>
      </w:r>
      <w:r w:rsidR="006937BD" w:rsidRPr="0036020E">
        <w:t xml:space="preserve">Patterns of somatic mutation in human cancer genomes. </w:t>
      </w:r>
      <w:r w:rsidR="006937BD" w:rsidRPr="006937BD">
        <w:rPr>
          <w:i/>
        </w:rPr>
        <w:t>Nature</w:t>
      </w:r>
      <w:r w:rsidR="00F1333C">
        <w:t>.</w:t>
      </w:r>
      <w:r w:rsidR="006937BD" w:rsidRPr="0036020E">
        <w:t xml:space="preserve"> </w:t>
      </w:r>
      <w:r w:rsidR="006937BD" w:rsidRPr="006937BD">
        <w:rPr>
          <w:b/>
        </w:rPr>
        <w:t>446</w:t>
      </w:r>
      <w:r w:rsidR="00F1333C">
        <w:t>,</w:t>
      </w:r>
      <w:r w:rsidR="006937BD">
        <w:t xml:space="preserve"> </w:t>
      </w:r>
      <w:r w:rsidR="00F1333C">
        <w:t xml:space="preserve">153–158 </w:t>
      </w:r>
      <w:r w:rsidR="00F1333C" w:rsidRPr="0036020E">
        <w:t>(2007).</w:t>
      </w:r>
    </w:p>
    <w:p w14:paraId="35E7F1F6" w14:textId="77777777" w:rsidR="005A5B6D" w:rsidRDefault="005A5B6D" w:rsidP="00F801AC">
      <w:pPr>
        <w:spacing w:after="0" w:line="240" w:lineRule="auto"/>
        <w:ind w:left="720" w:hanging="720"/>
      </w:pPr>
    </w:p>
    <w:p w14:paraId="1E3A294F" w14:textId="5D777D39" w:rsidR="005A5B6D" w:rsidRDefault="005A5B6D" w:rsidP="00F801AC">
      <w:pPr>
        <w:spacing w:after="0" w:line="240" w:lineRule="auto"/>
        <w:ind w:left="720" w:hanging="720"/>
      </w:pPr>
      <w:r>
        <w:lastRenderedPageBreak/>
        <w:t>[15]</w:t>
      </w:r>
      <w:r>
        <w:tab/>
        <w:t xml:space="preserve">Vignot, S. </w:t>
      </w:r>
      <w:r w:rsidRPr="005A5B6D">
        <w:rPr>
          <w:i/>
        </w:rPr>
        <w:t>et al</w:t>
      </w:r>
      <w:r>
        <w:t xml:space="preserve">. Comparative analysis of primary tumour and matched metastases in colorectal cancer patients: evaluation of concordance between genomic and transcriptional profiles. </w:t>
      </w:r>
      <w:r w:rsidRPr="005A5B6D">
        <w:rPr>
          <w:i/>
        </w:rPr>
        <w:t>Eur J Cancer</w:t>
      </w:r>
      <w:r>
        <w:t xml:space="preserve">. </w:t>
      </w:r>
      <w:r w:rsidRPr="005A5B6D">
        <w:rPr>
          <w:b/>
        </w:rPr>
        <w:t>51</w:t>
      </w:r>
      <w:r>
        <w:t>, 791-9 (2015).</w:t>
      </w:r>
    </w:p>
    <w:p w14:paraId="0256A079" w14:textId="77777777" w:rsidR="006937BD" w:rsidRDefault="006937BD" w:rsidP="006937BD">
      <w:pPr>
        <w:spacing w:after="0" w:line="240" w:lineRule="auto"/>
      </w:pPr>
    </w:p>
    <w:p w14:paraId="00E98898" w14:textId="7EC960CC" w:rsidR="00F801AC" w:rsidRDefault="002502D5" w:rsidP="00F801AC">
      <w:pPr>
        <w:spacing w:after="0" w:line="240" w:lineRule="auto"/>
        <w:ind w:left="720" w:hanging="720"/>
      </w:pPr>
      <w:r>
        <w:t>[</w:t>
      </w:r>
      <w:r w:rsidR="00F801AC">
        <w:t>1</w:t>
      </w:r>
      <w:r w:rsidR="00C61AAD">
        <w:t>6</w:t>
      </w:r>
      <w:r>
        <w:t>]</w:t>
      </w:r>
      <w:r w:rsidR="00F801AC">
        <w:tab/>
      </w:r>
      <w:r w:rsidR="00F801AC" w:rsidRPr="0036020E">
        <w:t xml:space="preserve">Roskoski, R. The ErbB/HER family of protein-tyrosine kinases and cancer. </w:t>
      </w:r>
      <w:r w:rsidR="00F801AC" w:rsidRPr="006937BD">
        <w:rPr>
          <w:i/>
        </w:rPr>
        <w:t>Pharmacological Research</w:t>
      </w:r>
      <w:r w:rsidR="00F801AC">
        <w:t>.</w:t>
      </w:r>
      <w:r w:rsidR="00F801AC" w:rsidRPr="0036020E">
        <w:t xml:space="preserve"> </w:t>
      </w:r>
      <w:r w:rsidR="00F801AC" w:rsidRPr="006937BD">
        <w:rPr>
          <w:b/>
        </w:rPr>
        <w:t>79</w:t>
      </w:r>
      <w:r w:rsidR="00F801AC">
        <w:t xml:space="preserve">, 34-74 </w:t>
      </w:r>
      <w:r w:rsidR="00F801AC" w:rsidRPr="0036020E">
        <w:t>(2014).</w:t>
      </w:r>
    </w:p>
    <w:p w14:paraId="5699756C" w14:textId="77777777" w:rsidR="00F801AC" w:rsidRDefault="00F801AC" w:rsidP="00F801AC">
      <w:pPr>
        <w:spacing w:after="0" w:line="240" w:lineRule="auto"/>
      </w:pPr>
    </w:p>
    <w:p w14:paraId="7FAA7BAE" w14:textId="48676677" w:rsidR="00F801AC" w:rsidRDefault="002502D5" w:rsidP="00F801AC">
      <w:pPr>
        <w:spacing w:after="0" w:line="240" w:lineRule="auto"/>
        <w:ind w:left="720" w:hanging="720"/>
      </w:pPr>
      <w:r>
        <w:t>[</w:t>
      </w:r>
      <w:r w:rsidR="00F801AC">
        <w:t>1</w:t>
      </w:r>
      <w:r w:rsidR="00C61AAD">
        <w:t>7</w:t>
      </w:r>
      <w:r>
        <w:t>]</w:t>
      </w:r>
      <w:r w:rsidR="00F801AC">
        <w:tab/>
      </w:r>
      <w:r w:rsidR="00F801AC" w:rsidRPr="0036020E">
        <w:t>Miettinen, P</w:t>
      </w:r>
      <w:r w:rsidR="00F801AC">
        <w:t xml:space="preserve">. </w:t>
      </w:r>
      <w:r w:rsidR="00F801AC" w:rsidRPr="009052DA">
        <w:rPr>
          <w:i/>
        </w:rPr>
        <w:t>et al</w:t>
      </w:r>
      <w:r w:rsidR="00F801AC">
        <w:t xml:space="preserve">. </w:t>
      </w:r>
      <w:r w:rsidR="00F801AC" w:rsidRPr="0036020E">
        <w:t xml:space="preserve">Epithelial immaturity and multiorgan failure in mice lacking epidermal growth factor receptor. </w:t>
      </w:r>
      <w:r w:rsidR="00F801AC" w:rsidRPr="006937BD">
        <w:rPr>
          <w:i/>
        </w:rPr>
        <w:t>Nature</w:t>
      </w:r>
      <w:r w:rsidR="00F801AC">
        <w:rPr>
          <w:i/>
        </w:rPr>
        <w:t xml:space="preserve">. </w:t>
      </w:r>
      <w:r w:rsidR="00F801AC" w:rsidRPr="0036020E">
        <w:t xml:space="preserve"> </w:t>
      </w:r>
      <w:r w:rsidR="00F801AC" w:rsidRPr="006937BD">
        <w:rPr>
          <w:b/>
        </w:rPr>
        <w:t>376</w:t>
      </w:r>
      <w:r w:rsidR="00F801AC">
        <w:t xml:space="preserve">,  337-341 </w:t>
      </w:r>
      <w:r w:rsidR="00F801AC" w:rsidRPr="0036020E">
        <w:t>(1995).</w:t>
      </w:r>
    </w:p>
    <w:p w14:paraId="5056F5A8" w14:textId="77777777" w:rsidR="006937BD" w:rsidRDefault="006937BD" w:rsidP="006937BD">
      <w:pPr>
        <w:spacing w:after="0" w:line="240" w:lineRule="auto"/>
      </w:pPr>
    </w:p>
    <w:p w14:paraId="2DF3D7B4" w14:textId="4A8CE5A7" w:rsidR="006937BD" w:rsidRDefault="002502D5" w:rsidP="00F801AC">
      <w:pPr>
        <w:spacing w:after="0" w:line="240" w:lineRule="auto"/>
        <w:ind w:left="720" w:hanging="720"/>
      </w:pPr>
      <w:r>
        <w:t>[</w:t>
      </w:r>
      <w:r w:rsidR="00F801AC">
        <w:t>1</w:t>
      </w:r>
      <w:r w:rsidR="00C61AAD">
        <w:t>8</w:t>
      </w:r>
      <w:r>
        <w:t>]</w:t>
      </w:r>
      <w:r w:rsidR="00F801AC">
        <w:tab/>
      </w:r>
      <w:r w:rsidR="006937BD" w:rsidRPr="0036020E">
        <w:t xml:space="preserve">Manning, G., Whyte, D., Martinez, R., Hunter, T. and Sudarsanam, S. The protein kinase complement of the human genome. </w:t>
      </w:r>
      <w:r w:rsidR="006937BD" w:rsidRPr="006937BD">
        <w:rPr>
          <w:i/>
        </w:rPr>
        <w:t>Science</w:t>
      </w:r>
      <w:r w:rsidR="00F1333C">
        <w:rPr>
          <w:i/>
        </w:rPr>
        <w:t xml:space="preserve">. </w:t>
      </w:r>
      <w:r w:rsidR="006937BD" w:rsidRPr="006937BD">
        <w:rPr>
          <w:b/>
        </w:rPr>
        <w:t>298</w:t>
      </w:r>
      <w:r w:rsidR="00F1333C">
        <w:t xml:space="preserve">, </w:t>
      </w:r>
      <w:r w:rsidR="006937BD" w:rsidRPr="0036020E">
        <w:t>1912-1</w:t>
      </w:r>
      <w:r w:rsidR="00F1333C">
        <w:t xml:space="preserve">934 </w:t>
      </w:r>
      <w:r w:rsidR="00F1333C" w:rsidRPr="0036020E">
        <w:t>(2002).</w:t>
      </w:r>
    </w:p>
    <w:p w14:paraId="0686B6D6" w14:textId="77777777" w:rsidR="006937BD" w:rsidRDefault="006937BD" w:rsidP="006937BD">
      <w:pPr>
        <w:spacing w:after="0" w:line="240" w:lineRule="auto"/>
        <w:rPr>
          <w:rFonts w:eastAsia="Times New Roman" w:cs="Arial"/>
        </w:rPr>
      </w:pPr>
    </w:p>
    <w:p w14:paraId="353AE1BD" w14:textId="017FC6A2" w:rsidR="00BA5EC0" w:rsidRDefault="002502D5" w:rsidP="00F801AC">
      <w:pPr>
        <w:spacing w:after="0" w:line="240" w:lineRule="auto"/>
        <w:ind w:left="720" w:hanging="720"/>
        <w:rPr>
          <w:rFonts w:eastAsia="Times New Roman" w:cs="Arial"/>
        </w:rPr>
      </w:pPr>
      <w:r>
        <w:rPr>
          <w:rFonts w:eastAsia="Times New Roman" w:cs="Arial"/>
        </w:rPr>
        <w:t>[</w:t>
      </w:r>
      <w:r w:rsidR="00F801AC">
        <w:rPr>
          <w:rFonts w:eastAsia="Times New Roman" w:cs="Arial"/>
        </w:rPr>
        <w:t>1</w:t>
      </w:r>
      <w:r w:rsidR="00C61AAD">
        <w:rPr>
          <w:rFonts w:eastAsia="Times New Roman" w:cs="Arial"/>
        </w:rPr>
        <w:t>9</w:t>
      </w:r>
      <w:r>
        <w:rPr>
          <w:rFonts w:eastAsia="Times New Roman" w:cs="Arial"/>
        </w:rPr>
        <w:t>]</w:t>
      </w:r>
      <w:r w:rsidR="00F801AC">
        <w:rPr>
          <w:rFonts w:eastAsia="Times New Roman" w:cs="Arial"/>
        </w:rPr>
        <w:tab/>
      </w:r>
      <w:r w:rsidR="00BA5EC0">
        <w:rPr>
          <w:rFonts w:eastAsia="Times New Roman" w:cs="Arial"/>
        </w:rPr>
        <w:t xml:space="preserve">Yao, Y. </w:t>
      </w:r>
      <w:r w:rsidR="00BA5EC0" w:rsidRPr="00BA5EC0">
        <w:rPr>
          <w:rFonts w:eastAsia="Times New Roman" w:cs="Arial"/>
          <w:i/>
        </w:rPr>
        <w:t>et al</w:t>
      </w:r>
      <w:r w:rsidR="00BA5EC0">
        <w:rPr>
          <w:rFonts w:eastAsia="Times New Roman" w:cs="Arial"/>
        </w:rPr>
        <w:t xml:space="preserve">. Proliferation of colorectal cancer is promoted by two signalling transduction expression patterns: ErbB2/ErbB3/AKT and MET/ErbB3/MAPK. </w:t>
      </w:r>
      <w:r w:rsidR="00BA5EC0" w:rsidRPr="00BA5EC0">
        <w:rPr>
          <w:rFonts w:eastAsia="Times New Roman" w:cs="Arial"/>
          <w:i/>
        </w:rPr>
        <w:t>PLoS One</w:t>
      </w:r>
      <w:r w:rsidR="00BA5EC0">
        <w:rPr>
          <w:rFonts w:eastAsia="Times New Roman" w:cs="Arial"/>
        </w:rPr>
        <w:t xml:space="preserve">. </w:t>
      </w:r>
      <w:r w:rsidR="00BA5EC0" w:rsidRPr="00BA5EC0">
        <w:rPr>
          <w:rFonts w:eastAsia="Times New Roman" w:cs="Arial"/>
          <w:b/>
        </w:rPr>
        <w:t>8</w:t>
      </w:r>
      <w:r w:rsidR="00BA5EC0">
        <w:rPr>
          <w:rFonts w:eastAsia="Times New Roman" w:cs="Arial"/>
        </w:rPr>
        <w:t>, e78086 (2013).</w:t>
      </w:r>
    </w:p>
    <w:p w14:paraId="24B80EAD" w14:textId="77777777" w:rsidR="00BA5EC0" w:rsidRDefault="00BA5EC0" w:rsidP="006937BD">
      <w:pPr>
        <w:spacing w:after="0" w:line="240" w:lineRule="auto"/>
        <w:rPr>
          <w:rFonts w:eastAsia="Times New Roman" w:cs="Arial"/>
        </w:rPr>
      </w:pPr>
    </w:p>
    <w:p w14:paraId="05621584" w14:textId="40CA8F4A" w:rsidR="006937BD" w:rsidRDefault="002502D5" w:rsidP="00F801AC">
      <w:pPr>
        <w:spacing w:after="0" w:line="240" w:lineRule="auto"/>
        <w:ind w:left="720" w:hanging="720"/>
      </w:pPr>
      <w:r>
        <w:t>[</w:t>
      </w:r>
      <w:r w:rsidR="005A5B6D">
        <w:t>20</w:t>
      </w:r>
      <w:r>
        <w:t>]</w:t>
      </w:r>
      <w:r w:rsidR="00F801AC">
        <w:tab/>
      </w:r>
      <w:r w:rsidR="00BA5EC0">
        <w:t>Zhu, H</w:t>
      </w:r>
      <w:r w:rsidR="009052DA">
        <w:t xml:space="preserve">. </w:t>
      </w:r>
      <w:r w:rsidR="009052DA" w:rsidRPr="009052DA">
        <w:rPr>
          <w:i/>
        </w:rPr>
        <w:t>et al</w:t>
      </w:r>
      <w:r w:rsidR="006937BD" w:rsidRPr="0036020E">
        <w:t xml:space="preserve">. Screening for differentially expressed genes between left- and right-sided colon carcinoma by microarray analysis. </w:t>
      </w:r>
      <w:r w:rsidR="006937BD" w:rsidRPr="006937BD">
        <w:rPr>
          <w:i/>
        </w:rPr>
        <w:t>Oncology Letters</w:t>
      </w:r>
      <w:r w:rsidR="00F1333C">
        <w:t xml:space="preserve">. </w:t>
      </w:r>
      <w:r w:rsidR="006937BD" w:rsidRPr="0036020E">
        <w:t> </w:t>
      </w:r>
      <w:r w:rsidR="006937BD" w:rsidRPr="006937BD">
        <w:rPr>
          <w:b/>
        </w:rPr>
        <w:t>6</w:t>
      </w:r>
      <w:r w:rsidR="00F1333C">
        <w:t xml:space="preserve">, 353-358 </w:t>
      </w:r>
      <w:r w:rsidR="00F1333C" w:rsidRPr="0036020E">
        <w:t>(2013).</w:t>
      </w:r>
    </w:p>
    <w:p w14:paraId="1315B542" w14:textId="77777777" w:rsidR="007E71E5" w:rsidRDefault="007E71E5" w:rsidP="00F801AC">
      <w:pPr>
        <w:spacing w:after="0" w:line="240" w:lineRule="auto"/>
        <w:ind w:left="720" w:hanging="720"/>
      </w:pPr>
    </w:p>
    <w:p w14:paraId="0C8D78B6" w14:textId="77777777" w:rsidR="00BA5EC0" w:rsidRDefault="00BA5EC0" w:rsidP="009052DA">
      <w:pPr>
        <w:spacing w:after="0" w:line="240" w:lineRule="auto"/>
      </w:pPr>
    </w:p>
    <w:p w14:paraId="74E96575" w14:textId="77777777" w:rsidR="007E0B4E" w:rsidRPr="0036020E" w:rsidRDefault="007E0B4E" w:rsidP="007E0B4E">
      <w:pPr>
        <w:pStyle w:val="ListParagraph"/>
      </w:pPr>
    </w:p>
    <w:p w14:paraId="5D04E092" w14:textId="0B0B792D" w:rsidR="00917C38" w:rsidRPr="0036020E" w:rsidRDefault="00917C38" w:rsidP="00AB2048">
      <w:pPr>
        <w:ind w:left="360"/>
        <w:rPr>
          <w:rFonts w:cs="Times New Roman"/>
        </w:rPr>
      </w:pPr>
    </w:p>
    <w:p w14:paraId="3FC0B790" w14:textId="77777777" w:rsidR="00131813" w:rsidRPr="0036020E" w:rsidRDefault="00131813">
      <w:pPr>
        <w:rPr>
          <w:rFonts w:cs="Times New Roman"/>
        </w:rPr>
      </w:pPr>
    </w:p>
    <w:p w14:paraId="63883297" w14:textId="77777777" w:rsidR="008F3345" w:rsidRPr="0036020E" w:rsidRDefault="008F3345">
      <w:pPr>
        <w:rPr>
          <w:rFonts w:cs="Times New Roman"/>
        </w:rPr>
      </w:pPr>
      <w:r w:rsidRPr="0036020E">
        <w:rPr>
          <w:rFonts w:cs="Times New Roman"/>
        </w:rPr>
        <w:br w:type="page"/>
      </w:r>
    </w:p>
    <w:p w14:paraId="7B09B1F4" w14:textId="14F27D31" w:rsidR="008F3345" w:rsidRDefault="00B955D5" w:rsidP="00F16791">
      <w:pPr>
        <w:spacing w:after="360" w:line="360" w:lineRule="auto"/>
        <w:rPr>
          <w:rFonts w:cs="Times New Roman"/>
        </w:rPr>
      </w:pPr>
      <w:r>
        <w:rPr>
          <w:rFonts w:cs="Times New Roman"/>
        </w:rPr>
        <w:lastRenderedPageBreak/>
        <w:t xml:space="preserve">Legends for </w:t>
      </w:r>
      <w:r w:rsidR="008F3345">
        <w:rPr>
          <w:rFonts w:cs="Times New Roman"/>
        </w:rPr>
        <w:t>Figures and Tables</w:t>
      </w:r>
    </w:p>
    <w:p w14:paraId="0E447E11" w14:textId="77777777" w:rsidR="00E83A02" w:rsidRDefault="00E83A02" w:rsidP="00F16791">
      <w:pPr>
        <w:spacing w:after="360" w:line="360" w:lineRule="auto"/>
        <w:rPr>
          <w:rFonts w:cs="Times New Roman"/>
        </w:rPr>
      </w:pPr>
    </w:p>
    <w:p w14:paraId="7E216796" w14:textId="0AB540F4" w:rsidR="00B955D5" w:rsidRDefault="00B955D5" w:rsidP="00E83A02">
      <w:pPr>
        <w:spacing w:after="360" w:line="480" w:lineRule="auto"/>
        <w:rPr>
          <w:rFonts w:cs="Arial"/>
        </w:rPr>
      </w:pPr>
      <w:r>
        <w:rPr>
          <w:rFonts w:cs="Arial"/>
        </w:rPr>
        <w:t xml:space="preserve">Table 1 - </w:t>
      </w:r>
      <w:r w:rsidRPr="00A4248E">
        <w:rPr>
          <w:rFonts w:cs="Arial"/>
        </w:rPr>
        <w:t>Demographic and clinical features of the four patients from whom tumours were sequenced. IrMdG – Irinotecan and modified de Gramont (5-fluoruracil and folinic acid)</w:t>
      </w:r>
      <w:r>
        <w:rPr>
          <w:rFonts w:cs="Arial"/>
        </w:rPr>
        <w:t>.</w:t>
      </w:r>
    </w:p>
    <w:p w14:paraId="6689828A" w14:textId="77777777" w:rsidR="00B955D5" w:rsidRDefault="00B955D5" w:rsidP="00E83A02">
      <w:pPr>
        <w:spacing w:after="360" w:line="480" w:lineRule="auto"/>
        <w:rPr>
          <w:rFonts w:cs="Arial"/>
        </w:rPr>
      </w:pPr>
      <w:r>
        <w:rPr>
          <w:rFonts w:cs="Arial"/>
        </w:rPr>
        <w:t>Table 2</w:t>
      </w:r>
      <w:r w:rsidRPr="00AA7660">
        <w:rPr>
          <w:rFonts w:cs="Arial"/>
        </w:rPr>
        <w:t xml:space="preserve"> – Pathway analysis for SNVs present in at least one primary and metastatic tumour pertaining to the same patient. P-value is adjusted using Benjamini-Hochberg correction. Ratio identifies the number of focus genes identified (numerator) in the pathway (denominator).</w:t>
      </w:r>
    </w:p>
    <w:p w14:paraId="6F3373A1" w14:textId="77777777" w:rsidR="00E83A02" w:rsidRDefault="00E83A02" w:rsidP="00E83A02">
      <w:pPr>
        <w:spacing w:after="360" w:line="480" w:lineRule="auto"/>
        <w:rPr>
          <w:rFonts w:cs="Arial"/>
          <w:color w:val="000000"/>
          <w:shd w:val="clear" w:color="auto" w:fill="FFFFFF"/>
        </w:rPr>
      </w:pPr>
      <w:r w:rsidRPr="00AA7660">
        <w:rPr>
          <w:rFonts w:cs="Arial"/>
        </w:rPr>
        <w:t xml:space="preserve">Table </w:t>
      </w:r>
      <w:r>
        <w:rPr>
          <w:rFonts w:cs="Arial"/>
        </w:rPr>
        <w:t>3</w:t>
      </w:r>
      <w:r w:rsidRPr="00AA7660">
        <w:rPr>
          <w:rFonts w:cs="Arial"/>
        </w:rPr>
        <w:t xml:space="preserve"> - Network analysis for SNVs present in at least one primary and metastatic tumour pertaining to the same patient. </w:t>
      </w:r>
      <w:r w:rsidRPr="00AA7660">
        <w:rPr>
          <w:rFonts w:cs="Arial"/>
          <w:color w:val="000000"/>
          <w:shd w:val="clear" w:color="auto" w:fill="FFFFFF"/>
        </w:rPr>
        <w:t>The score is derived from a p-value and indicates the probability of the focus genes in a network being found together due to random chance. Focus molecules is the total number of SNVs of interest identified in the respective network.</w:t>
      </w:r>
    </w:p>
    <w:p w14:paraId="53015B94" w14:textId="77777777" w:rsidR="00E83A02" w:rsidRDefault="00E83A02" w:rsidP="00E83A02">
      <w:pPr>
        <w:spacing w:after="360" w:line="480" w:lineRule="auto"/>
      </w:pPr>
      <w:r>
        <w:t>Table 4</w:t>
      </w:r>
      <w:r w:rsidRPr="009B5691">
        <w:t xml:space="preserve"> – Summary of the Sanger sequencing for 6 SNVs of interest in 8 samples (matched primary and metastatic tumours from 4 patients). The highlighted fields were the location of SNVs identified through Ion Proton sequencing, with the content of the fields representing the identified base(s) on Sanger sequencing. Those marked undetermined failed due to inability to detect the amplicon.</w:t>
      </w:r>
    </w:p>
    <w:p w14:paraId="6326F31D" w14:textId="035B7FFD" w:rsidR="00AB3CF1" w:rsidRDefault="00AB3CF1" w:rsidP="00AB3CF1">
      <w:pPr>
        <w:spacing w:after="360" w:line="480" w:lineRule="auto"/>
        <w:rPr>
          <w:rFonts w:cs="Arial"/>
        </w:rPr>
      </w:pPr>
      <w:r w:rsidRPr="00AA7660">
        <w:rPr>
          <w:rFonts w:cs="Arial"/>
        </w:rPr>
        <w:t>Figure 1 – The ErbB signalling pathway was identified as the most statistically significant pathway arising from analysis of the SNVs present in at least one primary and metastatic tumour pertaining to the same patient. The focus genes in which the SNVs have arisen are highlighted in purple.</w:t>
      </w:r>
      <w:r w:rsidR="00284D59">
        <w:rPr>
          <w:rFonts w:cs="Arial"/>
        </w:rPr>
        <w:t xml:space="preserve"> Image from Ingenuity Pathway Analysis (Qiagen).</w:t>
      </w:r>
    </w:p>
    <w:p w14:paraId="628FE9E4" w14:textId="4F16DDA1" w:rsidR="00B955D5" w:rsidRDefault="00B955D5">
      <w:pPr>
        <w:rPr>
          <w:rFonts w:cs="Times New Roman"/>
        </w:rPr>
      </w:pPr>
    </w:p>
    <w:p w14:paraId="6E9C5960" w14:textId="77777777" w:rsidR="00B955D5" w:rsidRDefault="00B955D5" w:rsidP="00F16791">
      <w:pPr>
        <w:spacing w:after="360" w:line="360" w:lineRule="auto"/>
        <w:rPr>
          <w:rFonts w:cs="Times New Roman"/>
        </w:rPr>
      </w:pPr>
    </w:p>
    <w:tbl>
      <w:tblPr>
        <w:tblStyle w:val="TableGrid"/>
        <w:tblW w:w="8613" w:type="dxa"/>
        <w:jc w:val="center"/>
        <w:tblLayout w:type="fixed"/>
        <w:tblLook w:val="04A0" w:firstRow="1" w:lastRow="0" w:firstColumn="1" w:lastColumn="0" w:noHBand="0" w:noVBand="1"/>
      </w:tblPr>
      <w:tblGrid>
        <w:gridCol w:w="1242"/>
        <w:gridCol w:w="1901"/>
        <w:gridCol w:w="1874"/>
        <w:gridCol w:w="1843"/>
        <w:gridCol w:w="1753"/>
      </w:tblGrid>
      <w:tr w:rsidR="008F3345" w:rsidRPr="00A4248E" w14:paraId="0E087057" w14:textId="77777777" w:rsidTr="00835B62">
        <w:trPr>
          <w:jc w:val="center"/>
        </w:trPr>
        <w:tc>
          <w:tcPr>
            <w:tcW w:w="1242" w:type="dxa"/>
          </w:tcPr>
          <w:p w14:paraId="3DFCDB72" w14:textId="77777777" w:rsidR="008F3345" w:rsidRPr="00A4248E" w:rsidRDefault="008F3345" w:rsidP="008C32E6">
            <w:pPr>
              <w:jc w:val="center"/>
              <w:rPr>
                <w:rFonts w:cs="Arial"/>
                <w:b/>
              </w:rPr>
            </w:pPr>
            <w:r w:rsidRPr="00A4248E">
              <w:rPr>
                <w:rFonts w:cs="Arial"/>
                <w:b/>
              </w:rPr>
              <w:t>Variable</w:t>
            </w:r>
          </w:p>
        </w:tc>
        <w:tc>
          <w:tcPr>
            <w:tcW w:w="1901" w:type="dxa"/>
          </w:tcPr>
          <w:p w14:paraId="287B7D5B" w14:textId="77777777" w:rsidR="008F3345" w:rsidRPr="00A4248E" w:rsidRDefault="008F3345" w:rsidP="008C32E6">
            <w:pPr>
              <w:jc w:val="center"/>
              <w:rPr>
                <w:rFonts w:cs="Arial"/>
                <w:b/>
              </w:rPr>
            </w:pPr>
            <w:r w:rsidRPr="00A4248E">
              <w:rPr>
                <w:rFonts w:cs="Arial"/>
                <w:b/>
              </w:rPr>
              <w:t>Patient 1</w:t>
            </w:r>
          </w:p>
        </w:tc>
        <w:tc>
          <w:tcPr>
            <w:tcW w:w="1874" w:type="dxa"/>
          </w:tcPr>
          <w:p w14:paraId="2484D6D7" w14:textId="77777777" w:rsidR="008F3345" w:rsidRPr="00A4248E" w:rsidRDefault="008F3345" w:rsidP="008C32E6">
            <w:pPr>
              <w:jc w:val="center"/>
              <w:rPr>
                <w:rFonts w:cs="Arial"/>
                <w:b/>
              </w:rPr>
            </w:pPr>
            <w:r w:rsidRPr="00A4248E">
              <w:rPr>
                <w:rFonts w:cs="Arial"/>
                <w:b/>
              </w:rPr>
              <w:t>Patient 2</w:t>
            </w:r>
          </w:p>
        </w:tc>
        <w:tc>
          <w:tcPr>
            <w:tcW w:w="1843" w:type="dxa"/>
          </w:tcPr>
          <w:p w14:paraId="1732B439" w14:textId="77777777" w:rsidR="008F3345" w:rsidRPr="00A4248E" w:rsidRDefault="008F3345" w:rsidP="008C32E6">
            <w:pPr>
              <w:jc w:val="center"/>
              <w:rPr>
                <w:rFonts w:cs="Arial"/>
                <w:b/>
              </w:rPr>
            </w:pPr>
            <w:r w:rsidRPr="00A4248E">
              <w:rPr>
                <w:rFonts w:cs="Arial"/>
                <w:b/>
              </w:rPr>
              <w:t>Patient 3</w:t>
            </w:r>
          </w:p>
        </w:tc>
        <w:tc>
          <w:tcPr>
            <w:tcW w:w="1753" w:type="dxa"/>
          </w:tcPr>
          <w:p w14:paraId="0F38B871" w14:textId="77777777" w:rsidR="008F3345" w:rsidRPr="00A4248E" w:rsidRDefault="008F3345" w:rsidP="008C32E6">
            <w:pPr>
              <w:jc w:val="center"/>
              <w:rPr>
                <w:rFonts w:cs="Arial"/>
                <w:b/>
              </w:rPr>
            </w:pPr>
            <w:r w:rsidRPr="00A4248E">
              <w:rPr>
                <w:rFonts w:cs="Arial"/>
                <w:b/>
              </w:rPr>
              <w:t>Patient 4</w:t>
            </w:r>
          </w:p>
        </w:tc>
      </w:tr>
      <w:tr w:rsidR="008F3345" w:rsidRPr="00A4248E" w14:paraId="4A9DEAA0" w14:textId="77777777" w:rsidTr="00835B62">
        <w:trPr>
          <w:jc w:val="center"/>
        </w:trPr>
        <w:tc>
          <w:tcPr>
            <w:tcW w:w="1242" w:type="dxa"/>
          </w:tcPr>
          <w:p w14:paraId="74CA704D" w14:textId="77777777" w:rsidR="008F3345" w:rsidRPr="00A4248E" w:rsidRDefault="008F3345" w:rsidP="008C32E6">
            <w:pPr>
              <w:jc w:val="center"/>
              <w:rPr>
                <w:rFonts w:cs="Arial"/>
              </w:rPr>
            </w:pPr>
            <w:r w:rsidRPr="00A4248E">
              <w:rPr>
                <w:rFonts w:cs="Arial"/>
              </w:rPr>
              <w:t>Age at diagnosis</w:t>
            </w:r>
          </w:p>
        </w:tc>
        <w:tc>
          <w:tcPr>
            <w:tcW w:w="1901" w:type="dxa"/>
          </w:tcPr>
          <w:p w14:paraId="15432ABE" w14:textId="77777777" w:rsidR="008F3345" w:rsidRPr="00A4248E" w:rsidRDefault="008F3345" w:rsidP="008C32E6">
            <w:pPr>
              <w:jc w:val="center"/>
              <w:rPr>
                <w:rFonts w:cs="Arial"/>
              </w:rPr>
            </w:pPr>
            <w:r w:rsidRPr="00A4248E">
              <w:rPr>
                <w:rFonts w:cs="Arial"/>
              </w:rPr>
              <w:t>67</w:t>
            </w:r>
          </w:p>
        </w:tc>
        <w:tc>
          <w:tcPr>
            <w:tcW w:w="1874" w:type="dxa"/>
          </w:tcPr>
          <w:p w14:paraId="4CCB7CBC" w14:textId="77777777" w:rsidR="008F3345" w:rsidRPr="00A4248E" w:rsidRDefault="008F3345" w:rsidP="008C32E6">
            <w:pPr>
              <w:jc w:val="center"/>
              <w:rPr>
                <w:rFonts w:cs="Arial"/>
              </w:rPr>
            </w:pPr>
            <w:r w:rsidRPr="00A4248E">
              <w:rPr>
                <w:rFonts w:cs="Arial"/>
              </w:rPr>
              <w:t>70</w:t>
            </w:r>
          </w:p>
        </w:tc>
        <w:tc>
          <w:tcPr>
            <w:tcW w:w="1843" w:type="dxa"/>
          </w:tcPr>
          <w:p w14:paraId="357D1D9A" w14:textId="77777777" w:rsidR="008F3345" w:rsidRPr="00A4248E" w:rsidRDefault="008F3345" w:rsidP="008C32E6">
            <w:pPr>
              <w:jc w:val="center"/>
              <w:rPr>
                <w:rFonts w:cs="Arial"/>
              </w:rPr>
            </w:pPr>
            <w:r w:rsidRPr="00A4248E">
              <w:rPr>
                <w:rFonts w:cs="Arial"/>
              </w:rPr>
              <w:t>59</w:t>
            </w:r>
          </w:p>
        </w:tc>
        <w:tc>
          <w:tcPr>
            <w:tcW w:w="1753" w:type="dxa"/>
          </w:tcPr>
          <w:p w14:paraId="1BE5669A" w14:textId="77777777" w:rsidR="008F3345" w:rsidRPr="00A4248E" w:rsidRDefault="008F3345" w:rsidP="008C32E6">
            <w:pPr>
              <w:jc w:val="center"/>
              <w:rPr>
                <w:rFonts w:cs="Arial"/>
              </w:rPr>
            </w:pPr>
            <w:r w:rsidRPr="00A4248E">
              <w:rPr>
                <w:rFonts w:cs="Arial"/>
              </w:rPr>
              <w:t>75</w:t>
            </w:r>
          </w:p>
        </w:tc>
      </w:tr>
      <w:tr w:rsidR="008F3345" w:rsidRPr="00A4248E" w14:paraId="33B10B81" w14:textId="77777777" w:rsidTr="00835B62">
        <w:trPr>
          <w:jc w:val="center"/>
        </w:trPr>
        <w:tc>
          <w:tcPr>
            <w:tcW w:w="1242" w:type="dxa"/>
          </w:tcPr>
          <w:p w14:paraId="273EDD4F" w14:textId="77777777" w:rsidR="008F3345" w:rsidRPr="00A4248E" w:rsidRDefault="008F3345" w:rsidP="008C32E6">
            <w:pPr>
              <w:jc w:val="center"/>
              <w:rPr>
                <w:rFonts w:cs="Arial"/>
              </w:rPr>
            </w:pPr>
            <w:r w:rsidRPr="00A4248E">
              <w:rPr>
                <w:rFonts w:cs="Arial"/>
              </w:rPr>
              <w:t>Gender</w:t>
            </w:r>
          </w:p>
        </w:tc>
        <w:tc>
          <w:tcPr>
            <w:tcW w:w="1901" w:type="dxa"/>
          </w:tcPr>
          <w:p w14:paraId="31BCE9BB" w14:textId="77777777" w:rsidR="008F3345" w:rsidRPr="00A4248E" w:rsidRDefault="008F3345" w:rsidP="008C32E6">
            <w:pPr>
              <w:jc w:val="center"/>
              <w:rPr>
                <w:rFonts w:cs="Arial"/>
              </w:rPr>
            </w:pPr>
            <w:r w:rsidRPr="00A4248E">
              <w:rPr>
                <w:rFonts w:cs="Arial"/>
              </w:rPr>
              <w:t>M</w:t>
            </w:r>
          </w:p>
        </w:tc>
        <w:tc>
          <w:tcPr>
            <w:tcW w:w="1874" w:type="dxa"/>
          </w:tcPr>
          <w:p w14:paraId="375F7018" w14:textId="77777777" w:rsidR="008F3345" w:rsidRPr="00A4248E" w:rsidRDefault="008F3345" w:rsidP="008C32E6">
            <w:pPr>
              <w:jc w:val="center"/>
              <w:rPr>
                <w:rFonts w:cs="Arial"/>
              </w:rPr>
            </w:pPr>
            <w:r w:rsidRPr="00A4248E">
              <w:rPr>
                <w:rFonts w:cs="Arial"/>
              </w:rPr>
              <w:t>M</w:t>
            </w:r>
          </w:p>
        </w:tc>
        <w:tc>
          <w:tcPr>
            <w:tcW w:w="1843" w:type="dxa"/>
          </w:tcPr>
          <w:p w14:paraId="635C154B" w14:textId="77777777" w:rsidR="008F3345" w:rsidRPr="00A4248E" w:rsidRDefault="008F3345" w:rsidP="008C32E6">
            <w:pPr>
              <w:jc w:val="center"/>
              <w:rPr>
                <w:rFonts w:cs="Arial"/>
              </w:rPr>
            </w:pPr>
            <w:r w:rsidRPr="00A4248E">
              <w:rPr>
                <w:rFonts w:cs="Arial"/>
              </w:rPr>
              <w:t>F</w:t>
            </w:r>
          </w:p>
        </w:tc>
        <w:tc>
          <w:tcPr>
            <w:tcW w:w="1753" w:type="dxa"/>
          </w:tcPr>
          <w:p w14:paraId="5EA9D083" w14:textId="77777777" w:rsidR="008F3345" w:rsidRPr="00A4248E" w:rsidRDefault="008F3345" w:rsidP="008C32E6">
            <w:pPr>
              <w:jc w:val="center"/>
              <w:rPr>
                <w:rFonts w:cs="Arial"/>
              </w:rPr>
            </w:pPr>
            <w:r w:rsidRPr="00A4248E">
              <w:rPr>
                <w:rFonts w:cs="Arial"/>
              </w:rPr>
              <w:t>M</w:t>
            </w:r>
          </w:p>
        </w:tc>
      </w:tr>
      <w:tr w:rsidR="008F3345" w:rsidRPr="00A4248E" w14:paraId="24A14625" w14:textId="77777777" w:rsidTr="00835B62">
        <w:trPr>
          <w:jc w:val="center"/>
        </w:trPr>
        <w:tc>
          <w:tcPr>
            <w:tcW w:w="1242" w:type="dxa"/>
          </w:tcPr>
          <w:p w14:paraId="2A132C81" w14:textId="77777777" w:rsidR="008F3345" w:rsidRPr="00A4248E" w:rsidRDefault="008F3345" w:rsidP="008C32E6">
            <w:pPr>
              <w:jc w:val="center"/>
              <w:rPr>
                <w:rFonts w:cs="Arial"/>
              </w:rPr>
            </w:pPr>
            <w:r w:rsidRPr="00A4248E">
              <w:rPr>
                <w:rFonts w:cs="Arial"/>
              </w:rPr>
              <w:t>Site of primary</w:t>
            </w:r>
          </w:p>
        </w:tc>
        <w:tc>
          <w:tcPr>
            <w:tcW w:w="1901" w:type="dxa"/>
          </w:tcPr>
          <w:p w14:paraId="3C9F2622" w14:textId="77777777" w:rsidR="008F3345" w:rsidRPr="00A4248E" w:rsidRDefault="008F3345" w:rsidP="008C32E6">
            <w:pPr>
              <w:jc w:val="center"/>
              <w:rPr>
                <w:rFonts w:cs="Arial"/>
              </w:rPr>
            </w:pPr>
            <w:r w:rsidRPr="00A4248E">
              <w:rPr>
                <w:rFonts w:cs="Arial"/>
              </w:rPr>
              <w:t>Ascending</w:t>
            </w:r>
          </w:p>
        </w:tc>
        <w:tc>
          <w:tcPr>
            <w:tcW w:w="1874" w:type="dxa"/>
          </w:tcPr>
          <w:p w14:paraId="4086B4F4" w14:textId="77777777" w:rsidR="008F3345" w:rsidRPr="00A4248E" w:rsidRDefault="008F3345" w:rsidP="008C32E6">
            <w:pPr>
              <w:jc w:val="center"/>
              <w:rPr>
                <w:rFonts w:cs="Arial"/>
              </w:rPr>
            </w:pPr>
            <w:r w:rsidRPr="00A4248E">
              <w:rPr>
                <w:rFonts w:cs="Arial"/>
              </w:rPr>
              <w:t>Sigmoid</w:t>
            </w:r>
          </w:p>
        </w:tc>
        <w:tc>
          <w:tcPr>
            <w:tcW w:w="1843" w:type="dxa"/>
          </w:tcPr>
          <w:p w14:paraId="0AD8BCE0" w14:textId="77777777" w:rsidR="008F3345" w:rsidRPr="00A4248E" w:rsidRDefault="008F3345" w:rsidP="008C32E6">
            <w:pPr>
              <w:jc w:val="center"/>
              <w:rPr>
                <w:rFonts w:cs="Arial"/>
              </w:rPr>
            </w:pPr>
            <w:r w:rsidRPr="00A4248E">
              <w:rPr>
                <w:rFonts w:cs="Arial"/>
              </w:rPr>
              <w:t>Sigmoid</w:t>
            </w:r>
          </w:p>
        </w:tc>
        <w:tc>
          <w:tcPr>
            <w:tcW w:w="1753" w:type="dxa"/>
          </w:tcPr>
          <w:p w14:paraId="37D294BF" w14:textId="77777777" w:rsidR="008F3345" w:rsidRPr="00A4248E" w:rsidRDefault="008F3345" w:rsidP="008C32E6">
            <w:pPr>
              <w:jc w:val="center"/>
              <w:rPr>
                <w:rFonts w:cs="Arial"/>
              </w:rPr>
            </w:pPr>
            <w:r w:rsidRPr="00A4248E">
              <w:rPr>
                <w:rFonts w:cs="Arial"/>
              </w:rPr>
              <w:t>Sigmoid</w:t>
            </w:r>
          </w:p>
        </w:tc>
      </w:tr>
      <w:tr w:rsidR="008F3345" w:rsidRPr="00A4248E" w14:paraId="7F187549" w14:textId="77777777" w:rsidTr="00835B62">
        <w:trPr>
          <w:jc w:val="center"/>
        </w:trPr>
        <w:tc>
          <w:tcPr>
            <w:tcW w:w="1242" w:type="dxa"/>
          </w:tcPr>
          <w:p w14:paraId="5A0CBC5A" w14:textId="77777777" w:rsidR="008F3345" w:rsidRPr="00A4248E" w:rsidRDefault="008F3345" w:rsidP="008C32E6">
            <w:pPr>
              <w:jc w:val="center"/>
              <w:rPr>
                <w:rFonts w:cs="Arial"/>
              </w:rPr>
            </w:pPr>
            <w:r w:rsidRPr="00A4248E">
              <w:rPr>
                <w:rFonts w:cs="Arial"/>
              </w:rPr>
              <w:t>T stage</w:t>
            </w:r>
          </w:p>
        </w:tc>
        <w:tc>
          <w:tcPr>
            <w:tcW w:w="1901" w:type="dxa"/>
          </w:tcPr>
          <w:p w14:paraId="35A2AA67" w14:textId="77777777" w:rsidR="008F3345" w:rsidRPr="00A4248E" w:rsidRDefault="008F3345" w:rsidP="008C32E6">
            <w:pPr>
              <w:jc w:val="center"/>
              <w:rPr>
                <w:rFonts w:cs="Arial"/>
              </w:rPr>
            </w:pPr>
            <w:r w:rsidRPr="00A4248E">
              <w:rPr>
                <w:rFonts w:cs="Arial"/>
              </w:rPr>
              <w:t>4</w:t>
            </w:r>
          </w:p>
        </w:tc>
        <w:tc>
          <w:tcPr>
            <w:tcW w:w="1874" w:type="dxa"/>
          </w:tcPr>
          <w:p w14:paraId="3C7005DD" w14:textId="77777777" w:rsidR="008F3345" w:rsidRPr="00A4248E" w:rsidRDefault="008F3345" w:rsidP="008C32E6">
            <w:pPr>
              <w:jc w:val="center"/>
              <w:rPr>
                <w:rFonts w:cs="Arial"/>
              </w:rPr>
            </w:pPr>
            <w:r w:rsidRPr="00A4248E">
              <w:rPr>
                <w:rFonts w:cs="Arial"/>
              </w:rPr>
              <w:t>3</w:t>
            </w:r>
          </w:p>
        </w:tc>
        <w:tc>
          <w:tcPr>
            <w:tcW w:w="1843" w:type="dxa"/>
          </w:tcPr>
          <w:p w14:paraId="309DBDF6" w14:textId="77777777" w:rsidR="008F3345" w:rsidRPr="00A4248E" w:rsidRDefault="008F3345" w:rsidP="008C32E6">
            <w:pPr>
              <w:jc w:val="center"/>
              <w:rPr>
                <w:rFonts w:cs="Arial"/>
              </w:rPr>
            </w:pPr>
            <w:r w:rsidRPr="00A4248E">
              <w:rPr>
                <w:rFonts w:cs="Arial"/>
              </w:rPr>
              <w:t>3</w:t>
            </w:r>
          </w:p>
        </w:tc>
        <w:tc>
          <w:tcPr>
            <w:tcW w:w="1753" w:type="dxa"/>
          </w:tcPr>
          <w:p w14:paraId="2E8D5591" w14:textId="77777777" w:rsidR="008F3345" w:rsidRPr="00A4248E" w:rsidRDefault="008F3345" w:rsidP="008C32E6">
            <w:pPr>
              <w:jc w:val="center"/>
              <w:rPr>
                <w:rFonts w:cs="Arial"/>
              </w:rPr>
            </w:pPr>
            <w:r w:rsidRPr="00A4248E">
              <w:rPr>
                <w:rFonts w:cs="Arial"/>
              </w:rPr>
              <w:t>3</w:t>
            </w:r>
          </w:p>
        </w:tc>
      </w:tr>
      <w:tr w:rsidR="008F3345" w:rsidRPr="00A4248E" w14:paraId="47AB38EA" w14:textId="77777777" w:rsidTr="00835B62">
        <w:trPr>
          <w:jc w:val="center"/>
        </w:trPr>
        <w:tc>
          <w:tcPr>
            <w:tcW w:w="1242" w:type="dxa"/>
          </w:tcPr>
          <w:p w14:paraId="68587B03" w14:textId="77777777" w:rsidR="008F3345" w:rsidRPr="00A4248E" w:rsidRDefault="008F3345" w:rsidP="008C32E6">
            <w:pPr>
              <w:jc w:val="center"/>
              <w:rPr>
                <w:rFonts w:cs="Arial"/>
              </w:rPr>
            </w:pPr>
            <w:r w:rsidRPr="00A4248E">
              <w:rPr>
                <w:rFonts w:cs="Arial"/>
              </w:rPr>
              <w:t>N stage</w:t>
            </w:r>
          </w:p>
        </w:tc>
        <w:tc>
          <w:tcPr>
            <w:tcW w:w="1901" w:type="dxa"/>
          </w:tcPr>
          <w:p w14:paraId="257407EB" w14:textId="77777777" w:rsidR="008F3345" w:rsidRPr="00A4248E" w:rsidRDefault="008F3345" w:rsidP="008C32E6">
            <w:pPr>
              <w:jc w:val="center"/>
              <w:rPr>
                <w:rFonts w:cs="Arial"/>
              </w:rPr>
            </w:pPr>
            <w:r w:rsidRPr="00A4248E">
              <w:rPr>
                <w:rFonts w:cs="Arial"/>
              </w:rPr>
              <w:t>0</w:t>
            </w:r>
          </w:p>
        </w:tc>
        <w:tc>
          <w:tcPr>
            <w:tcW w:w="1874" w:type="dxa"/>
          </w:tcPr>
          <w:p w14:paraId="6F609670" w14:textId="77777777" w:rsidR="008F3345" w:rsidRPr="00A4248E" w:rsidRDefault="008F3345" w:rsidP="008C32E6">
            <w:pPr>
              <w:jc w:val="center"/>
              <w:rPr>
                <w:rFonts w:cs="Arial"/>
              </w:rPr>
            </w:pPr>
            <w:r w:rsidRPr="00A4248E">
              <w:rPr>
                <w:rFonts w:cs="Arial"/>
              </w:rPr>
              <w:t>0</w:t>
            </w:r>
          </w:p>
        </w:tc>
        <w:tc>
          <w:tcPr>
            <w:tcW w:w="1843" w:type="dxa"/>
          </w:tcPr>
          <w:p w14:paraId="67783F3F" w14:textId="77777777" w:rsidR="008F3345" w:rsidRPr="00A4248E" w:rsidRDefault="008F3345" w:rsidP="008C32E6">
            <w:pPr>
              <w:jc w:val="center"/>
              <w:rPr>
                <w:rFonts w:cs="Arial"/>
              </w:rPr>
            </w:pPr>
            <w:r w:rsidRPr="00A4248E">
              <w:rPr>
                <w:rFonts w:cs="Arial"/>
              </w:rPr>
              <w:t>0</w:t>
            </w:r>
          </w:p>
        </w:tc>
        <w:tc>
          <w:tcPr>
            <w:tcW w:w="1753" w:type="dxa"/>
          </w:tcPr>
          <w:p w14:paraId="0B1F37C5" w14:textId="77777777" w:rsidR="008F3345" w:rsidRPr="00A4248E" w:rsidRDefault="008F3345" w:rsidP="008C32E6">
            <w:pPr>
              <w:jc w:val="center"/>
              <w:rPr>
                <w:rFonts w:cs="Arial"/>
              </w:rPr>
            </w:pPr>
            <w:r w:rsidRPr="00A4248E">
              <w:rPr>
                <w:rFonts w:cs="Arial"/>
              </w:rPr>
              <w:t>2</w:t>
            </w:r>
          </w:p>
        </w:tc>
      </w:tr>
      <w:tr w:rsidR="008F3345" w:rsidRPr="00A4248E" w14:paraId="53CFD75C" w14:textId="77777777" w:rsidTr="00835B62">
        <w:trPr>
          <w:jc w:val="center"/>
        </w:trPr>
        <w:tc>
          <w:tcPr>
            <w:tcW w:w="1242" w:type="dxa"/>
          </w:tcPr>
          <w:p w14:paraId="0EB33344" w14:textId="77777777" w:rsidR="008F3345" w:rsidRPr="00A4248E" w:rsidRDefault="008F3345" w:rsidP="008C32E6">
            <w:pPr>
              <w:jc w:val="center"/>
              <w:rPr>
                <w:rFonts w:cs="Arial"/>
              </w:rPr>
            </w:pPr>
            <w:r w:rsidRPr="00A4248E">
              <w:rPr>
                <w:rFonts w:cs="Arial"/>
              </w:rPr>
              <w:t>Metastatic burden</w:t>
            </w:r>
          </w:p>
        </w:tc>
        <w:tc>
          <w:tcPr>
            <w:tcW w:w="1901" w:type="dxa"/>
          </w:tcPr>
          <w:p w14:paraId="0BC26B68" w14:textId="77777777" w:rsidR="008F3345" w:rsidRPr="00A4248E" w:rsidRDefault="008F3345" w:rsidP="008C32E6">
            <w:pPr>
              <w:jc w:val="center"/>
              <w:rPr>
                <w:rFonts w:cs="Arial"/>
              </w:rPr>
            </w:pPr>
            <w:r w:rsidRPr="00A4248E">
              <w:rPr>
                <w:rFonts w:cs="Arial"/>
              </w:rPr>
              <w:t>16 - Bilobar</w:t>
            </w:r>
          </w:p>
        </w:tc>
        <w:tc>
          <w:tcPr>
            <w:tcW w:w="1874" w:type="dxa"/>
          </w:tcPr>
          <w:p w14:paraId="3C9F34FF" w14:textId="77777777" w:rsidR="008F3345" w:rsidRPr="00A4248E" w:rsidRDefault="008F3345" w:rsidP="008C32E6">
            <w:pPr>
              <w:jc w:val="center"/>
              <w:rPr>
                <w:rFonts w:cs="Arial"/>
              </w:rPr>
            </w:pPr>
            <w:r w:rsidRPr="00A4248E">
              <w:rPr>
                <w:rFonts w:cs="Arial"/>
              </w:rPr>
              <w:t>7 - Bilobar</w:t>
            </w:r>
          </w:p>
        </w:tc>
        <w:tc>
          <w:tcPr>
            <w:tcW w:w="1843" w:type="dxa"/>
          </w:tcPr>
          <w:p w14:paraId="42C0E7AA" w14:textId="77777777" w:rsidR="008F3345" w:rsidRPr="00A4248E" w:rsidRDefault="008F3345" w:rsidP="008C32E6">
            <w:pPr>
              <w:jc w:val="center"/>
              <w:rPr>
                <w:rFonts w:cs="Arial"/>
              </w:rPr>
            </w:pPr>
            <w:r w:rsidRPr="00A4248E">
              <w:rPr>
                <w:rFonts w:cs="Arial"/>
              </w:rPr>
              <w:t>3 - Bilobar</w:t>
            </w:r>
          </w:p>
        </w:tc>
        <w:tc>
          <w:tcPr>
            <w:tcW w:w="1753" w:type="dxa"/>
          </w:tcPr>
          <w:p w14:paraId="7D84341A" w14:textId="77777777" w:rsidR="008F3345" w:rsidRPr="00A4248E" w:rsidRDefault="008F3345" w:rsidP="008C32E6">
            <w:pPr>
              <w:jc w:val="center"/>
              <w:rPr>
                <w:rFonts w:cs="Arial"/>
              </w:rPr>
            </w:pPr>
            <w:r w:rsidRPr="00A4248E">
              <w:rPr>
                <w:rFonts w:cs="Arial"/>
              </w:rPr>
              <w:t>4 - Unilobar</w:t>
            </w:r>
          </w:p>
        </w:tc>
      </w:tr>
      <w:tr w:rsidR="008F3345" w:rsidRPr="00A4248E" w14:paraId="46D49289" w14:textId="77777777" w:rsidTr="00835B62">
        <w:trPr>
          <w:jc w:val="center"/>
        </w:trPr>
        <w:tc>
          <w:tcPr>
            <w:tcW w:w="1242" w:type="dxa"/>
          </w:tcPr>
          <w:p w14:paraId="6785BF75" w14:textId="77777777" w:rsidR="008F3345" w:rsidRPr="00A4248E" w:rsidRDefault="008F3345" w:rsidP="008C32E6">
            <w:pPr>
              <w:jc w:val="center"/>
              <w:rPr>
                <w:rFonts w:cs="Arial"/>
              </w:rPr>
            </w:pPr>
            <w:r w:rsidRPr="00A4248E">
              <w:rPr>
                <w:rFonts w:cs="Arial"/>
              </w:rPr>
              <w:t>Neoadjuvant agents</w:t>
            </w:r>
          </w:p>
        </w:tc>
        <w:tc>
          <w:tcPr>
            <w:tcW w:w="1901" w:type="dxa"/>
          </w:tcPr>
          <w:p w14:paraId="110EDFF2" w14:textId="77777777" w:rsidR="008F3345" w:rsidRPr="00A4248E" w:rsidRDefault="008F3345" w:rsidP="008C32E6">
            <w:pPr>
              <w:jc w:val="center"/>
              <w:rPr>
                <w:rFonts w:cs="Arial"/>
              </w:rPr>
            </w:pPr>
            <w:r w:rsidRPr="00A4248E">
              <w:rPr>
                <w:rFonts w:cs="Arial"/>
              </w:rPr>
              <w:t>IrMdG</w:t>
            </w:r>
          </w:p>
        </w:tc>
        <w:tc>
          <w:tcPr>
            <w:tcW w:w="1874" w:type="dxa"/>
          </w:tcPr>
          <w:p w14:paraId="02B204BC" w14:textId="77777777" w:rsidR="008F3345" w:rsidRPr="00A4248E" w:rsidRDefault="008F3345" w:rsidP="008C32E6">
            <w:pPr>
              <w:jc w:val="center"/>
              <w:rPr>
                <w:rFonts w:cs="Arial"/>
              </w:rPr>
            </w:pPr>
            <w:r w:rsidRPr="00A4248E">
              <w:rPr>
                <w:rFonts w:cs="Arial"/>
              </w:rPr>
              <w:t>IrMdG</w:t>
            </w:r>
          </w:p>
        </w:tc>
        <w:tc>
          <w:tcPr>
            <w:tcW w:w="1843" w:type="dxa"/>
          </w:tcPr>
          <w:p w14:paraId="026C4E28" w14:textId="77777777" w:rsidR="008F3345" w:rsidRPr="00A4248E" w:rsidRDefault="008F3345" w:rsidP="008C32E6">
            <w:pPr>
              <w:jc w:val="center"/>
              <w:rPr>
                <w:rFonts w:cs="Arial"/>
              </w:rPr>
            </w:pPr>
            <w:r w:rsidRPr="00A4248E">
              <w:rPr>
                <w:rFonts w:cs="Arial"/>
              </w:rPr>
              <w:t>Oxaliplatin, capecitabine, cetuximab</w:t>
            </w:r>
          </w:p>
        </w:tc>
        <w:tc>
          <w:tcPr>
            <w:tcW w:w="1753" w:type="dxa"/>
          </w:tcPr>
          <w:p w14:paraId="0FFF0E4E" w14:textId="77777777" w:rsidR="008F3345" w:rsidRPr="00A4248E" w:rsidRDefault="008F3345" w:rsidP="008C32E6">
            <w:pPr>
              <w:jc w:val="center"/>
              <w:rPr>
                <w:rFonts w:cs="Arial"/>
              </w:rPr>
            </w:pPr>
            <w:r w:rsidRPr="00A4248E">
              <w:rPr>
                <w:rFonts w:cs="Arial"/>
              </w:rPr>
              <w:t>IrMdG</w:t>
            </w:r>
          </w:p>
        </w:tc>
      </w:tr>
      <w:tr w:rsidR="008F3345" w:rsidRPr="00A4248E" w14:paraId="568882DC" w14:textId="77777777" w:rsidTr="00835B62">
        <w:trPr>
          <w:jc w:val="center"/>
        </w:trPr>
        <w:tc>
          <w:tcPr>
            <w:tcW w:w="1242" w:type="dxa"/>
          </w:tcPr>
          <w:p w14:paraId="64065991" w14:textId="77777777" w:rsidR="008F3345" w:rsidRPr="00A4248E" w:rsidRDefault="008F3345" w:rsidP="008C32E6">
            <w:pPr>
              <w:jc w:val="center"/>
              <w:rPr>
                <w:rFonts w:cs="Arial"/>
              </w:rPr>
            </w:pPr>
            <w:r w:rsidRPr="00A4248E">
              <w:rPr>
                <w:rFonts w:cs="Arial"/>
              </w:rPr>
              <w:t>Procedure performed</w:t>
            </w:r>
          </w:p>
        </w:tc>
        <w:tc>
          <w:tcPr>
            <w:tcW w:w="1901" w:type="dxa"/>
          </w:tcPr>
          <w:p w14:paraId="62A70875" w14:textId="77777777" w:rsidR="008F3345" w:rsidRPr="00A4248E" w:rsidRDefault="008F3345" w:rsidP="008C32E6">
            <w:pPr>
              <w:jc w:val="center"/>
              <w:rPr>
                <w:rFonts w:cs="Arial"/>
              </w:rPr>
            </w:pPr>
            <w:r w:rsidRPr="00A4248E">
              <w:rPr>
                <w:rFonts w:cs="Arial"/>
              </w:rPr>
              <w:t>Right hemicolectomy and multiple segmentectomies</w:t>
            </w:r>
          </w:p>
        </w:tc>
        <w:tc>
          <w:tcPr>
            <w:tcW w:w="1874" w:type="dxa"/>
          </w:tcPr>
          <w:p w14:paraId="3CFC6937" w14:textId="77777777" w:rsidR="008F3345" w:rsidRPr="00A4248E" w:rsidRDefault="008F3345" w:rsidP="008C32E6">
            <w:pPr>
              <w:jc w:val="center"/>
              <w:rPr>
                <w:rFonts w:cs="Arial"/>
              </w:rPr>
            </w:pPr>
            <w:r w:rsidRPr="00A4248E">
              <w:rPr>
                <w:rFonts w:cs="Arial"/>
              </w:rPr>
              <w:t>Sigmoid colectomy and multiple segmentectomies</w:t>
            </w:r>
          </w:p>
        </w:tc>
        <w:tc>
          <w:tcPr>
            <w:tcW w:w="1843" w:type="dxa"/>
          </w:tcPr>
          <w:p w14:paraId="3A5D2E5C" w14:textId="77777777" w:rsidR="008F3345" w:rsidRPr="00A4248E" w:rsidRDefault="008F3345" w:rsidP="008C32E6">
            <w:pPr>
              <w:jc w:val="center"/>
              <w:rPr>
                <w:rFonts w:cs="Arial"/>
              </w:rPr>
            </w:pPr>
            <w:r w:rsidRPr="00A4248E">
              <w:rPr>
                <w:rFonts w:cs="Arial"/>
              </w:rPr>
              <w:t>Sigmoid colectomy and multiple segmentectomies</w:t>
            </w:r>
          </w:p>
        </w:tc>
        <w:tc>
          <w:tcPr>
            <w:tcW w:w="1753" w:type="dxa"/>
          </w:tcPr>
          <w:p w14:paraId="23C84EEC" w14:textId="77777777" w:rsidR="008F3345" w:rsidRPr="00A4248E" w:rsidRDefault="008F3345" w:rsidP="008C32E6">
            <w:pPr>
              <w:jc w:val="center"/>
              <w:rPr>
                <w:rFonts w:cs="Arial"/>
              </w:rPr>
            </w:pPr>
            <w:r w:rsidRPr="00A4248E">
              <w:rPr>
                <w:rFonts w:cs="Arial"/>
              </w:rPr>
              <w:t>Sigmoid colectomy and left hemi-hepatectomy</w:t>
            </w:r>
          </w:p>
        </w:tc>
      </w:tr>
      <w:tr w:rsidR="008F3345" w:rsidRPr="00A4248E" w14:paraId="0ACA0D9A" w14:textId="77777777" w:rsidTr="00835B62">
        <w:trPr>
          <w:jc w:val="center"/>
        </w:trPr>
        <w:tc>
          <w:tcPr>
            <w:tcW w:w="1242" w:type="dxa"/>
          </w:tcPr>
          <w:p w14:paraId="4E110491" w14:textId="77777777" w:rsidR="008F3345" w:rsidRPr="00A4248E" w:rsidRDefault="008F3345" w:rsidP="008C32E6">
            <w:pPr>
              <w:jc w:val="center"/>
              <w:rPr>
                <w:rFonts w:cs="Arial"/>
              </w:rPr>
            </w:pPr>
            <w:r w:rsidRPr="00A4248E">
              <w:rPr>
                <w:rFonts w:cs="Arial"/>
              </w:rPr>
              <w:t>Pathological features (primary)</w:t>
            </w:r>
          </w:p>
        </w:tc>
        <w:tc>
          <w:tcPr>
            <w:tcW w:w="1901" w:type="dxa"/>
          </w:tcPr>
          <w:p w14:paraId="7DE915EC" w14:textId="77777777" w:rsidR="008F3345" w:rsidRPr="00A4248E" w:rsidRDefault="008F3345" w:rsidP="008C32E6">
            <w:pPr>
              <w:jc w:val="center"/>
              <w:rPr>
                <w:rFonts w:cs="Arial"/>
              </w:rPr>
            </w:pPr>
            <w:bookmarkStart w:id="1" w:name="OLE_LINK1"/>
            <w:r w:rsidRPr="00A4248E">
              <w:rPr>
                <w:rFonts w:cs="Arial"/>
              </w:rPr>
              <w:t>Adenocarcinoma</w:t>
            </w:r>
          </w:p>
          <w:p w14:paraId="71FB0A79" w14:textId="77777777" w:rsidR="008F3345" w:rsidRPr="00A4248E" w:rsidRDefault="008F3345" w:rsidP="008C32E6">
            <w:pPr>
              <w:jc w:val="center"/>
              <w:rPr>
                <w:rFonts w:cs="Arial"/>
              </w:rPr>
            </w:pPr>
            <w:r w:rsidRPr="00A4248E">
              <w:rPr>
                <w:rFonts w:cs="Arial"/>
              </w:rPr>
              <w:t>Well differentiated</w:t>
            </w:r>
          </w:p>
          <w:p w14:paraId="46CDBB05" w14:textId="77777777" w:rsidR="008F3345" w:rsidRPr="00A4248E" w:rsidRDefault="008F3345" w:rsidP="008C32E6">
            <w:pPr>
              <w:jc w:val="center"/>
              <w:rPr>
                <w:rFonts w:cs="Arial"/>
              </w:rPr>
            </w:pPr>
            <w:r w:rsidRPr="00A4248E">
              <w:rPr>
                <w:rFonts w:cs="Arial"/>
              </w:rPr>
              <w:t>No lympovascular invasion</w:t>
            </w:r>
            <w:bookmarkEnd w:id="1"/>
          </w:p>
        </w:tc>
        <w:tc>
          <w:tcPr>
            <w:tcW w:w="1874" w:type="dxa"/>
          </w:tcPr>
          <w:p w14:paraId="5D8C7A6B" w14:textId="77777777" w:rsidR="008F3345" w:rsidRPr="00A4248E" w:rsidRDefault="008F3345" w:rsidP="008C32E6">
            <w:pPr>
              <w:jc w:val="center"/>
              <w:rPr>
                <w:rFonts w:cs="Arial"/>
              </w:rPr>
            </w:pPr>
            <w:r w:rsidRPr="00A4248E">
              <w:rPr>
                <w:rFonts w:cs="Arial"/>
              </w:rPr>
              <w:t>Adenocarcinoma</w:t>
            </w:r>
          </w:p>
          <w:p w14:paraId="71413F46" w14:textId="77777777" w:rsidR="008F3345" w:rsidRPr="00A4248E" w:rsidRDefault="008F3345" w:rsidP="008C32E6">
            <w:pPr>
              <w:jc w:val="center"/>
              <w:rPr>
                <w:rFonts w:cs="Arial"/>
              </w:rPr>
            </w:pPr>
            <w:r w:rsidRPr="00A4248E">
              <w:rPr>
                <w:rFonts w:cs="Arial"/>
              </w:rPr>
              <w:t>Moderately differentiated</w:t>
            </w:r>
          </w:p>
          <w:p w14:paraId="6F25498D" w14:textId="77777777" w:rsidR="008F3345" w:rsidRPr="00A4248E" w:rsidRDefault="008F3345" w:rsidP="008C32E6">
            <w:pPr>
              <w:jc w:val="center"/>
              <w:rPr>
                <w:rFonts w:cs="Arial"/>
              </w:rPr>
            </w:pPr>
            <w:r w:rsidRPr="00A4248E">
              <w:rPr>
                <w:rFonts w:cs="Arial"/>
              </w:rPr>
              <w:t>No lympovascular invasion</w:t>
            </w:r>
          </w:p>
        </w:tc>
        <w:tc>
          <w:tcPr>
            <w:tcW w:w="1843" w:type="dxa"/>
          </w:tcPr>
          <w:p w14:paraId="0483A06F" w14:textId="77777777" w:rsidR="008F3345" w:rsidRPr="00A4248E" w:rsidRDefault="008F3345" w:rsidP="008C32E6">
            <w:pPr>
              <w:jc w:val="center"/>
              <w:rPr>
                <w:rFonts w:cs="Arial"/>
              </w:rPr>
            </w:pPr>
            <w:r w:rsidRPr="00A4248E">
              <w:rPr>
                <w:rFonts w:cs="Arial"/>
              </w:rPr>
              <w:t>Adenocarcinoma</w:t>
            </w:r>
          </w:p>
          <w:p w14:paraId="48AE7FB1" w14:textId="77777777" w:rsidR="008F3345" w:rsidRPr="00A4248E" w:rsidRDefault="008F3345" w:rsidP="008C32E6">
            <w:pPr>
              <w:jc w:val="center"/>
              <w:rPr>
                <w:rFonts w:cs="Arial"/>
              </w:rPr>
            </w:pPr>
            <w:r w:rsidRPr="00A4248E">
              <w:rPr>
                <w:rFonts w:cs="Arial"/>
              </w:rPr>
              <w:t>Moderately differentiated</w:t>
            </w:r>
          </w:p>
          <w:p w14:paraId="69657A12" w14:textId="77777777" w:rsidR="008F3345" w:rsidRPr="00A4248E" w:rsidRDefault="008F3345" w:rsidP="008C32E6">
            <w:pPr>
              <w:jc w:val="center"/>
              <w:rPr>
                <w:rFonts w:cs="Arial"/>
              </w:rPr>
            </w:pPr>
            <w:r w:rsidRPr="00A4248E">
              <w:rPr>
                <w:rFonts w:cs="Arial"/>
              </w:rPr>
              <w:t>No lympovascular invasion</w:t>
            </w:r>
          </w:p>
        </w:tc>
        <w:tc>
          <w:tcPr>
            <w:tcW w:w="1753" w:type="dxa"/>
          </w:tcPr>
          <w:p w14:paraId="7508FD65" w14:textId="77777777" w:rsidR="008F3345" w:rsidRPr="00A4248E" w:rsidRDefault="008F3345" w:rsidP="008C32E6">
            <w:pPr>
              <w:jc w:val="center"/>
              <w:rPr>
                <w:rFonts w:cs="Arial"/>
              </w:rPr>
            </w:pPr>
            <w:r w:rsidRPr="00A4248E">
              <w:rPr>
                <w:rFonts w:cs="Arial"/>
              </w:rPr>
              <w:t>Adenocarcinoma</w:t>
            </w:r>
          </w:p>
          <w:p w14:paraId="74EE0B5E" w14:textId="77777777" w:rsidR="008F3345" w:rsidRPr="00A4248E" w:rsidRDefault="008F3345" w:rsidP="008C32E6">
            <w:pPr>
              <w:jc w:val="center"/>
              <w:rPr>
                <w:rFonts w:cs="Arial"/>
              </w:rPr>
            </w:pPr>
            <w:r w:rsidRPr="00A4248E">
              <w:rPr>
                <w:rFonts w:cs="Arial"/>
              </w:rPr>
              <w:t>Poorly differentiated</w:t>
            </w:r>
          </w:p>
          <w:p w14:paraId="6B3702C4" w14:textId="77777777" w:rsidR="008F3345" w:rsidRPr="00A4248E" w:rsidRDefault="008F3345" w:rsidP="008C32E6">
            <w:pPr>
              <w:jc w:val="center"/>
              <w:rPr>
                <w:rFonts w:cs="Arial"/>
              </w:rPr>
            </w:pPr>
            <w:r w:rsidRPr="00A4248E">
              <w:rPr>
                <w:rFonts w:cs="Arial"/>
              </w:rPr>
              <w:t>Lymphoid invasion</w:t>
            </w:r>
          </w:p>
          <w:p w14:paraId="38720F84" w14:textId="77777777" w:rsidR="008F3345" w:rsidRPr="00A4248E" w:rsidRDefault="008F3345" w:rsidP="008C32E6">
            <w:pPr>
              <w:jc w:val="center"/>
              <w:rPr>
                <w:rFonts w:cs="Arial"/>
              </w:rPr>
            </w:pPr>
            <w:r w:rsidRPr="00A4248E">
              <w:rPr>
                <w:rFonts w:cs="Arial"/>
              </w:rPr>
              <w:t>No vascular invasion</w:t>
            </w:r>
          </w:p>
        </w:tc>
      </w:tr>
      <w:tr w:rsidR="008F3345" w:rsidRPr="00A4248E" w14:paraId="5D892282" w14:textId="77777777" w:rsidTr="00835B62">
        <w:trPr>
          <w:jc w:val="center"/>
        </w:trPr>
        <w:tc>
          <w:tcPr>
            <w:tcW w:w="1242" w:type="dxa"/>
          </w:tcPr>
          <w:p w14:paraId="04788DD6" w14:textId="77777777" w:rsidR="008F3345" w:rsidRPr="00A4248E" w:rsidRDefault="008F3345" w:rsidP="008C32E6">
            <w:pPr>
              <w:jc w:val="center"/>
              <w:rPr>
                <w:rFonts w:cs="Arial"/>
              </w:rPr>
            </w:pPr>
            <w:r w:rsidRPr="00A4248E">
              <w:rPr>
                <w:rFonts w:cs="Arial"/>
              </w:rPr>
              <w:t>Pathological features (liver)</w:t>
            </w:r>
          </w:p>
        </w:tc>
        <w:tc>
          <w:tcPr>
            <w:tcW w:w="1901" w:type="dxa"/>
          </w:tcPr>
          <w:p w14:paraId="1FE609C2" w14:textId="77777777" w:rsidR="008F3345" w:rsidRPr="00A4248E" w:rsidRDefault="008F3345" w:rsidP="008C32E6">
            <w:pPr>
              <w:jc w:val="center"/>
              <w:rPr>
                <w:rFonts w:cs="Arial"/>
              </w:rPr>
            </w:pPr>
            <w:r w:rsidRPr="00A4248E">
              <w:rPr>
                <w:rFonts w:cs="Arial"/>
              </w:rPr>
              <w:t>Adenocarcinoma</w:t>
            </w:r>
          </w:p>
          <w:p w14:paraId="57112819" w14:textId="77777777" w:rsidR="008F3345" w:rsidRPr="00A4248E" w:rsidRDefault="008F3345" w:rsidP="008C32E6">
            <w:pPr>
              <w:jc w:val="center"/>
              <w:rPr>
                <w:rFonts w:cs="Arial"/>
              </w:rPr>
            </w:pPr>
            <w:r w:rsidRPr="00A4248E">
              <w:rPr>
                <w:rFonts w:cs="Arial"/>
              </w:rPr>
              <w:t>Well differentiated</w:t>
            </w:r>
          </w:p>
        </w:tc>
        <w:tc>
          <w:tcPr>
            <w:tcW w:w="1874" w:type="dxa"/>
          </w:tcPr>
          <w:p w14:paraId="483C3201" w14:textId="77777777" w:rsidR="008F3345" w:rsidRPr="00A4248E" w:rsidRDefault="008F3345" w:rsidP="008C32E6">
            <w:pPr>
              <w:jc w:val="center"/>
              <w:rPr>
                <w:rFonts w:cs="Arial"/>
              </w:rPr>
            </w:pPr>
            <w:r w:rsidRPr="00A4248E">
              <w:rPr>
                <w:rFonts w:cs="Arial"/>
              </w:rPr>
              <w:t>Adenocarcinoma</w:t>
            </w:r>
          </w:p>
          <w:p w14:paraId="485731EB" w14:textId="77777777" w:rsidR="008F3345" w:rsidRPr="00A4248E" w:rsidRDefault="008F3345" w:rsidP="008C32E6">
            <w:pPr>
              <w:jc w:val="center"/>
              <w:rPr>
                <w:rFonts w:cs="Arial"/>
              </w:rPr>
            </w:pPr>
            <w:r w:rsidRPr="00A4248E">
              <w:rPr>
                <w:rFonts w:cs="Arial"/>
              </w:rPr>
              <w:t>Moderately differentiated</w:t>
            </w:r>
          </w:p>
        </w:tc>
        <w:tc>
          <w:tcPr>
            <w:tcW w:w="1843" w:type="dxa"/>
          </w:tcPr>
          <w:p w14:paraId="5422F13E" w14:textId="77777777" w:rsidR="008F3345" w:rsidRPr="00A4248E" w:rsidRDefault="008F3345" w:rsidP="008C32E6">
            <w:pPr>
              <w:jc w:val="center"/>
              <w:rPr>
                <w:rFonts w:cs="Arial"/>
              </w:rPr>
            </w:pPr>
            <w:r w:rsidRPr="00A4248E">
              <w:rPr>
                <w:rFonts w:cs="Arial"/>
              </w:rPr>
              <w:t>Adenocarcinoma</w:t>
            </w:r>
          </w:p>
          <w:p w14:paraId="5B8DAE70" w14:textId="77777777" w:rsidR="008F3345" w:rsidRPr="00A4248E" w:rsidRDefault="008F3345" w:rsidP="008C32E6">
            <w:pPr>
              <w:jc w:val="center"/>
              <w:rPr>
                <w:rFonts w:cs="Arial"/>
              </w:rPr>
            </w:pPr>
            <w:r w:rsidRPr="00A4248E">
              <w:rPr>
                <w:rFonts w:cs="Arial"/>
              </w:rPr>
              <w:t>Moderately differentiated</w:t>
            </w:r>
          </w:p>
        </w:tc>
        <w:tc>
          <w:tcPr>
            <w:tcW w:w="1753" w:type="dxa"/>
          </w:tcPr>
          <w:p w14:paraId="6569F380" w14:textId="77777777" w:rsidR="008F3345" w:rsidRPr="00A4248E" w:rsidRDefault="008F3345" w:rsidP="008C32E6">
            <w:pPr>
              <w:jc w:val="center"/>
              <w:rPr>
                <w:rFonts w:cs="Arial"/>
              </w:rPr>
            </w:pPr>
            <w:r w:rsidRPr="00A4248E">
              <w:rPr>
                <w:rFonts w:cs="Arial"/>
              </w:rPr>
              <w:t>Adenocarcinoma</w:t>
            </w:r>
          </w:p>
          <w:p w14:paraId="2CAF5629" w14:textId="77777777" w:rsidR="008F3345" w:rsidRPr="00A4248E" w:rsidRDefault="008F3345" w:rsidP="008C32E6">
            <w:pPr>
              <w:jc w:val="center"/>
              <w:rPr>
                <w:rFonts w:cs="Arial"/>
              </w:rPr>
            </w:pPr>
            <w:r w:rsidRPr="00A4248E">
              <w:rPr>
                <w:rFonts w:cs="Arial"/>
              </w:rPr>
              <w:t>Poorly differentiated</w:t>
            </w:r>
          </w:p>
        </w:tc>
      </w:tr>
      <w:tr w:rsidR="008F3345" w:rsidRPr="00A4248E" w14:paraId="6A2C50BF" w14:textId="77777777" w:rsidTr="00835B62">
        <w:trPr>
          <w:jc w:val="center"/>
        </w:trPr>
        <w:tc>
          <w:tcPr>
            <w:tcW w:w="1242" w:type="dxa"/>
          </w:tcPr>
          <w:p w14:paraId="70FDB73B" w14:textId="77777777" w:rsidR="008F3345" w:rsidRPr="00A4248E" w:rsidRDefault="008F3345" w:rsidP="008C32E6">
            <w:pPr>
              <w:jc w:val="center"/>
              <w:rPr>
                <w:rFonts w:cs="Arial"/>
              </w:rPr>
            </w:pPr>
            <w:r w:rsidRPr="00A4248E">
              <w:rPr>
                <w:rFonts w:cs="Arial"/>
              </w:rPr>
              <w:t>Tumour regression grade</w:t>
            </w:r>
          </w:p>
        </w:tc>
        <w:tc>
          <w:tcPr>
            <w:tcW w:w="1901" w:type="dxa"/>
          </w:tcPr>
          <w:p w14:paraId="506B42C0" w14:textId="77777777" w:rsidR="008F3345" w:rsidRPr="00A4248E" w:rsidRDefault="008F3345" w:rsidP="008C32E6">
            <w:pPr>
              <w:jc w:val="center"/>
              <w:rPr>
                <w:rFonts w:cs="Arial"/>
              </w:rPr>
            </w:pPr>
            <w:r w:rsidRPr="00A4248E">
              <w:rPr>
                <w:rFonts w:cs="Arial"/>
              </w:rPr>
              <w:t>1</w:t>
            </w:r>
          </w:p>
        </w:tc>
        <w:tc>
          <w:tcPr>
            <w:tcW w:w="1874" w:type="dxa"/>
          </w:tcPr>
          <w:p w14:paraId="3DECA461" w14:textId="77777777" w:rsidR="008F3345" w:rsidRPr="00A4248E" w:rsidRDefault="008F3345" w:rsidP="008C32E6">
            <w:pPr>
              <w:jc w:val="center"/>
              <w:rPr>
                <w:rFonts w:cs="Arial"/>
              </w:rPr>
            </w:pPr>
            <w:r w:rsidRPr="00A4248E">
              <w:rPr>
                <w:rFonts w:cs="Arial"/>
              </w:rPr>
              <w:t>1</w:t>
            </w:r>
          </w:p>
        </w:tc>
        <w:tc>
          <w:tcPr>
            <w:tcW w:w="1843" w:type="dxa"/>
          </w:tcPr>
          <w:p w14:paraId="3A6AF4E8" w14:textId="77777777" w:rsidR="008F3345" w:rsidRPr="00A4248E" w:rsidRDefault="008F3345" w:rsidP="008C32E6">
            <w:pPr>
              <w:jc w:val="center"/>
              <w:rPr>
                <w:rFonts w:cs="Arial"/>
              </w:rPr>
            </w:pPr>
            <w:r w:rsidRPr="00A4248E">
              <w:rPr>
                <w:rFonts w:cs="Arial"/>
              </w:rPr>
              <w:t>3</w:t>
            </w:r>
          </w:p>
        </w:tc>
        <w:tc>
          <w:tcPr>
            <w:tcW w:w="1753" w:type="dxa"/>
          </w:tcPr>
          <w:p w14:paraId="34422FB0" w14:textId="77777777" w:rsidR="008F3345" w:rsidRPr="00A4248E" w:rsidRDefault="008F3345" w:rsidP="008C32E6">
            <w:pPr>
              <w:jc w:val="center"/>
              <w:rPr>
                <w:rFonts w:cs="Arial"/>
              </w:rPr>
            </w:pPr>
            <w:r w:rsidRPr="00A4248E">
              <w:rPr>
                <w:rFonts w:cs="Arial"/>
              </w:rPr>
              <w:t>4</w:t>
            </w:r>
          </w:p>
        </w:tc>
      </w:tr>
    </w:tbl>
    <w:p w14:paraId="4122991C" w14:textId="77777777" w:rsidR="008F3345" w:rsidRDefault="008F3345" w:rsidP="00F16791">
      <w:pPr>
        <w:spacing w:after="360" w:line="360" w:lineRule="auto"/>
        <w:rPr>
          <w:rFonts w:cs="Times New Roman"/>
        </w:rPr>
      </w:pPr>
    </w:p>
    <w:p w14:paraId="6758AC53" w14:textId="32F4DFF6" w:rsidR="008F3345" w:rsidRDefault="008F3345" w:rsidP="00B955D5">
      <w:pPr>
        <w:spacing w:after="360" w:line="360" w:lineRule="auto"/>
        <w:jc w:val="center"/>
        <w:rPr>
          <w:rFonts w:cs="Arial"/>
        </w:rPr>
      </w:pPr>
      <w:r>
        <w:rPr>
          <w:rFonts w:cs="Arial"/>
        </w:rPr>
        <w:t>Table 1</w:t>
      </w:r>
    </w:p>
    <w:p w14:paraId="4FD7CE3C" w14:textId="77777777" w:rsidR="00DB1F0A" w:rsidRDefault="00DB1F0A">
      <w:pPr>
        <w:rPr>
          <w:rFonts w:cs="Arial"/>
        </w:rPr>
      </w:pPr>
      <w:r>
        <w:rPr>
          <w:rFonts w:cs="Arial"/>
        </w:rPr>
        <w:br w:type="page"/>
      </w:r>
    </w:p>
    <w:tbl>
      <w:tblPr>
        <w:tblStyle w:val="TableGrid"/>
        <w:tblW w:w="0" w:type="auto"/>
        <w:jc w:val="center"/>
        <w:tblLook w:val="04A0" w:firstRow="1" w:lastRow="0" w:firstColumn="1" w:lastColumn="0" w:noHBand="0" w:noVBand="1"/>
      </w:tblPr>
      <w:tblGrid>
        <w:gridCol w:w="3936"/>
        <w:gridCol w:w="1688"/>
        <w:gridCol w:w="2812"/>
      </w:tblGrid>
      <w:tr w:rsidR="00AA7660" w:rsidRPr="00A4248E" w14:paraId="141F4CBE" w14:textId="77777777" w:rsidTr="008C32E6">
        <w:trPr>
          <w:jc w:val="center"/>
        </w:trPr>
        <w:tc>
          <w:tcPr>
            <w:tcW w:w="3936" w:type="dxa"/>
          </w:tcPr>
          <w:p w14:paraId="1C5F5BC5" w14:textId="77777777" w:rsidR="00AA7660" w:rsidRPr="00A4248E" w:rsidRDefault="00AA7660" w:rsidP="008C32E6">
            <w:pPr>
              <w:jc w:val="center"/>
              <w:rPr>
                <w:rFonts w:cs="Arial"/>
                <w:b/>
              </w:rPr>
            </w:pPr>
            <w:r w:rsidRPr="00A4248E">
              <w:rPr>
                <w:rFonts w:cs="Arial"/>
                <w:b/>
              </w:rPr>
              <w:lastRenderedPageBreak/>
              <w:t>Pathway</w:t>
            </w:r>
          </w:p>
        </w:tc>
        <w:tc>
          <w:tcPr>
            <w:tcW w:w="1688" w:type="dxa"/>
          </w:tcPr>
          <w:p w14:paraId="11505B14" w14:textId="77777777" w:rsidR="00AA7660" w:rsidRPr="00A4248E" w:rsidRDefault="00AA7660" w:rsidP="008C32E6">
            <w:pPr>
              <w:jc w:val="center"/>
              <w:rPr>
                <w:rFonts w:cs="Arial"/>
                <w:b/>
              </w:rPr>
            </w:pPr>
            <w:r w:rsidRPr="00A4248E">
              <w:rPr>
                <w:rFonts w:cs="Arial"/>
                <w:b/>
              </w:rPr>
              <w:t>p-value</w:t>
            </w:r>
          </w:p>
        </w:tc>
        <w:tc>
          <w:tcPr>
            <w:tcW w:w="2812" w:type="dxa"/>
          </w:tcPr>
          <w:p w14:paraId="52C2BED1" w14:textId="77777777" w:rsidR="00AA7660" w:rsidRPr="00A4248E" w:rsidRDefault="00AA7660" w:rsidP="008C32E6">
            <w:pPr>
              <w:jc w:val="center"/>
              <w:rPr>
                <w:rFonts w:cs="Arial"/>
                <w:b/>
              </w:rPr>
            </w:pPr>
            <w:r w:rsidRPr="00A4248E">
              <w:rPr>
                <w:rFonts w:cs="Arial"/>
                <w:b/>
              </w:rPr>
              <w:t>Ratio</w:t>
            </w:r>
          </w:p>
        </w:tc>
      </w:tr>
      <w:tr w:rsidR="00AA7660" w:rsidRPr="00A4248E" w14:paraId="6780A88D" w14:textId="77777777" w:rsidTr="008C32E6">
        <w:trPr>
          <w:jc w:val="center"/>
        </w:trPr>
        <w:tc>
          <w:tcPr>
            <w:tcW w:w="3936" w:type="dxa"/>
          </w:tcPr>
          <w:p w14:paraId="0FCFCF52" w14:textId="77777777" w:rsidR="00AA7660" w:rsidRPr="00A4248E" w:rsidRDefault="00AA7660" w:rsidP="008C32E6">
            <w:pPr>
              <w:jc w:val="center"/>
              <w:rPr>
                <w:rFonts w:cs="Arial"/>
              </w:rPr>
            </w:pPr>
            <w:r w:rsidRPr="00A4248E">
              <w:rPr>
                <w:rFonts w:cs="Arial"/>
              </w:rPr>
              <w:t>ErbB signalling</w:t>
            </w:r>
          </w:p>
        </w:tc>
        <w:tc>
          <w:tcPr>
            <w:tcW w:w="1688" w:type="dxa"/>
          </w:tcPr>
          <w:p w14:paraId="32513C68" w14:textId="77777777" w:rsidR="00AA7660" w:rsidRPr="00A4248E" w:rsidRDefault="00AA7660" w:rsidP="008C32E6">
            <w:pPr>
              <w:jc w:val="center"/>
              <w:rPr>
                <w:rFonts w:cs="Arial"/>
              </w:rPr>
            </w:pPr>
            <w:r w:rsidRPr="00A4248E">
              <w:rPr>
                <w:rFonts w:cs="Arial"/>
              </w:rPr>
              <w:t>5.87E-07</w:t>
            </w:r>
          </w:p>
        </w:tc>
        <w:tc>
          <w:tcPr>
            <w:tcW w:w="2812" w:type="dxa"/>
          </w:tcPr>
          <w:p w14:paraId="71871D6C" w14:textId="77777777" w:rsidR="00AA7660" w:rsidRPr="00A4248E" w:rsidRDefault="00AA7660" w:rsidP="008C32E6">
            <w:pPr>
              <w:jc w:val="center"/>
              <w:rPr>
                <w:rFonts w:cs="Arial"/>
              </w:rPr>
            </w:pPr>
            <w:r w:rsidRPr="00A4248E">
              <w:rPr>
                <w:rFonts w:cs="Arial"/>
              </w:rPr>
              <w:t>6/85 (0.071)</w:t>
            </w:r>
          </w:p>
        </w:tc>
      </w:tr>
      <w:tr w:rsidR="00AA7660" w:rsidRPr="00A4248E" w14:paraId="36B9E81D" w14:textId="77777777" w:rsidTr="008C32E6">
        <w:trPr>
          <w:jc w:val="center"/>
        </w:trPr>
        <w:tc>
          <w:tcPr>
            <w:tcW w:w="3936" w:type="dxa"/>
          </w:tcPr>
          <w:p w14:paraId="4DCF0DDA" w14:textId="77777777" w:rsidR="00AA7660" w:rsidRPr="00A4248E" w:rsidRDefault="00AA7660" w:rsidP="008C32E6">
            <w:pPr>
              <w:jc w:val="center"/>
              <w:rPr>
                <w:rFonts w:cs="Arial"/>
              </w:rPr>
            </w:pPr>
            <w:r w:rsidRPr="00A4248E">
              <w:rPr>
                <w:rFonts w:cs="Arial"/>
              </w:rPr>
              <w:t>Germ cell-sertoli cell junction signalling</w:t>
            </w:r>
          </w:p>
        </w:tc>
        <w:tc>
          <w:tcPr>
            <w:tcW w:w="1688" w:type="dxa"/>
          </w:tcPr>
          <w:p w14:paraId="1B533BDD" w14:textId="77777777" w:rsidR="00AA7660" w:rsidRPr="00A4248E" w:rsidRDefault="00AA7660" w:rsidP="008C32E6">
            <w:pPr>
              <w:jc w:val="center"/>
              <w:rPr>
                <w:rFonts w:cs="Arial"/>
              </w:rPr>
            </w:pPr>
            <w:r w:rsidRPr="00A4248E">
              <w:rPr>
                <w:rFonts w:cs="Arial"/>
              </w:rPr>
              <w:t>1.40E-06</w:t>
            </w:r>
          </w:p>
        </w:tc>
        <w:tc>
          <w:tcPr>
            <w:tcW w:w="2812" w:type="dxa"/>
          </w:tcPr>
          <w:p w14:paraId="632C54B1" w14:textId="77777777" w:rsidR="00AA7660" w:rsidRPr="00A4248E" w:rsidRDefault="00AA7660" w:rsidP="008C32E6">
            <w:pPr>
              <w:jc w:val="center"/>
              <w:rPr>
                <w:rFonts w:cs="Arial"/>
              </w:rPr>
            </w:pPr>
            <w:r w:rsidRPr="00A4248E">
              <w:rPr>
                <w:rFonts w:cs="Arial"/>
              </w:rPr>
              <w:t>7/156 (0.045)</w:t>
            </w:r>
          </w:p>
        </w:tc>
      </w:tr>
      <w:tr w:rsidR="00AA7660" w:rsidRPr="00A4248E" w14:paraId="6EAEA2A5" w14:textId="77777777" w:rsidTr="008C32E6">
        <w:trPr>
          <w:jc w:val="center"/>
        </w:trPr>
        <w:tc>
          <w:tcPr>
            <w:tcW w:w="3936" w:type="dxa"/>
          </w:tcPr>
          <w:p w14:paraId="150A63E6" w14:textId="77777777" w:rsidR="00AA7660" w:rsidRPr="00A4248E" w:rsidRDefault="00AA7660" w:rsidP="008C32E6">
            <w:pPr>
              <w:jc w:val="center"/>
              <w:rPr>
                <w:rFonts w:cs="Arial"/>
              </w:rPr>
            </w:pPr>
            <w:r w:rsidRPr="00A4248E">
              <w:rPr>
                <w:rFonts w:cs="Arial"/>
              </w:rPr>
              <w:t>Endothelin-1 signalling</w:t>
            </w:r>
          </w:p>
        </w:tc>
        <w:tc>
          <w:tcPr>
            <w:tcW w:w="1688" w:type="dxa"/>
          </w:tcPr>
          <w:p w14:paraId="4AA72D58" w14:textId="77777777" w:rsidR="00AA7660" w:rsidRPr="00A4248E" w:rsidRDefault="00AA7660" w:rsidP="008C32E6">
            <w:pPr>
              <w:jc w:val="center"/>
              <w:rPr>
                <w:rFonts w:cs="Arial"/>
              </w:rPr>
            </w:pPr>
            <w:r w:rsidRPr="00A4248E">
              <w:rPr>
                <w:rFonts w:cs="Arial"/>
              </w:rPr>
              <w:t>2.20E-06</w:t>
            </w:r>
          </w:p>
        </w:tc>
        <w:tc>
          <w:tcPr>
            <w:tcW w:w="2812" w:type="dxa"/>
          </w:tcPr>
          <w:p w14:paraId="0A836B0E" w14:textId="77777777" w:rsidR="00AA7660" w:rsidRPr="00A4248E" w:rsidRDefault="00AA7660" w:rsidP="008C32E6">
            <w:pPr>
              <w:jc w:val="center"/>
              <w:rPr>
                <w:rFonts w:cs="Arial"/>
              </w:rPr>
            </w:pPr>
            <w:r w:rsidRPr="00A4248E">
              <w:rPr>
                <w:rFonts w:cs="Arial"/>
              </w:rPr>
              <w:t>7/167 (0.042)</w:t>
            </w:r>
          </w:p>
        </w:tc>
      </w:tr>
      <w:tr w:rsidR="00AA7660" w:rsidRPr="00A4248E" w14:paraId="57779C3D" w14:textId="77777777" w:rsidTr="008C32E6">
        <w:trPr>
          <w:jc w:val="center"/>
        </w:trPr>
        <w:tc>
          <w:tcPr>
            <w:tcW w:w="3936" w:type="dxa"/>
          </w:tcPr>
          <w:p w14:paraId="3CA27460" w14:textId="77777777" w:rsidR="00AA7660" w:rsidRPr="00A4248E" w:rsidRDefault="00AA7660" w:rsidP="008C32E6">
            <w:pPr>
              <w:jc w:val="center"/>
              <w:rPr>
                <w:rFonts w:cs="Arial"/>
              </w:rPr>
            </w:pPr>
            <w:r w:rsidRPr="00A4248E">
              <w:rPr>
                <w:rFonts w:cs="Arial"/>
              </w:rPr>
              <w:t>Antiproliferative role of somatostatin receptor 2</w:t>
            </w:r>
          </w:p>
        </w:tc>
        <w:tc>
          <w:tcPr>
            <w:tcW w:w="1688" w:type="dxa"/>
          </w:tcPr>
          <w:p w14:paraId="3F575806" w14:textId="77777777" w:rsidR="00AA7660" w:rsidRPr="00A4248E" w:rsidRDefault="00AA7660" w:rsidP="008C32E6">
            <w:pPr>
              <w:jc w:val="center"/>
              <w:rPr>
                <w:rFonts w:cs="Arial"/>
              </w:rPr>
            </w:pPr>
            <w:r w:rsidRPr="00A4248E">
              <w:rPr>
                <w:rFonts w:cs="Arial"/>
              </w:rPr>
              <w:t>2.37E-06</w:t>
            </w:r>
          </w:p>
        </w:tc>
        <w:tc>
          <w:tcPr>
            <w:tcW w:w="2812" w:type="dxa"/>
          </w:tcPr>
          <w:p w14:paraId="14D8AD28" w14:textId="77777777" w:rsidR="00AA7660" w:rsidRPr="00A4248E" w:rsidRDefault="00AA7660" w:rsidP="008C32E6">
            <w:pPr>
              <w:jc w:val="center"/>
              <w:rPr>
                <w:rFonts w:cs="Arial"/>
              </w:rPr>
            </w:pPr>
            <w:r w:rsidRPr="00A4248E">
              <w:rPr>
                <w:rFonts w:cs="Arial"/>
              </w:rPr>
              <w:t>5/60 (0.083)</w:t>
            </w:r>
          </w:p>
        </w:tc>
      </w:tr>
      <w:tr w:rsidR="00AA7660" w:rsidRPr="00A4248E" w14:paraId="279C1834" w14:textId="77777777" w:rsidTr="008C32E6">
        <w:trPr>
          <w:jc w:val="center"/>
        </w:trPr>
        <w:tc>
          <w:tcPr>
            <w:tcW w:w="3936" w:type="dxa"/>
          </w:tcPr>
          <w:p w14:paraId="22B1BFA8" w14:textId="77777777" w:rsidR="00AA7660" w:rsidRPr="00A4248E" w:rsidRDefault="00AA7660" w:rsidP="008C32E6">
            <w:pPr>
              <w:jc w:val="center"/>
              <w:rPr>
                <w:rFonts w:cs="Arial"/>
              </w:rPr>
            </w:pPr>
            <w:r w:rsidRPr="00A4248E">
              <w:rPr>
                <w:rFonts w:cs="Arial"/>
              </w:rPr>
              <w:t>Renin angiotensin signalling</w:t>
            </w:r>
          </w:p>
        </w:tc>
        <w:tc>
          <w:tcPr>
            <w:tcW w:w="1688" w:type="dxa"/>
          </w:tcPr>
          <w:p w14:paraId="18124E4D" w14:textId="77777777" w:rsidR="00AA7660" w:rsidRPr="00A4248E" w:rsidRDefault="00AA7660" w:rsidP="008C32E6">
            <w:pPr>
              <w:jc w:val="center"/>
              <w:rPr>
                <w:rFonts w:cs="Arial"/>
              </w:rPr>
            </w:pPr>
            <w:r w:rsidRPr="00A4248E">
              <w:rPr>
                <w:rFonts w:cs="Arial"/>
              </w:rPr>
              <w:t>2.41E-06</w:t>
            </w:r>
          </w:p>
        </w:tc>
        <w:tc>
          <w:tcPr>
            <w:tcW w:w="2812" w:type="dxa"/>
          </w:tcPr>
          <w:p w14:paraId="11529147" w14:textId="77777777" w:rsidR="00AA7660" w:rsidRPr="00A4248E" w:rsidRDefault="00AA7660" w:rsidP="008C32E6">
            <w:pPr>
              <w:jc w:val="center"/>
              <w:rPr>
                <w:rFonts w:cs="Arial"/>
              </w:rPr>
            </w:pPr>
            <w:r w:rsidRPr="00A4248E">
              <w:rPr>
                <w:rFonts w:cs="Arial"/>
              </w:rPr>
              <w:t>6/108 (0.056)</w:t>
            </w:r>
          </w:p>
        </w:tc>
      </w:tr>
    </w:tbl>
    <w:p w14:paraId="2A593A57" w14:textId="77777777" w:rsidR="00AA7660" w:rsidRDefault="00AA7660" w:rsidP="00AA7660">
      <w:pPr>
        <w:spacing w:after="360" w:line="360" w:lineRule="auto"/>
        <w:rPr>
          <w:rFonts w:cs="Arial"/>
        </w:rPr>
      </w:pPr>
    </w:p>
    <w:p w14:paraId="3C1FDEF7" w14:textId="4461E749" w:rsidR="00AA7660" w:rsidRDefault="00911C6B" w:rsidP="00AA7660">
      <w:pPr>
        <w:spacing w:after="360" w:line="360" w:lineRule="auto"/>
        <w:jc w:val="center"/>
        <w:rPr>
          <w:rFonts w:cs="Arial"/>
        </w:rPr>
      </w:pPr>
      <w:r>
        <w:rPr>
          <w:rFonts w:cs="Arial"/>
        </w:rPr>
        <w:t>Table 2</w:t>
      </w:r>
    </w:p>
    <w:p w14:paraId="2DB98EE3" w14:textId="77777777" w:rsidR="00AA7660" w:rsidRDefault="00AA7660">
      <w:pPr>
        <w:rPr>
          <w:rFonts w:cs="Arial"/>
        </w:rPr>
      </w:pPr>
      <w:r>
        <w:rPr>
          <w:rFonts w:cs="Arial"/>
        </w:rPr>
        <w:br w:type="page"/>
      </w:r>
    </w:p>
    <w:tbl>
      <w:tblPr>
        <w:tblStyle w:val="TableGrid"/>
        <w:tblW w:w="0" w:type="auto"/>
        <w:jc w:val="center"/>
        <w:tblLayout w:type="fixed"/>
        <w:tblLook w:val="04A0" w:firstRow="1" w:lastRow="0" w:firstColumn="1" w:lastColumn="0" w:noHBand="0" w:noVBand="1"/>
      </w:tblPr>
      <w:tblGrid>
        <w:gridCol w:w="534"/>
        <w:gridCol w:w="3685"/>
        <w:gridCol w:w="851"/>
        <w:gridCol w:w="1275"/>
        <w:gridCol w:w="2091"/>
      </w:tblGrid>
      <w:tr w:rsidR="00AA7660" w:rsidRPr="00A4248E" w14:paraId="288A2EF5" w14:textId="77777777" w:rsidTr="008C32E6">
        <w:trPr>
          <w:jc w:val="center"/>
        </w:trPr>
        <w:tc>
          <w:tcPr>
            <w:tcW w:w="534" w:type="dxa"/>
          </w:tcPr>
          <w:p w14:paraId="6CD77F9C" w14:textId="77777777" w:rsidR="00AA7660" w:rsidRPr="00A4248E" w:rsidRDefault="00AA7660" w:rsidP="008C32E6">
            <w:pPr>
              <w:jc w:val="center"/>
              <w:rPr>
                <w:rFonts w:ascii="Calibri" w:hAnsi="Calibri" w:cs="Arial"/>
                <w:b/>
                <w:bCs/>
              </w:rPr>
            </w:pPr>
            <w:r w:rsidRPr="00A4248E">
              <w:rPr>
                <w:rFonts w:ascii="Calibri" w:hAnsi="Calibri" w:cs="Arial"/>
                <w:b/>
                <w:bCs/>
              </w:rPr>
              <w:lastRenderedPageBreak/>
              <w:t>ID</w:t>
            </w:r>
          </w:p>
        </w:tc>
        <w:tc>
          <w:tcPr>
            <w:tcW w:w="3685" w:type="dxa"/>
          </w:tcPr>
          <w:p w14:paraId="2247720B" w14:textId="77777777" w:rsidR="00AA7660" w:rsidRPr="00A4248E" w:rsidRDefault="00AA7660" w:rsidP="008C32E6">
            <w:pPr>
              <w:jc w:val="center"/>
              <w:rPr>
                <w:rFonts w:ascii="Calibri" w:hAnsi="Calibri" w:cs="Arial"/>
                <w:b/>
                <w:bCs/>
              </w:rPr>
            </w:pPr>
            <w:r w:rsidRPr="00A4248E">
              <w:rPr>
                <w:rFonts w:ascii="Calibri" w:hAnsi="Calibri" w:cs="Arial"/>
                <w:b/>
                <w:bCs/>
              </w:rPr>
              <w:t>Molecules in Network</w:t>
            </w:r>
          </w:p>
        </w:tc>
        <w:tc>
          <w:tcPr>
            <w:tcW w:w="851" w:type="dxa"/>
          </w:tcPr>
          <w:p w14:paraId="29EED8E7" w14:textId="77777777" w:rsidR="00AA7660" w:rsidRPr="00A4248E" w:rsidRDefault="00AA7660" w:rsidP="008C32E6">
            <w:pPr>
              <w:jc w:val="center"/>
              <w:rPr>
                <w:rFonts w:ascii="Calibri" w:hAnsi="Calibri" w:cs="Arial"/>
                <w:b/>
                <w:bCs/>
              </w:rPr>
            </w:pPr>
            <w:r w:rsidRPr="00A4248E">
              <w:rPr>
                <w:rFonts w:ascii="Calibri" w:hAnsi="Calibri" w:cs="Arial"/>
                <w:b/>
                <w:bCs/>
              </w:rPr>
              <w:t>Score</w:t>
            </w:r>
          </w:p>
        </w:tc>
        <w:tc>
          <w:tcPr>
            <w:tcW w:w="1275" w:type="dxa"/>
          </w:tcPr>
          <w:p w14:paraId="4B03E5A4" w14:textId="77777777" w:rsidR="00AA7660" w:rsidRPr="00A4248E" w:rsidRDefault="00AA7660" w:rsidP="008C32E6">
            <w:pPr>
              <w:jc w:val="center"/>
              <w:rPr>
                <w:rFonts w:ascii="Calibri" w:hAnsi="Calibri" w:cs="Arial"/>
                <w:b/>
                <w:bCs/>
              </w:rPr>
            </w:pPr>
            <w:r w:rsidRPr="00A4248E">
              <w:rPr>
                <w:rFonts w:ascii="Calibri" w:hAnsi="Calibri" w:cs="Arial"/>
                <w:b/>
                <w:bCs/>
              </w:rPr>
              <w:t>Focus Molecules</w:t>
            </w:r>
          </w:p>
        </w:tc>
        <w:tc>
          <w:tcPr>
            <w:tcW w:w="2091" w:type="dxa"/>
          </w:tcPr>
          <w:p w14:paraId="6F8DA89B" w14:textId="77777777" w:rsidR="00AA7660" w:rsidRPr="00A4248E" w:rsidRDefault="00AA7660" w:rsidP="008C32E6">
            <w:pPr>
              <w:jc w:val="center"/>
              <w:rPr>
                <w:rFonts w:ascii="Calibri" w:hAnsi="Calibri" w:cs="Arial"/>
                <w:b/>
                <w:bCs/>
              </w:rPr>
            </w:pPr>
            <w:r w:rsidRPr="00A4248E">
              <w:rPr>
                <w:rFonts w:ascii="Calibri" w:hAnsi="Calibri" w:cs="Arial"/>
                <w:b/>
                <w:bCs/>
              </w:rPr>
              <w:t>Top Diseases and Functions</w:t>
            </w:r>
          </w:p>
        </w:tc>
      </w:tr>
      <w:tr w:rsidR="00AA7660" w:rsidRPr="00A4248E" w14:paraId="6C57FE6D" w14:textId="77777777" w:rsidTr="008C32E6">
        <w:trPr>
          <w:jc w:val="center"/>
        </w:trPr>
        <w:tc>
          <w:tcPr>
            <w:tcW w:w="534" w:type="dxa"/>
          </w:tcPr>
          <w:p w14:paraId="58382F2A" w14:textId="77777777" w:rsidR="00AA7660" w:rsidRPr="00A4248E" w:rsidRDefault="00AA7660" w:rsidP="008C32E6">
            <w:pPr>
              <w:jc w:val="center"/>
              <w:rPr>
                <w:rFonts w:ascii="Calibri" w:hAnsi="Calibri" w:cs="Arial"/>
              </w:rPr>
            </w:pPr>
            <w:r w:rsidRPr="00A4248E">
              <w:rPr>
                <w:rFonts w:ascii="Calibri" w:hAnsi="Calibri" w:cs="Arial"/>
              </w:rPr>
              <w:t>1</w:t>
            </w:r>
          </w:p>
        </w:tc>
        <w:tc>
          <w:tcPr>
            <w:tcW w:w="3685" w:type="dxa"/>
          </w:tcPr>
          <w:p w14:paraId="7E764701" w14:textId="77777777" w:rsidR="00AA7660" w:rsidRPr="00A4248E" w:rsidRDefault="00AA7660" w:rsidP="008C32E6">
            <w:pPr>
              <w:jc w:val="center"/>
              <w:rPr>
                <w:rFonts w:ascii="Calibri" w:hAnsi="Calibri" w:cs="Arial"/>
              </w:rPr>
            </w:pPr>
            <w:r w:rsidRPr="00A4248E">
              <w:rPr>
                <w:rFonts w:ascii="Calibri" w:hAnsi="Calibri" w:cs="Arial"/>
              </w:rPr>
              <w:t>A2M,ABLIM,ADCY7,Akt,ARPC1A,ATP9A,BRAF,C1QTNF9,COL18A1,Cyclin A,DUSP3,ERK,ERK1/2,FSH,GNLY,GNRH,IgG,KRAS,KRT18,LGALS3,Lh,MAP2K3,NCOA1,NFkB (complex),PAK2,PDXK,PLCG2,PLIN3,POP5,PRKX,PRSS1,PRSS3,PTPRN,TLK1,USPL1</w:t>
            </w:r>
          </w:p>
        </w:tc>
        <w:tc>
          <w:tcPr>
            <w:tcW w:w="851" w:type="dxa"/>
          </w:tcPr>
          <w:p w14:paraId="1A8EEF05" w14:textId="77777777" w:rsidR="00AA7660" w:rsidRPr="00A4248E" w:rsidRDefault="00AA7660" w:rsidP="008C32E6">
            <w:pPr>
              <w:jc w:val="center"/>
              <w:rPr>
                <w:rFonts w:ascii="Calibri" w:hAnsi="Calibri" w:cs="Arial"/>
              </w:rPr>
            </w:pPr>
            <w:r w:rsidRPr="00A4248E">
              <w:rPr>
                <w:rFonts w:ascii="Calibri" w:hAnsi="Calibri" w:cs="Arial"/>
              </w:rPr>
              <w:t>23</w:t>
            </w:r>
          </w:p>
        </w:tc>
        <w:tc>
          <w:tcPr>
            <w:tcW w:w="1275" w:type="dxa"/>
          </w:tcPr>
          <w:p w14:paraId="78745DD1" w14:textId="77777777" w:rsidR="00AA7660" w:rsidRPr="00A4248E" w:rsidRDefault="00AA7660" w:rsidP="008C32E6">
            <w:pPr>
              <w:jc w:val="center"/>
              <w:rPr>
                <w:rFonts w:ascii="Calibri" w:hAnsi="Calibri" w:cs="Arial"/>
              </w:rPr>
            </w:pPr>
            <w:r w:rsidRPr="00A4248E">
              <w:rPr>
                <w:rFonts w:ascii="Calibri" w:hAnsi="Calibri" w:cs="Arial"/>
              </w:rPr>
              <w:t>13</w:t>
            </w:r>
          </w:p>
        </w:tc>
        <w:tc>
          <w:tcPr>
            <w:tcW w:w="2091" w:type="dxa"/>
          </w:tcPr>
          <w:p w14:paraId="23401450" w14:textId="77777777" w:rsidR="00AA7660" w:rsidRPr="00A4248E" w:rsidRDefault="00AA7660" w:rsidP="008C32E6">
            <w:pPr>
              <w:jc w:val="center"/>
              <w:rPr>
                <w:rFonts w:ascii="Calibri" w:hAnsi="Calibri" w:cs="Arial"/>
              </w:rPr>
            </w:pPr>
            <w:r w:rsidRPr="00A4248E">
              <w:rPr>
                <w:rFonts w:ascii="Calibri" w:hAnsi="Calibri" w:cs="Arial"/>
              </w:rPr>
              <w:t>Endocrine System Disorders, Gastrointestinal Disease, Inflammatory Disease</w:t>
            </w:r>
          </w:p>
        </w:tc>
      </w:tr>
      <w:tr w:rsidR="00AA7660" w:rsidRPr="00A4248E" w14:paraId="3EC0CCD9" w14:textId="77777777" w:rsidTr="008C32E6">
        <w:trPr>
          <w:jc w:val="center"/>
        </w:trPr>
        <w:tc>
          <w:tcPr>
            <w:tcW w:w="534" w:type="dxa"/>
          </w:tcPr>
          <w:p w14:paraId="06C892BD" w14:textId="77777777" w:rsidR="00AA7660" w:rsidRPr="00A4248E" w:rsidRDefault="00AA7660" w:rsidP="008C32E6">
            <w:pPr>
              <w:jc w:val="center"/>
              <w:rPr>
                <w:rFonts w:ascii="Calibri" w:hAnsi="Calibri" w:cs="Arial"/>
              </w:rPr>
            </w:pPr>
            <w:r w:rsidRPr="00A4248E">
              <w:rPr>
                <w:rFonts w:ascii="Calibri" w:hAnsi="Calibri" w:cs="Arial"/>
              </w:rPr>
              <w:t>2</w:t>
            </w:r>
          </w:p>
        </w:tc>
        <w:tc>
          <w:tcPr>
            <w:tcW w:w="3685" w:type="dxa"/>
          </w:tcPr>
          <w:p w14:paraId="57B208F1" w14:textId="77777777" w:rsidR="00AA7660" w:rsidRPr="00A4248E" w:rsidRDefault="00AA7660" w:rsidP="008C32E6">
            <w:pPr>
              <w:jc w:val="center"/>
              <w:rPr>
                <w:rFonts w:ascii="Calibri" w:hAnsi="Calibri" w:cs="Arial"/>
              </w:rPr>
            </w:pPr>
            <w:r w:rsidRPr="00A4248E">
              <w:rPr>
                <w:rFonts w:ascii="Calibri" w:hAnsi="Calibri" w:cs="Arial"/>
              </w:rPr>
              <w:t>ACAA1,ACSS2,ANAPC5,CCND1,CDC27,CDK5RAP2,CINP,CREB1,CTNNB1,DBN1,DPEP1,EPHB3,ERG,GFRA3,LAMB1,MAGI1,MAML1,MGEA5,MINK1,MYO5A,NME1,NOS1,NRP2,PABPC1,PPARA,RB1,STARD4,SVIL,TCF7,TUBA4A,UTRN,VENTX,WNT2,WNT11,ZMIZ2</w:t>
            </w:r>
          </w:p>
        </w:tc>
        <w:tc>
          <w:tcPr>
            <w:tcW w:w="851" w:type="dxa"/>
          </w:tcPr>
          <w:p w14:paraId="640DECCD" w14:textId="77777777" w:rsidR="00AA7660" w:rsidRPr="00A4248E" w:rsidRDefault="00AA7660" w:rsidP="008C32E6">
            <w:pPr>
              <w:jc w:val="center"/>
              <w:rPr>
                <w:rFonts w:ascii="Calibri" w:hAnsi="Calibri" w:cs="Arial"/>
              </w:rPr>
            </w:pPr>
            <w:r w:rsidRPr="00A4248E">
              <w:rPr>
                <w:rFonts w:ascii="Calibri" w:hAnsi="Calibri" w:cs="Arial"/>
              </w:rPr>
              <w:t>16</w:t>
            </w:r>
          </w:p>
        </w:tc>
        <w:tc>
          <w:tcPr>
            <w:tcW w:w="1275" w:type="dxa"/>
          </w:tcPr>
          <w:p w14:paraId="054259DB" w14:textId="77777777" w:rsidR="00AA7660" w:rsidRPr="00A4248E" w:rsidRDefault="00AA7660" w:rsidP="008C32E6">
            <w:pPr>
              <w:jc w:val="center"/>
              <w:rPr>
                <w:rFonts w:ascii="Calibri" w:hAnsi="Calibri" w:cs="Arial"/>
              </w:rPr>
            </w:pPr>
            <w:r w:rsidRPr="00A4248E">
              <w:rPr>
                <w:rFonts w:ascii="Calibri" w:hAnsi="Calibri" w:cs="Arial"/>
              </w:rPr>
              <w:t>10</w:t>
            </w:r>
          </w:p>
        </w:tc>
        <w:tc>
          <w:tcPr>
            <w:tcW w:w="2091" w:type="dxa"/>
          </w:tcPr>
          <w:p w14:paraId="5D7DD0D1" w14:textId="77777777" w:rsidR="00AA7660" w:rsidRPr="00A4248E" w:rsidRDefault="00AA7660" w:rsidP="008C32E6">
            <w:pPr>
              <w:jc w:val="center"/>
              <w:rPr>
                <w:rFonts w:ascii="Calibri" w:hAnsi="Calibri" w:cs="Arial"/>
              </w:rPr>
            </w:pPr>
            <w:r w:rsidRPr="00A4248E">
              <w:rPr>
                <w:rFonts w:ascii="Calibri" w:hAnsi="Calibri" w:cs="Arial"/>
              </w:rPr>
              <w:t>Cellular Development, Nervous System Development and Function, Tissue Development</w:t>
            </w:r>
          </w:p>
        </w:tc>
      </w:tr>
      <w:tr w:rsidR="00AA7660" w:rsidRPr="00A4248E" w14:paraId="4083C19A" w14:textId="77777777" w:rsidTr="008C32E6">
        <w:trPr>
          <w:jc w:val="center"/>
        </w:trPr>
        <w:tc>
          <w:tcPr>
            <w:tcW w:w="534" w:type="dxa"/>
          </w:tcPr>
          <w:p w14:paraId="057F8264" w14:textId="77777777" w:rsidR="00AA7660" w:rsidRPr="00A4248E" w:rsidRDefault="00AA7660" w:rsidP="008C32E6">
            <w:pPr>
              <w:jc w:val="center"/>
              <w:rPr>
                <w:rFonts w:ascii="Calibri" w:hAnsi="Calibri" w:cs="Arial"/>
              </w:rPr>
            </w:pPr>
            <w:r w:rsidRPr="00A4248E">
              <w:rPr>
                <w:rFonts w:ascii="Calibri" w:hAnsi="Calibri" w:cs="Arial"/>
              </w:rPr>
              <w:t>3</w:t>
            </w:r>
          </w:p>
        </w:tc>
        <w:tc>
          <w:tcPr>
            <w:tcW w:w="3685" w:type="dxa"/>
          </w:tcPr>
          <w:p w14:paraId="07B9FCD7" w14:textId="77777777" w:rsidR="00AA7660" w:rsidRPr="00A4248E" w:rsidRDefault="00AA7660" w:rsidP="008C32E6">
            <w:pPr>
              <w:jc w:val="center"/>
              <w:rPr>
                <w:rFonts w:ascii="Calibri" w:hAnsi="Calibri" w:cs="Arial"/>
              </w:rPr>
            </w:pPr>
            <w:r w:rsidRPr="00A4248E">
              <w:rPr>
                <w:rFonts w:ascii="Calibri" w:hAnsi="Calibri" w:cs="Arial"/>
              </w:rPr>
              <w:t>ACTN2,AGTR1,AKAP13,BNIP3L,CYP3A4,DIABLO,DRD5,EPB41L3,G3BP2,GCH1,KCNJ12,LTB,MAP3K7,NOD2,NR3C1,NRIP1,PABPC3,PAWR,PLD1,PPP1R13L,PTCH1,RELA,RGS2,RIPK2,RRAS,SDHA,SHH,SNX1,SPTBN1,TADA3,TP53BP2,TRAF5,TRAF3IP2,WDR26,YWHAH</w:t>
            </w:r>
          </w:p>
        </w:tc>
        <w:tc>
          <w:tcPr>
            <w:tcW w:w="851" w:type="dxa"/>
          </w:tcPr>
          <w:p w14:paraId="052574AA" w14:textId="77777777" w:rsidR="00AA7660" w:rsidRPr="00A4248E" w:rsidRDefault="00AA7660" w:rsidP="008C32E6">
            <w:pPr>
              <w:jc w:val="center"/>
              <w:rPr>
                <w:rFonts w:ascii="Calibri" w:hAnsi="Calibri" w:cs="Arial"/>
              </w:rPr>
            </w:pPr>
            <w:r w:rsidRPr="00A4248E">
              <w:rPr>
                <w:rFonts w:ascii="Calibri" w:hAnsi="Calibri" w:cs="Arial"/>
              </w:rPr>
              <w:t>12</w:t>
            </w:r>
          </w:p>
        </w:tc>
        <w:tc>
          <w:tcPr>
            <w:tcW w:w="1275" w:type="dxa"/>
          </w:tcPr>
          <w:p w14:paraId="08F945D9" w14:textId="77777777" w:rsidR="00AA7660" w:rsidRPr="00A4248E" w:rsidRDefault="00AA7660" w:rsidP="008C32E6">
            <w:pPr>
              <w:jc w:val="center"/>
              <w:rPr>
                <w:rFonts w:ascii="Calibri" w:hAnsi="Calibri" w:cs="Arial"/>
              </w:rPr>
            </w:pPr>
            <w:r w:rsidRPr="00A4248E">
              <w:rPr>
                <w:rFonts w:ascii="Calibri" w:hAnsi="Calibri" w:cs="Arial"/>
              </w:rPr>
              <w:t>8</w:t>
            </w:r>
          </w:p>
        </w:tc>
        <w:tc>
          <w:tcPr>
            <w:tcW w:w="2091" w:type="dxa"/>
          </w:tcPr>
          <w:p w14:paraId="5DF95020" w14:textId="77777777" w:rsidR="00AA7660" w:rsidRPr="00A4248E" w:rsidRDefault="00AA7660" w:rsidP="008C32E6">
            <w:pPr>
              <w:jc w:val="center"/>
              <w:rPr>
                <w:rFonts w:ascii="Calibri" w:hAnsi="Calibri" w:cs="Arial"/>
              </w:rPr>
            </w:pPr>
            <w:r w:rsidRPr="00A4248E">
              <w:rPr>
                <w:rFonts w:ascii="Calibri" w:hAnsi="Calibri" w:cs="Arial"/>
              </w:rPr>
              <w:t>Free Radical Scavenging, Molecular Transport, Cellular Growth and Proliferation</w:t>
            </w:r>
          </w:p>
        </w:tc>
      </w:tr>
    </w:tbl>
    <w:p w14:paraId="19A712F4" w14:textId="77777777" w:rsidR="00AA7660" w:rsidRPr="00A4248E" w:rsidRDefault="00AA7660" w:rsidP="00AA7660">
      <w:pPr>
        <w:spacing w:after="360" w:line="360" w:lineRule="auto"/>
        <w:rPr>
          <w:rFonts w:cs="Arial"/>
        </w:rPr>
      </w:pPr>
    </w:p>
    <w:p w14:paraId="398EE498" w14:textId="23E7D2DD" w:rsidR="009B5691" w:rsidRDefault="00AA7660" w:rsidP="008C32E6">
      <w:pPr>
        <w:spacing w:after="360" w:line="360" w:lineRule="auto"/>
        <w:jc w:val="center"/>
        <w:rPr>
          <w:rFonts w:cs="Arial"/>
          <w:color w:val="000000"/>
          <w:shd w:val="clear" w:color="auto" w:fill="FFFFFF"/>
        </w:rPr>
      </w:pPr>
      <w:r w:rsidRPr="00AA7660">
        <w:rPr>
          <w:rFonts w:cs="Arial"/>
        </w:rPr>
        <w:t xml:space="preserve">Table </w:t>
      </w:r>
      <w:r w:rsidR="00911C6B">
        <w:rPr>
          <w:rFonts w:cs="Arial"/>
        </w:rPr>
        <w:t>3</w:t>
      </w:r>
      <w:r w:rsidRPr="00AA7660">
        <w:rPr>
          <w:rFonts w:cs="Arial"/>
        </w:rPr>
        <w:t xml:space="preserve"> </w:t>
      </w:r>
    </w:p>
    <w:p w14:paraId="39E47FC6" w14:textId="77777777" w:rsidR="008C32E6" w:rsidRDefault="008C32E6" w:rsidP="00AA7660">
      <w:pPr>
        <w:spacing w:after="360" w:line="360" w:lineRule="auto"/>
        <w:jc w:val="center"/>
        <w:rPr>
          <w:rFonts w:cs="Arial"/>
        </w:rPr>
      </w:pPr>
    </w:p>
    <w:p w14:paraId="0E069FA1" w14:textId="77777777" w:rsidR="008C32E6" w:rsidRDefault="008C32E6" w:rsidP="00AA7660">
      <w:pPr>
        <w:spacing w:after="360" w:line="360" w:lineRule="auto"/>
        <w:jc w:val="center"/>
        <w:rPr>
          <w:rFonts w:cs="Arial"/>
        </w:rPr>
      </w:pPr>
    </w:p>
    <w:p w14:paraId="2F26AF04" w14:textId="77777777" w:rsidR="008C32E6" w:rsidRDefault="008C32E6" w:rsidP="00AA7660">
      <w:pPr>
        <w:spacing w:after="360" w:line="360" w:lineRule="auto"/>
        <w:jc w:val="center"/>
        <w:rPr>
          <w:rFonts w:cs="Arial"/>
        </w:rPr>
        <w:sectPr w:rsidR="008C32E6" w:rsidSect="009B5691">
          <w:footerReference w:type="default" r:id="rId7"/>
          <w:pgSz w:w="11906" w:h="16838"/>
          <w:pgMar w:top="1418" w:right="2268" w:bottom="1418" w:left="1418" w:header="709" w:footer="709" w:gutter="0"/>
          <w:cols w:space="708"/>
          <w:docGrid w:linePitch="360"/>
        </w:sectPr>
      </w:pPr>
    </w:p>
    <w:tbl>
      <w:tblPr>
        <w:tblW w:w="13037" w:type="dxa"/>
        <w:jc w:val="center"/>
        <w:tblLook w:val="04A0" w:firstRow="1" w:lastRow="0" w:firstColumn="1" w:lastColumn="0" w:noHBand="0" w:noVBand="1"/>
      </w:tblPr>
      <w:tblGrid>
        <w:gridCol w:w="2552"/>
        <w:gridCol w:w="1413"/>
        <w:gridCol w:w="1417"/>
        <w:gridCol w:w="1418"/>
        <w:gridCol w:w="1417"/>
        <w:gridCol w:w="992"/>
        <w:gridCol w:w="1418"/>
        <w:gridCol w:w="992"/>
        <w:gridCol w:w="1418"/>
      </w:tblGrid>
      <w:tr w:rsidR="00134175" w:rsidRPr="002B4DC4" w14:paraId="4DB9DDFB" w14:textId="77777777" w:rsidTr="00134175">
        <w:trPr>
          <w:trHeight w:val="300"/>
          <w:jc w:val="center"/>
        </w:trPr>
        <w:tc>
          <w:tcPr>
            <w:tcW w:w="2552"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4E0EE11C" w14:textId="77777777" w:rsidR="00134175" w:rsidRPr="002B4DC4" w:rsidRDefault="00134175" w:rsidP="00585299">
            <w:pPr>
              <w:spacing w:after="0" w:line="240" w:lineRule="auto"/>
              <w:jc w:val="center"/>
              <w:rPr>
                <w:rFonts w:ascii="Calibri" w:eastAsia="Times New Roman" w:hAnsi="Calibri" w:cs="Times New Roman"/>
                <w:color w:val="000000"/>
                <w:sz w:val="20"/>
                <w:szCs w:val="20"/>
              </w:rPr>
            </w:pPr>
            <w:r w:rsidRPr="002B4DC4">
              <w:rPr>
                <w:sz w:val="20"/>
                <w:szCs w:val="20"/>
              </w:rPr>
              <w:lastRenderedPageBreak/>
              <w:br w:type="page"/>
            </w:r>
          </w:p>
        </w:tc>
        <w:tc>
          <w:tcPr>
            <w:tcW w:w="283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BD27546" w14:textId="77777777" w:rsidR="00134175" w:rsidRPr="00134175" w:rsidRDefault="00134175" w:rsidP="00585299">
            <w:pPr>
              <w:spacing w:after="0" w:line="240" w:lineRule="auto"/>
              <w:jc w:val="center"/>
              <w:rPr>
                <w:rFonts w:ascii="Calibri" w:eastAsia="Times New Roman" w:hAnsi="Calibri" w:cs="Times New Roman"/>
                <w:b/>
                <w:color w:val="000000"/>
                <w:sz w:val="20"/>
                <w:szCs w:val="20"/>
              </w:rPr>
            </w:pPr>
            <w:r w:rsidRPr="00134175">
              <w:rPr>
                <w:rFonts w:ascii="Calibri" w:eastAsia="Times New Roman" w:hAnsi="Calibri" w:cs="Times New Roman"/>
                <w:b/>
                <w:color w:val="000000"/>
                <w:sz w:val="20"/>
                <w:szCs w:val="20"/>
              </w:rPr>
              <w:t>Patient 1</w:t>
            </w:r>
          </w:p>
        </w:tc>
        <w:tc>
          <w:tcPr>
            <w:tcW w:w="283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3E9C6F5" w14:textId="77777777" w:rsidR="00134175" w:rsidRPr="00134175" w:rsidRDefault="00134175" w:rsidP="00585299">
            <w:pPr>
              <w:spacing w:after="0" w:line="240" w:lineRule="auto"/>
              <w:jc w:val="center"/>
              <w:rPr>
                <w:rFonts w:ascii="Calibri" w:eastAsia="Times New Roman" w:hAnsi="Calibri" w:cs="Times New Roman"/>
                <w:b/>
                <w:color w:val="000000"/>
                <w:sz w:val="20"/>
                <w:szCs w:val="20"/>
              </w:rPr>
            </w:pPr>
            <w:r w:rsidRPr="00134175">
              <w:rPr>
                <w:rFonts w:ascii="Calibri" w:eastAsia="Times New Roman" w:hAnsi="Calibri" w:cs="Times New Roman"/>
                <w:b/>
                <w:color w:val="000000"/>
                <w:sz w:val="20"/>
                <w:szCs w:val="20"/>
              </w:rPr>
              <w:t>Patient 2</w:t>
            </w:r>
          </w:p>
        </w:tc>
        <w:tc>
          <w:tcPr>
            <w:tcW w:w="241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A829E9C" w14:textId="77777777" w:rsidR="00134175" w:rsidRPr="00134175" w:rsidRDefault="00134175" w:rsidP="00585299">
            <w:pPr>
              <w:spacing w:after="0" w:line="240" w:lineRule="auto"/>
              <w:jc w:val="center"/>
              <w:rPr>
                <w:rFonts w:ascii="Calibri" w:eastAsia="Times New Roman" w:hAnsi="Calibri" w:cs="Times New Roman"/>
                <w:b/>
                <w:color w:val="000000"/>
                <w:sz w:val="20"/>
                <w:szCs w:val="20"/>
              </w:rPr>
            </w:pPr>
            <w:r w:rsidRPr="00134175">
              <w:rPr>
                <w:rFonts w:ascii="Calibri" w:eastAsia="Times New Roman" w:hAnsi="Calibri" w:cs="Times New Roman"/>
                <w:b/>
                <w:color w:val="000000"/>
                <w:sz w:val="20"/>
                <w:szCs w:val="20"/>
              </w:rPr>
              <w:t>Patient 3</w:t>
            </w:r>
          </w:p>
        </w:tc>
        <w:tc>
          <w:tcPr>
            <w:tcW w:w="241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00BBF62" w14:textId="77777777" w:rsidR="00134175" w:rsidRPr="00134175" w:rsidRDefault="00134175" w:rsidP="00585299">
            <w:pPr>
              <w:spacing w:after="0" w:line="240" w:lineRule="auto"/>
              <w:jc w:val="center"/>
              <w:rPr>
                <w:rFonts w:ascii="Calibri" w:eastAsia="Times New Roman" w:hAnsi="Calibri" w:cs="Times New Roman"/>
                <w:b/>
                <w:color w:val="000000"/>
                <w:sz w:val="20"/>
                <w:szCs w:val="20"/>
              </w:rPr>
            </w:pPr>
            <w:r w:rsidRPr="00134175">
              <w:rPr>
                <w:rFonts w:ascii="Calibri" w:eastAsia="Times New Roman" w:hAnsi="Calibri" w:cs="Times New Roman"/>
                <w:b/>
                <w:color w:val="000000"/>
                <w:sz w:val="20"/>
                <w:szCs w:val="20"/>
              </w:rPr>
              <w:t>Patient 4</w:t>
            </w:r>
          </w:p>
        </w:tc>
      </w:tr>
      <w:tr w:rsidR="00134175" w:rsidRPr="002B4DC4" w14:paraId="55F314A7" w14:textId="77777777" w:rsidTr="00134175">
        <w:trPr>
          <w:trHeight w:val="300"/>
          <w:jc w:val="center"/>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E85B5AE" w14:textId="77777777" w:rsidR="00134175" w:rsidRPr="002B4DC4" w:rsidRDefault="00134175" w:rsidP="00585299">
            <w:pPr>
              <w:spacing w:after="0" w:line="240" w:lineRule="auto"/>
              <w:jc w:val="center"/>
              <w:rPr>
                <w:rFonts w:ascii="Calibri" w:eastAsia="Times New Roman" w:hAnsi="Calibri" w:cs="Times New Roman"/>
                <w:b/>
                <w:bCs/>
                <w:color w:val="000000"/>
                <w:sz w:val="20"/>
                <w:szCs w:val="20"/>
              </w:rPr>
            </w:pPr>
            <w:r w:rsidRPr="002B4DC4">
              <w:rPr>
                <w:rFonts w:ascii="Calibri" w:eastAsia="Times New Roman" w:hAnsi="Calibri" w:cs="Times New Roman"/>
                <w:b/>
                <w:bCs/>
                <w:color w:val="000000"/>
                <w:sz w:val="20"/>
                <w:szCs w:val="20"/>
              </w:rPr>
              <w:t>Annotation</w:t>
            </w:r>
          </w:p>
        </w:tc>
        <w:tc>
          <w:tcPr>
            <w:tcW w:w="1413" w:type="dxa"/>
            <w:tcBorders>
              <w:top w:val="nil"/>
              <w:left w:val="nil"/>
              <w:bottom w:val="single" w:sz="4" w:space="0" w:color="auto"/>
              <w:right w:val="single" w:sz="4" w:space="0" w:color="auto"/>
            </w:tcBorders>
            <w:shd w:val="clear" w:color="auto" w:fill="auto"/>
            <w:noWrap/>
            <w:vAlign w:val="bottom"/>
            <w:hideMark/>
          </w:tcPr>
          <w:p w14:paraId="4C21AAAC" w14:textId="77777777" w:rsidR="00134175" w:rsidRPr="00134175" w:rsidRDefault="00134175" w:rsidP="00585299">
            <w:pPr>
              <w:spacing w:after="0" w:line="240" w:lineRule="auto"/>
              <w:jc w:val="center"/>
              <w:rPr>
                <w:rFonts w:ascii="Calibri" w:eastAsia="Times New Roman" w:hAnsi="Calibri" w:cs="Times New Roman"/>
                <w:b/>
                <w:color w:val="000000"/>
                <w:sz w:val="20"/>
                <w:szCs w:val="20"/>
              </w:rPr>
            </w:pPr>
            <w:r w:rsidRPr="00134175">
              <w:rPr>
                <w:rFonts w:ascii="Calibri" w:eastAsia="Times New Roman" w:hAnsi="Calibri" w:cs="Times New Roman"/>
                <w:b/>
                <w:color w:val="000000"/>
                <w:sz w:val="20"/>
                <w:szCs w:val="20"/>
              </w:rPr>
              <w:t>Primary</w:t>
            </w:r>
          </w:p>
        </w:tc>
        <w:tc>
          <w:tcPr>
            <w:tcW w:w="1417" w:type="dxa"/>
            <w:tcBorders>
              <w:top w:val="nil"/>
              <w:left w:val="nil"/>
              <w:bottom w:val="single" w:sz="4" w:space="0" w:color="auto"/>
              <w:right w:val="single" w:sz="4" w:space="0" w:color="auto"/>
            </w:tcBorders>
            <w:shd w:val="clear" w:color="auto" w:fill="auto"/>
            <w:noWrap/>
            <w:vAlign w:val="bottom"/>
            <w:hideMark/>
          </w:tcPr>
          <w:p w14:paraId="429D6FBC" w14:textId="77777777" w:rsidR="00134175" w:rsidRPr="00134175" w:rsidRDefault="00134175" w:rsidP="00585299">
            <w:pPr>
              <w:spacing w:after="0" w:line="240" w:lineRule="auto"/>
              <w:jc w:val="center"/>
              <w:rPr>
                <w:rFonts w:ascii="Calibri" w:eastAsia="Times New Roman" w:hAnsi="Calibri" w:cs="Times New Roman"/>
                <w:b/>
                <w:color w:val="000000"/>
                <w:sz w:val="20"/>
                <w:szCs w:val="20"/>
              </w:rPr>
            </w:pPr>
            <w:r w:rsidRPr="00134175">
              <w:rPr>
                <w:rFonts w:ascii="Calibri" w:eastAsia="Times New Roman" w:hAnsi="Calibri" w:cs="Times New Roman"/>
                <w:b/>
                <w:color w:val="000000"/>
                <w:sz w:val="20"/>
                <w:szCs w:val="20"/>
              </w:rPr>
              <w:t>Metastasis</w:t>
            </w:r>
          </w:p>
        </w:tc>
        <w:tc>
          <w:tcPr>
            <w:tcW w:w="1418" w:type="dxa"/>
            <w:tcBorders>
              <w:top w:val="nil"/>
              <w:left w:val="nil"/>
              <w:bottom w:val="single" w:sz="4" w:space="0" w:color="auto"/>
              <w:right w:val="single" w:sz="4" w:space="0" w:color="auto"/>
            </w:tcBorders>
            <w:shd w:val="clear" w:color="auto" w:fill="auto"/>
            <w:noWrap/>
            <w:vAlign w:val="bottom"/>
            <w:hideMark/>
          </w:tcPr>
          <w:p w14:paraId="2CD464AD" w14:textId="77777777" w:rsidR="00134175" w:rsidRPr="00134175" w:rsidRDefault="00134175" w:rsidP="00585299">
            <w:pPr>
              <w:spacing w:after="0" w:line="240" w:lineRule="auto"/>
              <w:jc w:val="center"/>
              <w:rPr>
                <w:rFonts w:ascii="Calibri" w:eastAsia="Times New Roman" w:hAnsi="Calibri" w:cs="Times New Roman"/>
                <w:b/>
                <w:color w:val="000000"/>
                <w:sz w:val="20"/>
                <w:szCs w:val="20"/>
              </w:rPr>
            </w:pPr>
            <w:r w:rsidRPr="00134175">
              <w:rPr>
                <w:rFonts w:ascii="Calibri" w:eastAsia="Times New Roman" w:hAnsi="Calibri" w:cs="Times New Roman"/>
                <w:b/>
                <w:color w:val="000000"/>
                <w:sz w:val="20"/>
                <w:szCs w:val="20"/>
              </w:rPr>
              <w:t>Primary</w:t>
            </w:r>
          </w:p>
        </w:tc>
        <w:tc>
          <w:tcPr>
            <w:tcW w:w="1417" w:type="dxa"/>
            <w:tcBorders>
              <w:top w:val="nil"/>
              <w:left w:val="nil"/>
              <w:bottom w:val="single" w:sz="4" w:space="0" w:color="auto"/>
              <w:right w:val="single" w:sz="4" w:space="0" w:color="auto"/>
            </w:tcBorders>
            <w:shd w:val="clear" w:color="auto" w:fill="auto"/>
            <w:noWrap/>
            <w:vAlign w:val="bottom"/>
            <w:hideMark/>
          </w:tcPr>
          <w:p w14:paraId="6B271178" w14:textId="77777777" w:rsidR="00134175" w:rsidRPr="00134175" w:rsidRDefault="00134175" w:rsidP="00585299">
            <w:pPr>
              <w:spacing w:after="0" w:line="240" w:lineRule="auto"/>
              <w:jc w:val="center"/>
              <w:rPr>
                <w:rFonts w:ascii="Calibri" w:eastAsia="Times New Roman" w:hAnsi="Calibri" w:cs="Times New Roman"/>
                <w:b/>
                <w:color w:val="000000"/>
                <w:sz w:val="20"/>
                <w:szCs w:val="20"/>
              </w:rPr>
            </w:pPr>
            <w:r w:rsidRPr="00134175">
              <w:rPr>
                <w:rFonts w:ascii="Calibri" w:eastAsia="Times New Roman" w:hAnsi="Calibri" w:cs="Times New Roman"/>
                <w:b/>
                <w:color w:val="000000"/>
                <w:sz w:val="20"/>
                <w:szCs w:val="20"/>
              </w:rPr>
              <w:t>Metastasis</w:t>
            </w:r>
          </w:p>
        </w:tc>
        <w:tc>
          <w:tcPr>
            <w:tcW w:w="992" w:type="dxa"/>
            <w:tcBorders>
              <w:top w:val="nil"/>
              <w:left w:val="nil"/>
              <w:bottom w:val="single" w:sz="4" w:space="0" w:color="auto"/>
              <w:right w:val="single" w:sz="4" w:space="0" w:color="auto"/>
            </w:tcBorders>
            <w:shd w:val="clear" w:color="auto" w:fill="auto"/>
            <w:noWrap/>
            <w:vAlign w:val="bottom"/>
            <w:hideMark/>
          </w:tcPr>
          <w:p w14:paraId="54D61384" w14:textId="77777777" w:rsidR="00134175" w:rsidRPr="00134175" w:rsidRDefault="00134175" w:rsidP="00585299">
            <w:pPr>
              <w:spacing w:after="0" w:line="240" w:lineRule="auto"/>
              <w:jc w:val="center"/>
              <w:rPr>
                <w:rFonts w:ascii="Calibri" w:eastAsia="Times New Roman" w:hAnsi="Calibri" w:cs="Times New Roman"/>
                <w:b/>
                <w:color w:val="000000"/>
                <w:sz w:val="20"/>
                <w:szCs w:val="20"/>
              </w:rPr>
            </w:pPr>
            <w:r w:rsidRPr="00134175">
              <w:rPr>
                <w:rFonts w:ascii="Calibri" w:eastAsia="Times New Roman" w:hAnsi="Calibri" w:cs="Times New Roman"/>
                <w:b/>
                <w:color w:val="000000"/>
                <w:sz w:val="20"/>
                <w:szCs w:val="20"/>
              </w:rPr>
              <w:t>Primary</w:t>
            </w:r>
          </w:p>
        </w:tc>
        <w:tc>
          <w:tcPr>
            <w:tcW w:w="1418" w:type="dxa"/>
            <w:tcBorders>
              <w:top w:val="nil"/>
              <w:left w:val="nil"/>
              <w:bottom w:val="single" w:sz="4" w:space="0" w:color="auto"/>
              <w:right w:val="single" w:sz="4" w:space="0" w:color="auto"/>
            </w:tcBorders>
            <w:shd w:val="clear" w:color="auto" w:fill="auto"/>
            <w:noWrap/>
            <w:vAlign w:val="bottom"/>
            <w:hideMark/>
          </w:tcPr>
          <w:p w14:paraId="33B79096" w14:textId="77777777" w:rsidR="00134175" w:rsidRPr="00134175" w:rsidRDefault="00134175" w:rsidP="00585299">
            <w:pPr>
              <w:spacing w:after="0" w:line="240" w:lineRule="auto"/>
              <w:jc w:val="center"/>
              <w:rPr>
                <w:rFonts w:ascii="Calibri" w:eastAsia="Times New Roman" w:hAnsi="Calibri" w:cs="Times New Roman"/>
                <w:b/>
                <w:color w:val="000000"/>
                <w:sz w:val="20"/>
                <w:szCs w:val="20"/>
              </w:rPr>
            </w:pPr>
            <w:r w:rsidRPr="00134175">
              <w:rPr>
                <w:rFonts w:ascii="Calibri" w:eastAsia="Times New Roman" w:hAnsi="Calibri" w:cs="Times New Roman"/>
                <w:b/>
                <w:color w:val="000000"/>
                <w:sz w:val="20"/>
                <w:szCs w:val="20"/>
              </w:rPr>
              <w:t>Metastasis</w:t>
            </w:r>
          </w:p>
        </w:tc>
        <w:tc>
          <w:tcPr>
            <w:tcW w:w="992" w:type="dxa"/>
            <w:tcBorders>
              <w:top w:val="nil"/>
              <w:left w:val="nil"/>
              <w:bottom w:val="single" w:sz="4" w:space="0" w:color="auto"/>
              <w:right w:val="single" w:sz="4" w:space="0" w:color="auto"/>
            </w:tcBorders>
            <w:shd w:val="clear" w:color="auto" w:fill="auto"/>
            <w:noWrap/>
            <w:vAlign w:val="bottom"/>
            <w:hideMark/>
          </w:tcPr>
          <w:p w14:paraId="243297F8" w14:textId="77777777" w:rsidR="00134175" w:rsidRPr="00134175" w:rsidRDefault="00134175" w:rsidP="00585299">
            <w:pPr>
              <w:spacing w:after="0" w:line="240" w:lineRule="auto"/>
              <w:jc w:val="center"/>
              <w:rPr>
                <w:rFonts w:ascii="Calibri" w:eastAsia="Times New Roman" w:hAnsi="Calibri" w:cs="Times New Roman"/>
                <w:b/>
                <w:color w:val="000000"/>
                <w:sz w:val="20"/>
                <w:szCs w:val="20"/>
              </w:rPr>
            </w:pPr>
            <w:r w:rsidRPr="00134175">
              <w:rPr>
                <w:rFonts w:ascii="Calibri" w:eastAsia="Times New Roman" w:hAnsi="Calibri" w:cs="Times New Roman"/>
                <w:b/>
                <w:color w:val="000000"/>
                <w:sz w:val="20"/>
                <w:szCs w:val="20"/>
              </w:rPr>
              <w:t>Primary</w:t>
            </w:r>
          </w:p>
        </w:tc>
        <w:tc>
          <w:tcPr>
            <w:tcW w:w="1418" w:type="dxa"/>
            <w:tcBorders>
              <w:top w:val="nil"/>
              <w:left w:val="nil"/>
              <w:bottom w:val="single" w:sz="4" w:space="0" w:color="auto"/>
              <w:right w:val="single" w:sz="4" w:space="0" w:color="auto"/>
            </w:tcBorders>
            <w:shd w:val="clear" w:color="auto" w:fill="auto"/>
            <w:noWrap/>
            <w:vAlign w:val="bottom"/>
            <w:hideMark/>
          </w:tcPr>
          <w:p w14:paraId="43FCD7E4" w14:textId="77777777" w:rsidR="00134175" w:rsidRPr="00134175" w:rsidRDefault="00134175" w:rsidP="00585299">
            <w:pPr>
              <w:spacing w:after="0" w:line="240" w:lineRule="auto"/>
              <w:jc w:val="center"/>
              <w:rPr>
                <w:rFonts w:ascii="Calibri" w:eastAsia="Times New Roman" w:hAnsi="Calibri" w:cs="Times New Roman"/>
                <w:b/>
                <w:color w:val="000000"/>
                <w:sz w:val="20"/>
                <w:szCs w:val="20"/>
              </w:rPr>
            </w:pPr>
            <w:r w:rsidRPr="00134175">
              <w:rPr>
                <w:rFonts w:ascii="Calibri" w:eastAsia="Times New Roman" w:hAnsi="Calibri" w:cs="Times New Roman"/>
                <w:b/>
                <w:color w:val="000000"/>
                <w:sz w:val="20"/>
                <w:szCs w:val="20"/>
              </w:rPr>
              <w:t>Metastasis</w:t>
            </w:r>
          </w:p>
        </w:tc>
      </w:tr>
      <w:tr w:rsidR="00134175" w:rsidRPr="002B4DC4" w14:paraId="55DC3339" w14:textId="77777777" w:rsidTr="0013417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2F97EFC" w14:textId="77777777" w:rsidR="00134175" w:rsidRPr="002B4DC4" w:rsidRDefault="00134175" w:rsidP="00585299">
            <w:pPr>
              <w:spacing w:after="0" w:line="240" w:lineRule="auto"/>
              <w:jc w:val="center"/>
              <w:rPr>
                <w:rFonts w:ascii="Calibri" w:eastAsia="Times New Roman" w:hAnsi="Calibri" w:cs="Times New Roman"/>
                <w:sz w:val="20"/>
                <w:szCs w:val="20"/>
              </w:rPr>
            </w:pPr>
            <w:r w:rsidRPr="002B4DC4">
              <w:rPr>
                <w:rFonts w:ascii="Calibri" w:eastAsia="Times New Roman" w:hAnsi="Calibri" w:cs="Times New Roman"/>
                <w:sz w:val="20"/>
                <w:szCs w:val="20"/>
              </w:rPr>
              <w:t>KRAS_12_25398284_C/A</w:t>
            </w:r>
          </w:p>
        </w:tc>
        <w:tc>
          <w:tcPr>
            <w:tcW w:w="1413" w:type="dxa"/>
            <w:tcBorders>
              <w:top w:val="nil"/>
              <w:left w:val="nil"/>
              <w:bottom w:val="single" w:sz="4" w:space="0" w:color="auto"/>
              <w:right w:val="single" w:sz="4" w:space="0" w:color="auto"/>
            </w:tcBorders>
            <w:shd w:val="clear" w:color="auto" w:fill="auto"/>
            <w:noWrap/>
            <w:vAlign w:val="bottom"/>
            <w:hideMark/>
          </w:tcPr>
          <w:p w14:paraId="6ABC32DE" w14:textId="77777777" w:rsidR="00134175" w:rsidRPr="002B4DC4" w:rsidRDefault="00134175" w:rsidP="00585299">
            <w:pPr>
              <w:spacing w:after="0" w:line="240" w:lineRule="auto"/>
              <w:jc w:val="center"/>
              <w:rPr>
                <w:rFonts w:ascii="Calibri" w:eastAsia="Times New Roman" w:hAnsi="Calibri" w:cs="Times New Roman"/>
                <w:color w:val="000000"/>
                <w:sz w:val="20"/>
                <w:szCs w:val="20"/>
              </w:rPr>
            </w:pPr>
            <w:r w:rsidRPr="002B4DC4">
              <w:rPr>
                <w:rFonts w:ascii="Calibri" w:eastAsia="Times New Roman" w:hAnsi="Calibri" w:cs="Times New Roman"/>
                <w:color w:val="000000"/>
                <w:sz w:val="20"/>
                <w:szCs w:val="20"/>
              </w:rPr>
              <w:t>C</w:t>
            </w:r>
          </w:p>
        </w:tc>
        <w:tc>
          <w:tcPr>
            <w:tcW w:w="1417" w:type="dxa"/>
            <w:tcBorders>
              <w:top w:val="nil"/>
              <w:left w:val="nil"/>
              <w:bottom w:val="single" w:sz="4" w:space="0" w:color="auto"/>
              <w:right w:val="single" w:sz="4" w:space="0" w:color="auto"/>
            </w:tcBorders>
            <w:shd w:val="clear" w:color="auto" w:fill="auto"/>
            <w:noWrap/>
            <w:vAlign w:val="bottom"/>
            <w:hideMark/>
          </w:tcPr>
          <w:p w14:paraId="50F850A7" w14:textId="77777777" w:rsidR="00134175" w:rsidRPr="002B4DC4" w:rsidRDefault="00134175" w:rsidP="00585299">
            <w:pPr>
              <w:spacing w:after="0" w:line="240" w:lineRule="auto"/>
              <w:jc w:val="center"/>
              <w:rPr>
                <w:rFonts w:ascii="Calibri" w:eastAsia="Times New Roman" w:hAnsi="Calibri" w:cs="Times New Roman"/>
                <w:color w:val="000000"/>
                <w:sz w:val="20"/>
                <w:szCs w:val="20"/>
              </w:rPr>
            </w:pPr>
            <w:r w:rsidRPr="002B4DC4">
              <w:rPr>
                <w:rFonts w:ascii="Calibri" w:eastAsia="Times New Roman" w:hAnsi="Calibri" w:cs="Times New Roman"/>
                <w:color w:val="000000"/>
                <w:sz w:val="20"/>
                <w:szCs w:val="20"/>
              </w:rPr>
              <w:t>Undetermined</w:t>
            </w:r>
          </w:p>
        </w:tc>
        <w:tc>
          <w:tcPr>
            <w:tcW w:w="1418" w:type="dxa"/>
            <w:tcBorders>
              <w:top w:val="single" w:sz="4" w:space="0" w:color="auto"/>
              <w:left w:val="nil"/>
              <w:bottom w:val="single" w:sz="6" w:space="0" w:color="auto"/>
              <w:right w:val="single" w:sz="6" w:space="0" w:color="auto"/>
            </w:tcBorders>
            <w:shd w:val="clear" w:color="auto" w:fill="auto"/>
            <w:noWrap/>
            <w:vAlign w:val="bottom"/>
            <w:hideMark/>
          </w:tcPr>
          <w:p w14:paraId="613B06FC" w14:textId="77777777" w:rsidR="00134175" w:rsidRPr="002B4DC4" w:rsidRDefault="00134175" w:rsidP="00585299">
            <w:pPr>
              <w:spacing w:after="0" w:line="240" w:lineRule="auto"/>
              <w:jc w:val="center"/>
              <w:rPr>
                <w:rFonts w:ascii="Calibri" w:eastAsia="Times New Roman" w:hAnsi="Calibri" w:cs="Times New Roman"/>
                <w:color w:val="000000"/>
                <w:sz w:val="20"/>
                <w:szCs w:val="20"/>
              </w:rPr>
            </w:pPr>
            <w:r w:rsidRPr="002B4DC4">
              <w:rPr>
                <w:rFonts w:ascii="Calibri" w:eastAsia="Times New Roman" w:hAnsi="Calibri" w:cs="Times New Roman"/>
                <w:color w:val="000000"/>
                <w:sz w:val="20"/>
                <w:szCs w:val="20"/>
              </w:rPr>
              <w:t>Undetermined</w:t>
            </w:r>
          </w:p>
        </w:tc>
        <w:tc>
          <w:tcPr>
            <w:tcW w:w="1417" w:type="dxa"/>
            <w:tcBorders>
              <w:top w:val="single" w:sz="4" w:space="0" w:color="auto"/>
              <w:left w:val="single" w:sz="6" w:space="0" w:color="auto"/>
              <w:bottom w:val="single" w:sz="6" w:space="0" w:color="auto"/>
              <w:right w:val="single" w:sz="4" w:space="0" w:color="auto"/>
            </w:tcBorders>
            <w:shd w:val="clear" w:color="auto" w:fill="auto"/>
            <w:noWrap/>
            <w:vAlign w:val="bottom"/>
            <w:hideMark/>
          </w:tcPr>
          <w:p w14:paraId="3087D61A" w14:textId="77777777" w:rsidR="00134175" w:rsidRPr="002B4DC4" w:rsidRDefault="00134175" w:rsidP="00585299">
            <w:pPr>
              <w:spacing w:after="0" w:line="240" w:lineRule="auto"/>
              <w:jc w:val="center"/>
              <w:rPr>
                <w:rFonts w:ascii="Calibri" w:eastAsia="Times New Roman" w:hAnsi="Calibri" w:cs="Times New Roman"/>
                <w:color w:val="000000"/>
                <w:sz w:val="20"/>
                <w:szCs w:val="20"/>
              </w:rPr>
            </w:pPr>
            <w:r w:rsidRPr="002B4DC4">
              <w:rPr>
                <w:rFonts w:ascii="Calibri" w:eastAsia="Times New Roman" w:hAnsi="Calibri" w:cs="Times New Roman"/>
                <w:color w:val="000000"/>
                <w:sz w:val="20"/>
                <w:szCs w:val="20"/>
              </w:rPr>
              <w:t>C</w:t>
            </w:r>
          </w:p>
        </w:tc>
        <w:tc>
          <w:tcPr>
            <w:tcW w:w="992" w:type="dxa"/>
            <w:tcBorders>
              <w:top w:val="nil"/>
              <w:left w:val="nil"/>
              <w:bottom w:val="single" w:sz="4" w:space="0" w:color="auto"/>
              <w:right w:val="single" w:sz="4" w:space="0" w:color="auto"/>
            </w:tcBorders>
            <w:shd w:val="clear" w:color="auto" w:fill="auto"/>
            <w:noWrap/>
            <w:vAlign w:val="bottom"/>
            <w:hideMark/>
          </w:tcPr>
          <w:p w14:paraId="662D7424" w14:textId="77777777" w:rsidR="00134175" w:rsidRPr="002B4DC4" w:rsidRDefault="00134175" w:rsidP="00585299">
            <w:pPr>
              <w:spacing w:after="0" w:line="240" w:lineRule="auto"/>
              <w:jc w:val="center"/>
              <w:rPr>
                <w:rFonts w:ascii="Calibri" w:eastAsia="Times New Roman" w:hAnsi="Calibri" w:cs="Times New Roman"/>
                <w:color w:val="000000"/>
                <w:sz w:val="20"/>
                <w:szCs w:val="20"/>
              </w:rPr>
            </w:pPr>
            <w:r w:rsidRPr="002B4DC4">
              <w:rPr>
                <w:rFonts w:ascii="Calibri" w:eastAsia="Times New Roman" w:hAnsi="Calibri" w:cs="Times New Roman"/>
                <w:color w:val="000000"/>
                <w:sz w:val="20"/>
                <w:szCs w:val="20"/>
              </w:rPr>
              <w:t>C</w:t>
            </w:r>
          </w:p>
        </w:tc>
        <w:tc>
          <w:tcPr>
            <w:tcW w:w="1418" w:type="dxa"/>
            <w:tcBorders>
              <w:top w:val="nil"/>
              <w:left w:val="nil"/>
              <w:bottom w:val="single" w:sz="4" w:space="0" w:color="auto"/>
              <w:right w:val="single" w:sz="4" w:space="0" w:color="auto"/>
            </w:tcBorders>
            <w:shd w:val="clear" w:color="auto" w:fill="auto"/>
            <w:noWrap/>
            <w:vAlign w:val="bottom"/>
            <w:hideMark/>
          </w:tcPr>
          <w:p w14:paraId="78CD7AF7" w14:textId="77777777" w:rsidR="00134175" w:rsidRPr="002B4DC4" w:rsidRDefault="00134175" w:rsidP="00585299">
            <w:pPr>
              <w:spacing w:after="0" w:line="240" w:lineRule="auto"/>
              <w:jc w:val="center"/>
              <w:rPr>
                <w:rFonts w:ascii="Calibri" w:eastAsia="Times New Roman" w:hAnsi="Calibri" w:cs="Times New Roman"/>
                <w:color w:val="000000"/>
                <w:sz w:val="20"/>
                <w:szCs w:val="20"/>
              </w:rPr>
            </w:pPr>
            <w:r w:rsidRPr="002B4DC4">
              <w:rPr>
                <w:rFonts w:ascii="Calibri" w:eastAsia="Times New Roman" w:hAnsi="Calibri" w:cs="Times New Roman"/>
                <w:color w:val="000000"/>
                <w:sz w:val="20"/>
                <w:szCs w:val="20"/>
              </w:rPr>
              <w:t>C</w:t>
            </w:r>
          </w:p>
        </w:tc>
        <w:tc>
          <w:tcPr>
            <w:tcW w:w="992" w:type="dxa"/>
            <w:tcBorders>
              <w:top w:val="nil"/>
              <w:left w:val="nil"/>
              <w:bottom w:val="single" w:sz="4" w:space="0" w:color="auto"/>
              <w:right w:val="single" w:sz="4" w:space="0" w:color="auto"/>
            </w:tcBorders>
            <w:shd w:val="clear" w:color="auto" w:fill="FFFF00"/>
            <w:noWrap/>
            <w:vAlign w:val="bottom"/>
            <w:hideMark/>
          </w:tcPr>
          <w:p w14:paraId="7DF35987" w14:textId="77777777" w:rsidR="00134175" w:rsidRPr="00134175" w:rsidRDefault="00134175" w:rsidP="00585299">
            <w:pPr>
              <w:spacing w:after="0" w:line="240" w:lineRule="auto"/>
              <w:jc w:val="center"/>
              <w:rPr>
                <w:rFonts w:ascii="Calibri" w:eastAsia="Times New Roman" w:hAnsi="Calibri" w:cs="Times New Roman"/>
                <w:sz w:val="20"/>
                <w:szCs w:val="20"/>
              </w:rPr>
            </w:pPr>
            <w:r w:rsidRPr="00134175">
              <w:rPr>
                <w:rFonts w:ascii="Calibri" w:eastAsia="Times New Roman" w:hAnsi="Calibri" w:cs="Times New Roman"/>
                <w:sz w:val="20"/>
                <w:szCs w:val="20"/>
              </w:rPr>
              <w:t>C</w:t>
            </w:r>
          </w:p>
        </w:tc>
        <w:tc>
          <w:tcPr>
            <w:tcW w:w="1418" w:type="dxa"/>
            <w:tcBorders>
              <w:top w:val="nil"/>
              <w:left w:val="nil"/>
              <w:bottom w:val="single" w:sz="4" w:space="0" w:color="auto"/>
              <w:right w:val="single" w:sz="4" w:space="0" w:color="auto"/>
            </w:tcBorders>
            <w:shd w:val="clear" w:color="auto" w:fill="FFFF00"/>
            <w:noWrap/>
            <w:vAlign w:val="bottom"/>
            <w:hideMark/>
          </w:tcPr>
          <w:p w14:paraId="7BBE7D5C" w14:textId="77777777" w:rsidR="00134175" w:rsidRPr="00134175" w:rsidRDefault="00134175" w:rsidP="00585299">
            <w:pPr>
              <w:spacing w:after="0" w:line="240" w:lineRule="auto"/>
              <w:jc w:val="center"/>
              <w:rPr>
                <w:rFonts w:ascii="Calibri" w:eastAsia="Times New Roman" w:hAnsi="Calibri" w:cs="Times New Roman"/>
                <w:sz w:val="20"/>
                <w:szCs w:val="20"/>
              </w:rPr>
            </w:pPr>
            <w:r w:rsidRPr="00134175">
              <w:rPr>
                <w:rFonts w:ascii="Calibri" w:eastAsia="Times New Roman" w:hAnsi="Calibri" w:cs="Times New Roman"/>
                <w:sz w:val="20"/>
                <w:szCs w:val="20"/>
              </w:rPr>
              <w:t>C and A</w:t>
            </w:r>
          </w:p>
        </w:tc>
      </w:tr>
      <w:tr w:rsidR="00134175" w:rsidRPr="002B4DC4" w14:paraId="324C03D2" w14:textId="77777777" w:rsidTr="0013417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BA5F4D5" w14:textId="77777777" w:rsidR="00134175" w:rsidRPr="002B4DC4" w:rsidRDefault="00134175" w:rsidP="00585299">
            <w:pPr>
              <w:spacing w:after="0" w:line="240" w:lineRule="auto"/>
              <w:jc w:val="center"/>
              <w:rPr>
                <w:rFonts w:ascii="Calibri" w:eastAsia="Times New Roman" w:hAnsi="Calibri" w:cs="Times New Roman"/>
                <w:sz w:val="20"/>
                <w:szCs w:val="20"/>
              </w:rPr>
            </w:pPr>
            <w:r w:rsidRPr="002B4DC4">
              <w:rPr>
                <w:rFonts w:ascii="Calibri" w:eastAsia="Times New Roman" w:hAnsi="Calibri" w:cs="Times New Roman"/>
                <w:sz w:val="20"/>
                <w:szCs w:val="20"/>
              </w:rPr>
              <w:t>MAP2K3_17_21207834_C/T</w:t>
            </w:r>
          </w:p>
        </w:tc>
        <w:tc>
          <w:tcPr>
            <w:tcW w:w="1413" w:type="dxa"/>
            <w:tcBorders>
              <w:top w:val="nil"/>
              <w:left w:val="nil"/>
              <w:bottom w:val="single" w:sz="4" w:space="0" w:color="auto"/>
              <w:right w:val="single" w:sz="4" w:space="0" w:color="auto"/>
            </w:tcBorders>
            <w:shd w:val="clear" w:color="auto" w:fill="auto"/>
            <w:noWrap/>
            <w:vAlign w:val="bottom"/>
            <w:hideMark/>
          </w:tcPr>
          <w:p w14:paraId="4D902463" w14:textId="77777777" w:rsidR="00134175" w:rsidRPr="002B4DC4" w:rsidRDefault="00134175" w:rsidP="00585299">
            <w:pPr>
              <w:spacing w:after="0" w:line="240" w:lineRule="auto"/>
              <w:jc w:val="center"/>
              <w:rPr>
                <w:rFonts w:ascii="Calibri" w:eastAsia="Times New Roman" w:hAnsi="Calibri" w:cs="Times New Roman"/>
                <w:color w:val="000000"/>
                <w:sz w:val="20"/>
                <w:szCs w:val="20"/>
              </w:rPr>
            </w:pPr>
            <w:r w:rsidRPr="002B4DC4">
              <w:rPr>
                <w:rFonts w:ascii="Calibri" w:eastAsia="Times New Roman" w:hAnsi="Calibri" w:cs="Times New Roman"/>
                <w:color w:val="000000"/>
                <w:sz w:val="20"/>
                <w:szCs w:val="20"/>
              </w:rPr>
              <w:t>C and T</w:t>
            </w:r>
          </w:p>
        </w:tc>
        <w:tc>
          <w:tcPr>
            <w:tcW w:w="1417" w:type="dxa"/>
            <w:tcBorders>
              <w:top w:val="nil"/>
              <w:left w:val="nil"/>
              <w:bottom w:val="single" w:sz="4" w:space="0" w:color="auto"/>
              <w:right w:val="single" w:sz="4" w:space="0" w:color="auto"/>
            </w:tcBorders>
            <w:shd w:val="clear" w:color="auto" w:fill="auto"/>
            <w:noWrap/>
            <w:vAlign w:val="bottom"/>
            <w:hideMark/>
          </w:tcPr>
          <w:p w14:paraId="2DD0CE38" w14:textId="77777777" w:rsidR="00134175" w:rsidRPr="002B4DC4" w:rsidRDefault="00134175" w:rsidP="00585299">
            <w:pPr>
              <w:spacing w:after="0" w:line="240" w:lineRule="auto"/>
              <w:jc w:val="center"/>
              <w:rPr>
                <w:rFonts w:ascii="Calibri" w:eastAsia="Times New Roman" w:hAnsi="Calibri" w:cs="Times New Roman"/>
                <w:color w:val="000000"/>
                <w:sz w:val="20"/>
                <w:szCs w:val="20"/>
              </w:rPr>
            </w:pPr>
            <w:r w:rsidRPr="002B4DC4">
              <w:rPr>
                <w:rFonts w:ascii="Calibri" w:eastAsia="Times New Roman" w:hAnsi="Calibri" w:cs="Times New Roman"/>
                <w:color w:val="000000"/>
                <w:sz w:val="20"/>
                <w:szCs w:val="20"/>
              </w:rPr>
              <w:t>C and T</w:t>
            </w:r>
          </w:p>
        </w:tc>
        <w:tc>
          <w:tcPr>
            <w:tcW w:w="1418" w:type="dxa"/>
            <w:tcBorders>
              <w:top w:val="single" w:sz="6" w:space="0" w:color="auto"/>
              <w:left w:val="nil"/>
              <w:bottom w:val="single" w:sz="4" w:space="0" w:color="auto"/>
              <w:right w:val="single" w:sz="6" w:space="0" w:color="auto"/>
            </w:tcBorders>
            <w:shd w:val="clear" w:color="auto" w:fill="FFFF00"/>
            <w:noWrap/>
            <w:vAlign w:val="bottom"/>
            <w:hideMark/>
          </w:tcPr>
          <w:p w14:paraId="3E841588" w14:textId="77777777" w:rsidR="00134175" w:rsidRPr="00134175" w:rsidRDefault="00134175" w:rsidP="00585299">
            <w:pPr>
              <w:spacing w:after="0" w:line="240" w:lineRule="auto"/>
              <w:jc w:val="center"/>
              <w:rPr>
                <w:rFonts w:ascii="Calibri" w:eastAsia="Times New Roman" w:hAnsi="Calibri" w:cs="Times New Roman"/>
                <w:sz w:val="20"/>
                <w:szCs w:val="20"/>
              </w:rPr>
            </w:pPr>
            <w:r w:rsidRPr="00134175">
              <w:rPr>
                <w:rFonts w:ascii="Calibri" w:eastAsia="Times New Roman" w:hAnsi="Calibri" w:cs="Times New Roman"/>
                <w:sz w:val="20"/>
                <w:szCs w:val="20"/>
              </w:rPr>
              <w:t>C and T</w:t>
            </w:r>
          </w:p>
        </w:tc>
        <w:tc>
          <w:tcPr>
            <w:tcW w:w="1417" w:type="dxa"/>
            <w:tcBorders>
              <w:top w:val="single" w:sz="6" w:space="0" w:color="auto"/>
              <w:left w:val="single" w:sz="6" w:space="0" w:color="auto"/>
              <w:bottom w:val="single" w:sz="4" w:space="0" w:color="auto"/>
              <w:right w:val="single" w:sz="4" w:space="0" w:color="auto"/>
            </w:tcBorders>
            <w:shd w:val="clear" w:color="auto" w:fill="FFFF00"/>
            <w:noWrap/>
            <w:vAlign w:val="bottom"/>
            <w:hideMark/>
          </w:tcPr>
          <w:p w14:paraId="6C3ADE6A" w14:textId="77777777" w:rsidR="00134175" w:rsidRPr="00134175" w:rsidRDefault="00134175" w:rsidP="00585299">
            <w:pPr>
              <w:spacing w:after="0" w:line="240" w:lineRule="auto"/>
              <w:jc w:val="center"/>
              <w:rPr>
                <w:rFonts w:ascii="Calibri" w:eastAsia="Times New Roman" w:hAnsi="Calibri" w:cs="Times New Roman"/>
                <w:sz w:val="20"/>
                <w:szCs w:val="20"/>
              </w:rPr>
            </w:pPr>
            <w:r w:rsidRPr="00134175">
              <w:rPr>
                <w:rFonts w:ascii="Calibri" w:eastAsia="Times New Roman" w:hAnsi="Calibri" w:cs="Times New Roman"/>
                <w:sz w:val="20"/>
                <w:szCs w:val="20"/>
              </w:rPr>
              <w:t>C and T</w:t>
            </w:r>
          </w:p>
        </w:tc>
        <w:tc>
          <w:tcPr>
            <w:tcW w:w="992" w:type="dxa"/>
            <w:tcBorders>
              <w:top w:val="nil"/>
              <w:left w:val="nil"/>
              <w:bottom w:val="single" w:sz="4" w:space="0" w:color="auto"/>
              <w:right w:val="single" w:sz="4" w:space="0" w:color="auto"/>
            </w:tcBorders>
            <w:shd w:val="clear" w:color="000000" w:fill="FFFFFF"/>
            <w:noWrap/>
            <w:vAlign w:val="bottom"/>
            <w:hideMark/>
          </w:tcPr>
          <w:p w14:paraId="29738ACF" w14:textId="77777777" w:rsidR="00134175" w:rsidRPr="002B4DC4" w:rsidRDefault="00134175" w:rsidP="00585299">
            <w:pPr>
              <w:spacing w:after="0" w:line="240" w:lineRule="auto"/>
              <w:jc w:val="center"/>
              <w:rPr>
                <w:rFonts w:ascii="Calibri" w:eastAsia="Times New Roman" w:hAnsi="Calibri" w:cs="Times New Roman"/>
                <w:color w:val="000000"/>
                <w:sz w:val="20"/>
                <w:szCs w:val="20"/>
              </w:rPr>
            </w:pPr>
            <w:r w:rsidRPr="002B4DC4">
              <w:rPr>
                <w:rFonts w:ascii="Calibri" w:eastAsia="Times New Roman" w:hAnsi="Calibri" w:cs="Times New Roman"/>
                <w:color w:val="000000"/>
                <w:sz w:val="20"/>
                <w:szCs w:val="20"/>
              </w:rPr>
              <w:t>C</w:t>
            </w:r>
          </w:p>
        </w:tc>
        <w:tc>
          <w:tcPr>
            <w:tcW w:w="1418" w:type="dxa"/>
            <w:tcBorders>
              <w:top w:val="nil"/>
              <w:left w:val="nil"/>
              <w:bottom w:val="single" w:sz="4" w:space="0" w:color="auto"/>
              <w:right w:val="single" w:sz="4" w:space="0" w:color="auto"/>
            </w:tcBorders>
            <w:shd w:val="clear" w:color="auto" w:fill="auto"/>
            <w:noWrap/>
            <w:vAlign w:val="bottom"/>
            <w:hideMark/>
          </w:tcPr>
          <w:p w14:paraId="50A0FC3E" w14:textId="77777777" w:rsidR="00134175" w:rsidRPr="002B4DC4" w:rsidRDefault="00134175" w:rsidP="00585299">
            <w:pPr>
              <w:spacing w:after="0" w:line="240" w:lineRule="auto"/>
              <w:jc w:val="center"/>
              <w:rPr>
                <w:rFonts w:ascii="Calibri" w:eastAsia="Times New Roman" w:hAnsi="Calibri" w:cs="Times New Roman"/>
                <w:color w:val="000000"/>
                <w:sz w:val="20"/>
                <w:szCs w:val="20"/>
              </w:rPr>
            </w:pPr>
            <w:r w:rsidRPr="002B4DC4">
              <w:rPr>
                <w:rFonts w:ascii="Calibri" w:eastAsia="Times New Roman" w:hAnsi="Calibri" w:cs="Times New Roman"/>
                <w:color w:val="000000"/>
                <w:sz w:val="20"/>
                <w:szCs w:val="20"/>
              </w:rPr>
              <w:t>C</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AF9B695" w14:textId="77777777" w:rsidR="00134175" w:rsidRPr="002B4DC4" w:rsidRDefault="00134175" w:rsidP="00585299">
            <w:pPr>
              <w:spacing w:after="0" w:line="240" w:lineRule="auto"/>
              <w:jc w:val="center"/>
              <w:rPr>
                <w:rFonts w:ascii="Calibri" w:eastAsia="Times New Roman" w:hAnsi="Calibri" w:cs="Times New Roman"/>
                <w:color w:val="000000"/>
                <w:sz w:val="20"/>
                <w:szCs w:val="20"/>
              </w:rPr>
            </w:pPr>
            <w:r w:rsidRPr="002B4DC4">
              <w:rPr>
                <w:rFonts w:ascii="Calibri" w:eastAsia="Times New Roman" w:hAnsi="Calibri" w:cs="Times New Roman"/>
                <w:color w:val="000000"/>
                <w:sz w:val="20"/>
                <w:szCs w:val="20"/>
              </w:rPr>
              <w:t>C</w:t>
            </w:r>
          </w:p>
        </w:tc>
        <w:tc>
          <w:tcPr>
            <w:tcW w:w="1418" w:type="dxa"/>
            <w:tcBorders>
              <w:top w:val="nil"/>
              <w:left w:val="nil"/>
              <w:bottom w:val="single" w:sz="4" w:space="0" w:color="auto"/>
              <w:right w:val="single" w:sz="4" w:space="0" w:color="auto"/>
            </w:tcBorders>
            <w:shd w:val="clear" w:color="auto" w:fill="auto"/>
            <w:noWrap/>
            <w:vAlign w:val="bottom"/>
            <w:hideMark/>
          </w:tcPr>
          <w:p w14:paraId="68DE46B9" w14:textId="77777777" w:rsidR="00134175" w:rsidRPr="002B4DC4" w:rsidRDefault="00134175" w:rsidP="00585299">
            <w:pPr>
              <w:spacing w:after="0" w:line="240" w:lineRule="auto"/>
              <w:jc w:val="center"/>
              <w:rPr>
                <w:rFonts w:ascii="Calibri" w:eastAsia="Times New Roman" w:hAnsi="Calibri" w:cs="Times New Roman"/>
                <w:color w:val="000000"/>
                <w:sz w:val="20"/>
                <w:szCs w:val="20"/>
              </w:rPr>
            </w:pPr>
            <w:r w:rsidRPr="002B4DC4">
              <w:rPr>
                <w:rFonts w:ascii="Calibri" w:eastAsia="Times New Roman" w:hAnsi="Calibri" w:cs="Times New Roman"/>
                <w:color w:val="000000"/>
                <w:sz w:val="20"/>
                <w:szCs w:val="20"/>
              </w:rPr>
              <w:t>C</w:t>
            </w:r>
          </w:p>
        </w:tc>
      </w:tr>
      <w:tr w:rsidR="00134175" w:rsidRPr="002B4DC4" w14:paraId="1399ADA7" w14:textId="77777777" w:rsidTr="0013417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93B563F" w14:textId="77777777" w:rsidR="00134175" w:rsidRPr="002B4DC4" w:rsidRDefault="00134175" w:rsidP="00585299">
            <w:pPr>
              <w:spacing w:after="0" w:line="240" w:lineRule="auto"/>
              <w:jc w:val="center"/>
              <w:rPr>
                <w:rFonts w:ascii="Calibri" w:eastAsia="Times New Roman" w:hAnsi="Calibri" w:cs="Times New Roman"/>
                <w:sz w:val="20"/>
                <w:szCs w:val="20"/>
              </w:rPr>
            </w:pPr>
            <w:r w:rsidRPr="002B4DC4">
              <w:rPr>
                <w:rFonts w:ascii="Calibri" w:eastAsia="Times New Roman" w:hAnsi="Calibri" w:cs="Times New Roman"/>
                <w:sz w:val="20"/>
                <w:szCs w:val="20"/>
              </w:rPr>
              <w:t>PAK2_3_196529982_A/G</w:t>
            </w:r>
          </w:p>
        </w:tc>
        <w:tc>
          <w:tcPr>
            <w:tcW w:w="1413" w:type="dxa"/>
            <w:tcBorders>
              <w:top w:val="single" w:sz="4" w:space="0" w:color="auto"/>
              <w:left w:val="nil"/>
              <w:bottom w:val="single" w:sz="4" w:space="0" w:color="auto"/>
              <w:right w:val="single" w:sz="4" w:space="0" w:color="auto"/>
            </w:tcBorders>
            <w:shd w:val="clear" w:color="auto" w:fill="FFFF00"/>
            <w:noWrap/>
            <w:vAlign w:val="bottom"/>
            <w:hideMark/>
          </w:tcPr>
          <w:p w14:paraId="19663857" w14:textId="77777777" w:rsidR="00134175" w:rsidRPr="00134175" w:rsidRDefault="00134175" w:rsidP="00585299">
            <w:pPr>
              <w:spacing w:after="0" w:line="240" w:lineRule="auto"/>
              <w:jc w:val="center"/>
              <w:rPr>
                <w:rFonts w:ascii="Calibri" w:eastAsia="Times New Roman" w:hAnsi="Calibri" w:cs="Times New Roman"/>
                <w:sz w:val="20"/>
                <w:szCs w:val="20"/>
              </w:rPr>
            </w:pPr>
            <w:r w:rsidRPr="00134175">
              <w:rPr>
                <w:rFonts w:ascii="Calibri" w:eastAsia="Times New Roman" w:hAnsi="Calibri" w:cs="Times New Roman"/>
                <w:sz w:val="20"/>
                <w:szCs w:val="20"/>
              </w:rPr>
              <w:t>A</w:t>
            </w:r>
          </w:p>
        </w:tc>
        <w:tc>
          <w:tcPr>
            <w:tcW w:w="1417" w:type="dxa"/>
            <w:tcBorders>
              <w:top w:val="single" w:sz="4" w:space="0" w:color="auto"/>
              <w:left w:val="nil"/>
              <w:bottom w:val="single" w:sz="4" w:space="0" w:color="auto"/>
              <w:right w:val="single" w:sz="4" w:space="0" w:color="auto"/>
            </w:tcBorders>
            <w:shd w:val="clear" w:color="auto" w:fill="FFFF00"/>
            <w:noWrap/>
            <w:vAlign w:val="bottom"/>
            <w:hideMark/>
          </w:tcPr>
          <w:p w14:paraId="018C1E27" w14:textId="77777777" w:rsidR="00134175" w:rsidRPr="00134175" w:rsidRDefault="00134175" w:rsidP="00585299">
            <w:pPr>
              <w:spacing w:after="0" w:line="240" w:lineRule="auto"/>
              <w:jc w:val="center"/>
              <w:rPr>
                <w:rFonts w:ascii="Calibri" w:eastAsia="Times New Roman" w:hAnsi="Calibri" w:cs="Times New Roman"/>
                <w:sz w:val="20"/>
                <w:szCs w:val="20"/>
              </w:rPr>
            </w:pPr>
            <w:r w:rsidRPr="00134175">
              <w:rPr>
                <w:rFonts w:ascii="Calibri" w:eastAsia="Times New Roman" w:hAnsi="Calibri" w:cs="Times New Roman"/>
                <w:sz w:val="20"/>
                <w:szCs w:val="20"/>
              </w:rPr>
              <w:t>A</w:t>
            </w:r>
          </w:p>
        </w:tc>
        <w:tc>
          <w:tcPr>
            <w:tcW w:w="1418" w:type="dxa"/>
            <w:tcBorders>
              <w:top w:val="nil"/>
              <w:left w:val="nil"/>
              <w:bottom w:val="single" w:sz="4" w:space="0" w:color="auto"/>
              <w:right w:val="single" w:sz="4" w:space="0" w:color="auto"/>
            </w:tcBorders>
            <w:shd w:val="clear" w:color="auto" w:fill="auto"/>
            <w:noWrap/>
            <w:vAlign w:val="bottom"/>
            <w:hideMark/>
          </w:tcPr>
          <w:p w14:paraId="776D68A6" w14:textId="77777777" w:rsidR="00134175" w:rsidRPr="002B4DC4" w:rsidRDefault="00134175" w:rsidP="00585299">
            <w:pPr>
              <w:spacing w:after="0" w:line="240" w:lineRule="auto"/>
              <w:jc w:val="center"/>
              <w:rPr>
                <w:rFonts w:ascii="Calibri" w:eastAsia="Times New Roman" w:hAnsi="Calibri" w:cs="Times New Roman"/>
                <w:color w:val="000000"/>
                <w:sz w:val="20"/>
                <w:szCs w:val="20"/>
              </w:rPr>
            </w:pPr>
            <w:r w:rsidRPr="002B4DC4">
              <w:rPr>
                <w:rFonts w:ascii="Calibri" w:eastAsia="Times New Roman" w:hAnsi="Calibri" w:cs="Times New Roman"/>
                <w:color w:val="000000"/>
                <w:sz w:val="20"/>
                <w:szCs w:val="20"/>
              </w:rPr>
              <w:t>A</w:t>
            </w:r>
          </w:p>
        </w:tc>
        <w:tc>
          <w:tcPr>
            <w:tcW w:w="1417" w:type="dxa"/>
            <w:tcBorders>
              <w:top w:val="nil"/>
              <w:left w:val="nil"/>
              <w:bottom w:val="single" w:sz="4" w:space="0" w:color="auto"/>
              <w:right w:val="single" w:sz="4" w:space="0" w:color="auto"/>
            </w:tcBorders>
            <w:shd w:val="clear" w:color="auto" w:fill="auto"/>
            <w:noWrap/>
            <w:vAlign w:val="bottom"/>
            <w:hideMark/>
          </w:tcPr>
          <w:p w14:paraId="3B54A822" w14:textId="77777777" w:rsidR="00134175" w:rsidRPr="002B4DC4" w:rsidRDefault="00134175" w:rsidP="00585299">
            <w:pPr>
              <w:spacing w:after="0" w:line="240" w:lineRule="auto"/>
              <w:jc w:val="center"/>
              <w:rPr>
                <w:rFonts w:ascii="Calibri" w:eastAsia="Times New Roman" w:hAnsi="Calibri" w:cs="Times New Roman"/>
                <w:color w:val="000000"/>
                <w:sz w:val="20"/>
                <w:szCs w:val="20"/>
              </w:rPr>
            </w:pPr>
            <w:r w:rsidRPr="002B4DC4">
              <w:rPr>
                <w:rFonts w:ascii="Calibri" w:eastAsia="Times New Roman" w:hAnsi="Calibri" w:cs="Times New Roman"/>
                <w:color w:val="000000"/>
                <w:sz w:val="20"/>
                <w:szCs w:val="20"/>
              </w:rPr>
              <w:t>A</w:t>
            </w:r>
          </w:p>
        </w:tc>
        <w:tc>
          <w:tcPr>
            <w:tcW w:w="992" w:type="dxa"/>
            <w:tcBorders>
              <w:top w:val="nil"/>
              <w:left w:val="nil"/>
              <w:bottom w:val="single" w:sz="4" w:space="0" w:color="auto"/>
              <w:right w:val="single" w:sz="4" w:space="0" w:color="auto"/>
            </w:tcBorders>
            <w:shd w:val="clear" w:color="auto" w:fill="auto"/>
            <w:noWrap/>
            <w:vAlign w:val="bottom"/>
            <w:hideMark/>
          </w:tcPr>
          <w:p w14:paraId="39C30116" w14:textId="77777777" w:rsidR="00134175" w:rsidRPr="002B4DC4" w:rsidRDefault="00134175" w:rsidP="00585299">
            <w:pPr>
              <w:spacing w:after="0" w:line="240" w:lineRule="auto"/>
              <w:jc w:val="center"/>
              <w:rPr>
                <w:rFonts w:ascii="Calibri" w:eastAsia="Times New Roman" w:hAnsi="Calibri" w:cs="Times New Roman"/>
                <w:color w:val="000000"/>
                <w:sz w:val="20"/>
                <w:szCs w:val="20"/>
              </w:rPr>
            </w:pPr>
            <w:r w:rsidRPr="002B4DC4">
              <w:rPr>
                <w:rFonts w:ascii="Calibri" w:eastAsia="Times New Roman" w:hAnsi="Calibri" w:cs="Times New Roman"/>
                <w:color w:val="000000"/>
                <w:sz w:val="20"/>
                <w:szCs w:val="20"/>
              </w:rPr>
              <w:t>A</w:t>
            </w:r>
          </w:p>
        </w:tc>
        <w:tc>
          <w:tcPr>
            <w:tcW w:w="1418" w:type="dxa"/>
            <w:tcBorders>
              <w:top w:val="nil"/>
              <w:left w:val="nil"/>
              <w:bottom w:val="single" w:sz="4" w:space="0" w:color="auto"/>
              <w:right w:val="single" w:sz="4" w:space="0" w:color="auto"/>
            </w:tcBorders>
            <w:shd w:val="clear" w:color="auto" w:fill="auto"/>
            <w:noWrap/>
            <w:vAlign w:val="bottom"/>
            <w:hideMark/>
          </w:tcPr>
          <w:p w14:paraId="090D6F94" w14:textId="77777777" w:rsidR="00134175" w:rsidRPr="002B4DC4" w:rsidRDefault="00134175" w:rsidP="00585299">
            <w:pPr>
              <w:spacing w:after="0" w:line="240" w:lineRule="auto"/>
              <w:jc w:val="center"/>
              <w:rPr>
                <w:rFonts w:ascii="Calibri" w:eastAsia="Times New Roman" w:hAnsi="Calibri" w:cs="Times New Roman"/>
                <w:color w:val="000000"/>
                <w:sz w:val="20"/>
                <w:szCs w:val="20"/>
              </w:rPr>
            </w:pPr>
            <w:r w:rsidRPr="002B4DC4">
              <w:rPr>
                <w:rFonts w:ascii="Calibri" w:eastAsia="Times New Roman" w:hAnsi="Calibri" w:cs="Times New Roman"/>
                <w:color w:val="000000"/>
                <w:sz w:val="20"/>
                <w:szCs w:val="20"/>
              </w:rPr>
              <w:t>A</w:t>
            </w:r>
          </w:p>
        </w:tc>
        <w:tc>
          <w:tcPr>
            <w:tcW w:w="992" w:type="dxa"/>
            <w:tcBorders>
              <w:top w:val="single" w:sz="4" w:space="0" w:color="auto"/>
              <w:left w:val="nil"/>
              <w:bottom w:val="single" w:sz="4" w:space="0" w:color="auto"/>
              <w:right w:val="single" w:sz="4" w:space="0" w:color="auto"/>
            </w:tcBorders>
            <w:shd w:val="clear" w:color="auto" w:fill="FFFF00"/>
            <w:noWrap/>
            <w:vAlign w:val="bottom"/>
            <w:hideMark/>
          </w:tcPr>
          <w:p w14:paraId="637E3849" w14:textId="77777777" w:rsidR="00134175" w:rsidRPr="002B4DC4" w:rsidRDefault="00134175" w:rsidP="00585299">
            <w:pPr>
              <w:spacing w:after="0" w:line="240" w:lineRule="auto"/>
              <w:jc w:val="center"/>
              <w:rPr>
                <w:rFonts w:ascii="Calibri" w:eastAsia="Times New Roman" w:hAnsi="Calibri" w:cs="Times New Roman"/>
                <w:color w:val="000000"/>
                <w:sz w:val="20"/>
                <w:szCs w:val="20"/>
              </w:rPr>
            </w:pPr>
            <w:r w:rsidRPr="00134175">
              <w:rPr>
                <w:rFonts w:ascii="Calibri" w:eastAsia="Times New Roman" w:hAnsi="Calibri" w:cs="Times New Roman"/>
                <w:sz w:val="20"/>
                <w:szCs w:val="20"/>
              </w:rPr>
              <w:t>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C423935" w14:textId="77777777" w:rsidR="00134175" w:rsidRPr="002B4DC4" w:rsidRDefault="00134175" w:rsidP="00585299">
            <w:pPr>
              <w:spacing w:after="0" w:line="240" w:lineRule="auto"/>
              <w:jc w:val="center"/>
              <w:rPr>
                <w:rFonts w:ascii="Calibri" w:eastAsia="Times New Roman" w:hAnsi="Calibri" w:cs="Times New Roman"/>
                <w:color w:val="000000"/>
                <w:sz w:val="20"/>
                <w:szCs w:val="20"/>
              </w:rPr>
            </w:pPr>
            <w:r w:rsidRPr="002B4DC4">
              <w:rPr>
                <w:rFonts w:ascii="Calibri" w:eastAsia="Times New Roman" w:hAnsi="Calibri" w:cs="Times New Roman"/>
                <w:color w:val="000000"/>
                <w:sz w:val="20"/>
                <w:szCs w:val="20"/>
              </w:rPr>
              <w:t>Undetermined</w:t>
            </w:r>
          </w:p>
        </w:tc>
      </w:tr>
      <w:tr w:rsidR="00134175" w:rsidRPr="002B4DC4" w14:paraId="00C7C216" w14:textId="77777777" w:rsidTr="0013417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9A79BD7" w14:textId="77777777" w:rsidR="00134175" w:rsidRPr="002B4DC4" w:rsidRDefault="00134175" w:rsidP="00585299">
            <w:pPr>
              <w:spacing w:after="0" w:line="240" w:lineRule="auto"/>
              <w:jc w:val="center"/>
              <w:rPr>
                <w:rFonts w:ascii="Calibri" w:eastAsia="Times New Roman" w:hAnsi="Calibri" w:cs="Times New Roman"/>
                <w:sz w:val="20"/>
                <w:szCs w:val="20"/>
              </w:rPr>
            </w:pPr>
            <w:r w:rsidRPr="002B4DC4">
              <w:rPr>
                <w:rFonts w:ascii="Calibri" w:eastAsia="Times New Roman" w:hAnsi="Calibri" w:cs="Times New Roman"/>
                <w:sz w:val="20"/>
                <w:szCs w:val="20"/>
              </w:rPr>
              <w:t>PIK3C2G_12_18650667_A/T</w:t>
            </w:r>
          </w:p>
        </w:tc>
        <w:tc>
          <w:tcPr>
            <w:tcW w:w="1413" w:type="dxa"/>
            <w:tcBorders>
              <w:top w:val="single" w:sz="4" w:space="0" w:color="auto"/>
              <w:left w:val="nil"/>
              <w:bottom w:val="single" w:sz="4" w:space="0" w:color="auto"/>
              <w:right w:val="single" w:sz="4" w:space="0" w:color="auto"/>
            </w:tcBorders>
            <w:shd w:val="clear" w:color="auto" w:fill="FFFF00"/>
            <w:noWrap/>
            <w:vAlign w:val="bottom"/>
            <w:hideMark/>
          </w:tcPr>
          <w:p w14:paraId="1B8C613E" w14:textId="77777777" w:rsidR="00134175" w:rsidRPr="00134175" w:rsidRDefault="00134175" w:rsidP="00585299">
            <w:pPr>
              <w:spacing w:after="0" w:line="240" w:lineRule="auto"/>
              <w:jc w:val="center"/>
              <w:rPr>
                <w:rFonts w:ascii="Calibri" w:eastAsia="Times New Roman" w:hAnsi="Calibri" w:cs="Times New Roman"/>
                <w:sz w:val="20"/>
                <w:szCs w:val="20"/>
              </w:rPr>
            </w:pPr>
            <w:r w:rsidRPr="00134175">
              <w:rPr>
                <w:rFonts w:ascii="Calibri" w:eastAsia="Times New Roman" w:hAnsi="Calibri" w:cs="Times New Roman"/>
                <w:sz w:val="20"/>
                <w:szCs w:val="20"/>
              </w:rPr>
              <w:t>A and T</w:t>
            </w:r>
          </w:p>
        </w:tc>
        <w:tc>
          <w:tcPr>
            <w:tcW w:w="1417" w:type="dxa"/>
            <w:tcBorders>
              <w:top w:val="single" w:sz="4" w:space="0" w:color="auto"/>
              <w:left w:val="nil"/>
              <w:bottom w:val="single" w:sz="4" w:space="0" w:color="auto"/>
              <w:right w:val="single" w:sz="4" w:space="0" w:color="auto"/>
            </w:tcBorders>
            <w:shd w:val="clear" w:color="auto" w:fill="FFFF00"/>
            <w:noWrap/>
            <w:vAlign w:val="bottom"/>
            <w:hideMark/>
          </w:tcPr>
          <w:p w14:paraId="737B5AEA" w14:textId="77777777" w:rsidR="00134175" w:rsidRPr="00134175" w:rsidRDefault="00134175" w:rsidP="00585299">
            <w:pPr>
              <w:spacing w:after="0" w:line="240" w:lineRule="auto"/>
              <w:jc w:val="center"/>
              <w:rPr>
                <w:rFonts w:ascii="Calibri" w:eastAsia="Times New Roman" w:hAnsi="Calibri" w:cs="Times New Roman"/>
                <w:sz w:val="20"/>
                <w:szCs w:val="20"/>
              </w:rPr>
            </w:pPr>
            <w:r w:rsidRPr="00134175">
              <w:rPr>
                <w:rFonts w:ascii="Calibri" w:eastAsia="Times New Roman" w:hAnsi="Calibri" w:cs="Times New Roman"/>
                <w:sz w:val="20"/>
                <w:szCs w:val="20"/>
              </w:rPr>
              <w:t>A and T</w:t>
            </w:r>
          </w:p>
        </w:tc>
        <w:tc>
          <w:tcPr>
            <w:tcW w:w="1418" w:type="dxa"/>
            <w:tcBorders>
              <w:top w:val="nil"/>
              <w:left w:val="nil"/>
              <w:bottom w:val="single" w:sz="4" w:space="0" w:color="auto"/>
              <w:right w:val="single" w:sz="4" w:space="0" w:color="auto"/>
            </w:tcBorders>
            <w:shd w:val="clear" w:color="auto" w:fill="auto"/>
            <w:noWrap/>
            <w:vAlign w:val="bottom"/>
            <w:hideMark/>
          </w:tcPr>
          <w:p w14:paraId="5E5BC994" w14:textId="77777777" w:rsidR="00134175" w:rsidRPr="002B4DC4" w:rsidRDefault="00134175" w:rsidP="00585299">
            <w:pPr>
              <w:spacing w:after="0" w:line="240" w:lineRule="auto"/>
              <w:jc w:val="center"/>
              <w:rPr>
                <w:rFonts w:ascii="Calibri" w:eastAsia="Times New Roman" w:hAnsi="Calibri" w:cs="Times New Roman"/>
                <w:color w:val="000000"/>
                <w:sz w:val="20"/>
                <w:szCs w:val="20"/>
              </w:rPr>
            </w:pPr>
            <w:r w:rsidRPr="002B4DC4">
              <w:rPr>
                <w:rFonts w:ascii="Calibri" w:eastAsia="Times New Roman" w:hAnsi="Calibri" w:cs="Times New Roman"/>
                <w:color w:val="000000"/>
                <w:sz w:val="20"/>
                <w:szCs w:val="20"/>
              </w:rPr>
              <w:t>A</w:t>
            </w:r>
          </w:p>
        </w:tc>
        <w:tc>
          <w:tcPr>
            <w:tcW w:w="1417" w:type="dxa"/>
            <w:tcBorders>
              <w:top w:val="nil"/>
              <w:left w:val="nil"/>
              <w:bottom w:val="single" w:sz="4" w:space="0" w:color="auto"/>
              <w:right w:val="single" w:sz="4" w:space="0" w:color="auto"/>
            </w:tcBorders>
            <w:shd w:val="clear" w:color="auto" w:fill="auto"/>
            <w:noWrap/>
            <w:vAlign w:val="bottom"/>
            <w:hideMark/>
          </w:tcPr>
          <w:p w14:paraId="0251154D" w14:textId="77777777" w:rsidR="00134175" w:rsidRPr="002B4DC4" w:rsidRDefault="00134175" w:rsidP="00585299">
            <w:pPr>
              <w:spacing w:after="0" w:line="240" w:lineRule="auto"/>
              <w:jc w:val="center"/>
              <w:rPr>
                <w:rFonts w:ascii="Calibri" w:eastAsia="Times New Roman" w:hAnsi="Calibri" w:cs="Times New Roman"/>
                <w:color w:val="000000"/>
                <w:sz w:val="20"/>
                <w:szCs w:val="20"/>
              </w:rPr>
            </w:pPr>
            <w:r w:rsidRPr="002B4DC4">
              <w:rPr>
                <w:rFonts w:ascii="Calibri" w:eastAsia="Times New Roman" w:hAnsi="Calibri" w:cs="Times New Roman"/>
                <w:color w:val="000000"/>
                <w:sz w:val="20"/>
                <w:szCs w:val="20"/>
              </w:rPr>
              <w:t>A and T</w:t>
            </w:r>
          </w:p>
        </w:tc>
        <w:tc>
          <w:tcPr>
            <w:tcW w:w="992" w:type="dxa"/>
            <w:tcBorders>
              <w:top w:val="nil"/>
              <w:left w:val="nil"/>
              <w:bottom w:val="single" w:sz="4" w:space="0" w:color="auto"/>
              <w:right w:val="single" w:sz="4" w:space="0" w:color="auto"/>
            </w:tcBorders>
            <w:shd w:val="clear" w:color="auto" w:fill="auto"/>
            <w:noWrap/>
            <w:vAlign w:val="bottom"/>
            <w:hideMark/>
          </w:tcPr>
          <w:p w14:paraId="7BAAD8FA" w14:textId="77777777" w:rsidR="00134175" w:rsidRPr="002B4DC4" w:rsidRDefault="00134175" w:rsidP="00585299">
            <w:pPr>
              <w:spacing w:after="0" w:line="240" w:lineRule="auto"/>
              <w:jc w:val="center"/>
              <w:rPr>
                <w:rFonts w:ascii="Calibri" w:eastAsia="Times New Roman" w:hAnsi="Calibri" w:cs="Times New Roman"/>
                <w:color w:val="000000"/>
                <w:sz w:val="20"/>
                <w:szCs w:val="20"/>
              </w:rPr>
            </w:pPr>
            <w:r w:rsidRPr="002B4DC4">
              <w:rPr>
                <w:rFonts w:ascii="Calibri" w:eastAsia="Times New Roman" w:hAnsi="Calibri" w:cs="Times New Roman"/>
                <w:color w:val="000000"/>
                <w:sz w:val="20"/>
                <w:szCs w:val="20"/>
              </w:rPr>
              <w:t>A</w:t>
            </w:r>
          </w:p>
        </w:tc>
        <w:tc>
          <w:tcPr>
            <w:tcW w:w="1418" w:type="dxa"/>
            <w:tcBorders>
              <w:top w:val="nil"/>
              <w:left w:val="nil"/>
              <w:bottom w:val="single" w:sz="4" w:space="0" w:color="auto"/>
              <w:right w:val="single" w:sz="4" w:space="0" w:color="auto"/>
            </w:tcBorders>
            <w:shd w:val="clear" w:color="auto" w:fill="auto"/>
            <w:noWrap/>
            <w:vAlign w:val="bottom"/>
            <w:hideMark/>
          </w:tcPr>
          <w:p w14:paraId="6452DCE4" w14:textId="77777777" w:rsidR="00134175" w:rsidRPr="002B4DC4" w:rsidRDefault="00134175" w:rsidP="00585299">
            <w:pPr>
              <w:spacing w:after="0" w:line="240" w:lineRule="auto"/>
              <w:jc w:val="center"/>
              <w:rPr>
                <w:rFonts w:ascii="Calibri" w:eastAsia="Times New Roman" w:hAnsi="Calibri" w:cs="Times New Roman"/>
                <w:color w:val="000000"/>
                <w:sz w:val="20"/>
                <w:szCs w:val="20"/>
              </w:rPr>
            </w:pPr>
            <w:r w:rsidRPr="002B4DC4">
              <w:rPr>
                <w:rFonts w:ascii="Calibri" w:eastAsia="Times New Roman" w:hAnsi="Calibri" w:cs="Times New Roman"/>
                <w:color w:val="000000"/>
                <w:sz w:val="20"/>
                <w:szCs w:val="20"/>
              </w:rPr>
              <w:t>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9F10126" w14:textId="77777777" w:rsidR="00134175" w:rsidRPr="002B4DC4" w:rsidRDefault="00134175" w:rsidP="00585299">
            <w:pPr>
              <w:spacing w:after="0" w:line="240" w:lineRule="auto"/>
              <w:jc w:val="center"/>
              <w:rPr>
                <w:rFonts w:ascii="Calibri" w:eastAsia="Times New Roman" w:hAnsi="Calibri" w:cs="Times New Roman"/>
                <w:color w:val="000000"/>
                <w:sz w:val="20"/>
                <w:szCs w:val="20"/>
              </w:rPr>
            </w:pPr>
            <w:r w:rsidRPr="002B4DC4">
              <w:rPr>
                <w:rFonts w:ascii="Calibri" w:eastAsia="Times New Roman" w:hAnsi="Calibri" w:cs="Times New Roman"/>
                <w:color w:val="000000"/>
                <w:sz w:val="20"/>
                <w:szCs w:val="20"/>
              </w:rPr>
              <w:t>A</w:t>
            </w:r>
          </w:p>
        </w:tc>
        <w:tc>
          <w:tcPr>
            <w:tcW w:w="1418" w:type="dxa"/>
            <w:tcBorders>
              <w:top w:val="nil"/>
              <w:left w:val="nil"/>
              <w:bottom w:val="single" w:sz="4" w:space="0" w:color="auto"/>
              <w:right w:val="single" w:sz="4" w:space="0" w:color="auto"/>
            </w:tcBorders>
            <w:shd w:val="clear" w:color="auto" w:fill="auto"/>
            <w:noWrap/>
            <w:vAlign w:val="bottom"/>
            <w:hideMark/>
          </w:tcPr>
          <w:p w14:paraId="0DC60558" w14:textId="77777777" w:rsidR="00134175" w:rsidRPr="002B4DC4" w:rsidRDefault="00134175" w:rsidP="00585299">
            <w:pPr>
              <w:spacing w:after="0" w:line="240" w:lineRule="auto"/>
              <w:jc w:val="center"/>
              <w:rPr>
                <w:rFonts w:ascii="Calibri" w:eastAsia="Times New Roman" w:hAnsi="Calibri" w:cs="Times New Roman"/>
                <w:color w:val="000000"/>
                <w:sz w:val="20"/>
                <w:szCs w:val="20"/>
              </w:rPr>
            </w:pPr>
            <w:r w:rsidRPr="002B4DC4">
              <w:rPr>
                <w:rFonts w:ascii="Calibri" w:eastAsia="Times New Roman" w:hAnsi="Calibri" w:cs="Times New Roman"/>
                <w:color w:val="000000"/>
                <w:sz w:val="20"/>
                <w:szCs w:val="20"/>
              </w:rPr>
              <w:t>A</w:t>
            </w:r>
          </w:p>
        </w:tc>
      </w:tr>
      <w:tr w:rsidR="00134175" w:rsidRPr="002B4DC4" w14:paraId="3C206EDB" w14:textId="77777777" w:rsidTr="0013417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A6D738D" w14:textId="77777777" w:rsidR="00134175" w:rsidRPr="002B4DC4" w:rsidRDefault="00134175" w:rsidP="00585299">
            <w:pPr>
              <w:spacing w:after="0" w:line="240" w:lineRule="auto"/>
              <w:jc w:val="center"/>
              <w:rPr>
                <w:rFonts w:ascii="Calibri" w:eastAsia="Times New Roman" w:hAnsi="Calibri" w:cs="Times New Roman"/>
                <w:sz w:val="20"/>
                <w:szCs w:val="20"/>
              </w:rPr>
            </w:pPr>
            <w:r w:rsidRPr="002B4DC4">
              <w:rPr>
                <w:rFonts w:ascii="Calibri" w:eastAsia="Times New Roman" w:hAnsi="Calibri" w:cs="Times New Roman"/>
                <w:sz w:val="20"/>
                <w:szCs w:val="20"/>
              </w:rPr>
              <w:t>PLCG2_16_81888178_C/T</w:t>
            </w:r>
          </w:p>
        </w:tc>
        <w:tc>
          <w:tcPr>
            <w:tcW w:w="1413" w:type="dxa"/>
            <w:tcBorders>
              <w:top w:val="single" w:sz="4" w:space="0" w:color="auto"/>
              <w:left w:val="nil"/>
              <w:bottom w:val="single" w:sz="4" w:space="0" w:color="auto"/>
              <w:right w:val="single" w:sz="4" w:space="0" w:color="auto"/>
            </w:tcBorders>
            <w:shd w:val="clear" w:color="auto" w:fill="FFFF00"/>
            <w:noWrap/>
            <w:vAlign w:val="bottom"/>
            <w:hideMark/>
          </w:tcPr>
          <w:p w14:paraId="4943E23B" w14:textId="77777777" w:rsidR="00134175" w:rsidRPr="00134175" w:rsidRDefault="00134175" w:rsidP="00585299">
            <w:pPr>
              <w:spacing w:after="0" w:line="240" w:lineRule="auto"/>
              <w:jc w:val="center"/>
              <w:rPr>
                <w:rFonts w:ascii="Calibri" w:eastAsia="Times New Roman" w:hAnsi="Calibri" w:cs="Times New Roman"/>
                <w:sz w:val="20"/>
                <w:szCs w:val="20"/>
              </w:rPr>
            </w:pPr>
            <w:r w:rsidRPr="00134175">
              <w:rPr>
                <w:rFonts w:ascii="Calibri" w:eastAsia="Times New Roman" w:hAnsi="Calibri" w:cs="Times New Roman"/>
                <w:sz w:val="20"/>
                <w:szCs w:val="20"/>
              </w:rPr>
              <w:t>C and T</w:t>
            </w:r>
          </w:p>
        </w:tc>
        <w:tc>
          <w:tcPr>
            <w:tcW w:w="1417" w:type="dxa"/>
            <w:tcBorders>
              <w:top w:val="single" w:sz="4" w:space="0" w:color="auto"/>
              <w:left w:val="nil"/>
              <w:bottom w:val="single" w:sz="4" w:space="0" w:color="auto"/>
              <w:right w:val="single" w:sz="4" w:space="0" w:color="auto"/>
            </w:tcBorders>
            <w:shd w:val="clear" w:color="auto" w:fill="FFFF00"/>
            <w:noWrap/>
            <w:vAlign w:val="bottom"/>
            <w:hideMark/>
          </w:tcPr>
          <w:p w14:paraId="4C4AD713" w14:textId="77777777" w:rsidR="00134175" w:rsidRPr="00134175" w:rsidRDefault="00134175" w:rsidP="00585299">
            <w:pPr>
              <w:spacing w:after="0" w:line="240" w:lineRule="auto"/>
              <w:jc w:val="center"/>
              <w:rPr>
                <w:rFonts w:ascii="Calibri" w:eastAsia="Times New Roman" w:hAnsi="Calibri" w:cs="Times New Roman"/>
                <w:sz w:val="20"/>
                <w:szCs w:val="20"/>
              </w:rPr>
            </w:pPr>
            <w:r w:rsidRPr="00134175">
              <w:rPr>
                <w:rFonts w:ascii="Calibri" w:eastAsia="Times New Roman" w:hAnsi="Calibri" w:cs="Times New Roman"/>
                <w:sz w:val="20"/>
                <w:szCs w:val="20"/>
              </w:rPr>
              <w:t>C and T</w:t>
            </w:r>
          </w:p>
        </w:tc>
        <w:tc>
          <w:tcPr>
            <w:tcW w:w="1418" w:type="dxa"/>
            <w:tcBorders>
              <w:top w:val="nil"/>
              <w:left w:val="nil"/>
              <w:bottom w:val="single" w:sz="4" w:space="0" w:color="auto"/>
              <w:right w:val="single" w:sz="4" w:space="0" w:color="auto"/>
            </w:tcBorders>
            <w:shd w:val="clear" w:color="auto" w:fill="auto"/>
            <w:noWrap/>
            <w:vAlign w:val="bottom"/>
            <w:hideMark/>
          </w:tcPr>
          <w:p w14:paraId="6E29C9C5" w14:textId="77777777" w:rsidR="00134175" w:rsidRPr="002B4DC4" w:rsidRDefault="00134175" w:rsidP="00585299">
            <w:pPr>
              <w:spacing w:after="0" w:line="240" w:lineRule="auto"/>
              <w:jc w:val="center"/>
              <w:rPr>
                <w:rFonts w:ascii="Calibri" w:eastAsia="Times New Roman" w:hAnsi="Calibri" w:cs="Times New Roman"/>
                <w:color w:val="000000"/>
                <w:sz w:val="20"/>
                <w:szCs w:val="20"/>
              </w:rPr>
            </w:pPr>
            <w:r w:rsidRPr="002B4DC4">
              <w:rPr>
                <w:rFonts w:ascii="Calibri" w:eastAsia="Times New Roman" w:hAnsi="Calibri" w:cs="Times New Roman"/>
                <w:color w:val="000000"/>
                <w:sz w:val="20"/>
                <w:szCs w:val="20"/>
              </w:rPr>
              <w:t>Undetermined</w:t>
            </w:r>
          </w:p>
        </w:tc>
        <w:tc>
          <w:tcPr>
            <w:tcW w:w="1417" w:type="dxa"/>
            <w:tcBorders>
              <w:top w:val="nil"/>
              <w:left w:val="nil"/>
              <w:bottom w:val="single" w:sz="4" w:space="0" w:color="auto"/>
              <w:right w:val="single" w:sz="4" w:space="0" w:color="auto"/>
            </w:tcBorders>
            <w:shd w:val="clear" w:color="auto" w:fill="auto"/>
            <w:noWrap/>
            <w:vAlign w:val="bottom"/>
            <w:hideMark/>
          </w:tcPr>
          <w:p w14:paraId="542E6A8C" w14:textId="77777777" w:rsidR="00134175" w:rsidRPr="002B4DC4" w:rsidRDefault="00134175" w:rsidP="00585299">
            <w:pPr>
              <w:spacing w:after="0" w:line="240" w:lineRule="auto"/>
              <w:jc w:val="center"/>
              <w:rPr>
                <w:rFonts w:ascii="Calibri" w:eastAsia="Times New Roman" w:hAnsi="Calibri" w:cs="Times New Roman"/>
                <w:color w:val="000000"/>
                <w:sz w:val="20"/>
                <w:szCs w:val="20"/>
              </w:rPr>
            </w:pPr>
            <w:r w:rsidRPr="002B4DC4">
              <w:rPr>
                <w:rFonts w:ascii="Calibri" w:eastAsia="Times New Roman" w:hAnsi="Calibri" w:cs="Times New Roman"/>
                <w:color w:val="000000"/>
                <w:sz w:val="20"/>
                <w:szCs w:val="20"/>
              </w:rPr>
              <w:t>C</w:t>
            </w:r>
          </w:p>
        </w:tc>
        <w:tc>
          <w:tcPr>
            <w:tcW w:w="992" w:type="dxa"/>
            <w:tcBorders>
              <w:top w:val="nil"/>
              <w:left w:val="nil"/>
              <w:bottom w:val="single" w:sz="4" w:space="0" w:color="auto"/>
              <w:right w:val="single" w:sz="4" w:space="0" w:color="auto"/>
            </w:tcBorders>
            <w:shd w:val="clear" w:color="auto" w:fill="auto"/>
            <w:noWrap/>
            <w:vAlign w:val="bottom"/>
            <w:hideMark/>
          </w:tcPr>
          <w:p w14:paraId="13BA70ED" w14:textId="77777777" w:rsidR="00134175" w:rsidRPr="002B4DC4" w:rsidRDefault="00134175" w:rsidP="00585299">
            <w:pPr>
              <w:spacing w:after="0" w:line="240" w:lineRule="auto"/>
              <w:jc w:val="center"/>
              <w:rPr>
                <w:rFonts w:ascii="Calibri" w:eastAsia="Times New Roman" w:hAnsi="Calibri" w:cs="Times New Roman"/>
                <w:color w:val="000000"/>
                <w:sz w:val="20"/>
                <w:szCs w:val="20"/>
              </w:rPr>
            </w:pPr>
            <w:r w:rsidRPr="002B4DC4">
              <w:rPr>
                <w:rFonts w:ascii="Calibri" w:eastAsia="Times New Roman" w:hAnsi="Calibri" w:cs="Times New Roman"/>
                <w:color w:val="000000"/>
                <w:sz w:val="20"/>
                <w:szCs w:val="20"/>
              </w:rPr>
              <w:t>C</w:t>
            </w:r>
          </w:p>
        </w:tc>
        <w:tc>
          <w:tcPr>
            <w:tcW w:w="1418" w:type="dxa"/>
            <w:tcBorders>
              <w:top w:val="nil"/>
              <w:left w:val="nil"/>
              <w:bottom w:val="single" w:sz="4" w:space="0" w:color="auto"/>
              <w:right w:val="single" w:sz="4" w:space="0" w:color="auto"/>
            </w:tcBorders>
            <w:shd w:val="clear" w:color="auto" w:fill="auto"/>
            <w:noWrap/>
            <w:vAlign w:val="bottom"/>
            <w:hideMark/>
          </w:tcPr>
          <w:p w14:paraId="728AF56F" w14:textId="77777777" w:rsidR="00134175" w:rsidRPr="002B4DC4" w:rsidRDefault="00134175" w:rsidP="00585299">
            <w:pPr>
              <w:spacing w:after="0" w:line="240" w:lineRule="auto"/>
              <w:jc w:val="center"/>
              <w:rPr>
                <w:rFonts w:ascii="Calibri" w:eastAsia="Times New Roman" w:hAnsi="Calibri" w:cs="Times New Roman"/>
                <w:color w:val="000000"/>
                <w:sz w:val="20"/>
                <w:szCs w:val="20"/>
              </w:rPr>
            </w:pPr>
            <w:r w:rsidRPr="002B4DC4">
              <w:rPr>
                <w:rFonts w:ascii="Calibri" w:eastAsia="Times New Roman" w:hAnsi="Calibri" w:cs="Times New Roman"/>
                <w:color w:val="000000"/>
                <w:sz w:val="20"/>
                <w:szCs w:val="20"/>
              </w:rPr>
              <w:t>C</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7F68C26" w14:textId="77777777" w:rsidR="00134175" w:rsidRPr="002B4DC4" w:rsidRDefault="00134175" w:rsidP="00585299">
            <w:pPr>
              <w:spacing w:after="0" w:line="240" w:lineRule="auto"/>
              <w:jc w:val="center"/>
              <w:rPr>
                <w:rFonts w:ascii="Calibri" w:eastAsia="Times New Roman" w:hAnsi="Calibri" w:cs="Times New Roman"/>
                <w:color w:val="000000"/>
                <w:sz w:val="20"/>
                <w:szCs w:val="20"/>
              </w:rPr>
            </w:pPr>
            <w:r w:rsidRPr="002B4DC4">
              <w:rPr>
                <w:rFonts w:ascii="Calibri" w:eastAsia="Times New Roman" w:hAnsi="Calibri" w:cs="Times New Roman"/>
                <w:color w:val="000000"/>
                <w:sz w:val="20"/>
                <w:szCs w:val="20"/>
              </w:rPr>
              <w:t>C</w:t>
            </w:r>
          </w:p>
        </w:tc>
        <w:tc>
          <w:tcPr>
            <w:tcW w:w="1418" w:type="dxa"/>
            <w:tcBorders>
              <w:top w:val="nil"/>
              <w:left w:val="nil"/>
              <w:bottom w:val="single" w:sz="4" w:space="0" w:color="auto"/>
              <w:right w:val="single" w:sz="4" w:space="0" w:color="auto"/>
            </w:tcBorders>
            <w:shd w:val="clear" w:color="auto" w:fill="auto"/>
            <w:noWrap/>
            <w:vAlign w:val="bottom"/>
            <w:hideMark/>
          </w:tcPr>
          <w:p w14:paraId="286B6C24" w14:textId="77777777" w:rsidR="00134175" w:rsidRPr="002B4DC4" w:rsidRDefault="00134175" w:rsidP="00585299">
            <w:pPr>
              <w:spacing w:after="0" w:line="240" w:lineRule="auto"/>
              <w:jc w:val="center"/>
              <w:rPr>
                <w:rFonts w:ascii="Calibri" w:eastAsia="Times New Roman" w:hAnsi="Calibri" w:cs="Times New Roman"/>
                <w:color w:val="000000"/>
                <w:sz w:val="20"/>
                <w:szCs w:val="20"/>
              </w:rPr>
            </w:pPr>
            <w:r w:rsidRPr="002B4DC4">
              <w:rPr>
                <w:rFonts w:ascii="Calibri" w:eastAsia="Times New Roman" w:hAnsi="Calibri" w:cs="Times New Roman"/>
                <w:color w:val="000000"/>
                <w:sz w:val="20"/>
                <w:szCs w:val="20"/>
              </w:rPr>
              <w:t>C</w:t>
            </w:r>
          </w:p>
        </w:tc>
      </w:tr>
      <w:tr w:rsidR="00134175" w:rsidRPr="002B4DC4" w14:paraId="1F8726F9" w14:textId="77777777" w:rsidTr="0013417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3498FDD" w14:textId="77777777" w:rsidR="00134175" w:rsidRPr="002B4DC4" w:rsidRDefault="00134175" w:rsidP="00585299">
            <w:pPr>
              <w:spacing w:after="0" w:line="240" w:lineRule="auto"/>
              <w:jc w:val="center"/>
              <w:rPr>
                <w:rFonts w:ascii="Calibri" w:eastAsia="Times New Roman" w:hAnsi="Calibri" w:cs="Times New Roman"/>
                <w:sz w:val="20"/>
                <w:szCs w:val="20"/>
              </w:rPr>
            </w:pPr>
            <w:r w:rsidRPr="002B4DC4">
              <w:rPr>
                <w:rFonts w:ascii="Calibri" w:eastAsia="Times New Roman" w:hAnsi="Calibri" w:cs="Times New Roman"/>
                <w:sz w:val="20"/>
                <w:szCs w:val="20"/>
              </w:rPr>
              <w:t>RRAS_19_50140130_G/A</w:t>
            </w:r>
          </w:p>
        </w:tc>
        <w:tc>
          <w:tcPr>
            <w:tcW w:w="1413" w:type="dxa"/>
            <w:tcBorders>
              <w:top w:val="single" w:sz="4" w:space="0" w:color="auto"/>
              <w:left w:val="nil"/>
              <w:bottom w:val="single" w:sz="4" w:space="0" w:color="auto"/>
              <w:right w:val="single" w:sz="4" w:space="0" w:color="auto"/>
            </w:tcBorders>
            <w:shd w:val="clear" w:color="auto" w:fill="FFFF00"/>
            <w:noWrap/>
            <w:vAlign w:val="bottom"/>
            <w:hideMark/>
          </w:tcPr>
          <w:p w14:paraId="2389C98C" w14:textId="77777777" w:rsidR="00134175" w:rsidRPr="00134175" w:rsidRDefault="00134175" w:rsidP="00585299">
            <w:pPr>
              <w:spacing w:after="0" w:line="240" w:lineRule="auto"/>
              <w:jc w:val="center"/>
              <w:rPr>
                <w:rFonts w:ascii="Calibri" w:eastAsia="Times New Roman" w:hAnsi="Calibri" w:cs="Times New Roman"/>
                <w:sz w:val="20"/>
                <w:szCs w:val="20"/>
              </w:rPr>
            </w:pPr>
            <w:r w:rsidRPr="00134175">
              <w:rPr>
                <w:rFonts w:ascii="Calibri" w:eastAsia="Times New Roman" w:hAnsi="Calibri" w:cs="Times New Roman"/>
                <w:sz w:val="20"/>
                <w:szCs w:val="20"/>
              </w:rPr>
              <w:t>G and A</w:t>
            </w:r>
          </w:p>
        </w:tc>
        <w:tc>
          <w:tcPr>
            <w:tcW w:w="1417" w:type="dxa"/>
            <w:tcBorders>
              <w:top w:val="single" w:sz="4" w:space="0" w:color="auto"/>
              <w:left w:val="nil"/>
              <w:bottom w:val="single" w:sz="4" w:space="0" w:color="auto"/>
              <w:right w:val="single" w:sz="4" w:space="0" w:color="auto"/>
            </w:tcBorders>
            <w:shd w:val="clear" w:color="auto" w:fill="FFFF00"/>
            <w:noWrap/>
            <w:vAlign w:val="bottom"/>
            <w:hideMark/>
          </w:tcPr>
          <w:p w14:paraId="7805C338" w14:textId="77777777" w:rsidR="00134175" w:rsidRPr="00134175" w:rsidRDefault="00134175" w:rsidP="00585299">
            <w:pPr>
              <w:spacing w:after="0" w:line="240" w:lineRule="auto"/>
              <w:jc w:val="center"/>
              <w:rPr>
                <w:rFonts w:ascii="Calibri" w:eastAsia="Times New Roman" w:hAnsi="Calibri" w:cs="Times New Roman"/>
                <w:sz w:val="20"/>
                <w:szCs w:val="20"/>
              </w:rPr>
            </w:pPr>
            <w:r w:rsidRPr="00134175">
              <w:rPr>
                <w:rFonts w:ascii="Calibri" w:eastAsia="Times New Roman" w:hAnsi="Calibri" w:cs="Times New Roman"/>
                <w:sz w:val="20"/>
                <w:szCs w:val="20"/>
              </w:rPr>
              <w:t>G and A</w:t>
            </w:r>
          </w:p>
        </w:tc>
        <w:tc>
          <w:tcPr>
            <w:tcW w:w="1418" w:type="dxa"/>
            <w:tcBorders>
              <w:top w:val="nil"/>
              <w:left w:val="nil"/>
              <w:bottom w:val="single" w:sz="4" w:space="0" w:color="auto"/>
              <w:right w:val="single" w:sz="4" w:space="0" w:color="auto"/>
            </w:tcBorders>
            <w:shd w:val="clear" w:color="auto" w:fill="auto"/>
            <w:noWrap/>
            <w:vAlign w:val="bottom"/>
            <w:hideMark/>
          </w:tcPr>
          <w:p w14:paraId="101F2080" w14:textId="77777777" w:rsidR="00134175" w:rsidRPr="002B4DC4" w:rsidRDefault="00134175" w:rsidP="00585299">
            <w:pPr>
              <w:spacing w:after="0" w:line="240" w:lineRule="auto"/>
              <w:jc w:val="center"/>
              <w:rPr>
                <w:rFonts w:ascii="Calibri" w:eastAsia="Times New Roman" w:hAnsi="Calibri" w:cs="Times New Roman"/>
                <w:color w:val="000000"/>
                <w:sz w:val="20"/>
                <w:szCs w:val="20"/>
              </w:rPr>
            </w:pPr>
            <w:r w:rsidRPr="002B4DC4">
              <w:rPr>
                <w:rFonts w:ascii="Calibri" w:eastAsia="Times New Roman" w:hAnsi="Calibri" w:cs="Times New Roman"/>
                <w:color w:val="000000"/>
                <w:sz w:val="20"/>
                <w:szCs w:val="20"/>
              </w:rPr>
              <w:t>G</w:t>
            </w:r>
          </w:p>
        </w:tc>
        <w:tc>
          <w:tcPr>
            <w:tcW w:w="1417" w:type="dxa"/>
            <w:tcBorders>
              <w:top w:val="nil"/>
              <w:left w:val="nil"/>
              <w:bottom w:val="single" w:sz="4" w:space="0" w:color="auto"/>
              <w:right w:val="single" w:sz="4" w:space="0" w:color="auto"/>
            </w:tcBorders>
            <w:shd w:val="clear" w:color="auto" w:fill="auto"/>
            <w:noWrap/>
            <w:vAlign w:val="bottom"/>
            <w:hideMark/>
          </w:tcPr>
          <w:p w14:paraId="152E8A5F" w14:textId="77777777" w:rsidR="00134175" w:rsidRPr="002B4DC4" w:rsidRDefault="00134175" w:rsidP="00585299">
            <w:pPr>
              <w:spacing w:after="0" w:line="240" w:lineRule="auto"/>
              <w:jc w:val="center"/>
              <w:rPr>
                <w:rFonts w:ascii="Calibri" w:eastAsia="Times New Roman" w:hAnsi="Calibri" w:cs="Times New Roman"/>
                <w:color w:val="000000"/>
                <w:sz w:val="20"/>
                <w:szCs w:val="20"/>
              </w:rPr>
            </w:pPr>
            <w:r w:rsidRPr="002B4DC4">
              <w:rPr>
                <w:rFonts w:ascii="Calibri" w:eastAsia="Times New Roman" w:hAnsi="Calibri" w:cs="Times New Roman"/>
                <w:color w:val="000000"/>
                <w:sz w:val="20"/>
                <w:szCs w:val="20"/>
              </w:rPr>
              <w:t>Undetermined</w:t>
            </w:r>
          </w:p>
        </w:tc>
        <w:tc>
          <w:tcPr>
            <w:tcW w:w="992" w:type="dxa"/>
            <w:tcBorders>
              <w:top w:val="nil"/>
              <w:left w:val="nil"/>
              <w:bottom w:val="single" w:sz="4" w:space="0" w:color="auto"/>
              <w:right w:val="single" w:sz="4" w:space="0" w:color="auto"/>
            </w:tcBorders>
            <w:shd w:val="clear" w:color="auto" w:fill="auto"/>
            <w:noWrap/>
            <w:vAlign w:val="bottom"/>
            <w:hideMark/>
          </w:tcPr>
          <w:p w14:paraId="357F1702" w14:textId="77777777" w:rsidR="00134175" w:rsidRPr="002B4DC4" w:rsidRDefault="00134175" w:rsidP="00585299">
            <w:pPr>
              <w:spacing w:after="0" w:line="240" w:lineRule="auto"/>
              <w:jc w:val="center"/>
              <w:rPr>
                <w:rFonts w:ascii="Calibri" w:eastAsia="Times New Roman" w:hAnsi="Calibri" w:cs="Times New Roman"/>
                <w:color w:val="000000"/>
                <w:sz w:val="20"/>
                <w:szCs w:val="20"/>
              </w:rPr>
            </w:pPr>
            <w:r w:rsidRPr="002B4DC4">
              <w:rPr>
                <w:rFonts w:ascii="Calibri" w:eastAsia="Times New Roman" w:hAnsi="Calibri" w:cs="Times New Roman"/>
                <w:color w:val="000000"/>
                <w:sz w:val="20"/>
                <w:szCs w:val="20"/>
              </w:rPr>
              <w:t>G</w:t>
            </w:r>
          </w:p>
        </w:tc>
        <w:tc>
          <w:tcPr>
            <w:tcW w:w="1418" w:type="dxa"/>
            <w:tcBorders>
              <w:top w:val="nil"/>
              <w:left w:val="nil"/>
              <w:bottom w:val="single" w:sz="4" w:space="0" w:color="auto"/>
              <w:right w:val="single" w:sz="4" w:space="0" w:color="auto"/>
            </w:tcBorders>
            <w:shd w:val="clear" w:color="auto" w:fill="auto"/>
            <w:noWrap/>
            <w:vAlign w:val="bottom"/>
            <w:hideMark/>
          </w:tcPr>
          <w:p w14:paraId="67A27FEA" w14:textId="77777777" w:rsidR="00134175" w:rsidRPr="002B4DC4" w:rsidRDefault="00134175" w:rsidP="00585299">
            <w:pPr>
              <w:spacing w:after="0" w:line="240" w:lineRule="auto"/>
              <w:jc w:val="center"/>
              <w:rPr>
                <w:rFonts w:ascii="Calibri" w:eastAsia="Times New Roman" w:hAnsi="Calibri" w:cs="Times New Roman"/>
                <w:color w:val="000000"/>
                <w:sz w:val="20"/>
                <w:szCs w:val="20"/>
              </w:rPr>
            </w:pPr>
            <w:r w:rsidRPr="002B4DC4">
              <w:rPr>
                <w:rFonts w:ascii="Calibri" w:eastAsia="Times New Roman" w:hAnsi="Calibri" w:cs="Times New Roman"/>
                <w:color w:val="000000"/>
                <w:sz w:val="20"/>
                <w:szCs w:val="20"/>
              </w:rPr>
              <w:t>G</w:t>
            </w:r>
          </w:p>
        </w:tc>
        <w:tc>
          <w:tcPr>
            <w:tcW w:w="992" w:type="dxa"/>
            <w:tcBorders>
              <w:top w:val="nil"/>
              <w:left w:val="nil"/>
              <w:bottom w:val="single" w:sz="4" w:space="0" w:color="auto"/>
              <w:right w:val="single" w:sz="4" w:space="0" w:color="auto"/>
            </w:tcBorders>
            <w:shd w:val="clear" w:color="auto" w:fill="auto"/>
            <w:noWrap/>
            <w:vAlign w:val="bottom"/>
            <w:hideMark/>
          </w:tcPr>
          <w:p w14:paraId="60122C31" w14:textId="77777777" w:rsidR="00134175" w:rsidRPr="002B4DC4" w:rsidRDefault="00134175" w:rsidP="00585299">
            <w:pPr>
              <w:spacing w:after="0" w:line="240" w:lineRule="auto"/>
              <w:jc w:val="center"/>
              <w:rPr>
                <w:rFonts w:ascii="Calibri" w:eastAsia="Times New Roman" w:hAnsi="Calibri" w:cs="Times New Roman"/>
                <w:color w:val="000000"/>
                <w:sz w:val="20"/>
                <w:szCs w:val="20"/>
              </w:rPr>
            </w:pPr>
            <w:r w:rsidRPr="002B4DC4">
              <w:rPr>
                <w:rFonts w:ascii="Calibri" w:eastAsia="Times New Roman" w:hAnsi="Calibri" w:cs="Times New Roman"/>
                <w:color w:val="000000"/>
                <w:sz w:val="20"/>
                <w:szCs w:val="20"/>
              </w:rPr>
              <w:t>G</w:t>
            </w:r>
          </w:p>
        </w:tc>
        <w:tc>
          <w:tcPr>
            <w:tcW w:w="1418" w:type="dxa"/>
            <w:tcBorders>
              <w:top w:val="nil"/>
              <w:left w:val="nil"/>
              <w:bottom w:val="single" w:sz="4" w:space="0" w:color="auto"/>
              <w:right w:val="single" w:sz="4" w:space="0" w:color="auto"/>
            </w:tcBorders>
            <w:shd w:val="clear" w:color="auto" w:fill="auto"/>
            <w:noWrap/>
            <w:vAlign w:val="bottom"/>
            <w:hideMark/>
          </w:tcPr>
          <w:p w14:paraId="34363B21" w14:textId="77777777" w:rsidR="00134175" w:rsidRPr="002B4DC4" w:rsidRDefault="00134175" w:rsidP="00585299">
            <w:pPr>
              <w:spacing w:after="0" w:line="240" w:lineRule="auto"/>
              <w:jc w:val="center"/>
              <w:rPr>
                <w:rFonts w:ascii="Calibri" w:eastAsia="Times New Roman" w:hAnsi="Calibri" w:cs="Times New Roman"/>
                <w:color w:val="000000"/>
                <w:sz w:val="20"/>
                <w:szCs w:val="20"/>
              </w:rPr>
            </w:pPr>
            <w:r w:rsidRPr="002B4DC4">
              <w:rPr>
                <w:rFonts w:ascii="Calibri" w:eastAsia="Times New Roman" w:hAnsi="Calibri" w:cs="Times New Roman"/>
                <w:color w:val="000000"/>
                <w:sz w:val="20"/>
                <w:szCs w:val="20"/>
              </w:rPr>
              <w:t>G</w:t>
            </w:r>
          </w:p>
        </w:tc>
      </w:tr>
    </w:tbl>
    <w:p w14:paraId="130F7D72" w14:textId="77777777" w:rsidR="00134175" w:rsidRDefault="00134175" w:rsidP="009B5691">
      <w:pPr>
        <w:spacing w:after="360" w:line="360" w:lineRule="auto"/>
        <w:jc w:val="center"/>
      </w:pPr>
    </w:p>
    <w:p w14:paraId="05433AB5" w14:textId="76231CD2" w:rsidR="009B5691" w:rsidRDefault="00911C6B" w:rsidP="009B5691">
      <w:pPr>
        <w:spacing w:after="360" w:line="360" w:lineRule="auto"/>
        <w:jc w:val="center"/>
      </w:pPr>
      <w:r>
        <w:t>Table 4</w:t>
      </w:r>
      <w:r w:rsidR="009B5691" w:rsidRPr="009B5691">
        <w:t xml:space="preserve"> </w:t>
      </w:r>
    </w:p>
    <w:p w14:paraId="7F2FF184" w14:textId="77777777" w:rsidR="008C32E6" w:rsidRDefault="008C32E6" w:rsidP="009B5691">
      <w:pPr>
        <w:spacing w:after="360" w:line="360" w:lineRule="auto"/>
        <w:jc w:val="center"/>
        <w:sectPr w:rsidR="008C32E6" w:rsidSect="008C32E6">
          <w:pgSz w:w="16838" w:h="11906" w:orient="landscape"/>
          <w:pgMar w:top="1418" w:right="1418" w:bottom="2268" w:left="1418" w:header="709" w:footer="709" w:gutter="0"/>
          <w:cols w:space="708"/>
          <w:docGrid w:linePitch="360"/>
        </w:sectPr>
      </w:pPr>
    </w:p>
    <w:p w14:paraId="7A471BFF" w14:textId="77777777" w:rsidR="003D64F1" w:rsidRPr="00A4248E" w:rsidRDefault="003D64F1" w:rsidP="003D64F1">
      <w:pPr>
        <w:spacing w:after="360" w:line="360" w:lineRule="auto"/>
        <w:rPr>
          <w:rFonts w:cs="Times New Roman"/>
        </w:rPr>
      </w:pPr>
    </w:p>
    <w:p w14:paraId="39671F45" w14:textId="53F0E5DA" w:rsidR="00F801AC" w:rsidRDefault="00F801AC">
      <w:pPr>
        <w:rPr>
          <w:rFonts w:cs="Arial"/>
        </w:rPr>
      </w:pPr>
    </w:p>
    <w:p w14:paraId="6D115D6A" w14:textId="4E3993A8" w:rsidR="009B5691" w:rsidRDefault="00F801AC" w:rsidP="00AA7660">
      <w:pPr>
        <w:spacing w:after="360" w:line="360" w:lineRule="auto"/>
        <w:jc w:val="center"/>
        <w:rPr>
          <w:rFonts w:cs="Arial"/>
        </w:rPr>
      </w:pPr>
      <w:r w:rsidRPr="00A4248E">
        <w:rPr>
          <w:rFonts w:cs="Arial"/>
          <w:noProof/>
        </w:rPr>
        <w:drawing>
          <wp:inline distT="0" distB="0" distL="0" distR="0" wp14:anchorId="11E28075" wp14:editId="53955E44">
            <wp:extent cx="5219700" cy="4351020"/>
            <wp:effectExtent l="0" t="0" r="0" b="0"/>
            <wp:docPr id="13" name="Picture 12" descr="erbb path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b pathway.jpg"/>
                    <pic:cNvPicPr/>
                  </pic:nvPicPr>
                  <pic:blipFill>
                    <a:blip r:embed="rId8" cstate="print"/>
                    <a:stretch>
                      <a:fillRect/>
                    </a:stretch>
                  </pic:blipFill>
                  <pic:spPr>
                    <a:xfrm>
                      <a:off x="0" y="0"/>
                      <a:ext cx="5219700" cy="4351020"/>
                    </a:xfrm>
                    <a:prstGeom prst="rect">
                      <a:avLst/>
                    </a:prstGeom>
                  </pic:spPr>
                </pic:pic>
              </a:graphicData>
            </a:graphic>
          </wp:inline>
        </w:drawing>
      </w:r>
    </w:p>
    <w:p w14:paraId="244E4141" w14:textId="77777777" w:rsidR="00F801AC" w:rsidRDefault="00F801AC" w:rsidP="00AA7660">
      <w:pPr>
        <w:spacing w:after="360" w:line="360" w:lineRule="auto"/>
        <w:jc w:val="center"/>
        <w:rPr>
          <w:rFonts w:cs="Arial"/>
        </w:rPr>
      </w:pPr>
    </w:p>
    <w:p w14:paraId="46155860" w14:textId="58C9ED58" w:rsidR="00F801AC" w:rsidRDefault="00F801AC" w:rsidP="00F801AC">
      <w:pPr>
        <w:spacing w:after="360" w:line="360" w:lineRule="auto"/>
        <w:jc w:val="center"/>
        <w:rPr>
          <w:rFonts w:cs="Arial"/>
        </w:rPr>
      </w:pPr>
      <w:r>
        <w:rPr>
          <w:rFonts w:cs="Arial"/>
        </w:rPr>
        <w:t>Figure 1</w:t>
      </w:r>
    </w:p>
    <w:sectPr w:rsidR="00F801AC" w:rsidSect="008C32E6">
      <w:pgSz w:w="11906" w:h="16838"/>
      <w:pgMar w:top="1418" w:right="226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EBB6D" w14:textId="77777777" w:rsidR="00D0141B" w:rsidRDefault="00D0141B" w:rsidP="00E245D3">
      <w:pPr>
        <w:spacing w:after="0" w:line="240" w:lineRule="auto"/>
      </w:pPr>
      <w:r>
        <w:separator/>
      </w:r>
    </w:p>
  </w:endnote>
  <w:endnote w:type="continuationSeparator" w:id="0">
    <w:p w14:paraId="0C45A3B6" w14:textId="77777777" w:rsidR="00D0141B" w:rsidRDefault="00D0141B" w:rsidP="00E24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105100"/>
      <w:docPartObj>
        <w:docPartGallery w:val="Page Numbers (Bottom of Page)"/>
        <w:docPartUnique/>
      </w:docPartObj>
    </w:sdtPr>
    <w:sdtEndPr>
      <w:rPr>
        <w:noProof/>
      </w:rPr>
    </w:sdtEndPr>
    <w:sdtContent>
      <w:p w14:paraId="4C321EE6" w14:textId="378FA6D4" w:rsidR="009052DA" w:rsidRDefault="009052DA">
        <w:pPr>
          <w:pStyle w:val="Footer"/>
          <w:jc w:val="center"/>
        </w:pPr>
        <w:r>
          <w:fldChar w:fldCharType="begin"/>
        </w:r>
        <w:r>
          <w:instrText xml:space="preserve"> PAGE   \* MERGEFORMAT </w:instrText>
        </w:r>
        <w:r>
          <w:fldChar w:fldCharType="separate"/>
        </w:r>
        <w:r w:rsidR="00165CE7">
          <w:rPr>
            <w:noProof/>
          </w:rPr>
          <w:t>1</w:t>
        </w:r>
        <w:r>
          <w:rPr>
            <w:noProof/>
          </w:rPr>
          <w:fldChar w:fldCharType="end"/>
        </w:r>
      </w:p>
    </w:sdtContent>
  </w:sdt>
  <w:p w14:paraId="46877CA5" w14:textId="77777777" w:rsidR="009052DA" w:rsidRDefault="00905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EE650" w14:textId="77777777" w:rsidR="00D0141B" w:rsidRDefault="00D0141B" w:rsidP="00E245D3">
      <w:pPr>
        <w:spacing w:after="0" w:line="240" w:lineRule="auto"/>
      </w:pPr>
      <w:r>
        <w:separator/>
      </w:r>
    </w:p>
  </w:footnote>
  <w:footnote w:type="continuationSeparator" w:id="0">
    <w:p w14:paraId="3E14CCD8" w14:textId="77777777" w:rsidR="00D0141B" w:rsidRDefault="00D0141B" w:rsidP="00E24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510B"/>
    <w:multiLevelType w:val="hybridMultilevel"/>
    <w:tmpl w:val="C3D2D1BC"/>
    <w:lvl w:ilvl="0" w:tplc="08090001">
      <w:start w:val="1"/>
      <w:numFmt w:val="bullet"/>
      <w:lvlText w:val=""/>
      <w:lvlJc w:val="left"/>
      <w:pPr>
        <w:ind w:left="3591" w:hanging="360"/>
      </w:pPr>
      <w:rPr>
        <w:rFonts w:ascii="Symbol" w:hAnsi="Symbol" w:hint="default"/>
      </w:rPr>
    </w:lvl>
    <w:lvl w:ilvl="1" w:tplc="08090003" w:tentative="1">
      <w:start w:val="1"/>
      <w:numFmt w:val="bullet"/>
      <w:lvlText w:val="o"/>
      <w:lvlJc w:val="left"/>
      <w:pPr>
        <w:ind w:left="4311" w:hanging="360"/>
      </w:pPr>
      <w:rPr>
        <w:rFonts w:ascii="Courier New" w:hAnsi="Courier New" w:cs="Courier New" w:hint="default"/>
      </w:rPr>
    </w:lvl>
    <w:lvl w:ilvl="2" w:tplc="08090005" w:tentative="1">
      <w:start w:val="1"/>
      <w:numFmt w:val="bullet"/>
      <w:lvlText w:val=""/>
      <w:lvlJc w:val="left"/>
      <w:pPr>
        <w:ind w:left="5031" w:hanging="360"/>
      </w:pPr>
      <w:rPr>
        <w:rFonts w:ascii="Wingdings" w:hAnsi="Wingdings" w:hint="default"/>
      </w:rPr>
    </w:lvl>
    <w:lvl w:ilvl="3" w:tplc="08090001" w:tentative="1">
      <w:start w:val="1"/>
      <w:numFmt w:val="bullet"/>
      <w:lvlText w:val=""/>
      <w:lvlJc w:val="left"/>
      <w:pPr>
        <w:ind w:left="5751" w:hanging="360"/>
      </w:pPr>
      <w:rPr>
        <w:rFonts w:ascii="Symbol" w:hAnsi="Symbol" w:hint="default"/>
      </w:rPr>
    </w:lvl>
    <w:lvl w:ilvl="4" w:tplc="08090003" w:tentative="1">
      <w:start w:val="1"/>
      <w:numFmt w:val="bullet"/>
      <w:lvlText w:val="o"/>
      <w:lvlJc w:val="left"/>
      <w:pPr>
        <w:ind w:left="6471" w:hanging="360"/>
      </w:pPr>
      <w:rPr>
        <w:rFonts w:ascii="Courier New" w:hAnsi="Courier New" w:cs="Courier New" w:hint="default"/>
      </w:rPr>
    </w:lvl>
    <w:lvl w:ilvl="5" w:tplc="08090005" w:tentative="1">
      <w:start w:val="1"/>
      <w:numFmt w:val="bullet"/>
      <w:lvlText w:val=""/>
      <w:lvlJc w:val="left"/>
      <w:pPr>
        <w:ind w:left="7191" w:hanging="360"/>
      </w:pPr>
      <w:rPr>
        <w:rFonts w:ascii="Wingdings" w:hAnsi="Wingdings" w:hint="default"/>
      </w:rPr>
    </w:lvl>
    <w:lvl w:ilvl="6" w:tplc="08090001" w:tentative="1">
      <w:start w:val="1"/>
      <w:numFmt w:val="bullet"/>
      <w:lvlText w:val=""/>
      <w:lvlJc w:val="left"/>
      <w:pPr>
        <w:ind w:left="7911" w:hanging="360"/>
      </w:pPr>
      <w:rPr>
        <w:rFonts w:ascii="Symbol" w:hAnsi="Symbol" w:hint="default"/>
      </w:rPr>
    </w:lvl>
    <w:lvl w:ilvl="7" w:tplc="08090003" w:tentative="1">
      <w:start w:val="1"/>
      <w:numFmt w:val="bullet"/>
      <w:lvlText w:val="o"/>
      <w:lvlJc w:val="left"/>
      <w:pPr>
        <w:ind w:left="8631" w:hanging="360"/>
      </w:pPr>
      <w:rPr>
        <w:rFonts w:ascii="Courier New" w:hAnsi="Courier New" w:cs="Courier New" w:hint="default"/>
      </w:rPr>
    </w:lvl>
    <w:lvl w:ilvl="8" w:tplc="08090005" w:tentative="1">
      <w:start w:val="1"/>
      <w:numFmt w:val="bullet"/>
      <w:lvlText w:val=""/>
      <w:lvlJc w:val="left"/>
      <w:pPr>
        <w:ind w:left="9351" w:hanging="360"/>
      </w:pPr>
      <w:rPr>
        <w:rFonts w:ascii="Wingdings" w:hAnsi="Wingdings" w:hint="default"/>
      </w:rPr>
    </w:lvl>
  </w:abstractNum>
  <w:abstractNum w:abstractNumId="1" w15:restartNumberingAfterBreak="0">
    <w:nsid w:val="080C5878"/>
    <w:multiLevelType w:val="hybridMultilevel"/>
    <w:tmpl w:val="86364924"/>
    <w:lvl w:ilvl="0" w:tplc="08090001">
      <w:start w:val="1"/>
      <w:numFmt w:val="bullet"/>
      <w:lvlText w:val=""/>
      <w:lvlJc w:val="left"/>
      <w:pPr>
        <w:ind w:left="3591" w:hanging="360"/>
      </w:pPr>
      <w:rPr>
        <w:rFonts w:ascii="Symbol" w:hAnsi="Symbol" w:hint="default"/>
      </w:rPr>
    </w:lvl>
    <w:lvl w:ilvl="1" w:tplc="08090003" w:tentative="1">
      <w:start w:val="1"/>
      <w:numFmt w:val="bullet"/>
      <w:lvlText w:val="o"/>
      <w:lvlJc w:val="left"/>
      <w:pPr>
        <w:ind w:left="4311" w:hanging="360"/>
      </w:pPr>
      <w:rPr>
        <w:rFonts w:ascii="Courier New" w:hAnsi="Courier New" w:cs="Courier New" w:hint="default"/>
      </w:rPr>
    </w:lvl>
    <w:lvl w:ilvl="2" w:tplc="08090005" w:tentative="1">
      <w:start w:val="1"/>
      <w:numFmt w:val="bullet"/>
      <w:lvlText w:val=""/>
      <w:lvlJc w:val="left"/>
      <w:pPr>
        <w:ind w:left="5031" w:hanging="360"/>
      </w:pPr>
      <w:rPr>
        <w:rFonts w:ascii="Wingdings" w:hAnsi="Wingdings" w:hint="default"/>
      </w:rPr>
    </w:lvl>
    <w:lvl w:ilvl="3" w:tplc="08090001" w:tentative="1">
      <w:start w:val="1"/>
      <w:numFmt w:val="bullet"/>
      <w:lvlText w:val=""/>
      <w:lvlJc w:val="left"/>
      <w:pPr>
        <w:ind w:left="5751" w:hanging="360"/>
      </w:pPr>
      <w:rPr>
        <w:rFonts w:ascii="Symbol" w:hAnsi="Symbol" w:hint="default"/>
      </w:rPr>
    </w:lvl>
    <w:lvl w:ilvl="4" w:tplc="08090003" w:tentative="1">
      <w:start w:val="1"/>
      <w:numFmt w:val="bullet"/>
      <w:lvlText w:val="o"/>
      <w:lvlJc w:val="left"/>
      <w:pPr>
        <w:ind w:left="6471" w:hanging="360"/>
      </w:pPr>
      <w:rPr>
        <w:rFonts w:ascii="Courier New" w:hAnsi="Courier New" w:cs="Courier New" w:hint="default"/>
      </w:rPr>
    </w:lvl>
    <w:lvl w:ilvl="5" w:tplc="08090005" w:tentative="1">
      <w:start w:val="1"/>
      <w:numFmt w:val="bullet"/>
      <w:lvlText w:val=""/>
      <w:lvlJc w:val="left"/>
      <w:pPr>
        <w:ind w:left="7191" w:hanging="360"/>
      </w:pPr>
      <w:rPr>
        <w:rFonts w:ascii="Wingdings" w:hAnsi="Wingdings" w:hint="default"/>
      </w:rPr>
    </w:lvl>
    <w:lvl w:ilvl="6" w:tplc="08090001" w:tentative="1">
      <w:start w:val="1"/>
      <w:numFmt w:val="bullet"/>
      <w:lvlText w:val=""/>
      <w:lvlJc w:val="left"/>
      <w:pPr>
        <w:ind w:left="7911" w:hanging="360"/>
      </w:pPr>
      <w:rPr>
        <w:rFonts w:ascii="Symbol" w:hAnsi="Symbol" w:hint="default"/>
      </w:rPr>
    </w:lvl>
    <w:lvl w:ilvl="7" w:tplc="08090003" w:tentative="1">
      <w:start w:val="1"/>
      <w:numFmt w:val="bullet"/>
      <w:lvlText w:val="o"/>
      <w:lvlJc w:val="left"/>
      <w:pPr>
        <w:ind w:left="8631" w:hanging="360"/>
      </w:pPr>
      <w:rPr>
        <w:rFonts w:ascii="Courier New" w:hAnsi="Courier New" w:cs="Courier New" w:hint="default"/>
      </w:rPr>
    </w:lvl>
    <w:lvl w:ilvl="8" w:tplc="08090005" w:tentative="1">
      <w:start w:val="1"/>
      <w:numFmt w:val="bullet"/>
      <w:lvlText w:val=""/>
      <w:lvlJc w:val="left"/>
      <w:pPr>
        <w:ind w:left="9351" w:hanging="360"/>
      </w:pPr>
      <w:rPr>
        <w:rFonts w:ascii="Wingdings" w:hAnsi="Wingdings" w:hint="default"/>
      </w:rPr>
    </w:lvl>
  </w:abstractNum>
  <w:abstractNum w:abstractNumId="2" w15:restartNumberingAfterBreak="0">
    <w:nsid w:val="18C50404"/>
    <w:multiLevelType w:val="hybridMultilevel"/>
    <w:tmpl w:val="7982F47A"/>
    <w:lvl w:ilvl="0" w:tplc="AE22C38C">
      <w:start w:val="3"/>
      <w:numFmt w:val="bullet"/>
      <w:lvlText w:val="-"/>
      <w:lvlJc w:val="left"/>
      <w:pPr>
        <w:ind w:left="3591" w:hanging="360"/>
      </w:pPr>
      <w:rPr>
        <w:rFonts w:ascii="Calibri" w:eastAsiaTheme="minorHAnsi" w:hAnsi="Calibri" w:cs="Times New Roman" w:hint="default"/>
      </w:rPr>
    </w:lvl>
    <w:lvl w:ilvl="1" w:tplc="08090003" w:tentative="1">
      <w:start w:val="1"/>
      <w:numFmt w:val="bullet"/>
      <w:lvlText w:val="o"/>
      <w:lvlJc w:val="left"/>
      <w:pPr>
        <w:ind w:left="4311" w:hanging="360"/>
      </w:pPr>
      <w:rPr>
        <w:rFonts w:ascii="Courier New" w:hAnsi="Courier New" w:cs="Courier New" w:hint="default"/>
      </w:rPr>
    </w:lvl>
    <w:lvl w:ilvl="2" w:tplc="08090005" w:tentative="1">
      <w:start w:val="1"/>
      <w:numFmt w:val="bullet"/>
      <w:lvlText w:val=""/>
      <w:lvlJc w:val="left"/>
      <w:pPr>
        <w:ind w:left="5031" w:hanging="360"/>
      </w:pPr>
      <w:rPr>
        <w:rFonts w:ascii="Wingdings" w:hAnsi="Wingdings" w:hint="default"/>
      </w:rPr>
    </w:lvl>
    <w:lvl w:ilvl="3" w:tplc="08090001" w:tentative="1">
      <w:start w:val="1"/>
      <w:numFmt w:val="bullet"/>
      <w:lvlText w:val=""/>
      <w:lvlJc w:val="left"/>
      <w:pPr>
        <w:ind w:left="5751" w:hanging="360"/>
      </w:pPr>
      <w:rPr>
        <w:rFonts w:ascii="Symbol" w:hAnsi="Symbol" w:hint="default"/>
      </w:rPr>
    </w:lvl>
    <w:lvl w:ilvl="4" w:tplc="08090003" w:tentative="1">
      <w:start w:val="1"/>
      <w:numFmt w:val="bullet"/>
      <w:lvlText w:val="o"/>
      <w:lvlJc w:val="left"/>
      <w:pPr>
        <w:ind w:left="6471" w:hanging="360"/>
      </w:pPr>
      <w:rPr>
        <w:rFonts w:ascii="Courier New" w:hAnsi="Courier New" w:cs="Courier New" w:hint="default"/>
      </w:rPr>
    </w:lvl>
    <w:lvl w:ilvl="5" w:tplc="08090005" w:tentative="1">
      <w:start w:val="1"/>
      <w:numFmt w:val="bullet"/>
      <w:lvlText w:val=""/>
      <w:lvlJc w:val="left"/>
      <w:pPr>
        <w:ind w:left="7191" w:hanging="360"/>
      </w:pPr>
      <w:rPr>
        <w:rFonts w:ascii="Wingdings" w:hAnsi="Wingdings" w:hint="default"/>
      </w:rPr>
    </w:lvl>
    <w:lvl w:ilvl="6" w:tplc="08090001" w:tentative="1">
      <w:start w:val="1"/>
      <w:numFmt w:val="bullet"/>
      <w:lvlText w:val=""/>
      <w:lvlJc w:val="left"/>
      <w:pPr>
        <w:ind w:left="7911" w:hanging="360"/>
      </w:pPr>
      <w:rPr>
        <w:rFonts w:ascii="Symbol" w:hAnsi="Symbol" w:hint="default"/>
      </w:rPr>
    </w:lvl>
    <w:lvl w:ilvl="7" w:tplc="08090003" w:tentative="1">
      <w:start w:val="1"/>
      <w:numFmt w:val="bullet"/>
      <w:lvlText w:val="o"/>
      <w:lvlJc w:val="left"/>
      <w:pPr>
        <w:ind w:left="8631" w:hanging="360"/>
      </w:pPr>
      <w:rPr>
        <w:rFonts w:ascii="Courier New" w:hAnsi="Courier New" w:cs="Courier New" w:hint="default"/>
      </w:rPr>
    </w:lvl>
    <w:lvl w:ilvl="8" w:tplc="08090005" w:tentative="1">
      <w:start w:val="1"/>
      <w:numFmt w:val="bullet"/>
      <w:lvlText w:val=""/>
      <w:lvlJc w:val="left"/>
      <w:pPr>
        <w:ind w:left="9351" w:hanging="360"/>
      </w:pPr>
      <w:rPr>
        <w:rFonts w:ascii="Wingdings" w:hAnsi="Wingdings" w:hint="default"/>
      </w:rPr>
    </w:lvl>
  </w:abstractNum>
  <w:abstractNum w:abstractNumId="3" w15:restartNumberingAfterBreak="0">
    <w:nsid w:val="24C56067"/>
    <w:multiLevelType w:val="hybridMultilevel"/>
    <w:tmpl w:val="C270CB08"/>
    <w:lvl w:ilvl="0" w:tplc="E8A0F752">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5630A"/>
    <w:multiLevelType w:val="hybridMultilevel"/>
    <w:tmpl w:val="874E2A9C"/>
    <w:lvl w:ilvl="0" w:tplc="AE22C38C">
      <w:start w:val="3"/>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553072"/>
    <w:multiLevelType w:val="hybridMultilevel"/>
    <w:tmpl w:val="C0504BE0"/>
    <w:lvl w:ilvl="0" w:tplc="5E345CCE">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4361B"/>
    <w:multiLevelType w:val="hybridMultilevel"/>
    <w:tmpl w:val="B4A25D42"/>
    <w:lvl w:ilvl="0" w:tplc="D97AC920">
      <w:start w:val="1"/>
      <w:numFmt w:val="bullet"/>
      <w:lvlText w:val=""/>
      <w:lvlJc w:val="left"/>
      <w:pPr>
        <w:ind w:left="359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B26B3"/>
    <w:multiLevelType w:val="hybridMultilevel"/>
    <w:tmpl w:val="042C8E18"/>
    <w:lvl w:ilvl="0" w:tplc="866674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FC1A69"/>
    <w:multiLevelType w:val="hybridMultilevel"/>
    <w:tmpl w:val="BA886C48"/>
    <w:lvl w:ilvl="0" w:tplc="993C075E">
      <w:start w:val="1"/>
      <w:numFmt w:val="decimal"/>
      <w:lvlText w:val="%1"/>
      <w:lvlJc w:val="left"/>
      <w:pPr>
        <w:ind w:left="1080" w:hanging="72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EB5644"/>
    <w:multiLevelType w:val="hybridMultilevel"/>
    <w:tmpl w:val="042C8E18"/>
    <w:lvl w:ilvl="0" w:tplc="866674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C398D"/>
    <w:multiLevelType w:val="hybridMultilevel"/>
    <w:tmpl w:val="49222BA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1" w15:restartNumberingAfterBreak="0">
    <w:nsid w:val="50687CA8"/>
    <w:multiLevelType w:val="hybridMultilevel"/>
    <w:tmpl w:val="444A3A30"/>
    <w:lvl w:ilvl="0" w:tplc="F2D68030">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96402E"/>
    <w:multiLevelType w:val="hybridMultilevel"/>
    <w:tmpl w:val="042C8E18"/>
    <w:lvl w:ilvl="0" w:tplc="866674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271EB3"/>
    <w:multiLevelType w:val="hybridMultilevel"/>
    <w:tmpl w:val="C5C0D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616FF8"/>
    <w:multiLevelType w:val="hybridMultilevel"/>
    <w:tmpl w:val="56BE0FD6"/>
    <w:lvl w:ilvl="0" w:tplc="AE22C38C">
      <w:start w:val="3"/>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C5D71"/>
    <w:multiLevelType w:val="hybridMultilevel"/>
    <w:tmpl w:val="0630BE42"/>
    <w:lvl w:ilvl="0" w:tplc="AE22C38C">
      <w:start w:val="3"/>
      <w:numFmt w:val="bullet"/>
      <w:lvlText w:val="-"/>
      <w:lvlJc w:val="left"/>
      <w:pPr>
        <w:ind w:left="3591" w:hanging="360"/>
      </w:pPr>
      <w:rPr>
        <w:rFonts w:ascii="Calibri" w:eastAsiaTheme="minorHAnsi" w:hAnsi="Calibri" w:cs="Times New Roman" w:hint="default"/>
      </w:rPr>
    </w:lvl>
    <w:lvl w:ilvl="1" w:tplc="08090003" w:tentative="1">
      <w:start w:val="1"/>
      <w:numFmt w:val="bullet"/>
      <w:lvlText w:val="o"/>
      <w:lvlJc w:val="left"/>
      <w:pPr>
        <w:ind w:left="4311" w:hanging="360"/>
      </w:pPr>
      <w:rPr>
        <w:rFonts w:ascii="Courier New" w:hAnsi="Courier New" w:cs="Courier New" w:hint="default"/>
      </w:rPr>
    </w:lvl>
    <w:lvl w:ilvl="2" w:tplc="08090005" w:tentative="1">
      <w:start w:val="1"/>
      <w:numFmt w:val="bullet"/>
      <w:lvlText w:val=""/>
      <w:lvlJc w:val="left"/>
      <w:pPr>
        <w:ind w:left="5031" w:hanging="360"/>
      </w:pPr>
      <w:rPr>
        <w:rFonts w:ascii="Wingdings" w:hAnsi="Wingdings" w:hint="default"/>
      </w:rPr>
    </w:lvl>
    <w:lvl w:ilvl="3" w:tplc="08090001" w:tentative="1">
      <w:start w:val="1"/>
      <w:numFmt w:val="bullet"/>
      <w:lvlText w:val=""/>
      <w:lvlJc w:val="left"/>
      <w:pPr>
        <w:ind w:left="5751" w:hanging="360"/>
      </w:pPr>
      <w:rPr>
        <w:rFonts w:ascii="Symbol" w:hAnsi="Symbol" w:hint="default"/>
      </w:rPr>
    </w:lvl>
    <w:lvl w:ilvl="4" w:tplc="08090003" w:tentative="1">
      <w:start w:val="1"/>
      <w:numFmt w:val="bullet"/>
      <w:lvlText w:val="o"/>
      <w:lvlJc w:val="left"/>
      <w:pPr>
        <w:ind w:left="6471" w:hanging="360"/>
      </w:pPr>
      <w:rPr>
        <w:rFonts w:ascii="Courier New" w:hAnsi="Courier New" w:cs="Courier New" w:hint="default"/>
      </w:rPr>
    </w:lvl>
    <w:lvl w:ilvl="5" w:tplc="08090005" w:tentative="1">
      <w:start w:val="1"/>
      <w:numFmt w:val="bullet"/>
      <w:lvlText w:val=""/>
      <w:lvlJc w:val="left"/>
      <w:pPr>
        <w:ind w:left="7191" w:hanging="360"/>
      </w:pPr>
      <w:rPr>
        <w:rFonts w:ascii="Wingdings" w:hAnsi="Wingdings" w:hint="default"/>
      </w:rPr>
    </w:lvl>
    <w:lvl w:ilvl="6" w:tplc="08090001" w:tentative="1">
      <w:start w:val="1"/>
      <w:numFmt w:val="bullet"/>
      <w:lvlText w:val=""/>
      <w:lvlJc w:val="left"/>
      <w:pPr>
        <w:ind w:left="7911" w:hanging="360"/>
      </w:pPr>
      <w:rPr>
        <w:rFonts w:ascii="Symbol" w:hAnsi="Symbol" w:hint="default"/>
      </w:rPr>
    </w:lvl>
    <w:lvl w:ilvl="7" w:tplc="08090003" w:tentative="1">
      <w:start w:val="1"/>
      <w:numFmt w:val="bullet"/>
      <w:lvlText w:val="o"/>
      <w:lvlJc w:val="left"/>
      <w:pPr>
        <w:ind w:left="8631" w:hanging="360"/>
      </w:pPr>
      <w:rPr>
        <w:rFonts w:ascii="Courier New" w:hAnsi="Courier New" w:cs="Courier New" w:hint="default"/>
      </w:rPr>
    </w:lvl>
    <w:lvl w:ilvl="8" w:tplc="08090005" w:tentative="1">
      <w:start w:val="1"/>
      <w:numFmt w:val="bullet"/>
      <w:lvlText w:val=""/>
      <w:lvlJc w:val="left"/>
      <w:pPr>
        <w:ind w:left="9351" w:hanging="360"/>
      </w:pPr>
      <w:rPr>
        <w:rFonts w:ascii="Wingdings" w:hAnsi="Wingdings" w:hint="default"/>
      </w:rPr>
    </w:lvl>
  </w:abstractNum>
  <w:num w:numId="1">
    <w:abstractNumId w:val="1"/>
  </w:num>
  <w:num w:numId="2">
    <w:abstractNumId w:val="0"/>
  </w:num>
  <w:num w:numId="3">
    <w:abstractNumId w:val="6"/>
  </w:num>
  <w:num w:numId="4">
    <w:abstractNumId w:val="14"/>
  </w:num>
  <w:num w:numId="5">
    <w:abstractNumId w:val="2"/>
  </w:num>
  <w:num w:numId="6">
    <w:abstractNumId w:val="15"/>
  </w:num>
  <w:num w:numId="7">
    <w:abstractNumId w:val="4"/>
  </w:num>
  <w:num w:numId="8">
    <w:abstractNumId w:val="13"/>
  </w:num>
  <w:num w:numId="9">
    <w:abstractNumId w:val="10"/>
  </w:num>
  <w:num w:numId="10">
    <w:abstractNumId w:val="8"/>
  </w:num>
  <w:num w:numId="11">
    <w:abstractNumId w:val="5"/>
  </w:num>
  <w:num w:numId="12">
    <w:abstractNumId w:val="11"/>
  </w:num>
  <w:num w:numId="13">
    <w:abstractNumId w:val="3"/>
  </w:num>
  <w:num w:numId="14">
    <w:abstractNumId w:val="12"/>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84"/>
    <w:rsid w:val="000117B2"/>
    <w:rsid w:val="00012BBD"/>
    <w:rsid w:val="00016540"/>
    <w:rsid w:val="00025D9C"/>
    <w:rsid w:val="00053372"/>
    <w:rsid w:val="000579A2"/>
    <w:rsid w:val="00064CB4"/>
    <w:rsid w:val="0007146A"/>
    <w:rsid w:val="00074AB2"/>
    <w:rsid w:val="000907DB"/>
    <w:rsid w:val="000949EE"/>
    <w:rsid w:val="000A16CF"/>
    <w:rsid w:val="000D2D7C"/>
    <w:rsid w:val="000D3160"/>
    <w:rsid w:val="000D7D56"/>
    <w:rsid w:val="000E4BB8"/>
    <w:rsid w:val="000F70C4"/>
    <w:rsid w:val="00103E19"/>
    <w:rsid w:val="00117DDC"/>
    <w:rsid w:val="00131517"/>
    <w:rsid w:val="00131813"/>
    <w:rsid w:val="00132F39"/>
    <w:rsid w:val="001336FF"/>
    <w:rsid w:val="00134175"/>
    <w:rsid w:val="0014109A"/>
    <w:rsid w:val="00145F4A"/>
    <w:rsid w:val="001503A2"/>
    <w:rsid w:val="00163880"/>
    <w:rsid w:val="00165CE7"/>
    <w:rsid w:val="001720AC"/>
    <w:rsid w:val="00180001"/>
    <w:rsid w:val="001862A7"/>
    <w:rsid w:val="001921F3"/>
    <w:rsid w:val="00194DE8"/>
    <w:rsid w:val="001A4998"/>
    <w:rsid w:val="001A69AC"/>
    <w:rsid w:val="001C3EF6"/>
    <w:rsid w:val="001C56FB"/>
    <w:rsid w:val="001D261B"/>
    <w:rsid w:val="001D3582"/>
    <w:rsid w:val="001F4EF9"/>
    <w:rsid w:val="001F762C"/>
    <w:rsid w:val="002021DD"/>
    <w:rsid w:val="00211BC1"/>
    <w:rsid w:val="002156CC"/>
    <w:rsid w:val="00217843"/>
    <w:rsid w:val="00232A6A"/>
    <w:rsid w:val="0024363B"/>
    <w:rsid w:val="002502D5"/>
    <w:rsid w:val="00250DB6"/>
    <w:rsid w:val="00263EBB"/>
    <w:rsid w:val="00270E88"/>
    <w:rsid w:val="002809A9"/>
    <w:rsid w:val="00284D59"/>
    <w:rsid w:val="002A6121"/>
    <w:rsid w:val="002B33FE"/>
    <w:rsid w:val="002B6596"/>
    <w:rsid w:val="002D3821"/>
    <w:rsid w:val="002D5BAA"/>
    <w:rsid w:val="002E48C2"/>
    <w:rsid w:val="002E4FDE"/>
    <w:rsid w:val="002E5AA6"/>
    <w:rsid w:val="0030018A"/>
    <w:rsid w:val="0030507D"/>
    <w:rsid w:val="00312368"/>
    <w:rsid w:val="00321646"/>
    <w:rsid w:val="0035223E"/>
    <w:rsid w:val="00360041"/>
    <w:rsid w:val="0036020E"/>
    <w:rsid w:val="00364775"/>
    <w:rsid w:val="00364D15"/>
    <w:rsid w:val="00372059"/>
    <w:rsid w:val="00390BA4"/>
    <w:rsid w:val="003933A7"/>
    <w:rsid w:val="003D5BE9"/>
    <w:rsid w:val="003D64F1"/>
    <w:rsid w:val="003F70AB"/>
    <w:rsid w:val="004022A9"/>
    <w:rsid w:val="0040738F"/>
    <w:rsid w:val="00420803"/>
    <w:rsid w:val="004232E9"/>
    <w:rsid w:val="004373F7"/>
    <w:rsid w:val="00466B3B"/>
    <w:rsid w:val="00483B7F"/>
    <w:rsid w:val="004901A3"/>
    <w:rsid w:val="00495EFF"/>
    <w:rsid w:val="004A1F7C"/>
    <w:rsid w:val="004B21B4"/>
    <w:rsid w:val="004B35CA"/>
    <w:rsid w:val="004C5645"/>
    <w:rsid w:val="004D4093"/>
    <w:rsid w:val="004F34E0"/>
    <w:rsid w:val="004F35ED"/>
    <w:rsid w:val="005130E8"/>
    <w:rsid w:val="00532514"/>
    <w:rsid w:val="005516FB"/>
    <w:rsid w:val="005552A2"/>
    <w:rsid w:val="00560B21"/>
    <w:rsid w:val="00564ADC"/>
    <w:rsid w:val="00571113"/>
    <w:rsid w:val="005744BA"/>
    <w:rsid w:val="00576215"/>
    <w:rsid w:val="005962C1"/>
    <w:rsid w:val="005A5B6D"/>
    <w:rsid w:val="005A5FA8"/>
    <w:rsid w:val="005D044B"/>
    <w:rsid w:val="005F2B93"/>
    <w:rsid w:val="006011CA"/>
    <w:rsid w:val="00632C84"/>
    <w:rsid w:val="00637194"/>
    <w:rsid w:val="006412FB"/>
    <w:rsid w:val="00650C0B"/>
    <w:rsid w:val="00666C1C"/>
    <w:rsid w:val="0067463C"/>
    <w:rsid w:val="00682D81"/>
    <w:rsid w:val="00683BD9"/>
    <w:rsid w:val="006937BD"/>
    <w:rsid w:val="0069400D"/>
    <w:rsid w:val="00697D4E"/>
    <w:rsid w:val="006A3A3A"/>
    <w:rsid w:val="006B3FFC"/>
    <w:rsid w:val="006C08BB"/>
    <w:rsid w:val="006C0E27"/>
    <w:rsid w:val="006D2DD5"/>
    <w:rsid w:val="006E2919"/>
    <w:rsid w:val="006F606E"/>
    <w:rsid w:val="0070397A"/>
    <w:rsid w:val="00713B2F"/>
    <w:rsid w:val="007356FC"/>
    <w:rsid w:val="0075461B"/>
    <w:rsid w:val="00763400"/>
    <w:rsid w:val="00772415"/>
    <w:rsid w:val="007826AB"/>
    <w:rsid w:val="00794797"/>
    <w:rsid w:val="00796EBE"/>
    <w:rsid w:val="007C78B4"/>
    <w:rsid w:val="007D1E19"/>
    <w:rsid w:val="007D41E6"/>
    <w:rsid w:val="007E0B4E"/>
    <w:rsid w:val="007E71E5"/>
    <w:rsid w:val="007F02C0"/>
    <w:rsid w:val="00805447"/>
    <w:rsid w:val="00807454"/>
    <w:rsid w:val="008115B5"/>
    <w:rsid w:val="00817801"/>
    <w:rsid w:val="00825004"/>
    <w:rsid w:val="008322DB"/>
    <w:rsid w:val="00835B62"/>
    <w:rsid w:val="00835F62"/>
    <w:rsid w:val="0086064B"/>
    <w:rsid w:val="00866188"/>
    <w:rsid w:val="0088797E"/>
    <w:rsid w:val="00891EE9"/>
    <w:rsid w:val="00897055"/>
    <w:rsid w:val="008A0081"/>
    <w:rsid w:val="008A152A"/>
    <w:rsid w:val="008A1580"/>
    <w:rsid w:val="008C304C"/>
    <w:rsid w:val="008C32E6"/>
    <w:rsid w:val="008E5C9D"/>
    <w:rsid w:val="008F3345"/>
    <w:rsid w:val="009026CE"/>
    <w:rsid w:val="009052DA"/>
    <w:rsid w:val="00911C6B"/>
    <w:rsid w:val="0091493D"/>
    <w:rsid w:val="009171BA"/>
    <w:rsid w:val="00917C38"/>
    <w:rsid w:val="00927145"/>
    <w:rsid w:val="00927594"/>
    <w:rsid w:val="00955C4A"/>
    <w:rsid w:val="00981D16"/>
    <w:rsid w:val="00993AE5"/>
    <w:rsid w:val="009A2CC3"/>
    <w:rsid w:val="009B5691"/>
    <w:rsid w:val="009D2F62"/>
    <w:rsid w:val="009E2001"/>
    <w:rsid w:val="009E3636"/>
    <w:rsid w:val="009F08C0"/>
    <w:rsid w:val="009F2DBA"/>
    <w:rsid w:val="00A145A9"/>
    <w:rsid w:val="00A20765"/>
    <w:rsid w:val="00A23694"/>
    <w:rsid w:val="00A32AE9"/>
    <w:rsid w:val="00A33C95"/>
    <w:rsid w:val="00A37238"/>
    <w:rsid w:val="00A4248E"/>
    <w:rsid w:val="00A55D47"/>
    <w:rsid w:val="00A73469"/>
    <w:rsid w:val="00A75F2D"/>
    <w:rsid w:val="00A83149"/>
    <w:rsid w:val="00AA7660"/>
    <w:rsid w:val="00AB2048"/>
    <w:rsid w:val="00AB3B1A"/>
    <w:rsid w:val="00AB3CF1"/>
    <w:rsid w:val="00AE6AF4"/>
    <w:rsid w:val="00AF113D"/>
    <w:rsid w:val="00AF24C4"/>
    <w:rsid w:val="00AF7F23"/>
    <w:rsid w:val="00B03BEB"/>
    <w:rsid w:val="00B0508C"/>
    <w:rsid w:val="00B1017D"/>
    <w:rsid w:val="00B111AF"/>
    <w:rsid w:val="00B17498"/>
    <w:rsid w:val="00B22B3C"/>
    <w:rsid w:val="00B30000"/>
    <w:rsid w:val="00B34DC0"/>
    <w:rsid w:val="00B4082E"/>
    <w:rsid w:val="00B42109"/>
    <w:rsid w:val="00B43F94"/>
    <w:rsid w:val="00B51CD5"/>
    <w:rsid w:val="00B65FDE"/>
    <w:rsid w:val="00B66F4A"/>
    <w:rsid w:val="00B671CE"/>
    <w:rsid w:val="00B955A1"/>
    <w:rsid w:val="00B955D5"/>
    <w:rsid w:val="00BA5EC0"/>
    <w:rsid w:val="00BB65F9"/>
    <w:rsid w:val="00BC3676"/>
    <w:rsid w:val="00BC4765"/>
    <w:rsid w:val="00BC79A1"/>
    <w:rsid w:val="00BD14C3"/>
    <w:rsid w:val="00BD4A60"/>
    <w:rsid w:val="00BD53F2"/>
    <w:rsid w:val="00BE3091"/>
    <w:rsid w:val="00BE5333"/>
    <w:rsid w:val="00C04054"/>
    <w:rsid w:val="00C20AAB"/>
    <w:rsid w:val="00C35597"/>
    <w:rsid w:val="00C361F8"/>
    <w:rsid w:val="00C3624E"/>
    <w:rsid w:val="00C42CE4"/>
    <w:rsid w:val="00C45C24"/>
    <w:rsid w:val="00C61AAD"/>
    <w:rsid w:val="00C6304A"/>
    <w:rsid w:val="00C64ED4"/>
    <w:rsid w:val="00C75778"/>
    <w:rsid w:val="00C76CEB"/>
    <w:rsid w:val="00C84508"/>
    <w:rsid w:val="00C9114F"/>
    <w:rsid w:val="00C93F12"/>
    <w:rsid w:val="00C96101"/>
    <w:rsid w:val="00C96B65"/>
    <w:rsid w:val="00CA297D"/>
    <w:rsid w:val="00CA56B9"/>
    <w:rsid w:val="00CB02D1"/>
    <w:rsid w:val="00CD0B6F"/>
    <w:rsid w:val="00CD3A41"/>
    <w:rsid w:val="00CF23DE"/>
    <w:rsid w:val="00D0141B"/>
    <w:rsid w:val="00D05D9E"/>
    <w:rsid w:val="00D114DC"/>
    <w:rsid w:val="00D14229"/>
    <w:rsid w:val="00D344CE"/>
    <w:rsid w:val="00D34C08"/>
    <w:rsid w:val="00D450A5"/>
    <w:rsid w:val="00D4780A"/>
    <w:rsid w:val="00D51D57"/>
    <w:rsid w:val="00D63A64"/>
    <w:rsid w:val="00D75044"/>
    <w:rsid w:val="00D85094"/>
    <w:rsid w:val="00D866D5"/>
    <w:rsid w:val="00DA01EE"/>
    <w:rsid w:val="00DB1F0A"/>
    <w:rsid w:val="00DB52F4"/>
    <w:rsid w:val="00DC31F3"/>
    <w:rsid w:val="00DC3811"/>
    <w:rsid w:val="00DC66B9"/>
    <w:rsid w:val="00DC78E5"/>
    <w:rsid w:val="00DD1B0F"/>
    <w:rsid w:val="00DD4349"/>
    <w:rsid w:val="00DD7F05"/>
    <w:rsid w:val="00E14282"/>
    <w:rsid w:val="00E14AAB"/>
    <w:rsid w:val="00E245D3"/>
    <w:rsid w:val="00E264B7"/>
    <w:rsid w:val="00E45C7C"/>
    <w:rsid w:val="00E608EB"/>
    <w:rsid w:val="00E66D83"/>
    <w:rsid w:val="00E71DCF"/>
    <w:rsid w:val="00E8027A"/>
    <w:rsid w:val="00E80D4E"/>
    <w:rsid w:val="00E83A02"/>
    <w:rsid w:val="00E914AD"/>
    <w:rsid w:val="00EA29B8"/>
    <w:rsid w:val="00EA6226"/>
    <w:rsid w:val="00EC038C"/>
    <w:rsid w:val="00EC1A30"/>
    <w:rsid w:val="00EC621C"/>
    <w:rsid w:val="00EE451C"/>
    <w:rsid w:val="00EE6402"/>
    <w:rsid w:val="00F00B4A"/>
    <w:rsid w:val="00F11999"/>
    <w:rsid w:val="00F1333C"/>
    <w:rsid w:val="00F16791"/>
    <w:rsid w:val="00F252E9"/>
    <w:rsid w:val="00F33C98"/>
    <w:rsid w:val="00F36C1A"/>
    <w:rsid w:val="00F417E1"/>
    <w:rsid w:val="00F426CB"/>
    <w:rsid w:val="00F43073"/>
    <w:rsid w:val="00F53125"/>
    <w:rsid w:val="00F5321E"/>
    <w:rsid w:val="00F569DA"/>
    <w:rsid w:val="00F70B12"/>
    <w:rsid w:val="00F801AC"/>
    <w:rsid w:val="00F81C6A"/>
    <w:rsid w:val="00F84C55"/>
    <w:rsid w:val="00F916AB"/>
    <w:rsid w:val="00F94233"/>
    <w:rsid w:val="00F97271"/>
    <w:rsid w:val="00FA678D"/>
    <w:rsid w:val="00FC6D07"/>
    <w:rsid w:val="00FC7CA2"/>
    <w:rsid w:val="00FD4129"/>
    <w:rsid w:val="00FE35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1EEC9"/>
  <w15:docId w15:val="{84127710-98F3-4E45-A056-1381EA95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A41"/>
    <w:rPr>
      <w:color w:val="0000FF" w:themeColor="hyperlink"/>
      <w:u w:val="single"/>
    </w:rPr>
  </w:style>
  <w:style w:type="paragraph" w:customStyle="1" w:styleId="Default">
    <w:name w:val="Default"/>
    <w:rsid w:val="00F36C1A"/>
    <w:pPr>
      <w:suppressAutoHyphens/>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8A1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F4A"/>
    <w:pPr>
      <w:ind w:left="720"/>
      <w:contextualSpacing/>
    </w:pPr>
  </w:style>
  <w:style w:type="paragraph" w:styleId="BalloonText">
    <w:name w:val="Balloon Text"/>
    <w:basedOn w:val="Normal"/>
    <w:link w:val="BalloonTextChar"/>
    <w:uiPriority w:val="99"/>
    <w:semiHidden/>
    <w:unhideWhenUsed/>
    <w:rsid w:val="00650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C0B"/>
    <w:rPr>
      <w:rFonts w:ascii="Tahoma" w:hAnsi="Tahoma" w:cs="Tahoma"/>
      <w:sz w:val="16"/>
      <w:szCs w:val="16"/>
    </w:rPr>
  </w:style>
  <w:style w:type="character" w:customStyle="1" w:styleId="apple-converted-space">
    <w:name w:val="apple-converted-space"/>
    <w:basedOn w:val="DefaultParagraphFont"/>
    <w:rsid w:val="004B35CA"/>
  </w:style>
  <w:style w:type="character" w:customStyle="1" w:styleId="highlight">
    <w:name w:val="highlight"/>
    <w:basedOn w:val="DefaultParagraphFont"/>
    <w:rsid w:val="004B35CA"/>
  </w:style>
  <w:style w:type="paragraph" w:styleId="Header">
    <w:name w:val="header"/>
    <w:basedOn w:val="Normal"/>
    <w:link w:val="HeaderChar"/>
    <w:uiPriority w:val="99"/>
    <w:unhideWhenUsed/>
    <w:rsid w:val="00E24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5D3"/>
  </w:style>
  <w:style w:type="paragraph" w:styleId="Footer">
    <w:name w:val="footer"/>
    <w:basedOn w:val="Normal"/>
    <w:link w:val="FooterChar"/>
    <w:uiPriority w:val="99"/>
    <w:unhideWhenUsed/>
    <w:rsid w:val="00E245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5D3"/>
  </w:style>
  <w:style w:type="character" w:styleId="Emphasis">
    <w:name w:val="Emphasis"/>
    <w:basedOn w:val="DefaultParagraphFont"/>
    <w:uiPriority w:val="20"/>
    <w:qFormat/>
    <w:rsid w:val="001336FF"/>
    <w:rPr>
      <w:i/>
      <w:iCs/>
    </w:rPr>
  </w:style>
  <w:style w:type="character" w:styleId="CommentReference">
    <w:name w:val="annotation reference"/>
    <w:basedOn w:val="DefaultParagraphFont"/>
    <w:uiPriority w:val="99"/>
    <w:semiHidden/>
    <w:unhideWhenUsed/>
    <w:rsid w:val="003D64F1"/>
    <w:rPr>
      <w:sz w:val="16"/>
      <w:szCs w:val="16"/>
    </w:rPr>
  </w:style>
  <w:style w:type="paragraph" w:styleId="CommentText">
    <w:name w:val="annotation text"/>
    <w:basedOn w:val="Normal"/>
    <w:link w:val="CommentTextChar"/>
    <w:uiPriority w:val="99"/>
    <w:semiHidden/>
    <w:unhideWhenUsed/>
    <w:rsid w:val="003D64F1"/>
    <w:pPr>
      <w:spacing w:line="240" w:lineRule="auto"/>
    </w:pPr>
    <w:rPr>
      <w:sz w:val="20"/>
      <w:szCs w:val="20"/>
    </w:rPr>
  </w:style>
  <w:style w:type="character" w:customStyle="1" w:styleId="CommentTextChar">
    <w:name w:val="Comment Text Char"/>
    <w:basedOn w:val="DefaultParagraphFont"/>
    <w:link w:val="CommentText"/>
    <w:uiPriority w:val="99"/>
    <w:semiHidden/>
    <w:rsid w:val="003D64F1"/>
    <w:rPr>
      <w:sz w:val="20"/>
      <w:szCs w:val="20"/>
    </w:rPr>
  </w:style>
  <w:style w:type="paragraph" w:styleId="CommentSubject">
    <w:name w:val="annotation subject"/>
    <w:basedOn w:val="CommentText"/>
    <w:next w:val="CommentText"/>
    <w:link w:val="CommentSubjectChar"/>
    <w:uiPriority w:val="99"/>
    <w:semiHidden/>
    <w:unhideWhenUsed/>
    <w:rsid w:val="003D64F1"/>
    <w:rPr>
      <w:b/>
      <w:bCs/>
    </w:rPr>
  </w:style>
  <w:style w:type="character" w:customStyle="1" w:styleId="CommentSubjectChar">
    <w:name w:val="Comment Subject Char"/>
    <w:basedOn w:val="CommentTextChar"/>
    <w:link w:val="CommentSubject"/>
    <w:uiPriority w:val="99"/>
    <w:semiHidden/>
    <w:rsid w:val="003D64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399587">
      <w:bodyDiv w:val="1"/>
      <w:marLeft w:val="0"/>
      <w:marRight w:val="0"/>
      <w:marTop w:val="0"/>
      <w:marBottom w:val="0"/>
      <w:divBdr>
        <w:top w:val="none" w:sz="0" w:space="0" w:color="auto"/>
        <w:left w:val="none" w:sz="0" w:space="0" w:color="auto"/>
        <w:bottom w:val="none" w:sz="0" w:space="0" w:color="auto"/>
        <w:right w:val="none" w:sz="0" w:space="0" w:color="auto"/>
      </w:divBdr>
      <w:divsChild>
        <w:div w:id="519128610">
          <w:marLeft w:val="0"/>
          <w:marRight w:val="0"/>
          <w:marTop w:val="0"/>
          <w:marBottom w:val="0"/>
          <w:divBdr>
            <w:top w:val="none" w:sz="0" w:space="0" w:color="auto"/>
            <w:left w:val="none" w:sz="0" w:space="0" w:color="auto"/>
            <w:bottom w:val="none" w:sz="0" w:space="0" w:color="auto"/>
            <w:right w:val="none" w:sz="0" w:space="0" w:color="auto"/>
          </w:divBdr>
          <w:divsChild>
            <w:div w:id="2144761408">
              <w:marLeft w:val="0"/>
              <w:marRight w:val="0"/>
              <w:marTop w:val="0"/>
              <w:marBottom w:val="0"/>
              <w:divBdr>
                <w:top w:val="none" w:sz="0" w:space="0" w:color="auto"/>
                <w:left w:val="none" w:sz="0" w:space="0" w:color="auto"/>
                <w:bottom w:val="none" w:sz="0" w:space="0" w:color="auto"/>
                <w:right w:val="none" w:sz="0" w:space="0" w:color="auto"/>
              </w:divBdr>
              <w:divsChild>
                <w:div w:id="184709702">
                  <w:marLeft w:val="0"/>
                  <w:marRight w:val="0"/>
                  <w:marTop w:val="0"/>
                  <w:marBottom w:val="0"/>
                  <w:divBdr>
                    <w:top w:val="none" w:sz="0" w:space="0" w:color="auto"/>
                    <w:left w:val="none" w:sz="0" w:space="0" w:color="auto"/>
                    <w:bottom w:val="none" w:sz="0" w:space="0" w:color="auto"/>
                    <w:right w:val="none" w:sz="0" w:space="0" w:color="auto"/>
                  </w:divBdr>
                  <w:divsChild>
                    <w:div w:id="120731438">
                      <w:marLeft w:val="0"/>
                      <w:marRight w:val="0"/>
                      <w:marTop w:val="0"/>
                      <w:marBottom w:val="0"/>
                      <w:divBdr>
                        <w:top w:val="none" w:sz="0" w:space="0" w:color="auto"/>
                        <w:left w:val="none" w:sz="0" w:space="0" w:color="auto"/>
                        <w:bottom w:val="none" w:sz="0" w:space="0" w:color="auto"/>
                        <w:right w:val="none" w:sz="0" w:space="0" w:color="auto"/>
                      </w:divBdr>
                      <w:divsChild>
                        <w:div w:id="476537272">
                          <w:marLeft w:val="0"/>
                          <w:marRight w:val="0"/>
                          <w:marTop w:val="0"/>
                          <w:marBottom w:val="0"/>
                          <w:divBdr>
                            <w:top w:val="none" w:sz="0" w:space="0" w:color="auto"/>
                            <w:left w:val="none" w:sz="0" w:space="0" w:color="auto"/>
                            <w:bottom w:val="none" w:sz="0" w:space="0" w:color="auto"/>
                            <w:right w:val="none" w:sz="0" w:space="0" w:color="auto"/>
                          </w:divBdr>
                          <w:divsChild>
                            <w:div w:id="107335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470182">
      <w:bodyDiv w:val="1"/>
      <w:marLeft w:val="0"/>
      <w:marRight w:val="0"/>
      <w:marTop w:val="0"/>
      <w:marBottom w:val="0"/>
      <w:divBdr>
        <w:top w:val="none" w:sz="0" w:space="0" w:color="auto"/>
        <w:left w:val="none" w:sz="0" w:space="0" w:color="auto"/>
        <w:bottom w:val="none" w:sz="0" w:space="0" w:color="auto"/>
        <w:right w:val="none" w:sz="0" w:space="0" w:color="auto"/>
      </w:divBdr>
    </w:div>
    <w:div w:id="715277091">
      <w:bodyDiv w:val="1"/>
      <w:marLeft w:val="0"/>
      <w:marRight w:val="0"/>
      <w:marTop w:val="0"/>
      <w:marBottom w:val="0"/>
      <w:divBdr>
        <w:top w:val="none" w:sz="0" w:space="0" w:color="auto"/>
        <w:left w:val="none" w:sz="0" w:space="0" w:color="auto"/>
        <w:bottom w:val="none" w:sz="0" w:space="0" w:color="auto"/>
        <w:right w:val="none" w:sz="0" w:space="0" w:color="auto"/>
      </w:divBdr>
    </w:div>
    <w:div w:id="803305062">
      <w:bodyDiv w:val="1"/>
      <w:marLeft w:val="0"/>
      <w:marRight w:val="0"/>
      <w:marTop w:val="0"/>
      <w:marBottom w:val="0"/>
      <w:divBdr>
        <w:top w:val="none" w:sz="0" w:space="0" w:color="auto"/>
        <w:left w:val="none" w:sz="0" w:space="0" w:color="auto"/>
        <w:bottom w:val="none" w:sz="0" w:space="0" w:color="auto"/>
        <w:right w:val="none" w:sz="0" w:space="0" w:color="auto"/>
      </w:divBdr>
      <w:divsChild>
        <w:div w:id="987124640">
          <w:marLeft w:val="0"/>
          <w:marRight w:val="0"/>
          <w:marTop w:val="0"/>
          <w:marBottom w:val="0"/>
          <w:divBdr>
            <w:top w:val="none" w:sz="0" w:space="0" w:color="auto"/>
            <w:left w:val="none" w:sz="0" w:space="0" w:color="auto"/>
            <w:bottom w:val="none" w:sz="0" w:space="0" w:color="auto"/>
            <w:right w:val="none" w:sz="0" w:space="0" w:color="auto"/>
          </w:divBdr>
          <w:divsChild>
            <w:div w:id="35545516">
              <w:marLeft w:val="0"/>
              <w:marRight w:val="0"/>
              <w:marTop w:val="0"/>
              <w:marBottom w:val="0"/>
              <w:divBdr>
                <w:top w:val="none" w:sz="0" w:space="0" w:color="auto"/>
                <w:left w:val="none" w:sz="0" w:space="0" w:color="auto"/>
                <w:bottom w:val="none" w:sz="0" w:space="0" w:color="auto"/>
                <w:right w:val="none" w:sz="0" w:space="0" w:color="auto"/>
              </w:divBdr>
              <w:divsChild>
                <w:div w:id="250238021">
                  <w:marLeft w:val="0"/>
                  <w:marRight w:val="0"/>
                  <w:marTop w:val="0"/>
                  <w:marBottom w:val="0"/>
                  <w:divBdr>
                    <w:top w:val="none" w:sz="0" w:space="0" w:color="auto"/>
                    <w:left w:val="none" w:sz="0" w:space="0" w:color="auto"/>
                    <w:bottom w:val="none" w:sz="0" w:space="0" w:color="auto"/>
                    <w:right w:val="none" w:sz="0" w:space="0" w:color="auto"/>
                  </w:divBdr>
                  <w:divsChild>
                    <w:div w:id="10766578">
                      <w:marLeft w:val="0"/>
                      <w:marRight w:val="0"/>
                      <w:marTop w:val="0"/>
                      <w:marBottom w:val="0"/>
                      <w:divBdr>
                        <w:top w:val="none" w:sz="0" w:space="0" w:color="auto"/>
                        <w:left w:val="none" w:sz="0" w:space="0" w:color="auto"/>
                        <w:bottom w:val="none" w:sz="0" w:space="0" w:color="auto"/>
                        <w:right w:val="none" w:sz="0" w:space="0" w:color="auto"/>
                      </w:divBdr>
                      <w:divsChild>
                        <w:div w:id="892427334">
                          <w:marLeft w:val="0"/>
                          <w:marRight w:val="0"/>
                          <w:marTop w:val="0"/>
                          <w:marBottom w:val="0"/>
                          <w:divBdr>
                            <w:top w:val="none" w:sz="0" w:space="0" w:color="auto"/>
                            <w:left w:val="none" w:sz="0" w:space="0" w:color="auto"/>
                            <w:bottom w:val="none" w:sz="0" w:space="0" w:color="auto"/>
                            <w:right w:val="none" w:sz="0" w:space="0" w:color="auto"/>
                          </w:divBdr>
                          <w:divsChild>
                            <w:div w:id="19713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371268">
      <w:bodyDiv w:val="1"/>
      <w:marLeft w:val="0"/>
      <w:marRight w:val="0"/>
      <w:marTop w:val="0"/>
      <w:marBottom w:val="0"/>
      <w:divBdr>
        <w:top w:val="none" w:sz="0" w:space="0" w:color="auto"/>
        <w:left w:val="none" w:sz="0" w:space="0" w:color="auto"/>
        <w:bottom w:val="none" w:sz="0" w:space="0" w:color="auto"/>
        <w:right w:val="none" w:sz="0" w:space="0" w:color="auto"/>
      </w:divBdr>
    </w:div>
    <w:div w:id="866601232">
      <w:bodyDiv w:val="1"/>
      <w:marLeft w:val="0"/>
      <w:marRight w:val="0"/>
      <w:marTop w:val="0"/>
      <w:marBottom w:val="0"/>
      <w:divBdr>
        <w:top w:val="none" w:sz="0" w:space="0" w:color="auto"/>
        <w:left w:val="none" w:sz="0" w:space="0" w:color="auto"/>
        <w:bottom w:val="none" w:sz="0" w:space="0" w:color="auto"/>
        <w:right w:val="none" w:sz="0" w:space="0" w:color="auto"/>
      </w:divBdr>
    </w:div>
    <w:div w:id="903680741">
      <w:bodyDiv w:val="1"/>
      <w:marLeft w:val="0"/>
      <w:marRight w:val="0"/>
      <w:marTop w:val="0"/>
      <w:marBottom w:val="0"/>
      <w:divBdr>
        <w:top w:val="none" w:sz="0" w:space="0" w:color="auto"/>
        <w:left w:val="none" w:sz="0" w:space="0" w:color="auto"/>
        <w:bottom w:val="none" w:sz="0" w:space="0" w:color="auto"/>
        <w:right w:val="none" w:sz="0" w:space="0" w:color="auto"/>
      </w:divBdr>
      <w:divsChild>
        <w:div w:id="541673622">
          <w:marLeft w:val="0"/>
          <w:marRight w:val="0"/>
          <w:marTop w:val="0"/>
          <w:marBottom w:val="0"/>
          <w:divBdr>
            <w:top w:val="none" w:sz="0" w:space="0" w:color="auto"/>
            <w:left w:val="none" w:sz="0" w:space="0" w:color="auto"/>
            <w:bottom w:val="none" w:sz="0" w:space="0" w:color="auto"/>
            <w:right w:val="none" w:sz="0" w:space="0" w:color="auto"/>
          </w:divBdr>
          <w:divsChild>
            <w:div w:id="435755718">
              <w:marLeft w:val="0"/>
              <w:marRight w:val="0"/>
              <w:marTop w:val="0"/>
              <w:marBottom w:val="0"/>
              <w:divBdr>
                <w:top w:val="none" w:sz="0" w:space="0" w:color="auto"/>
                <w:left w:val="none" w:sz="0" w:space="0" w:color="auto"/>
                <w:bottom w:val="none" w:sz="0" w:space="0" w:color="auto"/>
                <w:right w:val="none" w:sz="0" w:space="0" w:color="auto"/>
              </w:divBdr>
              <w:divsChild>
                <w:div w:id="2086486418">
                  <w:marLeft w:val="0"/>
                  <w:marRight w:val="0"/>
                  <w:marTop w:val="0"/>
                  <w:marBottom w:val="0"/>
                  <w:divBdr>
                    <w:top w:val="none" w:sz="0" w:space="0" w:color="auto"/>
                    <w:left w:val="none" w:sz="0" w:space="0" w:color="auto"/>
                    <w:bottom w:val="none" w:sz="0" w:space="0" w:color="auto"/>
                    <w:right w:val="none" w:sz="0" w:space="0" w:color="auto"/>
                  </w:divBdr>
                  <w:divsChild>
                    <w:div w:id="563565494">
                      <w:marLeft w:val="0"/>
                      <w:marRight w:val="0"/>
                      <w:marTop w:val="0"/>
                      <w:marBottom w:val="0"/>
                      <w:divBdr>
                        <w:top w:val="none" w:sz="0" w:space="0" w:color="auto"/>
                        <w:left w:val="none" w:sz="0" w:space="0" w:color="auto"/>
                        <w:bottom w:val="none" w:sz="0" w:space="0" w:color="auto"/>
                        <w:right w:val="none" w:sz="0" w:space="0" w:color="auto"/>
                      </w:divBdr>
                      <w:divsChild>
                        <w:div w:id="1070008438">
                          <w:marLeft w:val="0"/>
                          <w:marRight w:val="0"/>
                          <w:marTop w:val="0"/>
                          <w:marBottom w:val="0"/>
                          <w:divBdr>
                            <w:top w:val="none" w:sz="0" w:space="0" w:color="auto"/>
                            <w:left w:val="none" w:sz="0" w:space="0" w:color="auto"/>
                            <w:bottom w:val="none" w:sz="0" w:space="0" w:color="auto"/>
                            <w:right w:val="none" w:sz="0" w:space="0" w:color="auto"/>
                          </w:divBdr>
                          <w:divsChild>
                            <w:div w:id="5342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388986">
      <w:bodyDiv w:val="1"/>
      <w:marLeft w:val="0"/>
      <w:marRight w:val="0"/>
      <w:marTop w:val="0"/>
      <w:marBottom w:val="0"/>
      <w:divBdr>
        <w:top w:val="none" w:sz="0" w:space="0" w:color="auto"/>
        <w:left w:val="none" w:sz="0" w:space="0" w:color="auto"/>
        <w:bottom w:val="none" w:sz="0" w:space="0" w:color="auto"/>
        <w:right w:val="none" w:sz="0" w:space="0" w:color="auto"/>
      </w:divBdr>
    </w:div>
    <w:div w:id="940648051">
      <w:bodyDiv w:val="1"/>
      <w:marLeft w:val="0"/>
      <w:marRight w:val="0"/>
      <w:marTop w:val="0"/>
      <w:marBottom w:val="0"/>
      <w:divBdr>
        <w:top w:val="none" w:sz="0" w:space="0" w:color="auto"/>
        <w:left w:val="none" w:sz="0" w:space="0" w:color="auto"/>
        <w:bottom w:val="none" w:sz="0" w:space="0" w:color="auto"/>
        <w:right w:val="none" w:sz="0" w:space="0" w:color="auto"/>
      </w:divBdr>
      <w:divsChild>
        <w:div w:id="562643667">
          <w:marLeft w:val="0"/>
          <w:marRight w:val="0"/>
          <w:marTop w:val="0"/>
          <w:marBottom w:val="0"/>
          <w:divBdr>
            <w:top w:val="none" w:sz="0" w:space="0" w:color="auto"/>
            <w:left w:val="none" w:sz="0" w:space="0" w:color="auto"/>
            <w:bottom w:val="none" w:sz="0" w:space="0" w:color="auto"/>
            <w:right w:val="none" w:sz="0" w:space="0" w:color="auto"/>
          </w:divBdr>
          <w:divsChild>
            <w:div w:id="342978088">
              <w:marLeft w:val="0"/>
              <w:marRight w:val="0"/>
              <w:marTop w:val="0"/>
              <w:marBottom w:val="0"/>
              <w:divBdr>
                <w:top w:val="none" w:sz="0" w:space="0" w:color="auto"/>
                <w:left w:val="none" w:sz="0" w:space="0" w:color="auto"/>
                <w:bottom w:val="none" w:sz="0" w:space="0" w:color="auto"/>
                <w:right w:val="none" w:sz="0" w:space="0" w:color="auto"/>
              </w:divBdr>
              <w:divsChild>
                <w:div w:id="2033920764">
                  <w:marLeft w:val="0"/>
                  <w:marRight w:val="0"/>
                  <w:marTop w:val="0"/>
                  <w:marBottom w:val="0"/>
                  <w:divBdr>
                    <w:top w:val="none" w:sz="0" w:space="0" w:color="auto"/>
                    <w:left w:val="none" w:sz="0" w:space="0" w:color="auto"/>
                    <w:bottom w:val="none" w:sz="0" w:space="0" w:color="auto"/>
                    <w:right w:val="none" w:sz="0" w:space="0" w:color="auto"/>
                  </w:divBdr>
                  <w:divsChild>
                    <w:div w:id="295374155">
                      <w:marLeft w:val="0"/>
                      <w:marRight w:val="0"/>
                      <w:marTop w:val="0"/>
                      <w:marBottom w:val="0"/>
                      <w:divBdr>
                        <w:top w:val="none" w:sz="0" w:space="0" w:color="auto"/>
                        <w:left w:val="none" w:sz="0" w:space="0" w:color="auto"/>
                        <w:bottom w:val="none" w:sz="0" w:space="0" w:color="auto"/>
                        <w:right w:val="none" w:sz="0" w:space="0" w:color="auto"/>
                      </w:divBdr>
                      <w:divsChild>
                        <w:div w:id="2144037379">
                          <w:marLeft w:val="0"/>
                          <w:marRight w:val="0"/>
                          <w:marTop w:val="0"/>
                          <w:marBottom w:val="0"/>
                          <w:divBdr>
                            <w:top w:val="none" w:sz="0" w:space="0" w:color="auto"/>
                            <w:left w:val="none" w:sz="0" w:space="0" w:color="auto"/>
                            <w:bottom w:val="none" w:sz="0" w:space="0" w:color="auto"/>
                            <w:right w:val="none" w:sz="0" w:space="0" w:color="auto"/>
                          </w:divBdr>
                          <w:divsChild>
                            <w:div w:id="9003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474431">
      <w:bodyDiv w:val="1"/>
      <w:marLeft w:val="0"/>
      <w:marRight w:val="0"/>
      <w:marTop w:val="0"/>
      <w:marBottom w:val="0"/>
      <w:divBdr>
        <w:top w:val="none" w:sz="0" w:space="0" w:color="auto"/>
        <w:left w:val="none" w:sz="0" w:space="0" w:color="auto"/>
        <w:bottom w:val="none" w:sz="0" w:space="0" w:color="auto"/>
        <w:right w:val="none" w:sz="0" w:space="0" w:color="auto"/>
      </w:divBdr>
    </w:div>
    <w:div w:id="1165512931">
      <w:bodyDiv w:val="1"/>
      <w:marLeft w:val="0"/>
      <w:marRight w:val="0"/>
      <w:marTop w:val="0"/>
      <w:marBottom w:val="0"/>
      <w:divBdr>
        <w:top w:val="none" w:sz="0" w:space="0" w:color="auto"/>
        <w:left w:val="none" w:sz="0" w:space="0" w:color="auto"/>
        <w:bottom w:val="none" w:sz="0" w:space="0" w:color="auto"/>
        <w:right w:val="none" w:sz="0" w:space="0" w:color="auto"/>
      </w:divBdr>
    </w:div>
    <w:div w:id="1254584074">
      <w:bodyDiv w:val="1"/>
      <w:marLeft w:val="0"/>
      <w:marRight w:val="0"/>
      <w:marTop w:val="0"/>
      <w:marBottom w:val="0"/>
      <w:divBdr>
        <w:top w:val="none" w:sz="0" w:space="0" w:color="auto"/>
        <w:left w:val="none" w:sz="0" w:space="0" w:color="auto"/>
        <w:bottom w:val="none" w:sz="0" w:space="0" w:color="auto"/>
        <w:right w:val="none" w:sz="0" w:space="0" w:color="auto"/>
      </w:divBdr>
    </w:div>
    <w:div w:id="1255438011">
      <w:bodyDiv w:val="1"/>
      <w:marLeft w:val="0"/>
      <w:marRight w:val="0"/>
      <w:marTop w:val="0"/>
      <w:marBottom w:val="0"/>
      <w:divBdr>
        <w:top w:val="none" w:sz="0" w:space="0" w:color="auto"/>
        <w:left w:val="none" w:sz="0" w:space="0" w:color="auto"/>
        <w:bottom w:val="none" w:sz="0" w:space="0" w:color="auto"/>
        <w:right w:val="none" w:sz="0" w:space="0" w:color="auto"/>
      </w:divBdr>
    </w:div>
    <w:div w:id="1542277679">
      <w:bodyDiv w:val="1"/>
      <w:marLeft w:val="0"/>
      <w:marRight w:val="0"/>
      <w:marTop w:val="0"/>
      <w:marBottom w:val="0"/>
      <w:divBdr>
        <w:top w:val="none" w:sz="0" w:space="0" w:color="auto"/>
        <w:left w:val="none" w:sz="0" w:space="0" w:color="auto"/>
        <w:bottom w:val="none" w:sz="0" w:space="0" w:color="auto"/>
        <w:right w:val="none" w:sz="0" w:space="0" w:color="auto"/>
      </w:divBdr>
    </w:div>
    <w:div w:id="1629241130">
      <w:bodyDiv w:val="1"/>
      <w:marLeft w:val="0"/>
      <w:marRight w:val="0"/>
      <w:marTop w:val="0"/>
      <w:marBottom w:val="0"/>
      <w:divBdr>
        <w:top w:val="none" w:sz="0" w:space="0" w:color="auto"/>
        <w:left w:val="none" w:sz="0" w:space="0" w:color="auto"/>
        <w:bottom w:val="none" w:sz="0" w:space="0" w:color="auto"/>
        <w:right w:val="none" w:sz="0" w:space="0" w:color="auto"/>
      </w:divBdr>
      <w:divsChild>
        <w:div w:id="478114219">
          <w:marLeft w:val="0"/>
          <w:marRight w:val="0"/>
          <w:marTop w:val="0"/>
          <w:marBottom w:val="0"/>
          <w:divBdr>
            <w:top w:val="none" w:sz="0" w:space="0" w:color="auto"/>
            <w:left w:val="none" w:sz="0" w:space="0" w:color="auto"/>
            <w:bottom w:val="none" w:sz="0" w:space="0" w:color="auto"/>
            <w:right w:val="none" w:sz="0" w:space="0" w:color="auto"/>
          </w:divBdr>
          <w:divsChild>
            <w:div w:id="231309115">
              <w:marLeft w:val="0"/>
              <w:marRight w:val="0"/>
              <w:marTop w:val="0"/>
              <w:marBottom w:val="0"/>
              <w:divBdr>
                <w:top w:val="none" w:sz="0" w:space="0" w:color="auto"/>
                <w:left w:val="none" w:sz="0" w:space="0" w:color="auto"/>
                <w:bottom w:val="none" w:sz="0" w:space="0" w:color="auto"/>
                <w:right w:val="none" w:sz="0" w:space="0" w:color="auto"/>
              </w:divBdr>
              <w:divsChild>
                <w:div w:id="1929462555">
                  <w:marLeft w:val="0"/>
                  <w:marRight w:val="0"/>
                  <w:marTop w:val="0"/>
                  <w:marBottom w:val="0"/>
                  <w:divBdr>
                    <w:top w:val="none" w:sz="0" w:space="0" w:color="auto"/>
                    <w:left w:val="none" w:sz="0" w:space="0" w:color="auto"/>
                    <w:bottom w:val="none" w:sz="0" w:space="0" w:color="auto"/>
                    <w:right w:val="none" w:sz="0" w:space="0" w:color="auto"/>
                  </w:divBdr>
                  <w:divsChild>
                    <w:div w:id="1298291468">
                      <w:marLeft w:val="0"/>
                      <w:marRight w:val="0"/>
                      <w:marTop w:val="0"/>
                      <w:marBottom w:val="0"/>
                      <w:divBdr>
                        <w:top w:val="none" w:sz="0" w:space="0" w:color="auto"/>
                        <w:left w:val="none" w:sz="0" w:space="0" w:color="auto"/>
                        <w:bottom w:val="none" w:sz="0" w:space="0" w:color="auto"/>
                        <w:right w:val="none" w:sz="0" w:space="0" w:color="auto"/>
                      </w:divBdr>
                      <w:divsChild>
                        <w:div w:id="477113622">
                          <w:marLeft w:val="0"/>
                          <w:marRight w:val="0"/>
                          <w:marTop w:val="0"/>
                          <w:marBottom w:val="0"/>
                          <w:divBdr>
                            <w:top w:val="none" w:sz="0" w:space="0" w:color="auto"/>
                            <w:left w:val="none" w:sz="0" w:space="0" w:color="auto"/>
                            <w:bottom w:val="none" w:sz="0" w:space="0" w:color="auto"/>
                            <w:right w:val="none" w:sz="0" w:space="0" w:color="auto"/>
                          </w:divBdr>
                          <w:divsChild>
                            <w:div w:id="15822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5906">
      <w:bodyDiv w:val="1"/>
      <w:marLeft w:val="0"/>
      <w:marRight w:val="0"/>
      <w:marTop w:val="0"/>
      <w:marBottom w:val="0"/>
      <w:divBdr>
        <w:top w:val="none" w:sz="0" w:space="0" w:color="auto"/>
        <w:left w:val="none" w:sz="0" w:space="0" w:color="auto"/>
        <w:bottom w:val="none" w:sz="0" w:space="0" w:color="auto"/>
        <w:right w:val="none" w:sz="0" w:space="0" w:color="auto"/>
      </w:divBdr>
      <w:divsChild>
        <w:div w:id="899557475">
          <w:marLeft w:val="0"/>
          <w:marRight w:val="0"/>
          <w:marTop w:val="0"/>
          <w:marBottom w:val="0"/>
          <w:divBdr>
            <w:top w:val="none" w:sz="0" w:space="0" w:color="auto"/>
            <w:left w:val="none" w:sz="0" w:space="0" w:color="auto"/>
            <w:bottom w:val="none" w:sz="0" w:space="0" w:color="auto"/>
            <w:right w:val="none" w:sz="0" w:space="0" w:color="auto"/>
          </w:divBdr>
          <w:divsChild>
            <w:div w:id="689643026">
              <w:marLeft w:val="0"/>
              <w:marRight w:val="0"/>
              <w:marTop w:val="0"/>
              <w:marBottom w:val="0"/>
              <w:divBdr>
                <w:top w:val="none" w:sz="0" w:space="0" w:color="auto"/>
                <w:left w:val="none" w:sz="0" w:space="0" w:color="auto"/>
                <w:bottom w:val="none" w:sz="0" w:space="0" w:color="auto"/>
                <w:right w:val="none" w:sz="0" w:space="0" w:color="auto"/>
              </w:divBdr>
              <w:divsChild>
                <w:div w:id="679817581">
                  <w:marLeft w:val="0"/>
                  <w:marRight w:val="0"/>
                  <w:marTop w:val="0"/>
                  <w:marBottom w:val="0"/>
                  <w:divBdr>
                    <w:top w:val="none" w:sz="0" w:space="0" w:color="auto"/>
                    <w:left w:val="none" w:sz="0" w:space="0" w:color="auto"/>
                    <w:bottom w:val="none" w:sz="0" w:space="0" w:color="auto"/>
                    <w:right w:val="none" w:sz="0" w:space="0" w:color="auto"/>
                  </w:divBdr>
                  <w:divsChild>
                    <w:div w:id="2075197481">
                      <w:marLeft w:val="0"/>
                      <w:marRight w:val="0"/>
                      <w:marTop w:val="0"/>
                      <w:marBottom w:val="0"/>
                      <w:divBdr>
                        <w:top w:val="none" w:sz="0" w:space="0" w:color="auto"/>
                        <w:left w:val="none" w:sz="0" w:space="0" w:color="auto"/>
                        <w:bottom w:val="none" w:sz="0" w:space="0" w:color="auto"/>
                        <w:right w:val="none" w:sz="0" w:space="0" w:color="auto"/>
                      </w:divBdr>
                      <w:divsChild>
                        <w:div w:id="730618206">
                          <w:marLeft w:val="0"/>
                          <w:marRight w:val="0"/>
                          <w:marTop w:val="0"/>
                          <w:marBottom w:val="0"/>
                          <w:divBdr>
                            <w:top w:val="none" w:sz="0" w:space="0" w:color="auto"/>
                            <w:left w:val="none" w:sz="0" w:space="0" w:color="auto"/>
                            <w:bottom w:val="none" w:sz="0" w:space="0" w:color="auto"/>
                            <w:right w:val="none" w:sz="0" w:space="0" w:color="auto"/>
                          </w:divBdr>
                          <w:divsChild>
                            <w:div w:id="4036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895565">
      <w:bodyDiv w:val="1"/>
      <w:marLeft w:val="0"/>
      <w:marRight w:val="0"/>
      <w:marTop w:val="0"/>
      <w:marBottom w:val="0"/>
      <w:divBdr>
        <w:top w:val="none" w:sz="0" w:space="0" w:color="auto"/>
        <w:left w:val="none" w:sz="0" w:space="0" w:color="auto"/>
        <w:bottom w:val="none" w:sz="0" w:space="0" w:color="auto"/>
        <w:right w:val="none" w:sz="0" w:space="0" w:color="auto"/>
      </w:divBdr>
    </w:div>
    <w:div w:id="190664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4706</Words>
  <Characters>26826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Aintree</dc:creator>
  <cp:lastModifiedBy>Goldring, Christopher</cp:lastModifiedBy>
  <cp:revision>2</cp:revision>
  <cp:lastPrinted>2016-12-04T23:20:00Z</cp:lastPrinted>
  <dcterms:created xsi:type="dcterms:W3CDTF">2017-12-22T12:11:00Z</dcterms:created>
  <dcterms:modified xsi:type="dcterms:W3CDTF">2017-12-22T12:11:00Z</dcterms:modified>
</cp:coreProperties>
</file>