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E5F88" w14:textId="0B66E394" w:rsidR="00E45158" w:rsidRPr="00035FED" w:rsidRDefault="00281D8C" w:rsidP="004B3AA8">
      <w:pPr>
        <w:spacing w:after="0" w:line="480" w:lineRule="auto"/>
        <w:jc w:val="center"/>
        <w:rPr>
          <w:b/>
          <w:sz w:val="24"/>
          <w:szCs w:val="24"/>
        </w:rPr>
      </w:pPr>
      <w:bookmarkStart w:id="0" w:name="_GoBack"/>
      <w:bookmarkEnd w:id="0"/>
      <w:r>
        <w:rPr>
          <w:b/>
          <w:sz w:val="24"/>
          <w:szCs w:val="24"/>
        </w:rPr>
        <w:t>Philosophy,</w:t>
      </w:r>
      <w:r w:rsidR="00E45158" w:rsidRPr="00035FED">
        <w:rPr>
          <w:b/>
          <w:sz w:val="24"/>
          <w:szCs w:val="24"/>
        </w:rPr>
        <w:t xml:space="preserve"> Law</w:t>
      </w:r>
      <w:r w:rsidR="000E1702">
        <w:rPr>
          <w:b/>
          <w:sz w:val="24"/>
          <w:szCs w:val="24"/>
        </w:rPr>
        <w:t>,</w:t>
      </w:r>
      <w:r w:rsidR="00E45158" w:rsidRPr="00035FED">
        <w:rPr>
          <w:b/>
          <w:sz w:val="24"/>
          <w:szCs w:val="24"/>
        </w:rPr>
        <w:t xml:space="preserve"> and Religion</w:t>
      </w:r>
    </w:p>
    <w:p w14:paraId="4CC3D9D2" w14:textId="2E1F007E" w:rsidR="00E45158" w:rsidRPr="008A36E1" w:rsidRDefault="00E45158" w:rsidP="004B3AA8">
      <w:pPr>
        <w:spacing w:after="0" w:line="480" w:lineRule="auto"/>
        <w:jc w:val="center"/>
        <w:rPr>
          <w:sz w:val="24"/>
          <w:szCs w:val="24"/>
        </w:rPr>
      </w:pPr>
      <w:r w:rsidRPr="008A36E1">
        <w:rPr>
          <w:sz w:val="24"/>
          <w:szCs w:val="24"/>
        </w:rPr>
        <w:t>Daniel Whistler</w:t>
      </w:r>
      <w:r w:rsidR="000E1702">
        <w:rPr>
          <w:sz w:val="24"/>
          <w:szCs w:val="24"/>
        </w:rPr>
        <w:t xml:space="preserve"> and </w:t>
      </w:r>
      <w:r w:rsidR="000E1702" w:rsidRPr="000E1702">
        <w:rPr>
          <w:sz w:val="24"/>
          <w:szCs w:val="24"/>
        </w:rPr>
        <w:t>Daniel J. Hill</w:t>
      </w:r>
    </w:p>
    <w:p w14:paraId="1088190B" w14:textId="77777777" w:rsidR="00E45158" w:rsidRPr="008A36E1" w:rsidRDefault="00E45158" w:rsidP="004B3AA8">
      <w:pPr>
        <w:spacing w:after="0" w:line="480" w:lineRule="auto"/>
        <w:ind w:firstLine="720"/>
        <w:jc w:val="both"/>
        <w:rPr>
          <w:sz w:val="24"/>
          <w:szCs w:val="24"/>
        </w:rPr>
      </w:pPr>
    </w:p>
    <w:p w14:paraId="503586F9" w14:textId="77777777" w:rsidR="00E45158" w:rsidRPr="008A36E1" w:rsidRDefault="007C78BB" w:rsidP="004B3AA8">
      <w:pPr>
        <w:spacing w:after="0" w:line="480" w:lineRule="auto"/>
        <w:jc w:val="both"/>
        <w:rPr>
          <w:sz w:val="24"/>
          <w:szCs w:val="24"/>
          <w:u w:val="single"/>
        </w:rPr>
      </w:pPr>
      <w:r>
        <w:rPr>
          <w:sz w:val="24"/>
          <w:szCs w:val="24"/>
          <w:u w:val="single"/>
        </w:rPr>
        <w:t xml:space="preserve">[1] </w:t>
      </w:r>
      <w:r w:rsidR="007D32DE">
        <w:rPr>
          <w:sz w:val="24"/>
          <w:szCs w:val="24"/>
          <w:u w:val="single"/>
        </w:rPr>
        <w:t>Introduction</w:t>
      </w:r>
    </w:p>
    <w:p w14:paraId="3087DF57" w14:textId="13534990" w:rsidR="007D32DE" w:rsidRPr="0006518D" w:rsidRDefault="007C21D6" w:rsidP="004B3AA8">
      <w:pPr>
        <w:autoSpaceDE w:val="0"/>
        <w:spacing w:after="0" w:line="480" w:lineRule="auto"/>
        <w:jc w:val="both"/>
        <w:rPr>
          <w:sz w:val="24"/>
          <w:szCs w:val="24"/>
          <w:shd w:val="clear" w:color="auto" w:fill="FFFFFF"/>
        </w:rPr>
      </w:pPr>
      <w:r>
        <w:rPr>
          <w:sz w:val="24"/>
          <w:szCs w:val="24"/>
          <w:shd w:val="clear" w:color="auto" w:fill="FFFFFF"/>
        </w:rPr>
        <w:t>W</w:t>
      </w:r>
      <w:r w:rsidR="0006518D">
        <w:rPr>
          <w:sz w:val="24"/>
          <w:szCs w:val="24"/>
          <w:shd w:val="clear" w:color="auto" w:fill="FFFFFF"/>
        </w:rPr>
        <w:t>henever philosophers begin talking about the</w:t>
      </w:r>
      <w:r w:rsidR="007D32DE">
        <w:rPr>
          <w:sz w:val="24"/>
          <w:szCs w:val="24"/>
          <w:shd w:val="clear" w:color="auto" w:fill="FFFFFF"/>
        </w:rPr>
        <w:t xml:space="preserve"> law</w:t>
      </w:r>
      <w:r>
        <w:rPr>
          <w:sz w:val="24"/>
          <w:szCs w:val="24"/>
          <w:shd w:val="clear" w:color="auto" w:fill="FFFFFF"/>
        </w:rPr>
        <w:t xml:space="preserve">, there </w:t>
      </w:r>
      <w:r w:rsidR="004E17D6">
        <w:rPr>
          <w:sz w:val="24"/>
          <w:szCs w:val="24"/>
          <w:shd w:val="clear" w:color="auto" w:fill="FFFFFF"/>
        </w:rPr>
        <w:t xml:space="preserve">immediately </w:t>
      </w:r>
      <w:r w:rsidR="002867C7">
        <w:rPr>
          <w:sz w:val="24"/>
          <w:szCs w:val="24"/>
          <w:shd w:val="clear" w:color="auto" w:fill="FFFFFF"/>
        </w:rPr>
        <w:t>arises the</w:t>
      </w:r>
      <w:r>
        <w:rPr>
          <w:sz w:val="24"/>
          <w:szCs w:val="24"/>
          <w:shd w:val="clear" w:color="auto" w:fill="FFFFFF"/>
        </w:rPr>
        <w:t xml:space="preserve"> question </w:t>
      </w:r>
      <w:r w:rsidR="002867C7">
        <w:rPr>
          <w:sz w:val="24"/>
          <w:szCs w:val="24"/>
          <w:shd w:val="clear" w:color="auto" w:fill="FFFFFF"/>
        </w:rPr>
        <w:t>of</w:t>
      </w:r>
      <w:r w:rsidR="004E17D6">
        <w:rPr>
          <w:sz w:val="24"/>
          <w:szCs w:val="24"/>
          <w:shd w:val="clear" w:color="auto" w:fill="FFFFFF"/>
        </w:rPr>
        <w:t xml:space="preserve"> the legitimacy of such talk—</w:t>
      </w:r>
      <w:r w:rsidR="002867C7">
        <w:rPr>
          <w:sz w:val="24"/>
          <w:szCs w:val="24"/>
          <w:shd w:val="clear" w:color="auto" w:fill="FFFFFF"/>
        </w:rPr>
        <w:t>of</w:t>
      </w:r>
      <w:r w:rsidR="004E17D6">
        <w:rPr>
          <w:sz w:val="24"/>
          <w:szCs w:val="24"/>
          <w:shd w:val="clear" w:color="auto" w:fill="FFFFFF"/>
        </w:rPr>
        <w:t xml:space="preserve">, that is, </w:t>
      </w:r>
      <w:r w:rsidR="00035FED">
        <w:rPr>
          <w:sz w:val="24"/>
          <w:szCs w:val="24"/>
          <w:shd w:val="clear" w:color="auto" w:fill="FFFFFF"/>
        </w:rPr>
        <w:t>the</w:t>
      </w:r>
      <w:r w:rsidR="004E17D6">
        <w:rPr>
          <w:sz w:val="24"/>
          <w:szCs w:val="24"/>
          <w:shd w:val="clear" w:color="auto" w:fill="FFFFFF"/>
        </w:rPr>
        <w:t xml:space="preserve"> very idea of philosophers’</w:t>
      </w:r>
      <w:r w:rsidR="0006518D">
        <w:rPr>
          <w:sz w:val="24"/>
          <w:szCs w:val="24"/>
          <w:shd w:val="clear" w:color="auto" w:fill="FFFFFF"/>
        </w:rPr>
        <w:t xml:space="preserve"> contributing anything useful to discussions of</w:t>
      </w:r>
      <w:r w:rsidR="004E17D6">
        <w:rPr>
          <w:sz w:val="24"/>
          <w:szCs w:val="24"/>
          <w:shd w:val="clear" w:color="auto" w:fill="FFFFFF"/>
        </w:rPr>
        <w:t xml:space="preserve"> legal cases (which, in the present essay, are limited to</w:t>
      </w:r>
      <w:r w:rsidR="0006518D">
        <w:rPr>
          <w:sz w:val="24"/>
          <w:szCs w:val="24"/>
          <w:shd w:val="clear" w:color="auto" w:fill="FFFFFF"/>
        </w:rPr>
        <w:t xml:space="preserve"> cases concerning religious freedom</w:t>
      </w:r>
      <w:r w:rsidR="004E17D6">
        <w:rPr>
          <w:sz w:val="24"/>
          <w:szCs w:val="24"/>
          <w:shd w:val="clear" w:color="auto" w:fill="FFFFFF"/>
        </w:rPr>
        <w:t>)</w:t>
      </w:r>
      <w:r w:rsidR="007D32DE">
        <w:rPr>
          <w:sz w:val="24"/>
          <w:szCs w:val="24"/>
          <w:shd w:val="clear" w:color="auto" w:fill="FFFFFF"/>
        </w:rPr>
        <w:t xml:space="preserve">. </w:t>
      </w:r>
      <w:r w:rsidR="0006518D">
        <w:rPr>
          <w:sz w:val="24"/>
          <w:szCs w:val="24"/>
          <w:shd w:val="clear" w:color="auto" w:fill="FFFFFF"/>
        </w:rPr>
        <w:t xml:space="preserve">And yet </w:t>
      </w:r>
      <w:r w:rsidR="0006518D">
        <w:rPr>
          <w:sz w:val="24"/>
          <w:szCs w:val="24"/>
        </w:rPr>
        <w:t>p</w:t>
      </w:r>
      <w:r w:rsidR="007D32DE" w:rsidRPr="00324895">
        <w:rPr>
          <w:sz w:val="24"/>
          <w:szCs w:val="24"/>
        </w:rPr>
        <w:t>hilosophers</w:t>
      </w:r>
      <w:r w:rsidR="0006518D">
        <w:rPr>
          <w:sz w:val="24"/>
          <w:szCs w:val="24"/>
        </w:rPr>
        <w:t xml:space="preserve"> have</w:t>
      </w:r>
      <w:r w:rsidR="004E17D6">
        <w:rPr>
          <w:sz w:val="24"/>
          <w:szCs w:val="24"/>
        </w:rPr>
        <w:t xml:space="preserve"> in fact</w:t>
      </w:r>
      <w:r w:rsidR="007D32DE" w:rsidRPr="00324895">
        <w:rPr>
          <w:sz w:val="24"/>
          <w:szCs w:val="24"/>
        </w:rPr>
        <w:t xml:space="preserve"> contributed</w:t>
      </w:r>
      <w:r w:rsidR="0006518D">
        <w:rPr>
          <w:sz w:val="24"/>
          <w:szCs w:val="24"/>
        </w:rPr>
        <w:t xml:space="preserve"> much to </w:t>
      </w:r>
      <w:r w:rsidR="004E17D6">
        <w:rPr>
          <w:sz w:val="24"/>
          <w:szCs w:val="24"/>
        </w:rPr>
        <w:t>understanding</w:t>
      </w:r>
      <w:r w:rsidR="007D32DE" w:rsidRPr="00324895">
        <w:rPr>
          <w:sz w:val="24"/>
          <w:szCs w:val="24"/>
        </w:rPr>
        <w:t xml:space="preserve"> </w:t>
      </w:r>
      <w:r w:rsidR="0006518D">
        <w:rPr>
          <w:sz w:val="24"/>
          <w:szCs w:val="24"/>
        </w:rPr>
        <w:t>such</w:t>
      </w:r>
      <w:r w:rsidR="007D32DE" w:rsidRPr="00324895">
        <w:rPr>
          <w:sz w:val="24"/>
          <w:szCs w:val="24"/>
        </w:rPr>
        <w:t xml:space="preserve"> cases</w:t>
      </w:r>
      <w:r>
        <w:rPr>
          <w:sz w:val="24"/>
          <w:szCs w:val="24"/>
        </w:rPr>
        <w:t>, and these</w:t>
      </w:r>
      <w:r w:rsidR="0006518D">
        <w:rPr>
          <w:sz w:val="24"/>
          <w:szCs w:val="24"/>
        </w:rPr>
        <w:t xml:space="preserve"> contribution</w:t>
      </w:r>
      <w:r>
        <w:rPr>
          <w:sz w:val="24"/>
          <w:szCs w:val="24"/>
        </w:rPr>
        <w:t>s can be sorted into</w:t>
      </w:r>
      <w:r w:rsidR="0006518D">
        <w:rPr>
          <w:sz w:val="24"/>
          <w:szCs w:val="24"/>
        </w:rPr>
        <w:t xml:space="preserve"> two</w:t>
      </w:r>
      <w:r>
        <w:rPr>
          <w:sz w:val="24"/>
          <w:szCs w:val="24"/>
        </w:rPr>
        <w:t xml:space="preserve"> categories</w:t>
      </w:r>
      <w:r w:rsidR="0006518D">
        <w:rPr>
          <w:sz w:val="24"/>
          <w:szCs w:val="24"/>
        </w:rPr>
        <w:t>.</w:t>
      </w:r>
      <w:r w:rsidR="007D32DE">
        <w:rPr>
          <w:sz w:val="24"/>
          <w:szCs w:val="24"/>
        </w:rPr>
        <w:t xml:space="preserve"> On the one hand, there is a ‘bottom-up’ approach that engages in detail with the cases themselves in order to </w:t>
      </w:r>
      <w:r w:rsidR="0006518D">
        <w:rPr>
          <w:sz w:val="24"/>
          <w:szCs w:val="24"/>
        </w:rPr>
        <w:t>work up to more general</w:t>
      </w:r>
      <w:r w:rsidR="007D32DE">
        <w:rPr>
          <w:sz w:val="24"/>
          <w:szCs w:val="24"/>
        </w:rPr>
        <w:t xml:space="preserve"> philosophical </w:t>
      </w:r>
      <w:r w:rsidR="0006518D">
        <w:rPr>
          <w:sz w:val="24"/>
          <w:szCs w:val="24"/>
        </w:rPr>
        <w:t>issues</w:t>
      </w:r>
      <w:r w:rsidR="007D32DE">
        <w:rPr>
          <w:sz w:val="24"/>
          <w:szCs w:val="24"/>
        </w:rPr>
        <w:t>. A good example of this</w:t>
      </w:r>
      <w:r w:rsidR="0006518D">
        <w:rPr>
          <w:sz w:val="24"/>
          <w:szCs w:val="24"/>
        </w:rPr>
        <w:t xml:space="preserve"> approach</w:t>
      </w:r>
      <w:r w:rsidR="007D32DE">
        <w:rPr>
          <w:sz w:val="24"/>
          <w:szCs w:val="24"/>
        </w:rPr>
        <w:t xml:space="preserve"> is</w:t>
      </w:r>
      <w:r w:rsidR="007D32DE" w:rsidRPr="00324895">
        <w:rPr>
          <w:sz w:val="24"/>
          <w:szCs w:val="24"/>
        </w:rPr>
        <w:t xml:space="preserve"> Calder and Smith’s painstaking analysis of competing understandings of equality and diversity in </w:t>
      </w:r>
      <w:r w:rsidR="007D32DE" w:rsidRPr="00324895">
        <w:rPr>
          <w:i/>
          <w:sz w:val="24"/>
          <w:szCs w:val="24"/>
        </w:rPr>
        <w:t xml:space="preserve">Azmi </w:t>
      </w:r>
      <w:r w:rsidR="007D32DE" w:rsidRPr="00324895">
        <w:rPr>
          <w:i/>
          <w:iCs/>
          <w:sz w:val="24"/>
          <w:szCs w:val="24"/>
        </w:rPr>
        <w:t>v Kirklees MBC</w:t>
      </w:r>
      <w:r w:rsidR="007D32DE" w:rsidRPr="00324895">
        <w:rPr>
          <w:sz w:val="24"/>
          <w:szCs w:val="24"/>
        </w:rPr>
        <w:t>.</w:t>
      </w:r>
      <w:r w:rsidR="007D32DE" w:rsidRPr="00324895">
        <w:rPr>
          <w:rStyle w:val="WW-FootnoteReference"/>
          <w:sz w:val="24"/>
          <w:szCs w:val="24"/>
        </w:rPr>
        <w:footnoteReference w:id="1"/>
      </w:r>
      <w:r w:rsidR="007D32DE" w:rsidRPr="00324895">
        <w:rPr>
          <w:sz w:val="24"/>
          <w:szCs w:val="24"/>
        </w:rPr>
        <w:t xml:space="preserve"> </w:t>
      </w:r>
      <w:r w:rsidR="007D32DE">
        <w:rPr>
          <w:sz w:val="24"/>
          <w:szCs w:val="24"/>
        </w:rPr>
        <w:t xml:space="preserve">On the other hand, there is a </w:t>
      </w:r>
      <w:r w:rsidR="0006518D">
        <w:rPr>
          <w:sz w:val="24"/>
          <w:szCs w:val="24"/>
        </w:rPr>
        <w:t>‘</w:t>
      </w:r>
      <w:r w:rsidR="007D32DE">
        <w:rPr>
          <w:sz w:val="24"/>
          <w:szCs w:val="24"/>
        </w:rPr>
        <w:t>top-down</w:t>
      </w:r>
      <w:r w:rsidR="0006518D">
        <w:rPr>
          <w:sz w:val="24"/>
          <w:szCs w:val="24"/>
        </w:rPr>
        <w:t>’</w:t>
      </w:r>
      <w:r w:rsidR="007D32DE">
        <w:rPr>
          <w:sz w:val="24"/>
          <w:szCs w:val="24"/>
        </w:rPr>
        <w:t xml:space="preserve"> approach</w:t>
      </w:r>
      <w:r w:rsidR="0006518D">
        <w:rPr>
          <w:sz w:val="24"/>
          <w:szCs w:val="24"/>
        </w:rPr>
        <w:t xml:space="preserve"> in which pre-existing philosophical frameworks are applied to the topic of religious freedom.</w:t>
      </w:r>
      <w:r w:rsidR="007D32DE">
        <w:rPr>
          <w:sz w:val="24"/>
          <w:szCs w:val="24"/>
        </w:rPr>
        <w:t xml:space="preserve"> </w:t>
      </w:r>
      <w:r w:rsidR="007D32DE" w:rsidRPr="00324895">
        <w:rPr>
          <w:sz w:val="24"/>
          <w:szCs w:val="24"/>
        </w:rPr>
        <w:t xml:space="preserve">Trigg’s </w:t>
      </w:r>
      <w:r w:rsidR="007D32DE" w:rsidRPr="00324895">
        <w:rPr>
          <w:i/>
          <w:sz w:val="24"/>
          <w:szCs w:val="24"/>
        </w:rPr>
        <w:t>Religion in Public Life</w:t>
      </w:r>
      <w:r w:rsidR="007D32DE" w:rsidRPr="00324895">
        <w:rPr>
          <w:rStyle w:val="WW-FootnoteReference"/>
          <w:sz w:val="24"/>
          <w:szCs w:val="24"/>
        </w:rPr>
        <w:footnoteReference w:id="2"/>
      </w:r>
      <w:r w:rsidR="007D32DE" w:rsidRPr="00324895">
        <w:rPr>
          <w:sz w:val="24"/>
          <w:szCs w:val="24"/>
        </w:rPr>
        <w:t xml:space="preserve"> and </w:t>
      </w:r>
      <w:r w:rsidR="007D32DE" w:rsidRPr="00324895">
        <w:rPr>
          <w:i/>
          <w:sz w:val="24"/>
          <w:szCs w:val="24"/>
        </w:rPr>
        <w:t>Equality, Freedom and Religion</w:t>
      </w:r>
      <w:r w:rsidR="00376634">
        <w:rPr>
          <w:sz w:val="24"/>
          <w:szCs w:val="24"/>
        </w:rPr>
        <w:t>,</w:t>
      </w:r>
      <w:r w:rsidR="007D32DE" w:rsidRPr="00324895">
        <w:rPr>
          <w:rStyle w:val="WW-FootnoteReference"/>
          <w:sz w:val="24"/>
          <w:szCs w:val="24"/>
        </w:rPr>
        <w:footnoteReference w:id="3"/>
      </w:r>
      <w:r w:rsidR="0006518D">
        <w:rPr>
          <w:sz w:val="24"/>
          <w:szCs w:val="24"/>
        </w:rPr>
        <w:t xml:space="preserve"> as well as Leiter’s </w:t>
      </w:r>
      <w:r w:rsidR="0006518D">
        <w:rPr>
          <w:i/>
          <w:sz w:val="24"/>
          <w:szCs w:val="24"/>
        </w:rPr>
        <w:t>Why Tolerate Religion?</w:t>
      </w:r>
      <w:r w:rsidR="00376634">
        <w:rPr>
          <w:sz w:val="24"/>
          <w:szCs w:val="24"/>
        </w:rPr>
        <w:t>,</w:t>
      </w:r>
      <w:r w:rsidR="0006518D" w:rsidRPr="0006518D">
        <w:rPr>
          <w:rStyle w:val="FootnoteReference"/>
          <w:sz w:val="24"/>
          <w:szCs w:val="24"/>
        </w:rPr>
        <w:footnoteReference w:id="4"/>
      </w:r>
      <w:r w:rsidR="0006518D">
        <w:rPr>
          <w:sz w:val="24"/>
          <w:szCs w:val="24"/>
        </w:rPr>
        <w:t xml:space="preserve"> exemplify this approach.</w:t>
      </w:r>
    </w:p>
    <w:p w14:paraId="678FE11F" w14:textId="1A19DAC7" w:rsidR="007D32DE" w:rsidRPr="00754AD4" w:rsidRDefault="008E4EEF" w:rsidP="004B3AA8">
      <w:pPr>
        <w:autoSpaceDE w:val="0"/>
        <w:spacing w:after="0" w:line="480" w:lineRule="auto"/>
        <w:ind w:firstLine="720"/>
        <w:jc w:val="both"/>
        <w:rPr>
          <w:sz w:val="24"/>
          <w:szCs w:val="24"/>
        </w:rPr>
      </w:pPr>
      <w:r>
        <w:rPr>
          <w:sz w:val="24"/>
          <w:szCs w:val="24"/>
        </w:rPr>
        <w:t xml:space="preserve">To </w:t>
      </w:r>
      <w:r w:rsidR="00600873">
        <w:rPr>
          <w:sz w:val="24"/>
          <w:szCs w:val="24"/>
        </w:rPr>
        <w:t>be a bit more specific</w:t>
      </w:r>
      <w:r>
        <w:rPr>
          <w:sz w:val="24"/>
          <w:szCs w:val="24"/>
        </w:rPr>
        <w:t xml:space="preserve">: </w:t>
      </w:r>
      <w:r w:rsidR="006223B8">
        <w:rPr>
          <w:sz w:val="24"/>
          <w:szCs w:val="24"/>
        </w:rPr>
        <w:t>Trigg’s</w:t>
      </w:r>
      <w:r>
        <w:rPr>
          <w:sz w:val="24"/>
          <w:szCs w:val="24"/>
        </w:rPr>
        <w:t xml:space="preserve"> books exemplify the</w:t>
      </w:r>
      <w:r w:rsidR="006223B8">
        <w:rPr>
          <w:sz w:val="24"/>
          <w:szCs w:val="24"/>
        </w:rPr>
        <w:t xml:space="preserve"> top-down approach by </w:t>
      </w:r>
      <w:r w:rsidR="004E17D6">
        <w:rPr>
          <w:sz w:val="24"/>
          <w:szCs w:val="24"/>
        </w:rPr>
        <w:t>deploying</w:t>
      </w:r>
      <w:r w:rsidR="006223B8">
        <w:rPr>
          <w:sz w:val="24"/>
          <w:szCs w:val="24"/>
        </w:rPr>
        <w:t xml:space="preserve"> </w:t>
      </w:r>
      <w:r>
        <w:rPr>
          <w:sz w:val="24"/>
          <w:szCs w:val="24"/>
        </w:rPr>
        <w:t xml:space="preserve">abstract </w:t>
      </w:r>
      <w:r w:rsidR="006223B8">
        <w:rPr>
          <w:sz w:val="24"/>
          <w:szCs w:val="24"/>
        </w:rPr>
        <w:t xml:space="preserve">topics </w:t>
      </w:r>
      <w:r w:rsidR="009A1B6C">
        <w:rPr>
          <w:sz w:val="24"/>
          <w:szCs w:val="24"/>
        </w:rPr>
        <w:t>in the</w:t>
      </w:r>
      <w:r w:rsidR="006223B8">
        <w:rPr>
          <w:sz w:val="24"/>
          <w:szCs w:val="24"/>
        </w:rPr>
        <w:t xml:space="preserve"> philosophy of religion (such as the rationality of faith and the weight of religious reasons in the public sphere) to </w:t>
      </w:r>
      <w:r w:rsidR="004E17D6">
        <w:rPr>
          <w:sz w:val="24"/>
          <w:szCs w:val="24"/>
        </w:rPr>
        <w:t>critique</w:t>
      </w:r>
      <w:r w:rsidR="006223B8">
        <w:rPr>
          <w:sz w:val="24"/>
          <w:szCs w:val="24"/>
        </w:rPr>
        <w:t xml:space="preserve"> the way</w:t>
      </w:r>
      <w:r w:rsidR="00404B4C">
        <w:rPr>
          <w:sz w:val="24"/>
          <w:szCs w:val="24"/>
        </w:rPr>
        <w:t xml:space="preserve"> in which</w:t>
      </w:r>
      <w:r w:rsidR="006223B8">
        <w:rPr>
          <w:sz w:val="24"/>
          <w:szCs w:val="24"/>
        </w:rPr>
        <w:t xml:space="preserve"> freedom of religion is treated in the courts.</w:t>
      </w:r>
      <w:r>
        <w:rPr>
          <w:sz w:val="24"/>
          <w:szCs w:val="24"/>
        </w:rPr>
        <w:t xml:space="preserve"> The benefit of </w:t>
      </w:r>
      <w:r w:rsidR="004E17D6">
        <w:rPr>
          <w:sz w:val="24"/>
          <w:szCs w:val="24"/>
        </w:rPr>
        <w:t>this</w:t>
      </w:r>
      <w:r>
        <w:rPr>
          <w:sz w:val="24"/>
          <w:szCs w:val="24"/>
        </w:rPr>
        <w:t xml:space="preserve"> top-down</w:t>
      </w:r>
      <w:r w:rsidR="0006518D">
        <w:rPr>
          <w:sz w:val="24"/>
          <w:szCs w:val="24"/>
        </w:rPr>
        <w:t xml:space="preserve"> vantage point is that the philosopher </w:t>
      </w:r>
      <w:r w:rsidR="002867C7">
        <w:rPr>
          <w:sz w:val="24"/>
          <w:szCs w:val="24"/>
        </w:rPr>
        <w:t>can</w:t>
      </w:r>
      <w:r w:rsidR="004470BA">
        <w:rPr>
          <w:sz w:val="24"/>
          <w:szCs w:val="24"/>
        </w:rPr>
        <w:t xml:space="preserve"> scrutiniz</w:t>
      </w:r>
      <w:r w:rsidR="004E17D6">
        <w:rPr>
          <w:sz w:val="24"/>
          <w:szCs w:val="24"/>
        </w:rPr>
        <w:t>e alternatives</w:t>
      </w:r>
      <w:r w:rsidR="0006518D">
        <w:rPr>
          <w:sz w:val="24"/>
          <w:szCs w:val="24"/>
        </w:rPr>
        <w:t xml:space="preserve"> not yet countenanced in the </w:t>
      </w:r>
      <w:r w:rsidR="00600873">
        <w:rPr>
          <w:sz w:val="24"/>
          <w:szCs w:val="24"/>
        </w:rPr>
        <w:t>courts’ judgments themselves</w:t>
      </w:r>
      <w:r w:rsidR="0006518D">
        <w:rPr>
          <w:sz w:val="24"/>
          <w:szCs w:val="24"/>
        </w:rPr>
        <w:t xml:space="preserve">. For example, Trigg </w:t>
      </w:r>
      <w:r w:rsidR="0006518D">
        <w:rPr>
          <w:sz w:val="24"/>
          <w:szCs w:val="24"/>
        </w:rPr>
        <w:lastRenderedPageBreak/>
        <w:t xml:space="preserve">makes much of the fact that </w:t>
      </w:r>
      <w:r w:rsidR="007D32DE" w:rsidRPr="00324895">
        <w:rPr>
          <w:sz w:val="24"/>
          <w:szCs w:val="24"/>
        </w:rPr>
        <w:t>Article 9</w:t>
      </w:r>
      <w:r w:rsidR="007C21D6">
        <w:rPr>
          <w:sz w:val="24"/>
          <w:szCs w:val="24"/>
        </w:rPr>
        <w:t xml:space="preserve"> of the European Convention o</w:t>
      </w:r>
      <w:r w:rsidR="005E58C7">
        <w:rPr>
          <w:sz w:val="24"/>
          <w:szCs w:val="24"/>
        </w:rPr>
        <w:t xml:space="preserve">n </w:t>
      </w:r>
      <w:r w:rsidR="007C21D6">
        <w:rPr>
          <w:sz w:val="24"/>
          <w:szCs w:val="24"/>
        </w:rPr>
        <w:t>Human Rights [ECHR]</w:t>
      </w:r>
      <w:r w:rsidR="007D32DE" w:rsidRPr="00324895">
        <w:rPr>
          <w:sz w:val="24"/>
          <w:szCs w:val="24"/>
        </w:rPr>
        <w:t xml:space="preserve"> and the </w:t>
      </w:r>
      <w:r w:rsidR="007D32DE">
        <w:rPr>
          <w:sz w:val="24"/>
          <w:szCs w:val="24"/>
        </w:rPr>
        <w:t xml:space="preserve">UK </w:t>
      </w:r>
      <w:r w:rsidR="007D32DE" w:rsidRPr="00324895">
        <w:rPr>
          <w:sz w:val="24"/>
          <w:szCs w:val="24"/>
        </w:rPr>
        <w:t>H</w:t>
      </w:r>
      <w:r w:rsidR="007D32DE">
        <w:rPr>
          <w:sz w:val="24"/>
          <w:szCs w:val="24"/>
        </w:rPr>
        <w:t xml:space="preserve">uman </w:t>
      </w:r>
      <w:r w:rsidR="007D32DE" w:rsidRPr="00324895">
        <w:rPr>
          <w:sz w:val="24"/>
          <w:szCs w:val="24"/>
        </w:rPr>
        <w:t>R</w:t>
      </w:r>
      <w:r w:rsidR="007D32DE">
        <w:rPr>
          <w:sz w:val="24"/>
          <w:szCs w:val="24"/>
        </w:rPr>
        <w:t xml:space="preserve">ights </w:t>
      </w:r>
      <w:r w:rsidR="007D32DE" w:rsidRPr="00324895">
        <w:rPr>
          <w:sz w:val="24"/>
          <w:szCs w:val="24"/>
        </w:rPr>
        <w:t>A</w:t>
      </w:r>
      <w:r w:rsidR="007D32DE">
        <w:rPr>
          <w:sz w:val="24"/>
          <w:szCs w:val="24"/>
        </w:rPr>
        <w:t>ct</w:t>
      </w:r>
      <w:r w:rsidR="007D32DE" w:rsidRPr="00324895">
        <w:rPr>
          <w:sz w:val="24"/>
          <w:szCs w:val="24"/>
        </w:rPr>
        <w:t xml:space="preserve"> are not the only way to ensure protection for </w:t>
      </w:r>
      <w:r>
        <w:rPr>
          <w:sz w:val="24"/>
          <w:szCs w:val="24"/>
        </w:rPr>
        <w:t>religious freedoms</w:t>
      </w:r>
      <w:r w:rsidR="0006518D">
        <w:rPr>
          <w:sz w:val="24"/>
          <w:szCs w:val="24"/>
        </w:rPr>
        <w:t>. That is, w</w:t>
      </w:r>
      <w:r w:rsidR="007D32DE" w:rsidRPr="00324895">
        <w:rPr>
          <w:sz w:val="24"/>
          <w:szCs w:val="24"/>
        </w:rPr>
        <w:t>hile these legal instruments turn freedom of religion into a positive human right, the</w:t>
      </w:r>
      <w:r w:rsidR="0006518D">
        <w:rPr>
          <w:sz w:val="24"/>
          <w:szCs w:val="24"/>
        </w:rPr>
        <w:t xml:space="preserve">re are other </w:t>
      </w:r>
      <w:r w:rsidR="004E17D6">
        <w:rPr>
          <w:sz w:val="24"/>
          <w:szCs w:val="24"/>
        </w:rPr>
        <w:t>approaches</w:t>
      </w:r>
      <w:r w:rsidR="0006518D">
        <w:rPr>
          <w:sz w:val="24"/>
          <w:szCs w:val="24"/>
        </w:rPr>
        <w:t>, such as those of</w:t>
      </w:r>
      <w:r w:rsidR="007D32DE" w:rsidRPr="00324895">
        <w:rPr>
          <w:sz w:val="24"/>
          <w:szCs w:val="24"/>
        </w:rPr>
        <w:t xml:space="preserve"> ‘negative accommodation’ and ‘passive religious tolerance’.</w:t>
      </w:r>
      <w:r w:rsidR="007D32DE" w:rsidRPr="00324895">
        <w:rPr>
          <w:rStyle w:val="WW-FootnoteReference1"/>
          <w:sz w:val="24"/>
          <w:szCs w:val="24"/>
        </w:rPr>
        <w:footnoteReference w:id="5"/>
      </w:r>
      <w:r w:rsidR="007D32DE" w:rsidRPr="00324895">
        <w:rPr>
          <w:sz w:val="24"/>
          <w:szCs w:val="24"/>
        </w:rPr>
        <w:t xml:space="preserve"> </w:t>
      </w:r>
      <w:r w:rsidR="004E17D6">
        <w:rPr>
          <w:sz w:val="24"/>
          <w:szCs w:val="24"/>
        </w:rPr>
        <w:t>This gives rise to</w:t>
      </w:r>
      <w:r w:rsidR="0006518D">
        <w:rPr>
          <w:sz w:val="24"/>
          <w:szCs w:val="24"/>
        </w:rPr>
        <w:t xml:space="preserve"> an abstract</w:t>
      </w:r>
      <w:r w:rsidR="007D32DE" w:rsidRPr="00324895">
        <w:rPr>
          <w:sz w:val="24"/>
          <w:szCs w:val="24"/>
        </w:rPr>
        <w:t xml:space="preserve"> question of whether</w:t>
      </w:r>
      <w:r w:rsidR="007D32DE">
        <w:rPr>
          <w:sz w:val="24"/>
          <w:szCs w:val="24"/>
        </w:rPr>
        <w:t xml:space="preserve"> assigning</w:t>
      </w:r>
      <w:r w:rsidR="007D32DE" w:rsidRPr="00324895">
        <w:rPr>
          <w:sz w:val="24"/>
          <w:szCs w:val="24"/>
        </w:rPr>
        <w:t xml:space="preserve"> a particular human right to freedom of religion is </w:t>
      </w:r>
      <w:r w:rsidR="004E17D6">
        <w:rPr>
          <w:sz w:val="24"/>
          <w:szCs w:val="24"/>
        </w:rPr>
        <w:t>helpful</w:t>
      </w:r>
      <w:r w:rsidR="0006518D">
        <w:rPr>
          <w:sz w:val="24"/>
          <w:szCs w:val="24"/>
        </w:rPr>
        <w:t>.</w:t>
      </w:r>
      <w:r w:rsidR="0006518D">
        <w:rPr>
          <w:rStyle w:val="FootnoteReference"/>
          <w:sz w:val="24"/>
          <w:szCs w:val="24"/>
        </w:rPr>
        <w:footnoteReference w:id="6"/>
      </w:r>
    </w:p>
    <w:p w14:paraId="69F2560E" w14:textId="3820AE24" w:rsidR="007D32DE" w:rsidRDefault="008E4EEF">
      <w:pPr>
        <w:autoSpaceDE w:val="0"/>
        <w:spacing w:after="0" w:line="480" w:lineRule="auto"/>
        <w:jc w:val="both"/>
        <w:rPr>
          <w:sz w:val="24"/>
          <w:szCs w:val="24"/>
        </w:rPr>
      </w:pPr>
      <w:r>
        <w:rPr>
          <w:sz w:val="24"/>
          <w:szCs w:val="24"/>
        </w:rPr>
        <w:tab/>
        <w:t>Nevertheless, the bottom-up</w:t>
      </w:r>
      <w:r w:rsidR="007D32DE">
        <w:rPr>
          <w:sz w:val="24"/>
          <w:szCs w:val="24"/>
        </w:rPr>
        <w:t xml:space="preserve"> approach </w:t>
      </w:r>
      <w:r w:rsidR="00EF7522">
        <w:rPr>
          <w:sz w:val="24"/>
          <w:szCs w:val="24"/>
        </w:rPr>
        <w:t>provides the framework for</w:t>
      </w:r>
      <w:r w:rsidR="0006518D">
        <w:rPr>
          <w:sz w:val="24"/>
          <w:szCs w:val="24"/>
        </w:rPr>
        <w:t xml:space="preserve"> what follows. Beginning with </w:t>
      </w:r>
      <w:r w:rsidR="007D32DE">
        <w:rPr>
          <w:sz w:val="24"/>
          <w:szCs w:val="24"/>
        </w:rPr>
        <w:t xml:space="preserve">the reasoning of the cases themselves is a way of doing philosophy that takes the legal material seriously, rather than </w:t>
      </w:r>
      <w:r w:rsidR="00044EFE">
        <w:rPr>
          <w:sz w:val="24"/>
          <w:szCs w:val="24"/>
        </w:rPr>
        <w:t>constraining</w:t>
      </w:r>
      <w:r w:rsidR="007D32DE">
        <w:rPr>
          <w:sz w:val="24"/>
          <w:szCs w:val="24"/>
        </w:rPr>
        <w:t xml:space="preserve"> it </w:t>
      </w:r>
      <w:r w:rsidR="00044EFE">
        <w:rPr>
          <w:sz w:val="24"/>
          <w:szCs w:val="24"/>
        </w:rPr>
        <w:t>within</w:t>
      </w:r>
      <w:r w:rsidR="007D32DE">
        <w:rPr>
          <w:sz w:val="24"/>
          <w:szCs w:val="24"/>
        </w:rPr>
        <w:t xml:space="preserve"> pre-established conceptual structures. This is no longer ‘applied philosophy’ in the sense of applying given philosophical theories</w:t>
      </w:r>
      <w:r w:rsidR="00044EFE">
        <w:rPr>
          <w:sz w:val="24"/>
          <w:szCs w:val="24"/>
        </w:rPr>
        <w:t xml:space="preserve"> to a </w:t>
      </w:r>
      <w:r w:rsidR="009B63E2">
        <w:rPr>
          <w:sz w:val="24"/>
          <w:szCs w:val="24"/>
        </w:rPr>
        <w:t xml:space="preserve">different </w:t>
      </w:r>
      <w:r w:rsidR="007D32DE">
        <w:rPr>
          <w:sz w:val="24"/>
          <w:szCs w:val="24"/>
        </w:rPr>
        <w:t>di</w:t>
      </w:r>
      <w:r w:rsidR="00044EFE">
        <w:rPr>
          <w:sz w:val="24"/>
          <w:szCs w:val="24"/>
        </w:rPr>
        <w:t>scourse; rather, it is through</w:t>
      </w:r>
      <w:r w:rsidR="007D32DE">
        <w:rPr>
          <w:sz w:val="24"/>
          <w:szCs w:val="24"/>
        </w:rPr>
        <w:t xml:space="preserve"> patient engagement </w:t>
      </w:r>
      <w:r w:rsidR="002867C7">
        <w:rPr>
          <w:sz w:val="24"/>
          <w:szCs w:val="24"/>
        </w:rPr>
        <w:t>with that discourse itself that</w:t>
      </w:r>
      <w:r w:rsidR="007D32DE">
        <w:rPr>
          <w:sz w:val="24"/>
          <w:szCs w:val="24"/>
        </w:rPr>
        <w:t xml:space="preserve"> theory</w:t>
      </w:r>
      <w:r w:rsidR="00044EFE">
        <w:rPr>
          <w:sz w:val="24"/>
          <w:szCs w:val="24"/>
        </w:rPr>
        <w:t xml:space="preserve"> is</w:t>
      </w:r>
      <w:r w:rsidR="007D32DE">
        <w:rPr>
          <w:sz w:val="24"/>
          <w:szCs w:val="24"/>
        </w:rPr>
        <w:t xml:space="preserve"> </w:t>
      </w:r>
      <w:r w:rsidR="004E17D6">
        <w:rPr>
          <w:sz w:val="24"/>
          <w:szCs w:val="24"/>
        </w:rPr>
        <w:t>renewed</w:t>
      </w:r>
      <w:r w:rsidR="007D32DE">
        <w:rPr>
          <w:sz w:val="24"/>
          <w:szCs w:val="24"/>
        </w:rPr>
        <w:t>.</w:t>
      </w:r>
      <w:r w:rsidR="0006518D">
        <w:rPr>
          <w:sz w:val="24"/>
          <w:szCs w:val="24"/>
        </w:rPr>
        <w:t xml:space="preserve"> One implication of this </w:t>
      </w:r>
      <w:r w:rsidR="00044EFE">
        <w:rPr>
          <w:sz w:val="24"/>
          <w:szCs w:val="24"/>
        </w:rPr>
        <w:t>approach</w:t>
      </w:r>
      <w:r w:rsidR="0006518D">
        <w:rPr>
          <w:sz w:val="24"/>
          <w:szCs w:val="24"/>
        </w:rPr>
        <w:t xml:space="preserve"> </w:t>
      </w:r>
      <w:r w:rsidR="007D32DE">
        <w:rPr>
          <w:sz w:val="24"/>
          <w:szCs w:val="24"/>
        </w:rPr>
        <w:t>is that</w:t>
      </w:r>
      <w:r w:rsidR="00044EFE">
        <w:rPr>
          <w:sz w:val="24"/>
          <w:szCs w:val="24"/>
        </w:rPr>
        <w:t xml:space="preserve"> it</w:t>
      </w:r>
      <w:r w:rsidR="007D32DE">
        <w:rPr>
          <w:sz w:val="24"/>
          <w:szCs w:val="24"/>
        </w:rPr>
        <w:t xml:space="preserve"> can lead to transformations </w:t>
      </w:r>
      <w:r w:rsidR="00044EFE">
        <w:rPr>
          <w:sz w:val="24"/>
          <w:szCs w:val="24"/>
        </w:rPr>
        <w:t>within philosophy: p</w:t>
      </w:r>
      <w:r w:rsidR="007D32DE">
        <w:rPr>
          <w:sz w:val="24"/>
          <w:szCs w:val="24"/>
        </w:rPr>
        <w:t>hilosophy is no longer</w:t>
      </w:r>
      <w:r w:rsidR="0006518D">
        <w:rPr>
          <w:sz w:val="24"/>
          <w:szCs w:val="24"/>
        </w:rPr>
        <w:t xml:space="preserve"> understood as</w:t>
      </w:r>
      <w:r w:rsidR="007D32DE">
        <w:rPr>
          <w:sz w:val="24"/>
          <w:szCs w:val="24"/>
        </w:rPr>
        <w:t xml:space="preserve"> an untouchable master-discipline that </w:t>
      </w:r>
      <w:r w:rsidR="00AB4D84">
        <w:rPr>
          <w:sz w:val="24"/>
          <w:szCs w:val="24"/>
        </w:rPr>
        <w:t xml:space="preserve">provides </w:t>
      </w:r>
      <w:r w:rsidR="007D32DE">
        <w:rPr>
          <w:sz w:val="24"/>
          <w:szCs w:val="24"/>
        </w:rPr>
        <w:t>trickle</w:t>
      </w:r>
      <w:r w:rsidR="00AB4D84">
        <w:rPr>
          <w:sz w:val="24"/>
          <w:szCs w:val="24"/>
        </w:rPr>
        <w:t>-</w:t>
      </w:r>
      <w:r w:rsidR="007D32DE">
        <w:rPr>
          <w:sz w:val="24"/>
          <w:szCs w:val="24"/>
        </w:rPr>
        <w:t xml:space="preserve">down resources for other theorists to </w:t>
      </w:r>
      <w:r w:rsidR="00044EFE">
        <w:rPr>
          <w:sz w:val="24"/>
          <w:szCs w:val="24"/>
        </w:rPr>
        <w:t>utili</w:t>
      </w:r>
      <w:r w:rsidR="004470BA">
        <w:rPr>
          <w:sz w:val="24"/>
          <w:szCs w:val="24"/>
        </w:rPr>
        <w:t>z</w:t>
      </w:r>
      <w:r w:rsidR="00044EFE">
        <w:rPr>
          <w:sz w:val="24"/>
          <w:szCs w:val="24"/>
        </w:rPr>
        <w:t>e</w:t>
      </w:r>
      <w:r w:rsidR="007D32DE">
        <w:rPr>
          <w:sz w:val="24"/>
          <w:szCs w:val="24"/>
        </w:rPr>
        <w:t>, but instead</w:t>
      </w:r>
      <w:r w:rsidR="0006518D">
        <w:rPr>
          <w:sz w:val="24"/>
          <w:szCs w:val="24"/>
        </w:rPr>
        <w:t xml:space="preserve"> as</w:t>
      </w:r>
      <w:r w:rsidR="007D32DE">
        <w:rPr>
          <w:sz w:val="24"/>
          <w:szCs w:val="24"/>
        </w:rPr>
        <w:t xml:space="preserve"> a pract</w:t>
      </w:r>
      <w:r w:rsidR="004470BA">
        <w:rPr>
          <w:sz w:val="24"/>
          <w:szCs w:val="24"/>
        </w:rPr>
        <w:t>ice shaped by looking outside</w:t>
      </w:r>
      <w:r w:rsidR="007D32DE">
        <w:rPr>
          <w:sz w:val="24"/>
          <w:szCs w:val="24"/>
        </w:rPr>
        <w:t xml:space="preserve"> itself to the concepts inchoately present in the very texts of </w:t>
      </w:r>
      <w:r w:rsidR="00E26AD6">
        <w:rPr>
          <w:sz w:val="24"/>
          <w:szCs w:val="24"/>
        </w:rPr>
        <w:t>legal</w:t>
      </w:r>
      <w:r w:rsidR="007D32DE">
        <w:rPr>
          <w:sz w:val="24"/>
          <w:szCs w:val="24"/>
        </w:rPr>
        <w:t xml:space="preserve"> cases. </w:t>
      </w:r>
      <w:r w:rsidR="009A1B6C">
        <w:rPr>
          <w:sz w:val="24"/>
          <w:szCs w:val="24"/>
        </w:rPr>
        <w:t xml:space="preserve">The </w:t>
      </w:r>
      <w:r w:rsidR="007D32DE">
        <w:rPr>
          <w:sz w:val="24"/>
          <w:szCs w:val="24"/>
        </w:rPr>
        <w:t>botto</w:t>
      </w:r>
      <w:r w:rsidR="009A1B6C">
        <w:rPr>
          <w:sz w:val="24"/>
          <w:szCs w:val="24"/>
        </w:rPr>
        <w:t>m-up approach to legal cases concerning</w:t>
      </w:r>
      <w:r w:rsidR="007D32DE">
        <w:rPr>
          <w:sz w:val="24"/>
          <w:szCs w:val="24"/>
        </w:rPr>
        <w:t xml:space="preserve"> religio</w:t>
      </w:r>
      <w:r w:rsidR="00AB4D84">
        <w:rPr>
          <w:sz w:val="24"/>
          <w:szCs w:val="24"/>
        </w:rPr>
        <w:t>us</w:t>
      </w:r>
      <w:r w:rsidR="009A1B6C">
        <w:rPr>
          <w:sz w:val="24"/>
          <w:szCs w:val="24"/>
        </w:rPr>
        <w:t xml:space="preserve"> freedom</w:t>
      </w:r>
      <w:r w:rsidR="007D32DE">
        <w:rPr>
          <w:sz w:val="24"/>
          <w:szCs w:val="24"/>
        </w:rPr>
        <w:t xml:space="preserve"> analyses </w:t>
      </w:r>
      <w:r w:rsidR="00FC429C">
        <w:rPr>
          <w:sz w:val="24"/>
          <w:szCs w:val="24"/>
        </w:rPr>
        <w:t>issues that are</w:t>
      </w:r>
      <w:r w:rsidR="007D32DE">
        <w:rPr>
          <w:sz w:val="24"/>
          <w:szCs w:val="24"/>
        </w:rPr>
        <w:t xml:space="preserve"> not normally</w:t>
      </w:r>
      <w:r w:rsidR="004470BA">
        <w:rPr>
          <w:sz w:val="24"/>
          <w:szCs w:val="24"/>
        </w:rPr>
        <w:t xml:space="preserve"> central to academic philosophiz</w:t>
      </w:r>
      <w:r w:rsidR="007D32DE">
        <w:rPr>
          <w:sz w:val="24"/>
          <w:szCs w:val="24"/>
        </w:rPr>
        <w:t xml:space="preserve">ing </w:t>
      </w:r>
      <w:r w:rsidR="00AB4D84">
        <w:rPr>
          <w:sz w:val="24"/>
          <w:szCs w:val="24"/>
        </w:rPr>
        <w:t>about</w:t>
      </w:r>
      <w:r w:rsidR="007D32DE">
        <w:rPr>
          <w:sz w:val="24"/>
          <w:szCs w:val="24"/>
        </w:rPr>
        <w:t xml:space="preserve"> religion</w:t>
      </w:r>
      <w:r w:rsidR="00FC429C">
        <w:rPr>
          <w:sz w:val="24"/>
          <w:szCs w:val="24"/>
        </w:rPr>
        <w:t>,</w:t>
      </w:r>
      <w:r w:rsidR="007D32DE">
        <w:rPr>
          <w:sz w:val="24"/>
          <w:szCs w:val="24"/>
        </w:rPr>
        <w:t xml:space="preserve"> but</w:t>
      </w:r>
      <w:r w:rsidR="00FC429C">
        <w:rPr>
          <w:sz w:val="24"/>
          <w:szCs w:val="24"/>
        </w:rPr>
        <w:t xml:space="preserve"> that do nevertheless</w:t>
      </w:r>
      <w:r w:rsidR="007D32DE">
        <w:rPr>
          <w:sz w:val="24"/>
          <w:szCs w:val="24"/>
        </w:rPr>
        <w:t xml:space="preserve"> loom large in the consciousness of </w:t>
      </w:r>
      <w:r w:rsidR="00FC429C">
        <w:rPr>
          <w:sz w:val="24"/>
          <w:szCs w:val="24"/>
        </w:rPr>
        <w:t>believers</w:t>
      </w:r>
      <w:r w:rsidR="007D32DE">
        <w:rPr>
          <w:sz w:val="24"/>
          <w:szCs w:val="24"/>
        </w:rPr>
        <w:t xml:space="preserve"> and non-believers al</w:t>
      </w:r>
      <w:r w:rsidR="004E17D6">
        <w:rPr>
          <w:sz w:val="24"/>
          <w:szCs w:val="24"/>
        </w:rPr>
        <w:t>ike outside the academy.</w:t>
      </w:r>
    </w:p>
    <w:p w14:paraId="10DC484E" w14:textId="63558C49" w:rsidR="007D32DE" w:rsidRPr="007B6AEC" w:rsidRDefault="00FC429C" w:rsidP="004B3AA8">
      <w:pPr>
        <w:spacing w:after="0" w:line="480" w:lineRule="auto"/>
        <w:ind w:firstLine="720"/>
        <w:jc w:val="both"/>
        <w:rPr>
          <w:sz w:val="24"/>
          <w:szCs w:val="24"/>
        </w:rPr>
      </w:pPr>
      <w:r>
        <w:rPr>
          <w:sz w:val="24"/>
          <w:szCs w:val="24"/>
        </w:rPr>
        <w:t>In the present essay, we</w:t>
      </w:r>
      <w:r w:rsidR="00D50626">
        <w:rPr>
          <w:sz w:val="24"/>
          <w:szCs w:val="24"/>
        </w:rPr>
        <w:t xml:space="preserve"> continue with the</w:t>
      </w:r>
      <w:r w:rsidR="0038662A">
        <w:rPr>
          <w:sz w:val="24"/>
          <w:szCs w:val="24"/>
        </w:rPr>
        <w:t xml:space="preserve"> </w:t>
      </w:r>
      <w:r w:rsidR="004E17D6">
        <w:rPr>
          <w:sz w:val="24"/>
          <w:szCs w:val="24"/>
        </w:rPr>
        <w:t xml:space="preserve">‘bottom-up’ </w:t>
      </w:r>
      <w:r w:rsidR="00D50626">
        <w:rPr>
          <w:sz w:val="24"/>
          <w:szCs w:val="24"/>
        </w:rPr>
        <w:t>analysis</w:t>
      </w:r>
      <w:r w:rsidR="007D32DE">
        <w:rPr>
          <w:sz w:val="24"/>
          <w:szCs w:val="24"/>
        </w:rPr>
        <w:t xml:space="preserve">. We limit our analysis to cases brought before the </w:t>
      </w:r>
      <w:r>
        <w:rPr>
          <w:sz w:val="24"/>
          <w:szCs w:val="24"/>
        </w:rPr>
        <w:t>European Court of Human Rights [ECtHR]</w:t>
      </w:r>
      <w:r w:rsidR="00EF6F5B">
        <w:rPr>
          <w:sz w:val="24"/>
          <w:szCs w:val="24"/>
        </w:rPr>
        <w:t xml:space="preserve"> under Article 9</w:t>
      </w:r>
      <w:r w:rsidR="007D32DE">
        <w:rPr>
          <w:sz w:val="24"/>
          <w:szCs w:val="24"/>
        </w:rPr>
        <w:t xml:space="preserve"> </w:t>
      </w:r>
      <w:r>
        <w:rPr>
          <w:sz w:val="24"/>
          <w:szCs w:val="24"/>
        </w:rPr>
        <w:t>involving</w:t>
      </w:r>
      <w:r w:rsidR="007D32DE">
        <w:rPr>
          <w:sz w:val="24"/>
          <w:szCs w:val="24"/>
        </w:rPr>
        <w:t xml:space="preserve"> uses of symbols</w:t>
      </w:r>
      <w:r w:rsidR="004C460C">
        <w:rPr>
          <w:sz w:val="24"/>
          <w:szCs w:val="24"/>
        </w:rPr>
        <w:t xml:space="preserve"> or religious clothing</w:t>
      </w:r>
      <w:r w:rsidR="007D32DE">
        <w:rPr>
          <w:sz w:val="24"/>
          <w:szCs w:val="24"/>
        </w:rPr>
        <w:t>, and consider questions surrounding manifestation</w:t>
      </w:r>
      <w:r w:rsidR="00D50626">
        <w:rPr>
          <w:sz w:val="24"/>
          <w:szCs w:val="24"/>
        </w:rPr>
        <w:t xml:space="preserve"> and </w:t>
      </w:r>
      <w:r w:rsidR="007D32DE">
        <w:rPr>
          <w:sz w:val="24"/>
          <w:szCs w:val="24"/>
        </w:rPr>
        <w:t>harm</w:t>
      </w:r>
      <w:r w:rsidR="00895505">
        <w:rPr>
          <w:sz w:val="24"/>
          <w:szCs w:val="24"/>
        </w:rPr>
        <w:t>,</w:t>
      </w:r>
      <w:r w:rsidR="00D50626" w:rsidDel="00D50626">
        <w:rPr>
          <w:sz w:val="24"/>
          <w:szCs w:val="24"/>
        </w:rPr>
        <w:t xml:space="preserve"> </w:t>
      </w:r>
      <w:r w:rsidR="007D32DE">
        <w:rPr>
          <w:sz w:val="24"/>
          <w:szCs w:val="24"/>
        </w:rPr>
        <w:t xml:space="preserve">as a means of </w:t>
      </w:r>
      <w:r w:rsidR="004470BA">
        <w:rPr>
          <w:sz w:val="24"/>
          <w:szCs w:val="24"/>
        </w:rPr>
        <w:t>deepening</w:t>
      </w:r>
      <w:r w:rsidR="007D32DE">
        <w:rPr>
          <w:sz w:val="24"/>
          <w:szCs w:val="24"/>
        </w:rPr>
        <w:t xml:space="preserve"> the conceptual work already being done in </w:t>
      </w:r>
      <w:r w:rsidR="007D32DE">
        <w:rPr>
          <w:sz w:val="24"/>
          <w:szCs w:val="24"/>
        </w:rPr>
        <w:lastRenderedPageBreak/>
        <w:t xml:space="preserve">the ECtHR’s </w:t>
      </w:r>
      <w:r w:rsidR="00E52F06">
        <w:rPr>
          <w:sz w:val="24"/>
          <w:szCs w:val="24"/>
        </w:rPr>
        <w:t>case law</w:t>
      </w:r>
      <w:r w:rsidR="007D32DE">
        <w:rPr>
          <w:sz w:val="24"/>
          <w:szCs w:val="24"/>
        </w:rPr>
        <w:t>.</w:t>
      </w:r>
      <w:r w:rsidR="004E17D6">
        <w:rPr>
          <w:sz w:val="24"/>
          <w:szCs w:val="24"/>
        </w:rPr>
        <w:t xml:space="preserve"> In the concluding paragraphs, we then return to the benefits of reasoning from the bottom up, arguing that this methodological approach to law and religion reflects the type of reasoning to be found in the judgments themselves.</w:t>
      </w:r>
    </w:p>
    <w:p w14:paraId="6DCE9D6B" w14:textId="77777777" w:rsidR="00E45158" w:rsidRDefault="00E45158" w:rsidP="004B3AA8">
      <w:pPr>
        <w:spacing w:after="0" w:line="480" w:lineRule="auto"/>
        <w:ind w:firstLine="720"/>
        <w:jc w:val="both"/>
        <w:rPr>
          <w:sz w:val="24"/>
          <w:szCs w:val="24"/>
        </w:rPr>
      </w:pPr>
    </w:p>
    <w:p w14:paraId="2A79FDD8" w14:textId="77777777" w:rsidR="007D32DE" w:rsidRPr="008A36E1" w:rsidRDefault="007D32DE" w:rsidP="004B3AA8">
      <w:pPr>
        <w:spacing w:after="0" w:line="480" w:lineRule="auto"/>
        <w:ind w:firstLine="720"/>
        <w:jc w:val="both"/>
        <w:rPr>
          <w:sz w:val="24"/>
          <w:szCs w:val="24"/>
        </w:rPr>
      </w:pPr>
    </w:p>
    <w:p w14:paraId="250C1792" w14:textId="77777777" w:rsidR="00E45158" w:rsidRPr="008A36E1" w:rsidRDefault="00E45158" w:rsidP="004B3AA8">
      <w:pPr>
        <w:spacing w:after="0" w:line="480" w:lineRule="auto"/>
        <w:jc w:val="both"/>
        <w:rPr>
          <w:sz w:val="24"/>
          <w:szCs w:val="24"/>
          <w:u w:val="single"/>
        </w:rPr>
      </w:pPr>
      <w:r w:rsidRPr="008A36E1">
        <w:rPr>
          <w:sz w:val="24"/>
          <w:szCs w:val="24"/>
          <w:u w:val="single"/>
        </w:rPr>
        <w:t xml:space="preserve">[2] </w:t>
      </w:r>
      <w:r w:rsidR="007C78BB">
        <w:rPr>
          <w:sz w:val="24"/>
          <w:szCs w:val="24"/>
          <w:u w:val="single"/>
        </w:rPr>
        <w:t xml:space="preserve">Philosophy of religion: </w:t>
      </w:r>
      <w:r w:rsidR="0088508E">
        <w:rPr>
          <w:sz w:val="24"/>
          <w:szCs w:val="24"/>
          <w:u w:val="single"/>
        </w:rPr>
        <w:t>beliefs and practices</w:t>
      </w:r>
    </w:p>
    <w:p w14:paraId="5BF0F62F" w14:textId="4A5AB159" w:rsidR="007D32DE" w:rsidRPr="007D32DE" w:rsidRDefault="007D32DE" w:rsidP="004B3AA8">
      <w:pPr>
        <w:spacing w:after="0" w:line="480" w:lineRule="auto"/>
        <w:jc w:val="both"/>
        <w:rPr>
          <w:rFonts w:eastAsia="Liberation Serif"/>
          <w:sz w:val="24"/>
          <w:szCs w:val="24"/>
        </w:rPr>
      </w:pPr>
      <w:r w:rsidRPr="007D32DE">
        <w:rPr>
          <w:sz w:val="24"/>
          <w:szCs w:val="24"/>
        </w:rPr>
        <w:t>Every case concerning religious symbols brought</w:t>
      </w:r>
      <w:r w:rsidR="0088508E">
        <w:rPr>
          <w:sz w:val="24"/>
          <w:szCs w:val="24"/>
        </w:rPr>
        <w:t xml:space="preserve"> before the ECtHR has been </w:t>
      </w:r>
      <w:r w:rsidR="004470BA">
        <w:rPr>
          <w:sz w:val="24"/>
          <w:szCs w:val="24"/>
        </w:rPr>
        <w:t>considered</w:t>
      </w:r>
      <w:r w:rsidRPr="007D32DE">
        <w:rPr>
          <w:sz w:val="24"/>
          <w:szCs w:val="24"/>
        </w:rPr>
        <w:t xml:space="preserve"> under Article 9</w:t>
      </w:r>
      <w:r w:rsidR="00517C50">
        <w:rPr>
          <w:sz w:val="24"/>
          <w:szCs w:val="24"/>
        </w:rPr>
        <w:t xml:space="preserve"> of the </w:t>
      </w:r>
      <w:r w:rsidR="00115AA8">
        <w:rPr>
          <w:sz w:val="24"/>
          <w:szCs w:val="24"/>
        </w:rPr>
        <w:t>ECHR</w:t>
      </w:r>
      <w:r w:rsidRPr="007D32DE">
        <w:rPr>
          <w:sz w:val="24"/>
          <w:szCs w:val="24"/>
        </w:rPr>
        <w:t>, the article expressly concerned with freedom of th</w:t>
      </w:r>
      <w:r w:rsidR="0088508E">
        <w:rPr>
          <w:sz w:val="24"/>
          <w:szCs w:val="24"/>
        </w:rPr>
        <w:t>ought, conscience, and religion</w:t>
      </w:r>
      <w:r w:rsidR="00895505">
        <w:rPr>
          <w:sz w:val="24"/>
          <w:szCs w:val="24"/>
        </w:rPr>
        <w:t>,</w:t>
      </w:r>
      <w:r w:rsidR="00517C50">
        <w:rPr>
          <w:rStyle w:val="FootnoteReference"/>
          <w:sz w:val="24"/>
          <w:szCs w:val="24"/>
        </w:rPr>
        <w:footnoteReference w:id="7"/>
      </w:r>
      <w:r w:rsidR="004470BA">
        <w:rPr>
          <w:sz w:val="24"/>
          <w:szCs w:val="24"/>
        </w:rPr>
        <w:t xml:space="preserve"> either taken alone or with Article 14, which prohibits discrimination.</w:t>
      </w:r>
      <w:r w:rsidR="00AE4770">
        <w:rPr>
          <w:rStyle w:val="FootnoteReference"/>
          <w:sz w:val="24"/>
          <w:szCs w:val="24"/>
        </w:rPr>
        <w:footnoteReference w:id="8"/>
      </w:r>
      <w:r w:rsidRPr="007D32DE">
        <w:rPr>
          <w:sz w:val="24"/>
          <w:szCs w:val="24"/>
        </w:rPr>
        <w:t xml:space="preserve"> The English text of Article 9 reads:</w:t>
      </w:r>
    </w:p>
    <w:p w14:paraId="4621411D" w14:textId="77777777" w:rsidR="007D32DE" w:rsidRDefault="007D32DE" w:rsidP="004B3AA8">
      <w:pPr>
        <w:pStyle w:val="BodyText"/>
        <w:spacing w:after="0" w:line="480" w:lineRule="auto"/>
        <w:ind w:left="735"/>
        <w:jc w:val="both"/>
        <w:rPr>
          <w:rFonts w:ascii="Times New Roman" w:hAnsi="Times New Roman" w:cs="Times New Roman"/>
        </w:rPr>
      </w:pPr>
    </w:p>
    <w:p w14:paraId="04CBDFCA" w14:textId="77777777" w:rsidR="007D32DE" w:rsidRPr="007D32DE" w:rsidRDefault="007D32DE" w:rsidP="004B3AA8">
      <w:pPr>
        <w:pStyle w:val="BodyText"/>
        <w:spacing w:after="0" w:line="480" w:lineRule="auto"/>
        <w:ind w:left="1440"/>
        <w:jc w:val="both"/>
        <w:rPr>
          <w:rFonts w:ascii="Times New Roman" w:hAnsi="Times New Roman" w:cs="Times New Roman"/>
        </w:rPr>
      </w:pPr>
      <w:r w:rsidRPr="007D32DE">
        <w:rPr>
          <w:rFonts w:ascii="Times New Roman" w:hAnsi="Times New Roman" w:cs="Times New Roman"/>
        </w:rPr>
        <w:t>1. 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p>
    <w:p w14:paraId="1C54EB3A" w14:textId="77777777" w:rsidR="007D32DE" w:rsidRPr="007D32DE" w:rsidRDefault="007D32DE" w:rsidP="004B3AA8">
      <w:pPr>
        <w:pStyle w:val="BodyText"/>
        <w:spacing w:after="0" w:line="480" w:lineRule="auto"/>
        <w:ind w:left="1440"/>
        <w:jc w:val="both"/>
        <w:rPr>
          <w:rFonts w:ascii="Times New Roman" w:hAnsi="Times New Roman" w:cs="Times New Roman"/>
        </w:rPr>
      </w:pPr>
      <w:r w:rsidRPr="007D32DE">
        <w:rPr>
          <w:rFonts w:ascii="Times New Roman" w:hAnsi="Times New Roman" w:cs="Times New Roman"/>
        </w:rPr>
        <w:t>2. 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88508E">
        <w:rPr>
          <w:rStyle w:val="FootnoteReference"/>
          <w:rFonts w:ascii="Times New Roman" w:hAnsi="Times New Roman" w:cs="Times New Roman"/>
        </w:rPr>
        <w:footnoteReference w:id="9"/>
      </w:r>
    </w:p>
    <w:p w14:paraId="00D0D54F" w14:textId="77777777" w:rsidR="007D32DE" w:rsidRDefault="007D32DE" w:rsidP="004B3AA8">
      <w:pPr>
        <w:pStyle w:val="BodyText"/>
        <w:spacing w:after="0" w:line="480" w:lineRule="auto"/>
        <w:jc w:val="both"/>
        <w:rPr>
          <w:rFonts w:ascii="Times New Roman" w:hAnsi="Times New Roman" w:cs="Times New Roman"/>
        </w:rPr>
      </w:pPr>
    </w:p>
    <w:p w14:paraId="6693E4E1" w14:textId="40BA9968" w:rsidR="007D32DE" w:rsidRPr="0088508E" w:rsidRDefault="007D32DE" w:rsidP="004B3AA8">
      <w:pPr>
        <w:pStyle w:val="BodyText"/>
        <w:spacing w:after="0" w:line="480" w:lineRule="auto"/>
        <w:jc w:val="both"/>
        <w:rPr>
          <w:rFonts w:ascii="Times New Roman" w:hAnsi="Times New Roman" w:cs="Times New Roman"/>
        </w:rPr>
      </w:pPr>
      <w:r w:rsidRPr="007D32DE">
        <w:rPr>
          <w:rFonts w:ascii="Times New Roman" w:hAnsi="Times New Roman" w:cs="Times New Roman"/>
        </w:rPr>
        <w:t>Although the first clause</w:t>
      </w:r>
      <w:r w:rsidR="006351E5">
        <w:rPr>
          <w:rFonts w:ascii="Times New Roman" w:hAnsi="Times New Roman" w:cs="Times New Roman"/>
        </w:rPr>
        <w:t xml:space="preserve"> of 9(1)</w:t>
      </w:r>
      <w:r w:rsidRPr="007D32DE">
        <w:rPr>
          <w:rFonts w:ascii="Times New Roman" w:hAnsi="Times New Roman" w:cs="Times New Roman"/>
        </w:rPr>
        <w:t xml:space="preserve"> protecting the ‘</w:t>
      </w:r>
      <w:r w:rsidRPr="0088508E">
        <w:rPr>
          <w:rFonts w:ascii="Times New Roman" w:hAnsi="Times New Roman" w:cs="Times New Roman"/>
          <w:i/>
        </w:rPr>
        <w:t>forum internum</w:t>
      </w:r>
      <w:r w:rsidRPr="007D32DE">
        <w:rPr>
          <w:rFonts w:ascii="Times New Roman" w:hAnsi="Times New Roman" w:cs="Times New Roman"/>
        </w:rPr>
        <w:t>’</w:t>
      </w:r>
      <w:r w:rsidR="004E17D6">
        <w:rPr>
          <w:rFonts w:ascii="Times New Roman" w:hAnsi="Times New Roman" w:cs="Times New Roman"/>
        </w:rPr>
        <w:t>, i.e.</w:t>
      </w:r>
      <w:r w:rsidRPr="007D32DE">
        <w:rPr>
          <w:rFonts w:ascii="Times New Roman" w:hAnsi="Times New Roman" w:cs="Times New Roman"/>
        </w:rPr>
        <w:t xml:space="preserve"> the holding of beliefs</w:t>
      </w:r>
      <w:r w:rsidR="004E17D6">
        <w:rPr>
          <w:rFonts w:ascii="Times New Roman" w:hAnsi="Times New Roman" w:cs="Times New Roman"/>
        </w:rPr>
        <w:t>,</w:t>
      </w:r>
      <w:r w:rsidRPr="007D32DE">
        <w:rPr>
          <w:rFonts w:ascii="Times New Roman" w:hAnsi="Times New Roman" w:cs="Times New Roman"/>
        </w:rPr>
        <w:t xml:space="preserve"> is </w:t>
      </w:r>
      <w:r w:rsidR="0088508E">
        <w:rPr>
          <w:rFonts w:ascii="Times New Roman" w:hAnsi="Times New Roman" w:cs="Times New Roman"/>
        </w:rPr>
        <w:lastRenderedPageBreak/>
        <w:t>a fundamental</w:t>
      </w:r>
      <w:r w:rsidR="009A1B6C">
        <w:rPr>
          <w:rFonts w:ascii="Times New Roman" w:hAnsi="Times New Roman" w:cs="Times New Roman"/>
        </w:rPr>
        <w:t xml:space="preserve"> part of </w:t>
      </w:r>
      <w:r w:rsidR="006351E5">
        <w:rPr>
          <w:rFonts w:ascii="Times New Roman" w:hAnsi="Times New Roman" w:cs="Times New Roman"/>
        </w:rPr>
        <w:t>the article</w:t>
      </w:r>
      <w:r w:rsidRPr="007D32DE">
        <w:rPr>
          <w:rFonts w:ascii="Times New Roman" w:hAnsi="Times New Roman" w:cs="Times New Roman"/>
        </w:rPr>
        <w:t>, almost every case</w:t>
      </w:r>
      <w:r w:rsidR="006351E5">
        <w:rPr>
          <w:rFonts w:ascii="Times New Roman" w:hAnsi="Times New Roman" w:cs="Times New Roman"/>
        </w:rPr>
        <w:t xml:space="preserve"> brought under Article 9</w:t>
      </w:r>
      <w:r w:rsidRPr="007D32DE">
        <w:rPr>
          <w:rFonts w:ascii="Times New Roman" w:hAnsi="Times New Roman" w:cs="Times New Roman"/>
        </w:rPr>
        <w:t xml:space="preserve"> concerns one of the later clauses</w:t>
      </w:r>
      <w:r w:rsidR="009A1B6C">
        <w:rPr>
          <w:rFonts w:ascii="Times New Roman" w:hAnsi="Times New Roman" w:cs="Times New Roman"/>
        </w:rPr>
        <w:t>—that is, concerns</w:t>
      </w:r>
      <w:r w:rsidRPr="007D32DE">
        <w:rPr>
          <w:rFonts w:ascii="Times New Roman" w:hAnsi="Times New Roman" w:cs="Times New Roman"/>
        </w:rPr>
        <w:t xml:space="preserve"> the freedom to manifest one’s religion or belief, in worship, teaching, practice, and observance. </w:t>
      </w:r>
    </w:p>
    <w:p w14:paraId="52C079E2" w14:textId="4FC6531F" w:rsidR="007D32DE" w:rsidRPr="007D32DE" w:rsidRDefault="0088508E" w:rsidP="004B3AA8">
      <w:pPr>
        <w:spacing w:after="0" w:line="480" w:lineRule="auto"/>
        <w:ind w:firstLine="720"/>
        <w:jc w:val="both"/>
        <w:rPr>
          <w:sz w:val="24"/>
          <w:szCs w:val="24"/>
        </w:rPr>
      </w:pPr>
      <w:r>
        <w:rPr>
          <w:sz w:val="24"/>
          <w:szCs w:val="24"/>
          <w:lang w:val="en-US"/>
        </w:rPr>
        <w:t>We l</w:t>
      </w:r>
      <w:r w:rsidR="007D32DE" w:rsidRPr="007D32DE">
        <w:rPr>
          <w:sz w:val="24"/>
          <w:szCs w:val="24"/>
        </w:rPr>
        <w:t>eav</w:t>
      </w:r>
      <w:r>
        <w:rPr>
          <w:sz w:val="24"/>
          <w:szCs w:val="24"/>
        </w:rPr>
        <w:t>e</w:t>
      </w:r>
      <w:r w:rsidR="007D32DE" w:rsidRPr="007D32DE">
        <w:rPr>
          <w:sz w:val="24"/>
          <w:szCs w:val="24"/>
        </w:rPr>
        <w:t xml:space="preserve"> aside for the purposes of this essay what kind of convictions are to be included under the phrase ‘religion or belief’</w:t>
      </w:r>
      <w:r>
        <w:rPr>
          <w:sz w:val="24"/>
          <w:szCs w:val="24"/>
        </w:rPr>
        <w:t>. O</w:t>
      </w:r>
      <w:r w:rsidR="002867C7">
        <w:rPr>
          <w:sz w:val="24"/>
          <w:szCs w:val="24"/>
        </w:rPr>
        <w:t>nce it had</w:t>
      </w:r>
      <w:r w:rsidR="007D32DE" w:rsidRPr="007D32DE">
        <w:rPr>
          <w:sz w:val="24"/>
          <w:szCs w:val="24"/>
        </w:rPr>
        <w:t xml:space="preserve"> been </w:t>
      </w:r>
      <w:r w:rsidR="00517C50">
        <w:rPr>
          <w:sz w:val="24"/>
          <w:szCs w:val="24"/>
        </w:rPr>
        <w:t>established satisfactorily</w:t>
      </w:r>
      <w:r w:rsidR="007D32DE" w:rsidRPr="007D32DE">
        <w:rPr>
          <w:sz w:val="24"/>
          <w:szCs w:val="24"/>
        </w:rPr>
        <w:t xml:space="preserve"> that the </w:t>
      </w:r>
      <w:r w:rsidR="00517C50">
        <w:rPr>
          <w:sz w:val="24"/>
          <w:szCs w:val="24"/>
        </w:rPr>
        <w:t xml:space="preserve">applicant’s </w:t>
      </w:r>
      <w:r w:rsidR="005534FC">
        <w:rPr>
          <w:sz w:val="24"/>
          <w:szCs w:val="24"/>
        </w:rPr>
        <w:t>view</w:t>
      </w:r>
      <w:r w:rsidR="005534FC" w:rsidRPr="007D32DE">
        <w:rPr>
          <w:sz w:val="24"/>
          <w:szCs w:val="24"/>
        </w:rPr>
        <w:t xml:space="preserve"> </w:t>
      </w:r>
      <w:r w:rsidR="009B38E1" w:rsidRPr="007D32DE">
        <w:rPr>
          <w:sz w:val="24"/>
          <w:szCs w:val="24"/>
        </w:rPr>
        <w:t>d</w:t>
      </w:r>
      <w:r w:rsidR="009B38E1">
        <w:rPr>
          <w:sz w:val="24"/>
          <w:szCs w:val="24"/>
        </w:rPr>
        <w:t>id</w:t>
      </w:r>
      <w:r w:rsidR="009B38E1" w:rsidRPr="007D32DE">
        <w:rPr>
          <w:sz w:val="24"/>
          <w:szCs w:val="24"/>
        </w:rPr>
        <w:t xml:space="preserve"> </w:t>
      </w:r>
      <w:r w:rsidR="007D32DE" w:rsidRPr="007D32DE">
        <w:rPr>
          <w:sz w:val="24"/>
          <w:szCs w:val="24"/>
        </w:rPr>
        <w:t xml:space="preserve">fall under this rubric, </w:t>
      </w:r>
      <w:r w:rsidR="004D3016">
        <w:rPr>
          <w:sz w:val="24"/>
          <w:szCs w:val="24"/>
        </w:rPr>
        <w:t xml:space="preserve">the ECtHR </w:t>
      </w:r>
      <w:r w:rsidR="00517C50">
        <w:rPr>
          <w:sz w:val="24"/>
          <w:szCs w:val="24"/>
        </w:rPr>
        <w:t xml:space="preserve">traditionally </w:t>
      </w:r>
      <w:r w:rsidR="00902CD0">
        <w:rPr>
          <w:sz w:val="24"/>
          <w:szCs w:val="24"/>
        </w:rPr>
        <w:t xml:space="preserve">went </w:t>
      </w:r>
      <w:r w:rsidR="00517C50">
        <w:rPr>
          <w:sz w:val="24"/>
          <w:szCs w:val="24"/>
        </w:rPr>
        <w:t>on to consider</w:t>
      </w:r>
      <w:r w:rsidR="007D32DE" w:rsidRPr="007D32DE">
        <w:rPr>
          <w:sz w:val="24"/>
          <w:szCs w:val="24"/>
        </w:rPr>
        <w:t xml:space="preserve"> whether the particular action at issue in the case </w:t>
      </w:r>
      <w:r w:rsidR="0049468C">
        <w:rPr>
          <w:sz w:val="24"/>
          <w:szCs w:val="24"/>
        </w:rPr>
        <w:t>wa</w:t>
      </w:r>
      <w:r w:rsidR="007D32DE" w:rsidRPr="007D32DE">
        <w:rPr>
          <w:sz w:val="24"/>
          <w:szCs w:val="24"/>
        </w:rPr>
        <w:t>s a manifestation of t</w:t>
      </w:r>
      <w:r w:rsidR="00517C50">
        <w:rPr>
          <w:sz w:val="24"/>
          <w:szCs w:val="24"/>
        </w:rPr>
        <w:t>hat belief</w:t>
      </w:r>
      <w:r w:rsidR="007D32DE" w:rsidRPr="007D32DE">
        <w:rPr>
          <w:sz w:val="24"/>
          <w:szCs w:val="24"/>
        </w:rPr>
        <w:t xml:space="preserve">. Even once that </w:t>
      </w:r>
      <w:r w:rsidR="009A1B6C">
        <w:rPr>
          <w:sz w:val="24"/>
          <w:szCs w:val="24"/>
        </w:rPr>
        <w:t>had</w:t>
      </w:r>
      <w:r w:rsidR="004D3016">
        <w:rPr>
          <w:sz w:val="24"/>
          <w:szCs w:val="24"/>
        </w:rPr>
        <w:t xml:space="preserve"> been established, it remained</w:t>
      </w:r>
      <w:r w:rsidR="0049468C">
        <w:rPr>
          <w:sz w:val="24"/>
          <w:szCs w:val="24"/>
        </w:rPr>
        <w:t xml:space="preserve"> to be seen whether there had</w:t>
      </w:r>
      <w:r w:rsidR="007D32DE" w:rsidRPr="007D32DE">
        <w:rPr>
          <w:sz w:val="24"/>
          <w:szCs w:val="24"/>
        </w:rPr>
        <w:t xml:space="preserve"> been an interference with that manifestation, and, if so, whether the interference </w:t>
      </w:r>
      <w:r w:rsidR="0049468C">
        <w:rPr>
          <w:sz w:val="24"/>
          <w:szCs w:val="24"/>
        </w:rPr>
        <w:t>had been</w:t>
      </w:r>
      <w:r w:rsidR="007D32DE" w:rsidRPr="007D32DE">
        <w:rPr>
          <w:sz w:val="24"/>
          <w:szCs w:val="24"/>
        </w:rPr>
        <w:t xml:space="preserve"> justified. </w:t>
      </w:r>
    </w:p>
    <w:p w14:paraId="3D10B8DB" w14:textId="4219AE04" w:rsidR="007D32DE" w:rsidRPr="007D32DE" w:rsidRDefault="007D32DE" w:rsidP="004B3AA8">
      <w:pPr>
        <w:spacing w:after="0" w:line="480" w:lineRule="auto"/>
        <w:ind w:firstLine="720"/>
        <w:jc w:val="both"/>
        <w:rPr>
          <w:sz w:val="24"/>
          <w:szCs w:val="24"/>
        </w:rPr>
      </w:pPr>
      <w:r w:rsidRPr="007D32DE">
        <w:rPr>
          <w:sz w:val="24"/>
          <w:szCs w:val="24"/>
        </w:rPr>
        <w:t>Historically, t</w:t>
      </w:r>
      <w:r w:rsidR="004D3016">
        <w:rPr>
          <w:sz w:val="24"/>
          <w:szCs w:val="24"/>
        </w:rPr>
        <w:t xml:space="preserve">he Court and the </w:t>
      </w:r>
      <w:r w:rsidR="00D75085">
        <w:rPr>
          <w:sz w:val="24"/>
          <w:szCs w:val="24"/>
        </w:rPr>
        <w:t xml:space="preserve">(now-defunct) European </w:t>
      </w:r>
      <w:r w:rsidR="004D3016">
        <w:rPr>
          <w:sz w:val="24"/>
          <w:szCs w:val="24"/>
        </w:rPr>
        <w:t>Commission</w:t>
      </w:r>
      <w:r w:rsidR="00D75085">
        <w:rPr>
          <w:sz w:val="24"/>
          <w:szCs w:val="24"/>
        </w:rPr>
        <w:t xml:space="preserve"> </w:t>
      </w:r>
      <w:r w:rsidR="00AB6A81">
        <w:rPr>
          <w:sz w:val="24"/>
          <w:szCs w:val="24"/>
        </w:rPr>
        <w:t>of</w:t>
      </w:r>
      <w:r w:rsidR="00D75085">
        <w:rPr>
          <w:sz w:val="24"/>
          <w:szCs w:val="24"/>
        </w:rPr>
        <w:t xml:space="preserve"> Human Rights</w:t>
      </w:r>
      <w:r w:rsidR="004D3016">
        <w:rPr>
          <w:sz w:val="24"/>
          <w:szCs w:val="24"/>
        </w:rPr>
        <w:t xml:space="preserve"> </w:t>
      </w:r>
      <w:r w:rsidR="004E17D6">
        <w:rPr>
          <w:sz w:val="24"/>
          <w:szCs w:val="24"/>
        </w:rPr>
        <w:t>were</w:t>
      </w:r>
      <w:r w:rsidRPr="007D32DE">
        <w:rPr>
          <w:sz w:val="24"/>
          <w:szCs w:val="24"/>
        </w:rPr>
        <w:t xml:space="preserve"> reluctant to find manifestations, and reluctant to find interference.</w:t>
      </w:r>
      <w:r w:rsidR="00517C50">
        <w:rPr>
          <w:rStyle w:val="FootnoteReference"/>
          <w:sz w:val="24"/>
          <w:szCs w:val="24"/>
        </w:rPr>
        <w:footnoteReference w:id="10"/>
      </w:r>
      <w:r w:rsidRPr="007D32DE">
        <w:rPr>
          <w:sz w:val="24"/>
          <w:szCs w:val="24"/>
        </w:rPr>
        <w:t xml:space="preserve"> The classic example of the first reluctance is the case of </w:t>
      </w:r>
      <w:r w:rsidRPr="007D32DE">
        <w:rPr>
          <w:i/>
          <w:iCs/>
          <w:sz w:val="24"/>
          <w:szCs w:val="24"/>
        </w:rPr>
        <w:t>Arrowsmith v UK</w:t>
      </w:r>
      <w:r w:rsidRPr="007D32DE">
        <w:rPr>
          <w:sz w:val="24"/>
          <w:szCs w:val="24"/>
        </w:rPr>
        <w:t>.</w:t>
      </w:r>
      <w:r w:rsidRPr="00517C50">
        <w:rPr>
          <w:rStyle w:val="Footnoteanchor"/>
          <w:sz w:val="24"/>
          <w:szCs w:val="24"/>
        </w:rPr>
        <w:footnoteReference w:id="11"/>
      </w:r>
      <w:r w:rsidRPr="007D32DE">
        <w:rPr>
          <w:sz w:val="24"/>
          <w:szCs w:val="24"/>
        </w:rPr>
        <w:t xml:space="preserve"> At para 71 of the judgment the Commission stated:</w:t>
      </w:r>
    </w:p>
    <w:p w14:paraId="459076A9" w14:textId="77777777" w:rsidR="007D32DE" w:rsidRPr="007D32DE" w:rsidRDefault="007D32DE" w:rsidP="004B3AA8">
      <w:pPr>
        <w:spacing w:after="0" w:line="480" w:lineRule="auto"/>
        <w:ind w:left="720" w:firstLine="720"/>
        <w:jc w:val="both"/>
        <w:rPr>
          <w:sz w:val="24"/>
          <w:szCs w:val="24"/>
        </w:rPr>
      </w:pPr>
    </w:p>
    <w:p w14:paraId="522507B6" w14:textId="4B91C08F" w:rsidR="007D32DE" w:rsidRPr="007D32DE" w:rsidRDefault="007D32DE" w:rsidP="004B3AA8">
      <w:pPr>
        <w:spacing w:after="0" w:line="480" w:lineRule="auto"/>
        <w:ind w:left="1440"/>
        <w:jc w:val="both"/>
        <w:rPr>
          <w:sz w:val="24"/>
          <w:szCs w:val="24"/>
        </w:rPr>
      </w:pPr>
      <w:r w:rsidRPr="007D32DE">
        <w:rPr>
          <w:sz w:val="24"/>
          <w:szCs w:val="24"/>
        </w:rPr>
        <w:t>the term ‘practice’ as employed in Article 9 (1) does not cover each act which is motivated or influenced by a religion or a belief. […]</w:t>
      </w:r>
      <w:r w:rsidR="00AB6A81">
        <w:rPr>
          <w:sz w:val="24"/>
          <w:szCs w:val="24"/>
        </w:rPr>
        <w:t xml:space="preserve"> </w:t>
      </w:r>
      <w:r w:rsidRPr="007D32DE">
        <w:rPr>
          <w:sz w:val="24"/>
          <w:szCs w:val="24"/>
        </w:rPr>
        <w:t>when the actions of individuals do not actually express the belief concerned they cannot be considered to be as such protected by Article 9 (1), even when they are motivated or influenced by it.</w:t>
      </w:r>
      <w:r w:rsidRPr="00517C50">
        <w:rPr>
          <w:rStyle w:val="Footnoteanchor"/>
          <w:sz w:val="24"/>
          <w:szCs w:val="24"/>
        </w:rPr>
        <w:footnoteReference w:id="12"/>
      </w:r>
    </w:p>
    <w:p w14:paraId="71A5B48B" w14:textId="77777777" w:rsidR="007D32DE" w:rsidRPr="007D32DE" w:rsidRDefault="007D32DE" w:rsidP="004B3AA8">
      <w:pPr>
        <w:spacing w:after="0" w:line="480" w:lineRule="auto"/>
        <w:ind w:firstLine="720"/>
        <w:jc w:val="both"/>
        <w:rPr>
          <w:sz w:val="24"/>
          <w:szCs w:val="24"/>
        </w:rPr>
      </w:pPr>
    </w:p>
    <w:p w14:paraId="7D0C3A1E" w14:textId="77777777" w:rsidR="007D32DE" w:rsidRPr="007D32DE" w:rsidRDefault="00115AA8" w:rsidP="004B3AA8">
      <w:pPr>
        <w:spacing w:after="0" w:line="480" w:lineRule="auto"/>
        <w:jc w:val="both"/>
        <w:rPr>
          <w:b/>
          <w:bCs/>
          <w:i/>
          <w:iCs/>
          <w:sz w:val="24"/>
          <w:szCs w:val="24"/>
          <w:u w:val="single"/>
        </w:rPr>
      </w:pPr>
      <w:r>
        <w:rPr>
          <w:sz w:val="24"/>
          <w:szCs w:val="24"/>
        </w:rPr>
        <w:t>T</w:t>
      </w:r>
      <w:r w:rsidR="007D32DE" w:rsidRPr="007D32DE">
        <w:rPr>
          <w:sz w:val="24"/>
          <w:szCs w:val="24"/>
        </w:rPr>
        <w:t>he Commission here establishes</w:t>
      </w:r>
      <w:r w:rsidR="002867C7">
        <w:rPr>
          <w:sz w:val="24"/>
          <w:szCs w:val="24"/>
        </w:rPr>
        <w:t xml:space="preserve"> a</w:t>
      </w:r>
      <w:r>
        <w:rPr>
          <w:sz w:val="24"/>
          <w:szCs w:val="24"/>
        </w:rPr>
        <w:t xml:space="preserve"> principle that determines its ‘manifestation test’:</w:t>
      </w:r>
      <w:r w:rsidR="007D32DE" w:rsidRPr="007D32DE">
        <w:rPr>
          <w:sz w:val="24"/>
          <w:szCs w:val="24"/>
        </w:rPr>
        <w:t xml:space="preserve"> in order for an action to count as a protected practice of a belief</w:t>
      </w:r>
      <w:r w:rsidR="007F525E">
        <w:rPr>
          <w:sz w:val="24"/>
          <w:szCs w:val="24"/>
        </w:rPr>
        <w:t>,</w:t>
      </w:r>
      <w:r w:rsidR="007D32DE" w:rsidRPr="007D32DE">
        <w:rPr>
          <w:sz w:val="24"/>
          <w:szCs w:val="24"/>
        </w:rPr>
        <w:t xml:space="preserve"> it must ‘express’ (later ‘directly </w:t>
      </w:r>
      <w:r w:rsidR="007D32DE" w:rsidRPr="007D32DE">
        <w:rPr>
          <w:sz w:val="24"/>
          <w:szCs w:val="24"/>
        </w:rPr>
        <w:lastRenderedPageBreak/>
        <w:t>express’</w:t>
      </w:r>
      <w:r w:rsidR="007D32DE" w:rsidRPr="00517C50">
        <w:rPr>
          <w:rStyle w:val="Footnoteanchor"/>
          <w:sz w:val="24"/>
          <w:szCs w:val="24"/>
        </w:rPr>
        <w:footnoteReference w:id="13"/>
      </w:r>
      <w:r w:rsidR="007D32DE" w:rsidRPr="007D32DE">
        <w:rPr>
          <w:sz w:val="24"/>
          <w:szCs w:val="24"/>
        </w:rPr>
        <w:t>) the belief in question; it is not sufficient for the action to be motivat</w:t>
      </w:r>
      <w:r w:rsidR="007F525E">
        <w:rPr>
          <w:sz w:val="24"/>
          <w:szCs w:val="24"/>
        </w:rPr>
        <w:t>ed or influenced by the belief.</w:t>
      </w:r>
    </w:p>
    <w:p w14:paraId="591E9A64" w14:textId="136AAE83" w:rsidR="007D32DE" w:rsidRPr="007D32DE" w:rsidRDefault="00517C50" w:rsidP="004B3AA8">
      <w:pPr>
        <w:spacing w:after="0" w:line="480" w:lineRule="auto"/>
        <w:ind w:firstLine="720"/>
        <w:jc w:val="both"/>
        <w:rPr>
          <w:rFonts w:eastAsia="Times New Roman"/>
          <w:sz w:val="24"/>
          <w:szCs w:val="24"/>
        </w:rPr>
      </w:pPr>
      <w:r>
        <w:rPr>
          <w:sz w:val="24"/>
          <w:szCs w:val="24"/>
        </w:rPr>
        <w:t>2004</w:t>
      </w:r>
      <w:r w:rsidR="00AB6A81">
        <w:rPr>
          <w:sz w:val="24"/>
          <w:szCs w:val="24"/>
        </w:rPr>
        <w:t>, however,</w:t>
      </w:r>
      <w:r>
        <w:rPr>
          <w:sz w:val="24"/>
          <w:szCs w:val="24"/>
        </w:rPr>
        <w:t xml:space="preserve"> </w:t>
      </w:r>
      <w:r w:rsidR="00F105F3">
        <w:rPr>
          <w:sz w:val="24"/>
          <w:szCs w:val="24"/>
        </w:rPr>
        <w:t xml:space="preserve">saw </w:t>
      </w:r>
      <w:r>
        <w:rPr>
          <w:sz w:val="24"/>
          <w:szCs w:val="24"/>
        </w:rPr>
        <w:t xml:space="preserve">a </w:t>
      </w:r>
      <w:r w:rsidR="002867C7">
        <w:rPr>
          <w:sz w:val="24"/>
          <w:szCs w:val="24"/>
        </w:rPr>
        <w:t xml:space="preserve">remarkable shift in this regard with </w:t>
      </w:r>
      <w:r w:rsidR="00AB6A81">
        <w:rPr>
          <w:sz w:val="24"/>
          <w:szCs w:val="24"/>
        </w:rPr>
        <w:t>t</w:t>
      </w:r>
      <w:r w:rsidR="007D32DE" w:rsidRPr="007D32DE">
        <w:rPr>
          <w:sz w:val="24"/>
          <w:szCs w:val="24"/>
        </w:rPr>
        <w:t xml:space="preserve">he case of </w:t>
      </w:r>
      <w:r w:rsidR="007D32DE" w:rsidRPr="007D32DE">
        <w:rPr>
          <w:rFonts w:eastAsia="Times New Roman"/>
          <w:i/>
          <w:iCs/>
          <w:sz w:val="24"/>
          <w:szCs w:val="24"/>
        </w:rPr>
        <w:t>Şahin v Turkey</w:t>
      </w:r>
      <w:r w:rsidR="002867C7">
        <w:rPr>
          <w:rFonts w:eastAsia="Times New Roman"/>
          <w:sz w:val="24"/>
          <w:szCs w:val="24"/>
        </w:rPr>
        <w:t>.</w:t>
      </w:r>
      <w:r w:rsidR="007D32DE" w:rsidRPr="00517C50">
        <w:rPr>
          <w:rStyle w:val="Footnoteanchor"/>
          <w:rFonts w:eastAsia="Times New Roman"/>
          <w:sz w:val="24"/>
          <w:szCs w:val="24"/>
        </w:rPr>
        <w:footnoteReference w:id="14"/>
      </w:r>
      <w:r>
        <w:rPr>
          <w:rFonts w:eastAsia="Times New Roman"/>
          <w:sz w:val="24"/>
          <w:szCs w:val="24"/>
        </w:rPr>
        <w:t xml:space="preserve"> </w:t>
      </w:r>
      <w:r w:rsidR="002867C7">
        <w:rPr>
          <w:rFonts w:eastAsia="Times New Roman"/>
          <w:sz w:val="24"/>
          <w:szCs w:val="24"/>
        </w:rPr>
        <w:t>P</w:t>
      </w:r>
      <w:r w:rsidR="007D32DE" w:rsidRPr="007D32DE">
        <w:rPr>
          <w:rFonts w:eastAsia="Times New Roman"/>
          <w:sz w:val="24"/>
          <w:szCs w:val="24"/>
        </w:rPr>
        <w:t>recedent would have suggested that the Court spent a long time</w:t>
      </w:r>
      <w:r>
        <w:rPr>
          <w:rFonts w:eastAsia="Times New Roman"/>
          <w:sz w:val="24"/>
          <w:szCs w:val="24"/>
        </w:rPr>
        <w:t xml:space="preserve"> deciding under 9(1) whether</w:t>
      </w:r>
      <w:r w:rsidR="00C92A81">
        <w:rPr>
          <w:rFonts w:eastAsia="Times New Roman"/>
          <w:sz w:val="24"/>
          <w:szCs w:val="24"/>
        </w:rPr>
        <w:t xml:space="preserve"> Şahin’s actions—her wearing of a headscarf at a state university—</w:t>
      </w:r>
      <w:r w:rsidR="007D32DE" w:rsidRPr="007D32DE">
        <w:rPr>
          <w:rFonts w:eastAsia="Times New Roman"/>
          <w:sz w:val="24"/>
          <w:szCs w:val="24"/>
        </w:rPr>
        <w:t>were really manifestations of a protected belief. Instead,</w:t>
      </w:r>
      <w:r>
        <w:rPr>
          <w:rFonts w:eastAsia="Times New Roman"/>
          <w:sz w:val="24"/>
          <w:szCs w:val="24"/>
        </w:rPr>
        <w:t xml:space="preserve"> however,</w:t>
      </w:r>
      <w:r w:rsidR="00C92A81">
        <w:rPr>
          <w:rFonts w:eastAsia="Times New Roman"/>
          <w:sz w:val="24"/>
          <w:szCs w:val="24"/>
        </w:rPr>
        <w:t xml:space="preserve"> the Court</w:t>
      </w:r>
      <w:r w:rsidR="007D32DE" w:rsidRPr="007D32DE">
        <w:rPr>
          <w:rFonts w:eastAsia="Times New Roman"/>
          <w:sz w:val="24"/>
          <w:szCs w:val="24"/>
        </w:rPr>
        <w:t xml:space="preserve"> </w:t>
      </w:r>
      <w:r w:rsidR="00C92A81">
        <w:rPr>
          <w:rFonts w:eastAsia="Times New Roman"/>
          <w:sz w:val="24"/>
          <w:szCs w:val="24"/>
        </w:rPr>
        <w:t>(</w:t>
      </w:r>
      <w:r w:rsidR="007D32DE" w:rsidRPr="007D32DE">
        <w:rPr>
          <w:rFonts w:eastAsia="Times New Roman"/>
          <w:sz w:val="24"/>
          <w:szCs w:val="24"/>
        </w:rPr>
        <w:t xml:space="preserve">both at the initial Chamber level and at the later level of </w:t>
      </w:r>
      <w:r w:rsidR="00C92A81">
        <w:rPr>
          <w:rFonts w:eastAsia="Times New Roman"/>
          <w:sz w:val="24"/>
          <w:szCs w:val="24"/>
        </w:rPr>
        <w:t>the Grand Chamber)</w:t>
      </w:r>
      <w:r w:rsidR="007D32DE" w:rsidRPr="007D32DE">
        <w:rPr>
          <w:rFonts w:eastAsia="Times New Roman"/>
          <w:sz w:val="24"/>
          <w:szCs w:val="24"/>
        </w:rPr>
        <w:t xml:space="preserve"> bypassed these questions and went straight to consideration of whether any interference that there might have been was justified under </w:t>
      </w:r>
      <w:r w:rsidR="002E77CD">
        <w:rPr>
          <w:rFonts w:eastAsia="Times New Roman"/>
          <w:sz w:val="24"/>
          <w:szCs w:val="24"/>
        </w:rPr>
        <w:t xml:space="preserve">Article </w:t>
      </w:r>
      <w:r w:rsidR="007D32DE" w:rsidRPr="007D32DE">
        <w:rPr>
          <w:rFonts w:eastAsia="Times New Roman"/>
          <w:sz w:val="24"/>
          <w:szCs w:val="24"/>
        </w:rPr>
        <w:t>9(2). The key passage is in para 71 of the Chamber’s judgment:</w:t>
      </w:r>
    </w:p>
    <w:p w14:paraId="0615D429" w14:textId="77777777" w:rsidR="007D32DE" w:rsidRDefault="007D32DE" w:rsidP="004B3AA8">
      <w:pPr>
        <w:spacing w:after="0" w:line="480" w:lineRule="auto"/>
        <w:ind w:left="720"/>
        <w:jc w:val="both"/>
        <w:rPr>
          <w:rFonts w:eastAsia="Times New Roman"/>
          <w:sz w:val="24"/>
          <w:szCs w:val="24"/>
        </w:rPr>
      </w:pPr>
    </w:p>
    <w:p w14:paraId="0E78D69B" w14:textId="77777777" w:rsidR="007D32DE" w:rsidRPr="007D32DE" w:rsidRDefault="007D32DE" w:rsidP="004B3AA8">
      <w:pPr>
        <w:spacing w:after="0" w:line="480" w:lineRule="auto"/>
        <w:ind w:left="1440"/>
        <w:jc w:val="both"/>
        <w:rPr>
          <w:rFonts w:eastAsia="Times New Roman"/>
          <w:sz w:val="24"/>
          <w:szCs w:val="24"/>
        </w:rPr>
      </w:pPr>
      <w:r w:rsidRPr="007D32DE">
        <w:rPr>
          <w:rFonts w:eastAsia="Times New Roman"/>
          <w:sz w:val="24"/>
          <w:szCs w:val="24"/>
        </w:rPr>
        <w:t>her decision to wear the headscarf may be regarded as motivated or inspired by a religion or belief and, without deciding whether such decisions are in every case taken to fulfil a religious duty, the Court proceeds on the assumption that the regulations in issue, which placed restrictions of place and manner on the right to wear the Islamic headscarf in universities, constituted an interference with the applicant’s right to manifest her religion.</w:t>
      </w:r>
      <w:r w:rsidRPr="00517C50">
        <w:rPr>
          <w:rStyle w:val="Footnoteanchor"/>
          <w:rFonts w:eastAsia="Times New Roman"/>
          <w:sz w:val="24"/>
          <w:szCs w:val="24"/>
        </w:rPr>
        <w:footnoteReference w:id="15"/>
      </w:r>
    </w:p>
    <w:p w14:paraId="4CCDA424" w14:textId="77777777" w:rsidR="007D32DE" w:rsidRDefault="007D32DE" w:rsidP="004B3AA8">
      <w:pPr>
        <w:spacing w:after="0" w:line="480" w:lineRule="auto"/>
        <w:jc w:val="both"/>
        <w:rPr>
          <w:rFonts w:eastAsia="Times New Roman"/>
          <w:sz w:val="24"/>
          <w:szCs w:val="24"/>
        </w:rPr>
      </w:pPr>
    </w:p>
    <w:p w14:paraId="081EDCE3" w14:textId="02329B17" w:rsidR="00C02650" w:rsidRDefault="007D32DE" w:rsidP="004B3AA8">
      <w:pPr>
        <w:spacing w:after="0" w:line="480" w:lineRule="auto"/>
        <w:jc w:val="both"/>
        <w:rPr>
          <w:iCs/>
          <w:sz w:val="24"/>
          <w:szCs w:val="24"/>
          <w:u w:val="single"/>
        </w:rPr>
      </w:pPr>
      <w:r w:rsidRPr="007D32DE">
        <w:rPr>
          <w:rFonts w:eastAsia="Times New Roman"/>
          <w:sz w:val="24"/>
          <w:szCs w:val="24"/>
        </w:rPr>
        <w:t>The Grand Chamber quote</w:t>
      </w:r>
      <w:r w:rsidR="004E17D6">
        <w:rPr>
          <w:rFonts w:eastAsia="Times New Roman"/>
          <w:sz w:val="24"/>
          <w:szCs w:val="24"/>
        </w:rPr>
        <w:t>d</w:t>
      </w:r>
      <w:r w:rsidRPr="007D32DE">
        <w:rPr>
          <w:rFonts w:eastAsia="Times New Roman"/>
          <w:sz w:val="24"/>
          <w:szCs w:val="24"/>
        </w:rPr>
        <w:t xml:space="preserve"> and approve</w:t>
      </w:r>
      <w:r w:rsidR="004E17D6">
        <w:rPr>
          <w:rFonts w:eastAsia="Times New Roman"/>
          <w:sz w:val="24"/>
          <w:szCs w:val="24"/>
        </w:rPr>
        <w:t>d</w:t>
      </w:r>
      <w:r w:rsidRPr="007D32DE">
        <w:rPr>
          <w:rFonts w:eastAsia="Times New Roman"/>
          <w:sz w:val="24"/>
          <w:szCs w:val="24"/>
        </w:rPr>
        <w:t xml:space="preserve"> this passage,</w:t>
      </w:r>
      <w:r w:rsidRPr="00517C50">
        <w:rPr>
          <w:rStyle w:val="Footnoteanchor"/>
          <w:rFonts w:eastAsia="Times New Roman"/>
          <w:sz w:val="24"/>
          <w:szCs w:val="24"/>
        </w:rPr>
        <w:footnoteReference w:id="16"/>
      </w:r>
      <w:r w:rsidRPr="007D32DE">
        <w:rPr>
          <w:rFonts w:eastAsia="Times New Roman"/>
          <w:sz w:val="24"/>
          <w:szCs w:val="24"/>
        </w:rPr>
        <w:t xml:space="preserve"> </w:t>
      </w:r>
      <w:r w:rsidRPr="007D32DE">
        <w:rPr>
          <w:sz w:val="24"/>
          <w:szCs w:val="24"/>
        </w:rPr>
        <w:t>which has</w:t>
      </w:r>
      <w:r w:rsidR="004E17D6">
        <w:rPr>
          <w:sz w:val="24"/>
          <w:szCs w:val="24"/>
        </w:rPr>
        <w:t xml:space="preserve"> also</w:t>
      </w:r>
      <w:r w:rsidRPr="007D32DE">
        <w:rPr>
          <w:sz w:val="24"/>
          <w:szCs w:val="24"/>
        </w:rPr>
        <w:t xml:space="preserve"> set the tone for</w:t>
      </w:r>
      <w:r w:rsidR="00C92A81" w:rsidRPr="00C02650">
        <w:rPr>
          <w:sz w:val="24"/>
          <w:szCs w:val="24"/>
        </w:rPr>
        <w:t xml:space="preserve"> many</w:t>
      </w:r>
      <w:r w:rsidR="004E17D6">
        <w:rPr>
          <w:sz w:val="24"/>
          <w:szCs w:val="24"/>
        </w:rPr>
        <w:t xml:space="preserve"> subsequent decisions</w:t>
      </w:r>
      <w:r w:rsidR="009A5578" w:rsidRPr="00C02650">
        <w:rPr>
          <w:sz w:val="24"/>
          <w:szCs w:val="24"/>
        </w:rPr>
        <w:t xml:space="preserve"> </w:t>
      </w:r>
      <w:r w:rsidR="004E17D6">
        <w:rPr>
          <w:sz w:val="24"/>
          <w:szCs w:val="24"/>
        </w:rPr>
        <w:t>(</w:t>
      </w:r>
      <w:r w:rsidR="00C02650" w:rsidRPr="00C02650">
        <w:rPr>
          <w:i/>
          <w:iCs/>
          <w:sz w:val="24"/>
          <w:szCs w:val="24"/>
        </w:rPr>
        <w:t>Dogru v France</w:t>
      </w:r>
      <w:r w:rsidR="00C02650">
        <w:rPr>
          <w:iCs/>
          <w:sz w:val="24"/>
          <w:szCs w:val="24"/>
        </w:rPr>
        <w:t>,</w:t>
      </w:r>
      <w:r w:rsidR="002D6A3D">
        <w:rPr>
          <w:rStyle w:val="FootnoteReference"/>
          <w:iCs/>
          <w:sz w:val="24"/>
          <w:szCs w:val="24"/>
        </w:rPr>
        <w:footnoteReference w:id="17"/>
      </w:r>
      <w:r w:rsidR="00C02650" w:rsidRPr="00C02650">
        <w:rPr>
          <w:i/>
          <w:iCs/>
          <w:sz w:val="24"/>
          <w:szCs w:val="24"/>
        </w:rPr>
        <w:t xml:space="preserve"> Jakóbski v Poland</w:t>
      </w:r>
      <w:r w:rsidR="004E17D6">
        <w:rPr>
          <w:iCs/>
          <w:sz w:val="24"/>
          <w:szCs w:val="24"/>
        </w:rPr>
        <w:t>,</w:t>
      </w:r>
      <w:r w:rsidR="00173CE3">
        <w:rPr>
          <w:rStyle w:val="FootnoteReference"/>
          <w:iCs/>
          <w:sz w:val="24"/>
          <w:szCs w:val="24"/>
        </w:rPr>
        <w:footnoteReference w:id="18"/>
      </w:r>
      <w:r w:rsidR="00C02650" w:rsidRPr="00C02650">
        <w:rPr>
          <w:i/>
          <w:iCs/>
          <w:sz w:val="24"/>
          <w:szCs w:val="24"/>
        </w:rPr>
        <w:t xml:space="preserve"> </w:t>
      </w:r>
      <w:r w:rsidR="00C02650" w:rsidRPr="00C02650">
        <w:rPr>
          <w:rFonts w:eastAsia="Times New Roman"/>
          <w:i/>
          <w:iCs/>
          <w:sz w:val="24"/>
          <w:szCs w:val="24"/>
        </w:rPr>
        <w:t>Kovaļkovs v Latvia</w:t>
      </w:r>
      <w:r w:rsidR="00612384" w:rsidRPr="00E205EB">
        <w:rPr>
          <w:rStyle w:val="FootnoteReference"/>
          <w:rFonts w:eastAsia="Times New Roman"/>
          <w:iCs/>
          <w:sz w:val="24"/>
          <w:szCs w:val="24"/>
        </w:rPr>
        <w:footnoteReference w:id="19"/>
      </w:r>
      <w:r w:rsidR="004E17D6">
        <w:rPr>
          <w:rFonts w:eastAsia="Times New Roman"/>
          <w:iCs/>
          <w:sz w:val="24"/>
          <w:szCs w:val="24"/>
        </w:rPr>
        <w:t>).</w:t>
      </w:r>
      <w:r w:rsidR="00C02650">
        <w:rPr>
          <w:rStyle w:val="FootnoteReference"/>
          <w:rFonts w:eastAsia="Times New Roman"/>
          <w:iCs/>
          <w:sz w:val="24"/>
          <w:szCs w:val="24"/>
        </w:rPr>
        <w:footnoteReference w:id="20"/>
      </w:r>
    </w:p>
    <w:p w14:paraId="230CA1D8" w14:textId="77777777" w:rsidR="007D32DE" w:rsidRPr="00C02650" w:rsidRDefault="007D32DE" w:rsidP="004B3AA8">
      <w:pPr>
        <w:spacing w:after="0" w:line="480" w:lineRule="auto"/>
        <w:ind w:firstLine="720"/>
        <w:jc w:val="both"/>
        <w:rPr>
          <w:iCs/>
          <w:sz w:val="24"/>
          <w:szCs w:val="24"/>
          <w:u w:val="single"/>
        </w:rPr>
      </w:pPr>
      <w:r w:rsidRPr="007D32DE">
        <w:rPr>
          <w:rStyle w:val="Footnoteanchor"/>
          <w:sz w:val="24"/>
          <w:szCs w:val="24"/>
          <w:vertAlign w:val="baseline"/>
        </w:rPr>
        <w:lastRenderedPageBreak/>
        <w:t xml:space="preserve">This brings us to our point in this </w:t>
      </w:r>
      <w:r w:rsidR="004E17D6">
        <w:rPr>
          <w:rStyle w:val="Footnoteanchor"/>
          <w:sz w:val="24"/>
          <w:szCs w:val="24"/>
          <w:vertAlign w:val="baseline"/>
        </w:rPr>
        <w:t>first case study</w:t>
      </w:r>
      <w:r w:rsidRPr="007D32DE">
        <w:rPr>
          <w:rStyle w:val="Footnoteanchor"/>
          <w:sz w:val="24"/>
          <w:szCs w:val="24"/>
          <w:vertAlign w:val="baseline"/>
        </w:rPr>
        <w:t xml:space="preserve">: a trend </w:t>
      </w:r>
      <w:r w:rsidR="00C91ED4">
        <w:rPr>
          <w:rStyle w:val="Footnoteanchor"/>
          <w:sz w:val="24"/>
          <w:szCs w:val="24"/>
          <w:vertAlign w:val="baseline"/>
        </w:rPr>
        <w:t xml:space="preserve">in Strasbourg jurisprudence </w:t>
      </w:r>
      <w:r w:rsidRPr="007D32DE">
        <w:rPr>
          <w:rStyle w:val="Footnoteanchor"/>
          <w:sz w:val="24"/>
          <w:szCs w:val="24"/>
          <w:vertAlign w:val="baseline"/>
        </w:rPr>
        <w:t xml:space="preserve">away from spending most of the judicial time and effort </w:t>
      </w:r>
      <w:r w:rsidR="00DC2B22">
        <w:rPr>
          <w:rStyle w:val="Footnoteanchor"/>
          <w:sz w:val="24"/>
          <w:szCs w:val="24"/>
          <w:vertAlign w:val="baseline"/>
        </w:rPr>
        <w:t>setting out general principles for what counts as</w:t>
      </w:r>
      <w:r w:rsidR="00517C50">
        <w:rPr>
          <w:rStyle w:val="Footnoteanchor"/>
          <w:sz w:val="24"/>
          <w:szCs w:val="24"/>
          <w:vertAlign w:val="baseline"/>
        </w:rPr>
        <w:t xml:space="preserve"> manifestation</w:t>
      </w:r>
      <w:r w:rsidRPr="007D32DE">
        <w:rPr>
          <w:rStyle w:val="Footnoteanchor"/>
          <w:sz w:val="24"/>
          <w:szCs w:val="24"/>
          <w:vertAlign w:val="baseline"/>
        </w:rPr>
        <w:t xml:space="preserve"> in favour of </w:t>
      </w:r>
      <w:r w:rsidRPr="00517C50">
        <w:rPr>
          <w:rStyle w:val="Footnoteanchor"/>
          <w:i/>
          <w:sz w:val="24"/>
          <w:szCs w:val="24"/>
          <w:vertAlign w:val="baseline"/>
        </w:rPr>
        <w:t>assuming manifestation</w:t>
      </w:r>
      <w:r w:rsidRPr="007D32DE">
        <w:rPr>
          <w:rStyle w:val="Footnoteanchor"/>
          <w:sz w:val="24"/>
          <w:szCs w:val="24"/>
          <w:vertAlign w:val="baseline"/>
        </w:rPr>
        <w:t>, and spending most of the judicial time and effort on the question of justification. This shift we</w:t>
      </w:r>
      <w:r w:rsidR="00C91ED4">
        <w:rPr>
          <w:rStyle w:val="Footnoteanchor"/>
          <w:sz w:val="24"/>
          <w:szCs w:val="24"/>
          <w:vertAlign w:val="baseline"/>
        </w:rPr>
        <w:t xml:space="preserve"> have</w:t>
      </w:r>
      <w:r w:rsidRPr="007D32DE">
        <w:rPr>
          <w:rStyle w:val="Footnoteanchor"/>
          <w:sz w:val="24"/>
          <w:szCs w:val="24"/>
          <w:vertAlign w:val="baseline"/>
        </w:rPr>
        <w:t xml:space="preserve"> dub</w:t>
      </w:r>
      <w:r w:rsidR="00C91ED4">
        <w:rPr>
          <w:rStyle w:val="Footnoteanchor"/>
          <w:sz w:val="24"/>
          <w:szCs w:val="24"/>
          <w:vertAlign w:val="baseline"/>
        </w:rPr>
        <w:t>bed</w:t>
      </w:r>
      <w:r w:rsidRPr="007D32DE">
        <w:rPr>
          <w:rStyle w:val="Footnoteanchor"/>
          <w:sz w:val="24"/>
          <w:szCs w:val="24"/>
          <w:vertAlign w:val="baseline"/>
        </w:rPr>
        <w:t xml:space="preserve"> ‘the practical turn’.</w:t>
      </w:r>
      <w:r w:rsidR="00517C50">
        <w:rPr>
          <w:rStyle w:val="Footnoteanchor"/>
          <w:sz w:val="24"/>
          <w:szCs w:val="24"/>
          <w:vertAlign w:val="baseline"/>
        </w:rPr>
        <w:t xml:space="preserve"> </w:t>
      </w:r>
      <w:r w:rsidRPr="007D32DE">
        <w:rPr>
          <w:sz w:val="24"/>
          <w:szCs w:val="24"/>
        </w:rPr>
        <w:t xml:space="preserve">We see the practical turn as a turn away from making judgments on religious practices </w:t>
      </w:r>
      <w:r w:rsidRPr="007D32DE">
        <w:rPr>
          <w:i/>
          <w:iCs/>
          <w:sz w:val="24"/>
          <w:szCs w:val="24"/>
        </w:rPr>
        <w:t xml:space="preserve">solely </w:t>
      </w:r>
      <w:r w:rsidRPr="007D32DE">
        <w:rPr>
          <w:sz w:val="24"/>
          <w:szCs w:val="24"/>
        </w:rPr>
        <w:t>in the light of the</w:t>
      </w:r>
      <w:r w:rsidR="00DC2B22">
        <w:rPr>
          <w:sz w:val="24"/>
          <w:szCs w:val="24"/>
        </w:rPr>
        <w:t>ir</w:t>
      </w:r>
      <w:r w:rsidRPr="007D32DE">
        <w:rPr>
          <w:sz w:val="24"/>
          <w:szCs w:val="24"/>
        </w:rPr>
        <w:t xml:space="preserve"> antecedent beliefs</w:t>
      </w:r>
      <w:r w:rsidR="00DC2B22">
        <w:rPr>
          <w:sz w:val="24"/>
          <w:szCs w:val="24"/>
        </w:rPr>
        <w:t xml:space="preserve">—i.e. </w:t>
      </w:r>
      <w:r w:rsidR="00C91ED4">
        <w:rPr>
          <w:sz w:val="24"/>
          <w:szCs w:val="24"/>
        </w:rPr>
        <w:t xml:space="preserve">solely </w:t>
      </w:r>
      <w:r w:rsidR="00DC2B22">
        <w:rPr>
          <w:sz w:val="24"/>
          <w:szCs w:val="24"/>
        </w:rPr>
        <w:t xml:space="preserve">as </w:t>
      </w:r>
      <w:r w:rsidR="00DC2B22" w:rsidRPr="00C91ED4">
        <w:rPr>
          <w:i/>
          <w:sz w:val="24"/>
          <w:szCs w:val="24"/>
        </w:rPr>
        <w:t>manifestations</w:t>
      </w:r>
      <w:r w:rsidR="00DC2B22">
        <w:rPr>
          <w:sz w:val="24"/>
          <w:szCs w:val="24"/>
        </w:rPr>
        <w:t xml:space="preserve"> of beliefs—</w:t>
      </w:r>
      <w:r w:rsidRPr="007D32DE">
        <w:rPr>
          <w:sz w:val="24"/>
          <w:szCs w:val="24"/>
        </w:rPr>
        <w:t xml:space="preserve">to </w:t>
      </w:r>
      <w:r w:rsidR="00DC2B22">
        <w:rPr>
          <w:sz w:val="24"/>
          <w:szCs w:val="24"/>
        </w:rPr>
        <w:t xml:space="preserve">also </w:t>
      </w:r>
      <w:r w:rsidRPr="007D32DE">
        <w:rPr>
          <w:sz w:val="24"/>
          <w:szCs w:val="24"/>
        </w:rPr>
        <w:t>con</w:t>
      </w:r>
      <w:r w:rsidR="00DC2B22">
        <w:rPr>
          <w:sz w:val="24"/>
          <w:szCs w:val="24"/>
        </w:rPr>
        <w:t>sidering them in their own right, i.e. irrespective of the beliefs they are manifesting</w:t>
      </w:r>
      <w:r w:rsidRPr="007D32DE">
        <w:rPr>
          <w:sz w:val="24"/>
          <w:szCs w:val="24"/>
        </w:rPr>
        <w:t xml:space="preserve">. </w:t>
      </w:r>
      <w:r w:rsidR="00517C50">
        <w:rPr>
          <w:sz w:val="24"/>
          <w:szCs w:val="24"/>
        </w:rPr>
        <w:t>What is most interesting philosophically here is that this shift—to considering religious practices</w:t>
      </w:r>
      <w:r w:rsidR="00C91ED4">
        <w:rPr>
          <w:sz w:val="24"/>
          <w:szCs w:val="24"/>
        </w:rPr>
        <w:t xml:space="preserve"> partly</w:t>
      </w:r>
      <w:r w:rsidR="00517C50">
        <w:rPr>
          <w:sz w:val="24"/>
          <w:szCs w:val="24"/>
        </w:rPr>
        <w:t xml:space="preserve"> in their own right and not </w:t>
      </w:r>
      <w:r w:rsidR="00DC2B22">
        <w:rPr>
          <w:sz w:val="24"/>
          <w:szCs w:val="24"/>
        </w:rPr>
        <w:t xml:space="preserve">purely </w:t>
      </w:r>
      <w:r w:rsidR="00517C50">
        <w:rPr>
          <w:sz w:val="24"/>
          <w:szCs w:val="24"/>
        </w:rPr>
        <w:t>as derivative of prior beliefs—is mirrored within the philosophy of religion.</w:t>
      </w:r>
    </w:p>
    <w:p w14:paraId="36A9A9D8" w14:textId="77777777" w:rsidR="007D32DE" w:rsidRPr="007D32DE" w:rsidRDefault="007D32DE" w:rsidP="004B3AA8">
      <w:pPr>
        <w:spacing w:after="0" w:line="480" w:lineRule="auto"/>
        <w:ind w:firstLine="720"/>
        <w:jc w:val="both"/>
        <w:rPr>
          <w:sz w:val="24"/>
          <w:szCs w:val="24"/>
        </w:rPr>
      </w:pPr>
    </w:p>
    <w:p w14:paraId="25E59D29" w14:textId="77777777" w:rsidR="007D32DE" w:rsidRPr="007D32DE" w:rsidRDefault="007D273B" w:rsidP="004B3AA8">
      <w:pPr>
        <w:spacing w:after="0" w:line="480" w:lineRule="auto"/>
        <w:jc w:val="both"/>
        <w:rPr>
          <w:sz w:val="24"/>
          <w:szCs w:val="24"/>
        </w:rPr>
      </w:pPr>
      <w:r>
        <w:rPr>
          <w:sz w:val="24"/>
          <w:szCs w:val="24"/>
        </w:rPr>
        <w:t>[2.1</w:t>
      </w:r>
      <w:r w:rsidR="007D32DE" w:rsidRPr="007D32DE">
        <w:rPr>
          <w:sz w:val="24"/>
          <w:szCs w:val="24"/>
        </w:rPr>
        <w:t>] The Paradox of Motivation</w:t>
      </w:r>
    </w:p>
    <w:p w14:paraId="74CAF1A0" w14:textId="77777777" w:rsidR="007D32DE" w:rsidRPr="007D32DE" w:rsidRDefault="004E17D6" w:rsidP="004B3AA8">
      <w:pPr>
        <w:spacing w:after="0" w:line="480" w:lineRule="auto"/>
        <w:jc w:val="both"/>
        <w:rPr>
          <w:sz w:val="24"/>
          <w:szCs w:val="24"/>
        </w:rPr>
      </w:pPr>
      <w:r>
        <w:rPr>
          <w:sz w:val="24"/>
          <w:szCs w:val="24"/>
        </w:rPr>
        <w:t>One</w:t>
      </w:r>
      <w:r w:rsidR="007D32DE" w:rsidRPr="007D32DE">
        <w:rPr>
          <w:sz w:val="24"/>
          <w:szCs w:val="24"/>
        </w:rPr>
        <w:t xml:space="preserve"> helpful way to understand this practical turn is through the fate of the concept of motivation in cases brought under Article 9 af</w:t>
      </w:r>
      <w:r>
        <w:rPr>
          <w:sz w:val="24"/>
          <w:szCs w:val="24"/>
        </w:rPr>
        <w:t>ter 2005. To put it bluntly, this</w:t>
      </w:r>
      <w:r w:rsidR="007D32DE" w:rsidRPr="007D32DE">
        <w:rPr>
          <w:sz w:val="24"/>
          <w:szCs w:val="24"/>
        </w:rPr>
        <w:t xml:space="preserve"> concept, which had a clearly defined position in the previously mentioned </w:t>
      </w:r>
      <w:r w:rsidR="007D32DE" w:rsidRPr="007D32DE">
        <w:rPr>
          <w:i/>
          <w:iCs/>
          <w:sz w:val="24"/>
          <w:szCs w:val="24"/>
        </w:rPr>
        <w:t>Arrowsmith</w:t>
      </w:r>
      <w:r w:rsidR="007D32DE" w:rsidRPr="007D32DE">
        <w:rPr>
          <w:sz w:val="24"/>
          <w:szCs w:val="24"/>
        </w:rPr>
        <w:t xml:space="preserve"> case (motivation was there deemed insufficient to constitute manifestation), now plays a far more </w:t>
      </w:r>
      <w:r w:rsidR="001433E6">
        <w:rPr>
          <w:sz w:val="24"/>
          <w:szCs w:val="24"/>
        </w:rPr>
        <w:t>context-specific</w:t>
      </w:r>
      <w:r w:rsidR="007D32DE" w:rsidRPr="007D32DE">
        <w:rPr>
          <w:sz w:val="24"/>
          <w:szCs w:val="24"/>
        </w:rPr>
        <w:t xml:space="preserve"> role.</w:t>
      </w:r>
    </w:p>
    <w:p w14:paraId="28A48F1F" w14:textId="77777777" w:rsidR="007D32DE" w:rsidRPr="007D32DE" w:rsidRDefault="007D32DE" w:rsidP="004B3AA8">
      <w:pPr>
        <w:spacing w:after="0" w:line="480" w:lineRule="auto"/>
        <w:ind w:firstLine="720"/>
        <w:jc w:val="both"/>
        <w:rPr>
          <w:sz w:val="24"/>
          <w:szCs w:val="24"/>
        </w:rPr>
      </w:pPr>
      <w:r w:rsidRPr="007D32DE">
        <w:rPr>
          <w:i/>
          <w:sz w:val="24"/>
          <w:szCs w:val="24"/>
        </w:rPr>
        <w:t>Eweida v UK</w:t>
      </w:r>
      <w:r w:rsidRPr="007D32DE">
        <w:rPr>
          <w:sz w:val="24"/>
          <w:szCs w:val="24"/>
        </w:rPr>
        <w:t xml:space="preserve"> illuminates this sharply.</w:t>
      </w:r>
      <w:r w:rsidRPr="007D32DE">
        <w:rPr>
          <w:i/>
          <w:sz w:val="24"/>
          <w:szCs w:val="24"/>
        </w:rPr>
        <w:t xml:space="preserve"> </w:t>
      </w:r>
      <w:r w:rsidRPr="007D32DE">
        <w:rPr>
          <w:sz w:val="24"/>
          <w:szCs w:val="24"/>
        </w:rPr>
        <w:t xml:space="preserve">The ECtHR here seems to insist—rather bizarrely—that motivation is both sufficient </w:t>
      </w:r>
      <w:r w:rsidRPr="007D32DE">
        <w:rPr>
          <w:i/>
          <w:sz w:val="24"/>
          <w:szCs w:val="24"/>
        </w:rPr>
        <w:t>and</w:t>
      </w:r>
      <w:r w:rsidRPr="007D32DE">
        <w:rPr>
          <w:sz w:val="24"/>
          <w:szCs w:val="24"/>
        </w:rPr>
        <w:t xml:space="preserve"> insufficient to characterize the wearing of a cross as a manifestation of religion. Thus, when it comes to the status of Eweida’s cross, the Court states:</w:t>
      </w:r>
    </w:p>
    <w:p w14:paraId="4C1365D0" w14:textId="77777777" w:rsidR="007D32DE" w:rsidRPr="007D32DE" w:rsidRDefault="007D32DE" w:rsidP="004B3AA8">
      <w:pPr>
        <w:spacing w:after="0" w:line="480" w:lineRule="auto"/>
        <w:ind w:firstLine="720"/>
        <w:jc w:val="both"/>
        <w:rPr>
          <w:sz w:val="24"/>
          <w:szCs w:val="24"/>
        </w:rPr>
      </w:pPr>
    </w:p>
    <w:p w14:paraId="1F35B654" w14:textId="77777777" w:rsidR="007D32DE" w:rsidRPr="007D32DE" w:rsidRDefault="007D32DE" w:rsidP="004B3AA8">
      <w:pPr>
        <w:spacing w:after="0" w:line="480" w:lineRule="auto"/>
        <w:ind w:left="1440"/>
        <w:jc w:val="both"/>
        <w:rPr>
          <w:sz w:val="24"/>
          <w:szCs w:val="24"/>
        </w:rPr>
      </w:pPr>
      <w:r w:rsidRPr="007D32DE">
        <w:rPr>
          <w:sz w:val="24"/>
          <w:szCs w:val="24"/>
        </w:rPr>
        <w:t xml:space="preserve">It was not disputed in the proceedings before the domestic tribunals and this Court that Ms Eweida’s insistence on wearing a cross visibly at work was motivated by her desire to bear witness to her Christian faith. Applying the </w:t>
      </w:r>
      <w:r w:rsidRPr="007D32DE">
        <w:rPr>
          <w:sz w:val="24"/>
          <w:szCs w:val="24"/>
        </w:rPr>
        <w:lastRenderedPageBreak/>
        <w:t>principles set out above, the Court considers that Ms Eweida’s behaviour was a manifestation of her religious belief, in the form of worship, practice and observance, and as such attracted the protection of Article 9.</w:t>
      </w:r>
      <w:r w:rsidRPr="009E5FBD">
        <w:rPr>
          <w:rStyle w:val="FootnoteReference"/>
          <w:sz w:val="24"/>
          <w:szCs w:val="24"/>
        </w:rPr>
        <w:footnoteReference w:id="21"/>
      </w:r>
    </w:p>
    <w:p w14:paraId="6AA07F38" w14:textId="77777777" w:rsidR="007D32DE" w:rsidRPr="007D32DE" w:rsidRDefault="007D32DE" w:rsidP="004B3AA8">
      <w:pPr>
        <w:spacing w:after="0" w:line="480" w:lineRule="auto"/>
        <w:ind w:firstLine="720"/>
        <w:jc w:val="both"/>
        <w:rPr>
          <w:sz w:val="24"/>
          <w:szCs w:val="24"/>
        </w:rPr>
      </w:pPr>
    </w:p>
    <w:p w14:paraId="2A3D64DB" w14:textId="6EFA30CB" w:rsidR="007D32DE" w:rsidRPr="007D32DE" w:rsidRDefault="007D32DE" w:rsidP="004B3AA8">
      <w:pPr>
        <w:spacing w:after="0" w:line="480" w:lineRule="auto"/>
        <w:jc w:val="both"/>
        <w:rPr>
          <w:sz w:val="24"/>
          <w:szCs w:val="24"/>
        </w:rPr>
      </w:pPr>
      <w:r w:rsidRPr="007D32DE">
        <w:rPr>
          <w:sz w:val="24"/>
          <w:szCs w:val="24"/>
        </w:rPr>
        <w:t xml:space="preserve">The implication seems to be that there is something in the first sentence of this passage—presumably the fact that her wearing of the cross was </w:t>
      </w:r>
      <w:r w:rsidRPr="007D32DE">
        <w:rPr>
          <w:i/>
          <w:sz w:val="24"/>
          <w:szCs w:val="24"/>
        </w:rPr>
        <w:t>motivated</w:t>
      </w:r>
      <w:r w:rsidRPr="007D32DE">
        <w:rPr>
          <w:sz w:val="24"/>
          <w:szCs w:val="24"/>
        </w:rPr>
        <w:t xml:space="preserve"> by a religious desire—that, conjoined with the g</w:t>
      </w:r>
      <w:r w:rsidR="004E17D6">
        <w:rPr>
          <w:sz w:val="24"/>
          <w:szCs w:val="24"/>
        </w:rPr>
        <w:t xml:space="preserve">eneral principles the Court </w:t>
      </w:r>
      <w:r w:rsidRPr="007D32DE">
        <w:rPr>
          <w:sz w:val="24"/>
          <w:szCs w:val="24"/>
        </w:rPr>
        <w:t>set out earlier, constitutes proof that this wearing of the cross counts as a manifestation of religion for the purposes of Article 9. And yet</w:t>
      </w:r>
      <w:r w:rsidR="00FF7105">
        <w:rPr>
          <w:sz w:val="24"/>
          <w:szCs w:val="24"/>
        </w:rPr>
        <w:t>,</w:t>
      </w:r>
      <w:r w:rsidRPr="007D32DE">
        <w:rPr>
          <w:sz w:val="24"/>
          <w:szCs w:val="24"/>
        </w:rPr>
        <w:t xml:space="preserve"> when one turns to the section</w:t>
      </w:r>
      <w:r w:rsidR="00FF7105">
        <w:rPr>
          <w:sz w:val="24"/>
          <w:szCs w:val="24"/>
        </w:rPr>
        <w:t xml:space="preserve"> of the judgment headed</w:t>
      </w:r>
      <w:r w:rsidRPr="007D32DE">
        <w:rPr>
          <w:sz w:val="24"/>
          <w:szCs w:val="24"/>
        </w:rPr>
        <w:t xml:space="preserve"> ‘General principles under Article 9 of the Convention’,</w:t>
      </w:r>
      <w:r w:rsidRPr="009E5FBD">
        <w:rPr>
          <w:rStyle w:val="FootnoteReference"/>
          <w:sz w:val="24"/>
          <w:szCs w:val="24"/>
        </w:rPr>
        <w:footnoteReference w:id="22"/>
      </w:r>
      <w:r w:rsidRPr="009E5FBD">
        <w:rPr>
          <w:sz w:val="24"/>
          <w:szCs w:val="24"/>
          <w:vertAlign w:val="superscript"/>
        </w:rPr>
        <w:t xml:space="preserve"> </w:t>
      </w:r>
      <w:r w:rsidRPr="007D32DE">
        <w:rPr>
          <w:sz w:val="24"/>
          <w:szCs w:val="24"/>
        </w:rPr>
        <w:t xml:space="preserve">one finds it very explicitly stated that a motivated practice does </w:t>
      </w:r>
      <w:r w:rsidRPr="007D32DE">
        <w:rPr>
          <w:i/>
          <w:sz w:val="24"/>
          <w:szCs w:val="24"/>
        </w:rPr>
        <w:t>not</w:t>
      </w:r>
      <w:r w:rsidRPr="007D32DE">
        <w:rPr>
          <w:sz w:val="24"/>
          <w:szCs w:val="24"/>
        </w:rPr>
        <w:t xml:space="preserve"> in itself constitute a manifestation: ‘Even where the belief in question attains the required level of cogency and importance, it cannot be said that every act which is in some way inspired, motivated or influenced by it constitutes a “manifestation” of the belief.’</w:t>
      </w:r>
      <w:r w:rsidRPr="009E5FBD">
        <w:rPr>
          <w:rStyle w:val="FootnoteReference"/>
          <w:sz w:val="24"/>
          <w:szCs w:val="24"/>
        </w:rPr>
        <w:footnoteReference w:id="23"/>
      </w:r>
      <w:r w:rsidRPr="007D32DE">
        <w:rPr>
          <w:sz w:val="24"/>
          <w:szCs w:val="24"/>
        </w:rPr>
        <w:t xml:space="preserve"> In other words, the ECtHR is happy to make clear that it is faithful to the principle (taken from </w:t>
      </w:r>
      <w:r w:rsidRPr="007D32DE">
        <w:rPr>
          <w:i/>
          <w:iCs/>
          <w:sz w:val="24"/>
          <w:szCs w:val="24"/>
        </w:rPr>
        <w:t>Arrowsmith</w:t>
      </w:r>
      <w:r w:rsidRPr="007D32DE">
        <w:rPr>
          <w:sz w:val="24"/>
          <w:szCs w:val="24"/>
        </w:rPr>
        <w:t xml:space="preserve">) that motivation is insufficient to constitute manifestation </w:t>
      </w:r>
      <w:r w:rsidRPr="007D32DE">
        <w:rPr>
          <w:i/>
          <w:sz w:val="24"/>
          <w:szCs w:val="24"/>
        </w:rPr>
        <w:t>at the same time as</w:t>
      </w:r>
      <w:r w:rsidRPr="007D32DE">
        <w:rPr>
          <w:sz w:val="24"/>
          <w:szCs w:val="24"/>
        </w:rPr>
        <w:t xml:space="preserve"> it s</w:t>
      </w:r>
      <w:r w:rsidR="002867C7">
        <w:rPr>
          <w:sz w:val="24"/>
          <w:szCs w:val="24"/>
        </w:rPr>
        <w:t xml:space="preserve">uggests that motivation is </w:t>
      </w:r>
      <w:r w:rsidRPr="007D32DE">
        <w:rPr>
          <w:sz w:val="24"/>
          <w:szCs w:val="24"/>
        </w:rPr>
        <w:t>sufficient to pass the manifestation test.</w:t>
      </w:r>
    </w:p>
    <w:p w14:paraId="1052F36A" w14:textId="77777777" w:rsidR="007D32DE" w:rsidRPr="007D32DE" w:rsidRDefault="007D32DE" w:rsidP="004B3AA8">
      <w:pPr>
        <w:spacing w:after="0" w:line="480" w:lineRule="auto"/>
        <w:ind w:firstLine="720"/>
        <w:jc w:val="both"/>
        <w:rPr>
          <w:sz w:val="24"/>
          <w:szCs w:val="24"/>
        </w:rPr>
      </w:pPr>
      <w:r w:rsidRPr="007D32DE">
        <w:rPr>
          <w:sz w:val="24"/>
          <w:szCs w:val="24"/>
        </w:rPr>
        <w:t xml:space="preserve">While </w:t>
      </w:r>
      <w:r w:rsidRPr="007D32DE">
        <w:rPr>
          <w:i/>
          <w:sz w:val="24"/>
          <w:szCs w:val="24"/>
        </w:rPr>
        <w:t>Eweida</w:t>
      </w:r>
      <w:r w:rsidRPr="007D32DE">
        <w:rPr>
          <w:sz w:val="24"/>
          <w:szCs w:val="24"/>
        </w:rPr>
        <w:t xml:space="preserve"> provides a particularly recent occurrence of</w:t>
      </w:r>
      <w:r w:rsidR="004E17D6">
        <w:rPr>
          <w:sz w:val="24"/>
          <w:szCs w:val="24"/>
        </w:rPr>
        <w:t xml:space="preserve"> this apparent contradiction, </w:t>
      </w:r>
      <w:r w:rsidRPr="007D32DE">
        <w:rPr>
          <w:sz w:val="24"/>
          <w:szCs w:val="24"/>
        </w:rPr>
        <w:t>similar treatment</w:t>
      </w:r>
      <w:r w:rsidR="004E17D6">
        <w:rPr>
          <w:sz w:val="24"/>
          <w:szCs w:val="24"/>
        </w:rPr>
        <w:t>s</w:t>
      </w:r>
      <w:r w:rsidRPr="007D32DE">
        <w:rPr>
          <w:sz w:val="24"/>
          <w:szCs w:val="24"/>
        </w:rPr>
        <w:t xml:space="preserve"> of the concept of motivation </w:t>
      </w:r>
      <w:r w:rsidR="004E17D6">
        <w:rPr>
          <w:sz w:val="24"/>
          <w:szCs w:val="24"/>
        </w:rPr>
        <w:t>are</w:t>
      </w:r>
      <w:r w:rsidRPr="007D32DE">
        <w:rPr>
          <w:sz w:val="24"/>
          <w:szCs w:val="24"/>
        </w:rPr>
        <w:t xml:space="preserve"> present in almost every case concerning religious practice brought since 2005. As </w:t>
      </w:r>
      <w:r w:rsidR="004E17D6">
        <w:rPr>
          <w:sz w:val="24"/>
          <w:szCs w:val="24"/>
        </w:rPr>
        <w:t>already suggested</w:t>
      </w:r>
      <w:r w:rsidRPr="007D32DE">
        <w:rPr>
          <w:sz w:val="24"/>
          <w:szCs w:val="24"/>
        </w:rPr>
        <w:t xml:space="preserve">, </w:t>
      </w:r>
      <w:r w:rsidRPr="007D32DE">
        <w:rPr>
          <w:i/>
          <w:iCs/>
          <w:sz w:val="24"/>
          <w:szCs w:val="24"/>
        </w:rPr>
        <w:t xml:space="preserve">Şahin </w:t>
      </w:r>
      <w:r w:rsidRPr="007D32DE">
        <w:rPr>
          <w:sz w:val="24"/>
          <w:szCs w:val="24"/>
        </w:rPr>
        <w:t xml:space="preserve">provides the crucial precedent. In para 66, the ECtHR explicitly cites </w:t>
      </w:r>
      <w:r w:rsidRPr="007D32DE">
        <w:rPr>
          <w:i/>
          <w:sz w:val="24"/>
          <w:szCs w:val="24"/>
        </w:rPr>
        <w:t>Arrowsmith</w:t>
      </w:r>
      <w:r w:rsidRPr="007D32DE">
        <w:rPr>
          <w:sz w:val="24"/>
          <w:szCs w:val="24"/>
        </w:rPr>
        <w:t>, and recites its fundamental principle, ‘</w:t>
      </w:r>
      <w:r w:rsidRPr="007D32DE">
        <w:rPr>
          <w:color w:val="000000"/>
          <w:sz w:val="24"/>
          <w:szCs w:val="24"/>
          <w:shd w:val="clear" w:color="auto" w:fill="FFFFFF"/>
        </w:rPr>
        <w:t>Article 9 does not protect every act motivated or inspired by a religion or belief.’</w:t>
      </w:r>
      <w:r w:rsidRPr="009E5FBD">
        <w:rPr>
          <w:rStyle w:val="FootnoteReference"/>
          <w:color w:val="000000"/>
          <w:sz w:val="24"/>
          <w:szCs w:val="24"/>
          <w:shd w:val="clear" w:color="auto" w:fill="FFFFFF"/>
        </w:rPr>
        <w:footnoteReference w:id="24"/>
      </w:r>
      <w:r w:rsidRPr="007D32DE">
        <w:rPr>
          <w:sz w:val="24"/>
          <w:szCs w:val="24"/>
          <w:lang w:eastAsia="en-GB"/>
        </w:rPr>
        <w:t xml:space="preserve"> Despite this, five paragraphs later, the Court now argues as follows:</w:t>
      </w:r>
    </w:p>
    <w:p w14:paraId="5950D26B" w14:textId="77777777" w:rsidR="007D32DE" w:rsidRPr="007D32DE" w:rsidRDefault="007D32DE" w:rsidP="004B3AA8">
      <w:pPr>
        <w:spacing w:after="0" w:line="480" w:lineRule="auto"/>
        <w:ind w:firstLine="720"/>
        <w:jc w:val="both"/>
        <w:rPr>
          <w:sz w:val="24"/>
          <w:szCs w:val="24"/>
        </w:rPr>
      </w:pPr>
    </w:p>
    <w:p w14:paraId="0CA53375" w14:textId="77777777" w:rsidR="007D32DE" w:rsidRPr="007D32DE" w:rsidRDefault="007D32DE" w:rsidP="004B3AA8">
      <w:pPr>
        <w:pStyle w:val="BodyTextIndent2"/>
        <w:spacing w:after="0"/>
        <w:ind w:left="1418"/>
        <w:jc w:val="both"/>
        <w:rPr>
          <w:rFonts w:ascii="Times New Roman" w:hAnsi="Times New Roman" w:cs="Times New Roman"/>
          <w:szCs w:val="24"/>
        </w:rPr>
      </w:pPr>
      <w:r w:rsidRPr="007D32DE">
        <w:rPr>
          <w:rFonts w:ascii="Times New Roman" w:hAnsi="Times New Roman" w:cs="Times New Roman"/>
          <w:szCs w:val="24"/>
        </w:rPr>
        <w:lastRenderedPageBreak/>
        <w:t>The applicant said that, by wearing the headscarf, she was obeying a religious precept and thereby manifesting her desire to comply strictly with the duties imposed by the Islamic faith. Accordingly, her decision to wear the headscarf may be regarded as motivated or inspired by a religion or belief and, without deciding whether such decisions are in every case taken to fulfil a religious duty, the Court proceeds on the assumption that the regulations in issue, which placed restrictions of place and manner on the right to wear the Islamic headscarf in universities, constituted an interference with the applicant’s right to manifest her religion.</w:t>
      </w:r>
      <w:r w:rsidRPr="004E140E">
        <w:rPr>
          <w:rStyle w:val="FootnoteReference"/>
          <w:rFonts w:ascii="Times New Roman" w:hAnsi="Times New Roman" w:cs="Times New Roman"/>
          <w:szCs w:val="24"/>
        </w:rPr>
        <w:footnoteReference w:id="25"/>
      </w:r>
    </w:p>
    <w:p w14:paraId="38B3C827" w14:textId="77777777" w:rsidR="007D32DE" w:rsidRPr="007D32DE" w:rsidRDefault="007D32DE" w:rsidP="004B3AA8">
      <w:pPr>
        <w:spacing w:after="0" w:line="480" w:lineRule="auto"/>
        <w:ind w:firstLine="720"/>
        <w:jc w:val="both"/>
        <w:rPr>
          <w:sz w:val="24"/>
          <w:szCs w:val="24"/>
        </w:rPr>
      </w:pPr>
    </w:p>
    <w:p w14:paraId="64123FEE" w14:textId="53EEA855" w:rsidR="007D32DE" w:rsidRPr="007D32DE" w:rsidRDefault="007D32DE" w:rsidP="004E17D6">
      <w:pPr>
        <w:spacing w:after="0" w:line="480" w:lineRule="auto"/>
        <w:jc w:val="both"/>
        <w:rPr>
          <w:sz w:val="24"/>
          <w:szCs w:val="24"/>
        </w:rPr>
      </w:pPr>
      <w:r w:rsidRPr="007D32DE">
        <w:rPr>
          <w:sz w:val="24"/>
          <w:szCs w:val="24"/>
        </w:rPr>
        <w:t>Five paragraphs after re-affirming the traditional jurisprudence of the manifestation test that motivation is insufficient to constitute manifestation, the ECtHR completely discards this principle: motivation is now seemingly sufficient.</w:t>
      </w:r>
    </w:p>
    <w:p w14:paraId="2B2B7D68" w14:textId="2018103B" w:rsidR="007D32DE" w:rsidRPr="007D32DE" w:rsidRDefault="007D32DE" w:rsidP="004B3AA8">
      <w:pPr>
        <w:spacing w:after="0" w:line="480" w:lineRule="auto"/>
        <w:ind w:firstLine="720"/>
        <w:jc w:val="both"/>
        <w:rPr>
          <w:sz w:val="24"/>
          <w:szCs w:val="24"/>
        </w:rPr>
      </w:pPr>
      <w:r w:rsidRPr="007D32DE">
        <w:rPr>
          <w:sz w:val="24"/>
          <w:szCs w:val="24"/>
        </w:rPr>
        <w:t xml:space="preserve">This is odd, to say the least. Nevertheless, our contention is that the practical turn provides a way of understanding this post-2005 jurisprudence that to some extent resolves the mess just detailed. In short, </w:t>
      </w:r>
      <w:r w:rsidR="00312556">
        <w:rPr>
          <w:sz w:val="24"/>
          <w:szCs w:val="24"/>
        </w:rPr>
        <w:t>principles involving concepts like motivation</w:t>
      </w:r>
      <w:r w:rsidRPr="007D32DE">
        <w:rPr>
          <w:sz w:val="24"/>
          <w:szCs w:val="24"/>
        </w:rPr>
        <w:t xml:space="preserve"> and manifestation are no longer as central to the deliberations of the Court: since 2005, judges have paid far less attention to </w:t>
      </w:r>
      <w:r w:rsidR="004A09EC">
        <w:rPr>
          <w:sz w:val="24"/>
          <w:szCs w:val="24"/>
        </w:rPr>
        <w:t>general principles concerning</w:t>
      </w:r>
      <w:r w:rsidRPr="007D32DE">
        <w:rPr>
          <w:sz w:val="24"/>
          <w:szCs w:val="24"/>
        </w:rPr>
        <w:t xml:space="preserve"> whether a religious practice is merely motivated by a belief or expresses one—and this accounts for its </w:t>
      </w:r>
      <w:r w:rsidR="004A09EC">
        <w:rPr>
          <w:sz w:val="24"/>
          <w:szCs w:val="24"/>
        </w:rPr>
        <w:t>more context-dependent</w:t>
      </w:r>
      <w:r w:rsidR="009E5FBD">
        <w:rPr>
          <w:sz w:val="24"/>
          <w:szCs w:val="24"/>
        </w:rPr>
        <w:t xml:space="preserve"> treatment</w:t>
      </w:r>
      <w:r w:rsidR="00312556">
        <w:rPr>
          <w:sz w:val="24"/>
          <w:szCs w:val="24"/>
        </w:rPr>
        <w:t xml:space="preserve"> of religious practices</w:t>
      </w:r>
      <w:r w:rsidR="009E5FBD">
        <w:rPr>
          <w:sz w:val="24"/>
          <w:szCs w:val="24"/>
        </w:rPr>
        <w:t xml:space="preserve"> in </w:t>
      </w:r>
      <w:r w:rsidRPr="007D32DE">
        <w:rPr>
          <w:sz w:val="24"/>
          <w:szCs w:val="24"/>
        </w:rPr>
        <w:t>subsequent judgments.</w:t>
      </w:r>
      <w:r w:rsidR="00D07EA0">
        <w:rPr>
          <w:rStyle w:val="FootnoteReference"/>
          <w:sz w:val="24"/>
          <w:szCs w:val="24"/>
        </w:rPr>
        <w:footnoteReference w:id="26"/>
      </w:r>
    </w:p>
    <w:p w14:paraId="3E76C07E" w14:textId="77777777" w:rsidR="007D32DE" w:rsidRPr="007D32DE" w:rsidRDefault="007D32DE" w:rsidP="004B3AA8">
      <w:pPr>
        <w:spacing w:after="0" w:line="480" w:lineRule="auto"/>
        <w:ind w:firstLine="720"/>
        <w:jc w:val="both"/>
        <w:rPr>
          <w:sz w:val="24"/>
          <w:szCs w:val="24"/>
        </w:rPr>
      </w:pPr>
    </w:p>
    <w:p w14:paraId="6CC38713" w14:textId="77777777" w:rsidR="007D32DE" w:rsidRPr="007D32DE" w:rsidRDefault="007D273B" w:rsidP="004B3AA8">
      <w:pPr>
        <w:pStyle w:val="Heading3"/>
        <w:numPr>
          <w:ilvl w:val="0"/>
          <w:numId w:val="0"/>
        </w:numPr>
        <w:spacing w:before="0" w:after="0" w:line="480" w:lineRule="auto"/>
        <w:jc w:val="both"/>
        <w:rPr>
          <w:rFonts w:ascii="Times New Roman" w:hAnsi="Times New Roman" w:cs="Times New Roman"/>
          <w:b w:val="0"/>
          <w:sz w:val="24"/>
          <w:szCs w:val="24"/>
        </w:rPr>
      </w:pPr>
      <w:r>
        <w:rPr>
          <w:rFonts w:ascii="Times New Roman" w:hAnsi="Times New Roman" w:cs="Times New Roman"/>
          <w:b w:val="0"/>
          <w:sz w:val="24"/>
          <w:szCs w:val="24"/>
        </w:rPr>
        <w:lastRenderedPageBreak/>
        <w:t>[2.2</w:t>
      </w:r>
      <w:r w:rsidR="007D32DE" w:rsidRPr="007D32DE">
        <w:rPr>
          <w:rFonts w:ascii="Times New Roman" w:hAnsi="Times New Roman" w:cs="Times New Roman"/>
          <w:b w:val="0"/>
          <w:sz w:val="24"/>
          <w:szCs w:val="24"/>
        </w:rPr>
        <w:t>] Religion as Practice and/or Belief</w:t>
      </w:r>
    </w:p>
    <w:p w14:paraId="2421D3EC" w14:textId="77777777" w:rsidR="00F30C09" w:rsidRPr="00F30C09" w:rsidRDefault="004E17D6" w:rsidP="004B3AA8">
      <w:pPr>
        <w:spacing w:after="0" w:line="480" w:lineRule="auto"/>
        <w:jc w:val="both"/>
        <w:rPr>
          <w:sz w:val="24"/>
          <w:szCs w:val="24"/>
        </w:rPr>
      </w:pPr>
      <w:r>
        <w:rPr>
          <w:sz w:val="24"/>
          <w:szCs w:val="24"/>
        </w:rPr>
        <w:t>One</w:t>
      </w:r>
      <w:r w:rsidR="007D32DE" w:rsidRPr="007D32DE">
        <w:rPr>
          <w:sz w:val="24"/>
          <w:szCs w:val="24"/>
        </w:rPr>
        <w:t xml:space="preserve"> key to understanding the practical turn is to look at shifts in theoretical debates around religion, for these </w:t>
      </w:r>
      <w:r w:rsidR="00312556">
        <w:rPr>
          <w:sz w:val="24"/>
          <w:szCs w:val="24"/>
        </w:rPr>
        <w:t>provide an illuminating parallel</w:t>
      </w:r>
      <w:r w:rsidR="007D32DE" w:rsidRPr="007D32DE">
        <w:rPr>
          <w:sz w:val="24"/>
          <w:szCs w:val="24"/>
        </w:rPr>
        <w:t>. Crudely put, researchers in the anthropology, sociology, and philosophy of religion have become increasingly suspicious of any description of religion that places t</w:t>
      </w:r>
      <w:r>
        <w:rPr>
          <w:sz w:val="24"/>
          <w:szCs w:val="24"/>
        </w:rPr>
        <w:t>oo great an emphasis on belief.</w:t>
      </w:r>
    </w:p>
    <w:p w14:paraId="40CBCD7D" w14:textId="21D46FCF" w:rsidR="007D32DE" w:rsidRPr="007D32DE" w:rsidRDefault="004E17D6" w:rsidP="00E02189">
      <w:pPr>
        <w:spacing w:after="0" w:line="480" w:lineRule="auto"/>
        <w:ind w:firstLine="720"/>
        <w:jc w:val="both"/>
        <w:rPr>
          <w:sz w:val="24"/>
          <w:szCs w:val="24"/>
        </w:rPr>
      </w:pPr>
      <w:r>
        <w:rPr>
          <w:sz w:val="24"/>
          <w:szCs w:val="24"/>
        </w:rPr>
        <w:t>For example</w:t>
      </w:r>
      <w:r w:rsidR="00F30C09">
        <w:rPr>
          <w:sz w:val="24"/>
          <w:szCs w:val="24"/>
        </w:rPr>
        <w:t xml:space="preserve">, </w:t>
      </w:r>
      <w:r w:rsidR="00F30C09" w:rsidRPr="00F30C09">
        <w:rPr>
          <w:sz w:val="24"/>
          <w:szCs w:val="24"/>
        </w:rPr>
        <w:t>Cottingham</w:t>
      </w:r>
      <w:r w:rsidR="00F30C09">
        <w:rPr>
          <w:sz w:val="24"/>
          <w:szCs w:val="24"/>
        </w:rPr>
        <w:t xml:space="preserve"> attends</w:t>
      </w:r>
      <w:r w:rsidR="00F30C09" w:rsidRPr="00F30C09">
        <w:rPr>
          <w:sz w:val="24"/>
          <w:szCs w:val="24"/>
        </w:rPr>
        <w:t xml:space="preserve"> to elements of religion that</w:t>
      </w:r>
      <w:r w:rsidR="00312556">
        <w:rPr>
          <w:sz w:val="24"/>
          <w:szCs w:val="24"/>
        </w:rPr>
        <w:t xml:space="preserve"> he considers </w:t>
      </w:r>
      <w:r w:rsidR="00F30C09">
        <w:rPr>
          <w:sz w:val="24"/>
          <w:szCs w:val="24"/>
        </w:rPr>
        <w:t>resistant to a mere logical analysis of belief. He writes, ‘</w:t>
      </w:r>
      <w:r w:rsidR="00F30C09" w:rsidRPr="00F30C09">
        <w:rPr>
          <w:sz w:val="24"/>
          <w:szCs w:val="24"/>
        </w:rPr>
        <w:t>One has a strange feeling that intellectual analysis, however acute, does not capture what is at stake when someone gives, or refuses, their allegiance to a religious worldview. The focus is somehow wrong.</w:t>
      </w:r>
      <w:r w:rsidR="00F30C09">
        <w:rPr>
          <w:sz w:val="24"/>
          <w:szCs w:val="24"/>
        </w:rPr>
        <w:t>’</w:t>
      </w:r>
      <w:r w:rsidR="007A7405">
        <w:rPr>
          <w:rStyle w:val="FootnoteReference"/>
          <w:sz w:val="24"/>
          <w:szCs w:val="24"/>
        </w:rPr>
        <w:footnoteReference w:id="27"/>
      </w:r>
      <w:r w:rsidR="0064762A">
        <w:rPr>
          <w:sz w:val="24"/>
          <w:szCs w:val="24"/>
        </w:rPr>
        <w:t xml:space="preserve"> </w:t>
      </w:r>
      <w:r>
        <w:rPr>
          <w:sz w:val="24"/>
          <w:szCs w:val="24"/>
        </w:rPr>
        <w:t xml:space="preserve">For this reason, </w:t>
      </w:r>
      <w:r w:rsidR="0064762A">
        <w:rPr>
          <w:sz w:val="24"/>
          <w:szCs w:val="24"/>
        </w:rPr>
        <w:t>Cottingham</w:t>
      </w:r>
      <w:r>
        <w:rPr>
          <w:sz w:val="24"/>
          <w:szCs w:val="24"/>
        </w:rPr>
        <w:t xml:space="preserve"> himself</w:t>
      </w:r>
      <w:r w:rsidR="0064762A">
        <w:rPr>
          <w:sz w:val="24"/>
          <w:szCs w:val="24"/>
        </w:rPr>
        <w:t xml:space="preserve"> focuses on what he dubs ‘the spiritual’ features of religion which exist ‘</w:t>
      </w:r>
      <w:r w:rsidR="00F30C09" w:rsidRPr="00F30C09">
        <w:rPr>
          <w:sz w:val="24"/>
          <w:szCs w:val="24"/>
        </w:rPr>
        <w:t>irrespective of metaphysical com</w:t>
      </w:r>
      <w:r w:rsidR="0064762A">
        <w:rPr>
          <w:sz w:val="24"/>
          <w:szCs w:val="24"/>
        </w:rPr>
        <w:t>mitment or doctrinal allegiance’.</w:t>
      </w:r>
      <w:r w:rsidR="007A7405">
        <w:rPr>
          <w:rStyle w:val="FootnoteReference"/>
          <w:sz w:val="24"/>
          <w:szCs w:val="24"/>
        </w:rPr>
        <w:footnoteReference w:id="28"/>
      </w:r>
      <w:r w:rsidR="0064762A">
        <w:rPr>
          <w:sz w:val="24"/>
          <w:szCs w:val="24"/>
        </w:rPr>
        <w:t xml:space="preserve"> Hence</w:t>
      </w:r>
      <w:r w:rsidR="00F30C09" w:rsidRPr="00F30C09">
        <w:rPr>
          <w:sz w:val="24"/>
          <w:szCs w:val="24"/>
        </w:rPr>
        <w:t xml:space="preserve">, instead of being </w:t>
      </w:r>
      <w:r w:rsidR="0064762A">
        <w:rPr>
          <w:sz w:val="24"/>
          <w:szCs w:val="24"/>
        </w:rPr>
        <w:t>purely derivative of</w:t>
      </w:r>
      <w:r w:rsidR="00F30C09" w:rsidRPr="00F30C09">
        <w:rPr>
          <w:sz w:val="24"/>
          <w:szCs w:val="24"/>
        </w:rPr>
        <w:t xml:space="preserve"> beliefs or propositional attitudes, Cottingham claims that </w:t>
      </w:r>
      <w:r w:rsidR="0064762A">
        <w:rPr>
          <w:sz w:val="24"/>
          <w:szCs w:val="24"/>
        </w:rPr>
        <w:t xml:space="preserve">the spiritual in religion is </w:t>
      </w:r>
      <w:r w:rsidR="00E02189">
        <w:rPr>
          <w:sz w:val="24"/>
          <w:szCs w:val="24"/>
        </w:rPr>
        <w:t>consequent on</w:t>
      </w:r>
      <w:r w:rsidR="00F30C09" w:rsidRPr="00F30C09">
        <w:rPr>
          <w:sz w:val="24"/>
          <w:szCs w:val="24"/>
        </w:rPr>
        <w:t xml:space="preserve"> practices. </w:t>
      </w:r>
      <w:r w:rsidR="00E02189">
        <w:rPr>
          <w:sz w:val="24"/>
          <w:szCs w:val="24"/>
        </w:rPr>
        <w:t xml:space="preserve">He affirms, that is, </w:t>
      </w:r>
      <w:r w:rsidR="0064762A">
        <w:rPr>
          <w:sz w:val="24"/>
          <w:szCs w:val="24"/>
        </w:rPr>
        <w:t>‘the primacy of praxis’</w:t>
      </w:r>
      <w:r w:rsidR="00E02189">
        <w:rPr>
          <w:sz w:val="24"/>
          <w:szCs w:val="24"/>
        </w:rPr>
        <w:t xml:space="preserve"> in understanding religion</w:t>
      </w:r>
      <w:r w:rsidR="00F30C09" w:rsidRPr="00F30C09">
        <w:rPr>
          <w:sz w:val="24"/>
          <w:szCs w:val="24"/>
        </w:rPr>
        <w:t>.</w:t>
      </w:r>
      <w:r w:rsidR="007A7405">
        <w:rPr>
          <w:rStyle w:val="FootnoteReference"/>
          <w:sz w:val="24"/>
          <w:szCs w:val="24"/>
        </w:rPr>
        <w:footnoteReference w:id="29"/>
      </w:r>
      <w:r w:rsidR="00E02189">
        <w:rPr>
          <w:sz w:val="24"/>
          <w:szCs w:val="24"/>
        </w:rPr>
        <w:t xml:space="preserve"> </w:t>
      </w:r>
      <w:r w:rsidR="007D32DE" w:rsidRPr="007D32DE">
        <w:rPr>
          <w:rFonts w:eastAsia="BookAntiquaParliamentary"/>
          <w:sz w:val="24"/>
          <w:szCs w:val="24"/>
        </w:rPr>
        <w:t xml:space="preserve">Trigg </w:t>
      </w:r>
      <w:r w:rsidR="0064762A">
        <w:rPr>
          <w:rFonts w:eastAsia="BookAntiquaParliamentary"/>
          <w:sz w:val="24"/>
          <w:szCs w:val="24"/>
        </w:rPr>
        <w:t>makes use of</w:t>
      </w:r>
      <w:r w:rsidR="004A09EC">
        <w:rPr>
          <w:rFonts w:eastAsia="BookAntiquaParliamentary"/>
          <w:sz w:val="24"/>
          <w:szCs w:val="24"/>
        </w:rPr>
        <w:t xml:space="preserve"> this shift in philosophical </w:t>
      </w:r>
      <w:r w:rsidR="00E02189">
        <w:rPr>
          <w:rFonts w:eastAsia="BookAntiquaParliamentary"/>
          <w:sz w:val="24"/>
          <w:szCs w:val="24"/>
        </w:rPr>
        <w:t>treatments</w:t>
      </w:r>
      <w:r w:rsidR="00AF69FC">
        <w:rPr>
          <w:rFonts w:eastAsia="BookAntiquaParliamentary"/>
          <w:sz w:val="24"/>
          <w:szCs w:val="24"/>
        </w:rPr>
        <w:t xml:space="preserve"> of religion to frame his criticisms of</w:t>
      </w:r>
      <w:r w:rsidR="007D32DE" w:rsidRPr="007D32DE">
        <w:rPr>
          <w:rFonts w:eastAsia="BookAntiquaParliamentary"/>
          <w:sz w:val="24"/>
          <w:szCs w:val="24"/>
        </w:rPr>
        <w:t xml:space="preserve">, among other things, the traditional jurisprudence surrounding Article 9. For Trigg, </w:t>
      </w:r>
      <w:r w:rsidR="007D32DE" w:rsidRPr="007D32DE">
        <w:rPr>
          <w:sz w:val="24"/>
          <w:szCs w:val="24"/>
        </w:rPr>
        <w:t>‘[w]hen religion is pitted against rights, religion is often sidelined.’</w:t>
      </w:r>
      <w:r w:rsidR="007D32DE" w:rsidRPr="00AF69FC">
        <w:rPr>
          <w:rStyle w:val="FootnoteReference"/>
          <w:sz w:val="24"/>
          <w:szCs w:val="24"/>
        </w:rPr>
        <w:footnoteReference w:id="30"/>
      </w:r>
      <w:r w:rsidR="007D32DE" w:rsidRPr="00AF69FC">
        <w:rPr>
          <w:sz w:val="24"/>
          <w:szCs w:val="24"/>
          <w:vertAlign w:val="superscript"/>
        </w:rPr>
        <w:t xml:space="preserve"> </w:t>
      </w:r>
      <w:r w:rsidR="003012AF" w:rsidRPr="007D32DE">
        <w:rPr>
          <w:sz w:val="24"/>
          <w:szCs w:val="24"/>
        </w:rPr>
        <w:t>That is, judges have tended</w:t>
      </w:r>
      <w:r w:rsidR="00B85D67">
        <w:rPr>
          <w:sz w:val="24"/>
          <w:szCs w:val="24"/>
        </w:rPr>
        <w:t>, he maintains,</w:t>
      </w:r>
      <w:r w:rsidR="003012AF" w:rsidRPr="007D32DE">
        <w:rPr>
          <w:sz w:val="24"/>
          <w:szCs w:val="24"/>
        </w:rPr>
        <w:t xml:space="preserve"> to minimize the significance of religion by understanding it through </w:t>
      </w:r>
      <w:r w:rsidR="00E320C6">
        <w:rPr>
          <w:sz w:val="24"/>
          <w:szCs w:val="24"/>
        </w:rPr>
        <w:t xml:space="preserve">what he sees as </w:t>
      </w:r>
      <w:r w:rsidR="003012AF" w:rsidRPr="007D32DE">
        <w:rPr>
          <w:sz w:val="24"/>
          <w:szCs w:val="24"/>
        </w:rPr>
        <w:t>the</w:t>
      </w:r>
      <w:r w:rsidR="00312556">
        <w:rPr>
          <w:sz w:val="24"/>
          <w:szCs w:val="24"/>
        </w:rPr>
        <w:t xml:space="preserve"> alien and distorting category</w:t>
      </w:r>
      <w:r w:rsidR="003012AF" w:rsidRPr="007D32DE">
        <w:rPr>
          <w:sz w:val="24"/>
          <w:szCs w:val="24"/>
        </w:rPr>
        <w:t xml:space="preserve"> of </w:t>
      </w:r>
      <w:r w:rsidR="00312556">
        <w:rPr>
          <w:sz w:val="24"/>
          <w:szCs w:val="24"/>
        </w:rPr>
        <w:t>belief</w:t>
      </w:r>
      <w:r w:rsidR="003012AF" w:rsidRPr="007D32DE">
        <w:rPr>
          <w:sz w:val="24"/>
          <w:szCs w:val="24"/>
        </w:rPr>
        <w:t xml:space="preserve">, i.e. by understanding it as a matter of beliefs held </w:t>
      </w:r>
      <w:r w:rsidR="003012AF">
        <w:rPr>
          <w:sz w:val="24"/>
          <w:szCs w:val="24"/>
        </w:rPr>
        <w:t xml:space="preserve">just </w:t>
      </w:r>
      <w:r w:rsidR="003012AF" w:rsidRPr="007D32DE">
        <w:rPr>
          <w:sz w:val="24"/>
          <w:szCs w:val="24"/>
        </w:rPr>
        <w:t xml:space="preserve">in the individual’s private conscience rather than </w:t>
      </w:r>
      <w:r w:rsidR="003012AF">
        <w:rPr>
          <w:sz w:val="24"/>
          <w:szCs w:val="24"/>
        </w:rPr>
        <w:t xml:space="preserve">also in </w:t>
      </w:r>
      <w:r w:rsidR="003012AF" w:rsidRPr="007D32DE">
        <w:rPr>
          <w:sz w:val="24"/>
          <w:szCs w:val="24"/>
        </w:rPr>
        <w:t>public practices.</w:t>
      </w:r>
      <w:r w:rsidR="003012AF" w:rsidRPr="00AF69FC">
        <w:rPr>
          <w:rStyle w:val="FootnoteReference"/>
          <w:sz w:val="24"/>
          <w:szCs w:val="24"/>
        </w:rPr>
        <w:footnoteReference w:id="31"/>
      </w:r>
      <w:r w:rsidR="003012AF" w:rsidRPr="007D32DE">
        <w:rPr>
          <w:sz w:val="24"/>
          <w:szCs w:val="24"/>
        </w:rPr>
        <w:t xml:space="preserve"> </w:t>
      </w:r>
      <w:r w:rsidR="00312556">
        <w:rPr>
          <w:sz w:val="24"/>
          <w:szCs w:val="24"/>
        </w:rPr>
        <w:t>A</w:t>
      </w:r>
      <w:r w:rsidR="003012AF" w:rsidRPr="007D32DE">
        <w:rPr>
          <w:sz w:val="24"/>
          <w:szCs w:val="24"/>
        </w:rPr>
        <w:t xml:space="preserve">ccording to Trigg, </w:t>
      </w:r>
      <w:r w:rsidR="007D32DE" w:rsidRPr="007D32DE">
        <w:rPr>
          <w:sz w:val="24"/>
          <w:szCs w:val="24"/>
        </w:rPr>
        <w:t>‘From many religious points of view, the contrast between belief and manifestation is obnoxious.’</w:t>
      </w:r>
      <w:r w:rsidR="007D32DE" w:rsidRPr="00AF69FC">
        <w:rPr>
          <w:rStyle w:val="FootnoteReference"/>
          <w:sz w:val="24"/>
          <w:szCs w:val="24"/>
        </w:rPr>
        <w:footnoteReference w:id="32"/>
      </w:r>
    </w:p>
    <w:p w14:paraId="65971C8F" w14:textId="77777777" w:rsidR="007D32DE" w:rsidRPr="007D32DE" w:rsidRDefault="006171B9" w:rsidP="004B3AA8">
      <w:pPr>
        <w:spacing w:after="0" w:line="480" w:lineRule="auto"/>
        <w:ind w:firstLine="720"/>
        <w:jc w:val="both"/>
        <w:rPr>
          <w:sz w:val="24"/>
          <w:szCs w:val="24"/>
        </w:rPr>
      </w:pPr>
      <w:r>
        <w:rPr>
          <w:sz w:val="24"/>
          <w:szCs w:val="24"/>
        </w:rPr>
        <w:lastRenderedPageBreak/>
        <w:t>What the above analysis of the cases shows, however,</w:t>
      </w:r>
      <w:r w:rsidR="007D32DE" w:rsidRPr="007D32DE">
        <w:rPr>
          <w:sz w:val="24"/>
          <w:szCs w:val="24"/>
        </w:rPr>
        <w:t xml:space="preserve"> is that the practical turn undertaken in ECtHR jurisprudence since 2005 is one way in which Strasbourg has in fact </w:t>
      </w:r>
      <w:r w:rsidR="00DB3205">
        <w:rPr>
          <w:sz w:val="24"/>
          <w:szCs w:val="24"/>
        </w:rPr>
        <w:t xml:space="preserve">already </w:t>
      </w:r>
      <w:r w:rsidR="007D32DE" w:rsidRPr="007D32DE">
        <w:rPr>
          <w:sz w:val="24"/>
          <w:szCs w:val="24"/>
        </w:rPr>
        <w:t>responded to these concerns. By marginalizing the question</w:t>
      </w:r>
      <w:r w:rsidR="00DB3205">
        <w:rPr>
          <w:sz w:val="24"/>
          <w:szCs w:val="24"/>
        </w:rPr>
        <w:t xml:space="preserve"> of</w:t>
      </w:r>
      <w:r w:rsidR="007D32DE" w:rsidRPr="007D32DE">
        <w:rPr>
          <w:sz w:val="24"/>
          <w:szCs w:val="24"/>
        </w:rPr>
        <w:t xml:space="preserve"> whether a practice is merely motivated by or genuinely expresses an antecedent belief, the ECtHR has ultimately undermined any idea that religion is always primarily a matter of belief. Since 2005, judges are no longer as interested in legitimating religious practices with r</w:t>
      </w:r>
      <w:r w:rsidR="00DB3205">
        <w:rPr>
          <w:sz w:val="24"/>
          <w:szCs w:val="24"/>
        </w:rPr>
        <w:t>espect to their links to belief</w:t>
      </w:r>
      <w:r w:rsidR="007D32DE" w:rsidRPr="007D32DE">
        <w:rPr>
          <w:sz w:val="24"/>
          <w:szCs w:val="24"/>
        </w:rPr>
        <w:t>. Since being motivated by a belief is seemingly viewed as both sufficient and insufficient for manifestation, it can no longer be a crucial criterion for assessing religious practices; rather, practices are now to be considered far more in their own right, not as signs of belief. This, then, responds, in a fairly precise manner, to the worries of those like Trigg</w:t>
      </w:r>
      <w:r w:rsidR="00DB3205">
        <w:rPr>
          <w:sz w:val="24"/>
          <w:szCs w:val="24"/>
        </w:rPr>
        <w:t>.</w:t>
      </w:r>
    </w:p>
    <w:p w14:paraId="712F8638" w14:textId="77777777" w:rsidR="00E45158" w:rsidRDefault="00E45158" w:rsidP="004B3AA8">
      <w:pPr>
        <w:spacing w:after="0" w:line="480" w:lineRule="auto"/>
        <w:jc w:val="both"/>
        <w:rPr>
          <w:sz w:val="24"/>
          <w:szCs w:val="24"/>
        </w:rPr>
      </w:pPr>
    </w:p>
    <w:p w14:paraId="473CFE3E" w14:textId="77777777" w:rsidR="007D32DE" w:rsidRPr="008A36E1" w:rsidRDefault="007D32DE" w:rsidP="004B3AA8">
      <w:pPr>
        <w:spacing w:after="0" w:line="480" w:lineRule="auto"/>
        <w:jc w:val="both"/>
        <w:rPr>
          <w:sz w:val="24"/>
          <w:szCs w:val="24"/>
        </w:rPr>
      </w:pPr>
    </w:p>
    <w:p w14:paraId="09F25995" w14:textId="77777777" w:rsidR="00A72436" w:rsidRPr="008A36E1" w:rsidRDefault="00E45158" w:rsidP="004B3AA8">
      <w:pPr>
        <w:spacing w:after="0" w:line="480" w:lineRule="auto"/>
        <w:jc w:val="both"/>
        <w:rPr>
          <w:sz w:val="24"/>
          <w:szCs w:val="24"/>
          <w:u w:val="single"/>
        </w:rPr>
      </w:pPr>
      <w:r w:rsidRPr="008A36E1">
        <w:rPr>
          <w:sz w:val="24"/>
          <w:szCs w:val="24"/>
          <w:u w:val="single"/>
        </w:rPr>
        <w:t xml:space="preserve">[3] </w:t>
      </w:r>
      <w:r w:rsidR="007C78BB">
        <w:rPr>
          <w:sz w:val="24"/>
          <w:szCs w:val="24"/>
          <w:u w:val="single"/>
        </w:rPr>
        <w:t xml:space="preserve">Ethics: </w:t>
      </w:r>
      <w:r w:rsidR="007D32DE">
        <w:rPr>
          <w:sz w:val="24"/>
          <w:szCs w:val="24"/>
          <w:u w:val="single"/>
        </w:rPr>
        <w:t>harm to individual third parties</w:t>
      </w:r>
    </w:p>
    <w:p w14:paraId="3163606D" w14:textId="3422352F" w:rsidR="004153C1" w:rsidRDefault="004153C1" w:rsidP="004B3AA8">
      <w:pPr>
        <w:spacing w:after="0" w:line="480" w:lineRule="auto"/>
        <w:jc w:val="both"/>
        <w:rPr>
          <w:sz w:val="24"/>
          <w:szCs w:val="24"/>
        </w:rPr>
      </w:pPr>
      <w:r>
        <w:rPr>
          <w:sz w:val="24"/>
          <w:szCs w:val="24"/>
        </w:rPr>
        <w:t>In a section of his</w:t>
      </w:r>
      <w:r w:rsidRPr="003232A2">
        <w:rPr>
          <w:sz w:val="24"/>
          <w:szCs w:val="24"/>
        </w:rPr>
        <w:t xml:space="preserve"> </w:t>
      </w:r>
      <w:r w:rsidRPr="003232A2">
        <w:rPr>
          <w:i/>
          <w:sz w:val="24"/>
          <w:szCs w:val="24"/>
        </w:rPr>
        <w:t>Manual</w:t>
      </w:r>
      <w:r>
        <w:rPr>
          <w:i/>
          <w:sz w:val="24"/>
          <w:szCs w:val="24"/>
        </w:rPr>
        <w:t xml:space="preserve"> on the Wearing of Religious Symbols in Public Areas </w:t>
      </w:r>
      <w:r w:rsidRPr="003232A2">
        <w:rPr>
          <w:sz w:val="24"/>
          <w:szCs w:val="24"/>
        </w:rPr>
        <w:t>entitle</w:t>
      </w:r>
      <w:r>
        <w:rPr>
          <w:sz w:val="24"/>
          <w:szCs w:val="24"/>
        </w:rPr>
        <w:t>d</w:t>
      </w:r>
      <w:r w:rsidRPr="003232A2">
        <w:rPr>
          <w:sz w:val="24"/>
          <w:szCs w:val="24"/>
        </w:rPr>
        <w:t xml:space="preserve"> ‘The Role of the Third Party’</w:t>
      </w:r>
      <w:r w:rsidR="00690178">
        <w:rPr>
          <w:sz w:val="24"/>
          <w:szCs w:val="24"/>
        </w:rPr>
        <w:t>,</w:t>
      </w:r>
      <w:r w:rsidR="00361ADC">
        <w:rPr>
          <w:rStyle w:val="FootnoteReference"/>
          <w:sz w:val="24"/>
          <w:szCs w:val="24"/>
        </w:rPr>
        <w:footnoteReference w:id="33"/>
      </w:r>
      <w:r>
        <w:rPr>
          <w:sz w:val="24"/>
          <w:szCs w:val="24"/>
        </w:rPr>
        <w:t xml:space="preserve"> Malcolm</w:t>
      </w:r>
      <w:r w:rsidRPr="003232A2">
        <w:rPr>
          <w:sz w:val="24"/>
          <w:szCs w:val="24"/>
        </w:rPr>
        <w:t xml:space="preserve"> Evans argues that ‘the real significance of something being a religious symbol lies in the re</w:t>
      </w:r>
      <w:r w:rsidR="003012AF">
        <w:rPr>
          <w:sz w:val="24"/>
          <w:szCs w:val="24"/>
        </w:rPr>
        <w:t>sponse of others to that symbol</w:t>
      </w:r>
      <w:r w:rsidRPr="003232A2">
        <w:rPr>
          <w:sz w:val="24"/>
          <w:szCs w:val="24"/>
        </w:rPr>
        <w:t>’</w:t>
      </w:r>
      <w:r w:rsidR="003012AF">
        <w:rPr>
          <w:sz w:val="24"/>
          <w:szCs w:val="24"/>
        </w:rPr>
        <w:t>.</w:t>
      </w:r>
      <w:r w:rsidRPr="003232A2">
        <w:rPr>
          <w:sz w:val="24"/>
          <w:szCs w:val="24"/>
        </w:rPr>
        <w:t xml:space="preserve"> </w:t>
      </w:r>
      <w:r>
        <w:rPr>
          <w:sz w:val="24"/>
          <w:szCs w:val="24"/>
        </w:rPr>
        <w:t>Evans thus raises</w:t>
      </w:r>
      <w:r w:rsidRPr="008A36E1">
        <w:rPr>
          <w:sz w:val="24"/>
          <w:szCs w:val="24"/>
        </w:rPr>
        <w:t xml:space="preserve"> the question of an ‘ethics’ of religious practices.</w:t>
      </w:r>
      <w:r>
        <w:rPr>
          <w:sz w:val="24"/>
          <w:szCs w:val="24"/>
        </w:rPr>
        <w:t xml:space="preserve"> </w:t>
      </w:r>
      <w:r w:rsidR="00653D7A">
        <w:rPr>
          <w:sz w:val="24"/>
          <w:szCs w:val="24"/>
        </w:rPr>
        <w:t>S</w:t>
      </w:r>
      <w:r w:rsidR="00E800B2">
        <w:rPr>
          <w:sz w:val="24"/>
          <w:szCs w:val="24"/>
        </w:rPr>
        <w:t>uch an ethics</w:t>
      </w:r>
      <w:r w:rsidRPr="008A36E1">
        <w:rPr>
          <w:sz w:val="24"/>
          <w:szCs w:val="24"/>
        </w:rPr>
        <w:t xml:space="preserve"> would </w:t>
      </w:r>
      <w:r w:rsidR="00E800B2">
        <w:rPr>
          <w:sz w:val="24"/>
          <w:szCs w:val="24"/>
        </w:rPr>
        <w:t xml:space="preserve">seemingly </w:t>
      </w:r>
      <w:r w:rsidRPr="008A36E1">
        <w:rPr>
          <w:sz w:val="24"/>
          <w:szCs w:val="24"/>
        </w:rPr>
        <w:t xml:space="preserve">have </w:t>
      </w:r>
      <w:r>
        <w:rPr>
          <w:sz w:val="24"/>
          <w:szCs w:val="24"/>
        </w:rPr>
        <w:t>the task of considering the</w:t>
      </w:r>
      <w:r w:rsidRPr="008A36E1">
        <w:rPr>
          <w:sz w:val="24"/>
          <w:szCs w:val="24"/>
        </w:rPr>
        <w:t xml:space="preserve"> reactions of other individuals or groups</w:t>
      </w:r>
      <w:r>
        <w:rPr>
          <w:sz w:val="24"/>
          <w:szCs w:val="24"/>
        </w:rPr>
        <w:t xml:space="preserve"> (the ‘third party’) to uses of a religious symbol and, particularly,</w:t>
      </w:r>
      <w:r w:rsidRPr="008A36E1">
        <w:rPr>
          <w:sz w:val="24"/>
          <w:szCs w:val="24"/>
        </w:rPr>
        <w:t xml:space="preserve"> to identify those </w:t>
      </w:r>
      <w:r>
        <w:rPr>
          <w:sz w:val="24"/>
          <w:szCs w:val="24"/>
        </w:rPr>
        <w:t>uses of that symbol</w:t>
      </w:r>
      <w:r w:rsidRPr="008A36E1">
        <w:rPr>
          <w:sz w:val="24"/>
          <w:szCs w:val="24"/>
        </w:rPr>
        <w:t xml:space="preserve"> that harm </w:t>
      </w:r>
      <w:r>
        <w:rPr>
          <w:sz w:val="24"/>
          <w:szCs w:val="24"/>
        </w:rPr>
        <w:t>third parties</w:t>
      </w:r>
      <w:r w:rsidRPr="008A36E1">
        <w:rPr>
          <w:sz w:val="24"/>
          <w:szCs w:val="24"/>
        </w:rPr>
        <w:t>.</w:t>
      </w:r>
    </w:p>
    <w:p w14:paraId="4C771162" w14:textId="44C334B5" w:rsidR="00AA4911" w:rsidRDefault="00AA4911" w:rsidP="004B3AA8">
      <w:pPr>
        <w:spacing w:after="0" w:line="480" w:lineRule="auto"/>
        <w:ind w:firstLine="720"/>
        <w:jc w:val="both"/>
        <w:rPr>
          <w:sz w:val="24"/>
          <w:szCs w:val="24"/>
        </w:rPr>
      </w:pPr>
      <w:r>
        <w:rPr>
          <w:sz w:val="24"/>
          <w:szCs w:val="24"/>
        </w:rPr>
        <w:t>For J.S. Mill, the only limitation on</w:t>
      </w:r>
      <w:r w:rsidRPr="008807F0">
        <w:rPr>
          <w:sz w:val="24"/>
          <w:szCs w:val="24"/>
        </w:rPr>
        <w:t xml:space="preserve"> freedom of expression consists in </w:t>
      </w:r>
      <w:r>
        <w:rPr>
          <w:sz w:val="24"/>
          <w:szCs w:val="24"/>
        </w:rPr>
        <w:t>‘</w:t>
      </w:r>
      <w:r w:rsidRPr="008807F0">
        <w:rPr>
          <w:sz w:val="24"/>
          <w:szCs w:val="24"/>
        </w:rPr>
        <w:t>one very simple principle</w:t>
      </w:r>
      <w:r>
        <w:rPr>
          <w:sz w:val="24"/>
          <w:szCs w:val="24"/>
        </w:rPr>
        <w:t>’</w:t>
      </w:r>
      <w:r w:rsidRPr="008807F0">
        <w:rPr>
          <w:sz w:val="24"/>
          <w:szCs w:val="24"/>
        </w:rPr>
        <w:t xml:space="preserve">: </w:t>
      </w:r>
      <w:r>
        <w:rPr>
          <w:sz w:val="24"/>
          <w:szCs w:val="24"/>
        </w:rPr>
        <w:t>‘</w:t>
      </w:r>
      <w:r w:rsidRPr="008807F0">
        <w:rPr>
          <w:sz w:val="24"/>
          <w:szCs w:val="24"/>
          <w:shd w:val="clear" w:color="auto" w:fill="FFFFFF"/>
        </w:rPr>
        <w:t>The only purpose for which power can be rightfully exercised over any member of a civilized community, against his will, is to prevent harm to others.</w:t>
      </w:r>
      <w:r>
        <w:rPr>
          <w:sz w:val="24"/>
          <w:szCs w:val="24"/>
          <w:shd w:val="clear" w:color="auto" w:fill="FFFFFF"/>
        </w:rPr>
        <w:t>’</w:t>
      </w:r>
      <w:r>
        <w:rPr>
          <w:rStyle w:val="FootnoteReference"/>
          <w:sz w:val="24"/>
          <w:szCs w:val="24"/>
          <w:shd w:val="clear" w:color="auto" w:fill="FFFFFF"/>
        </w:rPr>
        <w:footnoteReference w:id="34"/>
      </w:r>
      <w:r>
        <w:rPr>
          <w:rStyle w:val="apple-converted-space"/>
          <w:sz w:val="24"/>
          <w:szCs w:val="24"/>
          <w:shd w:val="clear" w:color="auto" w:fill="FFFFFF"/>
        </w:rPr>
        <w:t xml:space="preserve"> This has come to be known as ‘the harm principle’. One reason why it is difficult to work out how this principle might apply when it comes to the use of religious symbols is that </w:t>
      </w:r>
      <w:r w:rsidR="00410874">
        <w:rPr>
          <w:sz w:val="24"/>
          <w:szCs w:val="24"/>
        </w:rPr>
        <w:t>harm i</w:t>
      </w:r>
      <w:r w:rsidR="00E800B2">
        <w:rPr>
          <w:sz w:val="24"/>
          <w:szCs w:val="24"/>
        </w:rPr>
        <w:t>s easiest to identify</w:t>
      </w:r>
      <w:r w:rsidR="00690178">
        <w:rPr>
          <w:sz w:val="24"/>
          <w:szCs w:val="24"/>
        </w:rPr>
        <w:t>,</w:t>
      </w:r>
      <w:r w:rsidR="00E800B2">
        <w:rPr>
          <w:sz w:val="24"/>
          <w:szCs w:val="24"/>
        </w:rPr>
        <w:t xml:space="preserve"> and so to protect against,</w:t>
      </w:r>
      <w:r w:rsidR="00F479DD">
        <w:rPr>
          <w:sz w:val="24"/>
          <w:szCs w:val="24"/>
        </w:rPr>
        <w:t xml:space="preserve"> when </w:t>
      </w:r>
      <w:r w:rsidR="00410874">
        <w:rPr>
          <w:sz w:val="24"/>
          <w:szCs w:val="24"/>
        </w:rPr>
        <w:t>physical.</w:t>
      </w:r>
      <w:r>
        <w:rPr>
          <w:sz w:val="24"/>
          <w:szCs w:val="24"/>
        </w:rPr>
        <w:t xml:space="preserve"> It is indeed possible for the use of a symbol to cause physical harm to a third party: considerations of health</w:t>
      </w:r>
      <w:r>
        <w:rPr>
          <w:rFonts w:ascii="Calibri" w:hAnsi="Calibri"/>
          <w:sz w:val="24"/>
          <w:szCs w:val="24"/>
        </w:rPr>
        <w:t>—</w:t>
      </w:r>
      <w:r>
        <w:rPr>
          <w:sz w:val="24"/>
          <w:szCs w:val="24"/>
        </w:rPr>
        <w:t>explicitly men</w:t>
      </w:r>
      <w:r w:rsidR="00E800B2">
        <w:rPr>
          <w:sz w:val="24"/>
          <w:szCs w:val="24"/>
        </w:rPr>
        <w:t>tioned in the text of Article 9(</w:t>
      </w:r>
      <w:r>
        <w:rPr>
          <w:sz w:val="24"/>
          <w:szCs w:val="24"/>
        </w:rPr>
        <w:t>2</w:t>
      </w:r>
      <w:r w:rsidR="00E800B2">
        <w:rPr>
          <w:sz w:val="24"/>
          <w:szCs w:val="24"/>
        </w:rPr>
        <w:t>)</w:t>
      </w:r>
      <w:r>
        <w:rPr>
          <w:rFonts w:ascii="Calibri" w:hAnsi="Calibri"/>
          <w:sz w:val="24"/>
          <w:szCs w:val="24"/>
        </w:rPr>
        <w:t>—</w:t>
      </w:r>
      <w:r>
        <w:rPr>
          <w:sz w:val="24"/>
          <w:szCs w:val="24"/>
        </w:rPr>
        <w:t>imply this</w:t>
      </w:r>
      <w:r w:rsidR="00DE441F">
        <w:rPr>
          <w:sz w:val="24"/>
          <w:szCs w:val="24"/>
        </w:rPr>
        <w:t xml:space="preserve">, and the case of </w:t>
      </w:r>
      <w:r w:rsidR="00DE441F">
        <w:rPr>
          <w:i/>
          <w:sz w:val="24"/>
          <w:szCs w:val="24"/>
        </w:rPr>
        <w:t xml:space="preserve">Chaplin v UK </w:t>
      </w:r>
      <w:r w:rsidR="00DE441F">
        <w:rPr>
          <w:sz w:val="24"/>
          <w:szCs w:val="24"/>
        </w:rPr>
        <w:t>was decided on this aspect</w:t>
      </w:r>
      <w:r>
        <w:rPr>
          <w:sz w:val="24"/>
          <w:szCs w:val="24"/>
        </w:rPr>
        <w:t>.</w:t>
      </w:r>
      <w:r w:rsidR="00DE441F">
        <w:rPr>
          <w:rStyle w:val="FootnoteReference"/>
          <w:sz w:val="24"/>
          <w:szCs w:val="24"/>
        </w:rPr>
        <w:footnoteReference w:id="35"/>
      </w:r>
      <w:r>
        <w:rPr>
          <w:sz w:val="24"/>
          <w:szCs w:val="24"/>
        </w:rPr>
        <w:t xml:space="preserve"> Nonetheless, in the vast majority of cases, </w:t>
      </w:r>
      <w:r w:rsidR="006D3B4A">
        <w:rPr>
          <w:sz w:val="24"/>
          <w:szCs w:val="24"/>
        </w:rPr>
        <w:t xml:space="preserve">any </w:t>
      </w:r>
      <w:r>
        <w:rPr>
          <w:sz w:val="24"/>
          <w:szCs w:val="24"/>
        </w:rPr>
        <w:t>harm caused by a symbol is mental rather than physical.</w:t>
      </w:r>
      <w:r w:rsidRPr="00AA4911">
        <w:rPr>
          <w:sz w:val="24"/>
          <w:szCs w:val="24"/>
        </w:rPr>
        <w:t xml:space="preserve"> </w:t>
      </w:r>
      <w:r w:rsidR="00E800B2">
        <w:rPr>
          <w:sz w:val="24"/>
          <w:szCs w:val="24"/>
        </w:rPr>
        <w:t>Furthermore</w:t>
      </w:r>
      <w:r w:rsidR="003012AF">
        <w:rPr>
          <w:sz w:val="24"/>
          <w:szCs w:val="24"/>
        </w:rPr>
        <w:t>, the wording of Article 9(</w:t>
      </w:r>
      <w:r>
        <w:rPr>
          <w:sz w:val="24"/>
          <w:szCs w:val="24"/>
        </w:rPr>
        <w:t>2</w:t>
      </w:r>
      <w:r w:rsidR="003012AF">
        <w:rPr>
          <w:sz w:val="24"/>
          <w:szCs w:val="24"/>
        </w:rPr>
        <w:t>)</w:t>
      </w:r>
      <w:r w:rsidR="00E800B2">
        <w:rPr>
          <w:sz w:val="24"/>
          <w:szCs w:val="24"/>
        </w:rPr>
        <w:t xml:space="preserve"> is </w:t>
      </w:r>
      <w:r>
        <w:rPr>
          <w:sz w:val="24"/>
          <w:szCs w:val="24"/>
        </w:rPr>
        <w:t xml:space="preserve">much more explicit when it comes to collective harm than </w:t>
      </w:r>
      <w:r w:rsidR="00AF6CAD">
        <w:rPr>
          <w:sz w:val="24"/>
          <w:szCs w:val="24"/>
        </w:rPr>
        <w:t xml:space="preserve">when it comes </w:t>
      </w:r>
      <w:r>
        <w:rPr>
          <w:sz w:val="24"/>
          <w:szCs w:val="24"/>
        </w:rPr>
        <w:t>to individual harm.</w:t>
      </w:r>
      <w:r w:rsidR="00D6135A">
        <w:rPr>
          <w:rStyle w:val="FootnoteReference"/>
          <w:sz w:val="24"/>
          <w:szCs w:val="24"/>
        </w:rPr>
        <w:footnoteReference w:id="36"/>
      </w:r>
      <w:r w:rsidRPr="00DA46AA">
        <w:rPr>
          <w:sz w:val="24"/>
          <w:szCs w:val="24"/>
        </w:rPr>
        <w:t xml:space="preserve"> It is only in its final clause </w:t>
      </w:r>
      <w:r>
        <w:rPr>
          <w:sz w:val="24"/>
          <w:szCs w:val="24"/>
        </w:rPr>
        <w:t>with the addition of</w:t>
      </w:r>
      <w:r w:rsidRPr="00DA46AA">
        <w:rPr>
          <w:sz w:val="24"/>
          <w:szCs w:val="24"/>
        </w:rPr>
        <w:t xml:space="preserve"> ‘or for the protection of the rights and freedoms of others’</w:t>
      </w:r>
      <w:r w:rsidR="003012AF">
        <w:rPr>
          <w:sz w:val="24"/>
          <w:szCs w:val="24"/>
        </w:rPr>
        <w:t xml:space="preserve"> that Article 9(</w:t>
      </w:r>
      <w:r>
        <w:rPr>
          <w:sz w:val="24"/>
          <w:szCs w:val="24"/>
        </w:rPr>
        <w:t>2</w:t>
      </w:r>
      <w:r w:rsidR="003012AF">
        <w:rPr>
          <w:sz w:val="24"/>
          <w:szCs w:val="24"/>
        </w:rPr>
        <w:t>)</w:t>
      </w:r>
      <w:r>
        <w:rPr>
          <w:sz w:val="24"/>
          <w:szCs w:val="24"/>
        </w:rPr>
        <w:t xml:space="preserve"> justifies the restriction of manifestations of religion or belief to protect against harm to individual third-parties.</w:t>
      </w:r>
      <w:r w:rsidR="001F1C71">
        <w:rPr>
          <w:rStyle w:val="FootnoteReference"/>
          <w:sz w:val="24"/>
          <w:szCs w:val="24"/>
        </w:rPr>
        <w:footnoteReference w:id="37"/>
      </w:r>
      <w:r w:rsidR="00E800B2">
        <w:rPr>
          <w:sz w:val="24"/>
          <w:szCs w:val="24"/>
        </w:rPr>
        <w:t xml:space="preserve"> In this section, we want therefore to </w:t>
      </w:r>
      <w:r w:rsidR="00D6135A">
        <w:rPr>
          <w:sz w:val="24"/>
          <w:szCs w:val="24"/>
        </w:rPr>
        <w:t>identify</w:t>
      </w:r>
      <w:r w:rsidR="00E800B2">
        <w:rPr>
          <w:sz w:val="24"/>
          <w:szCs w:val="24"/>
        </w:rPr>
        <w:t xml:space="preserve"> the ways in which </w:t>
      </w:r>
      <w:r w:rsidR="00D6135A">
        <w:rPr>
          <w:sz w:val="24"/>
          <w:szCs w:val="24"/>
        </w:rPr>
        <w:t xml:space="preserve">uses of </w:t>
      </w:r>
      <w:r w:rsidR="00E800B2">
        <w:rPr>
          <w:sz w:val="24"/>
          <w:szCs w:val="24"/>
        </w:rPr>
        <w:t xml:space="preserve">religious symbols are said to </w:t>
      </w:r>
      <w:r w:rsidR="00AF6CAD">
        <w:rPr>
          <w:sz w:val="24"/>
          <w:szCs w:val="24"/>
        </w:rPr>
        <w:t xml:space="preserve">cause </w:t>
      </w:r>
      <w:r w:rsidR="00E800B2">
        <w:rPr>
          <w:sz w:val="24"/>
          <w:szCs w:val="24"/>
        </w:rPr>
        <w:t>mental harm</w:t>
      </w:r>
      <w:r w:rsidR="00AF6CAD">
        <w:rPr>
          <w:sz w:val="24"/>
          <w:szCs w:val="24"/>
        </w:rPr>
        <w:t xml:space="preserve"> to</w:t>
      </w:r>
      <w:r w:rsidR="00E800B2">
        <w:rPr>
          <w:sz w:val="24"/>
          <w:szCs w:val="24"/>
        </w:rPr>
        <w:t xml:space="preserve"> individual third parties in the</w:t>
      </w:r>
      <w:r w:rsidR="00AA63E7">
        <w:rPr>
          <w:sz w:val="24"/>
          <w:szCs w:val="24"/>
        </w:rPr>
        <w:t xml:space="preserve"> case law concerning</w:t>
      </w:r>
      <w:r w:rsidR="00E800B2">
        <w:rPr>
          <w:sz w:val="24"/>
          <w:szCs w:val="24"/>
        </w:rPr>
        <w:t xml:space="preserve"> Article 9.</w:t>
      </w:r>
    </w:p>
    <w:p w14:paraId="0EE2CA00" w14:textId="77777777" w:rsidR="00AA4911" w:rsidRDefault="004153C1" w:rsidP="004B3AA8">
      <w:pPr>
        <w:spacing w:after="0" w:line="480" w:lineRule="auto"/>
        <w:ind w:firstLine="720"/>
        <w:jc w:val="both"/>
        <w:rPr>
          <w:sz w:val="24"/>
          <w:szCs w:val="24"/>
        </w:rPr>
      </w:pPr>
      <w:r>
        <w:rPr>
          <w:sz w:val="24"/>
          <w:szCs w:val="24"/>
        </w:rPr>
        <w:t>Evans continues</w:t>
      </w:r>
      <w:r w:rsidR="00AA4911">
        <w:rPr>
          <w:sz w:val="24"/>
          <w:szCs w:val="24"/>
        </w:rPr>
        <w:t xml:space="preserve"> in his </w:t>
      </w:r>
      <w:r w:rsidR="00AA4911">
        <w:rPr>
          <w:i/>
          <w:sz w:val="24"/>
          <w:szCs w:val="24"/>
        </w:rPr>
        <w:t>Manual</w:t>
      </w:r>
      <w:r>
        <w:rPr>
          <w:sz w:val="24"/>
          <w:szCs w:val="24"/>
        </w:rPr>
        <w:t>, ‘</w:t>
      </w:r>
      <w:r w:rsidRPr="003232A2">
        <w:rPr>
          <w:sz w:val="24"/>
          <w:szCs w:val="24"/>
        </w:rPr>
        <w:t>The key point is that what justifies the response of the state to the display of religious affiliation is not so much that display in itself, but the responses to that display in th</w:t>
      </w:r>
      <w:r w:rsidR="003012AF">
        <w:rPr>
          <w:sz w:val="24"/>
          <w:szCs w:val="24"/>
        </w:rPr>
        <w:t>at particular context by others</w:t>
      </w:r>
      <w:r>
        <w:rPr>
          <w:sz w:val="24"/>
          <w:szCs w:val="24"/>
        </w:rPr>
        <w:t>’</w:t>
      </w:r>
      <w:r w:rsidR="003012AF">
        <w:rPr>
          <w:sz w:val="24"/>
          <w:szCs w:val="24"/>
        </w:rPr>
        <w:t>.</w:t>
      </w:r>
      <w:r w:rsidR="00E800B2">
        <w:rPr>
          <w:rStyle w:val="FootnoteReference"/>
          <w:sz w:val="24"/>
          <w:szCs w:val="24"/>
        </w:rPr>
        <w:footnoteReference w:id="38"/>
      </w:r>
      <w:r>
        <w:rPr>
          <w:sz w:val="24"/>
          <w:szCs w:val="24"/>
        </w:rPr>
        <w:t xml:space="preserve"> </w:t>
      </w:r>
      <w:r w:rsidR="008E59FD">
        <w:rPr>
          <w:sz w:val="24"/>
          <w:szCs w:val="24"/>
        </w:rPr>
        <w:t xml:space="preserve">For </w:t>
      </w:r>
      <w:r>
        <w:rPr>
          <w:sz w:val="24"/>
          <w:szCs w:val="24"/>
        </w:rPr>
        <w:t>when it comes to justifying restrictions on the use of symbols, the only way to assess harm</w:t>
      </w:r>
      <w:r w:rsidR="00E800B2">
        <w:rPr>
          <w:sz w:val="24"/>
          <w:szCs w:val="24"/>
        </w:rPr>
        <w:t xml:space="preserve"> to individual third parties</w:t>
      </w:r>
      <w:r>
        <w:rPr>
          <w:sz w:val="24"/>
          <w:szCs w:val="24"/>
        </w:rPr>
        <w:t xml:space="preserve"> is through </w:t>
      </w:r>
      <w:r w:rsidR="00F479DD">
        <w:rPr>
          <w:sz w:val="24"/>
          <w:szCs w:val="24"/>
        </w:rPr>
        <w:t>a focus on the</w:t>
      </w:r>
      <w:r>
        <w:rPr>
          <w:sz w:val="24"/>
          <w:szCs w:val="24"/>
        </w:rPr>
        <w:t xml:space="preserve"> thir</w:t>
      </w:r>
      <w:r w:rsidR="00F479DD">
        <w:rPr>
          <w:sz w:val="24"/>
          <w:szCs w:val="24"/>
        </w:rPr>
        <w:t xml:space="preserve">d </w:t>
      </w:r>
      <w:r>
        <w:rPr>
          <w:sz w:val="24"/>
          <w:szCs w:val="24"/>
        </w:rPr>
        <w:t>party</w:t>
      </w:r>
      <w:r w:rsidR="00F479DD">
        <w:rPr>
          <w:sz w:val="24"/>
          <w:szCs w:val="24"/>
        </w:rPr>
        <w:t>’s</w:t>
      </w:r>
      <w:r>
        <w:rPr>
          <w:sz w:val="24"/>
          <w:szCs w:val="24"/>
        </w:rPr>
        <w:t xml:space="preserve"> responses. A use of a symbol that is perceived by others to manifest ‘</w:t>
      </w:r>
      <w:r w:rsidRPr="003232A2">
        <w:rPr>
          <w:sz w:val="24"/>
          <w:szCs w:val="24"/>
        </w:rPr>
        <w:t xml:space="preserve">a lack of respect </w:t>
      </w:r>
      <w:r>
        <w:rPr>
          <w:sz w:val="24"/>
          <w:szCs w:val="24"/>
        </w:rPr>
        <w:t xml:space="preserve">[may be] </w:t>
      </w:r>
      <w:r w:rsidRPr="003232A2">
        <w:rPr>
          <w:sz w:val="24"/>
          <w:szCs w:val="24"/>
        </w:rPr>
        <w:t>sufficient to warrant some form of response by the state</w:t>
      </w:r>
      <w:r>
        <w:rPr>
          <w:sz w:val="24"/>
          <w:szCs w:val="24"/>
        </w:rPr>
        <w:t>’.</w:t>
      </w:r>
      <w:r>
        <w:rPr>
          <w:rStyle w:val="FootnoteReference"/>
          <w:sz w:val="24"/>
          <w:szCs w:val="24"/>
        </w:rPr>
        <w:footnoteReference w:id="39"/>
      </w:r>
      <w:r>
        <w:rPr>
          <w:sz w:val="24"/>
          <w:szCs w:val="24"/>
        </w:rPr>
        <w:t xml:space="preserve"> Nevertheless, Evans is also clear that this is a very difficult undertaking, for ‘i</w:t>
      </w:r>
      <w:r w:rsidRPr="003232A2">
        <w:rPr>
          <w:sz w:val="24"/>
          <w:szCs w:val="24"/>
        </w:rPr>
        <w:t>n many ways this raises more difficult questions since it might result in the same symbol being invested with a different symbolic meaning by different observers, thus complicating the balancing of the conflicting rights which needs to be undertaken</w:t>
      </w:r>
      <w:r>
        <w:rPr>
          <w:sz w:val="24"/>
          <w:szCs w:val="24"/>
        </w:rPr>
        <w:t>’.</w:t>
      </w:r>
      <w:r>
        <w:rPr>
          <w:rStyle w:val="FootnoteReference"/>
          <w:sz w:val="24"/>
          <w:szCs w:val="24"/>
        </w:rPr>
        <w:footnoteReference w:id="40"/>
      </w:r>
      <w:r>
        <w:rPr>
          <w:sz w:val="24"/>
          <w:szCs w:val="24"/>
        </w:rPr>
        <w:t xml:space="preserve"> </w:t>
      </w:r>
    </w:p>
    <w:p w14:paraId="2D6C1CF8" w14:textId="1FA05A4D" w:rsidR="007D32DE" w:rsidRDefault="00E800B2" w:rsidP="004B3AA8">
      <w:pPr>
        <w:spacing w:after="0" w:line="480" w:lineRule="auto"/>
        <w:ind w:firstLine="720"/>
        <w:jc w:val="both"/>
        <w:rPr>
          <w:sz w:val="24"/>
          <w:szCs w:val="24"/>
        </w:rPr>
      </w:pPr>
      <w:r>
        <w:rPr>
          <w:sz w:val="24"/>
          <w:szCs w:val="24"/>
        </w:rPr>
        <w:t>As Evans here suggests, c</w:t>
      </w:r>
      <w:r w:rsidR="004153C1">
        <w:rPr>
          <w:sz w:val="24"/>
          <w:szCs w:val="24"/>
        </w:rPr>
        <w:t>ontext poses a</w:t>
      </w:r>
      <w:r>
        <w:rPr>
          <w:sz w:val="24"/>
          <w:szCs w:val="24"/>
        </w:rPr>
        <w:t xml:space="preserve"> particular</w:t>
      </w:r>
      <w:r w:rsidR="004153C1">
        <w:rPr>
          <w:sz w:val="24"/>
          <w:szCs w:val="24"/>
        </w:rPr>
        <w:t xml:space="preserve"> problem for any attempt to set out principles for identifying harm caused by uses of religious symbols. </w:t>
      </w:r>
      <w:r w:rsidR="00AA4911">
        <w:rPr>
          <w:sz w:val="24"/>
          <w:szCs w:val="24"/>
        </w:rPr>
        <w:t>For exampl</w:t>
      </w:r>
      <w:r w:rsidR="008E59FD">
        <w:rPr>
          <w:sz w:val="24"/>
          <w:szCs w:val="24"/>
        </w:rPr>
        <w:t xml:space="preserve">e, </w:t>
      </w:r>
      <w:r w:rsidR="007D32DE">
        <w:rPr>
          <w:sz w:val="24"/>
          <w:szCs w:val="24"/>
        </w:rPr>
        <w:t>r</w:t>
      </w:r>
      <w:r w:rsidR="007D32DE" w:rsidRPr="008A36E1">
        <w:rPr>
          <w:sz w:val="24"/>
          <w:szCs w:val="24"/>
        </w:rPr>
        <w:t>esponses to religious practi</w:t>
      </w:r>
      <w:r w:rsidR="007D32DE">
        <w:rPr>
          <w:sz w:val="24"/>
          <w:szCs w:val="24"/>
        </w:rPr>
        <w:t>ces depend on who is responding</w:t>
      </w:r>
      <w:r w:rsidR="007D32DE">
        <w:rPr>
          <w:rFonts w:ascii="Calibri" w:hAnsi="Calibri"/>
          <w:sz w:val="24"/>
          <w:szCs w:val="24"/>
        </w:rPr>
        <w:t>—</w:t>
      </w:r>
      <w:r w:rsidR="007D32DE">
        <w:rPr>
          <w:sz w:val="24"/>
          <w:szCs w:val="24"/>
        </w:rPr>
        <w:t xml:space="preserve">and particularly </w:t>
      </w:r>
      <w:r w:rsidR="00F479DD">
        <w:rPr>
          <w:sz w:val="24"/>
          <w:szCs w:val="24"/>
        </w:rPr>
        <w:t xml:space="preserve">on </w:t>
      </w:r>
      <w:r w:rsidR="007D32DE">
        <w:rPr>
          <w:sz w:val="24"/>
          <w:szCs w:val="24"/>
        </w:rPr>
        <w:t xml:space="preserve">the past and present relations the third party has with the symbol being </w:t>
      </w:r>
      <w:r w:rsidR="00F479DD">
        <w:rPr>
          <w:sz w:val="24"/>
          <w:szCs w:val="24"/>
        </w:rPr>
        <w:t xml:space="preserve">so </w:t>
      </w:r>
      <w:r w:rsidR="007D32DE">
        <w:rPr>
          <w:sz w:val="24"/>
          <w:szCs w:val="24"/>
        </w:rPr>
        <w:t>used.</w:t>
      </w:r>
      <w:r w:rsidR="007D32DE" w:rsidRPr="008A36E1">
        <w:rPr>
          <w:sz w:val="24"/>
          <w:szCs w:val="24"/>
        </w:rPr>
        <w:t xml:space="preserve"> </w:t>
      </w:r>
      <w:r w:rsidR="000531EA">
        <w:rPr>
          <w:sz w:val="24"/>
          <w:szCs w:val="24"/>
        </w:rPr>
        <w:t>Particularly significant</w:t>
      </w:r>
      <w:r w:rsidR="00AA4911">
        <w:rPr>
          <w:sz w:val="24"/>
          <w:szCs w:val="24"/>
        </w:rPr>
        <w:t xml:space="preserve"> is the </w:t>
      </w:r>
      <w:r w:rsidR="007D32DE">
        <w:rPr>
          <w:sz w:val="24"/>
          <w:szCs w:val="24"/>
        </w:rPr>
        <w:t xml:space="preserve">specific ‘interpersonal position’ of the third party </w:t>
      </w:r>
      <w:r w:rsidR="000531EA">
        <w:rPr>
          <w:sz w:val="24"/>
          <w:szCs w:val="24"/>
        </w:rPr>
        <w:t>encountering</w:t>
      </w:r>
      <w:r w:rsidR="007D32DE">
        <w:rPr>
          <w:sz w:val="24"/>
          <w:szCs w:val="24"/>
        </w:rPr>
        <w:t xml:space="preserve"> the symbol</w:t>
      </w:r>
      <w:r w:rsidR="008E59FD">
        <w:rPr>
          <w:sz w:val="24"/>
          <w:szCs w:val="24"/>
        </w:rPr>
        <w:t>:</w:t>
      </w:r>
      <w:r w:rsidR="007D32DE">
        <w:rPr>
          <w:sz w:val="24"/>
          <w:szCs w:val="24"/>
        </w:rPr>
        <w:t xml:space="preserve"> a patient in a hospital bed is </w:t>
      </w:r>
      <w:r w:rsidR="00892C58">
        <w:rPr>
          <w:sz w:val="24"/>
          <w:szCs w:val="24"/>
        </w:rPr>
        <w:t xml:space="preserve">probably </w:t>
      </w:r>
      <w:r w:rsidR="007D32DE">
        <w:rPr>
          <w:sz w:val="24"/>
          <w:szCs w:val="24"/>
        </w:rPr>
        <w:t xml:space="preserve">more vulnerable to harm than a customer in an airport. The space in which contact with a symbol occurs, as well as the power or position the </w:t>
      </w:r>
      <w:r w:rsidR="008E59FD">
        <w:rPr>
          <w:sz w:val="24"/>
          <w:szCs w:val="24"/>
        </w:rPr>
        <w:t xml:space="preserve">symbol-user </w:t>
      </w:r>
      <w:r w:rsidR="007D32DE">
        <w:rPr>
          <w:sz w:val="24"/>
          <w:szCs w:val="24"/>
        </w:rPr>
        <w:t xml:space="preserve">has in relation to the </w:t>
      </w:r>
      <w:r w:rsidR="008E59FD">
        <w:rPr>
          <w:sz w:val="24"/>
          <w:szCs w:val="24"/>
        </w:rPr>
        <w:t>third party</w:t>
      </w:r>
      <w:r w:rsidR="000531EA">
        <w:rPr>
          <w:sz w:val="24"/>
          <w:szCs w:val="24"/>
        </w:rPr>
        <w:t>, are both key factors</w:t>
      </w:r>
      <w:r w:rsidR="007D32DE">
        <w:rPr>
          <w:sz w:val="24"/>
          <w:szCs w:val="24"/>
        </w:rPr>
        <w:t xml:space="preserve">. </w:t>
      </w:r>
      <w:r>
        <w:rPr>
          <w:sz w:val="24"/>
          <w:szCs w:val="24"/>
        </w:rPr>
        <w:t>Moreover, t</w:t>
      </w:r>
      <w:r w:rsidR="00AA4911">
        <w:rPr>
          <w:sz w:val="24"/>
          <w:szCs w:val="24"/>
        </w:rPr>
        <w:t xml:space="preserve">here are other ways context might be </w:t>
      </w:r>
      <w:r>
        <w:rPr>
          <w:sz w:val="24"/>
          <w:szCs w:val="24"/>
        </w:rPr>
        <w:t>determinative</w:t>
      </w:r>
      <w:r w:rsidR="00AA4911">
        <w:rPr>
          <w:sz w:val="24"/>
          <w:szCs w:val="24"/>
        </w:rPr>
        <w:t>:</w:t>
      </w:r>
      <w:r w:rsidR="004D3016">
        <w:rPr>
          <w:sz w:val="24"/>
          <w:szCs w:val="24"/>
        </w:rPr>
        <w:t xml:space="preserve"> to take just one example,</w:t>
      </w:r>
      <w:r w:rsidR="00AA4911">
        <w:rPr>
          <w:sz w:val="24"/>
          <w:szCs w:val="24"/>
        </w:rPr>
        <w:t xml:space="preserve"> harm will depend on </w:t>
      </w:r>
      <w:r w:rsidR="007D32DE" w:rsidRPr="00AA4911">
        <w:rPr>
          <w:sz w:val="24"/>
          <w:szCs w:val="24"/>
        </w:rPr>
        <w:t>the</w:t>
      </w:r>
      <w:r w:rsidR="00AA4911">
        <w:rPr>
          <w:sz w:val="24"/>
          <w:szCs w:val="24"/>
        </w:rPr>
        <w:t xml:space="preserve"> specific</w:t>
      </w:r>
      <w:r w:rsidR="007D32DE" w:rsidRPr="00AA4911">
        <w:rPr>
          <w:sz w:val="24"/>
          <w:szCs w:val="24"/>
        </w:rPr>
        <w:t xml:space="preserve"> way in which a religious symbol is used</w:t>
      </w:r>
      <w:r w:rsidR="004D3016">
        <w:rPr>
          <w:sz w:val="24"/>
          <w:szCs w:val="24"/>
        </w:rPr>
        <w:t>—</w:t>
      </w:r>
      <w:r w:rsidR="00AA4911">
        <w:rPr>
          <w:sz w:val="24"/>
          <w:szCs w:val="24"/>
        </w:rPr>
        <w:t>o</w:t>
      </w:r>
      <w:r w:rsidR="007D32DE">
        <w:rPr>
          <w:sz w:val="24"/>
          <w:szCs w:val="24"/>
        </w:rPr>
        <w:t xml:space="preserve">ne and the same crucifix, for </w:t>
      </w:r>
      <w:r w:rsidR="004D3016">
        <w:rPr>
          <w:sz w:val="24"/>
          <w:szCs w:val="24"/>
        </w:rPr>
        <w:t>instance</w:t>
      </w:r>
      <w:r w:rsidR="007D32DE">
        <w:rPr>
          <w:sz w:val="24"/>
          <w:szCs w:val="24"/>
        </w:rPr>
        <w:t>, can be flaunted obtrusively or hidden under clothing discreetly</w:t>
      </w:r>
      <w:r w:rsidR="004D3016">
        <w:rPr>
          <w:sz w:val="24"/>
          <w:szCs w:val="24"/>
        </w:rPr>
        <w:t>.</w:t>
      </w:r>
    </w:p>
    <w:p w14:paraId="27A02E10" w14:textId="057B599C" w:rsidR="007D32DE" w:rsidRDefault="004D3016" w:rsidP="004B3AA8">
      <w:pPr>
        <w:spacing w:after="0" w:line="480" w:lineRule="auto"/>
        <w:ind w:firstLine="720"/>
        <w:jc w:val="both"/>
        <w:rPr>
          <w:sz w:val="24"/>
          <w:szCs w:val="24"/>
        </w:rPr>
      </w:pPr>
      <w:r>
        <w:rPr>
          <w:sz w:val="24"/>
          <w:szCs w:val="24"/>
        </w:rPr>
        <w:t xml:space="preserve">Such </w:t>
      </w:r>
      <w:r w:rsidR="007D32DE">
        <w:rPr>
          <w:sz w:val="24"/>
          <w:szCs w:val="24"/>
        </w:rPr>
        <w:t>indications of context-dependence may seem too obvious to require belabouring; nevertheless, it is surprising that, no matter how often the ECtHR has acknowledged that harm to individuals depends on context, it has still</w:t>
      </w:r>
      <w:r w:rsidR="007D32DE" w:rsidRPr="008A36E1">
        <w:rPr>
          <w:sz w:val="24"/>
          <w:szCs w:val="24"/>
        </w:rPr>
        <w:t xml:space="preserve"> tried </w:t>
      </w:r>
      <w:r w:rsidR="007D32DE">
        <w:rPr>
          <w:sz w:val="24"/>
          <w:szCs w:val="24"/>
        </w:rPr>
        <w:t>in recent years</w:t>
      </w:r>
      <w:r w:rsidR="007D32DE" w:rsidRPr="008A36E1">
        <w:rPr>
          <w:sz w:val="24"/>
          <w:szCs w:val="24"/>
        </w:rPr>
        <w:t xml:space="preserve"> to establish general rules for distinguishing between </w:t>
      </w:r>
      <w:r w:rsidR="007D32DE">
        <w:rPr>
          <w:sz w:val="24"/>
          <w:szCs w:val="24"/>
        </w:rPr>
        <w:t xml:space="preserve">uses of a symbol that cause harm and those that do not. There have been a plurality of approaches and, in what follows, we tease out the conceptual content of the ECtHR’s discussions of individual harm from symbol-use in </w:t>
      </w:r>
      <w:r w:rsidR="007D32DE">
        <w:rPr>
          <w:i/>
          <w:sz w:val="24"/>
          <w:szCs w:val="24"/>
        </w:rPr>
        <w:t>Dahlab,</w:t>
      </w:r>
      <w:r w:rsidR="007D32DE">
        <w:rPr>
          <w:sz w:val="24"/>
          <w:szCs w:val="24"/>
        </w:rPr>
        <w:t xml:space="preserve"> </w:t>
      </w:r>
      <w:r w:rsidR="007D32DE">
        <w:rPr>
          <w:i/>
          <w:sz w:val="24"/>
          <w:szCs w:val="24"/>
        </w:rPr>
        <w:t>Lautsi</w:t>
      </w:r>
      <w:r w:rsidR="007D32DE">
        <w:rPr>
          <w:sz w:val="24"/>
          <w:szCs w:val="24"/>
        </w:rPr>
        <w:t xml:space="preserve">, </w:t>
      </w:r>
      <w:r w:rsidR="007D32DE">
        <w:rPr>
          <w:i/>
          <w:sz w:val="24"/>
          <w:szCs w:val="24"/>
        </w:rPr>
        <w:t>Eweida</w:t>
      </w:r>
      <w:r w:rsidR="007D32DE">
        <w:rPr>
          <w:sz w:val="24"/>
          <w:szCs w:val="24"/>
        </w:rPr>
        <w:t xml:space="preserve">, </w:t>
      </w:r>
      <w:r w:rsidR="007D32DE">
        <w:rPr>
          <w:i/>
          <w:sz w:val="24"/>
          <w:szCs w:val="24"/>
        </w:rPr>
        <w:t>Ebrahimian</w:t>
      </w:r>
      <w:r w:rsidR="00A11BE8">
        <w:rPr>
          <w:sz w:val="24"/>
          <w:szCs w:val="24"/>
        </w:rPr>
        <w:t xml:space="preserve">, and </w:t>
      </w:r>
      <w:r w:rsidR="00A11BE8">
        <w:rPr>
          <w:i/>
          <w:sz w:val="24"/>
          <w:szCs w:val="24"/>
        </w:rPr>
        <w:t>SAS</w:t>
      </w:r>
      <w:r w:rsidR="009C4BC2">
        <w:rPr>
          <w:sz w:val="24"/>
          <w:szCs w:val="24"/>
        </w:rPr>
        <w:t>.</w:t>
      </w:r>
      <w:r w:rsidR="007D32DE">
        <w:rPr>
          <w:sz w:val="24"/>
          <w:szCs w:val="24"/>
        </w:rPr>
        <w:t xml:space="preserve"> </w:t>
      </w:r>
    </w:p>
    <w:p w14:paraId="4713D8BB" w14:textId="77777777" w:rsidR="007D32DE" w:rsidRDefault="007D32DE" w:rsidP="004B3AA8">
      <w:pPr>
        <w:spacing w:after="0" w:line="480" w:lineRule="auto"/>
        <w:rPr>
          <w:sz w:val="24"/>
          <w:szCs w:val="24"/>
        </w:rPr>
      </w:pPr>
    </w:p>
    <w:p w14:paraId="5F6E4B42" w14:textId="77777777" w:rsidR="007D32DE" w:rsidRDefault="007D32DE" w:rsidP="004B3AA8">
      <w:pPr>
        <w:spacing w:after="0" w:line="480" w:lineRule="auto"/>
        <w:rPr>
          <w:sz w:val="24"/>
          <w:szCs w:val="24"/>
        </w:rPr>
      </w:pPr>
      <w:r>
        <w:rPr>
          <w:sz w:val="24"/>
          <w:szCs w:val="24"/>
        </w:rPr>
        <w:t>[3</w:t>
      </w:r>
      <w:r w:rsidR="00AA4911">
        <w:rPr>
          <w:sz w:val="24"/>
          <w:szCs w:val="24"/>
        </w:rPr>
        <w:t>.1</w:t>
      </w:r>
      <w:r>
        <w:rPr>
          <w:sz w:val="24"/>
          <w:szCs w:val="24"/>
        </w:rPr>
        <w:t xml:space="preserve">] </w:t>
      </w:r>
      <w:r>
        <w:rPr>
          <w:i/>
          <w:sz w:val="24"/>
          <w:szCs w:val="24"/>
        </w:rPr>
        <w:t>Dahlab</w:t>
      </w:r>
    </w:p>
    <w:p w14:paraId="254A0E33" w14:textId="41CBCCFF" w:rsidR="007D32DE" w:rsidRPr="008F628C" w:rsidRDefault="007D32DE" w:rsidP="004B3AA8">
      <w:pPr>
        <w:pStyle w:val="FootnoteText"/>
        <w:spacing w:line="480" w:lineRule="auto"/>
        <w:jc w:val="both"/>
        <w:rPr>
          <w:sz w:val="24"/>
          <w:szCs w:val="24"/>
        </w:rPr>
      </w:pPr>
      <w:r w:rsidRPr="008F628C">
        <w:rPr>
          <w:i/>
          <w:sz w:val="24"/>
          <w:szCs w:val="24"/>
        </w:rPr>
        <w:t>Dahlab</w:t>
      </w:r>
      <w:r w:rsidRPr="008F628C">
        <w:rPr>
          <w:sz w:val="24"/>
          <w:szCs w:val="24"/>
        </w:rPr>
        <w:t>’s judgment</w:t>
      </w:r>
      <w:r w:rsidR="000C3A2C">
        <w:rPr>
          <w:rStyle w:val="FootnoteReference"/>
          <w:sz w:val="24"/>
          <w:szCs w:val="24"/>
        </w:rPr>
        <w:footnoteReference w:id="41"/>
      </w:r>
      <w:r w:rsidRPr="008F628C">
        <w:rPr>
          <w:sz w:val="24"/>
          <w:szCs w:val="24"/>
        </w:rPr>
        <w:t xml:space="preserve"> is premised on an acceptance of the Swiss Government’s assertion that ‘the Islamic headscarf was a powerful religious symbol and was directly recognisable by others’.</w:t>
      </w:r>
      <w:r w:rsidR="003012AF">
        <w:rPr>
          <w:rStyle w:val="FootnoteReference"/>
          <w:sz w:val="24"/>
          <w:szCs w:val="24"/>
        </w:rPr>
        <w:footnoteReference w:id="42"/>
      </w:r>
      <w:r w:rsidRPr="008F628C">
        <w:rPr>
          <w:sz w:val="24"/>
          <w:szCs w:val="24"/>
        </w:rPr>
        <w:t xml:space="preserve"> </w:t>
      </w:r>
      <w:r w:rsidR="008F628C" w:rsidRPr="008F628C">
        <w:rPr>
          <w:sz w:val="24"/>
          <w:szCs w:val="24"/>
        </w:rPr>
        <w:t>From</w:t>
      </w:r>
      <w:r w:rsidR="003012AF">
        <w:rPr>
          <w:sz w:val="24"/>
          <w:szCs w:val="24"/>
        </w:rPr>
        <w:t xml:space="preserve"> the outset, it must be emphasiz</w:t>
      </w:r>
      <w:r w:rsidR="008F628C" w:rsidRPr="008F628C">
        <w:rPr>
          <w:sz w:val="24"/>
          <w:szCs w:val="24"/>
        </w:rPr>
        <w:t>ed that th</w:t>
      </w:r>
      <w:r w:rsidR="00F24FB0">
        <w:rPr>
          <w:sz w:val="24"/>
          <w:szCs w:val="24"/>
        </w:rPr>
        <w:t>is assertion</w:t>
      </w:r>
      <w:r w:rsidR="008F628C" w:rsidRPr="008F628C">
        <w:rPr>
          <w:sz w:val="24"/>
          <w:szCs w:val="24"/>
        </w:rPr>
        <w:t xml:space="preserve"> did not </w:t>
      </w:r>
      <w:r w:rsidR="006A184B">
        <w:rPr>
          <w:sz w:val="24"/>
          <w:szCs w:val="24"/>
        </w:rPr>
        <w:t xml:space="preserve">alone </w:t>
      </w:r>
      <w:r w:rsidR="008F628C" w:rsidRPr="008F628C">
        <w:rPr>
          <w:sz w:val="24"/>
          <w:szCs w:val="24"/>
        </w:rPr>
        <w:t>determine the ratio of the ECtHR. There were considerations of collective harm as well as</w:t>
      </w:r>
      <w:r w:rsidR="003012AF">
        <w:rPr>
          <w:sz w:val="24"/>
          <w:szCs w:val="24"/>
        </w:rPr>
        <w:t xml:space="preserve"> of</w:t>
      </w:r>
      <w:r w:rsidR="008F628C" w:rsidRPr="008F628C">
        <w:rPr>
          <w:sz w:val="24"/>
          <w:szCs w:val="24"/>
        </w:rPr>
        <w:t xml:space="preserve"> the margin of appreciation</w:t>
      </w:r>
      <w:r w:rsidR="00D75D14">
        <w:rPr>
          <w:sz w:val="24"/>
          <w:szCs w:val="24"/>
        </w:rPr>
        <w:t xml:space="preserve"> (i.e. the latitude the ECtHR allows to national legislation)</w:t>
      </w:r>
      <w:r w:rsidR="008F628C" w:rsidRPr="008F628C">
        <w:rPr>
          <w:sz w:val="24"/>
          <w:szCs w:val="24"/>
        </w:rPr>
        <w:t xml:space="preserve">. Indeed, </w:t>
      </w:r>
      <w:r w:rsidR="008F628C" w:rsidRPr="008F628C">
        <w:rPr>
          <w:i/>
          <w:sz w:val="24"/>
          <w:szCs w:val="24"/>
        </w:rPr>
        <w:t xml:space="preserve">Dahlab </w:t>
      </w:r>
      <w:r w:rsidR="008F628C" w:rsidRPr="008F628C">
        <w:rPr>
          <w:sz w:val="24"/>
          <w:szCs w:val="24"/>
        </w:rPr>
        <w:t>could</w:t>
      </w:r>
      <w:r w:rsidR="003012AF">
        <w:rPr>
          <w:sz w:val="24"/>
          <w:szCs w:val="24"/>
        </w:rPr>
        <w:t xml:space="preserve"> well</w:t>
      </w:r>
      <w:r w:rsidR="008F628C" w:rsidRPr="008F628C">
        <w:rPr>
          <w:sz w:val="24"/>
          <w:szCs w:val="24"/>
        </w:rPr>
        <w:t xml:space="preserve"> have been decided solely in terms of the margin of appreciation</w:t>
      </w:r>
      <w:r w:rsidR="000531EA">
        <w:rPr>
          <w:sz w:val="24"/>
          <w:szCs w:val="24"/>
        </w:rPr>
        <w:t>, as</w:t>
      </w:r>
      <w:r w:rsidR="008F628C" w:rsidRPr="008F628C">
        <w:rPr>
          <w:sz w:val="24"/>
          <w:szCs w:val="24"/>
        </w:rPr>
        <w:t xml:space="preserve"> McGoldrick</w:t>
      </w:r>
      <w:r w:rsidR="000531EA">
        <w:rPr>
          <w:sz w:val="24"/>
          <w:szCs w:val="24"/>
        </w:rPr>
        <w:t xml:space="preserve"> has argued.</w:t>
      </w:r>
      <w:r w:rsidR="008F628C">
        <w:rPr>
          <w:rStyle w:val="FootnoteReference"/>
          <w:sz w:val="24"/>
          <w:szCs w:val="24"/>
        </w:rPr>
        <w:footnoteReference w:id="43"/>
      </w:r>
      <w:r w:rsidR="008F628C">
        <w:rPr>
          <w:sz w:val="24"/>
          <w:szCs w:val="24"/>
        </w:rPr>
        <w:t xml:space="preserve"> Nevertheless, o</w:t>
      </w:r>
      <w:r w:rsidR="008F628C" w:rsidRPr="00F314E0">
        <w:rPr>
          <w:sz w:val="24"/>
          <w:szCs w:val="24"/>
        </w:rPr>
        <w:t xml:space="preserve">ne </w:t>
      </w:r>
      <w:r w:rsidR="008F628C">
        <w:rPr>
          <w:sz w:val="24"/>
          <w:szCs w:val="24"/>
        </w:rPr>
        <w:t>must</w:t>
      </w:r>
      <w:r w:rsidR="008F628C" w:rsidRPr="00F314E0">
        <w:rPr>
          <w:sz w:val="24"/>
          <w:szCs w:val="24"/>
        </w:rPr>
        <w:t xml:space="preserve"> distinguish here between what was necessary for the Grand Chamber’s ratio and </w:t>
      </w:r>
      <w:r w:rsidR="00181ED4">
        <w:rPr>
          <w:sz w:val="24"/>
          <w:szCs w:val="24"/>
        </w:rPr>
        <w:t>its actual</w:t>
      </w:r>
      <w:r w:rsidR="008F628C">
        <w:rPr>
          <w:sz w:val="24"/>
          <w:szCs w:val="24"/>
        </w:rPr>
        <w:t xml:space="preserve"> rhetoric</w:t>
      </w:r>
      <w:r w:rsidR="008F628C">
        <w:t xml:space="preserve">. </w:t>
      </w:r>
      <w:r w:rsidR="008F628C">
        <w:rPr>
          <w:sz w:val="24"/>
          <w:szCs w:val="24"/>
        </w:rPr>
        <w:t>That is</w:t>
      </w:r>
      <w:r w:rsidR="008F628C" w:rsidRPr="008F628C">
        <w:rPr>
          <w:sz w:val="24"/>
          <w:szCs w:val="24"/>
        </w:rPr>
        <w:t xml:space="preserve">, </w:t>
      </w:r>
      <w:r w:rsidR="008F628C">
        <w:rPr>
          <w:sz w:val="24"/>
          <w:szCs w:val="24"/>
        </w:rPr>
        <w:t xml:space="preserve">comparatively </w:t>
      </w:r>
      <w:r w:rsidR="008F628C" w:rsidRPr="008F628C">
        <w:rPr>
          <w:sz w:val="24"/>
          <w:szCs w:val="24"/>
        </w:rPr>
        <w:t xml:space="preserve">little mention is </w:t>
      </w:r>
      <w:r w:rsidR="00217C6A">
        <w:rPr>
          <w:sz w:val="24"/>
          <w:szCs w:val="24"/>
        </w:rPr>
        <w:t xml:space="preserve">in fact </w:t>
      </w:r>
      <w:r w:rsidR="008F628C" w:rsidRPr="008F628C">
        <w:rPr>
          <w:sz w:val="24"/>
          <w:szCs w:val="24"/>
        </w:rPr>
        <w:t xml:space="preserve">made of the margin of appreciation; </w:t>
      </w:r>
      <w:r w:rsidR="0078583F" w:rsidRPr="008F628C">
        <w:rPr>
          <w:sz w:val="24"/>
          <w:szCs w:val="24"/>
        </w:rPr>
        <w:t>the</w:t>
      </w:r>
      <w:r w:rsidR="0078583F">
        <w:rPr>
          <w:sz w:val="24"/>
          <w:szCs w:val="24"/>
        </w:rPr>
        <w:t xml:space="preserve"> judgment</w:t>
      </w:r>
      <w:r w:rsidR="0078583F" w:rsidRPr="008F628C">
        <w:rPr>
          <w:sz w:val="24"/>
          <w:szCs w:val="24"/>
        </w:rPr>
        <w:t xml:space="preserve"> </w:t>
      </w:r>
      <w:r w:rsidR="008F628C" w:rsidRPr="008F628C">
        <w:rPr>
          <w:sz w:val="24"/>
          <w:szCs w:val="24"/>
        </w:rPr>
        <w:t>seem</w:t>
      </w:r>
      <w:r w:rsidR="0078583F">
        <w:rPr>
          <w:sz w:val="24"/>
          <w:szCs w:val="24"/>
        </w:rPr>
        <w:t>s</w:t>
      </w:r>
      <w:r w:rsidR="008F628C" w:rsidRPr="008F628C">
        <w:rPr>
          <w:sz w:val="24"/>
          <w:szCs w:val="24"/>
        </w:rPr>
        <w:t xml:space="preserve"> far more concerned with laying out a priori principles for determining harm caused by religious symbols. </w:t>
      </w:r>
    </w:p>
    <w:p w14:paraId="250F9199" w14:textId="77777777" w:rsidR="00097F18" w:rsidRDefault="00430027" w:rsidP="004B3AA8">
      <w:pPr>
        <w:pStyle w:val="NormalWeb"/>
        <w:spacing w:before="0" w:after="0" w:line="480" w:lineRule="auto"/>
        <w:ind w:firstLine="720"/>
        <w:jc w:val="both"/>
      </w:pPr>
      <w:r w:rsidRPr="008F628C">
        <w:rPr>
          <w:i/>
        </w:rPr>
        <w:t>Dahlab</w:t>
      </w:r>
      <w:r w:rsidR="007D32DE" w:rsidRPr="008F628C">
        <w:t xml:space="preserve"> concerns a </w:t>
      </w:r>
      <w:r w:rsidR="008F628C" w:rsidRPr="008F628C">
        <w:t>teacher</w:t>
      </w:r>
      <w:r w:rsidR="007D32DE" w:rsidRPr="008F628C">
        <w:t xml:space="preserve"> at a Swiss school whose wearing of a headscarf while teaching her pupils</w:t>
      </w:r>
      <w:r w:rsidR="008F628C" w:rsidRPr="008F628C">
        <w:t xml:space="preserve"> of primary-school age</w:t>
      </w:r>
      <w:r w:rsidR="007D32DE" w:rsidRPr="008F628C">
        <w:t xml:space="preserve"> led to her being suspended from work.</w:t>
      </w:r>
      <w:r w:rsidR="00582CFE">
        <w:rPr>
          <w:rStyle w:val="FootnoteReference"/>
        </w:rPr>
        <w:footnoteReference w:id="44"/>
      </w:r>
      <w:r w:rsidR="007D32DE" w:rsidRPr="008F628C">
        <w:t xml:space="preserve"> Part of the reasoning of the Court is that such a ‘powerful’ symbol could influence vulnerable children: ‘Experience showed that such children tended to identify with their teacher, particularly on account of their daily contact and the hierarchical nature of their relationship’.</w:t>
      </w:r>
      <w:r w:rsidR="003012AF">
        <w:rPr>
          <w:rStyle w:val="FootnoteReference"/>
        </w:rPr>
        <w:footnoteReference w:id="45"/>
      </w:r>
      <w:r w:rsidR="007D32DE" w:rsidRPr="008F628C">
        <w:t xml:space="preserve"> The type of harm discussed in </w:t>
      </w:r>
      <w:r w:rsidR="007D32DE" w:rsidRPr="008F628C">
        <w:rPr>
          <w:i/>
        </w:rPr>
        <w:t>Dahlab</w:t>
      </w:r>
      <w:r w:rsidR="007D32DE" w:rsidRPr="008F628C">
        <w:t xml:space="preserve"> is therefore a form </w:t>
      </w:r>
      <w:r w:rsidR="00097F18">
        <w:t>of proselytizing,</w:t>
      </w:r>
      <w:r w:rsidR="007D32DE" w:rsidRPr="008F628C">
        <w:t xml:space="preserve"> encroaching on </w:t>
      </w:r>
      <w:r w:rsidR="007D32DE">
        <w:t>the children</w:t>
      </w:r>
      <w:r w:rsidR="00097F18">
        <w:t>’s freedom</w:t>
      </w:r>
      <w:r w:rsidR="007D32DE">
        <w:t xml:space="preserve"> to form and practise their beliefs </w:t>
      </w:r>
      <w:r w:rsidR="00097F18">
        <w:t>without</w:t>
      </w:r>
      <w:r w:rsidR="007D32DE">
        <w:t xml:space="preserve"> undue influence. The specific</w:t>
      </w:r>
      <w:r w:rsidR="00181ED4">
        <w:t>s</w:t>
      </w:r>
      <w:r w:rsidR="007D32DE">
        <w:t xml:space="preserve"> of the educational space are emphasized: the teaching assistant acts as a role model, one </w:t>
      </w:r>
      <w:r w:rsidR="003012AF">
        <w:t>with</w:t>
      </w:r>
      <w:r w:rsidR="007D32DE">
        <w:t xml:space="preserve"> much influence on the belief-systems of vulnerable children. Wearing a headscarf is, it seems, a means of making undue use of this influence.</w:t>
      </w:r>
      <w:r w:rsidR="00097F18">
        <w:t xml:space="preserve"> </w:t>
      </w:r>
    </w:p>
    <w:p w14:paraId="6151509B" w14:textId="6CD2EAA8" w:rsidR="007D32DE" w:rsidRPr="005A2E61" w:rsidRDefault="007D32DE" w:rsidP="004B3AA8">
      <w:pPr>
        <w:pStyle w:val="NormalWeb"/>
        <w:spacing w:before="0" w:after="0" w:line="480" w:lineRule="auto"/>
        <w:ind w:firstLine="720"/>
        <w:jc w:val="both"/>
      </w:pPr>
      <w:r>
        <w:t>Importantly, howe</w:t>
      </w:r>
      <w:r w:rsidR="00181ED4">
        <w:t xml:space="preserve">ver, the Court offers little </w:t>
      </w:r>
      <w:r>
        <w:t xml:space="preserve">justification for </w:t>
      </w:r>
      <w:r w:rsidR="00097F18">
        <w:t>its</w:t>
      </w:r>
      <w:r>
        <w:t xml:space="preserve"> appeal to ‘experience’</w:t>
      </w:r>
      <w:r w:rsidR="00097F18">
        <w:t xml:space="preserve"> in the above passage</w:t>
      </w:r>
      <w:r>
        <w:t xml:space="preserve"> and, in fact, notes that there was no evidence </w:t>
      </w:r>
      <w:r w:rsidR="003012AF">
        <w:t>that</w:t>
      </w:r>
      <w:r>
        <w:t xml:space="preserve"> harm of any sort (including proselytizing)</w:t>
      </w:r>
      <w:r w:rsidR="003012AF">
        <w:t xml:space="preserve"> was</w:t>
      </w:r>
      <w:r>
        <w:t xml:space="preserve"> </w:t>
      </w:r>
      <w:r>
        <w:rPr>
          <w:i/>
        </w:rPr>
        <w:t>actually</w:t>
      </w:r>
      <w:r>
        <w:t xml:space="preserve"> </w:t>
      </w:r>
      <w:r w:rsidR="003012AF">
        <w:t>due to</w:t>
      </w:r>
      <w:r>
        <w:t xml:space="preserve"> Dahlab’s wearing of a headscarf. Instead of adducing evidence, the judgment focuses on the difficulty of obtaining </w:t>
      </w:r>
      <w:r w:rsidR="00181ED4">
        <w:t>it</w:t>
      </w:r>
      <w:r>
        <w:t xml:space="preserve"> in these circumstances: ‘It is very difficult to assess the impact that a powerful external symbol such as the wearing of a headscarf may have on the freedom of conscience and religion of very young children.’</w:t>
      </w:r>
      <w:r>
        <w:rPr>
          <w:rStyle w:val="FootnoteReference"/>
        </w:rPr>
        <w:footnoteReference w:id="46"/>
      </w:r>
      <w:r>
        <w:t xml:space="preserve"> As far as the Court is aware (and this is of course a matter for the national courts, rather than the ECtHR, to have established), no harm actually occurred, </w:t>
      </w:r>
      <w:r w:rsidR="003012AF">
        <w:t>but it also was not definitively</w:t>
      </w:r>
      <w:r w:rsidR="003012AF" w:rsidRPr="00085380">
        <w:t xml:space="preserve"> </w:t>
      </w:r>
      <w:r w:rsidR="003012AF">
        <w:t>shown not to have occurred.</w:t>
      </w:r>
      <w:r>
        <w:t xml:space="preserve"> </w:t>
      </w:r>
      <w:r w:rsidR="00097F18">
        <w:t>Crucially</w:t>
      </w:r>
      <w:r>
        <w:t xml:space="preserve">, the ECtHR judges go on to use this absence of evidence to allow for the </w:t>
      </w:r>
      <w:r>
        <w:rPr>
          <w:i/>
        </w:rPr>
        <w:t>possibility</w:t>
      </w:r>
      <w:r>
        <w:t xml:space="preserve"> of third-party harm: ‘In those circumstances, it cannot be denied outright that the wearing of a headscarf might have some kind of proselytising effect’.</w:t>
      </w:r>
      <w:r w:rsidR="000A7C4F">
        <w:rPr>
          <w:rStyle w:val="FootnoteReference"/>
        </w:rPr>
        <w:footnoteReference w:id="47"/>
      </w:r>
      <w:r>
        <w:t xml:space="preserve"> The burden of proof is on the applicant: since it has not been shown that harm definitely did </w:t>
      </w:r>
      <w:r>
        <w:rPr>
          <w:i/>
        </w:rPr>
        <w:t>not</w:t>
      </w:r>
      <w:r>
        <w:t xml:space="preserve"> take place, undue influence will be taken into account</w:t>
      </w:r>
      <w:r w:rsidR="00097F18">
        <w:t xml:space="preserve"> as a possibility</w:t>
      </w:r>
      <w:r>
        <w:t>. This is far removed from claiming tha</w:t>
      </w:r>
      <w:r w:rsidR="00181ED4">
        <w:t xml:space="preserve">t </w:t>
      </w:r>
      <w:r>
        <w:t xml:space="preserve">harm was ‘reasonably likely’, as </w:t>
      </w:r>
      <w:r w:rsidR="00D75D14">
        <w:t xml:space="preserve">national </w:t>
      </w:r>
      <w:r w:rsidR="002E5974">
        <w:t xml:space="preserve">legislation concerning </w:t>
      </w:r>
      <w:r w:rsidR="00D75D14">
        <w:t>freedom of expression</w:t>
      </w:r>
      <w:r>
        <w:t xml:space="preserve"> </w:t>
      </w:r>
      <w:r w:rsidR="00D75D14">
        <w:t>often</w:t>
      </w:r>
      <w:r>
        <w:t xml:space="preserve"> insists.</w:t>
      </w:r>
      <w:r w:rsidR="00D75D14">
        <w:rPr>
          <w:rStyle w:val="FootnoteReference"/>
        </w:rPr>
        <w:footnoteReference w:id="48"/>
      </w:r>
    </w:p>
    <w:p w14:paraId="078E22BA" w14:textId="034CFE88" w:rsidR="007D32DE" w:rsidRDefault="007D32DE" w:rsidP="004B3AA8">
      <w:pPr>
        <w:pStyle w:val="NormalWeb"/>
        <w:spacing w:before="0" w:after="0" w:line="480" w:lineRule="auto"/>
        <w:ind w:firstLine="720"/>
        <w:jc w:val="both"/>
      </w:pPr>
      <w:r>
        <w:t xml:space="preserve">The </w:t>
      </w:r>
      <w:r w:rsidR="005A7FBC">
        <w:t>key</w:t>
      </w:r>
      <w:r>
        <w:t xml:space="preserve"> passage reads in full</w:t>
      </w:r>
      <w:r w:rsidR="002E5974">
        <w:t>:</w:t>
      </w:r>
    </w:p>
    <w:p w14:paraId="72D6F9EE" w14:textId="77777777" w:rsidR="007D32DE" w:rsidRDefault="007D32DE" w:rsidP="004B3AA8">
      <w:pPr>
        <w:pStyle w:val="NormalWeb"/>
        <w:spacing w:before="0" w:after="0" w:line="480" w:lineRule="auto"/>
        <w:ind w:firstLine="720"/>
        <w:jc w:val="both"/>
      </w:pPr>
    </w:p>
    <w:p w14:paraId="3C3F20CA" w14:textId="77777777" w:rsidR="007D32DE" w:rsidRDefault="007D32DE" w:rsidP="004B3AA8">
      <w:pPr>
        <w:pStyle w:val="NormalWeb"/>
        <w:spacing w:before="0" w:after="0" w:line="480" w:lineRule="auto"/>
        <w:ind w:left="1440"/>
        <w:jc w:val="both"/>
      </w:pPr>
      <w:r>
        <w:t>The Court accepts that it is very difficult to assess the impact that a powerful external symbol such as the wearing of a headscarf may have on the freedom of conscience and religion of very young children. The applicant’s pupils were aged between four and eight, an age at which children wonder about many things and are also more easily influenced than older pupils. In those circumstances, it cannot be denied outright that the wearing of a headscarf might have some kind of proselytising effect, seeing that it appears to be imposed on women by a precept which is laid down in the Koran and which, as the Federal Court noted, is hard to square with the principle of gender equality. It therefore appears difficult to reconcile the wearing of an Islamic headscarf with the message of tolerance, respect for others and, above all, equality and non-discrimination that all teachers in a democratic society must convey to their pupils</w:t>
      </w:r>
      <w:r w:rsidR="005A7FBC">
        <w:t>.</w:t>
      </w:r>
      <w:r w:rsidR="000A7C4F">
        <w:rPr>
          <w:rStyle w:val="FootnoteReference"/>
        </w:rPr>
        <w:footnoteReference w:id="49"/>
      </w:r>
    </w:p>
    <w:p w14:paraId="5CD9ACA3" w14:textId="77777777" w:rsidR="007D32DE" w:rsidRDefault="007D32DE" w:rsidP="004B3AA8">
      <w:pPr>
        <w:spacing w:after="0" w:line="480" w:lineRule="auto"/>
        <w:ind w:firstLine="720"/>
        <w:jc w:val="both"/>
        <w:rPr>
          <w:sz w:val="24"/>
          <w:szCs w:val="24"/>
        </w:rPr>
      </w:pPr>
    </w:p>
    <w:p w14:paraId="25C0DF74" w14:textId="35613F60" w:rsidR="007D32DE" w:rsidRDefault="004432A8" w:rsidP="004B3AA8">
      <w:pPr>
        <w:spacing w:after="0" w:line="480" w:lineRule="auto"/>
        <w:jc w:val="both"/>
        <w:rPr>
          <w:sz w:val="24"/>
          <w:szCs w:val="24"/>
        </w:rPr>
      </w:pPr>
      <w:r>
        <w:rPr>
          <w:sz w:val="24"/>
          <w:szCs w:val="24"/>
        </w:rPr>
        <w:t xml:space="preserve">It </w:t>
      </w:r>
      <w:r w:rsidR="002C5B95">
        <w:rPr>
          <w:sz w:val="24"/>
          <w:szCs w:val="24"/>
        </w:rPr>
        <w:t xml:space="preserve">is immediately evident </w:t>
      </w:r>
      <w:r w:rsidR="007D32DE">
        <w:rPr>
          <w:sz w:val="24"/>
          <w:szCs w:val="24"/>
        </w:rPr>
        <w:t>that the Court is uninterested in the intention behind Dahlab’s wearing of the headscarf</w:t>
      </w:r>
      <w:r w:rsidR="007D32DE">
        <w:rPr>
          <w:rFonts w:ascii="Calibri" w:hAnsi="Calibri"/>
          <w:sz w:val="24"/>
          <w:szCs w:val="24"/>
        </w:rPr>
        <w:t>—</w:t>
      </w:r>
      <w:r w:rsidR="007D32DE">
        <w:rPr>
          <w:sz w:val="24"/>
          <w:szCs w:val="24"/>
        </w:rPr>
        <w:t xml:space="preserve">that is, whether she in fact </w:t>
      </w:r>
      <w:r w:rsidR="007D32DE">
        <w:rPr>
          <w:i/>
          <w:sz w:val="24"/>
          <w:szCs w:val="24"/>
        </w:rPr>
        <w:t>intended</w:t>
      </w:r>
      <w:r w:rsidR="007D32DE">
        <w:rPr>
          <w:sz w:val="24"/>
          <w:szCs w:val="24"/>
        </w:rPr>
        <w:t xml:space="preserve"> to proselytize. Much more important for the Court is that the headscarf can be </w:t>
      </w:r>
      <w:r w:rsidR="007D32DE" w:rsidRPr="00D4432A">
        <w:rPr>
          <w:i/>
          <w:sz w:val="24"/>
          <w:szCs w:val="24"/>
        </w:rPr>
        <w:t>perceived</w:t>
      </w:r>
      <w:r w:rsidR="007D32DE">
        <w:rPr>
          <w:sz w:val="24"/>
          <w:szCs w:val="24"/>
        </w:rPr>
        <w:t xml:space="preserve"> as a form of proselytizing</w:t>
      </w:r>
      <w:r w:rsidR="004D3016">
        <w:rPr>
          <w:sz w:val="24"/>
          <w:szCs w:val="24"/>
        </w:rPr>
        <w:t xml:space="preserve">. </w:t>
      </w:r>
      <w:r w:rsidR="002C5B95">
        <w:rPr>
          <w:sz w:val="24"/>
          <w:szCs w:val="24"/>
        </w:rPr>
        <w:t>A</w:t>
      </w:r>
      <w:r w:rsidR="007D32DE">
        <w:rPr>
          <w:sz w:val="24"/>
          <w:szCs w:val="24"/>
        </w:rPr>
        <w:t>gain,</w:t>
      </w:r>
      <w:r w:rsidR="002C5B95">
        <w:rPr>
          <w:sz w:val="24"/>
          <w:szCs w:val="24"/>
        </w:rPr>
        <w:t xml:space="preserve"> however,</w:t>
      </w:r>
      <w:r w:rsidR="007D32DE">
        <w:rPr>
          <w:sz w:val="24"/>
          <w:szCs w:val="24"/>
        </w:rPr>
        <w:t xml:space="preserve"> there is no actual evidence that the children </w:t>
      </w:r>
      <w:r w:rsidR="007D32DE">
        <w:rPr>
          <w:i/>
          <w:sz w:val="24"/>
          <w:szCs w:val="24"/>
        </w:rPr>
        <w:t xml:space="preserve">did </w:t>
      </w:r>
      <w:r w:rsidR="00D75D14">
        <w:rPr>
          <w:sz w:val="24"/>
          <w:szCs w:val="24"/>
        </w:rPr>
        <w:t>actually perceive Dahlab’s wearing of the headscarf</w:t>
      </w:r>
      <w:r w:rsidR="007D32DE">
        <w:rPr>
          <w:sz w:val="24"/>
          <w:szCs w:val="24"/>
        </w:rPr>
        <w:t xml:space="preserve"> </w:t>
      </w:r>
      <w:r w:rsidR="00D75D14">
        <w:rPr>
          <w:sz w:val="24"/>
          <w:szCs w:val="24"/>
        </w:rPr>
        <w:t>as proselytizing</w:t>
      </w:r>
      <w:r w:rsidR="002C5B95">
        <w:rPr>
          <w:sz w:val="24"/>
          <w:szCs w:val="24"/>
        </w:rPr>
        <w:t>.</w:t>
      </w:r>
    </w:p>
    <w:p w14:paraId="734930BE" w14:textId="77777777" w:rsidR="007D32DE" w:rsidRPr="00470CFF" w:rsidRDefault="007D32DE" w:rsidP="004B3AA8">
      <w:pPr>
        <w:pStyle w:val="NormalWeb"/>
        <w:spacing w:before="0" w:after="0" w:line="480" w:lineRule="auto"/>
        <w:ind w:firstLine="720"/>
        <w:jc w:val="both"/>
      </w:pPr>
      <w:r>
        <w:t xml:space="preserve">To begin to understand the ECtHR’s position here, it is worth noting that the judgment </w:t>
      </w:r>
      <w:r w:rsidR="005A7FBC">
        <w:t xml:space="preserve">also </w:t>
      </w:r>
      <w:r w:rsidR="00370CF9">
        <w:t>remarks</w:t>
      </w:r>
      <w:r w:rsidR="005A7FBC">
        <w:t xml:space="preserve"> that ‘</w:t>
      </w:r>
      <w:r w:rsidRPr="00EE36F2">
        <w:t>in a published judgment of 26 September 1990 it [the Swiss constitutional court] had held that the presence of a crucifix in State primary-school classrooms fell foul of the requirement of denominational neutrality</w:t>
      </w:r>
      <w:r w:rsidR="005A7FBC">
        <w:t>’</w:t>
      </w:r>
      <w:r w:rsidR="000A7C4F">
        <w:rPr>
          <w:rStyle w:val="FootnoteReference"/>
        </w:rPr>
        <w:footnoteReference w:id="50"/>
      </w:r>
      <w:r w:rsidR="00D4432A">
        <w:t xml:space="preserve">—and </w:t>
      </w:r>
      <w:r>
        <w:t xml:space="preserve">at no point does the ECtHR question such a claim. Moreover, the reference to the 1990 judgment is also significant in the light of </w:t>
      </w:r>
      <w:r>
        <w:rPr>
          <w:i/>
        </w:rPr>
        <w:t>Lautsi</w:t>
      </w:r>
      <w:r>
        <w:t xml:space="preserve"> which, as we shall see, also concerns the presences of </w:t>
      </w:r>
      <w:r w:rsidR="00370CF9">
        <w:t>crucifixes in classrooms, and the differing treatments of the crucifix in these two judgments</w:t>
      </w:r>
      <w:r>
        <w:t xml:space="preserve"> suggests </w:t>
      </w:r>
      <w:r w:rsidR="005A7FBC">
        <w:t xml:space="preserve">once more </w:t>
      </w:r>
      <w:r>
        <w:t xml:space="preserve">that one of the major motivating factors in both </w:t>
      </w:r>
      <w:r>
        <w:rPr>
          <w:i/>
        </w:rPr>
        <w:t>Dahlab</w:t>
      </w:r>
      <w:r>
        <w:t xml:space="preserve"> and </w:t>
      </w:r>
      <w:r>
        <w:rPr>
          <w:i/>
        </w:rPr>
        <w:t>Lautsi</w:t>
      </w:r>
      <w:r>
        <w:t xml:space="preserve"> is </w:t>
      </w:r>
      <w:r w:rsidR="000A7C4F">
        <w:t xml:space="preserve">the </w:t>
      </w:r>
      <w:r>
        <w:t>margin of appreciation: the ECtHR wants to keep open a range of positions for national Governments to take on the question of the harm caused by symbols.</w:t>
      </w:r>
    </w:p>
    <w:p w14:paraId="59DFCD6D" w14:textId="4BA17F62" w:rsidR="007D32DE" w:rsidRDefault="00D4432A" w:rsidP="004B3AA8">
      <w:pPr>
        <w:spacing w:after="0" w:line="480" w:lineRule="auto"/>
        <w:jc w:val="both"/>
        <w:rPr>
          <w:sz w:val="24"/>
          <w:szCs w:val="24"/>
        </w:rPr>
      </w:pPr>
      <w:r>
        <w:rPr>
          <w:sz w:val="24"/>
          <w:szCs w:val="24"/>
        </w:rPr>
        <w:tab/>
        <w:t>Nevertheless, there remains the key</w:t>
      </w:r>
      <w:r w:rsidR="007D32DE">
        <w:rPr>
          <w:sz w:val="24"/>
          <w:szCs w:val="24"/>
        </w:rPr>
        <w:t xml:space="preserve"> question </w:t>
      </w:r>
      <w:r>
        <w:rPr>
          <w:sz w:val="24"/>
          <w:szCs w:val="24"/>
        </w:rPr>
        <w:t>for the present consideration of</w:t>
      </w:r>
      <w:r w:rsidR="007D32DE">
        <w:rPr>
          <w:sz w:val="24"/>
          <w:szCs w:val="24"/>
        </w:rPr>
        <w:t xml:space="preserve"> </w:t>
      </w:r>
      <w:r w:rsidR="007D32DE">
        <w:rPr>
          <w:i/>
          <w:sz w:val="24"/>
          <w:szCs w:val="24"/>
        </w:rPr>
        <w:t>Dahlab</w:t>
      </w:r>
      <w:r w:rsidR="007D32DE">
        <w:rPr>
          <w:sz w:val="24"/>
          <w:szCs w:val="24"/>
        </w:rPr>
        <w:t>:</w:t>
      </w:r>
      <w:r w:rsidR="007D32DE" w:rsidRPr="007C42F0">
        <w:rPr>
          <w:sz w:val="24"/>
          <w:szCs w:val="24"/>
        </w:rPr>
        <w:t xml:space="preserve"> why</w:t>
      </w:r>
      <w:r w:rsidR="007D32DE">
        <w:rPr>
          <w:rFonts w:ascii="Calibri" w:hAnsi="Calibri"/>
          <w:sz w:val="24"/>
          <w:szCs w:val="24"/>
        </w:rPr>
        <w:t>—</w:t>
      </w:r>
      <w:r w:rsidR="007D32DE" w:rsidRPr="007C42F0">
        <w:rPr>
          <w:sz w:val="24"/>
          <w:szCs w:val="24"/>
        </w:rPr>
        <w:t>in the absence of any evidence</w:t>
      </w:r>
      <w:r w:rsidR="007D32DE">
        <w:rPr>
          <w:sz w:val="24"/>
          <w:szCs w:val="24"/>
        </w:rPr>
        <w:t xml:space="preserve"> that Dahlab’s headscarf </w:t>
      </w:r>
      <w:r w:rsidR="007D32DE">
        <w:rPr>
          <w:i/>
          <w:sz w:val="24"/>
          <w:szCs w:val="24"/>
        </w:rPr>
        <w:t>did</w:t>
      </w:r>
      <w:r w:rsidR="007D32DE">
        <w:rPr>
          <w:sz w:val="24"/>
          <w:szCs w:val="24"/>
        </w:rPr>
        <w:t xml:space="preserve"> cause harm</w:t>
      </w:r>
      <w:r w:rsidR="007D32DE">
        <w:rPr>
          <w:rFonts w:ascii="Calibri" w:hAnsi="Calibri"/>
          <w:sz w:val="24"/>
          <w:szCs w:val="24"/>
        </w:rPr>
        <w:t>—</w:t>
      </w:r>
      <w:r w:rsidR="009B6247" w:rsidRPr="007C42F0">
        <w:rPr>
          <w:sz w:val="24"/>
          <w:szCs w:val="24"/>
        </w:rPr>
        <w:t>d</w:t>
      </w:r>
      <w:r w:rsidR="009B6247">
        <w:rPr>
          <w:sz w:val="24"/>
          <w:szCs w:val="24"/>
        </w:rPr>
        <w:t>id</w:t>
      </w:r>
      <w:r w:rsidR="009B6247" w:rsidRPr="007C42F0">
        <w:rPr>
          <w:sz w:val="24"/>
          <w:szCs w:val="24"/>
        </w:rPr>
        <w:t xml:space="preserve"> </w:t>
      </w:r>
      <w:r w:rsidR="007D32DE" w:rsidRPr="007C42F0">
        <w:rPr>
          <w:sz w:val="24"/>
          <w:szCs w:val="24"/>
        </w:rPr>
        <w:t xml:space="preserve">the Court believe that the Islamic headscarf </w:t>
      </w:r>
      <w:r w:rsidR="009B6247" w:rsidRPr="00F314E0">
        <w:rPr>
          <w:i/>
          <w:sz w:val="24"/>
          <w:szCs w:val="24"/>
        </w:rPr>
        <w:t>c</w:t>
      </w:r>
      <w:r w:rsidR="009B6247">
        <w:rPr>
          <w:i/>
          <w:sz w:val="24"/>
          <w:szCs w:val="24"/>
        </w:rPr>
        <w:t>ould</w:t>
      </w:r>
      <w:r w:rsidR="009B6247" w:rsidRPr="007C42F0">
        <w:rPr>
          <w:sz w:val="24"/>
          <w:szCs w:val="24"/>
        </w:rPr>
        <w:t xml:space="preserve"> </w:t>
      </w:r>
      <w:r w:rsidR="007D32DE" w:rsidRPr="007C42F0">
        <w:rPr>
          <w:sz w:val="24"/>
          <w:szCs w:val="24"/>
        </w:rPr>
        <w:t xml:space="preserve">cause harm to </w:t>
      </w:r>
      <w:r w:rsidR="007D32DE">
        <w:rPr>
          <w:sz w:val="24"/>
          <w:szCs w:val="24"/>
        </w:rPr>
        <w:t>‘</w:t>
      </w:r>
      <w:r w:rsidR="007D32DE" w:rsidRPr="007C42F0">
        <w:rPr>
          <w:sz w:val="24"/>
          <w:szCs w:val="24"/>
        </w:rPr>
        <w:t>the freedom of conscience and religion of very young children</w:t>
      </w:r>
      <w:r w:rsidR="007D32DE">
        <w:rPr>
          <w:sz w:val="24"/>
          <w:szCs w:val="24"/>
        </w:rPr>
        <w:t>’</w:t>
      </w:r>
      <w:r w:rsidR="007D32DE" w:rsidRPr="007C42F0">
        <w:rPr>
          <w:sz w:val="24"/>
          <w:szCs w:val="24"/>
        </w:rPr>
        <w:t xml:space="preserve">? In our opinion </w:t>
      </w:r>
      <w:r w:rsidR="007D32DE">
        <w:rPr>
          <w:sz w:val="24"/>
          <w:szCs w:val="24"/>
        </w:rPr>
        <w:t>there are two lines of reasoning in the judgment</w:t>
      </w:r>
      <w:r w:rsidR="007D32DE" w:rsidRPr="007C42F0">
        <w:rPr>
          <w:sz w:val="24"/>
          <w:szCs w:val="24"/>
        </w:rPr>
        <w:t>.</w:t>
      </w:r>
    </w:p>
    <w:p w14:paraId="79D8B7B8" w14:textId="77777777" w:rsidR="007D32DE" w:rsidRDefault="007D32DE" w:rsidP="004B3AA8">
      <w:pPr>
        <w:spacing w:after="0" w:line="480" w:lineRule="auto"/>
        <w:ind w:left="720" w:firstLine="720"/>
        <w:jc w:val="both"/>
        <w:rPr>
          <w:sz w:val="24"/>
          <w:szCs w:val="24"/>
        </w:rPr>
      </w:pPr>
    </w:p>
    <w:p w14:paraId="0A0D07FB" w14:textId="77777777" w:rsidR="007D32DE" w:rsidRDefault="007D32DE" w:rsidP="004B3AA8">
      <w:pPr>
        <w:spacing w:after="0" w:line="480" w:lineRule="auto"/>
        <w:ind w:left="720"/>
        <w:jc w:val="both"/>
        <w:rPr>
          <w:sz w:val="24"/>
          <w:szCs w:val="24"/>
        </w:rPr>
      </w:pPr>
      <w:r w:rsidRPr="007C42F0">
        <w:rPr>
          <w:sz w:val="24"/>
          <w:szCs w:val="24"/>
        </w:rPr>
        <w:t>(a)</w:t>
      </w:r>
      <w:r>
        <w:rPr>
          <w:sz w:val="24"/>
          <w:szCs w:val="24"/>
        </w:rPr>
        <w:t xml:space="preserve"> First, the headscarf</w:t>
      </w:r>
      <w:r w:rsidRPr="007C42F0">
        <w:rPr>
          <w:sz w:val="24"/>
          <w:szCs w:val="24"/>
        </w:rPr>
        <w:t xml:space="preserve"> was a ‘powerful’ symbol</w:t>
      </w:r>
      <w:r w:rsidR="000A7C4F">
        <w:rPr>
          <w:rStyle w:val="FootnoteReference"/>
          <w:sz w:val="24"/>
          <w:szCs w:val="24"/>
        </w:rPr>
        <w:footnoteReference w:id="51"/>
      </w:r>
      <w:r>
        <w:rPr>
          <w:rFonts w:ascii="Calibri" w:hAnsi="Calibri"/>
          <w:sz w:val="24"/>
          <w:szCs w:val="24"/>
        </w:rPr>
        <w:t>—</w:t>
      </w:r>
      <w:r w:rsidRPr="007C42F0">
        <w:rPr>
          <w:sz w:val="24"/>
          <w:szCs w:val="24"/>
        </w:rPr>
        <w:t xml:space="preserve">that is, presumably, a </w:t>
      </w:r>
      <w:r>
        <w:rPr>
          <w:sz w:val="24"/>
          <w:szCs w:val="24"/>
        </w:rPr>
        <w:t>symbol that presses the beliefs it manifests onto third parties in a particularly active and insistent manner. It is thus capable of influencing the beliefs and behaviour of third parties much more than other symbols. Consequently, the wearing of an Islamic headscarf was particularly inappropriate in an educational environment, where vulnerable children are more open to influence on their beliefs.</w:t>
      </w:r>
    </w:p>
    <w:p w14:paraId="30F7DEA8" w14:textId="77777777" w:rsidR="007D32DE" w:rsidRDefault="007D32DE" w:rsidP="004B3AA8">
      <w:pPr>
        <w:spacing w:after="0" w:line="480" w:lineRule="auto"/>
        <w:ind w:firstLine="720"/>
        <w:jc w:val="both"/>
        <w:rPr>
          <w:sz w:val="24"/>
          <w:szCs w:val="24"/>
        </w:rPr>
      </w:pPr>
    </w:p>
    <w:p w14:paraId="3025AEE5" w14:textId="682143EE" w:rsidR="007D32DE" w:rsidRDefault="007D32DE" w:rsidP="004B3AA8">
      <w:pPr>
        <w:spacing w:after="0" w:line="480" w:lineRule="auto"/>
        <w:ind w:left="720"/>
        <w:jc w:val="both"/>
        <w:rPr>
          <w:sz w:val="24"/>
          <w:szCs w:val="24"/>
        </w:rPr>
      </w:pPr>
      <w:r>
        <w:rPr>
          <w:sz w:val="24"/>
          <w:szCs w:val="24"/>
        </w:rPr>
        <w:t>(b) Second, the belief manifested by wearing an Islamic headscarf</w:t>
      </w:r>
      <w:r>
        <w:rPr>
          <w:rFonts w:ascii="Calibri" w:hAnsi="Calibri"/>
          <w:sz w:val="24"/>
          <w:szCs w:val="24"/>
        </w:rPr>
        <w:t>—</w:t>
      </w:r>
      <w:r>
        <w:rPr>
          <w:sz w:val="24"/>
          <w:szCs w:val="24"/>
        </w:rPr>
        <w:t>as it is ‘laid down in the Koran’</w:t>
      </w:r>
      <w:r>
        <w:rPr>
          <w:rFonts w:ascii="Calibri" w:hAnsi="Calibri"/>
          <w:sz w:val="24"/>
          <w:szCs w:val="24"/>
        </w:rPr>
        <w:t>—</w:t>
      </w:r>
      <w:r w:rsidR="005A7FBC">
        <w:rPr>
          <w:sz w:val="24"/>
          <w:szCs w:val="24"/>
        </w:rPr>
        <w:t xml:space="preserve">is </w:t>
      </w:r>
      <w:r>
        <w:rPr>
          <w:sz w:val="24"/>
          <w:szCs w:val="24"/>
        </w:rPr>
        <w:t>‘difficult to reconcile’ with the basic principles of democracy (tolerance, respect for others, and gender equality).</w:t>
      </w:r>
      <w:r w:rsidR="000A7C4F">
        <w:rPr>
          <w:rStyle w:val="FootnoteReference"/>
          <w:sz w:val="24"/>
          <w:szCs w:val="24"/>
        </w:rPr>
        <w:footnoteReference w:id="52"/>
      </w:r>
      <w:r>
        <w:rPr>
          <w:sz w:val="24"/>
          <w:szCs w:val="24"/>
        </w:rPr>
        <w:t xml:space="preserve"> In line with a long tradition of European jurisprudence, the ECtHR remains aloof in this instance from </w:t>
      </w:r>
      <w:r w:rsidR="005A7FBC">
        <w:rPr>
          <w:sz w:val="24"/>
          <w:szCs w:val="24"/>
        </w:rPr>
        <w:t>the matter of identifying</w:t>
      </w:r>
      <w:r>
        <w:rPr>
          <w:sz w:val="24"/>
          <w:szCs w:val="24"/>
        </w:rPr>
        <w:t xml:space="preserve"> where in the Koran this belief is to be found </w:t>
      </w:r>
      <w:r w:rsidR="000C366A">
        <w:rPr>
          <w:sz w:val="24"/>
          <w:szCs w:val="24"/>
        </w:rPr>
        <w:t xml:space="preserve">and from </w:t>
      </w:r>
      <w:r>
        <w:rPr>
          <w:sz w:val="24"/>
          <w:szCs w:val="24"/>
        </w:rPr>
        <w:t xml:space="preserve">differences in interpretation over its meaning. </w:t>
      </w:r>
      <w:r w:rsidR="005A7FBC">
        <w:rPr>
          <w:sz w:val="24"/>
          <w:szCs w:val="24"/>
        </w:rPr>
        <w:t>Moreover</w:t>
      </w:r>
      <w:r>
        <w:rPr>
          <w:sz w:val="24"/>
          <w:szCs w:val="24"/>
        </w:rPr>
        <w:t>, the emphatic way the Court’s reasoning is here articulated, shorn of any qualification, has a peculiar implication: it holds independent</w:t>
      </w:r>
      <w:r w:rsidR="00C82A13">
        <w:rPr>
          <w:sz w:val="24"/>
          <w:szCs w:val="24"/>
        </w:rPr>
        <w:t>ly</w:t>
      </w:r>
      <w:r>
        <w:rPr>
          <w:sz w:val="24"/>
          <w:szCs w:val="24"/>
        </w:rPr>
        <w:t xml:space="preserve"> of context. Wearing any kind of veil or headscarf as a manifestation of this indeterminate belief that was ‘laid down in the Koran’ is, according to the judgment, incompatible with the values of a democratic society, and thus it can </w:t>
      </w:r>
      <w:r w:rsidRPr="00480EFA">
        <w:rPr>
          <w:i/>
          <w:sz w:val="24"/>
          <w:szCs w:val="24"/>
        </w:rPr>
        <w:t>always</w:t>
      </w:r>
      <w:r>
        <w:rPr>
          <w:sz w:val="24"/>
          <w:szCs w:val="24"/>
        </w:rPr>
        <w:t xml:space="preserve"> be subject to such ‘limitations as are… necessary in a democratic socie</w:t>
      </w:r>
      <w:r w:rsidR="000A7C4F">
        <w:rPr>
          <w:sz w:val="24"/>
          <w:szCs w:val="24"/>
        </w:rPr>
        <w:t>ty’, as Article 9(</w:t>
      </w:r>
      <w:r>
        <w:rPr>
          <w:sz w:val="24"/>
          <w:szCs w:val="24"/>
        </w:rPr>
        <w:t>2</w:t>
      </w:r>
      <w:r w:rsidR="000A7C4F">
        <w:rPr>
          <w:sz w:val="24"/>
          <w:szCs w:val="24"/>
        </w:rPr>
        <w:t>)</w:t>
      </w:r>
      <w:r>
        <w:rPr>
          <w:sz w:val="24"/>
          <w:szCs w:val="24"/>
        </w:rPr>
        <w:t xml:space="preserve"> puts it. It follows from such reasoning that a state ban o</w:t>
      </w:r>
      <w:r w:rsidR="000C3A2C">
        <w:rPr>
          <w:sz w:val="24"/>
          <w:szCs w:val="24"/>
        </w:rPr>
        <w:t>n the wearing of veils and headscarves</w:t>
      </w:r>
      <w:r w:rsidR="004D3016">
        <w:rPr>
          <w:sz w:val="24"/>
          <w:szCs w:val="24"/>
        </w:rPr>
        <w:t xml:space="preserve"> in public spaces</w:t>
      </w:r>
      <w:r>
        <w:rPr>
          <w:sz w:val="24"/>
          <w:szCs w:val="24"/>
        </w:rPr>
        <w:t xml:space="preserve"> is justifiable. </w:t>
      </w:r>
    </w:p>
    <w:p w14:paraId="30B35531" w14:textId="77777777" w:rsidR="007D32DE" w:rsidRDefault="007D32DE" w:rsidP="004B3AA8">
      <w:pPr>
        <w:spacing w:after="0" w:line="480" w:lineRule="auto"/>
        <w:ind w:firstLine="720"/>
        <w:jc w:val="both"/>
        <w:rPr>
          <w:sz w:val="24"/>
          <w:szCs w:val="24"/>
        </w:rPr>
      </w:pPr>
    </w:p>
    <w:p w14:paraId="6AD81602" w14:textId="77777777" w:rsidR="007D32DE" w:rsidRDefault="005A7FBC" w:rsidP="004B3AA8">
      <w:pPr>
        <w:spacing w:after="0" w:line="480" w:lineRule="auto"/>
        <w:ind w:firstLine="720"/>
        <w:jc w:val="both"/>
        <w:rPr>
          <w:sz w:val="24"/>
          <w:szCs w:val="24"/>
        </w:rPr>
      </w:pPr>
      <w:r>
        <w:rPr>
          <w:sz w:val="24"/>
          <w:szCs w:val="24"/>
        </w:rPr>
        <w:t>Overall, e</w:t>
      </w:r>
      <w:r w:rsidR="007D32DE">
        <w:rPr>
          <w:sz w:val="24"/>
          <w:szCs w:val="24"/>
        </w:rPr>
        <w:t>ven though the Court does acknowledge the significance of the specific educational context, it still draws up two very general principles that act separately as necessary conditions for identifying harm: (a) a symbol is likely to cause harm only if it is powerful, and (b) a symbol is likely to cause harm only if it manifests a belief incompatible with democratic values.</w:t>
      </w:r>
    </w:p>
    <w:p w14:paraId="7ED1496D" w14:textId="77777777" w:rsidR="007D32DE" w:rsidRDefault="007D32DE" w:rsidP="004B3AA8">
      <w:pPr>
        <w:spacing w:after="0" w:line="480" w:lineRule="auto"/>
        <w:rPr>
          <w:sz w:val="24"/>
          <w:szCs w:val="24"/>
        </w:rPr>
      </w:pPr>
    </w:p>
    <w:p w14:paraId="3DFAE0CB" w14:textId="77777777" w:rsidR="007D32DE" w:rsidRDefault="007D32DE" w:rsidP="004B3AA8">
      <w:pPr>
        <w:spacing w:after="0" w:line="480" w:lineRule="auto"/>
        <w:rPr>
          <w:sz w:val="24"/>
          <w:szCs w:val="24"/>
        </w:rPr>
      </w:pPr>
      <w:r>
        <w:rPr>
          <w:sz w:val="24"/>
          <w:szCs w:val="24"/>
        </w:rPr>
        <w:t>[</w:t>
      </w:r>
      <w:r w:rsidR="007D273B">
        <w:rPr>
          <w:sz w:val="24"/>
          <w:szCs w:val="24"/>
        </w:rPr>
        <w:t>3.</w:t>
      </w:r>
      <w:r w:rsidR="00AA4911">
        <w:rPr>
          <w:sz w:val="24"/>
          <w:szCs w:val="24"/>
        </w:rPr>
        <w:t>2</w:t>
      </w:r>
      <w:r>
        <w:rPr>
          <w:sz w:val="24"/>
          <w:szCs w:val="24"/>
        </w:rPr>
        <w:t xml:space="preserve">] </w:t>
      </w:r>
      <w:r>
        <w:rPr>
          <w:i/>
          <w:sz w:val="24"/>
          <w:szCs w:val="24"/>
        </w:rPr>
        <w:t>Lautsi</w:t>
      </w:r>
    </w:p>
    <w:p w14:paraId="5C8EB1DF" w14:textId="3B05145C" w:rsidR="007D32DE" w:rsidRPr="006C5E3B" w:rsidRDefault="007D32DE" w:rsidP="004B3AA8">
      <w:pPr>
        <w:spacing w:after="0" w:line="480" w:lineRule="auto"/>
        <w:jc w:val="both"/>
        <w:rPr>
          <w:sz w:val="24"/>
          <w:szCs w:val="24"/>
        </w:rPr>
      </w:pPr>
      <w:r w:rsidRPr="006C5E3B">
        <w:rPr>
          <w:i/>
          <w:sz w:val="24"/>
          <w:szCs w:val="24"/>
        </w:rPr>
        <w:t>Lautsi v Italy</w:t>
      </w:r>
      <w:r w:rsidR="00B56DFC" w:rsidRPr="00217CD1">
        <w:rPr>
          <w:rStyle w:val="FootnoteReference"/>
          <w:sz w:val="24"/>
          <w:szCs w:val="24"/>
        </w:rPr>
        <w:footnoteReference w:id="53"/>
      </w:r>
      <w:r w:rsidRPr="006C5E3B">
        <w:rPr>
          <w:sz w:val="24"/>
          <w:szCs w:val="24"/>
        </w:rPr>
        <w:t xml:space="preserve"> </w:t>
      </w:r>
      <w:r>
        <w:rPr>
          <w:sz w:val="24"/>
          <w:szCs w:val="24"/>
        </w:rPr>
        <w:t xml:space="preserve">explicitly draws on </w:t>
      </w:r>
      <w:r>
        <w:rPr>
          <w:i/>
          <w:sz w:val="24"/>
          <w:szCs w:val="24"/>
        </w:rPr>
        <w:t>Dahlab</w:t>
      </w:r>
      <w:r>
        <w:rPr>
          <w:sz w:val="24"/>
          <w:szCs w:val="24"/>
        </w:rPr>
        <w:t>’s assertions concerning powerful symbols, taking them to a logical conclusion by drawing a general</w:t>
      </w:r>
      <w:r w:rsidRPr="006C5E3B">
        <w:rPr>
          <w:sz w:val="24"/>
          <w:szCs w:val="24"/>
        </w:rPr>
        <w:t xml:space="preserve"> distinction between active and passive symbols</w:t>
      </w:r>
      <w:r>
        <w:rPr>
          <w:sz w:val="24"/>
          <w:szCs w:val="24"/>
        </w:rPr>
        <w:t xml:space="preserve">. </w:t>
      </w:r>
      <w:r w:rsidRPr="006C5E3B">
        <w:rPr>
          <w:sz w:val="24"/>
          <w:szCs w:val="24"/>
        </w:rPr>
        <w:t xml:space="preserve">The case concerns the protection that should be </w:t>
      </w:r>
      <w:r w:rsidR="00217CD1" w:rsidRPr="006C5E3B">
        <w:rPr>
          <w:sz w:val="24"/>
          <w:szCs w:val="24"/>
        </w:rPr>
        <w:t>a</w:t>
      </w:r>
      <w:r w:rsidR="00217CD1">
        <w:rPr>
          <w:sz w:val="24"/>
          <w:szCs w:val="24"/>
        </w:rPr>
        <w:t>ff</w:t>
      </w:r>
      <w:r w:rsidR="00217CD1" w:rsidRPr="006C5E3B">
        <w:rPr>
          <w:sz w:val="24"/>
          <w:szCs w:val="24"/>
        </w:rPr>
        <w:t xml:space="preserve">orded </w:t>
      </w:r>
      <w:r w:rsidRPr="006C5E3B">
        <w:rPr>
          <w:sz w:val="24"/>
          <w:szCs w:val="24"/>
        </w:rPr>
        <w:t xml:space="preserve">to crucifixes displayed on the walls of state-school classrooms in Italy. A parent committed to secularism challenged their presence on the ground that they interfered with her children’s right to determine their religious identity free from undue influence (a ‘negative freedom of </w:t>
      </w:r>
      <w:r>
        <w:rPr>
          <w:sz w:val="24"/>
          <w:szCs w:val="24"/>
        </w:rPr>
        <w:t>religion’</w:t>
      </w:r>
      <w:r>
        <w:rPr>
          <w:rStyle w:val="FootnoteReference"/>
          <w:sz w:val="24"/>
          <w:szCs w:val="24"/>
        </w:rPr>
        <w:footnoteReference w:id="54"/>
      </w:r>
      <w:r>
        <w:rPr>
          <w:sz w:val="24"/>
          <w:szCs w:val="24"/>
        </w:rPr>
        <w:t xml:space="preserve"> as the Chamber put it</w:t>
      </w:r>
      <w:r w:rsidR="008C6719">
        <w:rPr>
          <w:sz w:val="24"/>
          <w:szCs w:val="24"/>
        </w:rPr>
        <w:t>).</w:t>
      </w:r>
    </w:p>
    <w:p w14:paraId="694AA7F4" w14:textId="77777777" w:rsidR="007D32DE" w:rsidRPr="006C5E3B" w:rsidRDefault="007D32DE" w:rsidP="004B3AA8">
      <w:pPr>
        <w:spacing w:after="0" w:line="480" w:lineRule="auto"/>
        <w:jc w:val="both"/>
        <w:rPr>
          <w:sz w:val="24"/>
          <w:szCs w:val="24"/>
        </w:rPr>
      </w:pPr>
      <w:r w:rsidRPr="006C5E3B">
        <w:rPr>
          <w:sz w:val="24"/>
          <w:szCs w:val="24"/>
        </w:rPr>
        <w:tab/>
        <w:t xml:space="preserve">In the first hearing before the Chamber in 2009, the judges returned a </w:t>
      </w:r>
      <w:r w:rsidR="000A7C4F">
        <w:rPr>
          <w:sz w:val="24"/>
          <w:szCs w:val="24"/>
        </w:rPr>
        <w:t>decision</w:t>
      </w:r>
      <w:r w:rsidRPr="006C5E3B">
        <w:rPr>
          <w:sz w:val="24"/>
          <w:szCs w:val="24"/>
        </w:rPr>
        <w:t xml:space="preserve"> in favour of the applicant. They concluded that </w:t>
      </w:r>
      <w:r w:rsidR="008C6719">
        <w:rPr>
          <w:sz w:val="24"/>
          <w:szCs w:val="24"/>
        </w:rPr>
        <w:t>these crucifixes</w:t>
      </w:r>
      <w:r w:rsidRPr="006C5E3B">
        <w:rPr>
          <w:sz w:val="24"/>
          <w:szCs w:val="24"/>
        </w:rPr>
        <w:t xml:space="preserve"> were coercive and so likely to cause pupils harm. The judges argued:</w:t>
      </w:r>
    </w:p>
    <w:p w14:paraId="701A23B7" w14:textId="77777777" w:rsidR="007D32DE" w:rsidRPr="006C5E3B" w:rsidRDefault="007D32DE" w:rsidP="004B3AA8">
      <w:pPr>
        <w:spacing w:after="0" w:line="480" w:lineRule="auto"/>
        <w:ind w:firstLine="720"/>
        <w:rPr>
          <w:sz w:val="24"/>
          <w:szCs w:val="24"/>
        </w:rPr>
      </w:pPr>
    </w:p>
    <w:p w14:paraId="35D908C9" w14:textId="77777777" w:rsidR="007D32DE" w:rsidRPr="006C5E3B" w:rsidRDefault="007D32DE" w:rsidP="004B3AA8">
      <w:pPr>
        <w:spacing w:after="0" w:line="480" w:lineRule="auto"/>
        <w:ind w:left="1440"/>
        <w:jc w:val="both"/>
        <w:rPr>
          <w:sz w:val="24"/>
          <w:szCs w:val="24"/>
        </w:rPr>
      </w:pPr>
      <w:r w:rsidRPr="006C5E3B">
        <w:rPr>
          <w:sz w:val="24"/>
          <w:szCs w:val="24"/>
        </w:rPr>
        <w:t>The presence of the crucifix may easily be interpreted by pupils of all ages as a religious sign, and they will feel that they have been brought up in a school environment marked by a particular religion. What may be encouraging for some religious pupils may be emotionally disturbing for pupils of other religions or those who confess no religion.</w:t>
      </w:r>
      <w:r>
        <w:rPr>
          <w:rStyle w:val="FootnoteReference"/>
          <w:sz w:val="24"/>
          <w:szCs w:val="24"/>
        </w:rPr>
        <w:footnoteReference w:id="55"/>
      </w:r>
      <w:r w:rsidRPr="006C5E3B">
        <w:rPr>
          <w:sz w:val="24"/>
          <w:szCs w:val="24"/>
        </w:rPr>
        <w:t xml:space="preserve"> </w:t>
      </w:r>
    </w:p>
    <w:p w14:paraId="6232D0AC" w14:textId="77777777" w:rsidR="007D32DE" w:rsidRPr="006C5E3B" w:rsidRDefault="007D32DE" w:rsidP="004B3AA8">
      <w:pPr>
        <w:spacing w:after="0" w:line="480" w:lineRule="auto"/>
        <w:ind w:firstLine="720"/>
        <w:rPr>
          <w:sz w:val="24"/>
          <w:szCs w:val="24"/>
        </w:rPr>
      </w:pPr>
    </w:p>
    <w:p w14:paraId="527C4587" w14:textId="77777777" w:rsidR="007D32DE" w:rsidRDefault="002C5B95" w:rsidP="004B3AA8">
      <w:pPr>
        <w:spacing w:after="0" w:line="480" w:lineRule="auto"/>
        <w:jc w:val="both"/>
        <w:rPr>
          <w:sz w:val="24"/>
          <w:szCs w:val="24"/>
        </w:rPr>
      </w:pPr>
      <w:r>
        <w:rPr>
          <w:sz w:val="24"/>
          <w:szCs w:val="24"/>
        </w:rPr>
        <w:t>T</w:t>
      </w:r>
      <w:r w:rsidR="007D32DE" w:rsidRPr="006C5E3B">
        <w:rPr>
          <w:sz w:val="24"/>
          <w:szCs w:val="24"/>
        </w:rPr>
        <w:t>he perceived proselyti</w:t>
      </w:r>
      <w:r w:rsidR="007D32DE">
        <w:rPr>
          <w:sz w:val="24"/>
          <w:szCs w:val="24"/>
        </w:rPr>
        <w:t>z</w:t>
      </w:r>
      <w:r w:rsidR="007D32DE" w:rsidRPr="006C5E3B">
        <w:rPr>
          <w:sz w:val="24"/>
          <w:szCs w:val="24"/>
        </w:rPr>
        <w:t xml:space="preserve">ing effect of the crucifix in the classroom is felt to be an attempt unduly </w:t>
      </w:r>
      <w:r w:rsidR="007D32DE">
        <w:rPr>
          <w:sz w:val="24"/>
          <w:szCs w:val="24"/>
        </w:rPr>
        <w:t xml:space="preserve">to </w:t>
      </w:r>
      <w:r w:rsidR="007D32DE" w:rsidRPr="006C5E3B">
        <w:rPr>
          <w:sz w:val="24"/>
          <w:szCs w:val="24"/>
        </w:rPr>
        <w:t>influence the freedom to believe and determine beliefs that the children enjoy. Using language similar to</w:t>
      </w:r>
      <w:r w:rsidR="000A7C4F">
        <w:rPr>
          <w:sz w:val="24"/>
          <w:szCs w:val="24"/>
        </w:rPr>
        <w:t xml:space="preserve"> that in</w:t>
      </w:r>
      <w:r w:rsidR="007D32DE" w:rsidRPr="006C5E3B">
        <w:rPr>
          <w:sz w:val="24"/>
          <w:szCs w:val="24"/>
        </w:rPr>
        <w:t xml:space="preserve"> </w:t>
      </w:r>
      <w:r w:rsidR="007D32DE" w:rsidRPr="004D330B">
        <w:rPr>
          <w:i/>
          <w:sz w:val="24"/>
          <w:szCs w:val="24"/>
        </w:rPr>
        <w:t>Dahlab</w:t>
      </w:r>
      <w:r w:rsidR="007D32DE" w:rsidRPr="006C5E3B">
        <w:rPr>
          <w:sz w:val="24"/>
          <w:szCs w:val="24"/>
        </w:rPr>
        <w:t xml:space="preserve">, the </w:t>
      </w:r>
      <w:r w:rsidR="007D32DE">
        <w:rPr>
          <w:sz w:val="24"/>
          <w:szCs w:val="24"/>
        </w:rPr>
        <w:t>Chamber</w:t>
      </w:r>
      <w:r w:rsidR="007D32DE" w:rsidRPr="006C5E3B">
        <w:rPr>
          <w:sz w:val="24"/>
          <w:szCs w:val="24"/>
        </w:rPr>
        <w:t xml:space="preserve"> agreed with the applicant that in this context crucifix</w:t>
      </w:r>
      <w:r w:rsidR="007D32DE">
        <w:rPr>
          <w:sz w:val="24"/>
          <w:szCs w:val="24"/>
        </w:rPr>
        <w:t>es in classrooms</w:t>
      </w:r>
      <w:r w:rsidR="007D32DE" w:rsidRPr="006C5E3B">
        <w:rPr>
          <w:sz w:val="24"/>
          <w:szCs w:val="24"/>
        </w:rPr>
        <w:t xml:space="preserve"> could be consider</w:t>
      </w:r>
      <w:r w:rsidR="007D32DE">
        <w:rPr>
          <w:sz w:val="24"/>
          <w:szCs w:val="24"/>
        </w:rPr>
        <w:t>ed as ‘powerful external symbols’</w:t>
      </w:r>
      <w:r w:rsidR="00D4432A">
        <w:rPr>
          <w:sz w:val="24"/>
          <w:szCs w:val="24"/>
        </w:rPr>
        <w:t>.</w:t>
      </w:r>
      <w:r w:rsidR="007D32DE">
        <w:rPr>
          <w:rStyle w:val="FootnoteReference"/>
          <w:sz w:val="24"/>
          <w:szCs w:val="24"/>
        </w:rPr>
        <w:footnoteReference w:id="56"/>
      </w:r>
    </w:p>
    <w:p w14:paraId="04842D3B" w14:textId="58C4807E" w:rsidR="007D32DE" w:rsidRPr="00EF05FA" w:rsidRDefault="007D32DE" w:rsidP="002C5B95">
      <w:pPr>
        <w:spacing w:after="0" w:line="480" w:lineRule="auto"/>
        <w:ind w:firstLine="720"/>
        <w:jc w:val="both"/>
        <w:rPr>
          <w:sz w:val="24"/>
          <w:szCs w:val="24"/>
        </w:rPr>
      </w:pPr>
      <w:r w:rsidRPr="006C5E3B">
        <w:rPr>
          <w:sz w:val="24"/>
          <w:szCs w:val="24"/>
        </w:rPr>
        <w:t>When the case was re-heard in 2011 in front of the Grand Chamber,</w:t>
      </w:r>
      <w:r>
        <w:rPr>
          <w:rStyle w:val="FootnoteReference"/>
          <w:sz w:val="24"/>
          <w:szCs w:val="24"/>
        </w:rPr>
        <w:footnoteReference w:id="57"/>
      </w:r>
      <w:r w:rsidRPr="006C5E3B">
        <w:rPr>
          <w:sz w:val="24"/>
          <w:szCs w:val="24"/>
        </w:rPr>
        <w:t xml:space="preserve"> however, this whole debate was reframed in terms of the concept of the ‘passive symbol’. Here is the first occurrence of this concept in the judges’ paraphrasing of the Government’s original claim that the crucifix did not pose a threat of indoctrination: ‘Whatever the evocative power of [this] “image” might be, in the Government’s view, it was a “passive symbol”, whose impact on individuals was not comparable with the impact of “active conduct”.’</w:t>
      </w:r>
      <w:r>
        <w:rPr>
          <w:rStyle w:val="FootnoteReference"/>
          <w:sz w:val="24"/>
          <w:szCs w:val="24"/>
        </w:rPr>
        <w:footnoteReference w:id="58"/>
      </w:r>
      <w:r w:rsidR="002C5B95">
        <w:rPr>
          <w:sz w:val="24"/>
          <w:szCs w:val="24"/>
        </w:rPr>
        <w:t xml:space="preserve"> </w:t>
      </w:r>
      <w:r w:rsidRPr="006C5E3B">
        <w:rPr>
          <w:sz w:val="24"/>
          <w:szCs w:val="24"/>
        </w:rPr>
        <w:t xml:space="preserve">In other words, the Italian Government argued that the crucifix could not reasonably be perceived as harming pupils, presumably because </w:t>
      </w:r>
      <w:r>
        <w:rPr>
          <w:sz w:val="24"/>
          <w:szCs w:val="24"/>
        </w:rPr>
        <w:t>it</w:t>
      </w:r>
      <w:r w:rsidRPr="006C5E3B">
        <w:rPr>
          <w:sz w:val="24"/>
          <w:szCs w:val="24"/>
        </w:rPr>
        <w:t xml:space="preserve"> did not force itself on the user</w:t>
      </w:r>
      <w:r>
        <w:rPr>
          <w:sz w:val="24"/>
          <w:szCs w:val="24"/>
        </w:rPr>
        <w:t xml:space="preserve"> ‘actively’</w:t>
      </w:r>
      <w:r w:rsidRPr="006C5E3B">
        <w:rPr>
          <w:sz w:val="24"/>
          <w:szCs w:val="24"/>
        </w:rPr>
        <w:t>, but</w:t>
      </w:r>
      <w:r>
        <w:rPr>
          <w:sz w:val="24"/>
          <w:szCs w:val="24"/>
        </w:rPr>
        <w:t xml:space="preserve"> could be ignored. The difference seems to be between a symbol that remains in the background—out of f</w:t>
      </w:r>
      <w:r w:rsidR="008C6719">
        <w:rPr>
          <w:sz w:val="24"/>
          <w:szCs w:val="24"/>
        </w:rPr>
        <w:t>ocus, as it were—and one that</w:t>
      </w:r>
      <w:r w:rsidR="00D4432A">
        <w:rPr>
          <w:sz w:val="24"/>
          <w:szCs w:val="24"/>
        </w:rPr>
        <w:t xml:space="preserve"> is impossible to ignore.</w:t>
      </w:r>
      <w:r w:rsidR="002C5B95">
        <w:rPr>
          <w:sz w:val="24"/>
          <w:szCs w:val="24"/>
        </w:rPr>
        <w:t xml:space="preserve"> T</w:t>
      </w:r>
      <w:r>
        <w:rPr>
          <w:sz w:val="24"/>
          <w:szCs w:val="24"/>
        </w:rPr>
        <w:t xml:space="preserve">he reasoning of </w:t>
      </w:r>
      <w:r w:rsidRPr="004D330B">
        <w:rPr>
          <w:i/>
          <w:sz w:val="24"/>
          <w:szCs w:val="24"/>
        </w:rPr>
        <w:t>Dahlab</w:t>
      </w:r>
      <w:r>
        <w:rPr>
          <w:sz w:val="24"/>
          <w:szCs w:val="24"/>
        </w:rPr>
        <w:t xml:space="preserve"> </w:t>
      </w:r>
      <w:r w:rsidR="008C6719">
        <w:rPr>
          <w:sz w:val="24"/>
          <w:szCs w:val="24"/>
        </w:rPr>
        <w:t>is</w:t>
      </w:r>
      <w:r w:rsidR="002C5B95">
        <w:rPr>
          <w:sz w:val="24"/>
          <w:szCs w:val="24"/>
        </w:rPr>
        <w:t xml:space="preserve"> thereby</w:t>
      </w:r>
      <w:r w:rsidR="008C6719">
        <w:rPr>
          <w:sz w:val="24"/>
          <w:szCs w:val="24"/>
        </w:rPr>
        <w:t xml:space="preserve"> </w:t>
      </w:r>
      <w:r w:rsidR="002C5B95">
        <w:rPr>
          <w:sz w:val="24"/>
          <w:szCs w:val="24"/>
        </w:rPr>
        <w:t xml:space="preserve">redeployed, </w:t>
      </w:r>
      <w:r w:rsidR="0011539A">
        <w:rPr>
          <w:sz w:val="24"/>
          <w:szCs w:val="24"/>
        </w:rPr>
        <w:t xml:space="preserve">so </w:t>
      </w:r>
      <w:r w:rsidR="002C5B95">
        <w:rPr>
          <w:sz w:val="24"/>
          <w:szCs w:val="24"/>
        </w:rPr>
        <w:t>that its conclusion</w:t>
      </w:r>
      <w:r w:rsidRPr="006C5E3B">
        <w:rPr>
          <w:sz w:val="24"/>
          <w:szCs w:val="24"/>
        </w:rPr>
        <w:t xml:space="preserve"> that the wearing of a headscarf </w:t>
      </w:r>
      <w:r w:rsidR="002C5B95">
        <w:rPr>
          <w:sz w:val="24"/>
          <w:szCs w:val="24"/>
        </w:rPr>
        <w:t>i</w:t>
      </w:r>
      <w:r w:rsidRPr="006C5E3B">
        <w:rPr>
          <w:sz w:val="24"/>
          <w:szCs w:val="24"/>
        </w:rPr>
        <w:t>s, in an educational co</w:t>
      </w:r>
      <w:r w:rsidR="008E59FD">
        <w:rPr>
          <w:sz w:val="24"/>
          <w:szCs w:val="24"/>
        </w:rPr>
        <w:t>ntext, never a passive symbol</w:t>
      </w:r>
      <w:r w:rsidR="002C5B95">
        <w:rPr>
          <w:sz w:val="24"/>
          <w:szCs w:val="24"/>
        </w:rPr>
        <w:t xml:space="preserve"> becomes</w:t>
      </w:r>
      <w:r>
        <w:rPr>
          <w:sz w:val="24"/>
          <w:szCs w:val="24"/>
        </w:rPr>
        <w:t xml:space="preserve"> i</w:t>
      </w:r>
      <w:r w:rsidRPr="006C5E3B">
        <w:rPr>
          <w:sz w:val="24"/>
          <w:szCs w:val="24"/>
        </w:rPr>
        <w:t xml:space="preserve">n </w:t>
      </w:r>
      <w:r w:rsidRPr="004D330B">
        <w:rPr>
          <w:i/>
          <w:sz w:val="24"/>
          <w:szCs w:val="24"/>
        </w:rPr>
        <w:t>Lautsi</w:t>
      </w:r>
      <w:r w:rsidR="002C5B95">
        <w:rPr>
          <w:sz w:val="24"/>
          <w:szCs w:val="24"/>
        </w:rPr>
        <w:t xml:space="preserve"> </w:t>
      </w:r>
      <w:r w:rsidR="00ED7524">
        <w:rPr>
          <w:sz w:val="24"/>
          <w:szCs w:val="24"/>
        </w:rPr>
        <w:t xml:space="preserve">effectively </w:t>
      </w:r>
      <w:r w:rsidR="002C5B95">
        <w:rPr>
          <w:sz w:val="24"/>
          <w:szCs w:val="24"/>
        </w:rPr>
        <w:t>a</w:t>
      </w:r>
      <w:r w:rsidR="00ED7524">
        <w:rPr>
          <w:sz w:val="24"/>
          <w:szCs w:val="24"/>
        </w:rPr>
        <w:t>n assertion</w:t>
      </w:r>
      <w:r w:rsidRPr="006C5E3B">
        <w:rPr>
          <w:sz w:val="24"/>
          <w:szCs w:val="24"/>
        </w:rPr>
        <w:t xml:space="preserve"> that a crucifix on the wall of an Italian school </w:t>
      </w:r>
      <w:r w:rsidR="002C5B95">
        <w:rPr>
          <w:sz w:val="24"/>
          <w:szCs w:val="24"/>
        </w:rPr>
        <w:t>i</w:t>
      </w:r>
      <w:r w:rsidRPr="006C5E3B">
        <w:rPr>
          <w:sz w:val="24"/>
          <w:szCs w:val="24"/>
        </w:rPr>
        <w:t>s ‘an essentially passive symbol’</w:t>
      </w:r>
      <w:r>
        <w:rPr>
          <w:sz w:val="24"/>
          <w:szCs w:val="24"/>
        </w:rPr>
        <w:t>.</w:t>
      </w:r>
      <w:r>
        <w:rPr>
          <w:rStyle w:val="FootnoteReference"/>
          <w:sz w:val="24"/>
          <w:szCs w:val="24"/>
        </w:rPr>
        <w:footnoteReference w:id="59"/>
      </w:r>
      <w:r w:rsidRPr="006C5E3B">
        <w:rPr>
          <w:sz w:val="24"/>
          <w:szCs w:val="24"/>
        </w:rPr>
        <w:t xml:space="preserve"> </w:t>
      </w:r>
      <w:r w:rsidR="002C5B95">
        <w:rPr>
          <w:sz w:val="24"/>
          <w:szCs w:val="24"/>
        </w:rPr>
        <w:t>T</w:t>
      </w:r>
      <w:r>
        <w:rPr>
          <w:sz w:val="24"/>
          <w:szCs w:val="24"/>
        </w:rPr>
        <w:t>he Grand Chamber’s position is unequivocal: ‘A</w:t>
      </w:r>
      <w:r w:rsidRPr="004D330B">
        <w:rPr>
          <w:sz w:val="24"/>
          <w:szCs w:val="24"/>
        </w:rPr>
        <w:t xml:space="preserve"> crucifix on a wall is an essentially passive symbol and this point is of importance in the Court’s view. […] It cannot be deemed to have an influence on pupils comparable to that of didactic speech or participation in religious activities</w:t>
      </w:r>
      <w:r>
        <w:rPr>
          <w:sz w:val="24"/>
          <w:szCs w:val="24"/>
        </w:rPr>
        <w:t>’</w:t>
      </w:r>
      <w:r w:rsidRPr="004D330B">
        <w:rPr>
          <w:sz w:val="24"/>
          <w:szCs w:val="24"/>
        </w:rPr>
        <w:t>.</w:t>
      </w:r>
      <w:r w:rsidRPr="004D330B">
        <w:rPr>
          <w:rStyle w:val="FootnoteReference"/>
          <w:sz w:val="24"/>
          <w:szCs w:val="24"/>
        </w:rPr>
        <w:footnoteReference w:id="60"/>
      </w:r>
    </w:p>
    <w:p w14:paraId="5DC7D419" w14:textId="5E719467" w:rsidR="007D32DE" w:rsidRDefault="007D32DE" w:rsidP="004B3AA8">
      <w:pPr>
        <w:spacing w:after="0" w:line="480" w:lineRule="auto"/>
        <w:ind w:firstLine="720"/>
        <w:jc w:val="both"/>
        <w:rPr>
          <w:sz w:val="24"/>
          <w:szCs w:val="24"/>
        </w:rPr>
      </w:pPr>
      <w:r w:rsidRPr="006C5E3B">
        <w:rPr>
          <w:sz w:val="24"/>
          <w:szCs w:val="24"/>
        </w:rPr>
        <w:t xml:space="preserve">The Court’s reasoning in </w:t>
      </w:r>
      <w:r w:rsidRPr="00F314E0">
        <w:rPr>
          <w:i/>
          <w:sz w:val="24"/>
          <w:szCs w:val="24"/>
        </w:rPr>
        <w:t>Lautsi</w:t>
      </w:r>
      <w:r w:rsidRPr="006C5E3B">
        <w:rPr>
          <w:sz w:val="24"/>
          <w:szCs w:val="24"/>
        </w:rPr>
        <w:t xml:space="preserve"> has serious consequences, for the ECtHR has now ruled on the one hand that crucifixes (used in certain contexts) are passive and innocuous, whereas on the other hand Islamic clothing is </w:t>
      </w:r>
      <w:r>
        <w:rPr>
          <w:sz w:val="24"/>
          <w:szCs w:val="24"/>
        </w:rPr>
        <w:t xml:space="preserve">an </w:t>
      </w:r>
      <w:r w:rsidRPr="006C5E3B">
        <w:rPr>
          <w:sz w:val="24"/>
          <w:szCs w:val="24"/>
        </w:rPr>
        <w:t>active</w:t>
      </w:r>
      <w:r>
        <w:rPr>
          <w:sz w:val="24"/>
          <w:szCs w:val="24"/>
        </w:rPr>
        <w:t xml:space="preserve"> symbol in certain contexts</w:t>
      </w:r>
      <w:r w:rsidRPr="006C5E3B">
        <w:rPr>
          <w:sz w:val="24"/>
          <w:szCs w:val="24"/>
        </w:rPr>
        <w:t>, and th</w:t>
      </w:r>
      <w:r>
        <w:rPr>
          <w:sz w:val="24"/>
          <w:szCs w:val="24"/>
        </w:rPr>
        <w:t>erefore potentially pernicious</w:t>
      </w:r>
      <w:r w:rsidRPr="006C5E3B">
        <w:rPr>
          <w:sz w:val="24"/>
          <w:szCs w:val="24"/>
        </w:rPr>
        <w:t xml:space="preserve"> as a means of </w:t>
      </w:r>
      <w:r>
        <w:rPr>
          <w:sz w:val="24"/>
          <w:szCs w:val="24"/>
        </w:rPr>
        <w:t>proselytizing</w:t>
      </w:r>
      <w:r w:rsidRPr="006C5E3B">
        <w:rPr>
          <w:sz w:val="24"/>
          <w:szCs w:val="24"/>
        </w:rPr>
        <w:t>.</w:t>
      </w:r>
      <w:r w:rsidR="006840F5">
        <w:rPr>
          <w:sz w:val="24"/>
          <w:szCs w:val="24"/>
        </w:rPr>
        <w:t xml:space="preserve"> This is, as we have pointed out, a result of the</w:t>
      </w:r>
      <w:r w:rsidR="0011539A">
        <w:rPr>
          <w:sz w:val="24"/>
          <w:szCs w:val="24"/>
        </w:rPr>
        <w:t xml:space="preserve"> doctrine of the</w:t>
      </w:r>
      <w:r w:rsidR="006840F5">
        <w:rPr>
          <w:sz w:val="24"/>
          <w:szCs w:val="24"/>
        </w:rPr>
        <w:t xml:space="preserve"> margin of appreciation, although the</w:t>
      </w:r>
      <w:r w:rsidR="005D3299">
        <w:rPr>
          <w:sz w:val="24"/>
          <w:szCs w:val="24"/>
        </w:rPr>
        <w:t xml:space="preserve"> distinction between active and passive symbols</w:t>
      </w:r>
      <w:r w:rsidR="006840F5">
        <w:rPr>
          <w:sz w:val="24"/>
          <w:szCs w:val="24"/>
        </w:rPr>
        <w:t xml:space="preserve"> plays a substantial role</w:t>
      </w:r>
      <w:r w:rsidR="00ED7524">
        <w:rPr>
          <w:sz w:val="24"/>
          <w:szCs w:val="24"/>
        </w:rPr>
        <w:t xml:space="preserve"> in justifying the different decisions</w:t>
      </w:r>
      <w:r w:rsidR="006840F5">
        <w:rPr>
          <w:sz w:val="24"/>
          <w:szCs w:val="24"/>
        </w:rPr>
        <w:t>.</w:t>
      </w:r>
      <w:r w:rsidRPr="006C5E3B">
        <w:rPr>
          <w:sz w:val="24"/>
          <w:szCs w:val="24"/>
        </w:rPr>
        <w:t xml:space="preserve"> </w:t>
      </w:r>
      <w:r w:rsidR="006840F5">
        <w:rPr>
          <w:sz w:val="24"/>
          <w:szCs w:val="24"/>
        </w:rPr>
        <w:t>These conclusions are also partly motivated by</w:t>
      </w:r>
      <w:r w:rsidRPr="006C5E3B">
        <w:rPr>
          <w:sz w:val="24"/>
          <w:szCs w:val="24"/>
        </w:rPr>
        <w:t xml:space="preserve"> the </w:t>
      </w:r>
      <w:r>
        <w:rPr>
          <w:sz w:val="24"/>
          <w:szCs w:val="24"/>
        </w:rPr>
        <w:t xml:space="preserve">very </w:t>
      </w:r>
      <w:r w:rsidRPr="006C5E3B">
        <w:rPr>
          <w:sz w:val="24"/>
          <w:szCs w:val="24"/>
        </w:rPr>
        <w:t>different ways</w:t>
      </w:r>
      <w:r>
        <w:rPr>
          <w:sz w:val="24"/>
          <w:szCs w:val="24"/>
        </w:rPr>
        <w:t xml:space="preserve"> in which</w:t>
      </w:r>
      <w:r w:rsidRPr="006C5E3B">
        <w:rPr>
          <w:sz w:val="24"/>
          <w:szCs w:val="24"/>
        </w:rPr>
        <w:t xml:space="preserve"> the lack of evidence for </w:t>
      </w:r>
      <w:r>
        <w:rPr>
          <w:sz w:val="24"/>
          <w:szCs w:val="24"/>
        </w:rPr>
        <w:t>actual harm caused</w:t>
      </w:r>
      <w:r w:rsidRPr="006C5E3B">
        <w:rPr>
          <w:sz w:val="24"/>
          <w:szCs w:val="24"/>
        </w:rPr>
        <w:t xml:space="preserve"> is treated in the two cases: in </w:t>
      </w:r>
      <w:r w:rsidRPr="00FF6E30">
        <w:rPr>
          <w:i/>
          <w:sz w:val="24"/>
          <w:szCs w:val="24"/>
        </w:rPr>
        <w:t>Dahlab</w:t>
      </w:r>
      <w:r w:rsidRPr="006C5E3B">
        <w:rPr>
          <w:sz w:val="24"/>
          <w:szCs w:val="24"/>
        </w:rPr>
        <w:t>, despite there being no evidence one way or the other, ‘it cannot be denied outright that the wearing of a headscarf might have som</w:t>
      </w:r>
      <w:r>
        <w:rPr>
          <w:sz w:val="24"/>
          <w:szCs w:val="24"/>
        </w:rPr>
        <w:t>e kind of proselytising effect’.</w:t>
      </w:r>
      <w:r>
        <w:rPr>
          <w:rStyle w:val="FootnoteReference"/>
          <w:sz w:val="24"/>
          <w:szCs w:val="24"/>
        </w:rPr>
        <w:footnoteReference w:id="61"/>
      </w:r>
      <w:r>
        <w:rPr>
          <w:sz w:val="24"/>
          <w:szCs w:val="24"/>
        </w:rPr>
        <w:t xml:space="preserve"> That is, the burden of proof is to show that it is not possible for the symbol</w:t>
      </w:r>
      <w:r w:rsidR="006840F5">
        <w:rPr>
          <w:sz w:val="24"/>
          <w:szCs w:val="24"/>
        </w:rPr>
        <w:t xml:space="preserve"> to be harmful to third parties</w:t>
      </w:r>
      <w:r w:rsidR="002C5B95">
        <w:rPr>
          <w:sz w:val="24"/>
          <w:szCs w:val="24"/>
        </w:rPr>
        <w:t xml:space="preserve"> in the circumstances</w:t>
      </w:r>
      <w:r>
        <w:rPr>
          <w:sz w:val="24"/>
          <w:szCs w:val="24"/>
        </w:rPr>
        <w:t xml:space="preserve">. On the contrary, in </w:t>
      </w:r>
      <w:r w:rsidRPr="00FF6E30">
        <w:rPr>
          <w:i/>
          <w:sz w:val="24"/>
          <w:szCs w:val="24"/>
        </w:rPr>
        <w:t>Lautsi</w:t>
      </w:r>
      <w:r>
        <w:rPr>
          <w:sz w:val="24"/>
          <w:szCs w:val="24"/>
        </w:rPr>
        <w:t>,</w:t>
      </w:r>
      <w:r w:rsidRPr="006C5E3B">
        <w:rPr>
          <w:sz w:val="24"/>
          <w:szCs w:val="24"/>
        </w:rPr>
        <w:t xml:space="preserve"> the Grand Chamber s</w:t>
      </w:r>
      <w:r w:rsidR="000A7C4F">
        <w:rPr>
          <w:sz w:val="24"/>
          <w:szCs w:val="24"/>
        </w:rPr>
        <w:t>tates ‘T</w:t>
      </w:r>
      <w:r w:rsidRPr="006C5E3B">
        <w:rPr>
          <w:sz w:val="24"/>
          <w:szCs w:val="24"/>
        </w:rPr>
        <w:t>here is no evidence before the Court that the display of a religious symbol on classroom walls may have an influence on pupils and so it cannot reasonably be asserted that it does or does not have an effect on young persons. […] The applicant’s subjective perception is not in itself sufficient to establish a breach’</w:t>
      </w:r>
      <w:r>
        <w:rPr>
          <w:sz w:val="24"/>
          <w:szCs w:val="24"/>
        </w:rPr>
        <w:t>.</w:t>
      </w:r>
      <w:r>
        <w:rPr>
          <w:rStyle w:val="FootnoteReference"/>
          <w:sz w:val="24"/>
          <w:szCs w:val="24"/>
        </w:rPr>
        <w:footnoteReference w:id="62"/>
      </w:r>
      <w:r>
        <w:rPr>
          <w:sz w:val="24"/>
          <w:szCs w:val="24"/>
        </w:rPr>
        <w:t xml:space="preserve"> That is, the</w:t>
      </w:r>
      <w:r w:rsidR="008E59FD">
        <w:rPr>
          <w:sz w:val="24"/>
          <w:szCs w:val="24"/>
        </w:rPr>
        <w:t xml:space="preserve"> Grand Chamber seems to demand</w:t>
      </w:r>
      <w:r w:rsidR="006840F5">
        <w:rPr>
          <w:sz w:val="24"/>
          <w:szCs w:val="24"/>
        </w:rPr>
        <w:t xml:space="preserve"> that the applicant show</w:t>
      </w:r>
      <w:r>
        <w:rPr>
          <w:sz w:val="24"/>
          <w:szCs w:val="24"/>
        </w:rPr>
        <w:t xml:space="preserve"> the symbol may cause harm</w:t>
      </w:r>
      <w:r w:rsidR="006840F5">
        <w:rPr>
          <w:sz w:val="24"/>
          <w:szCs w:val="24"/>
        </w:rPr>
        <w:t xml:space="preserve"> and do so in a more substantial way than merely appealing to the ‘subjective perception’ of the third party</w:t>
      </w:r>
      <w:r>
        <w:rPr>
          <w:rFonts w:ascii="Calibri" w:hAnsi="Calibri"/>
          <w:sz w:val="24"/>
          <w:szCs w:val="24"/>
        </w:rPr>
        <w:t>—</w:t>
      </w:r>
      <w:r>
        <w:rPr>
          <w:sz w:val="24"/>
          <w:szCs w:val="24"/>
        </w:rPr>
        <w:t>a very different undertaking.</w:t>
      </w:r>
    </w:p>
    <w:p w14:paraId="5620AE9A" w14:textId="77777777" w:rsidR="007D32DE" w:rsidRDefault="007D32DE" w:rsidP="004B3AA8">
      <w:pPr>
        <w:spacing w:after="0" w:line="480" w:lineRule="auto"/>
        <w:rPr>
          <w:sz w:val="24"/>
          <w:szCs w:val="24"/>
        </w:rPr>
      </w:pPr>
    </w:p>
    <w:p w14:paraId="3ED73CE3" w14:textId="77777777" w:rsidR="007D32DE" w:rsidRPr="000A7C4F" w:rsidRDefault="007D32DE" w:rsidP="004B3AA8">
      <w:pPr>
        <w:spacing w:after="0" w:line="480" w:lineRule="auto"/>
        <w:rPr>
          <w:sz w:val="24"/>
          <w:szCs w:val="24"/>
        </w:rPr>
      </w:pPr>
      <w:r>
        <w:rPr>
          <w:sz w:val="24"/>
          <w:szCs w:val="24"/>
        </w:rPr>
        <w:t>[</w:t>
      </w:r>
      <w:r w:rsidR="007D273B">
        <w:rPr>
          <w:sz w:val="24"/>
          <w:szCs w:val="24"/>
        </w:rPr>
        <w:t>3.</w:t>
      </w:r>
      <w:r w:rsidR="00AA4911">
        <w:rPr>
          <w:sz w:val="24"/>
          <w:szCs w:val="24"/>
        </w:rPr>
        <w:t>3</w:t>
      </w:r>
      <w:r>
        <w:rPr>
          <w:sz w:val="24"/>
          <w:szCs w:val="24"/>
        </w:rPr>
        <w:t xml:space="preserve">] </w:t>
      </w:r>
      <w:r>
        <w:rPr>
          <w:i/>
          <w:sz w:val="24"/>
          <w:szCs w:val="24"/>
        </w:rPr>
        <w:t>Eweida</w:t>
      </w:r>
    </w:p>
    <w:p w14:paraId="62479C5E" w14:textId="41FA676F" w:rsidR="007D32DE" w:rsidRDefault="007D32DE" w:rsidP="004B3AA8">
      <w:pPr>
        <w:pStyle w:val="NormalWeb"/>
        <w:spacing w:before="0" w:after="0" w:line="480" w:lineRule="auto"/>
        <w:jc w:val="both"/>
        <w:rPr>
          <w:rStyle w:val="apple-converted-space"/>
          <w:color w:val="auto"/>
          <w:shd w:val="clear" w:color="auto" w:fill="FFFFFF"/>
        </w:rPr>
      </w:pPr>
      <w:r>
        <w:rPr>
          <w:color w:val="auto"/>
          <w:shd w:val="clear" w:color="auto" w:fill="FFFFFF"/>
        </w:rPr>
        <w:t xml:space="preserve">In contrast to the above, the approach of the ECtHR in </w:t>
      </w:r>
      <w:r>
        <w:rPr>
          <w:i/>
          <w:color w:val="auto"/>
          <w:shd w:val="clear" w:color="auto" w:fill="FFFFFF"/>
        </w:rPr>
        <w:t>Eweida</w:t>
      </w:r>
      <w:r w:rsidR="00A8407E">
        <w:rPr>
          <w:i/>
          <w:color w:val="auto"/>
          <w:shd w:val="clear" w:color="auto" w:fill="FFFFFF"/>
        </w:rPr>
        <w:t xml:space="preserve"> v UK</w:t>
      </w:r>
      <w:r w:rsidR="00A8407E" w:rsidRPr="003F3D2C">
        <w:rPr>
          <w:rStyle w:val="FootnoteReference"/>
          <w:color w:val="auto"/>
          <w:shd w:val="clear" w:color="auto" w:fill="FFFFFF"/>
        </w:rPr>
        <w:footnoteReference w:id="63"/>
      </w:r>
      <w:r w:rsidRPr="00CF194D">
        <w:rPr>
          <w:color w:val="auto"/>
          <w:shd w:val="clear" w:color="auto" w:fill="FFFFFF"/>
        </w:rPr>
        <w:t xml:space="preserve"> </w:t>
      </w:r>
      <w:r>
        <w:rPr>
          <w:color w:val="auto"/>
          <w:shd w:val="clear" w:color="auto" w:fill="FFFFFF"/>
        </w:rPr>
        <w:t xml:space="preserve">is refreshingly simple. When it comes to setting out the harm caused to individuals by Eweida’s wearing of a cross around her neck in the workplace, the Court merely notes that it has </w:t>
      </w:r>
      <w:r w:rsidR="003F681C">
        <w:rPr>
          <w:color w:val="auto"/>
          <w:shd w:val="clear" w:color="auto" w:fill="FFFFFF"/>
        </w:rPr>
        <w:t>heard</w:t>
      </w:r>
      <w:r>
        <w:rPr>
          <w:color w:val="auto"/>
          <w:shd w:val="clear" w:color="auto" w:fill="FFFFFF"/>
        </w:rPr>
        <w:t xml:space="preserve"> no evidence of this and moves on: ‘</w:t>
      </w:r>
      <w:r w:rsidRPr="008A36E1">
        <w:rPr>
          <w:color w:val="auto"/>
          <w:shd w:val="clear" w:color="auto" w:fill="FFFFFF"/>
        </w:rPr>
        <w:t>The Court therefore concludes that, in these circumstances where there is no evidence of any real encroachment on the interests of others, the domestic authorities failed sufficiently to protect the first applicant’s right to manifest her religion, in breach of the positive obligation under Article 9</w:t>
      </w:r>
      <w:r>
        <w:rPr>
          <w:color w:val="auto"/>
          <w:shd w:val="clear" w:color="auto" w:fill="FFFFFF"/>
        </w:rPr>
        <w:t>’</w:t>
      </w:r>
      <w:r>
        <w:rPr>
          <w:rStyle w:val="apple-converted-space"/>
          <w:color w:val="auto"/>
          <w:shd w:val="clear" w:color="auto" w:fill="FFFFFF"/>
        </w:rPr>
        <w:t>.</w:t>
      </w:r>
      <w:r>
        <w:rPr>
          <w:rStyle w:val="FootnoteReference"/>
          <w:color w:val="auto"/>
          <w:shd w:val="clear" w:color="auto" w:fill="FFFFFF"/>
        </w:rPr>
        <w:footnoteReference w:id="64"/>
      </w:r>
      <w:r>
        <w:rPr>
          <w:rStyle w:val="apple-converted-space"/>
          <w:color w:val="auto"/>
          <w:shd w:val="clear" w:color="auto" w:fill="FFFFFF"/>
        </w:rPr>
        <w:t xml:space="preserve"> No evidence was adduced before t</w:t>
      </w:r>
      <w:r w:rsidR="000A7C4F">
        <w:rPr>
          <w:rStyle w:val="apple-converted-space"/>
          <w:color w:val="auto"/>
          <w:shd w:val="clear" w:color="auto" w:fill="FFFFFF"/>
        </w:rPr>
        <w:t>he Court for any encroachment on</w:t>
      </w:r>
      <w:r>
        <w:rPr>
          <w:rStyle w:val="apple-converted-space"/>
          <w:color w:val="auto"/>
          <w:shd w:val="clear" w:color="auto" w:fill="FFFFFF"/>
        </w:rPr>
        <w:t xml:space="preserve"> any kind of right, and so the judgment concludes in a straight-forward manner that therefore no harm can be said to have occurred.</w:t>
      </w:r>
    </w:p>
    <w:p w14:paraId="70469C0F" w14:textId="08B33235" w:rsidR="007D32DE" w:rsidRDefault="007D32DE" w:rsidP="004B3AA8">
      <w:pPr>
        <w:pStyle w:val="NormalWeb"/>
        <w:spacing w:before="0" w:after="0" w:line="480" w:lineRule="auto"/>
        <w:jc w:val="both"/>
        <w:rPr>
          <w:rStyle w:val="apple-converted-space"/>
          <w:color w:val="auto"/>
          <w:shd w:val="clear" w:color="auto" w:fill="FFFFFF"/>
        </w:rPr>
      </w:pPr>
      <w:r>
        <w:rPr>
          <w:rStyle w:val="apple-converted-space"/>
          <w:color w:val="auto"/>
          <w:shd w:val="clear" w:color="auto" w:fill="FFFFFF"/>
        </w:rPr>
        <w:tab/>
        <w:t xml:space="preserve">This, then, is a third approach to the question of evidence. In </w:t>
      </w:r>
      <w:r>
        <w:rPr>
          <w:rStyle w:val="apple-converted-space"/>
          <w:i/>
          <w:color w:val="auto"/>
          <w:shd w:val="clear" w:color="auto" w:fill="FFFFFF"/>
        </w:rPr>
        <w:t>Dahlab</w:t>
      </w:r>
      <w:r>
        <w:rPr>
          <w:rStyle w:val="apple-converted-space"/>
          <w:color w:val="auto"/>
          <w:shd w:val="clear" w:color="auto" w:fill="FFFFFF"/>
        </w:rPr>
        <w:t>, the lack of evidence was seen as irrelevant because the wearing of the headscarf in an education</w:t>
      </w:r>
      <w:r w:rsidR="000A7C4F">
        <w:rPr>
          <w:rStyle w:val="apple-converted-space"/>
          <w:color w:val="auto"/>
          <w:shd w:val="clear" w:color="auto" w:fill="FFFFFF"/>
        </w:rPr>
        <w:t>al context met</w:t>
      </w:r>
      <w:r w:rsidR="008E59FD">
        <w:rPr>
          <w:rStyle w:val="apple-converted-space"/>
          <w:color w:val="auto"/>
          <w:shd w:val="clear" w:color="auto" w:fill="FFFFFF"/>
        </w:rPr>
        <w:t xml:space="preserve"> </w:t>
      </w:r>
      <w:r>
        <w:rPr>
          <w:rStyle w:val="apple-converted-space"/>
          <w:color w:val="auto"/>
          <w:shd w:val="clear" w:color="auto" w:fill="FFFFFF"/>
        </w:rPr>
        <w:t xml:space="preserve">the </w:t>
      </w:r>
      <w:r w:rsidR="000A7C4F">
        <w:rPr>
          <w:rStyle w:val="apple-converted-space"/>
          <w:color w:val="auto"/>
          <w:shd w:val="clear" w:color="auto" w:fill="FFFFFF"/>
        </w:rPr>
        <w:t>two necessary conditions it set</w:t>
      </w:r>
      <w:r>
        <w:rPr>
          <w:rStyle w:val="apple-converted-space"/>
          <w:color w:val="auto"/>
          <w:shd w:val="clear" w:color="auto" w:fill="FFFFFF"/>
        </w:rPr>
        <w:t xml:space="preserve"> out for </w:t>
      </w:r>
      <w:r w:rsidR="002C5B95">
        <w:rPr>
          <w:rStyle w:val="apple-converted-space"/>
          <w:color w:val="auto"/>
          <w:shd w:val="clear" w:color="auto" w:fill="FFFFFF"/>
        </w:rPr>
        <w:t xml:space="preserve">potentially </w:t>
      </w:r>
      <w:r>
        <w:rPr>
          <w:rStyle w:val="apple-converted-space"/>
          <w:color w:val="auto"/>
          <w:shd w:val="clear" w:color="auto" w:fill="FFFFFF"/>
        </w:rPr>
        <w:t xml:space="preserve">causing harm, and so harm to individuals could reasonably be said to </w:t>
      </w:r>
      <w:r w:rsidR="00BD7003">
        <w:rPr>
          <w:rStyle w:val="apple-converted-space"/>
          <w:color w:val="auto"/>
          <w:shd w:val="clear" w:color="auto" w:fill="FFFFFF"/>
        </w:rPr>
        <w:t xml:space="preserve">be </w:t>
      </w:r>
      <w:r w:rsidR="00C007B8">
        <w:rPr>
          <w:rStyle w:val="apple-converted-space"/>
          <w:color w:val="auto"/>
          <w:shd w:val="clear" w:color="auto" w:fill="FFFFFF"/>
        </w:rPr>
        <w:t>possible</w:t>
      </w:r>
      <w:r>
        <w:rPr>
          <w:rStyle w:val="apple-converted-space"/>
          <w:color w:val="auto"/>
          <w:shd w:val="clear" w:color="auto" w:fill="FFFFFF"/>
        </w:rPr>
        <w:t xml:space="preserve"> despite the lack of evidence. In </w:t>
      </w:r>
      <w:r>
        <w:rPr>
          <w:rStyle w:val="apple-converted-space"/>
          <w:i/>
          <w:color w:val="auto"/>
          <w:shd w:val="clear" w:color="auto" w:fill="FFFFFF"/>
        </w:rPr>
        <w:t>Lautsi</w:t>
      </w:r>
      <w:r>
        <w:rPr>
          <w:rStyle w:val="apple-converted-space"/>
          <w:color w:val="auto"/>
          <w:shd w:val="clear" w:color="auto" w:fill="FFFFFF"/>
        </w:rPr>
        <w:t>, the Grand Chamber characteri</w:t>
      </w:r>
      <w:r w:rsidR="000A7C4F">
        <w:rPr>
          <w:rStyle w:val="apple-converted-space"/>
          <w:color w:val="auto"/>
          <w:shd w:val="clear" w:color="auto" w:fill="FFFFFF"/>
        </w:rPr>
        <w:t>z</w:t>
      </w:r>
      <w:r w:rsidR="008E59FD">
        <w:rPr>
          <w:rStyle w:val="apple-converted-space"/>
          <w:color w:val="auto"/>
          <w:shd w:val="clear" w:color="auto" w:fill="FFFFFF"/>
        </w:rPr>
        <w:t>ed</w:t>
      </w:r>
      <w:r>
        <w:rPr>
          <w:rStyle w:val="apple-converted-space"/>
          <w:color w:val="auto"/>
          <w:shd w:val="clear" w:color="auto" w:fill="FFFFFF"/>
        </w:rPr>
        <w:t xml:space="preserve"> the crucifix on classroom walls as an ‘essentially passive’ symbol</w:t>
      </w:r>
      <w:r w:rsidR="00735DD1">
        <w:rPr>
          <w:rStyle w:val="apple-converted-space"/>
          <w:color w:val="auto"/>
          <w:shd w:val="clear" w:color="auto" w:fill="FFFFFF"/>
        </w:rPr>
        <w:t>,</w:t>
      </w:r>
      <w:r w:rsidR="000A7C4F">
        <w:rPr>
          <w:rStyle w:val="FootnoteReference"/>
          <w:color w:val="auto"/>
          <w:shd w:val="clear" w:color="auto" w:fill="FFFFFF"/>
        </w:rPr>
        <w:footnoteReference w:id="65"/>
      </w:r>
      <w:r>
        <w:rPr>
          <w:rStyle w:val="apple-converted-space"/>
          <w:color w:val="auto"/>
          <w:shd w:val="clear" w:color="auto" w:fill="FFFFFF"/>
        </w:rPr>
        <w:t xml:space="preserve"> noting that there was no evidence to the contrary</w:t>
      </w:r>
      <w:r w:rsidR="00BD7003">
        <w:rPr>
          <w:rStyle w:val="apple-converted-space"/>
          <w:color w:val="auto"/>
          <w:shd w:val="clear" w:color="auto" w:fill="FFFFFF"/>
        </w:rPr>
        <w:t xml:space="preserve"> (beyond discounted ‘subjective perception’)</w:t>
      </w:r>
      <w:r w:rsidR="000A7C4F">
        <w:rPr>
          <w:rStyle w:val="apple-converted-space"/>
          <w:color w:val="auto"/>
          <w:shd w:val="clear" w:color="auto" w:fill="FFFFFF"/>
        </w:rPr>
        <w:t>, and so concluded that harm to individuals wa</w:t>
      </w:r>
      <w:r>
        <w:rPr>
          <w:rStyle w:val="apple-converted-space"/>
          <w:color w:val="auto"/>
          <w:shd w:val="clear" w:color="auto" w:fill="FFFFFF"/>
        </w:rPr>
        <w:t xml:space="preserve">s in principle unlikely from this kind of symbol. Finally, in </w:t>
      </w:r>
      <w:r>
        <w:rPr>
          <w:rStyle w:val="apple-converted-space"/>
          <w:i/>
          <w:color w:val="auto"/>
          <w:shd w:val="clear" w:color="auto" w:fill="FFFFFF"/>
        </w:rPr>
        <w:t>Eweida</w:t>
      </w:r>
      <w:r>
        <w:rPr>
          <w:rStyle w:val="apple-converted-space"/>
          <w:color w:val="auto"/>
          <w:shd w:val="clear" w:color="auto" w:fill="FFFFFF"/>
        </w:rPr>
        <w:t xml:space="preserve">, lack of evidence </w:t>
      </w:r>
      <w:r w:rsidR="009E7DE6">
        <w:rPr>
          <w:rStyle w:val="apple-converted-space"/>
          <w:color w:val="auto"/>
          <w:shd w:val="clear" w:color="auto" w:fill="FFFFFF"/>
        </w:rPr>
        <w:t xml:space="preserve">is </w:t>
      </w:r>
      <w:r>
        <w:rPr>
          <w:rStyle w:val="apple-converted-space"/>
          <w:color w:val="auto"/>
          <w:shd w:val="clear" w:color="auto" w:fill="FFFFFF"/>
        </w:rPr>
        <w:t>used to discount harm’s having actually occurred in this case</w:t>
      </w:r>
      <w:r w:rsidR="000A7C4F">
        <w:rPr>
          <w:rStyle w:val="apple-converted-space"/>
          <w:color w:val="auto"/>
          <w:shd w:val="clear" w:color="auto" w:fill="FFFFFF"/>
        </w:rPr>
        <w:t xml:space="preserve">, and there </w:t>
      </w:r>
      <w:r w:rsidR="009E7DE6">
        <w:rPr>
          <w:rStyle w:val="apple-converted-space"/>
          <w:color w:val="auto"/>
          <w:shd w:val="clear" w:color="auto" w:fill="FFFFFF"/>
        </w:rPr>
        <w:t xml:space="preserve">is </w:t>
      </w:r>
      <w:r w:rsidR="00BD7003">
        <w:rPr>
          <w:rStyle w:val="apple-converted-space"/>
          <w:color w:val="auto"/>
          <w:shd w:val="clear" w:color="auto" w:fill="FFFFFF"/>
        </w:rPr>
        <w:t>no consideration at all of whether harm was otherwise possible or likely</w:t>
      </w:r>
      <w:r w:rsidR="000A7C4F">
        <w:rPr>
          <w:rStyle w:val="apple-converted-space"/>
          <w:color w:val="auto"/>
          <w:shd w:val="clear" w:color="auto" w:fill="FFFFFF"/>
        </w:rPr>
        <w:t xml:space="preserve">. Its approach to harm </w:t>
      </w:r>
      <w:r w:rsidR="009E7DE6">
        <w:rPr>
          <w:rStyle w:val="apple-converted-space"/>
          <w:color w:val="auto"/>
          <w:shd w:val="clear" w:color="auto" w:fill="FFFFFF"/>
        </w:rPr>
        <w:t xml:space="preserve">is </w:t>
      </w:r>
      <w:r>
        <w:rPr>
          <w:rStyle w:val="apple-converted-space"/>
          <w:color w:val="auto"/>
          <w:shd w:val="clear" w:color="auto" w:fill="FFFFFF"/>
        </w:rPr>
        <w:t>completely evidence-dri</w:t>
      </w:r>
      <w:r w:rsidR="008E59FD">
        <w:rPr>
          <w:rStyle w:val="apple-converted-space"/>
          <w:color w:val="auto"/>
          <w:shd w:val="clear" w:color="auto" w:fill="FFFFFF"/>
        </w:rPr>
        <w:t>ven without recourse to general</w:t>
      </w:r>
      <w:r>
        <w:rPr>
          <w:rStyle w:val="apple-converted-space"/>
          <w:color w:val="auto"/>
          <w:shd w:val="clear" w:color="auto" w:fill="FFFFFF"/>
        </w:rPr>
        <w:t xml:space="preserve"> principles. One reason </w:t>
      </w:r>
      <w:r w:rsidR="008E59FD">
        <w:rPr>
          <w:rStyle w:val="apple-converted-space"/>
          <w:color w:val="auto"/>
          <w:shd w:val="clear" w:color="auto" w:fill="FFFFFF"/>
        </w:rPr>
        <w:t>for this difference</w:t>
      </w:r>
      <w:r>
        <w:rPr>
          <w:rStyle w:val="apple-converted-space"/>
          <w:color w:val="auto"/>
          <w:shd w:val="clear" w:color="auto" w:fill="FFFFFF"/>
        </w:rPr>
        <w:t xml:space="preserve"> is the very different context: </w:t>
      </w:r>
      <w:r w:rsidR="000A7C4F">
        <w:rPr>
          <w:rStyle w:val="apple-converted-space"/>
          <w:color w:val="auto"/>
          <w:shd w:val="clear" w:color="auto" w:fill="FFFFFF"/>
        </w:rPr>
        <w:t xml:space="preserve">the fact that this case </w:t>
      </w:r>
      <w:r w:rsidR="009E7DE6">
        <w:rPr>
          <w:rStyle w:val="apple-converted-space"/>
          <w:color w:val="auto"/>
          <w:shd w:val="clear" w:color="auto" w:fill="FFFFFF"/>
        </w:rPr>
        <w:t xml:space="preserve">concerns </w:t>
      </w:r>
      <w:r>
        <w:rPr>
          <w:rStyle w:val="apple-converted-space"/>
          <w:color w:val="auto"/>
          <w:shd w:val="clear" w:color="auto" w:fill="FFFFFF"/>
        </w:rPr>
        <w:t>consenting customers, r</w:t>
      </w:r>
      <w:r w:rsidR="000A7C4F">
        <w:rPr>
          <w:rStyle w:val="apple-converted-space"/>
          <w:color w:val="auto"/>
          <w:shd w:val="clear" w:color="auto" w:fill="FFFFFF"/>
        </w:rPr>
        <w:t xml:space="preserve">ather than young children, </w:t>
      </w:r>
      <w:r w:rsidR="009E7DE6">
        <w:rPr>
          <w:rStyle w:val="apple-converted-space"/>
          <w:color w:val="auto"/>
          <w:shd w:val="clear" w:color="auto" w:fill="FFFFFF"/>
        </w:rPr>
        <w:t xml:space="preserve">means </w:t>
      </w:r>
      <w:r w:rsidR="000A7C4F">
        <w:rPr>
          <w:rStyle w:val="apple-converted-space"/>
          <w:color w:val="auto"/>
          <w:shd w:val="clear" w:color="auto" w:fill="FFFFFF"/>
        </w:rPr>
        <w:t xml:space="preserve">that the Court </w:t>
      </w:r>
      <w:r w:rsidR="009E7DE6">
        <w:rPr>
          <w:rStyle w:val="apple-converted-space"/>
          <w:color w:val="auto"/>
          <w:shd w:val="clear" w:color="auto" w:fill="FFFFFF"/>
        </w:rPr>
        <w:t xml:space="preserve">can </w:t>
      </w:r>
      <w:r>
        <w:rPr>
          <w:rStyle w:val="apple-converted-space"/>
          <w:color w:val="auto"/>
          <w:shd w:val="clear" w:color="auto" w:fill="FFFFFF"/>
        </w:rPr>
        <w:t>be less anxious about the question of harm</w:t>
      </w:r>
      <w:r w:rsidR="000A7C4F">
        <w:rPr>
          <w:rStyle w:val="apple-converted-space"/>
          <w:color w:val="auto"/>
          <w:shd w:val="clear" w:color="auto" w:fill="FFFFFF"/>
        </w:rPr>
        <w:t>’s</w:t>
      </w:r>
      <w:r>
        <w:rPr>
          <w:rStyle w:val="apple-converted-space"/>
          <w:color w:val="auto"/>
          <w:shd w:val="clear" w:color="auto" w:fill="FFFFFF"/>
        </w:rPr>
        <w:t xml:space="preserve"> occurring without any reports or complaints of it. </w:t>
      </w:r>
    </w:p>
    <w:p w14:paraId="5FDDEA73" w14:textId="04007A5E" w:rsidR="007D32DE" w:rsidRPr="008F7542" w:rsidRDefault="007D32DE" w:rsidP="004B3AA8">
      <w:pPr>
        <w:pStyle w:val="NormalWeb"/>
        <w:spacing w:before="0" w:after="0" w:line="480" w:lineRule="auto"/>
        <w:ind w:firstLine="720"/>
        <w:jc w:val="both"/>
        <w:rPr>
          <w:rStyle w:val="apple-converted-space"/>
          <w:color w:val="auto"/>
          <w:shd w:val="clear" w:color="auto" w:fill="FFFFFF"/>
        </w:rPr>
      </w:pPr>
      <w:r>
        <w:rPr>
          <w:rStyle w:val="apple-converted-space"/>
          <w:color w:val="auto"/>
          <w:shd w:val="clear" w:color="auto" w:fill="FFFFFF"/>
        </w:rPr>
        <w:t xml:space="preserve">Therefore, in </w:t>
      </w:r>
      <w:r>
        <w:rPr>
          <w:rStyle w:val="apple-converted-space"/>
          <w:i/>
          <w:color w:val="auto"/>
          <w:shd w:val="clear" w:color="auto" w:fill="FFFFFF"/>
        </w:rPr>
        <w:t>Eweida</w:t>
      </w:r>
      <w:r w:rsidR="000A7C4F">
        <w:rPr>
          <w:rStyle w:val="apple-converted-space"/>
          <w:color w:val="auto"/>
          <w:shd w:val="clear" w:color="auto" w:fill="FFFFFF"/>
        </w:rPr>
        <w:t xml:space="preserve">, the ECtHR </w:t>
      </w:r>
      <w:r w:rsidR="009E7DE6">
        <w:rPr>
          <w:rStyle w:val="apple-converted-space"/>
          <w:color w:val="auto"/>
          <w:shd w:val="clear" w:color="auto" w:fill="FFFFFF"/>
        </w:rPr>
        <w:t xml:space="preserve">concludes </w:t>
      </w:r>
      <w:r>
        <w:rPr>
          <w:rStyle w:val="apple-converted-space"/>
          <w:color w:val="auto"/>
          <w:shd w:val="clear" w:color="auto" w:fill="FFFFFF"/>
        </w:rPr>
        <w:t>that harm to individuals did not occur on this occasion in this set of circumstances; no general conclusions about the causal relation of the nature of th</w:t>
      </w:r>
      <w:r w:rsidR="008E59FD">
        <w:rPr>
          <w:rStyle w:val="apple-converted-space"/>
          <w:color w:val="auto"/>
          <w:shd w:val="clear" w:color="auto" w:fill="FFFFFF"/>
        </w:rPr>
        <w:t>e symbol to</w:t>
      </w:r>
      <w:r w:rsidR="00710E0B">
        <w:rPr>
          <w:rStyle w:val="apple-converted-space"/>
          <w:color w:val="auto"/>
          <w:shd w:val="clear" w:color="auto" w:fill="FFFFFF"/>
        </w:rPr>
        <w:t xml:space="preserve"> t</w:t>
      </w:r>
      <w:r w:rsidR="000A7C4F">
        <w:rPr>
          <w:rStyle w:val="apple-converted-space"/>
          <w:color w:val="auto"/>
          <w:shd w:val="clear" w:color="auto" w:fill="FFFFFF"/>
        </w:rPr>
        <w:t xml:space="preserve">hird-party rights </w:t>
      </w:r>
      <w:r w:rsidR="009E7DE6">
        <w:rPr>
          <w:rStyle w:val="apple-converted-space"/>
          <w:color w:val="auto"/>
          <w:shd w:val="clear" w:color="auto" w:fill="FFFFFF"/>
        </w:rPr>
        <w:t xml:space="preserve">are </w:t>
      </w:r>
      <w:r w:rsidR="00710E0B">
        <w:rPr>
          <w:rStyle w:val="apple-converted-space"/>
          <w:color w:val="auto"/>
          <w:shd w:val="clear" w:color="auto" w:fill="FFFFFF"/>
        </w:rPr>
        <w:t>drawn.</w:t>
      </w:r>
    </w:p>
    <w:p w14:paraId="5F78397B" w14:textId="77777777" w:rsidR="007D32DE" w:rsidRDefault="007D32DE" w:rsidP="004B3AA8">
      <w:pPr>
        <w:spacing w:after="0" w:line="480" w:lineRule="auto"/>
        <w:rPr>
          <w:sz w:val="24"/>
          <w:szCs w:val="24"/>
        </w:rPr>
      </w:pPr>
    </w:p>
    <w:p w14:paraId="22421F9E" w14:textId="77777777" w:rsidR="007D32DE" w:rsidRPr="00CB5AA8" w:rsidRDefault="007D32DE" w:rsidP="004B3AA8">
      <w:pPr>
        <w:spacing w:after="0" w:line="480" w:lineRule="auto"/>
        <w:rPr>
          <w:sz w:val="24"/>
          <w:szCs w:val="24"/>
        </w:rPr>
      </w:pPr>
      <w:r>
        <w:rPr>
          <w:sz w:val="24"/>
          <w:szCs w:val="24"/>
        </w:rPr>
        <w:t>[</w:t>
      </w:r>
      <w:r w:rsidR="007D273B">
        <w:rPr>
          <w:sz w:val="24"/>
          <w:szCs w:val="24"/>
        </w:rPr>
        <w:t>3.</w:t>
      </w:r>
      <w:r w:rsidR="00AA4911">
        <w:rPr>
          <w:sz w:val="24"/>
          <w:szCs w:val="24"/>
        </w:rPr>
        <w:t>4</w:t>
      </w:r>
      <w:r>
        <w:rPr>
          <w:sz w:val="24"/>
          <w:szCs w:val="24"/>
        </w:rPr>
        <w:t xml:space="preserve">] </w:t>
      </w:r>
      <w:r>
        <w:rPr>
          <w:i/>
          <w:sz w:val="24"/>
          <w:szCs w:val="24"/>
        </w:rPr>
        <w:t>Ebrahimian</w:t>
      </w:r>
      <w:r w:rsidR="000A7C4F" w:rsidRPr="00BD7003">
        <w:rPr>
          <w:rStyle w:val="FootnoteReference"/>
        </w:rPr>
        <w:footnoteReference w:id="66"/>
      </w:r>
    </w:p>
    <w:p w14:paraId="5DC3B482" w14:textId="612DB801" w:rsidR="007D32DE" w:rsidRDefault="007D32DE" w:rsidP="004B3AA8">
      <w:pPr>
        <w:pStyle w:val="NormalWeb"/>
        <w:spacing w:before="0" w:after="0" w:line="480" w:lineRule="auto"/>
        <w:jc w:val="both"/>
        <w:rPr>
          <w:color w:val="auto"/>
        </w:rPr>
      </w:pPr>
      <w:r>
        <w:rPr>
          <w:i/>
          <w:color w:val="auto"/>
        </w:rPr>
        <w:t>Ebrahimian v France</w:t>
      </w:r>
      <w:r>
        <w:rPr>
          <w:color w:val="auto"/>
        </w:rPr>
        <w:t xml:space="preserve"> returns to the question of Islamic headwear</w:t>
      </w:r>
      <w:r>
        <w:rPr>
          <w:rFonts w:ascii="Calibri" w:hAnsi="Calibri"/>
          <w:color w:val="auto"/>
        </w:rPr>
        <w:t>—</w:t>
      </w:r>
      <w:r>
        <w:rPr>
          <w:color w:val="auto"/>
        </w:rPr>
        <w:t>this time</w:t>
      </w:r>
      <w:r w:rsidR="00C007B8">
        <w:rPr>
          <w:color w:val="auto"/>
        </w:rPr>
        <w:t xml:space="preserve"> </w:t>
      </w:r>
      <w:r>
        <w:rPr>
          <w:color w:val="auto"/>
        </w:rPr>
        <w:t>outside an educational context. The case concerns a ‘social assistant’ in a Paris hospital. The hospital refused to renew Ebrahimian’s contract as a disciplinary measure because she had refused to stop wearing an Islamic headscarf, and this had given rise to complaints. According to the French regulations cited in the case, with whic</w:t>
      </w:r>
      <w:r w:rsidR="000A7C4F">
        <w:rPr>
          <w:color w:val="auto"/>
        </w:rPr>
        <w:t>h, in general, the ECtHR concurred</w:t>
      </w:r>
      <w:r>
        <w:rPr>
          <w:color w:val="auto"/>
        </w:rPr>
        <w:t>, the decision to restrict the wea</w:t>
      </w:r>
      <w:r w:rsidR="000A7C4F">
        <w:rPr>
          <w:color w:val="auto"/>
        </w:rPr>
        <w:t>ring of Ebrahimian’s headscarf wa</w:t>
      </w:r>
      <w:r>
        <w:rPr>
          <w:color w:val="auto"/>
        </w:rPr>
        <w:t>s made on the basis of ‘among other things’, ‘the ostentatious character of this symbol’, ‘the nature of the functions conferred upon the employee’ and ‘the degree of vulnerability or sensibility of the public-service users, such as pupils or patients’.</w:t>
      </w:r>
      <w:r>
        <w:rPr>
          <w:rStyle w:val="FootnoteReference"/>
          <w:color w:val="auto"/>
        </w:rPr>
        <w:footnoteReference w:id="67"/>
      </w:r>
      <w:r>
        <w:rPr>
          <w:color w:val="auto"/>
        </w:rPr>
        <w:t xml:space="preserve"> With this in mind, the Court then frames the question of harm in terms of the necessary respect and tolerance required of third-party religious beliefs (so as to ‘assure respect for the beliefs of each’</w:t>
      </w:r>
      <w:r>
        <w:rPr>
          <w:rStyle w:val="FootnoteReference"/>
          <w:color w:val="auto"/>
        </w:rPr>
        <w:footnoteReference w:id="68"/>
      </w:r>
      <w:r>
        <w:rPr>
          <w:color w:val="auto"/>
        </w:rPr>
        <w:t xml:space="preserve">). In the French context, such necessary respect and tolerance is expressed in terms of a principle of neutrality: Ebrahimian’s wearing the </w:t>
      </w:r>
      <w:r w:rsidR="00320D24">
        <w:rPr>
          <w:color w:val="auto"/>
        </w:rPr>
        <w:t xml:space="preserve">headscarf </w:t>
      </w:r>
      <w:r>
        <w:rPr>
          <w:color w:val="auto"/>
        </w:rPr>
        <w:t xml:space="preserve">contravened, according to both the French authorities and the ECtHR, this principle of neutrality; </w:t>
      </w:r>
      <w:r w:rsidR="00BD7003">
        <w:rPr>
          <w:color w:val="auto"/>
        </w:rPr>
        <w:t>it</w:t>
      </w:r>
      <w:r>
        <w:rPr>
          <w:color w:val="auto"/>
        </w:rPr>
        <w:t xml:space="preserve"> was perceived as partial, for she wore ‘a symbol that marked her as belonging to one religion’.</w:t>
      </w:r>
      <w:r>
        <w:rPr>
          <w:rStyle w:val="FootnoteReference"/>
          <w:color w:val="auto"/>
        </w:rPr>
        <w:footnoteReference w:id="69"/>
      </w:r>
    </w:p>
    <w:p w14:paraId="37F0BD56" w14:textId="77777777" w:rsidR="007D32DE" w:rsidRPr="003F1F52" w:rsidRDefault="00DA69C2" w:rsidP="004B3AA8">
      <w:pPr>
        <w:pStyle w:val="NormalWeb"/>
        <w:spacing w:before="0" w:after="0" w:line="480" w:lineRule="auto"/>
        <w:ind w:firstLine="720"/>
        <w:jc w:val="both"/>
        <w:rPr>
          <w:color w:val="auto"/>
        </w:rPr>
      </w:pPr>
      <w:r>
        <w:rPr>
          <w:color w:val="auto"/>
        </w:rPr>
        <w:t xml:space="preserve">The concept of neutrality </w:t>
      </w:r>
      <w:r w:rsidR="007D32DE">
        <w:rPr>
          <w:color w:val="auto"/>
        </w:rPr>
        <w:t>used</w:t>
      </w:r>
      <w:r>
        <w:rPr>
          <w:color w:val="auto"/>
        </w:rPr>
        <w:t xml:space="preserve"> here</w:t>
      </w:r>
      <w:r w:rsidR="007D32DE">
        <w:rPr>
          <w:color w:val="auto"/>
        </w:rPr>
        <w:t xml:space="preserve"> is a rich one, emerging out of a long tradition of French </w:t>
      </w:r>
      <w:r w:rsidR="007D32DE">
        <w:rPr>
          <w:i/>
          <w:color w:val="auto"/>
        </w:rPr>
        <w:t>la</w:t>
      </w:r>
      <w:r w:rsidR="007D32DE">
        <w:rPr>
          <w:rFonts w:ascii="Calibri" w:hAnsi="Calibri"/>
          <w:i/>
          <w:color w:val="auto"/>
        </w:rPr>
        <w:t>ï</w:t>
      </w:r>
      <w:r w:rsidR="007D32DE">
        <w:rPr>
          <w:i/>
          <w:color w:val="auto"/>
        </w:rPr>
        <w:t>cité</w:t>
      </w:r>
      <w:r w:rsidR="007D32DE">
        <w:rPr>
          <w:color w:val="auto"/>
        </w:rPr>
        <w:t xml:space="preserve">. It is, moreover, a concept primarily </w:t>
      </w:r>
      <w:r>
        <w:rPr>
          <w:color w:val="auto"/>
        </w:rPr>
        <w:t>used</w:t>
      </w:r>
      <w:r w:rsidR="007D32DE">
        <w:rPr>
          <w:color w:val="auto"/>
        </w:rPr>
        <w:t xml:space="preserve"> to prevent collective harm</w:t>
      </w:r>
      <w:r w:rsidR="007D32DE">
        <w:rPr>
          <w:rFonts w:ascii="Calibri" w:hAnsi="Calibri"/>
          <w:color w:val="auto"/>
        </w:rPr>
        <w:t>—</w:t>
      </w:r>
      <w:r w:rsidR="007D32DE">
        <w:rPr>
          <w:color w:val="auto"/>
        </w:rPr>
        <w:t>that i</w:t>
      </w:r>
      <w:r w:rsidR="00BD7003">
        <w:rPr>
          <w:color w:val="auto"/>
        </w:rPr>
        <w:t>s, to hinder disturbances to</w:t>
      </w:r>
      <w:r w:rsidR="007D32DE">
        <w:rPr>
          <w:color w:val="auto"/>
        </w:rPr>
        <w:t xml:space="preserve"> public order and morality</w:t>
      </w:r>
      <w:r w:rsidR="00BD7003">
        <w:rPr>
          <w:color w:val="auto"/>
        </w:rPr>
        <w:t>, as</w:t>
      </w:r>
      <w:r w:rsidR="000A7C4F">
        <w:rPr>
          <w:color w:val="auto"/>
        </w:rPr>
        <w:t xml:space="preserve"> mentioned by Article 9(</w:t>
      </w:r>
      <w:r w:rsidR="007D32DE">
        <w:rPr>
          <w:color w:val="auto"/>
        </w:rPr>
        <w:t>2</w:t>
      </w:r>
      <w:r w:rsidR="000A7C4F">
        <w:rPr>
          <w:color w:val="auto"/>
        </w:rPr>
        <w:t>)</w:t>
      </w:r>
      <w:r w:rsidR="007D32DE">
        <w:rPr>
          <w:color w:val="auto"/>
        </w:rPr>
        <w:t>. To this end, the judgment of the ECtHR puts its emphasis on the way in whi</w:t>
      </w:r>
      <w:r w:rsidR="003633EE">
        <w:rPr>
          <w:color w:val="auto"/>
        </w:rPr>
        <w:t>ch the principle of neutrality ‘</w:t>
      </w:r>
      <w:r w:rsidR="007D32DE">
        <w:rPr>
          <w:color w:val="auto"/>
        </w:rPr>
        <w:t>assure[s] public order, religious peace and to</w:t>
      </w:r>
      <w:r w:rsidR="003633EE">
        <w:rPr>
          <w:color w:val="auto"/>
        </w:rPr>
        <w:t>lerance in a democratic society’</w:t>
      </w:r>
      <w:r w:rsidR="007D32DE">
        <w:rPr>
          <w:color w:val="auto"/>
        </w:rPr>
        <w:t>.</w:t>
      </w:r>
      <w:r w:rsidR="007D32DE">
        <w:rPr>
          <w:rStyle w:val="FootnoteReference"/>
          <w:color w:val="auto"/>
        </w:rPr>
        <w:footnoteReference w:id="70"/>
      </w:r>
      <w:r w:rsidR="007D32DE">
        <w:rPr>
          <w:color w:val="auto"/>
        </w:rPr>
        <w:t xml:space="preserve"> Nevertheless, an element of protection from individual harm is involved here</w:t>
      </w:r>
      <w:r>
        <w:rPr>
          <w:color w:val="auto"/>
        </w:rPr>
        <w:t>:</w:t>
      </w:r>
      <w:r w:rsidR="007D32DE">
        <w:rPr>
          <w:color w:val="auto"/>
        </w:rPr>
        <w:t xml:space="preserve"> the judgm</w:t>
      </w:r>
      <w:r w:rsidR="003633EE">
        <w:rPr>
          <w:color w:val="auto"/>
        </w:rPr>
        <w:t>ent explicitly argues that the ‘</w:t>
      </w:r>
      <w:r w:rsidR="007D32DE">
        <w:rPr>
          <w:color w:val="auto"/>
        </w:rPr>
        <w:t>demand of neutrality imposed on the applicant becomes much more pressing in the light of the contact with patients found in a s</w:t>
      </w:r>
      <w:r w:rsidR="003633EE">
        <w:rPr>
          <w:color w:val="auto"/>
        </w:rPr>
        <w:t>tate of fragility or dependence’</w:t>
      </w:r>
      <w:r w:rsidR="007D32DE">
        <w:rPr>
          <w:color w:val="auto"/>
        </w:rPr>
        <w:t>.</w:t>
      </w:r>
      <w:r w:rsidR="007D32DE">
        <w:rPr>
          <w:rStyle w:val="FootnoteReference"/>
          <w:color w:val="auto"/>
        </w:rPr>
        <w:footnoteReference w:id="71"/>
      </w:r>
    </w:p>
    <w:p w14:paraId="299C6B7A" w14:textId="0E801109" w:rsidR="007D32DE" w:rsidRDefault="007D32DE" w:rsidP="004B3AA8">
      <w:pPr>
        <w:pStyle w:val="NormalWeb"/>
        <w:spacing w:before="0" w:after="0" w:line="480" w:lineRule="auto"/>
        <w:jc w:val="both"/>
        <w:rPr>
          <w:rStyle w:val="apple-converted-space"/>
          <w:color w:val="auto"/>
          <w:shd w:val="clear" w:color="auto" w:fill="FFFFFF"/>
        </w:rPr>
      </w:pPr>
      <w:r>
        <w:rPr>
          <w:rStyle w:val="apple-converted-space"/>
          <w:color w:val="auto"/>
          <w:shd w:val="clear" w:color="auto" w:fill="FFFFFF"/>
        </w:rPr>
        <w:tab/>
        <w:t xml:space="preserve">It is important to note that, despite </w:t>
      </w:r>
      <w:r w:rsidR="000A7C4F">
        <w:rPr>
          <w:rStyle w:val="apple-converted-space"/>
          <w:color w:val="auto"/>
          <w:shd w:val="clear" w:color="auto" w:fill="FFFFFF"/>
        </w:rPr>
        <w:t xml:space="preserve">the fact that </w:t>
      </w:r>
      <w:r>
        <w:rPr>
          <w:rStyle w:val="apple-converted-space"/>
          <w:color w:val="auto"/>
          <w:shd w:val="clear" w:color="auto" w:fill="FFFFFF"/>
        </w:rPr>
        <w:t>complaints</w:t>
      </w:r>
      <w:r w:rsidR="000A7C4F">
        <w:rPr>
          <w:rStyle w:val="apple-converted-space"/>
          <w:color w:val="auto"/>
          <w:shd w:val="clear" w:color="auto" w:fill="FFFFFF"/>
        </w:rPr>
        <w:t xml:space="preserve"> had</w:t>
      </w:r>
      <w:r>
        <w:rPr>
          <w:rStyle w:val="apple-converted-space"/>
          <w:color w:val="auto"/>
          <w:shd w:val="clear" w:color="auto" w:fill="FFFFFF"/>
        </w:rPr>
        <w:t xml:space="preserve"> apparently been made against Ebrahimian’s </w:t>
      </w:r>
      <w:r w:rsidR="000A7C4F">
        <w:rPr>
          <w:rStyle w:val="apple-converted-space"/>
          <w:color w:val="auto"/>
          <w:shd w:val="clear" w:color="auto" w:fill="FFFFFF"/>
        </w:rPr>
        <w:t>clothing, there wa</w:t>
      </w:r>
      <w:r>
        <w:rPr>
          <w:rStyle w:val="apple-converted-space"/>
          <w:color w:val="auto"/>
          <w:shd w:val="clear" w:color="auto" w:fill="FFFFFF"/>
        </w:rPr>
        <w:t>s no evidence</w:t>
      </w:r>
      <w:r w:rsidR="002B792C">
        <w:rPr>
          <w:rStyle w:val="apple-converted-space"/>
          <w:color w:val="auto"/>
          <w:shd w:val="clear" w:color="auto" w:fill="FFFFFF"/>
        </w:rPr>
        <w:t xml:space="preserve"> brought before the ECtHR</w:t>
      </w:r>
      <w:r>
        <w:rPr>
          <w:rStyle w:val="apple-converted-space"/>
          <w:color w:val="auto"/>
          <w:shd w:val="clear" w:color="auto" w:fill="FFFFFF"/>
        </w:rPr>
        <w:t xml:space="preserve"> that patients (or colleagues) were harmed by it. The judgment states clearly, ‘The Court observes that the applicant has not been reproached for influencing, provoking or proselytizing patients or colleagues at the hospital’.</w:t>
      </w:r>
      <w:r>
        <w:rPr>
          <w:rStyle w:val="FootnoteReference"/>
          <w:color w:val="auto"/>
          <w:shd w:val="clear" w:color="auto" w:fill="FFFFFF"/>
        </w:rPr>
        <w:footnoteReference w:id="72"/>
      </w:r>
      <w:r>
        <w:rPr>
          <w:rStyle w:val="apple-converted-space"/>
          <w:color w:val="auto"/>
          <w:shd w:val="clear" w:color="auto" w:fill="FFFFFF"/>
        </w:rPr>
        <w:t xml:space="preserve"> As in all the cases considered above, no actual harm was recorded. Nevertheless, the very next sentence of the judgment reads: ‘Howe</w:t>
      </w:r>
      <w:r w:rsidR="00A5694F">
        <w:rPr>
          <w:rStyle w:val="apple-converted-space"/>
          <w:color w:val="auto"/>
          <w:shd w:val="clear" w:color="auto" w:fill="FFFFFF"/>
        </w:rPr>
        <w:t>ver, the wearing of the headgear</w:t>
      </w:r>
      <w:r>
        <w:rPr>
          <w:rStyle w:val="apple-converted-space"/>
          <w:color w:val="auto"/>
          <w:shd w:val="clear" w:color="auto" w:fill="FFFFFF"/>
        </w:rPr>
        <w:t xml:space="preserve"> was considered as an ostentatious manifestation of her religion incompatible with the neutral space demanded in public service’.</w:t>
      </w:r>
      <w:r>
        <w:rPr>
          <w:rStyle w:val="FootnoteReference"/>
          <w:color w:val="auto"/>
          <w:shd w:val="clear" w:color="auto" w:fill="FFFFFF"/>
        </w:rPr>
        <w:footnoteReference w:id="73"/>
      </w:r>
      <w:r>
        <w:rPr>
          <w:rStyle w:val="apple-converted-space"/>
          <w:color w:val="auto"/>
          <w:shd w:val="clear" w:color="auto" w:fill="FFFFFF"/>
        </w:rPr>
        <w:t xml:space="preserve"> Despite no actual evidence, there is a general principle in the case, which the ECtHR here upholds, that an ‘ostentatious’ wearing of </w:t>
      </w:r>
      <w:r w:rsidR="006C6D33">
        <w:rPr>
          <w:rStyle w:val="apple-converted-space"/>
          <w:color w:val="auto"/>
          <w:shd w:val="clear" w:color="auto" w:fill="FFFFFF"/>
        </w:rPr>
        <w:t>religious headgear</w:t>
      </w:r>
      <w:r>
        <w:rPr>
          <w:rStyle w:val="apple-converted-space"/>
          <w:color w:val="auto"/>
          <w:shd w:val="clear" w:color="auto" w:fill="FFFFFF"/>
        </w:rPr>
        <w:t xml:space="preserve"> encroaches on the rights and freedoms of others.</w:t>
      </w:r>
    </w:p>
    <w:p w14:paraId="70D3FBFD" w14:textId="77777777" w:rsidR="007D32DE" w:rsidRDefault="007D32DE" w:rsidP="004B3AA8">
      <w:pPr>
        <w:pStyle w:val="NormalWeb"/>
        <w:spacing w:before="0" w:after="0" w:line="480" w:lineRule="auto"/>
        <w:jc w:val="both"/>
        <w:rPr>
          <w:color w:val="auto"/>
          <w:shd w:val="clear" w:color="auto" w:fill="FFFFFF"/>
        </w:rPr>
      </w:pPr>
      <w:r>
        <w:rPr>
          <w:rStyle w:val="apple-converted-space"/>
          <w:color w:val="auto"/>
          <w:shd w:val="clear" w:color="auto" w:fill="FFFFFF"/>
        </w:rPr>
        <w:tab/>
        <w:t xml:space="preserve">But how? The judgment continues that </w:t>
      </w:r>
      <w:r>
        <w:rPr>
          <w:color w:val="auto"/>
          <w:shd w:val="clear" w:color="auto" w:fill="FFFFFF"/>
        </w:rPr>
        <w:t>the state is justified ‘in thus protecting the service-users, the hospital patients, from all risk of influence or partiality, in the name of their right to freedom of conscience’.</w:t>
      </w:r>
      <w:r>
        <w:rPr>
          <w:rStyle w:val="FootnoteReference"/>
          <w:color w:val="auto"/>
          <w:shd w:val="clear" w:color="auto" w:fill="FFFFFF"/>
        </w:rPr>
        <w:footnoteReference w:id="74"/>
      </w:r>
      <w:r>
        <w:rPr>
          <w:color w:val="auto"/>
          <w:shd w:val="clear" w:color="auto" w:fill="FFFFFF"/>
        </w:rPr>
        <w:t xml:space="preserve"> More of the Court’s reasoning here becomes clear: no evidence is required, because the very ‘ostentatious’ nature of the headscarf means that the services of Ebrahimian risk </w:t>
      </w:r>
      <w:r>
        <w:rPr>
          <w:i/>
          <w:color w:val="auto"/>
          <w:shd w:val="clear" w:color="auto" w:fill="FFFFFF"/>
        </w:rPr>
        <w:t>in all likelihood</w:t>
      </w:r>
      <w:r>
        <w:rPr>
          <w:color w:val="auto"/>
          <w:shd w:val="clear" w:color="auto" w:fill="FFFFFF"/>
        </w:rPr>
        <w:t xml:space="preserve"> being perceived as a sign of partiality by the patients. In this vein, the Court later asserts the principle, ‘The neutrality of hospital workers can be considered as</w:t>
      </w:r>
      <w:r w:rsidR="00A5694F">
        <w:rPr>
          <w:color w:val="auto"/>
          <w:shd w:val="clear" w:color="auto" w:fill="FFFFFF"/>
        </w:rPr>
        <w:t xml:space="preserve"> [</w:t>
      </w:r>
      <w:r>
        <w:rPr>
          <w:color w:val="auto"/>
          <w:shd w:val="clear" w:color="auto" w:fill="FFFFFF"/>
        </w:rPr>
        <w:t>…</w:t>
      </w:r>
      <w:r w:rsidR="00A5694F">
        <w:rPr>
          <w:color w:val="auto"/>
          <w:shd w:val="clear" w:color="auto" w:fill="FFFFFF"/>
        </w:rPr>
        <w:t>]</w:t>
      </w:r>
      <w:r>
        <w:rPr>
          <w:color w:val="auto"/>
          <w:shd w:val="clear" w:color="auto" w:fill="FFFFFF"/>
        </w:rPr>
        <w:t xml:space="preserve"> requiring that patients are unable to doubt their impartiality’.</w:t>
      </w:r>
      <w:r>
        <w:rPr>
          <w:rStyle w:val="FootnoteReference"/>
          <w:color w:val="auto"/>
          <w:shd w:val="clear" w:color="auto" w:fill="FFFFFF"/>
        </w:rPr>
        <w:footnoteReference w:id="75"/>
      </w:r>
      <w:r>
        <w:rPr>
          <w:color w:val="auto"/>
          <w:shd w:val="clear" w:color="auto" w:fill="FFFFFF"/>
        </w:rPr>
        <w:t xml:space="preserve"> This</w:t>
      </w:r>
      <w:r>
        <w:rPr>
          <w:rFonts w:ascii="Calibri" w:hAnsi="Calibri"/>
          <w:color w:val="auto"/>
          <w:shd w:val="clear" w:color="auto" w:fill="FFFFFF"/>
        </w:rPr>
        <w:t>—</w:t>
      </w:r>
      <w:r>
        <w:rPr>
          <w:color w:val="auto"/>
          <w:shd w:val="clear" w:color="auto" w:fill="FFFFFF"/>
        </w:rPr>
        <w:t>particularly the phrasing ‘unable to doubt’</w:t>
      </w:r>
      <w:r>
        <w:rPr>
          <w:rFonts w:ascii="Calibri" w:hAnsi="Calibri"/>
          <w:color w:val="auto"/>
          <w:shd w:val="clear" w:color="auto" w:fill="FFFFFF"/>
        </w:rPr>
        <w:t>—</w:t>
      </w:r>
      <w:r>
        <w:rPr>
          <w:color w:val="auto"/>
          <w:shd w:val="clear" w:color="auto" w:fill="FFFFFF"/>
        </w:rPr>
        <w:t xml:space="preserve">seems extremely strong: the mere possibility that a patient might doubt impartiality (whether they are right to or not) is taken as good cause for limiting freedom of religion. </w:t>
      </w:r>
      <w:r w:rsidR="002B792C">
        <w:rPr>
          <w:color w:val="auto"/>
          <w:shd w:val="clear" w:color="auto" w:fill="FFFFFF"/>
        </w:rPr>
        <w:t xml:space="preserve">The judgment returns to the domain of ‘subjective perception’ expressly discounted in </w:t>
      </w:r>
      <w:r w:rsidR="002B792C">
        <w:rPr>
          <w:i/>
          <w:color w:val="auto"/>
          <w:shd w:val="clear" w:color="auto" w:fill="FFFFFF"/>
        </w:rPr>
        <w:t>Lautsi</w:t>
      </w:r>
      <w:r w:rsidR="004D3016">
        <w:rPr>
          <w:color w:val="auto"/>
          <w:shd w:val="clear" w:color="auto" w:fill="FFFFFF"/>
        </w:rPr>
        <w:t>.</w:t>
      </w:r>
    </w:p>
    <w:p w14:paraId="0F76FC7E" w14:textId="77777777" w:rsidR="007D32DE" w:rsidRPr="009940E5" w:rsidRDefault="007D32DE" w:rsidP="004B3AA8">
      <w:pPr>
        <w:pStyle w:val="NormalWeb"/>
        <w:spacing w:before="0" w:after="0" w:line="480" w:lineRule="auto"/>
        <w:jc w:val="both"/>
        <w:rPr>
          <w:color w:val="auto"/>
          <w:shd w:val="clear" w:color="auto" w:fill="FFFFFF"/>
        </w:rPr>
      </w:pPr>
      <w:r>
        <w:rPr>
          <w:color w:val="auto"/>
          <w:shd w:val="clear" w:color="auto" w:fill="FFFFFF"/>
        </w:rPr>
        <w:tab/>
        <w:t>Again, it should be noted that the intentions of the symbol-user are deemed irrelevant: the question of whether Ebrahimian</w:t>
      </w:r>
      <w:r w:rsidR="002B792C">
        <w:rPr>
          <w:color w:val="auto"/>
          <w:shd w:val="clear" w:color="auto" w:fill="FFFFFF"/>
        </w:rPr>
        <w:t xml:space="preserve"> herself</w:t>
      </w:r>
      <w:r>
        <w:rPr>
          <w:color w:val="auto"/>
          <w:shd w:val="clear" w:color="auto" w:fill="FFFFFF"/>
        </w:rPr>
        <w:t xml:space="preserve"> wished to influence patients or show partiality to one group of patients over another is ignored in favour of a focus on the third-party </w:t>
      </w:r>
      <w:r w:rsidR="002B792C">
        <w:rPr>
          <w:color w:val="auto"/>
          <w:shd w:val="clear" w:color="auto" w:fill="FFFFFF"/>
        </w:rPr>
        <w:t xml:space="preserve">‘subjective </w:t>
      </w:r>
      <w:r>
        <w:rPr>
          <w:color w:val="auto"/>
          <w:shd w:val="clear" w:color="auto" w:fill="FFFFFF"/>
        </w:rPr>
        <w:t>perception</w:t>
      </w:r>
      <w:r w:rsidR="002B792C">
        <w:rPr>
          <w:color w:val="auto"/>
          <w:shd w:val="clear" w:color="auto" w:fill="FFFFFF"/>
        </w:rPr>
        <w:t>’</w:t>
      </w:r>
      <w:r>
        <w:rPr>
          <w:color w:val="auto"/>
          <w:shd w:val="clear" w:color="auto" w:fill="FFFFFF"/>
        </w:rPr>
        <w:t xml:space="preserve"> of her wearing of a headscarf. </w:t>
      </w:r>
      <w:r>
        <w:rPr>
          <w:rStyle w:val="sb8d990e2"/>
          <w:rFonts w:eastAsia="Calibri"/>
          <w:color w:val="auto"/>
          <w:shd w:val="clear" w:color="auto" w:fill="FFFFFF"/>
        </w:rPr>
        <w:t xml:space="preserve">As Judge O’Leary points out in her </w:t>
      </w:r>
      <w:r w:rsidR="00446D81">
        <w:rPr>
          <w:rStyle w:val="sb8d990e2"/>
          <w:rFonts w:eastAsia="Calibri"/>
          <w:color w:val="auto"/>
          <w:shd w:val="clear" w:color="auto" w:fill="FFFFFF"/>
        </w:rPr>
        <w:t>opinion</w:t>
      </w:r>
      <w:r>
        <w:rPr>
          <w:rStyle w:val="sb8d990e2"/>
          <w:rFonts w:eastAsia="Calibri"/>
          <w:color w:val="auto"/>
          <w:shd w:val="clear" w:color="auto" w:fill="FFFFFF"/>
        </w:rPr>
        <w:t>,</w:t>
      </w:r>
      <w:r w:rsidR="00A5694F">
        <w:rPr>
          <w:rStyle w:val="FootnoteReference"/>
          <w:rFonts w:eastAsia="Calibri"/>
          <w:color w:val="auto"/>
          <w:shd w:val="clear" w:color="auto" w:fill="FFFFFF"/>
        </w:rPr>
        <w:footnoteReference w:id="76"/>
      </w:r>
      <w:r>
        <w:rPr>
          <w:rStyle w:val="sb8d990e2"/>
          <w:rFonts w:eastAsia="Calibri"/>
          <w:color w:val="auto"/>
          <w:shd w:val="clear" w:color="auto" w:fill="FFFFFF"/>
        </w:rPr>
        <w:t xml:space="preserve"> the very founding distinction of the </w:t>
      </w:r>
      <w:r>
        <w:rPr>
          <w:rStyle w:val="sb8d990e2"/>
          <w:rFonts w:eastAsia="Calibri"/>
          <w:i/>
          <w:color w:val="auto"/>
          <w:shd w:val="clear" w:color="auto" w:fill="FFFFFF"/>
        </w:rPr>
        <w:t xml:space="preserve">Lautsi </w:t>
      </w:r>
      <w:r>
        <w:rPr>
          <w:rStyle w:val="sb8d990e2"/>
          <w:rFonts w:eastAsia="Calibri"/>
          <w:color w:val="auto"/>
          <w:shd w:val="clear" w:color="auto" w:fill="FFFFFF"/>
        </w:rPr>
        <w:t xml:space="preserve">judgment here falls away: all symbols—insofar as they are </w:t>
      </w:r>
      <w:r w:rsidR="00214955">
        <w:rPr>
          <w:rStyle w:val="sb8d990e2"/>
          <w:rFonts w:eastAsia="Calibri"/>
          <w:color w:val="auto"/>
          <w:shd w:val="clear" w:color="auto" w:fill="FFFFFF"/>
        </w:rPr>
        <w:t>‘ostentatious’</w:t>
      </w:r>
      <w:r>
        <w:rPr>
          <w:rStyle w:val="sb8d990e2"/>
          <w:rFonts w:eastAsia="Calibri"/>
          <w:color w:val="auto"/>
          <w:shd w:val="clear" w:color="auto" w:fill="FFFFFF"/>
        </w:rPr>
        <w:t xml:space="preserve">—are likely to encroach on the rights and freedoms of others. While there are different national traditions </w:t>
      </w:r>
      <w:r w:rsidR="00A5694F">
        <w:rPr>
          <w:rStyle w:val="sb8d990e2"/>
          <w:rFonts w:eastAsia="Calibri"/>
          <w:color w:val="auto"/>
          <w:shd w:val="clear" w:color="auto" w:fill="FFFFFF"/>
        </w:rPr>
        <w:t>involved</w:t>
      </w:r>
      <w:r>
        <w:rPr>
          <w:rStyle w:val="sb8d990e2"/>
          <w:rFonts w:eastAsia="Calibri"/>
          <w:color w:val="auto"/>
          <w:shd w:val="clear" w:color="auto" w:fill="FFFFFF"/>
        </w:rPr>
        <w:t xml:space="preserve"> here and the margin of appreciation needs always to be kept in mind, one implication of </w:t>
      </w:r>
      <w:r>
        <w:rPr>
          <w:rStyle w:val="sb8d990e2"/>
          <w:rFonts w:eastAsia="Calibri"/>
          <w:i/>
          <w:color w:val="auto"/>
          <w:shd w:val="clear" w:color="auto" w:fill="FFFFFF"/>
        </w:rPr>
        <w:t xml:space="preserve">Ebrahimian </w:t>
      </w:r>
      <w:r w:rsidR="008E59FD">
        <w:rPr>
          <w:rStyle w:val="sb8d990e2"/>
          <w:rFonts w:eastAsia="Calibri"/>
          <w:color w:val="auto"/>
          <w:shd w:val="clear" w:color="auto" w:fill="FFFFFF"/>
        </w:rPr>
        <w:t>seems to be</w:t>
      </w:r>
      <w:r>
        <w:rPr>
          <w:rStyle w:val="sb8d990e2"/>
          <w:rFonts w:eastAsia="Calibri"/>
          <w:color w:val="auto"/>
          <w:shd w:val="clear" w:color="auto" w:fill="FFFFFF"/>
        </w:rPr>
        <w:t xml:space="preserve"> that there are no symbols that are to be exempted on the grounds that they are more ‘passive’ or less ‘powerful’.</w:t>
      </w:r>
    </w:p>
    <w:p w14:paraId="62C130AF" w14:textId="60C5D6A3" w:rsidR="003B1D94" w:rsidRDefault="002B792C" w:rsidP="004B3AA8">
      <w:pPr>
        <w:pStyle w:val="NormalWeb"/>
        <w:spacing w:before="0" w:after="0" w:line="480" w:lineRule="auto"/>
        <w:jc w:val="both"/>
        <w:rPr>
          <w:color w:val="auto"/>
          <w:shd w:val="clear" w:color="auto" w:fill="FFFFFF"/>
        </w:rPr>
      </w:pPr>
      <w:r>
        <w:rPr>
          <w:color w:val="auto"/>
          <w:shd w:val="clear" w:color="auto" w:fill="FFFFFF"/>
        </w:rPr>
        <w:tab/>
        <w:t>Moreover, a</w:t>
      </w:r>
      <w:r w:rsidR="007D32DE">
        <w:rPr>
          <w:color w:val="auto"/>
          <w:shd w:val="clear" w:color="auto" w:fill="FFFFFF"/>
        </w:rPr>
        <w:t xml:space="preserve">s Judge O’Leary </w:t>
      </w:r>
      <w:r>
        <w:rPr>
          <w:color w:val="auto"/>
          <w:shd w:val="clear" w:color="auto" w:fill="FFFFFF"/>
        </w:rPr>
        <w:t xml:space="preserve">also </w:t>
      </w:r>
      <w:r w:rsidR="00446D81">
        <w:rPr>
          <w:color w:val="auto"/>
          <w:shd w:val="clear" w:color="auto" w:fill="FFFFFF"/>
        </w:rPr>
        <w:t>notes</w:t>
      </w:r>
      <w:r w:rsidR="007D32DE">
        <w:rPr>
          <w:color w:val="auto"/>
          <w:shd w:val="clear" w:color="auto" w:fill="FFFFFF"/>
        </w:rPr>
        <w:t xml:space="preserve">, while the Court </w:t>
      </w:r>
      <w:r w:rsidR="007A33F9">
        <w:rPr>
          <w:color w:val="auto"/>
          <w:shd w:val="clear" w:color="auto" w:fill="FFFFFF"/>
        </w:rPr>
        <w:t>appears</w:t>
      </w:r>
      <w:r w:rsidR="007D32DE">
        <w:rPr>
          <w:color w:val="auto"/>
          <w:shd w:val="clear" w:color="auto" w:fill="FFFFFF"/>
        </w:rPr>
        <w:t xml:space="preserve"> at first to give weight to the specific circumstances of a hospital environment in which patients are ‘fragile’, in the end the judgment is context-independent, for the ban on headscarves is</w:t>
      </w:r>
      <w:r w:rsidR="007A33F9">
        <w:rPr>
          <w:color w:val="auto"/>
          <w:shd w:val="clear" w:color="auto" w:fill="FFFFFF"/>
        </w:rPr>
        <w:t xml:space="preserve"> implicitly</w:t>
      </w:r>
      <w:r w:rsidR="007D32DE">
        <w:rPr>
          <w:color w:val="auto"/>
          <w:shd w:val="clear" w:color="auto" w:fill="FFFFFF"/>
        </w:rPr>
        <w:t xml:space="preserve"> upheld for the whole public sector.</w:t>
      </w:r>
      <w:r w:rsidR="00A5694F">
        <w:rPr>
          <w:rStyle w:val="FootnoteReference"/>
          <w:color w:val="auto"/>
          <w:shd w:val="clear" w:color="auto" w:fill="FFFFFF"/>
        </w:rPr>
        <w:footnoteReference w:id="77"/>
      </w:r>
      <w:r w:rsidR="007D32DE">
        <w:rPr>
          <w:color w:val="auto"/>
          <w:shd w:val="clear" w:color="auto" w:fill="FFFFFF"/>
        </w:rPr>
        <w:t xml:space="preserve"> That is, a</w:t>
      </w:r>
      <w:r w:rsidR="00A5694F">
        <w:rPr>
          <w:color w:val="auto"/>
          <w:shd w:val="clear" w:color="auto" w:fill="FFFFFF"/>
        </w:rPr>
        <w:t>ny ostentatious use</w:t>
      </w:r>
      <w:r w:rsidR="007D32DE">
        <w:rPr>
          <w:color w:val="auto"/>
          <w:shd w:val="clear" w:color="auto" w:fill="FFFFFF"/>
        </w:rPr>
        <w:t xml:space="preserve"> of a religious symbol by a public official, by this reasoning, contravenes the principle of neutrality and can justly be restricted. </w:t>
      </w:r>
      <w:r w:rsidR="007A33F9">
        <w:rPr>
          <w:color w:val="auto"/>
          <w:shd w:val="clear" w:color="auto" w:fill="FFFFFF"/>
        </w:rPr>
        <w:t>The reasoning</w:t>
      </w:r>
      <w:r w:rsidR="007D32DE">
        <w:rPr>
          <w:color w:val="auto"/>
          <w:shd w:val="clear" w:color="auto" w:fill="FFFFFF"/>
        </w:rPr>
        <w:t xml:space="preserve"> is much like that found in </w:t>
      </w:r>
      <w:r w:rsidR="007D32DE">
        <w:rPr>
          <w:i/>
          <w:color w:val="auto"/>
          <w:shd w:val="clear" w:color="auto" w:fill="FFFFFF"/>
        </w:rPr>
        <w:t>Dahlab</w:t>
      </w:r>
      <w:r w:rsidR="007D32DE">
        <w:rPr>
          <w:color w:val="auto"/>
          <w:shd w:val="clear" w:color="auto" w:fill="FFFFFF"/>
        </w:rPr>
        <w:t xml:space="preserve">: the very fact of using the religious symbol falls foul of an abstract principle (neutrality in the case of </w:t>
      </w:r>
      <w:r w:rsidR="007D32DE">
        <w:rPr>
          <w:i/>
          <w:color w:val="auto"/>
          <w:shd w:val="clear" w:color="auto" w:fill="FFFFFF"/>
        </w:rPr>
        <w:t>Ebrahimian</w:t>
      </w:r>
      <w:r w:rsidR="007D32DE">
        <w:rPr>
          <w:color w:val="auto"/>
          <w:shd w:val="clear" w:color="auto" w:fill="FFFFFF"/>
        </w:rPr>
        <w:t xml:space="preserve">; the values of democratic society in the case of </w:t>
      </w:r>
      <w:r w:rsidR="007D32DE">
        <w:rPr>
          <w:i/>
          <w:color w:val="auto"/>
          <w:shd w:val="clear" w:color="auto" w:fill="FFFFFF"/>
        </w:rPr>
        <w:t>Dahlab</w:t>
      </w:r>
      <w:r w:rsidR="007D32DE">
        <w:rPr>
          <w:color w:val="auto"/>
          <w:shd w:val="clear" w:color="auto" w:fill="FFFFFF"/>
        </w:rPr>
        <w:t>), and so can be restricted justly.</w:t>
      </w:r>
    </w:p>
    <w:p w14:paraId="20C81C6F" w14:textId="041171EC" w:rsidR="00E60587" w:rsidRPr="004569C7" w:rsidRDefault="00E60587" w:rsidP="004B3AA8">
      <w:pPr>
        <w:pStyle w:val="NormalWeb"/>
        <w:spacing w:before="0" w:after="0" w:line="480" w:lineRule="auto"/>
        <w:jc w:val="both"/>
        <w:rPr>
          <w:color w:val="auto"/>
          <w:shd w:val="clear" w:color="auto" w:fill="FFFFFF"/>
        </w:rPr>
      </w:pPr>
      <w:r>
        <w:rPr>
          <w:color w:val="auto"/>
          <w:shd w:val="clear" w:color="auto" w:fill="FFFFFF"/>
        </w:rPr>
        <w:t xml:space="preserve">3.5 </w:t>
      </w:r>
      <w:r>
        <w:rPr>
          <w:i/>
          <w:color w:val="auto"/>
          <w:shd w:val="clear" w:color="auto" w:fill="FFFFFF"/>
        </w:rPr>
        <w:t>SAS</w:t>
      </w:r>
      <w:r w:rsidR="004569C7" w:rsidRPr="00E27ED1">
        <w:rPr>
          <w:rStyle w:val="FootnoteReference"/>
          <w:color w:val="auto"/>
          <w:shd w:val="clear" w:color="auto" w:fill="FFFFFF"/>
        </w:rPr>
        <w:footnoteReference w:id="78"/>
      </w:r>
    </w:p>
    <w:p w14:paraId="232B1856" w14:textId="77FFAB16" w:rsidR="000D3670" w:rsidRPr="000D3670" w:rsidRDefault="00E60587" w:rsidP="000D3670">
      <w:pPr>
        <w:pStyle w:val="NormalWeb"/>
        <w:spacing w:line="480" w:lineRule="auto"/>
      </w:pPr>
      <w:r>
        <w:rPr>
          <w:color w:val="auto"/>
        </w:rPr>
        <w:t xml:space="preserve">The most recent high-profile case involving religious symbols or clothing is </w:t>
      </w:r>
      <w:r>
        <w:rPr>
          <w:i/>
          <w:color w:val="auto"/>
        </w:rPr>
        <w:t>SAS v France</w:t>
      </w:r>
      <w:r>
        <w:rPr>
          <w:color w:val="auto"/>
        </w:rPr>
        <w:t>.</w:t>
      </w:r>
      <w:r w:rsidR="00FD11F2">
        <w:rPr>
          <w:color w:val="auto"/>
        </w:rPr>
        <w:t xml:space="preserve"> This case concerned a challenge by a</w:t>
      </w:r>
      <w:r w:rsidR="00E029D8">
        <w:rPr>
          <w:color w:val="auto"/>
        </w:rPr>
        <w:t xml:space="preserve"> Muslim woman, using the initials</w:t>
      </w:r>
      <w:r w:rsidR="00FD11F2">
        <w:rPr>
          <w:color w:val="auto"/>
        </w:rPr>
        <w:t xml:space="preserve"> ‘SAS’, against the French burqa ban.</w:t>
      </w:r>
      <w:r w:rsidR="00FD11F2">
        <w:rPr>
          <w:rStyle w:val="FootnoteReference"/>
          <w:color w:val="auto"/>
        </w:rPr>
        <w:footnoteReference w:id="79"/>
      </w:r>
      <w:r w:rsidR="00FD11F2">
        <w:rPr>
          <w:color w:val="auto"/>
        </w:rPr>
        <w:t xml:space="preserve"> </w:t>
      </w:r>
      <w:r w:rsidR="00E029D8">
        <w:rPr>
          <w:color w:val="auto"/>
        </w:rPr>
        <w:t>The Court rejected the challenge, upholding the ban</w:t>
      </w:r>
      <w:r w:rsidR="00E2398A">
        <w:rPr>
          <w:color w:val="auto"/>
        </w:rPr>
        <w:t xml:space="preserve"> ‘</w:t>
      </w:r>
      <w:r w:rsidR="00E2398A" w:rsidRPr="00E2398A">
        <w:rPr>
          <w:color w:val="auto"/>
        </w:rPr>
        <w:t>in so far as it seeks to guarantee the conditions of “living together”</w:t>
      </w:r>
      <w:r w:rsidR="00E2398A">
        <w:rPr>
          <w:color w:val="auto"/>
        </w:rPr>
        <w:t>’</w:t>
      </w:r>
      <w:r w:rsidR="00E2398A">
        <w:rPr>
          <w:rStyle w:val="FootnoteReference"/>
          <w:color w:val="auto"/>
        </w:rPr>
        <w:footnoteReference w:id="80"/>
      </w:r>
      <w:r w:rsidR="00E2398A">
        <w:rPr>
          <w:color w:val="auto"/>
        </w:rPr>
        <w:t xml:space="preserve"> and </w:t>
      </w:r>
      <w:r w:rsidR="00601C4A">
        <w:rPr>
          <w:color w:val="auto"/>
        </w:rPr>
        <w:t>‘</w:t>
      </w:r>
      <w:r w:rsidR="00601C4A" w:rsidRPr="00601C4A">
        <w:t>as proportionate to the aim pursued, namely the</w:t>
      </w:r>
      <w:r w:rsidR="00601C4A">
        <w:t xml:space="preserve"> </w:t>
      </w:r>
      <w:r w:rsidR="00601C4A" w:rsidRPr="00601C4A">
        <w:t>preservation of the conditions of “living together” as an element of the “protection of the rights</w:t>
      </w:r>
      <w:r w:rsidR="00601C4A">
        <w:t xml:space="preserve"> </w:t>
      </w:r>
      <w:r w:rsidR="00601C4A" w:rsidRPr="00601C4A">
        <w:rPr>
          <w:color w:val="auto"/>
        </w:rPr>
        <w:t>and freedoms of others”</w:t>
      </w:r>
      <w:r w:rsidR="00601C4A">
        <w:rPr>
          <w:color w:val="auto"/>
        </w:rPr>
        <w:t>’</w:t>
      </w:r>
      <w:r w:rsidR="00601C4A" w:rsidRPr="00601C4A">
        <w:rPr>
          <w:color w:val="auto"/>
        </w:rPr>
        <w:t>.</w:t>
      </w:r>
      <w:r w:rsidR="00601C4A">
        <w:rPr>
          <w:rStyle w:val="FootnoteReference"/>
          <w:color w:val="auto"/>
        </w:rPr>
        <w:footnoteReference w:id="81"/>
      </w:r>
      <w:r w:rsidR="00DF72B3">
        <w:rPr>
          <w:color w:val="auto"/>
        </w:rPr>
        <w:t xml:space="preserve"> The word ‘harm’ is not used of the covering of the face, but the Court does find that ‘</w:t>
      </w:r>
      <w:r w:rsidR="00DF72B3" w:rsidRPr="00DF72B3">
        <w:t xml:space="preserve">interaction between individuals </w:t>
      </w:r>
      <w:r w:rsidR="00DF72B3">
        <w:t xml:space="preserve">may </w:t>
      </w:r>
      <w:r w:rsidR="001A5EBE">
        <w:rPr>
          <w:color w:val="auto"/>
        </w:rPr>
        <w:t>[be considered to</w:t>
      </w:r>
      <w:r w:rsidR="00DF72B3">
        <w:rPr>
          <w:color w:val="auto"/>
        </w:rPr>
        <w:t xml:space="preserve">] </w:t>
      </w:r>
      <w:r w:rsidR="00DF72B3" w:rsidRPr="00DF72B3">
        <w:rPr>
          <w:color w:val="auto"/>
        </w:rPr>
        <w:t>be adversely affected by the fact that some conceal their faces in public places</w:t>
      </w:r>
      <w:r w:rsidR="001A5EBE">
        <w:rPr>
          <w:color w:val="auto"/>
        </w:rPr>
        <w:t>’.</w:t>
      </w:r>
      <w:r w:rsidR="001A5EBE">
        <w:rPr>
          <w:rStyle w:val="FootnoteReference"/>
          <w:color w:val="auto"/>
        </w:rPr>
        <w:footnoteReference w:id="82"/>
      </w:r>
      <w:r w:rsidR="003366BB">
        <w:rPr>
          <w:color w:val="auto"/>
        </w:rPr>
        <w:t xml:space="preserve"> It should be noted that no evidence is presented for this assertion; the Court simply</w:t>
      </w:r>
      <w:r w:rsidR="006410AE">
        <w:rPr>
          <w:color w:val="auto"/>
        </w:rPr>
        <w:t xml:space="preserve"> states that it ‘</w:t>
      </w:r>
      <w:r w:rsidR="000D3670" w:rsidRPr="000D3670">
        <w:t>can understand the view that individuals who are present in places</w:t>
      </w:r>
    </w:p>
    <w:p w14:paraId="4751583C" w14:textId="77777777" w:rsidR="000D3670" w:rsidRPr="000D3670" w:rsidRDefault="000D3670" w:rsidP="000D3670">
      <w:pPr>
        <w:pStyle w:val="NormalWeb"/>
        <w:spacing w:line="480" w:lineRule="auto"/>
      </w:pPr>
      <w:r w:rsidRPr="000D3670">
        <w:t>open to all may not wish to see practices or attitudes developing there which would</w:t>
      </w:r>
    </w:p>
    <w:p w14:paraId="28758B48" w14:textId="55629F97" w:rsidR="00CF7D9A" w:rsidRDefault="000D3670" w:rsidP="00293104">
      <w:pPr>
        <w:pStyle w:val="NormalWeb"/>
        <w:spacing w:line="480" w:lineRule="auto"/>
      </w:pPr>
      <w:r w:rsidRPr="000D3670">
        <w:t>fundamentally call into question the possibility of open interpersonal relationships</w:t>
      </w:r>
      <w:r w:rsidR="00CA44E6">
        <w:t>’</w:t>
      </w:r>
      <w:r w:rsidR="006410AE">
        <w:rPr>
          <w:rStyle w:val="FootnoteReference"/>
        </w:rPr>
        <w:footnoteReference w:id="83"/>
      </w:r>
      <w:r>
        <w:t xml:space="preserve"> and declares itself ‘</w:t>
      </w:r>
      <w:r w:rsidRPr="000D3670">
        <w:t>able to accept that the barrier raised against others</w:t>
      </w:r>
      <w:r w:rsidR="00DD597B">
        <w:t xml:space="preserve"> </w:t>
      </w:r>
      <w:r w:rsidRPr="000D3670">
        <w:t>by a veil concealing the face is perceived by the respondent State as breaching the right of</w:t>
      </w:r>
      <w:r w:rsidR="00DD597B">
        <w:t xml:space="preserve"> </w:t>
      </w:r>
      <w:r w:rsidRPr="000D3670">
        <w:t>others to live in a space of socialisation whi</w:t>
      </w:r>
      <w:r w:rsidR="00DD597B">
        <w:t>ch makes living together easier</w:t>
      </w:r>
      <w:r>
        <w:t>’</w:t>
      </w:r>
      <w:r w:rsidR="00DD597B">
        <w:t>.</w:t>
      </w:r>
      <w:r w:rsidR="00DD597B">
        <w:rPr>
          <w:rStyle w:val="FootnoteReference"/>
        </w:rPr>
        <w:footnoteReference w:id="84"/>
      </w:r>
    </w:p>
    <w:p w14:paraId="4391378D" w14:textId="1135842A" w:rsidR="00DD597B" w:rsidRDefault="00DD597B" w:rsidP="00293104">
      <w:pPr>
        <w:pStyle w:val="NormalWeb"/>
        <w:spacing w:line="480" w:lineRule="auto"/>
      </w:pPr>
      <w:r w:rsidRPr="0026788E">
        <w:t xml:space="preserve">The dissenting judgment of </w:t>
      </w:r>
      <w:r w:rsidR="0026788E" w:rsidRPr="0026788E">
        <w:t>J</w:t>
      </w:r>
      <w:r w:rsidRPr="0026788E">
        <w:t>udges</w:t>
      </w:r>
      <w:r w:rsidR="0026788E" w:rsidRPr="0026788E">
        <w:t xml:space="preserve"> </w:t>
      </w:r>
      <w:r w:rsidR="0026788E" w:rsidRPr="00293104">
        <w:rPr>
          <w:bCs/>
        </w:rPr>
        <w:t>Nußberger and Jäderblom</w:t>
      </w:r>
      <w:r>
        <w:t xml:space="preserve"> speaks tartly to this:</w:t>
      </w:r>
    </w:p>
    <w:p w14:paraId="5010DBF3" w14:textId="53AF676A" w:rsidR="00DD597B" w:rsidRDefault="00DD597B" w:rsidP="00293104">
      <w:pPr>
        <w:pStyle w:val="NormalWeb"/>
        <w:spacing w:line="480" w:lineRule="auto"/>
        <w:ind w:left="851"/>
      </w:pPr>
      <w:r w:rsidRPr="00293104">
        <w:t>It seems to us, however, that such fears and feelings of uneasiness are not so much caused by the veil itself, which—unlike perhaps certain other dress-codes—cannot be perceived as aggressive per se, but by the philosophy that is presumed to be linked to it. Thus the recurring motives for not tolerating the full-face veil are based on interpretations of its symbolic meaning.</w:t>
      </w:r>
      <w:r w:rsidR="0026788E">
        <w:rPr>
          <w:rStyle w:val="FootnoteReference"/>
        </w:rPr>
        <w:footnoteReference w:id="85"/>
      </w:r>
    </w:p>
    <w:p w14:paraId="0B1F3A75" w14:textId="75E4D238" w:rsidR="0026788E" w:rsidRDefault="0026788E" w:rsidP="00EB6567">
      <w:pPr>
        <w:pStyle w:val="NormalWeb"/>
        <w:spacing w:line="480" w:lineRule="auto"/>
      </w:pPr>
      <w:r>
        <w:t xml:space="preserve">The dissenting judges also anticipate the response that the wearing of the burqa can cause harm by shocking </w:t>
      </w:r>
      <w:r w:rsidR="00F7433A">
        <w:t>bystanders:</w:t>
      </w:r>
    </w:p>
    <w:p w14:paraId="009CC21F" w14:textId="384D3D29" w:rsidR="007F4E4B" w:rsidRDefault="00F7433A" w:rsidP="00EB6567">
      <w:pPr>
        <w:pStyle w:val="NormalWeb"/>
        <w:spacing w:line="480" w:lineRule="auto"/>
        <w:ind w:left="851"/>
      </w:pPr>
      <w:r w:rsidRPr="00F7433A">
        <w:t>it has to be stressed that there is no right not to be</w:t>
      </w:r>
      <w:r>
        <w:t xml:space="preserve"> </w:t>
      </w:r>
      <w:r w:rsidRPr="00F7433A">
        <w:t>shocked or provoked by different models of cultural or religious identity, even those that are very</w:t>
      </w:r>
      <w:r>
        <w:t xml:space="preserve"> </w:t>
      </w:r>
      <w:r w:rsidRPr="00F7433A">
        <w:t>distant from the traditional French and European life-style. In the context of freedom of</w:t>
      </w:r>
      <w:r>
        <w:t xml:space="preserve"> </w:t>
      </w:r>
      <w:r w:rsidRPr="00F7433A">
        <w:t>expression, the Court has repeatedly observed that the Convention protects not only those</w:t>
      </w:r>
      <w:r>
        <w:t xml:space="preserve"> </w:t>
      </w:r>
      <w:r w:rsidRPr="00F7433A">
        <w:t>opinions “that are favourably received or regarded as inoffensive or as a matter of</w:t>
      </w:r>
      <w:r>
        <w:t xml:space="preserve"> </w:t>
      </w:r>
      <w:r w:rsidRPr="00F7433A">
        <w:t>indifference, but also … those that offend, shock or disturb”, pointing out that “[s]uch are the</w:t>
      </w:r>
      <w:r>
        <w:t xml:space="preserve"> </w:t>
      </w:r>
      <w:r w:rsidRPr="00F7433A">
        <w:t>demands of pluralism, tolerance and broadmindedness without which there is no ‘democratic</w:t>
      </w:r>
      <w:r>
        <w:t xml:space="preserve"> </w:t>
      </w:r>
      <w:r w:rsidRPr="00F7433A">
        <w:t>society’”. The same must be true for dress-codes demonstrating radical opinions.</w:t>
      </w:r>
      <w:r>
        <w:rPr>
          <w:rStyle w:val="FootnoteReference"/>
        </w:rPr>
        <w:footnoteReference w:id="86"/>
      </w:r>
    </w:p>
    <w:p w14:paraId="06301ED2" w14:textId="4411271C" w:rsidR="007F4E4B" w:rsidRPr="00C603E7" w:rsidRDefault="002A13D6" w:rsidP="00EB6567">
      <w:pPr>
        <w:pStyle w:val="NormalWeb"/>
        <w:spacing w:line="480" w:lineRule="auto"/>
      </w:pPr>
      <w:r>
        <w:t>The quotation</w:t>
      </w:r>
      <w:r w:rsidR="00A7108F">
        <w:t>s</w:t>
      </w:r>
      <w:r>
        <w:t xml:space="preserve"> that the dissenting judges give here </w:t>
      </w:r>
      <w:r w:rsidR="007B3F52">
        <w:t>originate in</w:t>
      </w:r>
      <w:r>
        <w:t xml:space="preserve"> </w:t>
      </w:r>
      <w:r>
        <w:rPr>
          <w:i/>
        </w:rPr>
        <w:t>Handyside v UK</w:t>
      </w:r>
      <w:r w:rsidR="00CE6329">
        <w:t>,</w:t>
      </w:r>
      <w:r w:rsidRPr="00EB6567">
        <w:rPr>
          <w:rStyle w:val="FootnoteReference"/>
        </w:rPr>
        <w:footnoteReference w:id="87"/>
      </w:r>
      <w:r w:rsidR="00141204">
        <w:t xml:space="preserve"> which </w:t>
      </w:r>
      <w:r w:rsidR="003B52F7">
        <w:t>case concerned an allegedly obscene publication</w:t>
      </w:r>
      <w:r w:rsidR="0021384C">
        <w:t xml:space="preserve">, </w:t>
      </w:r>
      <w:r w:rsidR="0021384C">
        <w:rPr>
          <w:i/>
        </w:rPr>
        <w:t>The Little Red Schoolbook</w:t>
      </w:r>
      <w:r w:rsidR="003B52F7">
        <w:t>.</w:t>
      </w:r>
      <w:r w:rsidR="0021384C">
        <w:rPr>
          <w:rStyle w:val="FootnoteReference"/>
        </w:rPr>
        <w:footnoteReference w:id="88"/>
      </w:r>
      <w:r w:rsidR="0021384C">
        <w:t xml:space="preserve"> In this case the Court</w:t>
      </w:r>
      <w:r w:rsidR="00ED6DBC">
        <w:t>, which had clearly studied the work in some detail,</w:t>
      </w:r>
      <w:r w:rsidR="00ED6DBC">
        <w:rPr>
          <w:rStyle w:val="FootnoteReference"/>
        </w:rPr>
        <w:footnoteReference w:id="89"/>
      </w:r>
      <w:r w:rsidR="0021384C">
        <w:t xml:space="preserve"> actually agreed that ‘</w:t>
      </w:r>
      <w:r w:rsidR="0021384C" w:rsidRPr="0021384C">
        <w:t>the competent English judges were entitled, in the exercise of their discretion, to think at the relevant time that the </w:t>
      </w:r>
      <w:r w:rsidR="0021384C" w:rsidRPr="0021384C">
        <w:rPr>
          <w:i/>
          <w:iCs/>
        </w:rPr>
        <w:t>Schoolbook </w:t>
      </w:r>
      <w:r w:rsidR="0021384C" w:rsidRPr="0021384C">
        <w:t>would have pernicious effects on the morals of many of the children and adolescents who would read it</w:t>
      </w:r>
      <w:r w:rsidR="0021384C">
        <w:t>’</w:t>
      </w:r>
      <w:r w:rsidR="005C1EC9">
        <w:t>.</w:t>
      </w:r>
      <w:r w:rsidR="005C1EC9">
        <w:rPr>
          <w:rStyle w:val="FootnoteReference"/>
        </w:rPr>
        <w:footnoteReference w:id="90"/>
      </w:r>
      <w:r w:rsidR="00176A4F">
        <w:t xml:space="preserve"> The contrast between </w:t>
      </w:r>
      <w:r w:rsidR="00176A4F">
        <w:rPr>
          <w:i/>
        </w:rPr>
        <w:t>Handyside</w:t>
      </w:r>
      <w:r w:rsidR="00176A4F">
        <w:t xml:space="preserve"> and </w:t>
      </w:r>
      <w:r w:rsidR="00176A4F">
        <w:rPr>
          <w:i/>
        </w:rPr>
        <w:t>SAS</w:t>
      </w:r>
      <w:r w:rsidR="00176A4F">
        <w:t xml:space="preserve"> is clear: there is no </w:t>
      </w:r>
      <w:r w:rsidR="002F42E7">
        <w:t xml:space="preserve">evidence at all provided that </w:t>
      </w:r>
      <w:r w:rsidR="00734BB8">
        <w:t xml:space="preserve">SAS’s covering her face would have pernicious effects, and </w:t>
      </w:r>
      <w:r w:rsidR="00E3439A">
        <w:t>t</w:t>
      </w:r>
      <w:r w:rsidR="007B3F52">
        <w:t>he</w:t>
      </w:r>
      <w:r w:rsidR="00CE6329">
        <w:t xml:space="preserve">re </w:t>
      </w:r>
      <w:r w:rsidR="00D33611">
        <w:t>are no reasons presented that might lead one to believe</w:t>
      </w:r>
      <w:r w:rsidR="00CE6329">
        <w:t xml:space="preserve"> that</w:t>
      </w:r>
      <w:r w:rsidR="007B3F52">
        <w:t xml:space="preserve"> offence</w:t>
      </w:r>
      <w:r w:rsidR="007F7C1B">
        <w:t>, shock, or disturb</w:t>
      </w:r>
      <w:r w:rsidR="007B3F52">
        <w:t>ance</w:t>
      </w:r>
      <w:r w:rsidR="00CE6329">
        <w:t xml:space="preserve"> (which might legitimately be expected)</w:t>
      </w:r>
      <w:r w:rsidR="007B3F52">
        <w:t xml:space="preserve"> </w:t>
      </w:r>
      <w:r w:rsidR="00D33611">
        <w:t>were</w:t>
      </w:r>
      <w:r w:rsidR="00CE6329">
        <w:t xml:space="preserve"> </w:t>
      </w:r>
      <w:r w:rsidR="007B3F52">
        <w:t>sufficient to justify a ban.</w:t>
      </w:r>
    </w:p>
    <w:p w14:paraId="406D1D9A" w14:textId="77777777" w:rsidR="007D32DE" w:rsidRDefault="007D32DE" w:rsidP="004B3AA8">
      <w:pPr>
        <w:pStyle w:val="NormalWeb"/>
        <w:spacing w:before="0" w:after="0" w:line="480" w:lineRule="auto"/>
        <w:jc w:val="center"/>
        <w:rPr>
          <w:color w:val="auto"/>
        </w:rPr>
      </w:pPr>
      <w:r>
        <w:rPr>
          <w:color w:val="auto"/>
        </w:rPr>
        <w:t>*</w:t>
      </w:r>
    </w:p>
    <w:p w14:paraId="35156B9F" w14:textId="77777777" w:rsidR="007D32DE" w:rsidRDefault="007D32DE" w:rsidP="004B3AA8">
      <w:pPr>
        <w:pStyle w:val="NormalWeb"/>
        <w:spacing w:before="0" w:after="0" w:line="480" w:lineRule="auto"/>
        <w:ind w:firstLine="720"/>
        <w:jc w:val="both"/>
        <w:rPr>
          <w:color w:val="auto"/>
        </w:rPr>
      </w:pPr>
    </w:p>
    <w:p w14:paraId="11CE81F7" w14:textId="0E0AC5AB" w:rsidR="007D32DE" w:rsidRPr="00FA19B3" w:rsidRDefault="007D32DE" w:rsidP="004B3AA8">
      <w:pPr>
        <w:pStyle w:val="NormalWeb"/>
        <w:spacing w:before="0" w:after="0" w:line="480" w:lineRule="auto"/>
        <w:jc w:val="both"/>
        <w:rPr>
          <w:color w:val="auto"/>
        </w:rPr>
      </w:pPr>
      <w:r>
        <w:rPr>
          <w:color w:val="auto"/>
        </w:rPr>
        <w:t xml:space="preserve">What can be said about these judgments in general? In </w:t>
      </w:r>
      <w:r>
        <w:rPr>
          <w:i/>
          <w:color w:val="auto"/>
        </w:rPr>
        <w:t>Dahlab</w:t>
      </w:r>
      <w:r>
        <w:rPr>
          <w:color w:val="auto"/>
        </w:rPr>
        <w:t xml:space="preserve">, </w:t>
      </w:r>
      <w:r>
        <w:rPr>
          <w:i/>
          <w:color w:val="auto"/>
        </w:rPr>
        <w:t>Lautsi</w:t>
      </w:r>
      <w:r>
        <w:rPr>
          <w:color w:val="auto"/>
        </w:rPr>
        <w:t xml:space="preserve">, </w:t>
      </w:r>
      <w:r>
        <w:rPr>
          <w:i/>
          <w:color w:val="auto"/>
        </w:rPr>
        <w:t>Ebrahimian</w:t>
      </w:r>
      <w:r w:rsidR="007F4E4B">
        <w:rPr>
          <w:color w:val="auto"/>
        </w:rPr>
        <w:t xml:space="preserve">, and </w:t>
      </w:r>
      <w:r w:rsidR="007F4E4B">
        <w:rPr>
          <w:i/>
          <w:color w:val="auto"/>
        </w:rPr>
        <w:t>SAS</w:t>
      </w:r>
      <w:r w:rsidR="008E59FD">
        <w:rPr>
          <w:color w:val="auto"/>
        </w:rPr>
        <w:t xml:space="preserve"> (</w:t>
      </w:r>
      <w:r>
        <w:rPr>
          <w:i/>
          <w:color w:val="auto"/>
        </w:rPr>
        <w:t>Eweida</w:t>
      </w:r>
      <w:r>
        <w:rPr>
          <w:color w:val="auto"/>
        </w:rPr>
        <w:t xml:space="preserve"> is a</w:t>
      </w:r>
      <w:r w:rsidR="008E59FD">
        <w:rPr>
          <w:color w:val="auto"/>
        </w:rPr>
        <w:t xml:space="preserve"> refreshing exception), general</w:t>
      </w:r>
      <w:r>
        <w:rPr>
          <w:color w:val="auto"/>
        </w:rPr>
        <w:t xml:space="preserve"> principles are employed to decide on the ha</w:t>
      </w:r>
      <w:r w:rsidR="008E59FD">
        <w:rPr>
          <w:color w:val="auto"/>
        </w:rPr>
        <w:t>rm</w:t>
      </w:r>
      <w:r w:rsidR="0036007C">
        <w:rPr>
          <w:color w:val="auto"/>
        </w:rPr>
        <w:t xml:space="preserve"> (or, more broadly, negative consequences)</w:t>
      </w:r>
      <w:r w:rsidR="008E59FD">
        <w:rPr>
          <w:color w:val="auto"/>
        </w:rPr>
        <w:t xml:space="preserve"> that symbols could</w:t>
      </w:r>
      <w:r w:rsidR="00686702">
        <w:rPr>
          <w:color w:val="auto"/>
        </w:rPr>
        <w:t xml:space="preserve"> possibly</w:t>
      </w:r>
      <w:r>
        <w:rPr>
          <w:color w:val="auto"/>
        </w:rPr>
        <w:t xml:space="preserve"> cause individuals</w:t>
      </w:r>
      <w:r>
        <w:rPr>
          <w:rFonts w:ascii="Calibri" w:hAnsi="Calibri"/>
          <w:color w:val="auto"/>
        </w:rPr>
        <w:t>—</w:t>
      </w:r>
      <w:r>
        <w:rPr>
          <w:color w:val="auto"/>
        </w:rPr>
        <w:t>irrespective of whether such harm has actually occurred</w:t>
      </w:r>
      <w:r w:rsidR="00E52C50">
        <w:rPr>
          <w:color w:val="auto"/>
        </w:rPr>
        <w:t xml:space="preserve"> (or even of evidence that such harm was likely)</w:t>
      </w:r>
      <w:r>
        <w:rPr>
          <w:color w:val="auto"/>
        </w:rPr>
        <w:t>. Moreover, the ECtHR seems far more interested in how the objective fact of symbol-use was perceived by the third party than in the corresponding intent of the user. There are good reasons for this</w:t>
      </w:r>
      <w:r w:rsidR="00E52C50">
        <w:rPr>
          <w:color w:val="auto"/>
        </w:rPr>
        <w:t xml:space="preserve">: </w:t>
      </w:r>
      <w:r>
        <w:rPr>
          <w:color w:val="auto"/>
        </w:rPr>
        <w:t xml:space="preserve">as we have seen in our discussion of </w:t>
      </w:r>
      <w:r w:rsidR="00E52C50">
        <w:rPr>
          <w:color w:val="auto"/>
        </w:rPr>
        <w:t>the practical turn in an earlier section</w:t>
      </w:r>
      <w:r>
        <w:rPr>
          <w:color w:val="auto"/>
        </w:rPr>
        <w:t>,</w:t>
      </w:r>
      <w:r w:rsidR="00E52C50">
        <w:rPr>
          <w:color w:val="auto"/>
        </w:rPr>
        <w:t xml:space="preserve"> privileging religious beliefs or intentions over religious practices is open to criticism.</w:t>
      </w:r>
      <w:r>
        <w:rPr>
          <w:color w:val="auto"/>
        </w:rPr>
        <w:t xml:space="preserve"> </w:t>
      </w:r>
      <w:r w:rsidR="00E52C50">
        <w:rPr>
          <w:color w:val="auto"/>
        </w:rPr>
        <w:t>However,</w:t>
      </w:r>
      <w:r>
        <w:rPr>
          <w:color w:val="auto"/>
        </w:rPr>
        <w:t xml:space="preserve"> it has also meant that, during deliberations over justification, unverified and speculative perceptions of harm have </w:t>
      </w:r>
      <w:r w:rsidR="00686702">
        <w:rPr>
          <w:color w:val="auto"/>
        </w:rPr>
        <w:t>occasionally</w:t>
      </w:r>
      <w:r>
        <w:rPr>
          <w:color w:val="auto"/>
        </w:rPr>
        <w:t xml:space="preserve"> been accorded more weight than the intentions of those whose very right to manifest their belief is mean</w:t>
      </w:r>
      <w:r w:rsidR="00E52C50">
        <w:rPr>
          <w:color w:val="auto"/>
        </w:rPr>
        <w:t>t to be protected by Article 9.</w:t>
      </w:r>
      <w:r w:rsidR="00E52C50">
        <w:rPr>
          <w:rStyle w:val="FootnoteReference"/>
          <w:color w:val="auto"/>
        </w:rPr>
        <w:footnoteReference w:id="91"/>
      </w:r>
      <w:r w:rsidR="00FA19B3">
        <w:rPr>
          <w:color w:val="auto"/>
        </w:rPr>
        <w:t xml:space="preserve"> </w:t>
      </w:r>
      <w:r w:rsidR="00FA19B3">
        <w:t>This suggests</w:t>
      </w:r>
      <w:r>
        <w:t xml:space="preserve"> that the problem of weighing up the intentions of the symbol-user against the perceptions of a third party</w:t>
      </w:r>
      <w:r w:rsidRPr="006B1B44">
        <w:t xml:space="preserve"> is fundam</w:t>
      </w:r>
      <w:r w:rsidR="00A5694F">
        <w:t>ental. As Article 9(</w:t>
      </w:r>
      <w:r w:rsidRPr="006B1B44">
        <w:t>2</w:t>
      </w:r>
      <w:r w:rsidR="00A5694F">
        <w:t>)</w:t>
      </w:r>
      <w:r w:rsidRPr="006B1B44">
        <w:t xml:space="preserve"> expressly puts it, the right to freely manifest one’s religion can be </w:t>
      </w:r>
      <w:r w:rsidR="000B0126">
        <w:t xml:space="preserve">justly </w:t>
      </w:r>
      <w:r w:rsidRPr="006B1B44">
        <w:t xml:space="preserve">limited for </w:t>
      </w:r>
      <w:r>
        <w:t>‘</w:t>
      </w:r>
      <w:r w:rsidRPr="006B1B44">
        <w:t>the protection of the rights and freedoms of others</w:t>
      </w:r>
      <w:r>
        <w:t>’</w:t>
      </w:r>
      <w:r w:rsidRPr="006B1B44">
        <w:t xml:space="preserve">. </w:t>
      </w:r>
    </w:p>
    <w:p w14:paraId="167C3EC8" w14:textId="39D4FD3D" w:rsidR="00832B97" w:rsidRDefault="00DB30CD" w:rsidP="004B3AA8">
      <w:pPr>
        <w:autoSpaceDE w:val="0"/>
        <w:autoSpaceDN w:val="0"/>
        <w:adjustRightInd w:val="0"/>
        <w:spacing w:after="0" w:line="480" w:lineRule="auto"/>
        <w:ind w:firstLine="720"/>
        <w:jc w:val="both"/>
        <w:rPr>
          <w:color w:val="000000"/>
          <w:sz w:val="24"/>
          <w:szCs w:val="24"/>
          <w:lang w:eastAsia="en-GB"/>
        </w:rPr>
      </w:pPr>
      <w:r>
        <w:rPr>
          <w:color w:val="000000"/>
          <w:sz w:val="24"/>
          <w:szCs w:val="24"/>
          <w:lang w:eastAsia="en-GB"/>
        </w:rPr>
        <w:t>We have seen</w:t>
      </w:r>
      <w:r w:rsidR="007B1E02">
        <w:rPr>
          <w:color w:val="000000"/>
          <w:sz w:val="24"/>
          <w:szCs w:val="24"/>
          <w:lang w:eastAsia="en-GB"/>
        </w:rPr>
        <w:t xml:space="preserve"> </w:t>
      </w:r>
      <w:r>
        <w:rPr>
          <w:color w:val="000000"/>
          <w:sz w:val="24"/>
          <w:szCs w:val="24"/>
          <w:lang w:eastAsia="en-GB"/>
        </w:rPr>
        <w:t>problems with the establishment of general principles to decide</w:t>
      </w:r>
      <w:r w:rsidR="00476AF2">
        <w:rPr>
          <w:color w:val="000000"/>
          <w:sz w:val="24"/>
          <w:szCs w:val="24"/>
          <w:lang w:eastAsia="en-GB"/>
        </w:rPr>
        <w:t xml:space="preserve"> cases </w:t>
      </w:r>
      <w:r>
        <w:rPr>
          <w:color w:val="000000"/>
          <w:sz w:val="24"/>
          <w:szCs w:val="24"/>
          <w:lang w:eastAsia="en-GB"/>
        </w:rPr>
        <w:t xml:space="preserve">concerning religious </w:t>
      </w:r>
      <w:r w:rsidR="008913BE">
        <w:rPr>
          <w:color w:val="000000"/>
          <w:sz w:val="24"/>
          <w:szCs w:val="24"/>
          <w:lang w:eastAsia="en-GB"/>
        </w:rPr>
        <w:t>freedoms</w:t>
      </w:r>
      <w:r w:rsidR="00476AF2">
        <w:rPr>
          <w:color w:val="000000"/>
          <w:sz w:val="24"/>
          <w:szCs w:val="24"/>
          <w:lang w:eastAsia="en-GB"/>
        </w:rPr>
        <w:t xml:space="preserve"> under Article 9</w:t>
      </w:r>
      <w:r>
        <w:rPr>
          <w:color w:val="000000"/>
          <w:sz w:val="24"/>
          <w:szCs w:val="24"/>
          <w:lang w:eastAsia="en-GB"/>
        </w:rPr>
        <w:t xml:space="preserve">. </w:t>
      </w:r>
      <w:r w:rsidR="00FA4A84">
        <w:rPr>
          <w:color w:val="000000"/>
          <w:sz w:val="24"/>
          <w:szCs w:val="24"/>
          <w:lang w:eastAsia="en-GB"/>
        </w:rPr>
        <w:t xml:space="preserve">With respect to manifestation, the move away from the </w:t>
      </w:r>
      <w:r w:rsidR="00FA4A84" w:rsidRPr="00FA4A84">
        <w:rPr>
          <w:i/>
          <w:color w:val="000000"/>
          <w:sz w:val="24"/>
          <w:szCs w:val="24"/>
          <w:lang w:eastAsia="en-GB"/>
        </w:rPr>
        <w:t>Arrowsmith</w:t>
      </w:r>
      <w:r w:rsidR="00FA4A84">
        <w:rPr>
          <w:color w:val="000000"/>
          <w:sz w:val="24"/>
          <w:szCs w:val="24"/>
          <w:lang w:eastAsia="en-GB"/>
        </w:rPr>
        <w:t xml:space="preserve"> principle </w:t>
      </w:r>
      <w:r w:rsidR="008913BE">
        <w:rPr>
          <w:color w:val="000000"/>
          <w:sz w:val="24"/>
          <w:szCs w:val="24"/>
          <w:lang w:eastAsia="en-GB"/>
        </w:rPr>
        <w:t>(</w:t>
      </w:r>
      <w:r w:rsidR="00FA4A84">
        <w:rPr>
          <w:color w:val="000000"/>
          <w:sz w:val="24"/>
          <w:szCs w:val="24"/>
          <w:lang w:eastAsia="en-GB"/>
        </w:rPr>
        <w:t xml:space="preserve">protected practices must </w:t>
      </w:r>
      <w:r w:rsidR="008913BE">
        <w:rPr>
          <w:color w:val="000000"/>
          <w:sz w:val="24"/>
          <w:szCs w:val="24"/>
          <w:lang w:eastAsia="en-GB"/>
        </w:rPr>
        <w:t>‘</w:t>
      </w:r>
      <w:r w:rsidR="00FA4A84">
        <w:rPr>
          <w:color w:val="000000"/>
          <w:sz w:val="24"/>
          <w:szCs w:val="24"/>
          <w:lang w:eastAsia="en-GB"/>
        </w:rPr>
        <w:t>express</w:t>
      </w:r>
      <w:r w:rsidR="008913BE">
        <w:rPr>
          <w:color w:val="000000"/>
          <w:sz w:val="24"/>
          <w:szCs w:val="24"/>
          <w:lang w:eastAsia="en-GB"/>
        </w:rPr>
        <w:t>’</w:t>
      </w:r>
      <w:r w:rsidR="00FA4A84">
        <w:rPr>
          <w:color w:val="000000"/>
          <w:sz w:val="24"/>
          <w:szCs w:val="24"/>
          <w:lang w:eastAsia="en-GB"/>
        </w:rPr>
        <w:t xml:space="preserve"> </w:t>
      </w:r>
      <w:r w:rsidR="008913BE">
        <w:rPr>
          <w:color w:val="000000"/>
          <w:sz w:val="24"/>
          <w:szCs w:val="24"/>
          <w:lang w:eastAsia="en-GB"/>
        </w:rPr>
        <w:t xml:space="preserve">religious </w:t>
      </w:r>
      <w:r w:rsidR="00FA4A84">
        <w:rPr>
          <w:color w:val="000000"/>
          <w:sz w:val="24"/>
          <w:szCs w:val="24"/>
          <w:lang w:eastAsia="en-GB"/>
        </w:rPr>
        <w:t>belief</w:t>
      </w:r>
      <w:r w:rsidR="008913BE">
        <w:rPr>
          <w:color w:val="000000"/>
          <w:sz w:val="24"/>
          <w:szCs w:val="24"/>
          <w:lang w:eastAsia="en-GB"/>
        </w:rPr>
        <w:t>s)</w:t>
      </w:r>
      <w:r w:rsidR="00FA4A84">
        <w:rPr>
          <w:color w:val="000000"/>
          <w:sz w:val="24"/>
          <w:szCs w:val="24"/>
          <w:lang w:eastAsia="en-GB"/>
        </w:rPr>
        <w:t xml:space="preserve"> to a more praxis-centred approach has</w:t>
      </w:r>
      <w:r w:rsidR="00641959">
        <w:rPr>
          <w:color w:val="000000"/>
          <w:sz w:val="24"/>
          <w:szCs w:val="24"/>
          <w:lang w:eastAsia="en-GB"/>
        </w:rPr>
        <w:t>, in general, met with a positive reaction and brought the Court’s jurisprudence more in line with recent trends in the theori</w:t>
      </w:r>
      <w:r w:rsidR="00476AF2">
        <w:rPr>
          <w:color w:val="000000"/>
          <w:sz w:val="24"/>
          <w:szCs w:val="24"/>
          <w:lang w:eastAsia="en-GB"/>
        </w:rPr>
        <w:t>z</w:t>
      </w:r>
      <w:r w:rsidR="00641959">
        <w:rPr>
          <w:color w:val="000000"/>
          <w:sz w:val="24"/>
          <w:szCs w:val="24"/>
          <w:lang w:eastAsia="en-GB"/>
        </w:rPr>
        <w:t xml:space="preserve">ation of religion. With respect to harm, we </w:t>
      </w:r>
      <w:r w:rsidR="007B1E02">
        <w:rPr>
          <w:color w:val="000000"/>
          <w:sz w:val="24"/>
          <w:szCs w:val="24"/>
          <w:lang w:eastAsia="en-GB"/>
        </w:rPr>
        <w:t>have seen</w:t>
      </w:r>
      <w:r w:rsidR="00641959">
        <w:rPr>
          <w:color w:val="000000"/>
          <w:sz w:val="24"/>
          <w:szCs w:val="24"/>
          <w:lang w:eastAsia="en-GB"/>
        </w:rPr>
        <w:t xml:space="preserve"> the difficulties that resulted from some of the more rigid principles that the ECtHR has flirted with (such as, </w:t>
      </w:r>
      <w:r w:rsidR="008913BE">
        <w:rPr>
          <w:color w:val="000000"/>
          <w:sz w:val="24"/>
          <w:szCs w:val="24"/>
          <w:lang w:eastAsia="en-GB"/>
        </w:rPr>
        <w:t>that state interference i</w:t>
      </w:r>
      <w:r w:rsidR="00641959">
        <w:rPr>
          <w:color w:val="000000"/>
          <w:sz w:val="24"/>
          <w:szCs w:val="24"/>
          <w:lang w:eastAsia="en-GB"/>
        </w:rPr>
        <w:t xml:space="preserve">s </w:t>
      </w:r>
      <w:r w:rsidR="008913BE">
        <w:rPr>
          <w:color w:val="000000"/>
          <w:sz w:val="24"/>
          <w:szCs w:val="24"/>
          <w:lang w:eastAsia="en-GB"/>
        </w:rPr>
        <w:t>justified</w:t>
      </w:r>
      <w:r w:rsidR="00641959">
        <w:rPr>
          <w:color w:val="000000"/>
          <w:sz w:val="24"/>
          <w:szCs w:val="24"/>
          <w:lang w:eastAsia="en-GB"/>
        </w:rPr>
        <w:t xml:space="preserve"> </w:t>
      </w:r>
      <w:r w:rsidR="00476AF2">
        <w:rPr>
          <w:color w:val="000000"/>
          <w:sz w:val="24"/>
          <w:szCs w:val="24"/>
          <w:lang w:eastAsia="en-GB"/>
        </w:rPr>
        <w:t xml:space="preserve">only </w:t>
      </w:r>
      <w:r w:rsidR="00641959">
        <w:rPr>
          <w:color w:val="000000"/>
          <w:sz w:val="24"/>
          <w:szCs w:val="24"/>
          <w:lang w:eastAsia="en-GB"/>
        </w:rPr>
        <w:t>w</w:t>
      </w:r>
      <w:r w:rsidR="008913BE">
        <w:rPr>
          <w:color w:val="000000"/>
          <w:sz w:val="24"/>
          <w:szCs w:val="24"/>
          <w:lang w:eastAsia="en-GB"/>
        </w:rPr>
        <w:t>hen symbols are particularly</w:t>
      </w:r>
      <w:r w:rsidR="00641959">
        <w:rPr>
          <w:color w:val="000000"/>
          <w:sz w:val="24"/>
          <w:szCs w:val="24"/>
          <w:lang w:eastAsia="en-GB"/>
        </w:rPr>
        <w:t xml:space="preserve"> </w:t>
      </w:r>
      <w:r w:rsidR="008913BE">
        <w:rPr>
          <w:color w:val="000000"/>
          <w:sz w:val="24"/>
          <w:szCs w:val="24"/>
          <w:lang w:eastAsia="en-GB"/>
        </w:rPr>
        <w:t>‘</w:t>
      </w:r>
      <w:r w:rsidR="00641959">
        <w:rPr>
          <w:color w:val="000000"/>
          <w:sz w:val="24"/>
          <w:szCs w:val="24"/>
          <w:lang w:eastAsia="en-GB"/>
        </w:rPr>
        <w:t>powerful</w:t>
      </w:r>
      <w:r w:rsidR="008913BE">
        <w:rPr>
          <w:color w:val="000000"/>
          <w:sz w:val="24"/>
          <w:szCs w:val="24"/>
          <w:lang w:eastAsia="en-GB"/>
        </w:rPr>
        <w:t>’</w:t>
      </w:r>
      <w:r w:rsidR="00641959">
        <w:rPr>
          <w:color w:val="000000"/>
          <w:sz w:val="24"/>
          <w:szCs w:val="24"/>
          <w:lang w:eastAsia="en-GB"/>
        </w:rPr>
        <w:t xml:space="preserve">). </w:t>
      </w:r>
      <w:r w:rsidR="003A556B">
        <w:rPr>
          <w:color w:val="000000"/>
          <w:sz w:val="24"/>
          <w:szCs w:val="24"/>
          <w:lang w:eastAsia="en-GB"/>
        </w:rPr>
        <w:t>In both cases,</w:t>
      </w:r>
      <w:r w:rsidR="00641959">
        <w:rPr>
          <w:color w:val="000000"/>
          <w:sz w:val="24"/>
          <w:szCs w:val="24"/>
          <w:lang w:eastAsia="en-GB"/>
        </w:rPr>
        <w:t xml:space="preserve"> general principles are to be eschewed in favour of context-dependent judgments. </w:t>
      </w:r>
    </w:p>
    <w:p w14:paraId="3781356E" w14:textId="0145C7DB" w:rsidR="008913BE" w:rsidRDefault="00832B97" w:rsidP="004B3AA8">
      <w:pPr>
        <w:autoSpaceDE w:val="0"/>
        <w:autoSpaceDN w:val="0"/>
        <w:adjustRightInd w:val="0"/>
        <w:spacing w:after="0" w:line="480" w:lineRule="auto"/>
        <w:ind w:firstLine="720"/>
        <w:jc w:val="both"/>
        <w:rPr>
          <w:color w:val="000000"/>
          <w:sz w:val="24"/>
          <w:szCs w:val="24"/>
          <w:lang w:eastAsia="en-GB"/>
        </w:rPr>
      </w:pPr>
      <w:r>
        <w:rPr>
          <w:color w:val="000000"/>
          <w:sz w:val="24"/>
          <w:szCs w:val="24"/>
          <w:lang w:eastAsia="en-GB"/>
        </w:rPr>
        <w:t xml:space="preserve">The above is perhaps only to be expected </w:t>
      </w:r>
      <w:r w:rsidR="00476AF2">
        <w:rPr>
          <w:color w:val="000000"/>
          <w:sz w:val="24"/>
          <w:szCs w:val="24"/>
          <w:lang w:eastAsia="en-GB"/>
        </w:rPr>
        <w:t>in the light of</w:t>
      </w:r>
      <w:r>
        <w:rPr>
          <w:color w:val="000000"/>
          <w:sz w:val="24"/>
          <w:szCs w:val="24"/>
          <w:lang w:eastAsia="en-GB"/>
        </w:rPr>
        <w:t xml:space="preserve"> the ECtHR’s continual reliance on the </w:t>
      </w:r>
      <w:r w:rsidR="00476AF2">
        <w:rPr>
          <w:color w:val="000000"/>
          <w:sz w:val="24"/>
          <w:szCs w:val="24"/>
          <w:lang w:eastAsia="en-GB"/>
        </w:rPr>
        <w:t xml:space="preserve">doctrine of the </w:t>
      </w:r>
      <w:r>
        <w:rPr>
          <w:color w:val="000000"/>
          <w:sz w:val="24"/>
          <w:szCs w:val="24"/>
          <w:lang w:eastAsia="en-GB"/>
        </w:rPr>
        <w:t xml:space="preserve">margin of appreciation. </w:t>
      </w:r>
      <w:r w:rsidR="00476AF2">
        <w:rPr>
          <w:color w:val="000000"/>
          <w:sz w:val="24"/>
          <w:szCs w:val="24"/>
          <w:lang w:eastAsia="en-GB"/>
        </w:rPr>
        <w:t>F</w:t>
      </w:r>
      <w:r w:rsidR="00DB30CD">
        <w:rPr>
          <w:color w:val="000000"/>
          <w:sz w:val="24"/>
          <w:szCs w:val="24"/>
          <w:lang w:eastAsia="en-GB"/>
        </w:rPr>
        <w:t xml:space="preserve">rom the perspective of contemporary philosophy, </w:t>
      </w:r>
      <w:r w:rsidR="00476AF2">
        <w:rPr>
          <w:color w:val="000000"/>
          <w:sz w:val="24"/>
          <w:szCs w:val="24"/>
          <w:lang w:eastAsia="en-GB"/>
        </w:rPr>
        <w:t xml:space="preserve">however, </w:t>
      </w:r>
      <w:r w:rsidR="00DB30CD">
        <w:rPr>
          <w:color w:val="000000"/>
          <w:sz w:val="24"/>
          <w:szCs w:val="24"/>
          <w:lang w:eastAsia="en-GB"/>
        </w:rPr>
        <w:t>what is interestin</w:t>
      </w:r>
      <w:r w:rsidR="00641959">
        <w:rPr>
          <w:color w:val="000000"/>
          <w:sz w:val="24"/>
          <w:szCs w:val="24"/>
          <w:lang w:eastAsia="en-GB"/>
        </w:rPr>
        <w:t>g here is the coincidence of this trend in ECtHR jurisprudence with recent research on the relation between the liberal state and the place of religion. Cécile Laborde’s influential article ‘Political Liberalism and Religion: O</w:t>
      </w:r>
      <w:r w:rsidR="00476AF2">
        <w:rPr>
          <w:color w:val="000000"/>
          <w:sz w:val="24"/>
          <w:szCs w:val="24"/>
          <w:lang w:eastAsia="en-GB"/>
        </w:rPr>
        <w:t>n Separation and Establishment’</w:t>
      </w:r>
      <w:r w:rsidR="00641959">
        <w:rPr>
          <w:color w:val="000000"/>
          <w:sz w:val="24"/>
          <w:szCs w:val="24"/>
          <w:lang w:eastAsia="en-GB"/>
        </w:rPr>
        <w:t xml:space="preserve"> argues that </w:t>
      </w:r>
      <w:r w:rsidR="00203634">
        <w:rPr>
          <w:color w:val="000000"/>
          <w:sz w:val="24"/>
          <w:szCs w:val="24"/>
          <w:lang w:eastAsia="en-GB"/>
        </w:rPr>
        <w:t xml:space="preserve">‘“orthodox” political liberalism is </w:t>
      </w:r>
      <w:r w:rsidR="00203634">
        <w:rPr>
          <w:i/>
          <w:color w:val="000000"/>
          <w:sz w:val="24"/>
          <w:szCs w:val="24"/>
          <w:lang w:eastAsia="en-GB"/>
        </w:rPr>
        <w:t>indeterminate</w:t>
      </w:r>
      <w:r w:rsidR="00203634">
        <w:rPr>
          <w:color w:val="000000"/>
          <w:sz w:val="24"/>
          <w:szCs w:val="24"/>
          <w:lang w:eastAsia="en-GB"/>
        </w:rPr>
        <w:t xml:space="preserve"> about the symbolic dimensions of th</w:t>
      </w:r>
      <w:r w:rsidR="008E4BA6">
        <w:rPr>
          <w:color w:val="000000"/>
          <w:sz w:val="24"/>
          <w:szCs w:val="24"/>
          <w:lang w:eastAsia="en-GB"/>
        </w:rPr>
        <w:t>e public place of religion’</w:t>
      </w:r>
      <w:r w:rsidR="001C77DA">
        <w:rPr>
          <w:color w:val="000000"/>
          <w:sz w:val="24"/>
          <w:szCs w:val="24"/>
          <w:lang w:eastAsia="en-GB"/>
        </w:rPr>
        <w:t>.</w:t>
      </w:r>
      <w:r w:rsidR="008E4BA6">
        <w:rPr>
          <w:rStyle w:val="FootnoteReference"/>
          <w:color w:val="000000"/>
          <w:sz w:val="24"/>
          <w:szCs w:val="24"/>
          <w:lang w:eastAsia="en-GB"/>
        </w:rPr>
        <w:footnoteReference w:id="92"/>
      </w:r>
      <w:r w:rsidR="001C77DA">
        <w:rPr>
          <w:color w:val="000000"/>
          <w:sz w:val="24"/>
          <w:szCs w:val="24"/>
          <w:lang w:eastAsia="en-GB"/>
        </w:rPr>
        <w:t xml:space="preserve"> That is, Laborde contends that when it comes to debates about religious symbolism, which are—according to Laborde’s Rawlsian presupposition</w:t>
      </w:r>
      <w:r w:rsidR="008913BE">
        <w:rPr>
          <w:color w:val="000000"/>
          <w:sz w:val="24"/>
          <w:szCs w:val="24"/>
          <w:lang w:eastAsia="en-GB"/>
        </w:rPr>
        <w:t>s</w:t>
      </w:r>
      <w:r w:rsidR="001C77DA">
        <w:rPr>
          <w:color w:val="000000"/>
          <w:sz w:val="24"/>
          <w:szCs w:val="24"/>
          <w:lang w:eastAsia="en-GB"/>
        </w:rPr>
        <w:t>—</w:t>
      </w:r>
      <w:r w:rsidR="008E4BA6">
        <w:rPr>
          <w:color w:val="000000"/>
          <w:sz w:val="24"/>
          <w:szCs w:val="24"/>
          <w:lang w:eastAsia="en-GB"/>
        </w:rPr>
        <w:t>‘non-justice based’</w:t>
      </w:r>
      <w:r w:rsidR="00476AF2">
        <w:rPr>
          <w:color w:val="000000"/>
          <w:sz w:val="24"/>
          <w:szCs w:val="24"/>
          <w:lang w:eastAsia="en-GB"/>
        </w:rPr>
        <w:t>,</w:t>
      </w:r>
      <w:r w:rsidR="001C77DA">
        <w:rPr>
          <w:rStyle w:val="FootnoteReference"/>
          <w:color w:val="000000"/>
          <w:sz w:val="24"/>
          <w:szCs w:val="24"/>
          <w:lang w:eastAsia="en-GB"/>
        </w:rPr>
        <w:footnoteReference w:id="93"/>
      </w:r>
      <w:r w:rsidR="001C77DA">
        <w:rPr>
          <w:color w:val="000000"/>
          <w:sz w:val="24"/>
          <w:szCs w:val="24"/>
          <w:lang w:eastAsia="en-GB"/>
        </w:rPr>
        <w:t xml:space="preserve"> most </w:t>
      </w:r>
      <w:r w:rsidR="008913BE">
        <w:rPr>
          <w:color w:val="000000"/>
          <w:sz w:val="24"/>
          <w:szCs w:val="24"/>
          <w:lang w:eastAsia="en-GB"/>
        </w:rPr>
        <w:t xml:space="preserve">resolutions </w:t>
      </w:r>
      <w:r w:rsidR="001C77DA">
        <w:rPr>
          <w:color w:val="000000"/>
          <w:sz w:val="24"/>
          <w:szCs w:val="24"/>
          <w:lang w:eastAsia="en-GB"/>
        </w:rPr>
        <w:t>are equally countenanced under classical liberalism. Therefore</w:t>
      </w:r>
      <w:r w:rsidR="008913BE">
        <w:rPr>
          <w:color w:val="000000"/>
          <w:sz w:val="24"/>
          <w:szCs w:val="24"/>
          <w:lang w:eastAsia="en-GB"/>
        </w:rPr>
        <w:t>,</w:t>
      </w:r>
      <w:r w:rsidR="001C77DA">
        <w:rPr>
          <w:color w:val="000000"/>
          <w:sz w:val="24"/>
          <w:szCs w:val="24"/>
          <w:lang w:eastAsia="en-GB"/>
        </w:rPr>
        <w:t xml:space="preserve"> </w:t>
      </w:r>
      <w:r w:rsidR="009246DF">
        <w:rPr>
          <w:color w:val="000000"/>
          <w:sz w:val="24"/>
          <w:szCs w:val="24"/>
          <w:lang w:eastAsia="en-GB"/>
        </w:rPr>
        <w:t xml:space="preserve">she argues, </w:t>
      </w:r>
      <w:r w:rsidR="001C77DA">
        <w:rPr>
          <w:color w:val="000000"/>
          <w:sz w:val="24"/>
          <w:szCs w:val="24"/>
          <w:lang w:eastAsia="en-GB"/>
        </w:rPr>
        <w:t>there is no reason to exclude either, at one extreme, the state-sanctioned preferen</w:t>
      </w:r>
      <w:r w:rsidR="008913BE">
        <w:rPr>
          <w:color w:val="000000"/>
          <w:sz w:val="24"/>
          <w:szCs w:val="24"/>
          <w:lang w:eastAsia="en-GB"/>
        </w:rPr>
        <w:t>ce for the use of symbols from one</w:t>
      </w:r>
      <w:r w:rsidR="001C77DA">
        <w:rPr>
          <w:color w:val="000000"/>
          <w:sz w:val="24"/>
          <w:szCs w:val="24"/>
          <w:lang w:eastAsia="en-GB"/>
        </w:rPr>
        <w:t xml:space="preserve"> particular religion or, at the other extreme, the exclusion of all religious symbols from the public sphere. Liberal doctrine</w:t>
      </w:r>
      <w:r w:rsidR="008E4BA6">
        <w:rPr>
          <w:color w:val="000000"/>
          <w:sz w:val="24"/>
          <w:szCs w:val="24"/>
          <w:lang w:eastAsia="en-GB"/>
        </w:rPr>
        <w:t xml:space="preserve"> must remain ‘silent’</w:t>
      </w:r>
      <w:r w:rsidR="008E4BA6">
        <w:rPr>
          <w:rStyle w:val="FootnoteReference"/>
          <w:color w:val="000000"/>
          <w:sz w:val="24"/>
          <w:szCs w:val="24"/>
          <w:lang w:eastAsia="en-GB"/>
        </w:rPr>
        <w:footnoteReference w:id="94"/>
      </w:r>
      <w:r w:rsidR="001C77DA">
        <w:rPr>
          <w:color w:val="000000"/>
          <w:sz w:val="24"/>
          <w:szCs w:val="24"/>
          <w:lang w:eastAsia="en-GB"/>
        </w:rPr>
        <w:t xml:space="preserve"> </w:t>
      </w:r>
      <w:r w:rsidR="008913BE">
        <w:rPr>
          <w:color w:val="000000"/>
          <w:sz w:val="24"/>
          <w:szCs w:val="24"/>
          <w:lang w:eastAsia="en-GB"/>
        </w:rPr>
        <w:t>on such questions</w:t>
      </w:r>
      <w:r w:rsidR="009246DF">
        <w:rPr>
          <w:color w:val="000000"/>
          <w:sz w:val="24"/>
          <w:szCs w:val="24"/>
          <w:lang w:eastAsia="en-GB"/>
        </w:rPr>
        <w:t>, in her view</w:t>
      </w:r>
      <w:r w:rsidR="008913BE">
        <w:rPr>
          <w:color w:val="000000"/>
          <w:sz w:val="24"/>
          <w:szCs w:val="24"/>
          <w:lang w:eastAsia="en-GB"/>
        </w:rPr>
        <w:t xml:space="preserve">. She writes, </w:t>
      </w:r>
    </w:p>
    <w:p w14:paraId="72EB8E55" w14:textId="77777777" w:rsidR="008913BE" w:rsidRDefault="008913BE" w:rsidP="004B3AA8">
      <w:pPr>
        <w:autoSpaceDE w:val="0"/>
        <w:autoSpaceDN w:val="0"/>
        <w:adjustRightInd w:val="0"/>
        <w:spacing w:after="0" w:line="480" w:lineRule="auto"/>
        <w:ind w:firstLine="720"/>
        <w:jc w:val="both"/>
        <w:rPr>
          <w:color w:val="000000"/>
          <w:sz w:val="24"/>
          <w:szCs w:val="24"/>
          <w:lang w:eastAsia="en-GB"/>
        </w:rPr>
      </w:pPr>
    </w:p>
    <w:p w14:paraId="51C036C2" w14:textId="77777777" w:rsidR="001C77DA" w:rsidRDefault="001C77DA" w:rsidP="008913BE">
      <w:pPr>
        <w:autoSpaceDE w:val="0"/>
        <w:autoSpaceDN w:val="0"/>
        <w:adjustRightInd w:val="0"/>
        <w:spacing w:after="0" w:line="480" w:lineRule="auto"/>
        <w:ind w:left="1440"/>
        <w:jc w:val="both"/>
        <w:rPr>
          <w:color w:val="000000"/>
          <w:sz w:val="24"/>
          <w:szCs w:val="24"/>
          <w:lang w:eastAsia="en-GB"/>
        </w:rPr>
      </w:pPr>
      <w:r>
        <w:rPr>
          <w:color w:val="000000"/>
          <w:sz w:val="24"/>
          <w:szCs w:val="24"/>
          <w:lang w:eastAsia="en-GB"/>
        </w:rPr>
        <w:t>Citizens deliberating about [uses of religious symbolism] are not constrained by the demands of public reason and may legitimately appeal to non-public reasons, such as the specific beliefs held by the majority. Consequently</w:t>
      </w:r>
      <w:r w:rsidR="008913BE">
        <w:rPr>
          <w:color w:val="000000"/>
          <w:sz w:val="24"/>
          <w:szCs w:val="24"/>
          <w:lang w:eastAsia="en-GB"/>
        </w:rPr>
        <w:t xml:space="preserve"> </w:t>
      </w:r>
      <w:r>
        <w:rPr>
          <w:color w:val="000000"/>
          <w:sz w:val="24"/>
          <w:szCs w:val="24"/>
          <w:lang w:eastAsia="en-GB"/>
        </w:rPr>
        <w:t>… a political liberal state can give symbol</w:t>
      </w:r>
      <w:r w:rsidR="008913BE">
        <w:rPr>
          <w:color w:val="000000"/>
          <w:sz w:val="24"/>
          <w:szCs w:val="24"/>
          <w:lang w:eastAsia="en-GB"/>
        </w:rPr>
        <w:t xml:space="preserve">ic precedence to one religion </w:t>
      </w:r>
      <w:r>
        <w:rPr>
          <w:color w:val="000000"/>
          <w:sz w:val="24"/>
          <w:szCs w:val="24"/>
          <w:lang w:eastAsia="en-GB"/>
        </w:rPr>
        <w:t>… [and equally] a political liberal state can attach itself to mul</w:t>
      </w:r>
      <w:r w:rsidR="008913BE">
        <w:rPr>
          <w:color w:val="000000"/>
          <w:sz w:val="24"/>
          <w:szCs w:val="24"/>
          <w:lang w:eastAsia="en-GB"/>
        </w:rPr>
        <w:t>ti-faith religious symbols</w:t>
      </w:r>
      <w:r>
        <w:rPr>
          <w:color w:val="000000"/>
          <w:sz w:val="24"/>
          <w:szCs w:val="24"/>
          <w:lang w:eastAsia="en-GB"/>
        </w:rPr>
        <w:t>.</w:t>
      </w:r>
      <w:r w:rsidR="008E4BA6">
        <w:rPr>
          <w:rStyle w:val="FootnoteReference"/>
          <w:color w:val="000000"/>
          <w:sz w:val="24"/>
          <w:szCs w:val="24"/>
          <w:lang w:eastAsia="en-GB"/>
        </w:rPr>
        <w:footnoteReference w:id="95"/>
      </w:r>
    </w:p>
    <w:p w14:paraId="56018F43" w14:textId="77777777" w:rsidR="008913BE" w:rsidRDefault="001C77DA" w:rsidP="004B3AA8">
      <w:pPr>
        <w:autoSpaceDE w:val="0"/>
        <w:autoSpaceDN w:val="0"/>
        <w:adjustRightInd w:val="0"/>
        <w:spacing w:after="0" w:line="480" w:lineRule="auto"/>
        <w:jc w:val="both"/>
        <w:rPr>
          <w:color w:val="000000"/>
          <w:sz w:val="24"/>
          <w:szCs w:val="24"/>
          <w:lang w:eastAsia="en-GB"/>
        </w:rPr>
      </w:pPr>
      <w:r>
        <w:rPr>
          <w:color w:val="000000"/>
          <w:sz w:val="24"/>
          <w:szCs w:val="24"/>
          <w:lang w:eastAsia="en-GB"/>
        </w:rPr>
        <w:tab/>
      </w:r>
    </w:p>
    <w:p w14:paraId="14E1CE91" w14:textId="01D4D39E" w:rsidR="0074469E" w:rsidRDefault="009246DF" w:rsidP="008913BE">
      <w:pPr>
        <w:autoSpaceDE w:val="0"/>
        <w:autoSpaceDN w:val="0"/>
        <w:adjustRightInd w:val="0"/>
        <w:spacing w:after="0" w:line="480" w:lineRule="auto"/>
        <w:ind w:firstLine="720"/>
        <w:jc w:val="both"/>
        <w:rPr>
          <w:color w:val="000000"/>
          <w:sz w:val="24"/>
          <w:szCs w:val="24"/>
          <w:lang w:eastAsia="en-GB"/>
        </w:rPr>
      </w:pPr>
      <w:r>
        <w:rPr>
          <w:color w:val="000000"/>
          <w:sz w:val="24"/>
          <w:szCs w:val="24"/>
          <w:lang w:eastAsia="en-GB"/>
        </w:rPr>
        <w:t>Her</w:t>
      </w:r>
      <w:r w:rsidR="001C77DA">
        <w:rPr>
          <w:color w:val="000000"/>
          <w:sz w:val="24"/>
          <w:szCs w:val="24"/>
          <w:lang w:eastAsia="en-GB"/>
        </w:rPr>
        <w:t xml:space="preserve"> </w:t>
      </w:r>
      <w:r w:rsidR="00610B37">
        <w:rPr>
          <w:color w:val="000000"/>
          <w:sz w:val="24"/>
          <w:szCs w:val="24"/>
          <w:lang w:eastAsia="en-GB"/>
        </w:rPr>
        <w:t>view</w:t>
      </w:r>
      <w:r w:rsidR="001C77DA">
        <w:rPr>
          <w:color w:val="000000"/>
          <w:sz w:val="24"/>
          <w:szCs w:val="24"/>
          <w:lang w:eastAsia="en-GB"/>
        </w:rPr>
        <w:t>s</w:t>
      </w:r>
      <w:r>
        <w:rPr>
          <w:color w:val="000000"/>
          <w:sz w:val="24"/>
          <w:szCs w:val="24"/>
          <w:lang w:eastAsia="en-GB"/>
        </w:rPr>
        <w:t xml:space="preserve">, whether </w:t>
      </w:r>
      <w:r w:rsidR="00610B37">
        <w:rPr>
          <w:color w:val="000000"/>
          <w:sz w:val="24"/>
          <w:szCs w:val="24"/>
          <w:lang w:eastAsia="en-GB"/>
        </w:rPr>
        <w:t>they are</w:t>
      </w:r>
      <w:r>
        <w:rPr>
          <w:color w:val="000000"/>
          <w:sz w:val="24"/>
          <w:szCs w:val="24"/>
          <w:lang w:eastAsia="en-GB"/>
        </w:rPr>
        <w:t xml:space="preserve"> right or wrong,</w:t>
      </w:r>
      <w:r w:rsidR="001C77DA">
        <w:rPr>
          <w:color w:val="000000"/>
          <w:sz w:val="24"/>
          <w:szCs w:val="24"/>
          <w:lang w:eastAsia="en-GB"/>
        </w:rPr>
        <w:t xml:space="preserve"> </w:t>
      </w:r>
      <w:r w:rsidR="00E874A8">
        <w:rPr>
          <w:color w:val="000000"/>
          <w:sz w:val="24"/>
          <w:szCs w:val="24"/>
          <w:lang w:eastAsia="en-GB"/>
        </w:rPr>
        <w:t xml:space="preserve">express something </w:t>
      </w:r>
      <w:r>
        <w:rPr>
          <w:color w:val="000000"/>
          <w:sz w:val="24"/>
          <w:szCs w:val="24"/>
          <w:lang w:eastAsia="en-GB"/>
        </w:rPr>
        <w:t xml:space="preserve">quite </w:t>
      </w:r>
      <w:r w:rsidR="001C77DA">
        <w:rPr>
          <w:color w:val="000000"/>
          <w:sz w:val="24"/>
          <w:szCs w:val="24"/>
          <w:lang w:eastAsia="en-GB"/>
        </w:rPr>
        <w:t>broadly</w:t>
      </w:r>
      <w:r>
        <w:rPr>
          <w:color w:val="000000"/>
          <w:sz w:val="24"/>
          <w:szCs w:val="24"/>
          <w:lang w:eastAsia="en-GB"/>
        </w:rPr>
        <w:t xml:space="preserve"> shared </w:t>
      </w:r>
      <w:r w:rsidR="00E874A8">
        <w:rPr>
          <w:color w:val="000000"/>
          <w:sz w:val="24"/>
          <w:szCs w:val="24"/>
          <w:lang w:eastAsia="en-GB"/>
        </w:rPr>
        <w:t>among liberal thinkers;</w:t>
      </w:r>
      <w:r w:rsidR="001C77DA">
        <w:rPr>
          <w:color w:val="000000"/>
          <w:sz w:val="24"/>
          <w:szCs w:val="24"/>
          <w:lang w:eastAsia="en-GB"/>
        </w:rPr>
        <w:t xml:space="preserve"> </w:t>
      </w:r>
      <w:r w:rsidR="008913BE">
        <w:rPr>
          <w:color w:val="000000"/>
          <w:sz w:val="24"/>
          <w:szCs w:val="24"/>
          <w:lang w:eastAsia="en-GB"/>
        </w:rPr>
        <w:t>it is little</w:t>
      </w:r>
      <w:r w:rsidR="001C77DA">
        <w:rPr>
          <w:color w:val="000000"/>
          <w:sz w:val="24"/>
          <w:szCs w:val="24"/>
          <w:lang w:eastAsia="en-GB"/>
        </w:rPr>
        <w:t xml:space="preserve"> wonder</w:t>
      </w:r>
      <w:r w:rsidR="00E874A8">
        <w:rPr>
          <w:color w:val="000000"/>
          <w:sz w:val="24"/>
          <w:szCs w:val="24"/>
          <w:lang w:eastAsia="en-GB"/>
        </w:rPr>
        <w:t>, then,</w:t>
      </w:r>
      <w:r w:rsidR="001C77DA">
        <w:rPr>
          <w:color w:val="000000"/>
          <w:sz w:val="24"/>
          <w:szCs w:val="24"/>
          <w:lang w:eastAsia="en-GB"/>
        </w:rPr>
        <w:t xml:space="preserve"> that</w:t>
      </w:r>
      <w:r w:rsidR="008913BE">
        <w:rPr>
          <w:color w:val="000000"/>
          <w:sz w:val="24"/>
          <w:szCs w:val="24"/>
          <w:lang w:eastAsia="en-GB"/>
        </w:rPr>
        <w:t>,</w:t>
      </w:r>
      <w:r w:rsidR="001C77DA">
        <w:rPr>
          <w:color w:val="000000"/>
          <w:sz w:val="24"/>
          <w:szCs w:val="24"/>
          <w:lang w:eastAsia="en-GB"/>
        </w:rPr>
        <w:t xml:space="preserve"> at the </w:t>
      </w:r>
      <w:r w:rsidR="008913BE">
        <w:rPr>
          <w:color w:val="000000"/>
          <w:sz w:val="24"/>
          <w:szCs w:val="24"/>
          <w:lang w:eastAsia="en-GB"/>
        </w:rPr>
        <w:t>level of a supra-national Court</w:t>
      </w:r>
      <w:r w:rsidR="001C77DA">
        <w:rPr>
          <w:color w:val="000000"/>
          <w:sz w:val="24"/>
          <w:szCs w:val="24"/>
          <w:lang w:eastAsia="en-GB"/>
        </w:rPr>
        <w:t xml:space="preserve"> like the ECtHR, general principles </w:t>
      </w:r>
      <w:r w:rsidR="008913BE">
        <w:rPr>
          <w:color w:val="000000"/>
          <w:sz w:val="24"/>
          <w:szCs w:val="24"/>
          <w:lang w:eastAsia="en-GB"/>
        </w:rPr>
        <w:t>concerning religious freedoms</w:t>
      </w:r>
      <w:r w:rsidR="001C77DA">
        <w:rPr>
          <w:color w:val="000000"/>
          <w:sz w:val="24"/>
          <w:szCs w:val="24"/>
          <w:lang w:eastAsia="en-GB"/>
        </w:rPr>
        <w:t xml:space="preserve"> fail. Different states can</w:t>
      </w:r>
      <w:r w:rsidR="00E874A8">
        <w:rPr>
          <w:color w:val="000000"/>
          <w:sz w:val="24"/>
          <w:szCs w:val="24"/>
          <w:lang w:eastAsia="en-GB"/>
        </w:rPr>
        <w:t>, in the eyes of Laborde and like-minded thinkers,</w:t>
      </w:r>
      <w:r w:rsidR="001C77DA">
        <w:rPr>
          <w:color w:val="000000"/>
          <w:sz w:val="24"/>
          <w:szCs w:val="24"/>
          <w:lang w:eastAsia="en-GB"/>
        </w:rPr>
        <w:t xml:space="preserve"> have different approaches to the use of religious symbolism that all have equal legitimacy. Laborde’s argument is an indirect affirmation of the importance of the margin of appreciation—and </w:t>
      </w:r>
      <w:r w:rsidR="00BF53B2">
        <w:rPr>
          <w:color w:val="000000"/>
          <w:sz w:val="24"/>
          <w:szCs w:val="24"/>
          <w:lang w:eastAsia="en-GB"/>
        </w:rPr>
        <w:t>indeed, one of the most important lessons to take from this whole essay is the definitive role</w:t>
      </w:r>
      <w:r w:rsidR="00610B37">
        <w:rPr>
          <w:color w:val="000000"/>
          <w:sz w:val="24"/>
          <w:szCs w:val="24"/>
          <w:lang w:eastAsia="en-GB"/>
        </w:rPr>
        <w:t xml:space="preserve"> that</w:t>
      </w:r>
      <w:r w:rsidR="00BF53B2">
        <w:rPr>
          <w:color w:val="000000"/>
          <w:sz w:val="24"/>
          <w:szCs w:val="24"/>
          <w:lang w:eastAsia="en-GB"/>
        </w:rPr>
        <w:t xml:space="preserve"> the </w:t>
      </w:r>
      <w:r w:rsidR="00591234">
        <w:rPr>
          <w:color w:val="000000"/>
          <w:sz w:val="24"/>
          <w:szCs w:val="24"/>
          <w:lang w:eastAsia="en-GB"/>
        </w:rPr>
        <w:t xml:space="preserve">doctrine of the </w:t>
      </w:r>
      <w:r w:rsidR="00BF53B2">
        <w:rPr>
          <w:color w:val="000000"/>
          <w:sz w:val="24"/>
          <w:szCs w:val="24"/>
          <w:lang w:eastAsia="en-GB"/>
        </w:rPr>
        <w:t>margin of appreciation has played in decision</w:t>
      </w:r>
      <w:r w:rsidR="007139F6">
        <w:rPr>
          <w:color w:val="000000"/>
          <w:sz w:val="24"/>
          <w:szCs w:val="24"/>
          <w:lang w:eastAsia="en-GB"/>
        </w:rPr>
        <w:t>s concerning religious freedoms</w:t>
      </w:r>
      <w:r w:rsidR="00BF53B2">
        <w:rPr>
          <w:color w:val="000000"/>
          <w:sz w:val="24"/>
          <w:szCs w:val="24"/>
          <w:lang w:eastAsia="en-GB"/>
        </w:rPr>
        <w:t>.</w:t>
      </w:r>
    </w:p>
    <w:p w14:paraId="35BE4042" w14:textId="77777777" w:rsidR="00FC08AE" w:rsidRDefault="00FC08AE" w:rsidP="00FC08AE">
      <w:pPr>
        <w:autoSpaceDE w:val="0"/>
        <w:autoSpaceDN w:val="0"/>
        <w:adjustRightInd w:val="0"/>
        <w:spacing w:after="0" w:line="480" w:lineRule="auto"/>
        <w:jc w:val="both"/>
        <w:rPr>
          <w:color w:val="000000"/>
          <w:sz w:val="24"/>
          <w:szCs w:val="24"/>
          <w:lang w:eastAsia="en-GB"/>
        </w:rPr>
      </w:pPr>
    </w:p>
    <w:p w14:paraId="5EB3E490" w14:textId="77777777" w:rsidR="00FC08AE" w:rsidRDefault="00FC08AE" w:rsidP="00FC08AE">
      <w:pPr>
        <w:autoSpaceDE w:val="0"/>
        <w:autoSpaceDN w:val="0"/>
        <w:adjustRightInd w:val="0"/>
        <w:spacing w:after="0" w:line="480" w:lineRule="auto"/>
        <w:jc w:val="both"/>
        <w:rPr>
          <w:color w:val="000000"/>
          <w:sz w:val="24"/>
          <w:szCs w:val="24"/>
          <w:lang w:eastAsia="en-GB"/>
        </w:rPr>
      </w:pPr>
    </w:p>
    <w:p w14:paraId="3654582E" w14:textId="77777777" w:rsidR="00FC08AE" w:rsidRPr="00FC08AE" w:rsidRDefault="00FC08AE" w:rsidP="00FC08AE">
      <w:pPr>
        <w:autoSpaceDE w:val="0"/>
        <w:autoSpaceDN w:val="0"/>
        <w:adjustRightInd w:val="0"/>
        <w:spacing w:after="0" w:line="480" w:lineRule="auto"/>
        <w:jc w:val="both"/>
        <w:rPr>
          <w:color w:val="000000"/>
          <w:sz w:val="24"/>
          <w:szCs w:val="24"/>
          <w:u w:val="single"/>
          <w:lang w:eastAsia="en-GB"/>
        </w:rPr>
      </w:pPr>
      <w:r w:rsidRPr="00FC08AE">
        <w:rPr>
          <w:color w:val="000000"/>
          <w:sz w:val="24"/>
          <w:szCs w:val="24"/>
          <w:u w:val="single"/>
          <w:lang w:eastAsia="en-GB"/>
        </w:rPr>
        <w:t>[5] Conclusions</w:t>
      </w:r>
    </w:p>
    <w:p w14:paraId="5CC7BDD1" w14:textId="022B75E4" w:rsidR="00BF53B2" w:rsidRDefault="00FC08AE" w:rsidP="004B3AA8">
      <w:pPr>
        <w:autoSpaceDE w:val="0"/>
        <w:autoSpaceDN w:val="0"/>
        <w:adjustRightInd w:val="0"/>
        <w:spacing w:after="0" w:line="480" w:lineRule="auto"/>
        <w:jc w:val="both"/>
        <w:rPr>
          <w:color w:val="000000"/>
          <w:sz w:val="24"/>
          <w:szCs w:val="24"/>
          <w:lang w:eastAsia="en-GB"/>
        </w:rPr>
      </w:pPr>
      <w:r>
        <w:rPr>
          <w:color w:val="000000"/>
          <w:sz w:val="24"/>
          <w:szCs w:val="24"/>
          <w:lang w:eastAsia="en-GB"/>
        </w:rPr>
        <w:t>T</w:t>
      </w:r>
      <w:r w:rsidR="00AA1A0B">
        <w:rPr>
          <w:color w:val="000000"/>
          <w:sz w:val="24"/>
          <w:szCs w:val="24"/>
          <w:lang w:eastAsia="en-GB"/>
        </w:rPr>
        <w:t>he above reflections bring</w:t>
      </w:r>
      <w:r w:rsidR="00BF53B2">
        <w:rPr>
          <w:color w:val="000000"/>
          <w:sz w:val="24"/>
          <w:szCs w:val="24"/>
          <w:lang w:eastAsia="en-GB"/>
        </w:rPr>
        <w:t xml:space="preserve"> us back to the very beginning of the essay and the distinction there established between ‘top-down’ and ‘bottom-up’ </w:t>
      </w:r>
      <w:r w:rsidR="00AA1A0B">
        <w:rPr>
          <w:color w:val="000000"/>
          <w:sz w:val="24"/>
          <w:szCs w:val="24"/>
          <w:lang w:eastAsia="en-GB"/>
        </w:rPr>
        <w:t xml:space="preserve">philosophical </w:t>
      </w:r>
      <w:r w:rsidR="00BF53B2">
        <w:rPr>
          <w:color w:val="000000"/>
          <w:sz w:val="24"/>
          <w:szCs w:val="24"/>
          <w:lang w:eastAsia="en-GB"/>
        </w:rPr>
        <w:t>approaches to legal cases. While we pointed</w:t>
      </w:r>
      <w:r w:rsidR="008913BE">
        <w:rPr>
          <w:color w:val="000000"/>
          <w:sz w:val="24"/>
          <w:szCs w:val="24"/>
          <w:lang w:eastAsia="en-GB"/>
        </w:rPr>
        <w:t xml:space="preserve"> out at the beginning that the top-down</w:t>
      </w:r>
      <w:r w:rsidR="00BF53B2">
        <w:rPr>
          <w:color w:val="000000"/>
          <w:sz w:val="24"/>
          <w:szCs w:val="24"/>
          <w:lang w:eastAsia="en-GB"/>
        </w:rPr>
        <w:t xml:space="preserve"> approach has its </w:t>
      </w:r>
      <w:r w:rsidR="008913BE">
        <w:rPr>
          <w:color w:val="000000"/>
          <w:sz w:val="24"/>
          <w:szCs w:val="24"/>
          <w:lang w:eastAsia="en-GB"/>
        </w:rPr>
        <w:t>advantages</w:t>
      </w:r>
      <w:r w:rsidR="00BF53B2">
        <w:rPr>
          <w:color w:val="000000"/>
          <w:sz w:val="24"/>
          <w:szCs w:val="24"/>
          <w:lang w:eastAsia="en-GB"/>
        </w:rPr>
        <w:t>, there is one maj</w:t>
      </w:r>
      <w:r w:rsidR="007139F6">
        <w:rPr>
          <w:color w:val="000000"/>
          <w:sz w:val="24"/>
          <w:szCs w:val="24"/>
          <w:lang w:eastAsia="en-GB"/>
        </w:rPr>
        <w:t>or drawback that the above</w:t>
      </w:r>
      <w:r w:rsidR="00BF53B2">
        <w:rPr>
          <w:color w:val="000000"/>
          <w:sz w:val="24"/>
          <w:szCs w:val="24"/>
          <w:lang w:eastAsia="en-GB"/>
        </w:rPr>
        <w:t xml:space="preserve"> has established: the</w:t>
      </w:r>
      <w:r w:rsidR="00591234">
        <w:rPr>
          <w:color w:val="000000"/>
          <w:sz w:val="24"/>
          <w:szCs w:val="24"/>
          <w:lang w:eastAsia="en-GB"/>
        </w:rPr>
        <w:t xml:space="preserve"> consistent</w:t>
      </w:r>
      <w:r w:rsidR="00BF53B2">
        <w:rPr>
          <w:color w:val="000000"/>
          <w:sz w:val="24"/>
          <w:szCs w:val="24"/>
          <w:lang w:eastAsia="en-GB"/>
        </w:rPr>
        <w:t xml:space="preserve"> failure of </w:t>
      </w:r>
      <w:r w:rsidR="00F67EA2">
        <w:rPr>
          <w:color w:val="000000"/>
          <w:sz w:val="24"/>
          <w:szCs w:val="24"/>
          <w:lang w:eastAsia="en-GB"/>
        </w:rPr>
        <w:t xml:space="preserve">attempts to delineate </w:t>
      </w:r>
      <w:r w:rsidR="00BF53B2">
        <w:rPr>
          <w:color w:val="000000"/>
          <w:sz w:val="24"/>
          <w:szCs w:val="24"/>
          <w:lang w:eastAsia="en-GB"/>
        </w:rPr>
        <w:t xml:space="preserve">general principles in this sphere of jurisprudence. An </w:t>
      </w:r>
      <w:r w:rsidR="003B0FD3">
        <w:rPr>
          <w:color w:val="000000"/>
          <w:sz w:val="24"/>
          <w:szCs w:val="24"/>
          <w:lang w:eastAsia="en-GB"/>
        </w:rPr>
        <w:t xml:space="preserve">approach to legal cases concerning </w:t>
      </w:r>
      <w:r w:rsidR="003F0B26">
        <w:rPr>
          <w:color w:val="000000"/>
          <w:sz w:val="24"/>
          <w:szCs w:val="24"/>
          <w:lang w:eastAsia="en-GB"/>
        </w:rPr>
        <w:t>religious freedom</w:t>
      </w:r>
      <w:r w:rsidR="003E019A">
        <w:rPr>
          <w:color w:val="000000"/>
          <w:sz w:val="24"/>
          <w:szCs w:val="24"/>
          <w:lang w:eastAsia="en-GB"/>
        </w:rPr>
        <w:t xml:space="preserve"> that begins from</w:t>
      </w:r>
      <w:r w:rsidR="00476AF2">
        <w:rPr>
          <w:color w:val="000000"/>
          <w:sz w:val="24"/>
          <w:szCs w:val="24"/>
          <w:lang w:eastAsia="en-GB"/>
        </w:rPr>
        <w:t>,</w:t>
      </w:r>
      <w:r w:rsidR="003E019A">
        <w:rPr>
          <w:color w:val="000000"/>
          <w:sz w:val="24"/>
          <w:szCs w:val="24"/>
          <w:lang w:eastAsia="en-GB"/>
        </w:rPr>
        <w:t xml:space="preserve"> and remains at</w:t>
      </w:r>
      <w:r w:rsidR="00476AF2">
        <w:rPr>
          <w:color w:val="000000"/>
          <w:sz w:val="24"/>
          <w:szCs w:val="24"/>
          <w:lang w:eastAsia="en-GB"/>
        </w:rPr>
        <w:t>,</w:t>
      </w:r>
      <w:r w:rsidR="003E019A">
        <w:rPr>
          <w:color w:val="000000"/>
          <w:sz w:val="24"/>
          <w:szCs w:val="24"/>
          <w:lang w:eastAsia="en-GB"/>
        </w:rPr>
        <w:t xml:space="preserve"> a high level of generality—the level of philosophical frameworks and conceptual structures—does </w:t>
      </w:r>
      <w:r w:rsidR="00C175C1">
        <w:rPr>
          <w:color w:val="000000"/>
          <w:sz w:val="24"/>
          <w:szCs w:val="24"/>
          <w:lang w:eastAsia="en-GB"/>
        </w:rPr>
        <w:t>not fit well with</w:t>
      </w:r>
      <w:r w:rsidR="003E019A">
        <w:rPr>
          <w:color w:val="000000"/>
          <w:sz w:val="24"/>
          <w:szCs w:val="24"/>
          <w:lang w:eastAsia="en-GB"/>
        </w:rPr>
        <w:t xml:space="preserve"> the essentially context-specific nature of the particular judgments themselves.</w:t>
      </w:r>
      <w:r w:rsidR="003F0B26">
        <w:rPr>
          <w:color w:val="000000"/>
          <w:sz w:val="24"/>
          <w:szCs w:val="24"/>
          <w:lang w:eastAsia="en-GB"/>
        </w:rPr>
        <w:t xml:space="preserve"> The bottom-up</w:t>
      </w:r>
      <w:r w:rsidR="00EC5B0B">
        <w:rPr>
          <w:color w:val="000000"/>
          <w:sz w:val="24"/>
          <w:szCs w:val="24"/>
          <w:lang w:eastAsia="en-GB"/>
        </w:rPr>
        <w:t xml:space="preserve"> approach that we have pursued in this essay, on the contrary, is a</w:t>
      </w:r>
      <w:r w:rsidR="007139F6">
        <w:rPr>
          <w:color w:val="000000"/>
          <w:sz w:val="24"/>
          <w:szCs w:val="24"/>
          <w:lang w:eastAsia="en-GB"/>
        </w:rPr>
        <w:t>ble to attend to</w:t>
      </w:r>
      <w:r w:rsidR="00EC5B0B">
        <w:rPr>
          <w:color w:val="000000"/>
          <w:sz w:val="24"/>
          <w:szCs w:val="24"/>
          <w:lang w:eastAsia="en-GB"/>
        </w:rPr>
        <w:t xml:space="preserve"> the</w:t>
      </w:r>
      <w:r w:rsidR="003F0B26">
        <w:rPr>
          <w:color w:val="000000"/>
          <w:sz w:val="24"/>
          <w:szCs w:val="24"/>
          <w:lang w:eastAsia="en-GB"/>
        </w:rPr>
        <w:t xml:space="preserve"> determining</w:t>
      </w:r>
      <w:r w:rsidR="00EC5B0B">
        <w:rPr>
          <w:color w:val="000000"/>
          <w:sz w:val="24"/>
          <w:szCs w:val="24"/>
          <w:lang w:eastAsia="en-GB"/>
        </w:rPr>
        <w:t xml:space="preserve"> specificities of each case.</w:t>
      </w:r>
    </w:p>
    <w:p w14:paraId="75C9E459" w14:textId="78041311" w:rsidR="00AA1A0B" w:rsidRDefault="00AA1A0B" w:rsidP="004B3AA8">
      <w:pPr>
        <w:autoSpaceDE w:val="0"/>
        <w:autoSpaceDN w:val="0"/>
        <w:adjustRightInd w:val="0"/>
        <w:spacing w:after="0" w:line="480" w:lineRule="auto"/>
        <w:jc w:val="both"/>
        <w:rPr>
          <w:color w:val="000000"/>
          <w:sz w:val="24"/>
          <w:szCs w:val="24"/>
          <w:lang w:eastAsia="en-GB"/>
        </w:rPr>
      </w:pPr>
      <w:r>
        <w:rPr>
          <w:color w:val="000000"/>
          <w:sz w:val="24"/>
          <w:szCs w:val="24"/>
          <w:lang w:eastAsia="en-GB"/>
        </w:rPr>
        <w:tab/>
        <w:t>Our particular philosophical approach to law and religion is therefore intended to be sensitive to the context-specific forms of reasoning found in the judgments themselves. It is not the philosopher’s job, we are claiming, to impose a model of rationality onto the jurisprudence or to translate its material into something more abstract. Methodologically, this has the following implication: the legal cases themselves are not so much material to be</w:t>
      </w:r>
      <w:r w:rsidR="007139F6">
        <w:rPr>
          <w:color w:val="000000"/>
          <w:sz w:val="24"/>
          <w:szCs w:val="24"/>
          <w:lang w:eastAsia="en-GB"/>
        </w:rPr>
        <w:t>, as it were,</w:t>
      </w:r>
      <w:r>
        <w:rPr>
          <w:color w:val="000000"/>
          <w:sz w:val="24"/>
          <w:szCs w:val="24"/>
          <w:lang w:eastAsia="en-GB"/>
        </w:rPr>
        <w:t xml:space="preserve"> ‘made philosophical’, but already-philosophical dialogue partners in the search to give precise meaning to key ideas like manif</w:t>
      </w:r>
      <w:r w:rsidR="007139F6">
        <w:rPr>
          <w:color w:val="000000"/>
          <w:sz w:val="24"/>
          <w:szCs w:val="24"/>
          <w:lang w:eastAsia="en-GB"/>
        </w:rPr>
        <w:t xml:space="preserve">estation, </w:t>
      </w:r>
      <w:r w:rsidR="00D15DAB">
        <w:rPr>
          <w:color w:val="000000"/>
          <w:sz w:val="24"/>
          <w:szCs w:val="24"/>
          <w:lang w:eastAsia="en-GB"/>
        </w:rPr>
        <w:t xml:space="preserve">interference, </w:t>
      </w:r>
      <w:r w:rsidR="007139F6">
        <w:rPr>
          <w:color w:val="000000"/>
          <w:sz w:val="24"/>
          <w:szCs w:val="24"/>
          <w:lang w:eastAsia="en-GB"/>
        </w:rPr>
        <w:t xml:space="preserve">and harm. And this is </w:t>
      </w:r>
      <w:r>
        <w:rPr>
          <w:color w:val="000000"/>
          <w:sz w:val="24"/>
          <w:szCs w:val="24"/>
          <w:lang w:eastAsia="en-GB"/>
        </w:rPr>
        <w:t>a search that is just as like</w:t>
      </w:r>
      <w:r w:rsidR="007139F6">
        <w:rPr>
          <w:color w:val="000000"/>
          <w:sz w:val="24"/>
          <w:szCs w:val="24"/>
          <w:lang w:eastAsia="en-GB"/>
        </w:rPr>
        <w:t>ly</w:t>
      </w:r>
      <w:r>
        <w:rPr>
          <w:color w:val="000000"/>
          <w:sz w:val="24"/>
          <w:szCs w:val="24"/>
          <w:lang w:eastAsia="en-GB"/>
        </w:rPr>
        <w:t xml:space="preserve"> to transform what it is to do philosophy as it is to affect interpretations of the case law. </w:t>
      </w:r>
      <w:r w:rsidR="00D15DAB">
        <w:rPr>
          <w:color w:val="000000"/>
          <w:sz w:val="24"/>
          <w:szCs w:val="24"/>
          <w:lang w:eastAsia="en-GB"/>
        </w:rPr>
        <w:t>I</w:t>
      </w:r>
      <w:r>
        <w:rPr>
          <w:color w:val="000000"/>
          <w:sz w:val="24"/>
          <w:szCs w:val="24"/>
          <w:lang w:eastAsia="en-GB"/>
        </w:rPr>
        <w:t>t is not a matter of presupposing what we—as philosophers—mean by ‘philosophy of religion’ or ‘ethics’, nor of using their pre-formed categories to ma</w:t>
      </w:r>
      <w:r w:rsidR="007139F6">
        <w:rPr>
          <w:color w:val="000000"/>
          <w:sz w:val="24"/>
          <w:szCs w:val="24"/>
          <w:lang w:eastAsia="en-GB"/>
        </w:rPr>
        <w:t>ke sense of legal problems. The</w:t>
      </w:r>
      <w:r>
        <w:rPr>
          <w:color w:val="000000"/>
          <w:sz w:val="24"/>
          <w:szCs w:val="24"/>
          <w:lang w:eastAsia="en-GB"/>
        </w:rPr>
        <w:t xml:space="preserve"> very meaning of these terms emerges only </w:t>
      </w:r>
      <w:r w:rsidR="007139F6">
        <w:rPr>
          <w:color w:val="000000"/>
          <w:sz w:val="24"/>
          <w:szCs w:val="24"/>
          <w:lang w:eastAsia="en-GB"/>
        </w:rPr>
        <w:t>as a result of</w:t>
      </w:r>
      <w:r>
        <w:rPr>
          <w:color w:val="000000"/>
          <w:sz w:val="24"/>
          <w:szCs w:val="24"/>
          <w:lang w:eastAsia="en-GB"/>
        </w:rPr>
        <w:t xml:space="preserve"> thinking through such legal problems: it emerges </w:t>
      </w:r>
      <w:r w:rsidRPr="007139F6">
        <w:rPr>
          <w:i/>
          <w:color w:val="000000"/>
          <w:sz w:val="24"/>
          <w:szCs w:val="24"/>
          <w:lang w:eastAsia="en-GB"/>
        </w:rPr>
        <w:t>post factum</w:t>
      </w:r>
      <w:r w:rsidRPr="00AA1A0B">
        <w:rPr>
          <w:color w:val="000000"/>
          <w:sz w:val="24"/>
          <w:szCs w:val="24"/>
          <w:lang w:eastAsia="en-GB"/>
        </w:rPr>
        <w:t xml:space="preserve"> </w:t>
      </w:r>
      <w:r>
        <w:rPr>
          <w:color w:val="000000"/>
          <w:sz w:val="24"/>
          <w:szCs w:val="24"/>
          <w:lang w:eastAsia="en-GB"/>
        </w:rPr>
        <w:t xml:space="preserve">as an effect of reasoning </w:t>
      </w:r>
      <w:r>
        <w:rPr>
          <w:i/>
          <w:color w:val="000000"/>
          <w:sz w:val="24"/>
          <w:szCs w:val="24"/>
          <w:lang w:eastAsia="en-GB"/>
        </w:rPr>
        <w:t xml:space="preserve">with </w:t>
      </w:r>
      <w:r>
        <w:rPr>
          <w:color w:val="000000"/>
          <w:sz w:val="24"/>
          <w:szCs w:val="24"/>
          <w:lang w:eastAsia="en-GB"/>
        </w:rPr>
        <w:t>the jurisprudence.</w:t>
      </w:r>
    </w:p>
    <w:p w14:paraId="5D4A19F9" w14:textId="2F10CD69" w:rsidR="00AA1A0B" w:rsidRPr="00AA1A0B" w:rsidRDefault="00AA1A0B" w:rsidP="004B3AA8">
      <w:pPr>
        <w:autoSpaceDE w:val="0"/>
        <w:autoSpaceDN w:val="0"/>
        <w:adjustRightInd w:val="0"/>
        <w:spacing w:after="0" w:line="480" w:lineRule="auto"/>
        <w:jc w:val="both"/>
        <w:rPr>
          <w:color w:val="000000"/>
          <w:sz w:val="24"/>
          <w:szCs w:val="24"/>
          <w:lang w:eastAsia="en-GB"/>
        </w:rPr>
      </w:pPr>
      <w:r>
        <w:rPr>
          <w:color w:val="000000"/>
          <w:sz w:val="24"/>
          <w:szCs w:val="24"/>
          <w:lang w:eastAsia="en-GB"/>
        </w:rPr>
        <w:tab/>
      </w:r>
      <w:r w:rsidR="00B2779E">
        <w:rPr>
          <w:color w:val="000000"/>
          <w:sz w:val="24"/>
          <w:szCs w:val="24"/>
          <w:lang w:eastAsia="en-GB"/>
        </w:rPr>
        <w:t>The</w:t>
      </w:r>
      <w:r>
        <w:rPr>
          <w:color w:val="000000"/>
          <w:sz w:val="24"/>
          <w:szCs w:val="24"/>
          <w:lang w:eastAsia="en-GB"/>
        </w:rPr>
        <w:t xml:space="preserve"> noticeable absence of abstract principles or patterns that could lay claim to being </w:t>
      </w:r>
      <w:r w:rsidR="007139F6">
        <w:rPr>
          <w:color w:val="000000"/>
          <w:sz w:val="24"/>
          <w:szCs w:val="24"/>
          <w:lang w:eastAsia="en-GB"/>
        </w:rPr>
        <w:t>‘</w:t>
      </w:r>
      <w:r>
        <w:rPr>
          <w:color w:val="000000"/>
          <w:sz w:val="24"/>
          <w:szCs w:val="24"/>
          <w:lang w:eastAsia="en-GB"/>
        </w:rPr>
        <w:t>philosophical</w:t>
      </w:r>
      <w:r w:rsidR="007139F6">
        <w:rPr>
          <w:color w:val="000000"/>
          <w:sz w:val="24"/>
          <w:szCs w:val="24"/>
          <w:lang w:eastAsia="en-GB"/>
        </w:rPr>
        <w:t>’</w:t>
      </w:r>
      <w:r w:rsidR="00B2779E">
        <w:rPr>
          <w:color w:val="000000"/>
          <w:sz w:val="24"/>
          <w:szCs w:val="24"/>
          <w:lang w:eastAsia="en-GB"/>
        </w:rPr>
        <w:t xml:space="preserve"> in the jurisprudence should not lead the philosopher to despair: we believe that </w:t>
      </w:r>
      <w:r w:rsidR="00556323">
        <w:rPr>
          <w:color w:val="000000"/>
          <w:sz w:val="24"/>
          <w:szCs w:val="24"/>
          <w:lang w:eastAsia="en-GB"/>
        </w:rPr>
        <w:t xml:space="preserve">the </w:t>
      </w:r>
      <w:r>
        <w:rPr>
          <w:color w:val="000000"/>
          <w:sz w:val="24"/>
          <w:szCs w:val="24"/>
          <w:lang w:eastAsia="en-GB"/>
        </w:rPr>
        <w:t>dialogic back-and-forth between the philosopher and the legal case</w:t>
      </w:r>
      <w:r w:rsidR="00556323">
        <w:rPr>
          <w:color w:val="000000"/>
          <w:sz w:val="24"/>
          <w:szCs w:val="24"/>
          <w:lang w:eastAsia="en-GB"/>
        </w:rPr>
        <w:t xml:space="preserve"> is itself philosophical</w:t>
      </w:r>
      <w:r w:rsidR="00B2779E">
        <w:rPr>
          <w:color w:val="000000"/>
          <w:sz w:val="24"/>
          <w:szCs w:val="24"/>
          <w:lang w:eastAsia="en-GB"/>
        </w:rPr>
        <w:t xml:space="preserve"> and of value</w:t>
      </w:r>
      <w:r>
        <w:rPr>
          <w:color w:val="000000"/>
          <w:sz w:val="24"/>
          <w:szCs w:val="24"/>
          <w:lang w:eastAsia="en-GB"/>
        </w:rPr>
        <w:t>.</w:t>
      </w:r>
      <w:r w:rsidR="007C5269">
        <w:rPr>
          <w:rStyle w:val="FootnoteReference"/>
          <w:color w:val="000000"/>
          <w:sz w:val="24"/>
          <w:szCs w:val="24"/>
          <w:lang w:eastAsia="en-GB"/>
        </w:rPr>
        <w:footnoteReference w:id="96"/>
      </w:r>
    </w:p>
    <w:sectPr w:rsidR="00AA1A0B" w:rsidRPr="00AA1A0B" w:rsidSect="005318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7C0F" w14:textId="77777777" w:rsidR="00865A74" w:rsidRDefault="00865A74" w:rsidP="000D6023">
      <w:pPr>
        <w:spacing w:after="0" w:line="240" w:lineRule="auto"/>
      </w:pPr>
      <w:r>
        <w:separator/>
      </w:r>
    </w:p>
  </w:endnote>
  <w:endnote w:type="continuationSeparator" w:id="0">
    <w:p w14:paraId="5DCC96B5" w14:textId="77777777" w:rsidR="00865A74" w:rsidRDefault="00865A74" w:rsidP="000D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1"/>
    <w:family w:val="swiss"/>
    <w:pitch w:val="variable"/>
    <w:sig w:usb0="20000A87" w:usb1="00000000" w:usb2="00000000" w:usb3="00000000" w:csb0="000001BF" w:csb1="00000000"/>
  </w:font>
  <w:font w:name="AR PL UKai CN">
    <w:altName w:val="MS Mincho"/>
    <w:charset w:val="01"/>
    <w:family w:val="auto"/>
    <w:pitch w:val="variable"/>
  </w:font>
  <w:font w:name="Lohit Devanagari">
    <w:altName w:val="MS Mincho"/>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1"/>
    <w:family w:val="roman"/>
    <w:pitch w:val="variable"/>
    <w:sig w:usb0="20000A87" w:usb1="00000000" w:usb2="00000000" w:usb3="00000000" w:csb0="000001BF" w:csb1="00000000"/>
  </w:font>
  <w:font w:name="DejaVu Sans">
    <w:panose1 w:val="020B0603030804020204"/>
    <w:charset w:val="00"/>
    <w:family w:val="swiss"/>
    <w:pitch w:val="variable"/>
    <w:sig w:usb0="E7002EFF" w:usb1="5200FDFF" w:usb2="0A042021" w:usb3="00000000" w:csb0="000001FF" w:csb1="00000000"/>
  </w:font>
  <w:font w:name="Cantarell">
    <w:altName w:val="Times New Roman"/>
    <w:charset w:val="01"/>
    <w:family w:val="auto"/>
    <w:pitch w:val="default"/>
  </w:font>
  <w:font w:name="Helvetica-Bold">
    <w:charset w:val="00"/>
    <w:family w:val="swiss"/>
    <w:pitch w:val="default"/>
  </w:font>
  <w:font w:name="BookAntiquaParliamentary">
    <w:charset w:val="01"/>
    <w:family w:val="auto"/>
    <w:pitch w:val="variable"/>
  </w:font>
  <w:font w:name="Bembo">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A1EF" w14:textId="77777777" w:rsidR="00865A74" w:rsidRDefault="00865A74" w:rsidP="000D6023">
      <w:pPr>
        <w:spacing w:after="0" w:line="240" w:lineRule="auto"/>
      </w:pPr>
      <w:r>
        <w:separator/>
      </w:r>
    </w:p>
  </w:footnote>
  <w:footnote w:type="continuationSeparator" w:id="0">
    <w:p w14:paraId="36542FF7" w14:textId="77777777" w:rsidR="00865A74" w:rsidRDefault="00865A74" w:rsidP="000D6023">
      <w:pPr>
        <w:spacing w:after="0" w:line="240" w:lineRule="auto"/>
      </w:pPr>
      <w:r>
        <w:continuationSeparator/>
      </w:r>
    </w:p>
  </w:footnote>
  <w:footnote w:id="1">
    <w:p w14:paraId="1E63F7C6" w14:textId="20DEC0DB" w:rsidR="0021384C" w:rsidRPr="009A1B6C" w:rsidRDefault="0021384C" w:rsidP="002A0038">
      <w:pPr>
        <w:pStyle w:val="FootnoteText"/>
        <w:jc w:val="both"/>
      </w:pPr>
      <w:r w:rsidRPr="009A1B6C">
        <w:rPr>
          <w:rStyle w:val="FootnoteCharacters"/>
        </w:rPr>
        <w:footnoteRef/>
      </w:r>
      <w:r w:rsidRPr="009A1B6C">
        <w:t xml:space="preserve"> Gideon Calder and Steven R. Smith, ‘Differential Treatment and Employability: A UK Case Study of Veil-wearing in Schools’ in </w:t>
      </w:r>
      <w:r w:rsidR="00612B6F">
        <w:t xml:space="preserve">Gideon </w:t>
      </w:r>
      <w:r w:rsidRPr="009A1B6C">
        <w:t xml:space="preserve">Calder and Emanuela Ceva (eds), </w:t>
      </w:r>
      <w:r w:rsidRPr="009A1B6C">
        <w:rPr>
          <w:i/>
        </w:rPr>
        <w:t>Diversity in Europe: Dilemmas of Differential Treatment in Theory and Practice</w:t>
      </w:r>
      <w:r w:rsidRPr="009A1B6C">
        <w:t xml:space="preserve"> (Routledge 2011), 157</w:t>
      </w:r>
      <w:r>
        <w:rPr>
          <w:rFonts w:ascii="Calibri" w:hAnsi="Calibri"/>
        </w:rPr>
        <w:t>–</w:t>
      </w:r>
      <w:r w:rsidRPr="009A1B6C">
        <w:t xml:space="preserve">69. The case discussed is </w:t>
      </w:r>
      <w:r w:rsidRPr="009A1B6C">
        <w:rPr>
          <w:i/>
        </w:rPr>
        <w:t xml:space="preserve">Azmi v Kirklees Metropolitan Borough Council </w:t>
      </w:r>
      <w:r w:rsidRPr="009A1B6C">
        <w:rPr>
          <w:shd w:val="clear" w:color="auto" w:fill="FFFFFF"/>
        </w:rPr>
        <w:t>[2007] UKEAT 0009_07_3003,</w:t>
      </w:r>
      <w:r w:rsidRPr="009A1B6C">
        <w:t xml:space="preserve"> [</w:t>
      </w:r>
      <w:r w:rsidRPr="009A1B6C">
        <w:rPr>
          <w:shd w:val="clear" w:color="auto" w:fill="FFFFFF"/>
        </w:rPr>
        <w:t>2007] IRLR 434.</w:t>
      </w:r>
    </w:p>
  </w:footnote>
  <w:footnote w:id="2">
    <w:p w14:paraId="7C252591" w14:textId="77777777" w:rsidR="0021384C" w:rsidRPr="009A1B6C" w:rsidRDefault="0021384C" w:rsidP="002A0038">
      <w:pPr>
        <w:pStyle w:val="FootnoteText"/>
        <w:jc w:val="both"/>
      </w:pPr>
      <w:r w:rsidRPr="009A1B6C">
        <w:rPr>
          <w:rStyle w:val="FootnoteCharacters"/>
        </w:rPr>
        <w:footnoteRef/>
      </w:r>
      <w:r w:rsidRPr="009A1B6C">
        <w:t xml:space="preserve"> Roger Trigg, </w:t>
      </w:r>
      <w:r w:rsidRPr="009A1B6C">
        <w:rPr>
          <w:i/>
        </w:rPr>
        <w:t xml:space="preserve">Religion in Public Life: Must Faith be Privatised? </w:t>
      </w:r>
      <w:r w:rsidRPr="009A1B6C">
        <w:t>(</w:t>
      </w:r>
      <w:r>
        <w:t>OUP</w:t>
      </w:r>
      <w:r w:rsidRPr="009A1B6C">
        <w:t xml:space="preserve"> 2007).</w:t>
      </w:r>
    </w:p>
  </w:footnote>
  <w:footnote w:id="3">
    <w:p w14:paraId="381F262F" w14:textId="77777777" w:rsidR="0021384C" w:rsidRPr="009A1B6C" w:rsidRDefault="0021384C" w:rsidP="002A0038">
      <w:pPr>
        <w:pStyle w:val="FootnoteText"/>
        <w:jc w:val="both"/>
      </w:pPr>
      <w:r w:rsidRPr="009A1B6C">
        <w:rPr>
          <w:rStyle w:val="FootnoteCharacters"/>
        </w:rPr>
        <w:footnoteRef/>
      </w:r>
      <w:r w:rsidRPr="009A1B6C">
        <w:t xml:space="preserve"> Roger Trigg, </w:t>
      </w:r>
      <w:r w:rsidRPr="009A1B6C">
        <w:rPr>
          <w:i/>
        </w:rPr>
        <w:t>Equality, Freedom and Religion</w:t>
      </w:r>
      <w:r w:rsidRPr="009A1B6C">
        <w:t xml:space="preserve"> (</w:t>
      </w:r>
      <w:r>
        <w:t>OUP</w:t>
      </w:r>
      <w:r w:rsidRPr="009A1B6C">
        <w:t xml:space="preserve"> 2012).</w:t>
      </w:r>
    </w:p>
  </w:footnote>
  <w:footnote w:id="4">
    <w:p w14:paraId="1E08B251" w14:textId="77777777" w:rsidR="0021384C" w:rsidRPr="009A1B6C" w:rsidRDefault="0021384C" w:rsidP="002A0038">
      <w:pPr>
        <w:pStyle w:val="FootnoteText"/>
        <w:jc w:val="both"/>
      </w:pPr>
      <w:r w:rsidRPr="009A1B6C">
        <w:rPr>
          <w:rStyle w:val="FootnoteReference"/>
        </w:rPr>
        <w:footnoteRef/>
      </w:r>
      <w:r w:rsidRPr="009A1B6C">
        <w:t xml:space="preserve"> Brian Leiter, </w:t>
      </w:r>
      <w:r w:rsidRPr="009A1B6C">
        <w:rPr>
          <w:i/>
        </w:rPr>
        <w:t>Why Tolerate Religion?</w:t>
      </w:r>
      <w:r w:rsidRPr="009A1B6C">
        <w:t xml:space="preserve"> (Princeton University Press 2013).</w:t>
      </w:r>
    </w:p>
  </w:footnote>
  <w:footnote w:id="5">
    <w:p w14:paraId="4EAD8DB7" w14:textId="77777777" w:rsidR="0021384C" w:rsidRPr="009A1B6C" w:rsidRDefault="0021384C" w:rsidP="002A0038">
      <w:pPr>
        <w:pStyle w:val="FootnoteText"/>
        <w:jc w:val="both"/>
      </w:pPr>
      <w:r w:rsidRPr="009A1B6C">
        <w:rPr>
          <w:rStyle w:val="FootnoteCharacters"/>
        </w:rPr>
        <w:footnoteRef/>
      </w:r>
      <w:r w:rsidRPr="009A1B6C">
        <w:t xml:space="preserve"> See also Mark Hill, Russell Sandberg and Norman Doe, </w:t>
      </w:r>
      <w:r w:rsidRPr="009A1B6C">
        <w:rPr>
          <w:i/>
        </w:rPr>
        <w:t xml:space="preserve">Religion and Law in the United Kingdom </w:t>
      </w:r>
      <w:r w:rsidRPr="009A1B6C">
        <w:t>(Kluwer 2011), 25.</w:t>
      </w:r>
    </w:p>
  </w:footnote>
  <w:footnote w:id="6">
    <w:p w14:paraId="73227979" w14:textId="77777777" w:rsidR="0021384C" w:rsidRPr="009A1B6C" w:rsidRDefault="0021384C" w:rsidP="002A0038">
      <w:pPr>
        <w:pStyle w:val="FootnoteText"/>
        <w:jc w:val="both"/>
      </w:pPr>
      <w:r w:rsidRPr="009A1B6C">
        <w:rPr>
          <w:rStyle w:val="FootnoteReference"/>
        </w:rPr>
        <w:footnoteRef/>
      </w:r>
      <w:r w:rsidRPr="009A1B6C">
        <w:t xml:space="preserve"> Trigg, </w:t>
      </w:r>
      <w:r w:rsidRPr="009A1B6C">
        <w:rPr>
          <w:i/>
        </w:rPr>
        <w:t>Equality, Freedom and Religion</w:t>
      </w:r>
      <w:r w:rsidRPr="009A1B6C">
        <w:t>, 55</w:t>
      </w:r>
      <w:r>
        <w:rPr>
          <w:rFonts w:ascii="Calibri" w:hAnsi="Calibri"/>
        </w:rPr>
        <w:t>–</w:t>
      </w:r>
      <w:r w:rsidRPr="009A1B6C">
        <w:t>68.</w:t>
      </w:r>
    </w:p>
  </w:footnote>
  <w:footnote w:id="7">
    <w:p w14:paraId="32A3CAC9" w14:textId="77777777" w:rsidR="0021384C" w:rsidRPr="009A1B6C" w:rsidRDefault="0021384C" w:rsidP="002A0038">
      <w:pPr>
        <w:pStyle w:val="FootnoteText"/>
        <w:jc w:val="both"/>
      </w:pPr>
      <w:r w:rsidRPr="009A1B6C">
        <w:rPr>
          <w:rStyle w:val="FootnoteReference"/>
        </w:rPr>
        <w:footnoteRef/>
      </w:r>
      <w:r w:rsidRPr="009A1B6C">
        <w:t xml:space="preserve"> What follows in this section is a summary of material set out at greater length in Daniel J. Hill and Daniel Whistler, </w:t>
      </w:r>
      <w:r w:rsidRPr="009A1B6C">
        <w:rPr>
          <w:i/>
        </w:rPr>
        <w:t xml:space="preserve">The Right to Wear Religious Symbols </w:t>
      </w:r>
      <w:r>
        <w:t>(Palgrave-Macmillan 2013)</w:t>
      </w:r>
      <w:r w:rsidRPr="009A1B6C">
        <w:t xml:space="preserve">, and Daniel J. Hill and Daniel Whistler, ‘Religious Symbols and the European Convention on Human Rights’ (2013) 171 </w:t>
      </w:r>
      <w:r w:rsidRPr="009A1B6C">
        <w:rPr>
          <w:i/>
        </w:rPr>
        <w:t xml:space="preserve">Law and Justice </w:t>
      </w:r>
      <w:r w:rsidRPr="009A1B6C">
        <w:t>52.</w:t>
      </w:r>
    </w:p>
  </w:footnote>
  <w:footnote w:id="8">
    <w:p w14:paraId="14527395" w14:textId="78AC1591" w:rsidR="0021384C" w:rsidRPr="00AE4770" w:rsidRDefault="0021384C" w:rsidP="00AE4770">
      <w:pPr>
        <w:pStyle w:val="FootnoteText"/>
      </w:pPr>
      <w:r>
        <w:rPr>
          <w:rStyle w:val="FootnoteReference"/>
        </w:rPr>
        <w:footnoteRef/>
      </w:r>
      <w:r>
        <w:t xml:space="preserve"> Other articles have sometimes also been deemed relevant. For example, in </w:t>
      </w:r>
      <w:r>
        <w:rPr>
          <w:i/>
        </w:rPr>
        <w:t>SAS v France</w:t>
      </w:r>
      <w:r>
        <w:t xml:space="preserve"> the court said at [109] that it would ‘</w:t>
      </w:r>
      <w:r w:rsidRPr="00AE4770">
        <w:t>examine this part of the application under both art.8 and art.9 , but with</w:t>
      </w:r>
      <w:r>
        <w:t xml:space="preserve"> </w:t>
      </w:r>
      <w:r w:rsidRPr="00AE4770">
        <w:t>emphasis on the second of those provisions</w:t>
      </w:r>
      <w:r>
        <w:t xml:space="preserve">’ </w:t>
      </w:r>
      <w:r>
        <w:rPr>
          <w:i/>
        </w:rPr>
        <w:t xml:space="preserve">SAS v France </w:t>
      </w:r>
      <w:r>
        <w:t xml:space="preserve">no. 43835/11, </w:t>
      </w:r>
      <w:r w:rsidRPr="00463560">
        <w:t>[2014] ECHR 695, (2015) 60 EHRR 11</w:t>
      </w:r>
      <w:r>
        <w:t xml:space="preserve"> (</w:t>
      </w:r>
      <w:r w:rsidRPr="00F904F4">
        <w:t>1 July 2014</w:t>
      </w:r>
      <w:r>
        <w:t>), [109] 287.</w:t>
      </w:r>
    </w:p>
  </w:footnote>
  <w:footnote w:id="9">
    <w:p w14:paraId="50A75863" w14:textId="3EDF6DC2" w:rsidR="0021384C" w:rsidRPr="009A1B6C" w:rsidRDefault="0021384C" w:rsidP="002A0038">
      <w:pPr>
        <w:pStyle w:val="FootnoteText"/>
        <w:jc w:val="both"/>
      </w:pPr>
      <w:r w:rsidRPr="00D752D1">
        <w:rPr>
          <w:rStyle w:val="FootnoteCharacters"/>
        </w:rPr>
        <w:footnoteRef/>
      </w:r>
      <w:hyperlink r:id="rId1" w:history="1">
        <w:r w:rsidR="00764B9D" w:rsidRPr="00D752D1">
          <w:rPr>
            <w:rStyle w:val="Hyperlink"/>
            <w:color w:val="auto"/>
          </w:rPr>
          <w:t xml:space="preserve"> The Convention for the Protection of Human Rights and Fundamental Freedoms,</w:t>
        </w:r>
        <w:r w:rsidR="00764B9D" w:rsidRPr="00D752D1" w:rsidDel="005534FC">
          <w:rPr>
            <w:rStyle w:val="Hyperlink"/>
            <w:color w:val="auto"/>
          </w:rPr>
          <w:t xml:space="preserve"> The European Convention on Human Rights</w:t>
        </w:r>
        <w:r w:rsidR="00764B9D" w:rsidRPr="00D752D1">
          <w:rPr>
            <w:rStyle w:val="Hyperlink"/>
            <w:color w:val="auto"/>
          </w:rPr>
          <w:t xml:space="preserve"> &lt;http://www.echr.coe.int/Documents/Convention_ENG.pdf</w:t>
        </w:r>
      </w:hyperlink>
      <w:r w:rsidR="00764B9D" w:rsidRPr="00D752D1">
        <w:t xml:space="preserve">&gt; </w:t>
      </w:r>
      <w:r w:rsidR="00764B9D" w:rsidRPr="00764B9D">
        <w:t>accessed 5 October 2013.</w:t>
      </w:r>
    </w:p>
  </w:footnote>
  <w:footnote w:id="10">
    <w:p w14:paraId="3EF69FDD" w14:textId="77777777" w:rsidR="0021384C" w:rsidRPr="009A1B6C" w:rsidRDefault="0021384C" w:rsidP="002A0038">
      <w:pPr>
        <w:pStyle w:val="FootnoteText"/>
        <w:jc w:val="both"/>
      </w:pPr>
      <w:r w:rsidRPr="009A1B6C">
        <w:rPr>
          <w:rStyle w:val="FootnoteReference"/>
        </w:rPr>
        <w:footnoteRef/>
      </w:r>
      <w:r w:rsidRPr="009A1B6C">
        <w:t xml:space="preserve"> We </w:t>
      </w:r>
      <w:r>
        <w:t>leave aside for present purposes</w:t>
      </w:r>
      <w:r w:rsidRPr="009A1B6C">
        <w:t xml:space="preserve"> </w:t>
      </w:r>
      <w:r>
        <w:t>the concept of</w:t>
      </w:r>
      <w:r w:rsidRPr="009A1B6C">
        <w:t xml:space="preserve"> interference and the ‘specific-situation rule’ which has dominated the ECtHR’s traditional jurisprudence on this issue.</w:t>
      </w:r>
    </w:p>
  </w:footnote>
  <w:footnote w:id="11">
    <w:p w14:paraId="165FA938" w14:textId="77777777" w:rsidR="0021384C" w:rsidRPr="009A1B6C" w:rsidRDefault="0021384C" w:rsidP="002A0038">
      <w:pPr>
        <w:pStyle w:val="FootnoteText"/>
        <w:jc w:val="both"/>
      </w:pPr>
      <w:r w:rsidRPr="009A1B6C">
        <w:rPr>
          <w:rStyle w:val="FootnoteCharacters"/>
        </w:rPr>
        <w:footnoteRef/>
      </w:r>
      <w:r w:rsidRPr="009A1B6C">
        <w:rPr>
          <w:i/>
          <w:iCs/>
        </w:rPr>
        <w:t xml:space="preserve"> Arrowsmith v UK</w:t>
      </w:r>
      <w:r w:rsidRPr="009A1B6C">
        <w:t xml:space="preserve"> no. 7050/75 [</w:t>
      </w:r>
      <w:r>
        <w:t>1978] ECHR 7, (1981) 3 EHRR 218</w:t>
      </w:r>
      <w:r w:rsidRPr="009A1B6C">
        <w:t xml:space="preserve"> (12 October 1978).</w:t>
      </w:r>
    </w:p>
  </w:footnote>
  <w:footnote w:id="12">
    <w:p w14:paraId="6EEB8B34" w14:textId="216E660F" w:rsidR="0021384C" w:rsidRPr="009A1B6C" w:rsidRDefault="0021384C" w:rsidP="002A0038">
      <w:pPr>
        <w:pStyle w:val="FootnoteText"/>
        <w:jc w:val="both"/>
      </w:pPr>
      <w:r w:rsidRPr="009A1B6C">
        <w:rPr>
          <w:rStyle w:val="FootnoteCharacters"/>
        </w:rPr>
        <w:footnoteRef/>
      </w:r>
      <w:r w:rsidRPr="009A1B6C">
        <w:rPr>
          <w:i/>
          <w:iCs/>
        </w:rPr>
        <w:t xml:space="preserve"> </w:t>
      </w:r>
      <w:r w:rsidRPr="002F7412">
        <w:rPr>
          <w:iCs/>
        </w:rPr>
        <w:t>i</w:t>
      </w:r>
      <w:r>
        <w:rPr>
          <w:iCs/>
        </w:rPr>
        <w:t>bid</w:t>
      </w:r>
      <w:r w:rsidRPr="009A1B6C">
        <w:rPr>
          <w:i/>
          <w:iCs/>
        </w:rPr>
        <w:t xml:space="preserve"> </w:t>
      </w:r>
      <w:r w:rsidRPr="009A1B6C">
        <w:t>228</w:t>
      </w:r>
      <w:r w:rsidRPr="009A1B6C">
        <w:rPr>
          <w:rFonts w:eastAsia="Cantarell"/>
        </w:rPr>
        <w:t>–</w:t>
      </w:r>
      <w:r w:rsidRPr="009A1B6C">
        <w:t>9.</w:t>
      </w:r>
    </w:p>
  </w:footnote>
  <w:footnote w:id="13">
    <w:p w14:paraId="5D483D21" w14:textId="5DE60A3B" w:rsidR="0021384C" w:rsidRPr="009A1B6C" w:rsidRDefault="0021384C" w:rsidP="002A0038">
      <w:pPr>
        <w:pStyle w:val="FootnoteText"/>
        <w:jc w:val="both"/>
      </w:pPr>
      <w:r w:rsidRPr="009A1B6C">
        <w:rPr>
          <w:rStyle w:val="FootnoteCharacters"/>
        </w:rPr>
        <w:footnoteRef/>
      </w:r>
      <w:r w:rsidRPr="009A1B6C">
        <w:t xml:space="preserve"> See, e.g., </w:t>
      </w:r>
      <w:r w:rsidRPr="009A1B6C">
        <w:rPr>
          <w:i/>
          <w:iCs/>
        </w:rPr>
        <w:t>Eweida</w:t>
      </w:r>
      <w:r w:rsidR="0010178B">
        <w:rPr>
          <w:i/>
          <w:iCs/>
        </w:rPr>
        <w:t xml:space="preserve"> and Others</w:t>
      </w:r>
      <w:r w:rsidRPr="009A1B6C">
        <w:rPr>
          <w:i/>
          <w:iCs/>
        </w:rPr>
        <w:t xml:space="preserve"> v UK</w:t>
      </w:r>
      <w:r w:rsidRPr="009A1B6C">
        <w:t xml:space="preserve"> no</w:t>
      </w:r>
      <w:r w:rsidR="00CF60B6">
        <w:t>s</w:t>
      </w:r>
      <w:r w:rsidR="002A0DE6">
        <w:t xml:space="preserve">. </w:t>
      </w:r>
      <w:r w:rsidR="00CF60B6" w:rsidRPr="00CF60B6">
        <w:t>48420/10, 59842/10, 51671/10</w:t>
      </w:r>
      <w:r w:rsidR="0010178B">
        <w:t>,</w:t>
      </w:r>
      <w:r w:rsidR="00CF60B6" w:rsidRPr="00CF60B6">
        <w:t xml:space="preserve"> and 36516/10</w:t>
      </w:r>
      <w:r w:rsidRPr="009A1B6C">
        <w:t>, [2013] ECHR 37, (2013) 57 EHRR 8, 243 [82] (15 January 2013).</w:t>
      </w:r>
    </w:p>
  </w:footnote>
  <w:footnote w:id="14">
    <w:p w14:paraId="375E02EA" w14:textId="77777777" w:rsidR="0021384C" w:rsidRPr="009A1B6C" w:rsidRDefault="0021384C" w:rsidP="002A0038">
      <w:pPr>
        <w:spacing w:after="0" w:line="240" w:lineRule="auto"/>
        <w:jc w:val="both"/>
        <w:rPr>
          <w:sz w:val="20"/>
          <w:szCs w:val="20"/>
        </w:rPr>
      </w:pPr>
      <w:r w:rsidRPr="009A1B6C">
        <w:rPr>
          <w:rStyle w:val="FootnoteCharacters"/>
          <w:sz w:val="20"/>
          <w:szCs w:val="20"/>
        </w:rPr>
        <w:footnoteRef/>
      </w:r>
      <w:r w:rsidRPr="009A1B6C">
        <w:rPr>
          <w:rFonts w:eastAsia="Times New Roman"/>
          <w:iCs/>
          <w:sz w:val="20"/>
          <w:szCs w:val="20"/>
        </w:rPr>
        <w:t xml:space="preserve"> </w:t>
      </w:r>
      <w:r w:rsidRPr="009A1B6C">
        <w:rPr>
          <w:rFonts w:eastAsia="Times New Roman"/>
          <w:i/>
          <w:iCs/>
          <w:sz w:val="20"/>
          <w:szCs w:val="20"/>
        </w:rPr>
        <w:t>Şahin v Turkey</w:t>
      </w:r>
      <w:r w:rsidRPr="009A1B6C">
        <w:rPr>
          <w:rFonts w:eastAsia="Times New Roman"/>
          <w:sz w:val="20"/>
          <w:szCs w:val="20"/>
        </w:rPr>
        <w:t xml:space="preserve"> no. 44774/98 [2004] ECHR 299, </w:t>
      </w:r>
      <w:r w:rsidRPr="009A1B6C">
        <w:rPr>
          <w:rFonts w:eastAsia="Helvetica-Bold"/>
          <w:sz w:val="20"/>
          <w:szCs w:val="20"/>
        </w:rPr>
        <w:t>(2005) 41 EHRR 8 (Chamber); [2005] ECHR 819, (2007) 44 EHRR 5 (GC) (</w:t>
      </w:r>
      <w:r w:rsidRPr="009A1B6C">
        <w:rPr>
          <w:rFonts w:eastAsia="Times New Roman"/>
          <w:sz w:val="20"/>
          <w:szCs w:val="20"/>
        </w:rPr>
        <w:t>29 June 2004 (Chamber), 10 November 2005 (GC)).</w:t>
      </w:r>
    </w:p>
  </w:footnote>
  <w:footnote w:id="15">
    <w:p w14:paraId="2CA2A260" w14:textId="77777777" w:rsidR="0021384C" w:rsidRPr="009A1B6C" w:rsidRDefault="0021384C" w:rsidP="002A0038">
      <w:pPr>
        <w:spacing w:after="0" w:line="240" w:lineRule="auto"/>
        <w:jc w:val="both"/>
        <w:rPr>
          <w:sz w:val="20"/>
          <w:szCs w:val="20"/>
        </w:rPr>
      </w:pPr>
      <w:r w:rsidRPr="009A1B6C">
        <w:rPr>
          <w:rStyle w:val="FootnoteCharacters"/>
          <w:sz w:val="20"/>
          <w:szCs w:val="20"/>
        </w:rPr>
        <w:footnoteRef/>
      </w:r>
      <w:r w:rsidRPr="009A1B6C">
        <w:rPr>
          <w:rFonts w:eastAsia="Times New Roman"/>
          <w:i/>
          <w:iCs/>
          <w:sz w:val="20"/>
          <w:szCs w:val="20"/>
        </w:rPr>
        <w:t xml:space="preserve"> Şahin</w:t>
      </w:r>
      <w:r w:rsidRPr="009A1B6C">
        <w:rPr>
          <w:rFonts w:eastAsia="Times New Roman"/>
          <w:sz w:val="20"/>
          <w:szCs w:val="20"/>
        </w:rPr>
        <w:t xml:space="preserve"> </w:t>
      </w:r>
      <w:r w:rsidRPr="009A1B6C">
        <w:rPr>
          <w:rFonts w:eastAsia="Helvetica-Bold"/>
          <w:sz w:val="20"/>
          <w:szCs w:val="20"/>
        </w:rPr>
        <w:t xml:space="preserve">(2004/5) </w:t>
      </w:r>
      <w:r w:rsidRPr="009A1B6C">
        <w:rPr>
          <w:rFonts w:eastAsia="Times New Roman"/>
          <w:sz w:val="20"/>
          <w:szCs w:val="20"/>
        </w:rPr>
        <w:t>14 [71].</w:t>
      </w:r>
    </w:p>
  </w:footnote>
  <w:footnote w:id="16">
    <w:p w14:paraId="763C0EC5" w14:textId="77777777" w:rsidR="0021384C" w:rsidRPr="009A1B6C" w:rsidRDefault="0021384C" w:rsidP="002A0038">
      <w:pPr>
        <w:pStyle w:val="FootnoteText"/>
        <w:autoSpaceDE w:val="0"/>
        <w:jc w:val="both"/>
      </w:pPr>
      <w:r w:rsidRPr="009A1B6C">
        <w:rPr>
          <w:rStyle w:val="FootnoteCharacters"/>
        </w:rPr>
        <w:footnoteRef/>
      </w:r>
      <w:r w:rsidRPr="009A1B6C">
        <w:rPr>
          <w:rFonts w:eastAsia="Times New Roman"/>
          <w:i/>
          <w:iCs/>
        </w:rPr>
        <w:t xml:space="preserve"> Şahin </w:t>
      </w:r>
      <w:r w:rsidRPr="009A1B6C">
        <w:rPr>
          <w:rFonts w:eastAsia="Times New Roman"/>
        </w:rPr>
        <w:t>(</w:t>
      </w:r>
      <w:r w:rsidRPr="009A1B6C">
        <w:rPr>
          <w:rFonts w:eastAsia="Helvetica-Bold"/>
        </w:rPr>
        <w:t>2005/7) 120 [78].</w:t>
      </w:r>
    </w:p>
  </w:footnote>
  <w:footnote w:id="17">
    <w:p w14:paraId="41E9EFAE" w14:textId="3C7E97E7" w:rsidR="002D6A3D" w:rsidRPr="00E205EB" w:rsidRDefault="002D6A3D">
      <w:pPr>
        <w:pStyle w:val="FootnoteText"/>
        <w:rPr>
          <w:b/>
          <w:bCs/>
        </w:rPr>
      </w:pPr>
      <w:r>
        <w:rPr>
          <w:rStyle w:val="FootnoteReference"/>
        </w:rPr>
        <w:footnoteRef/>
      </w:r>
      <w:r>
        <w:t xml:space="preserve"> </w:t>
      </w:r>
      <w:r>
        <w:rPr>
          <w:i/>
        </w:rPr>
        <w:t>Dogru v France</w:t>
      </w:r>
      <w:r>
        <w:t xml:space="preserve"> no. </w:t>
      </w:r>
      <w:r w:rsidR="00173CE3" w:rsidRPr="00173CE3">
        <w:t>27058/05</w:t>
      </w:r>
      <w:r w:rsidR="00173CE3" w:rsidRPr="00173CE3">
        <w:rPr>
          <w:b/>
          <w:bCs/>
        </w:rPr>
        <w:t xml:space="preserve"> </w:t>
      </w:r>
      <w:r w:rsidR="00173CE3" w:rsidRPr="00E205EB">
        <w:rPr>
          <w:bCs/>
        </w:rPr>
        <w:t xml:space="preserve">[2008] ECHR 1579, </w:t>
      </w:r>
      <w:r w:rsidR="00173CE3">
        <w:rPr>
          <w:bCs/>
        </w:rPr>
        <w:t>(2009) 49 EH</w:t>
      </w:r>
      <w:r w:rsidR="00173CE3" w:rsidRPr="00173CE3">
        <w:rPr>
          <w:bCs/>
        </w:rPr>
        <w:t>RR</w:t>
      </w:r>
      <w:r w:rsidRPr="00E205EB">
        <w:rPr>
          <w:bCs/>
        </w:rPr>
        <w:t xml:space="preserve"> 8</w:t>
      </w:r>
      <w:r>
        <w:t xml:space="preserve"> </w:t>
      </w:r>
      <w:r w:rsidR="00173CE3">
        <w:t>(4 December 2008).</w:t>
      </w:r>
    </w:p>
  </w:footnote>
  <w:footnote w:id="18">
    <w:p w14:paraId="220CB7E9" w14:textId="2F0511AD" w:rsidR="00173CE3" w:rsidRPr="00E205EB" w:rsidRDefault="00173CE3">
      <w:pPr>
        <w:pStyle w:val="FootnoteText"/>
        <w:rPr>
          <w:b/>
          <w:bCs/>
          <w:iCs/>
        </w:rPr>
      </w:pPr>
      <w:r>
        <w:rPr>
          <w:rStyle w:val="FootnoteReference"/>
        </w:rPr>
        <w:footnoteRef/>
      </w:r>
      <w:r>
        <w:t xml:space="preserve"> </w:t>
      </w:r>
      <w:r w:rsidRPr="00173CE3">
        <w:rPr>
          <w:i/>
          <w:iCs/>
        </w:rPr>
        <w:t>Jakóbski v Poland</w:t>
      </w:r>
      <w:r w:rsidR="00612384">
        <w:rPr>
          <w:iCs/>
        </w:rPr>
        <w:t xml:space="preserve"> no. </w:t>
      </w:r>
      <w:r w:rsidR="00612384" w:rsidRPr="00612384">
        <w:rPr>
          <w:iCs/>
        </w:rPr>
        <w:t>18429/06</w:t>
      </w:r>
      <w:r w:rsidR="00612384">
        <w:rPr>
          <w:iCs/>
        </w:rPr>
        <w:t xml:space="preserve"> </w:t>
      </w:r>
      <w:r w:rsidR="00656FDA" w:rsidRPr="00656FDA">
        <w:rPr>
          <w:iCs/>
        </w:rPr>
        <w:t>[2010] ECHR 1974</w:t>
      </w:r>
      <w:r w:rsidR="00656FDA">
        <w:rPr>
          <w:iCs/>
        </w:rPr>
        <w:t>,</w:t>
      </w:r>
      <w:r w:rsidR="00656FDA" w:rsidRPr="00656FDA">
        <w:rPr>
          <w:bCs/>
          <w:iCs/>
        </w:rPr>
        <w:t xml:space="preserve"> </w:t>
      </w:r>
      <w:r w:rsidR="00612384">
        <w:rPr>
          <w:bCs/>
          <w:iCs/>
        </w:rPr>
        <w:t>(2012) 55 EHR</w:t>
      </w:r>
      <w:r w:rsidR="00612384" w:rsidRPr="00612384">
        <w:rPr>
          <w:bCs/>
          <w:iCs/>
        </w:rPr>
        <w:t>R</w:t>
      </w:r>
      <w:r w:rsidR="00612384" w:rsidRPr="00E205EB">
        <w:rPr>
          <w:bCs/>
          <w:iCs/>
        </w:rPr>
        <w:t xml:space="preserve"> 8</w:t>
      </w:r>
      <w:r w:rsidR="00612384">
        <w:rPr>
          <w:bCs/>
          <w:iCs/>
        </w:rPr>
        <w:t xml:space="preserve"> (</w:t>
      </w:r>
      <w:r w:rsidR="00612384" w:rsidRPr="00612384">
        <w:rPr>
          <w:bCs/>
          <w:iCs/>
        </w:rPr>
        <w:t>7 December 2010</w:t>
      </w:r>
      <w:r w:rsidR="00612384">
        <w:rPr>
          <w:bCs/>
          <w:iCs/>
        </w:rPr>
        <w:t>).</w:t>
      </w:r>
    </w:p>
  </w:footnote>
  <w:footnote w:id="19">
    <w:p w14:paraId="6A747414" w14:textId="25BEEF9D" w:rsidR="00612384" w:rsidRPr="00083043" w:rsidRDefault="00612384">
      <w:pPr>
        <w:pStyle w:val="FootnoteText"/>
      </w:pPr>
      <w:r>
        <w:rPr>
          <w:rStyle w:val="FootnoteReference"/>
        </w:rPr>
        <w:footnoteRef/>
      </w:r>
      <w:r>
        <w:t xml:space="preserve"> </w:t>
      </w:r>
      <w:r w:rsidRPr="00612384">
        <w:rPr>
          <w:i/>
          <w:iCs/>
        </w:rPr>
        <w:t>Kovaļkovs v Latvia</w:t>
      </w:r>
      <w:r w:rsidR="00083043">
        <w:rPr>
          <w:iCs/>
        </w:rPr>
        <w:t xml:space="preserve"> no. </w:t>
      </w:r>
      <w:r w:rsidR="00083043" w:rsidRPr="00083043">
        <w:rPr>
          <w:iCs/>
        </w:rPr>
        <w:t>35021/05</w:t>
      </w:r>
      <w:r w:rsidR="00083043">
        <w:rPr>
          <w:iCs/>
        </w:rPr>
        <w:t xml:space="preserve"> </w:t>
      </w:r>
      <w:r w:rsidR="00083043" w:rsidRPr="00083043">
        <w:rPr>
          <w:iCs/>
        </w:rPr>
        <w:t>[2012] ECHR 280</w:t>
      </w:r>
      <w:r w:rsidR="00656FDA" w:rsidRPr="00656FDA">
        <w:rPr>
          <w:color w:val="000000"/>
        </w:rPr>
        <w:t xml:space="preserve"> </w:t>
      </w:r>
      <w:r w:rsidR="00656FDA" w:rsidRPr="00656FDA">
        <w:rPr>
          <w:iCs/>
        </w:rPr>
        <w:t>(31 January 2012)</w:t>
      </w:r>
      <w:r w:rsidR="00656FDA">
        <w:rPr>
          <w:iCs/>
        </w:rPr>
        <w:t>.</w:t>
      </w:r>
      <w:r w:rsidR="00083043">
        <w:rPr>
          <w:iCs/>
        </w:rPr>
        <w:t xml:space="preserve"> </w:t>
      </w:r>
    </w:p>
  </w:footnote>
  <w:footnote w:id="20">
    <w:p w14:paraId="790F89DC" w14:textId="77777777" w:rsidR="0021384C" w:rsidRPr="009A1B6C" w:rsidRDefault="0021384C" w:rsidP="002A0038">
      <w:pPr>
        <w:pStyle w:val="FootnoteText"/>
      </w:pPr>
      <w:r w:rsidRPr="009A1B6C">
        <w:rPr>
          <w:rStyle w:val="FootnoteReference"/>
        </w:rPr>
        <w:footnoteRef/>
      </w:r>
      <w:r w:rsidRPr="009A1B6C">
        <w:t xml:space="preserve"> For analysis of these cases, see Hill and Whistler, </w:t>
      </w:r>
      <w:r w:rsidRPr="009A1B6C">
        <w:rPr>
          <w:i/>
        </w:rPr>
        <w:t>The Right to Wear Religious Symbols</w:t>
      </w:r>
      <w:r w:rsidRPr="009A1B6C">
        <w:t>, 52</w:t>
      </w:r>
      <w:r>
        <w:rPr>
          <w:rFonts w:ascii="Calibri" w:hAnsi="Calibri"/>
        </w:rPr>
        <w:t>–</w:t>
      </w:r>
      <w:r w:rsidRPr="009A1B6C">
        <w:t>5.</w:t>
      </w:r>
    </w:p>
  </w:footnote>
  <w:footnote w:id="21">
    <w:p w14:paraId="6428A525" w14:textId="77777777" w:rsidR="0021384C" w:rsidRPr="009A1B6C" w:rsidRDefault="0021384C" w:rsidP="002A0038">
      <w:pPr>
        <w:spacing w:after="0" w:line="240" w:lineRule="auto"/>
        <w:jc w:val="both"/>
        <w:rPr>
          <w:sz w:val="20"/>
          <w:szCs w:val="20"/>
          <w:lang w:val="de-DE"/>
        </w:rPr>
      </w:pPr>
      <w:r w:rsidRPr="009A1B6C">
        <w:rPr>
          <w:rStyle w:val="FootnoteCharacters"/>
          <w:sz w:val="20"/>
          <w:szCs w:val="20"/>
        </w:rPr>
        <w:footnoteRef/>
      </w:r>
      <w:r w:rsidRPr="009A1B6C">
        <w:rPr>
          <w:rStyle w:val="FootnoteCharacters"/>
          <w:rFonts w:eastAsia="Times New Roman"/>
          <w:sz w:val="20"/>
          <w:szCs w:val="20"/>
          <w:lang w:val="de-DE"/>
        </w:rPr>
        <w:t xml:space="preserve"> </w:t>
      </w:r>
      <w:r w:rsidRPr="009A1B6C">
        <w:rPr>
          <w:i/>
          <w:sz w:val="20"/>
          <w:szCs w:val="20"/>
          <w:lang w:val="de-DE"/>
        </w:rPr>
        <w:t xml:space="preserve">Eweida </w:t>
      </w:r>
      <w:r w:rsidRPr="009A1B6C">
        <w:rPr>
          <w:sz w:val="20"/>
          <w:szCs w:val="20"/>
          <w:shd w:val="clear" w:color="auto" w:fill="FFFFFF"/>
          <w:lang w:val="de-DE"/>
        </w:rPr>
        <w:t>245</w:t>
      </w:r>
      <w:r w:rsidRPr="009A1B6C">
        <w:rPr>
          <w:sz w:val="20"/>
          <w:szCs w:val="20"/>
          <w:lang w:val="de-DE"/>
        </w:rPr>
        <w:t xml:space="preserve"> [89].</w:t>
      </w:r>
    </w:p>
  </w:footnote>
  <w:footnote w:id="22">
    <w:p w14:paraId="06546FC3" w14:textId="0C5883E1" w:rsidR="0021384C" w:rsidRPr="009A1B6C" w:rsidRDefault="0021384C" w:rsidP="002A0038">
      <w:pPr>
        <w:pStyle w:val="FootnoteText1"/>
        <w:spacing w:line="240" w:lineRule="auto"/>
        <w:jc w:val="both"/>
        <w:rPr>
          <w:rFonts w:ascii="Times New Roman" w:hAnsi="Times New Roman" w:cs="Times New Roman"/>
          <w:lang w:val="de-DE"/>
        </w:rPr>
      </w:pPr>
      <w:r w:rsidRPr="009A1B6C">
        <w:rPr>
          <w:rStyle w:val="FootnoteCharacters"/>
        </w:rPr>
        <w:footnoteRef/>
      </w:r>
      <w:r w:rsidRPr="009A1B6C">
        <w:rPr>
          <w:rStyle w:val="FootnoteReference1"/>
          <w:rFonts w:ascii="Times New Roman" w:hAnsi="Times New Roman" w:cs="Times New Roman"/>
          <w:lang w:val="de-DE"/>
        </w:rPr>
        <w:t xml:space="preserve"> </w:t>
      </w:r>
      <w:r>
        <w:rPr>
          <w:rFonts w:ascii="Times New Roman" w:hAnsi="Times New Roman" w:cs="Times New Roman"/>
          <w:lang w:val="de-DE"/>
        </w:rPr>
        <w:t>ibid</w:t>
      </w:r>
      <w:r w:rsidRPr="009A1B6C">
        <w:rPr>
          <w:rFonts w:ascii="Times New Roman" w:hAnsi="Times New Roman" w:cs="Times New Roman"/>
          <w:i/>
          <w:lang w:val="de-DE"/>
        </w:rPr>
        <w:t xml:space="preserve"> </w:t>
      </w:r>
      <w:r w:rsidRPr="009A1B6C">
        <w:rPr>
          <w:rFonts w:ascii="Times New Roman" w:hAnsi="Times New Roman" w:cs="Times New Roman"/>
          <w:lang w:val="de-DE"/>
        </w:rPr>
        <w:t>242–4</w:t>
      </w:r>
      <w:r w:rsidRPr="009A1B6C">
        <w:rPr>
          <w:rFonts w:ascii="Times New Roman" w:hAnsi="Times New Roman" w:cs="Times New Roman"/>
          <w:i/>
          <w:lang w:val="de-DE"/>
        </w:rPr>
        <w:t xml:space="preserve"> </w:t>
      </w:r>
      <w:r w:rsidRPr="009A1B6C">
        <w:rPr>
          <w:rFonts w:ascii="Times New Roman" w:hAnsi="Times New Roman" w:cs="Times New Roman"/>
          <w:lang w:val="de-DE"/>
        </w:rPr>
        <w:t>[79]–[84].</w:t>
      </w:r>
    </w:p>
  </w:footnote>
  <w:footnote w:id="23">
    <w:p w14:paraId="70502DDB" w14:textId="2A97D0DD" w:rsidR="0021384C" w:rsidRPr="009A1B6C" w:rsidRDefault="0021384C" w:rsidP="002A0038">
      <w:pPr>
        <w:pStyle w:val="FootnoteText1"/>
        <w:spacing w:line="240" w:lineRule="auto"/>
        <w:jc w:val="both"/>
        <w:rPr>
          <w:rFonts w:ascii="Times New Roman" w:hAnsi="Times New Roman" w:cs="Times New Roman"/>
          <w:lang w:val="de-DE"/>
        </w:rPr>
      </w:pPr>
      <w:r w:rsidRPr="009A1B6C">
        <w:rPr>
          <w:rStyle w:val="FootnoteCharacters"/>
        </w:rPr>
        <w:footnoteRef/>
      </w:r>
      <w:r w:rsidRPr="009A1B6C">
        <w:rPr>
          <w:rStyle w:val="FootnoteReference1"/>
          <w:rFonts w:ascii="Times New Roman" w:hAnsi="Times New Roman" w:cs="Times New Roman"/>
          <w:lang w:val="de-DE"/>
        </w:rPr>
        <w:t xml:space="preserve"> </w:t>
      </w:r>
      <w:r>
        <w:rPr>
          <w:rFonts w:ascii="Times New Roman" w:hAnsi="Times New Roman" w:cs="Times New Roman"/>
          <w:lang w:val="de-DE"/>
        </w:rPr>
        <w:t>ibid</w:t>
      </w:r>
      <w:r w:rsidRPr="009A1B6C">
        <w:rPr>
          <w:rFonts w:ascii="Times New Roman" w:hAnsi="Times New Roman" w:cs="Times New Roman"/>
          <w:i/>
          <w:lang w:val="de-DE"/>
        </w:rPr>
        <w:t xml:space="preserve"> </w:t>
      </w:r>
      <w:r w:rsidRPr="009A1B6C">
        <w:rPr>
          <w:rFonts w:ascii="Times New Roman" w:hAnsi="Times New Roman" w:cs="Times New Roman"/>
          <w:lang w:val="de-DE"/>
        </w:rPr>
        <w:t>243 [82].</w:t>
      </w:r>
    </w:p>
  </w:footnote>
  <w:footnote w:id="24">
    <w:p w14:paraId="4EFC163B" w14:textId="77777777" w:rsidR="0021384C" w:rsidRPr="009A1B6C" w:rsidRDefault="0021384C" w:rsidP="002A0038">
      <w:pPr>
        <w:pStyle w:val="FootnoteText1"/>
        <w:spacing w:line="240" w:lineRule="auto"/>
        <w:jc w:val="both"/>
        <w:rPr>
          <w:rFonts w:ascii="Times New Roman" w:hAnsi="Times New Roman" w:cs="Times New Roman"/>
          <w:lang w:val="de-DE"/>
        </w:rPr>
      </w:pPr>
      <w:r w:rsidRPr="009A1B6C">
        <w:rPr>
          <w:rStyle w:val="FootnoteCharacters"/>
        </w:rPr>
        <w:footnoteRef/>
      </w:r>
      <w:r w:rsidRPr="009A1B6C">
        <w:rPr>
          <w:rStyle w:val="FootnoteReference1"/>
          <w:rFonts w:ascii="Times New Roman" w:hAnsi="Times New Roman" w:cs="Times New Roman"/>
          <w:lang w:val="de-DE"/>
        </w:rPr>
        <w:t xml:space="preserve"> </w:t>
      </w:r>
      <w:r w:rsidRPr="009A1B6C">
        <w:rPr>
          <w:rFonts w:ascii="Times New Roman" w:hAnsi="Times New Roman" w:cs="Times New Roman"/>
          <w:i/>
          <w:iCs/>
          <w:lang w:val="de-DE"/>
        </w:rPr>
        <w:t xml:space="preserve">Şahin </w:t>
      </w:r>
      <w:r w:rsidRPr="009A1B6C">
        <w:rPr>
          <w:rFonts w:ascii="Times New Roman" w:hAnsi="Times New Roman" w:cs="Times New Roman"/>
          <w:lang w:val="de-DE"/>
        </w:rPr>
        <w:t xml:space="preserve">[2004/5] </w:t>
      </w:r>
      <w:r w:rsidRPr="009A1B6C">
        <w:rPr>
          <w:rFonts w:ascii="Times New Roman" w:hAnsi="Times New Roman" w:cs="Times New Roman"/>
          <w:iCs/>
          <w:lang w:val="de-DE"/>
        </w:rPr>
        <w:t xml:space="preserve">124–5 </w:t>
      </w:r>
      <w:r w:rsidRPr="009A1B6C">
        <w:rPr>
          <w:rFonts w:ascii="Times New Roman" w:hAnsi="Times New Roman" w:cs="Times New Roman"/>
          <w:lang w:val="de-DE"/>
        </w:rPr>
        <w:t>[66].</w:t>
      </w:r>
    </w:p>
  </w:footnote>
  <w:footnote w:id="25">
    <w:p w14:paraId="37EDB006" w14:textId="5DE8B052" w:rsidR="0021384C" w:rsidRPr="009A1B6C" w:rsidRDefault="0021384C" w:rsidP="002A0038">
      <w:pPr>
        <w:pStyle w:val="FootnoteText1"/>
        <w:spacing w:line="240" w:lineRule="auto"/>
        <w:jc w:val="both"/>
        <w:rPr>
          <w:rFonts w:ascii="Times New Roman" w:hAnsi="Times New Roman" w:cs="Times New Roman"/>
          <w:lang w:val="de-DE"/>
        </w:rPr>
      </w:pPr>
      <w:r w:rsidRPr="009A1B6C">
        <w:rPr>
          <w:rStyle w:val="FootnoteCharacters"/>
        </w:rPr>
        <w:footnoteRef/>
      </w:r>
      <w:r w:rsidRPr="009A1B6C">
        <w:rPr>
          <w:rStyle w:val="FootnoteCharacters"/>
          <w:lang w:val="de-DE"/>
        </w:rPr>
        <w:t xml:space="preserve"> </w:t>
      </w:r>
      <w:r>
        <w:rPr>
          <w:rFonts w:ascii="Times New Roman" w:hAnsi="Times New Roman" w:cs="Times New Roman"/>
          <w:iCs/>
          <w:lang w:val="de-DE"/>
        </w:rPr>
        <w:t>ibid</w:t>
      </w:r>
      <w:r w:rsidRPr="009A1B6C">
        <w:rPr>
          <w:rFonts w:ascii="Times New Roman" w:hAnsi="Times New Roman" w:cs="Times New Roman"/>
          <w:i/>
          <w:iCs/>
          <w:lang w:val="de-DE"/>
        </w:rPr>
        <w:t xml:space="preserve"> </w:t>
      </w:r>
      <w:r w:rsidRPr="009A1B6C">
        <w:rPr>
          <w:rFonts w:ascii="Times New Roman" w:hAnsi="Times New Roman" w:cs="Times New Roman"/>
          <w:lang w:val="de-DE"/>
        </w:rPr>
        <w:t>[2004/5] 125–6 [71].</w:t>
      </w:r>
    </w:p>
  </w:footnote>
  <w:footnote w:id="26">
    <w:p w14:paraId="5633640D" w14:textId="73C41165" w:rsidR="0021384C" w:rsidRPr="00D07EA0" w:rsidRDefault="0021384C">
      <w:pPr>
        <w:pStyle w:val="FootnoteText"/>
      </w:pPr>
      <w:r>
        <w:rPr>
          <w:rStyle w:val="FootnoteReference"/>
        </w:rPr>
        <w:footnoteRef/>
      </w:r>
      <w:r>
        <w:t xml:space="preserve"> In </w:t>
      </w:r>
      <w:r>
        <w:rPr>
          <w:i/>
        </w:rPr>
        <w:t>SAS v France</w:t>
      </w:r>
      <w:r>
        <w:t>, for example, the question whether SAS’s wearing the burqa</w:t>
      </w:r>
      <w:r w:rsidR="00D06C2D">
        <w:t xml:space="preserve"> or niqab</w:t>
      </w:r>
      <w:r>
        <w:t xml:space="preserve"> </w:t>
      </w:r>
      <w:r w:rsidR="007F1152">
        <w:t>wa</w:t>
      </w:r>
      <w:r>
        <w:t xml:space="preserve">s a manifestation of a belief </w:t>
      </w:r>
      <w:r w:rsidR="007F1152">
        <w:t>wa</w:t>
      </w:r>
      <w:r>
        <w:t>s never even considered.</w:t>
      </w:r>
    </w:p>
  </w:footnote>
  <w:footnote w:id="27">
    <w:p w14:paraId="2BD3FBBE" w14:textId="77777777" w:rsidR="0021384C" w:rsidRPr="009A1B6C" w:rsidRDefault="0021384C" w:rsidP="002A0038">
      <w:pPr>
        <w:pStyle w:val="FootnoteText"/>
      </w:pPr>
      <w:r w:rsidRPr="009A1B6C">
        <w:rPr>
          <w:rStyle w:val="FootnoteReference"/>
        </w:rPr>
        <w:footnoteRef/>
      </w:r>
      <w:r w:rsidRPr="009A1B6C">
        <w:t xml:space="preserve"> Cottingham, </w:t>
      </w:r>
      <w:r w:rsidRPr="009A1B6C">
        <w:rPr>
          <w:i/>
        </w:rPr>
        <w:t>The Spiritual Dimension</w:t>
      </w:r>
      <w:r w:rsidRPr="009A1B6C">
        <w:t>, 2.</w:t>
      </w:r>
    </w:p>
  </w:footnote>
  <w:footnote w:id="28">
    <w:p w14:paraId="7E6D79FE" w14:textId="77777777" w:rsidR="0021384C" w:rsidRPr="009A1B6C" w:rsidRDefault="0021384C" w:rsidP="002A0038">
      <w:pPr>
        <w:pStyle w:val="FootnoteText"/>
      </w:pPr>
      <w:r w:rsidRPr="009A1B6C">
        <w:rPr>
          <w:rStyle w:val="FootnoteReference"/>
        </w:rPr>
        <w:footnoteRef/>
      </w:r>
      <w:r w:rsidRPr="009A1B6C">
        <w:t xml:space="preserve"> </w:t>
      </w:r>
      <w:r>
        <w:t>i</w:t>
      </w:r>
      <w:r w:rsidRPr="00690178">
        <w:t>bid</w:t>
      </w:r>
      <w:r w:rsidRPr="009A1B6C">
        <w:t xml:space="preserve"> 3.</w:t>
      </w:r>
    </w:p>
  </w:footnote>
  <w:footnote w:id="29">
    <w:p w14:paraId="48EDFA89" w14:textId="77777777" w:rsidR="0021384C" w:rsidRPr="009A1B6C" w:rsidRDefault="0021384C" w:rsidP="002A0038">
      <w:pPr>
        <w:pStyle w:val="FootnoteText"/>
      </w:pPr>
      <w:r w:rsidRPr="009A1B6C">
        <w:rPr>
          <w:rStyle w:val="FootnoteReference"/>
        </w:rPr>
        <w:footnoteRef/>
      </w:r>
      <w:r w:rsidRPr="009A1B6C">
        <w:t xml:space="preserve"> </w:t>
      </w:r>
      <w:r>
        <w:t>i</w:t>
      </w:r>
      <w:r w:rsidRPr="00690178">
        <w:t>bid</w:t>
      </w:r>
      <w:r w:rsidRPr="009A1B6C">
        <w:t xml:space="preserve"> 5.</w:t>
      </w:r>
    </w:p>
  </w:footnote>
  <w:footnote w:id="30">
    <w:p w14:paraId="6CB13DF2" w14:textId="77777777" w:rsidR="0021384C" w:rsidRPr="009A1B6C" w:rsidRDefault="0021384C" w:rsidP="002A0038">
      <w:pPr>
        <w:pStyle w:val="FootnoteText1"/>
        <w:spacing w:line="240" w:lineRule="auto"/>
        <w:jc w:val="both"/>
        <w:rPr>
          <w:rFonts w:ascii="Times New Roman" w:hAnsi="Times New Roman" w:cs="Times New Roman"/>
        </w:rPr>
      </w:pPr>
      <w:r w:rsidRPr="009A1B6C">
        <w:rPr>
          <w:rStyle w:val="FootnoteCharacters"/>
        </w:rPr>
        <w:footnoteRef/>
      </w:r>
      <w:r w:rsidRPr="009A1B6C">
        <w:rPr>
          <w:rStyle w:val="FootnoteReference1"/>
          <w:rFonts w:ascii="Times New Roman" w:hAnsi="Times New Roman" w:cs="Times New Roman"/>
        </w:rPr>
        <w:t xml:space="preserve"> </w:t>
      </w:r>
      <w:r w:rsidRPr="009A1B6C">
        <w:rPr>
          <w:rFonts w:ascii="Times New Roman" w:hAnsi="Times New Roman" w:cs="Times New Roman"/>
        </w:rPr>
        <w:t xml:space="preserve">Trigg, </w:t>
      </w:r>
      <w:r w:rsidRPr="009A1B6C">
        <w:rPr>
          <w:rFonts w:ascii="Times New Roman" w:hAnsi="Times New Roman" w:cs="Times New Roman"/>
          <w:i/>
        </w:rPr>
        <w:t>Equality, Freedom and Religion</w:t>
      </w:r>
      <w:r w:rsidRPr="009A1B6C">
        <w:rPr>
          <w:rFonts w:ascii="Times New Roman" w:hAnsi="Times New Roman" w:cs="Times New Roman"/>
        </w:rPr>
        <w:t>, 8.</w:t>
      </w:r>
    </w:p>
  </w:footnote>
  <w:footnote w:id="31">
    <w:p w14:paraId="66A2677F" w14:textId="53CC15F3" w:rsidR="0021384C" w:rsidRPr="009A1B6C" w:rsidRDefault="0021384C" w:rsidP="002A0038">
      <w:pPr>
        <w:pStyle w:val="NormalWeb"/>
        <w:spacing w:before="0" w:after="0"/>
        <w:jc w:val="both"/>
        <w:rPr>
          <w:color w:val="auto"/>
          <w:sz w:val="20"/>
          <w:szCs w:val="20"/>
        </w:rPr>
      </w:pPr>
      <w:r w:rsidRPr="009A1B6C">
        <w:rPr>
          <w:rStyle w:val="FootnoteCharacters"/>
          <w:color w:val="auto"/>
          <w:sz w:val="20"/>
          <w:szCs w:val="20"/>
        </w:rPr>
        <w:footnoteRef/>
      </w:r>
      <w:r>
        <w:rPr>
          <w:color w:val="auto"/>
          <w:sz w:val="20"/>
          <w:szCs w:val="20"/>
        </w:rPr>
        <w:t xml:space="preserve"> </w:t>
      </w:r>
      <w:r w:rsidRPr="009A1B6C">
        <w:rPr>
          <w:color w:val="auto"/>
          <w:sz w:val="20"/>
          <w:szCs w:val="20"/>
        </w:rPr>
        <w:t xml:space="preserve">For examples of these arguments, see </w:t>
      </w:r>
      <w:r w:rsidRPr="00690178">
        <w:rPr>
          <w:color w:val="auto"/>
          <w:sz w:val="20"/>
          <w:szCs w:val="20"/>
        </w:rPr>
        <w:t>ibid</w:t>
      </w:r>
      <w:r>
        <w:rPr>
          <w:color w:val="auto"/>
          <w:sz w:val="20"/>
          <w:szCs w:val="20"/>
        </w:rPr>
        <w:t xml:space="preserve"> </w:t>
      </w:r>
      <w:r w:rsidRPr="009A1B6C">
        <w:rPr>
          <w:color w:val="auto"/>
          <w:sz w:val="20"/>
          <w:szCs w:val="20"/>
        </w:rPr>
        <w:t>14, 42.</w:t>
      </w:r>
    </w:p>
  </w:footnote>
  <w:footnote w:id="32">
    <w:p w14:paraId="7F695344" w14:textId="77777777" w:rsidR="0021384C" w:rsidRPr="009A1B6C" w:rsidRDefault="0021384C" w:rsidP="002A0038">
      <w:pPr>
        <w:pStyle w:val="FootnoteText1"/>
        <w:spacing w:line="240" w:lineRule="auto"/>
        <w:jc w:val="both"/>
        <w:rPr>
          <w:rFonts w:ascii="Times New Roman" w:hAnsi="Times New Roman" w:cs="Times New Roman"/>
        </w:rPr>
      </w:pPr>
      <w:r w:rsidRPr="009A1B6C">
        <w:rPr>
          <w:rStyle w:val="FootnoteCharacters"/>
        </w:rPr>
        <w:footnoteRef/>
      </w:r>
      <w:r w:rsidRPr="009A1B6C">
        <w:rPr>
          <w:rStyle w:val="FootnoteReference1"/>
          <w:rFonts w:ascii="Times New Roman" w:hAnsi="Times New Roman" w:cs="Times New Roman"/>
        </w:rPr>
        <w:t xml:space="preserve"> </w:t>
      </w:r>
      <w:r>
        <w:rPr>
          <w:rFonts w:ascii="Times New Roman" w:hAnsi="Times New Roman" w:cs="Times New Roman"/>
        </w:rPr>
        <w:t>ib</w:t>
      </w:r>
      <w:r w:rsidRPr="00690178">
        <w:rPr>
          <w:rFonts w:ascii="Times New Roman" w:hAnsi="Times New Roman" w:cs="Times New Roman"/>
        </w:rPr>
        <w:t>id</w:t>
      </w:r>
      <w:r w:rsidRPr="009A1B6C">
        <w:rPr>
          <w:rFonts w:ascii="Times New Roman" w:hAnsi="Times New Roman" w:cs="Times New Roman"/>
        </w:rPr>
        <w:t xml:space="preserve"> 101–2.</w:t>
      </w:r>
    </w:p>
  </w:footnote>
  <w:footnote w:id="33">
    <w:p w14:paraId="06AC59A2" w14:textId="77777777" w:rsidR="0021384C" w:rsidRPr="009A1B6C" w:rsidRDefault="0021384C" w:rsidP="002A0038">
      <w:pPr>
        <w:pStyle w:val="FootnoteText"/>
      </w:pPr>
      <w:r w:rsidRPr="009A1B6C">
        <w:rPr>
          <w:rStyle w:val="FootnoteReference"/>
        </w:rPr>
        <w:footnoteRef/>
      </w:r>
      <w:r w:rsidRPr="009A1B6C">
        <w:t xml:space="preserve"> Malcolm D. Evans, </w:t>
      </w:r>
      <w:r w:rsidRPr="009A1B6C">
        <w:rPr>
          <w:rStyle w:val="Emphasis"/>
          <w:bCs/>
          <w:shd w:val="clear" w:color="auto" w:fill="FFFFFF"/>
        </w:rPr>
        <w:t>Manual on the Wearing of Religious Symbols in Public Areas</w:t>
      </w:r>
      <w:r w:rsidRPr="009A1B6C">
        <w:rPr>
          <w:shd w:val="clear" w:color="auto" w:fill="FFFFFF"/>
        </w:rPr>
        <w:t xml:space="preserve"> (Martinus Nijoff, 2008)</w:t>
      </w:r>
      <w:r>
        <w:rPr>
          <w:shd w:val="clear" w:color="auto" w:fill="FFFFFF"/>
        </w:rPr>
        <w:t xml:space="preserve"> </w:t>
      </w:r>
      <w:r w:rsidRPr="009A1B6C">
        <w:t>VI.B.c.</w:t>
      </w:r>
    </w:p>
  </w:footnote>
  <w:footnote w:id="34">
    <w:p w14:paraId="1CF74E22" w14:textId="528BB1F9" w:rsidR="0021384C" w:rsidRPr="009A1B6C" w:rsidRDefault="0021384C" w:rsidP="009A7A90">
      <w:pPr>
        <w:pStyle w:val="FootnoteText"/>
        <w:jc w:val="both"/>
      </w:pPr>
      <w:r w:rsidRPr="009A1B6C">
        <w:rPr>
          <w:rStyle w:val="FootnoteReference"/>
        </w:rPr>
        <w:footnoteRef/>
      </w:r>
      <w:r w:rsidRPr="009A1B6C">
        <w:t xml:space="preserve"> J.S. Mill, </w:t>
      </w:r>
      <w:r w:rsidRPr="009A1B6C">
        <w:rPr>
          <w:i/>
        </w:rPr>
        <w:t xml:space="preserve">On Liberty </w:t>
      </w:r>
      <w:r w:rsidRPr="009A1B6C">
        <w:t>(Longman</w:t>
      </w:r>
      <w:r>
        <w:t xml:space="preserve"> 1859) Chapter 1</w:t>
      </w:r>
      <w:r w:rsidRPr="009A1B6C">
        <w:t xml:space="preserve"> &lt;</w:t>
      </w:r>
      <w:hyperlink r:id="rId2" w:history="1">
        <w:r w:rsidRPr="009A1B6C">
          <w:rPr>
            <w:rStyle w:val="Hyperlink"/>
            <w:color w:val="auto"/>
          </w:rPr>
          <w:t>http://www.econlib.org/library/Mill/mlLbty1.html</w:t>
        </w:r>
      </w:hyperlink>
      <w:r w:rsidRPr="009A1B6C">
        <w:t>&gt; accessed 23 March 2016.</w:t>
      </w:r>
      <w:r>
        <w:t xml:space="preserve"> Compare also ‘</w:t>
      </w:r>
      <w:r w:rsidRPr="003D4052">
        <w:t>La liberté consiste à pouvoir faire tout ce qui ne nuit pas à autrui</w:t>
      </w:r>
      <w:r>
        <w:t xml:space="preserve">’, Article 4 of </w:t>
      </w:r>
      <w:r w:rsidRPr="009A7A90">
        <w:rPr>
          <w:bCs/>
          <w:rPrChange w:id="1" w:author="Daniel Hill" w:date="2017-06-14T12:41:00Z">
            <w:rPr>
              <w:b/>
              <w:bCs/>
            </w:rPr>
          </w:rPrChange>
        </w:rPr>
        <w:t>Déclaration des Droits de l'Homme et du Citoyen de 1789</w:t>
      </w:r>
      <w:r>
        <w:rPr>
          <w:bCs/>
        </w:rPr>
        <w:t xml:space="preserve"> &lt;</w:t>
      </w:r>
      <w:hyperlink r:id="rId3" w:history="1">
        <w:r w:rsidRPr="0012298A">
          <w:rPr>
            <w:rStyle w:val="Hyperlink"/>
          </w:rPr>
          <w:t>http://www.conseil-constitutionnel.fr/conseil-constitutionnel/francais/la-constitution/la-constitution-du-4-octobre-1958/declaration-des-droits-de-l-homme-et-du-citoyen-de-1789.5076.html</w:t>
        </w:r>
      </w:hyperlink>
      <w:r>
        <w:t>&gt; accessed 14 June 2017.</w:t>
      </w:r>
    </w:p>
  </w:footnote>
  <w:footnote w:id="35">
    <w:p w14:paraId="09BCA908" w14:textId="2B9BF384" w:rsidR="00DE441F" w:rsidRDefault="00DE441F">
      <w:pPr>
        <w:pStyle w:val="FootnoteText"/>
      </w:pPr>
      <w:r>
        <w:rPr>
          <w:rStyle w:val="FootnoteReference"/>
        </w:rPr>
        <w:footnoteRef/>
      </w:r>
      <w:r>
        <w:t xml:space="preserve"> </w:t>
      </w:r>
      <w:r w:rsidR="00730A55">
        <w:rPr>
          <w:i/>
        </w:rPr>
        <w:t>Eweida and Others</w:t>
      </w:r>
      <w:r w:rsidR="00D00AB6">
        <w:rPr>
          <w:i/>
        </w:rPr>
        <w:t xml:space="preserve"> v UK</w:t>
      </w:r>
      <w:r w:rsidR="00CE4BD6">
        <w:t xml:space="preserve">; Chaplin’s </w:t>
      </w:r>
      <w:r w:rsidR="00CD544E">
        <w:t xml:space="preserve">case was </w:t>
      </w:r>
      <w:r w:rsidR="0010178B">
        <w:t xml:space="preserve">no. </w:t>
      </w:r>
      <w:r w:rsidR="00CD544E" w:rsidRPr="00CD544E">
        <w:t>59842/10</w:t>
      </w:r>
      <w:r w:rsidR="00CD544E">
        <w:t>.</w:t>
      </w:r>
    </w:p>
  </w:footnote>
  <w:footnote w:id="36">
    <w:p w14:paraId="567D1D41" w14:textId="77777777" w:rsidR="0021384C" w:rsidRPr="00D6135A" w:rsidRDefault="0021384C" w:rsidP="00D6135A">
      <w:pPr>
        <w:pStyle w:val="FootnoteText"/>
        <w:jc w:val="both"/>
      </w:pPr>
      <w:r w:rsidRPr="00D6135A">
        <w:rPr>
          <w:rStyle w:val="FootnoteReference"/>
        </w:rPr>
        <w:footnoteRef/>
      </w:r>
      <w:r w:rsidRPr="00D6135A">
        <w:t xml:space="preserve"> That is, it specifies that restrictions on the manifestation of religion or belief can be justified if they are ‘necessary in a democratic society in the interests of public safety, for the protection of public order, health or morals’. ‘Necessary in a democratic society’ and ‘public order’ obviously fall under the category of collective harm, and</w:t>
      </w:r>
      <w:r w:rsidRPr="00D6135A">
        <w:rPr>
          <w:rFonts w:ascii="Calibri" w:hAnsi="Calibri"/>
        </w:rPr>
        <w:t>—</w:t>
      </w:r>
      <w:r w:rsidRPr="00D6135A">
        <w:t>as the French version of the ECHR makes clear, ‘à la protection de l’ordre, de la santé ou de la morale publiques’</w:t>
      </w:r>
      <w:r w:rsidRPr="00D6135A">
        <w:rPr>
          <w:rFonts w:ascii="Calibri" w:hAnsi="Calibri"/>
        </w:rPr>
        <w:t>—</w:t>
      </w:r>
      <w:r w:rsidRPr="00D6135A">
        <w:t>‘health’ and ‘morals’ here are both public, and therefore a matter of collective harm once more.</w:t>
      </w:r>
    </w:p>
  </w:footnote>
  <w:footnote w:id="37">
    <w:p w14:paraId="18D83B94" w14:textId="448E305C" w:rsidR="0021384C" w:rsidRPr="009A1B6C" w:rsidRDefault="0021384C" w:rsidP="002A0038">
      <w:pPr>
        <w:autoSpaceDE w:val="0"/>
        <w:autoSpaceDN w:val="0"/>
        <w:adjustRightInd w:val="0"/>
        <w:spacing w:after="0" w:line="240" w:lineRule="auto"/>
        <w:jc w:val="both"/>
        <w:rPr>
          <w:rFonts w:ascii="Bembo" w:hAnsi="Bembo" w:cs="Bembo"/>
          <w:sz w:val="20"/>
          <w:szCs w:val="20"/>
        </w:rPr>
      </w:pPr>
      <w:r w:rsidRPr="009A1B6C">
        <w:rPr>
          <w:rStyle w:val="FootnoteReference"/>
          <w:sz w:val="20"/>
          <w:szCs w:val="20"/>
        </w:rPr>
        <w:footnoteRef/>
      </w:r>
      <w:r w:rsidRPr="009A1B6C">
        <w:rPr>
          <w:sz w:val="20"/>
          <w:szCs w:val="20"/>
        </w:rPr>
        <w:t xml:space="preserve"> In contrast to our approach, there is a tradition in legal theory of denying that harm analysis has any relevance to cases concerning religious symbolism. </w:t>
      </w:r>
      <w:r w:rsidR="00FF6D1D">
        <w:rPr>
          <w:sz w:val="20"/>
          <w:szCs w:val="20"/>
        </w:rPr>
        <w:t>See</w:t>
      </w:r>
      <w:r w:rsidRPr="009A1B6C">
        <w:rPr>
          <w:rFonts w:ascii="Bembo" w:hAnsi="Bembo" w:cs="Bembo"/>
          <w:sz w:val="20"/>
          <w:szCs w:val="20"/>
        </w:rPr>
        <w:t xml:space="preserve"> Robert Wintemute, ‘Accommodating Religious Beliefs: Harm, Clothing or Symbols, and Refusal to Serve Others’, </w:t>
      </w:r>
      <w:r>
        <w:rPr>
          <w:rFonts w:ascii="Bembo" w:hAnsi="Bembo" w:cs="Bembo"/>
          <w:sz w:val="20"/>
          <w:szCs w:val="20"/>
        </w:rPr>
        <w:t xml:space="preserve">(2014) 77 </w:t>
      </w:r>
      <w:r w:rsidRPr="009A1B6C">
        <w:rPr>
          <w:rFonts w:ascii="Bembo" w:hAnsi="Bembo" w:cs="Bembo"/>
          <w:i/>
          <w:sz w:val="20"/>
          <w:szCs w:val="20"/>
        </w:rPr>
        <w:t xml:space="preserve">Modern Law Review </w:t>
      </w:r>
      <w:r w:rsidRPr="009A1B6C">
        <w:rPr>
          <w:rFonts w:ascii="Bembo" w:hAnsi="Bembo" w:cs="Bembo"/>
          <w:sz w:val="20"/>
          <w:szCs w:val="20"/>
        </w:rPr>
        <w:t>231.</w:t>
      </w:r>
    </w:p>
  </w:footnote>
  <w:footnote w:id="38">
    <w:p w14:paraId="3A7264FF" w14:textId="77777777" w:rsidR="0021384C" w:rsidRDefault="0021384C">
      <w:pPr>
        <w:pStyle w:val="FootnoteText"/>
      </w:pPr>
      <w:r>
        <w:rPr>
          <w:rStyle w:val="FootnoteReference"/>
        </w:rPr>
        <w:footnoteRef/>
      </w:r>
      <w:r>
        <w:t xml:space="preserve"> </w:t>
      </w:r>
      <w:r w:rsidRPr="009A1B6C">
        <w:t xml:space="preserve">Evans, </w:t>
      </w:r>
      <w:r w:rsidRPr="009A1B6C">
        <w:rPr>
          <w:rStyle w:val="Emphasis"/>
          <w:bCs/>
          <w:shd w:val="clear" w:color="auto" w:fill="FFFFFF"/>
        </w:rPr>
        <w:t>Manual on the Wearing of Religious Symbols in Public Areas</w:t>
      </w:r>
      <w:r>
        <w:rPr>
          <w:shd w:val="clear" w:color="auto" w:fill="FFFFFF"/>
        </w:rPr>
        <w:t xml:space="preserve"> </w:t>
      </w:r>
      <w:r w:rsidRPr="009A1B6C">
        <w:t>VI.B.c.</w:t>
      </w:r>
    </w:p>
  </w:footnote>
  <w:footnote w:id="39">
    <w:p w14:paraId="5199685F" w14:textId="77777777" w:rsidR="0021384C" w:rsidRPr="009A1B6C" w:rsidRDefault="0021384C" w:rsidP="002A0038">
      <w:pPr>
        <w:pStyle w:val="FootnoteText"/>
        <w:jc w:val="both"/>
      </w:pPr>
      <w:r w:rsidRPr="009A1B6C">
        <w:rPr>
          <w:rStyle w:val="FootnoteReference"/>
        </w:rPr>
        <w:footnoteRef/>
      </w:r>
      <w:r w:rsidRPr="009A1B6C">
        <w:t xml:space="preserve"> </w:t>
      </w:r>
      <w:r>
        <w:t>i</w:t>
      </w:r>
      <w:r w:rsidRPr="00AA63E7">
        <w:t>bid</w:t>
      </w:r>
      <w:r w:rsidRPr="009A1B6C">
        <w:t>.</w:t>
      </w:r>
    </w:p>
  </w:footnote>
  <w:footnote w:id="40">
    <w:p w14:paraId="0545E745" w14:textId="3D83AF0B" w:rsidR="0021384C" w:rsidRPr="009A1B6C" w:rsidRDefault="0021384C" w:rsidP="002A0038">
      <w:pPr>
        <w:pStyle w:val="FootnoteText"/>
        <w:jc w:val="both"/>
      </w:pPr>
      <w:r w:rsidRPr="009A1B6C">
        <w:rPr>
          <w:rStyle w:val="FootnoteReference"/>
        </w:rPr>
        <w:footnoteRef/>
      </w:r>
      <w:r w:rsidRPr="009A1B6C">
        <w:t xml:space="preserve"> </w:t>
      </w:r>
      <w:r>
        <w:t>i</w:t>
      </w:r>
      <w:r w:rsidRPr="00602C49">
        <w:t>bid</w:t>
      </w:r>
      <w:r w:rsidRPr="009A1B6C">
        <w:t>.</w:t>
      </w:r>
    </w:p>
  </w:footnote>
  <w:footnote w:id="41">
    <w:p w14:paraId="65C604FA" w14:textId="77777777" w:rsidR="0021384C" w:rsidRPr="002867C7" w:rsidRDefault="0021384C" w:rsidP="000C3A2C">
      <w:pPr>
        <w:pStyle w:val="FootnoteText"/>
      </w:pPr>
      <w:r w:rsidRPr="009A1B6C">
        <w:rPr>
          <w:rStyle w:val="FootnoteReference"/>
        </w:rPr>
        <w:footnoteRef/>
      </w:r>
      <w:r w:rsidRPr="002867C7">
        <w:t xml:space="preserve"> </w:t>
      </w:r>
      <w:r w:rsidRPr="002867C7">
        <w:rPr>
          <w:i/>
        </w:rPr>
        <w:t>Dahlab v Switzerland</w:t>
      </w:r>
      <w:r w:rsidRPr="002867C7">
        <w:t>, no. 42393/98,</w:t>
      </w:r>
      <w:r w:rsidRPr="002867C7">
        <w:rPr>
          <w:i/>
        </w:rPr>
        <w:t xml:space="preserve"> </w:t>
      </w:r>
      <w:r w:rsidRPr="002867C7">
        <w:t>[2001] ECHR 899, ECHR 2001-V 447 (15 February 2001).</w:t>
      </w:r>
    </w:p>
  </w:footnote>
  <w:footnote w:id="42">
    <w:p w14:paraId="78B9CC86" w14:textId="42E40C56" w:rsidR="0021384C" w:rsidRPr="009A1B6C" w:rsidRDefault="0021384C" w:rsidP="002A0038">
      <w:pPr>
        <w:pStyle w:val="FootnoteText"/>
      </w:pPr>
      <w:r w:rsidRPr="009A1B6C">
        <w:rPr>
          <w:rStyle w:val="FootnoteReference"/>
        </w:rPr>
        <w:footnoteRef/>
      </w:r>
      <w:r w:rsidRPr="009A1B6C">
        <w:t xml:space="preserve"> </w:t>
      </w:r>
      <w:r>
        <w:t>ibid</w:t>
      </w:r>
      <w:r w:rsidRPr="009A1B6C">
        <w:t xml:space="preserve"> 458.</w:t>
      </w:r>
      <w:r>
        <w:t xml:space="preserve"> Note the explicit categorization of the headscarf as a symbol. While Islam may not treat clothing like the headscarf as symbolic, it is treated in line with symbolic phenomena by the ECtHR—and so, for the purposes of this essay, we follow the case law in treating religious clothing as symbolic.</w:t>
      </w:r>
    </w:p>
  </w:footnote>
  <w:footnote w:id="43">
    <w:p w14:paraId="07D9292A" w14:textId="77777777" w:rsidR="0021384C" w:rsidRPr="009A1B6C" w:rsidRDefault="0021384C" w:rsidP="002A0038">
      <w:pPr>
        <w:pStyle w:val="FootnoteText"/>
        <w:jc w:val="both"/>
      </w:pPr>
      <w:r w:rsidRPr="009A1B6C">
        <w:rPr>
          <w:rStyle w:val="FootnoteReference"/>
        </w:rPr>
        <w:footnoteRef/>
      </w:r>
      <w:r w:rsidRPr="009A1B6C">
        <w:t xml:space="preserve"> Dominic McGoldrick, ‘Religion in the European Public Square and in European Public Life</w:t>
      </w:r>
      <w:r w:rsidRPr="009A1B6C">
        <w:rPr>
          <w:rFonts w:ascii="Calibri" w:hAnsi="Calibri"/>
        </w:rPr>
        <w:t>—</w:t>
      </w:r>
      <w:r w:rsidRPr="009A1B6C">
        <w:t>Crucifixes in the Classroom’, (2011) 11 Human Rights Law Review 451, 484, 489 and ‘A Defence of the Margin of Appreciation and an Argument for Its Application by the Human Rights Committee’ (2016) 65 International and Comparative Law Quarterly 21, 39.</w:t>
      </w:r>
    </w:p>
  </w:footnote>
  <w:footnote w:id="44">
    <w:p w14:paraId="310CE010" w14:textId="77777777" w:rsidR="0021384C" w:rsidRPr="009A1B6C" w:rsidRDefault="0021384C" w:rsidP="00D75D14">
      <w:pPr>
        <w:pStyle w:val="FootnoteText"/>
        <w:jc w:val="both"/>
      </w:pPr>
      <w:r w:rsidRPr="009A1B6C">
        <w:rPr>
          <w:rStyle w:val="FootnoteReference"/>
        </w:rPr>
        <w:footnoteRef/>
      </w:r>
      <w:r w:rsidRPr="009A1B6C">
        <w:t xml:space="preserve"> For an analysis of harm in </w:t>
      </w:r>
      <w:r w:rsidRPr="009A1B6C">
        <w:rPr>
          <w:i/>
        </w:rPr>
        <w:t xml:space="preserve">Dahlab </w:t>
      </w:r>
      <w:r w:rsidRPr="009A1B6C">
        <w:t>similar to what follows, see Wintemute, ‘Accommodating Religious Beliefs’ 233-4.</w:t>
      </w:r>
    </w:p>
  </w:footnote>
  <w:footnote w:id="45">
    <w:p w14:paraId="55FC9B4E" w14:textId="77777777" w:rsidR="0021384C" w:rsidRPr="009A1B6C" w:rsidRDefault="0021384C" w:rsidP="002A0038">
      <w:pPr>
        <w:pStyle w:val="FootnoteText"/>
      </w:pPr>
      <w:r w:rsidRPr="009A1B6C">
        <w:rPr>
          <w:rStyle w:val="FootnoteReference"/>
        </w:rPr>
        <w:footnoteRef/>
      </w:r>
      <w:r w:rsidRPr="009A1B6C">
        <w:t xml:space="preserve"> </w:t>
      </w:r>
      <w:r w:rsidRPr="009A1B6C">
        <w:rPr>
          <w:i/>
        </w:rPr>
        <w:t>Dahlab</w:t>
      </w:r>
      <w:r w:rsidRPr="009A1B6C">
        <w:t xml:space="preserve"> 459.</w:t>
      </w:r>
    </w:p>
  </w:footnote>
  <w:footnote w:id="46">
    <w:p w14:paraId="56DEE2D7" w14:textId="552B45FE" w:rsidR="0021384C" w:rsidRPr="009A1B6C" w:rsidRDefault="0021384C" w:rsidP="002A0038">
      <w:pPr>
        <w:pStyle w:val="FootnoteText"/>
        <w:jc w:val="both"/>
      </w:pPr>
      <w:r w:rsidRPr="009A1B6C">
        <w:rPr>
          <w:rStyle w:val="FootnoteReference"/>
        </w:rPr>
        <w:footnoteRef/>
      </w:r>
      <w:r w:rsidRPr="009A1B6C">
        <w:t xml:space="preserve"> </w:t>
      </w:r>
      <w:r>
        <w:t>ibid</w:t>
      </w:r>
      <w:r w:rsidRPr="009A1B6C">
        <w:rPr>
          <w:i/>
        </w:rPr>
        <w:t xml:space="preserve"> </w:t>
      </w:r>
      <w:r w:rsidRPr="00E81CF5">
        <w:t>463</w:t>
      </w:r>
      <w:r w:rsidRPr="009A1B6C">
        <w:t>.</w:t>
      </w:r>
    </w:p>
  </w:footnote>
  <w:footnote w:id="47">
    <w:p w14:paraId="3FB13456" w14:textId="308442B5" w:rsidR="0021384C" w:rsidRPr="009A1B6C" w:rsidRDefault="0021384C" w:rsidP="002A0038">
      <w:pPr>
        <w:pStyle w:val="FootnoteText"/>
      </w:pPr>
      <w:r w:rsidRPr="009A1B6C">
        <w:rPr>
          <w:rStyle w:val="FootnoteReference"/>
        </w:rPr>
        <w:footnoteRef/>
      </w:r>
      <w:r w:rsidRPr="009A1B6C">
        <w:t xml:space="preserve"> </w:t>
      </w:r>
      <w:r w:rsidRPr="00E81CF5">
        <w:t>ibid</w:t>
      </w:r>
      <w:r>
        <w:t>.</w:t>
      </w:r>
    </w:p>
  </w:footnote>
  <w:footnote w:id="48">
    <w:p w14:paraId="0C31A61B" w14:textId="77777777" w:rsidR="0021384C" w:rsidRPr="007C32F8" w:rsidRDefault="0021384C" w:rsidP="007C32F8">
      <w:pPr>
        <w:pStyle w:val="FootnoteText"/>
        <w:jc w:val="both"/>
      </w:pPr>
      <w:r w:rsidRPr="007C32F8">
        <w:rPr>
          <w:rStyle w:val="FootnoteReference"/>
        </w:rPr>
        <w:footnoteRef/>
      </w:r>
      <w:r w:rsidRPr="007C32F8">
        <w:t xml:space="preserve"> </w:t>
      </w:r>
      <w:r>
        <w:t>See the UK</w:t>
      </w:r>
      <w:r w:rsidRPr="007C32F8">
        <w:t xml:space="preserve"> Public Order Act 1986 s 5(1)</w:t>
      </w:r>
      <w:r>
        <w:t xml:space="preserve"> or the Australian</w:t>
      </w:r>
      <w:r w:rsidRPr="007C32F8">
        <w:rPr>
          <w:shd w:val="clear" w:color="auto" w:fill="FFFFFF"/>
        </w:rPr>
        <w:t xml:space="preserve"> Racial Discrimination Act 1975 </w:t>
      </w:r>
      <w:r w:rsidRPr="007C32F8">
        <w:t>s 18C(</w:t>
      </w:r>
      <w:r>
        <w:t>1)(a)</w:t>
      </w:r>
      <w:r w:rsidRPr="007C32F8">
        <w:t>.</w:t>
      </w:r>
    </w:p>
  </w:footnote>
  <w:footnote w:id="49">
    <w:p w14:paraId="67BE0BA2" w14:textId="77777777" w:rsidR="0021384C" w:rsidRPr="009A1B6C" w:rsidRDefault="0021384C" w:rsidP="002A0038">
      <w:pPr>
        <w:pStyle w:val="FootnoteText"/>
      </w:pPr>
      <w:r w:rsidRPr="009A1B6C">
        <w:rPr>
          <w:rStyle w:val="FootnoteReference"/>
        </w:rPr>
        <w:footnoteRef/>
      </w:r>
      <w:r w:rsidRPr="009A1B6C">
        <w:t xml:space="preserve"> </w:t>
      </w:r>
      <w:r w:rsidRPr="009A1B6C">
        <w:rPr>
          <w:i/>
        </w:rPr>
        <w:t>Dahlab</w:t>
      </w:r>
      <w:r w:rsidRPr="009A1B6C">
        <w:t xml:space="preserve"> 463.</w:t>
      </w:r>
    </w:p>
  </w:footnote>
  <w:footnote w:id="50">
    <w:p w14:paraId="00D13E0A" w14:textId="603C1B0E" w:rsidR="0021384C" w:rsidRPr="009A1B6C" w:rsidRDefault="0021384C" w:rsidP="002A0038">
      <w:pPr>
        <w:pStyle w:val="FootnoteText"/>
      </w:pPr>
      <w:r w:rsidRPr="009A1B6C">
        <w:rPr>
          <w:rStyle w:val="FootnoteReference"/>
        </w:rPr>
        <w:footnoteRef/>
      </w:r>
      <w:r w:rsidRPr="009A1B6C">
        <w:t xml:space="preserve"> </w:t>
      </w:r>
      <w:r>
        <w:t>ibid</w:t>
      </w:r>
      <w:r w:rsidRPr="009A1B6C">
        <w:t xml:space="preserve"> 459.</w:t>
      </w:r>
    </w:p>
  </w:footnote>
  <w:footnote w:id="51">
    <w:p w14:paraId="7645C698" w14:textId="54639D54" w:rsidR="0021384C" w:rsidRPr="009A1B6C" w:rsidRDefault="0021384C" w:rsidP="002A0038">
      <w:pPr>
        <w:pStyle w:val="FootnoteText"/>
        <w:rPr>
          <w:lang w:val="de-DE"/>
        </w:rPr>
      </w:pPr>
      <w:r w:rsidRPr="009A1B6C">
        <w:rPr>
          <w:rStyle w:val="FootnoteReference"/>
        </w:rPr>
        <w:footnoteRef/>
      </w:r>
      <w:r w:rsidRPr="009A1B6C">
        <w:rPr>
          <w:lang w:val="de-DE"/>
        </w:rPr>
        <w:t xml:space="preserve"> </w:t>
      </w:r>
      <w:r w:rsidRPr="009C1B05">
        <w:rPr>
          <w:lang w:val="de-DE"/>
        </w:rPr>
        <w:t>ibid</w:t>
      </w:r>
      <w:r w:rsidRPr="009A1B6C">
        <w:rPr>
          <w:lang w:val="de-DE"/>
        </w:rPr>
        <w:t>.</w:t>
      </w:r>
    </w:p>
  </w:footnote>
  <w:footnote w:id="52">
    <w:p w14:paraId="6DE0A190" w14:textId="0816C128" w:rsidR="0021384C" w:rsidRPr="009A1B6C" w:rsidRDefault="0021384C" w:rsidP="002A0038">
      <w:pPr>
        <w:pStyle w:val="FootnoteText"/>
        <w:rPr>
          <w:lang w:val="de-DE"/>
        </w:rPr>
      </w:pPr>
      <w:r w:rsidRPr="009A1B6C">
        <w:rPr>
          <w:rStyle w:val="FootnoteReference"/>
        </w:rPr>
        <w:footnoteRef/>
      </w:r>
      <w:r w:rsidRPr="009A1B6C">
        <w:rPr>
          <w:lang w:val="de-DE"/>
        </w:rPr>
        <w:t xml:space="preserve"> </w:t>
      </w:r>
      <w:r>
        <w:rPr>
          <w:lang w:val="de-DE"/>
        </w:rPr>
        <w:t>ibid</w:t>
      </w:r>
      <w:r w:rsidRPr="009A1B6C">
        <w:rPr>
          <w:lang w:val="de-DE"/>
        </w:rPr>
        <w:t xml:space="preserve"> 463.</w:t>
      </w:r>
    </w:p>
  </w:footnote>
  <w:footnote w:id="53">
    <w:p w14:paraId="5CEBC7A7" w14:textId="43BBAE25" w:rsidR="0021384C" w:rsidRDefault="0021384C" w:rsidP="00BF1ED2">
      <w:pPr>
        <w:pStyle w:val="FootnoteText"/>
      </w:pPr>
      <w:r>
        <w:rPr>
          <w:rStyle w:val="FootnoteReference"/>
        </w:rPr>
        <w:footnoteRef/>
      </w:r>
      <w:r>
        <w:t xml:space="preserve"> </w:t>
      </w:r>
      <w:r w:rsidRPr="00B56DFC">
        <w:rPr>
          <w:i/>
        </w:rPr>
        <w:t>Lautsi v Italy</w:t>
      </w:r>
      <w:r w:rsidRPr="00B56DFC">
        <w:t>, no. 30814/06,</w:t>
      </w:r>
      <w:r>
        <w:t xml:space="preserve"> </w:t>
      </w:r>
      <w:r w:rsidRPr="00BF1ED2">
        <w:t>[2009] ECHR 1901</w:t>
      </w:r>
      <w:r>
        <w:t>,</w:t>
      </w:r>
      <w:r w:rsidRPr="00B56DFC">
        <w:rPr>
          <w:i/>
        </w:rPr>
        <w:t xml:space="preserve"> </w:t>
      </w:r>
      <w:r w:rsidRPr="00360654">
        <w:rPr>
          <w:bCs/>
        </w:rPr>
        <w:t>(2010) 50 EHRR 42</w:t>
      </w:r>
      <w:r>
        <w:rPr>
          <w:bCs/>
        </w:rPr>
        <w:t xml:space="preserve"> (Chamber) (3 </w:t>
      </w:r>
      <w:r w:rsidRPr="00BF1ED2">
        <w:rPr>
          <w:bCs/>
        </w:rPr>
        <w:t>November 2009</w:t>
      </w:r>
      <w:r>
        <w:rPr>
          <w:bCs/>
        </w:rPr>
        <w:t>);</w:t>
      </w:r>
      <w:r w:rsidRPr="00360654">
        <w:t xml:space="preserve"> </w:t>
      </w:r>
      <w:r w:rsidRPr="00B56DFC">
        <w:t>[2011] ECHR 2412, (2012) 54 EHRR 3 (Grand Chamber) (18 March 2011).</w:t>
      </w:r>
    </w:p>
  </w:footnote>
  <w:footnote w:id="54">
    <w:p w14:paraId="5DA30FB7" w14:textId="4C5B69E0" w:rsidR="0021384C" w:rsidRPr="00335867" w:rsidRDefault="0021384C" w:rsidP="002A0038">
      <w:pPr>
        <w:pStyle w:val="FootnoteText"/>
        <w:jc w:val="both"/>
        <w:rPr>
          <w:lang w:val="de-DE"/>
        </w:rPr>
      </w:pPr>
      <w:r w:rsidRPr="009A1B6C">
        <w:rPr>
          <w:rStyle w:val="FootnoteReference"/>
        </w:rPr>
        <w:footnoteRef/>
      </w:r>
      <w:r w:rsidRPr="00335867">
        <w:rPr>
          <w:lang w:val="de-DE"/>
        </w:rPr>
        <w:t xml:space="preserve"> </w:t>
      </w:r>
      <w:r w:rsidRPr="00335867">
        <w:rPr>
          <w:i/>
          <w:lang w:val="de-DE"/>
        </w:rPr>
        <w:t>Lautsi</w:t>
      </w:r>
      <w:r w:rsidRPr="00335867">
        <w:rPr>
          <w:lang w:val="de-DE"/>
        </w:rPr>
        <w:t xml:space="preserve"> (20</w:t>
      </w:r>
      <w:r>
        <w:rPr>
          <w:lang w:val="de-DE"/>
        </w:rPr>
        <w:t>09/</w:t>
      </w:r>
      <w:r w:rsidRPr="00335867">
        <w:rPr>
          <w:lang w:val="de-DE"/>
        </w:rPr>
        <w:t>10) 1064 [55].</w:t>
      </w:r>
    </w:p>
  </w:footnote>
  <w:footnote w:id="55">
    <w:p w14:paraId="539EC9CE" w14:textId="035D12C8" w:rsidR="0021384C" w:rsidRPr="00335867" w:rsidRDefault="0021384C" w:rsidP="002A0038">
      <w:pPr>
        <w:pStyle w:val="FootnoteText"/>
        <w:jc w:val="both"/>
        <w:rPr>
          <w:lang w:val="de-DE"/>
        </w:rPr>
      </w:pPr>
      <w:r w:rsidRPr="009A1B6C">
        <w:rPr>
          <w:rStyle w:val="FootnoteReference"/>
        </w:rPr>
        <w:footnoteRef/>
      </w:r>
      <w:r w:rsidRPr="00335867">
        <w:rPr>
          <w:lang w:val="de-DE"/>
        </w:rPr>
        <w:t xml:space="preserve"> </w:t>
      </w:r>
      <w:r w:rsidRPr="00C65C94">
        <w:rPr>
          <w:lang w:val="de-DE"/>
        </w:rPr>
        <w:t>ibid</w:t>
      </w:r>
      <w:r w:rsidRPr="00335867">
        <w:rPr>
          <w:lang w:val="de-DE"/>
        </w:rPr>
        <w:t xml:space="preserve"> 1064 [55].</w:t>
      </w:r>
    </w:p>
  </w:footnote>
  <w:footnote w:id="56">
    <w:p w14:paraId="0DB0B403" w14:textId="2D187832" w:rsidR="0021384C" w:rsidRPr="00335867" w:rsidRDefault="0021384C" w:rsidP="002A0038">
      <w:pPr>
        <w:pStyle w:val="FootnoteText"/>
        <w:jc w:val="both"/>
        <w:rPr>
          <w:lang w:val="de-DE"/>
        </w:rPr>
      </w:pPr>
      <w:r w:rsidRPr="009A1B6C">
        <w:rPr>
          <w:rStyle w:val="FootnoteReference"/>
        </w:rPr>
        <w:footnoteRef/>
      </w:r>
      <w:r w:rsidRPr="00335867">
        <w:rPr>
          <w:lang w:val="de-DE"/>
        </w:rPr>
        <w:t xml:space="preserve"> </w:t>
      </w:r>
      <w:r>
        <w:rPr>
          <w:lang w:val="de-DE"/>
        </w:rPr>
        <w:t>ibid</w:t>
      </w:r>
      <w:r w:rsidRPr="00335867">
        <w:rPr>
          <w:lang w:val="de-DE"/>
        </w:rPr>
        <w:t xml:space="preserve"> 1063 [54].</w:t>
      </w:r>
    </w:p>
  </w:footnote>
  <w:footnote w:id="57">
    <w:p w14:paraId="4EF69834" w14:textId="421D5621" w:rsidR="0021384C" w:rsidRPr="009A1B6C" w:rsidRDefault="0021384C" w:rsidP="002A0038">
      <w:pPr>
        <w:pStyle w:val="FootnoteText"/>
        <w:jc w:val="both"/>
      </w:pPr>
      <w:r w:rsidRPr="009A1B6C">
        <w:rPr>
          <w:rStyle w:val="FootnoteReference"/>
        </w:rPr>
        <w:footnoteRef/>
      </w:r>
      <w:r w:rsidRPr="009A1B6C">
        <w:t xml:space="preserve"> </w:t>
      </w:r>
      <w:r w:rsidRPr="009A1B6C">
        <w:rPr>
          <w:i/>
        </w:rPr>
        <w:t xml:space="preserve">Lautsi </w:t>
      </w:r>
      <w:r w:rsidRPr="009A1B6C">
        <w:rPr>
          <w:shd w:val="clear" w:color="auto" w:fill="FFFFFF"/>
        </w:rPr>
        <w:t>(201</w:t>
      </w:r>
      <w:r>
        <w:rPr>
          <w:shd w:val="clear" w:color="auto" w:fill="FFFFFF"/>
        </w:rPr>
        <w:t>1/1</w:t>
      </w:r>
      <w:r w:rsidRPr="009A1B6C">
        <w:rPr>
          <w:shd w:val="clear" w:color="auto" w:fill="FFFFFF"/>
        </w:rPr>
        <w:t>2)</w:t>
      </w:r>
      <w:r w:rsidRPr="009A1B6C">
        <w:t>.</w:t>
      </w:r>
    </w:p>
  </w:footnote>
  <w:footnote w:id="58">
    <w:p w14:paraId="6539D6CF" w14:textId="505D8B62" w:rsidR="0021384C" w:rsidRPr="009A1B6C" w:rsidRDefault="0021384C" w:rsidP="002A0038">
      <w:pPr>
        <w:pStyle w:val="FootnoteText"/>
        <w:jc w:val="both"/>
      </w:pPr>
      <w:r w:rsidRPr="009A1B6C">
        <w:rPr>
          <w:rStyle w:val="FootnoteReference"/>
        </w:rPr>
        <w:footnoteRef/>
      </w:r>
      <w:r w:rsidRPr="009A1B6C">
        <w:t xml:space="preserve"> </w:t>
      </w:r>
      <w:r w:rsidRPr="00C65C94">
        <w:t>ibid</w:t>
      </w:r>
      <w:r>
        <w:t xml:space="preserve"> 76</w:t>
      </w:r>
      <w:r w:rsidRPr="009A1B6C">
        <w:t xml:space="preserve"> [36].</w:t>
      </w:r>
    </w:p>
  </w:footnote>
  <w:footnote w:id="59">
    <w:p w14:paraId="76F2ADD2" w14:textId="4BD30735" w:rsidR="0021384C" w:rsidRPr="009A1B6C" w:rsidRDefault="0021384C" w:rsidP="002A0038">
      <w:pPr>
        <w:pStyle w:val="FootnoteText"/>
        <w:jc w:val="both"/>
      </w:pPr>
      <w:r w:rsidRPr="009A1B6C">
        <w:rPr>
          <w:rStyle w:val="FootnoteReference"/>
        </w:rPr>
        <w:footnoteRef/>
      </w:r>
      <w:r w:rsidRPr="009A1B6C">
        <w:t xml:space="preserve"> </w:t>
      </w:r>
      <w:r>
        <w:t>ibid 87</w:t>
      </w:r>
      <w:r w:rsidRPr="009A1B6C">
        <w:t xml:space="preserve"> [72].</w:t>
      </w:r>
    </w:p>
  </w:footnote>
  <w:footnote w:id="60">
    <w:p w14:paraId="57033D56" w14:textId="68D95F21" w:rsidR="0021384C" w:rsidRPr="009A1B6C" w:rsidRDefault="0021384C" w:rsidP="002A0038">
      <w:pPr>
        <w:pStyle w:val="FootnoteText"/>
        <w:jc w:val="both"/>
      </w:pPr>
      <w:r w:rsidRPr="009A1B6C">
        <w:rPr>
          <w:rStyle w:val="FootnoteReference"/>
        </w:rPr>
        <w:footnoteRef/>
      </w:r>
      <w:r w:rsidRPr="009A1B6C">
        <w:t xml:space="preserve"> </w:t>
      </w:r>
      <w:r w:rsidRPr="001232FC">
        <w:t>ibid</w:t>
      </w:r>
      <w:r w:rsidRPr="009A1B6C">
        <w:t xml:space="preserve"> 87 [72]. It is here where the Grand Chamber (as discussed earlier) goes beyond a mere margin of appreciation argument. </w:t>
      </w:r>
    </w:p>
  </w:footnote>
  <w:footnote w:id="61">
    <w:p w14:paraId="3254E363" w14:textId="77777777" w:rsidR="0021384C" w:rsidRPr="00335867" w:rsidRDefault="0021384C" w:rsidP="002A0038">
      <w:pPr>
        <w:pStyle w:val="FootnoteText"/>
        <w:jc w:val="both"/>
      </w:pPr>
      <w:r w:rsidRPr="009A1B6C">
        <w:rPr>
          <w:rStyle w:val="FootnoteReference"/>
        </w:rPr>
        <w:footnoteRef/>
      </w:r>
      <w:r w:rsidRPr="00335867">
        <w:t xml:space="preserve"> </w:t>
      </w:r>
      <w:r w:rsidRPr="00335867">
        <w:rPr>
          <w:i/>
        </w:rPr>
        <w:t xml:space="preserve">Dahlab </w:t>
      </w:r>
      <w:r w:rsidRPr="00335867">
        <w:t>463.</w:t>
      </w:r>
    </w:p>
  </w:footnote>
  <w:footnote w:id="62">
    <w:p w14:paraId="7DA409F4" w14:textId="49FA0043" w:rsidR="0021384C" w:rsidRPr="00335867" w:rsidRDefault="0021384C" w:rsidP="002A0038">
      <w:pPr>
        <w:pStyle w:val="FootnoteText"/>
        <w:jc w:val="both"/>
      </w:pPr>
      <w:r w:rsidRPr="009A1B6C">
        <w:rPr>
          <w:rStyle w:val="FootnoteReference"/>
        </w:rPr>
        <w:footnoteRef/>
      </w:r>
      <w:r w:rsidRPr="00335867">
        <w:t xml:space="preserve"> </w:t>
      </w:r>
      <w:r w:rsidRPr="001232FC">
        <w:t>ibid</w:t>
      </w:r>
      <w:r w:rsidRPr="00335867">
        <w:t xml:space="preserve"> 85 [66].</w:t>
      </w:r>
    </w:p>
  </w:footnote>
  <w:footnote w:id="63">
    <w:p w14:paraId="3E5EE72A" w14:textId="189B6DBD" w:rsidR="0021384C" w:rsidRDefault="0021384C">
      <w:pPr>
        <w:pStyle w:val="FootnoteText"/>
      </w:pPr>
      <w:r>
        <w:rPr>
          <w:rStyle w:val="FootnoteReference"/>
        </w:rPr>
        <w:footnoteRef/>
      </w:r>
      <w:r>
        <w:t xml:space="preserve"> </w:t>
      </w:r>
      <w:r w:rsidRPr="00A8407E">
        <w:rPr>
          <w:i/>
          <w:iCs/>
        </w:rPr>
        <w:t>Eweida v UK</w:t>
      </w:r>
      <w:r w:rsidRPr="00A8407E">
        <w:t xml:space="preserve"> no</w:t>
      </w:r>
      <w:r w:rsidR="0010178B">
        <w:t>s</w:t>
      </w:r>
      <w:r w:rsidRPr="00A8407E">
        <w:t xml:space="preserve">. </w:t>
      </w:r>
      <w:r w:rsidR="0010178B" w:rsidRPr="0010178B">
        <w:t>48420/10, 59842/10, 51671/10</w:t>
      </w:r>
      <w:r w:rsidR="0010178B">
        <w:t>,</w:t>
      </w:r>
      <w:r w:rsidR="0010178B" w:rsidRPr="0010178B">
        <w:t xml:space="preserve"> and 36516/10</w:t>
      </w:r>
      <w:r w:rsidRPr="00A8407E">
        <w:t>, [2013] ECHR 37, (2013) 57 EHRR 8, 243 [82] (15 January 2013)</w:t>
      </w:r>
      <w:r>
        <w:t>.</w:t>
      </w:r>
    </w:p>
  </w:footnote>
  <w:footnote w:id="64">
    <w:p w14:paraId="191ED04D" w14:textId="7BE10899" w:rsidR="0021384C" w:rsidRPr="00335867" w:rsidRDefault="0021384C" w:rsidP="002A0038">
      <w:pPr>
        <w:pStyle w:val="FootnoteText"/>
        <w:jc w:val="both"/>
      </w:pPr>
      <w:r w:rsidRPr="009A1B6C">
        <w:rPr>
          <w:rStyle w:val="FootnoteReference"/>
        </w:rPr>
        <w:footnoteRef/>
      </w:r>
      <w:r w:rsidRPr="00335867">
        <w:t xml:space="preserve"> </w:t>
      </w:r>
      <w:r>
        <w:t>ibid</w:t>
      </w:r>
      <w:r w:rsidRPr="00335867">
        <w:t xml:space="preserve"> 247 [95].</w:t>
      </w:r>
    </w:p>
  </w:footnote>
  <w:footnote w:id="65">
    <w:p w14:paraId="4E29DAC9" w14:textId="7D739C4D" w:rsidR="0021384C" w:rsidRPr="009A1B6C" w:rsidRDefault="0021384C" w:rsidP="002A0038">
      <w:pPr>
        <w:pStyle w:val="FootnoteText"/>
        <w:tabs>
          <w:tab w:val="left" w:pos="2685"/>
        </w:tabs>
      </w:pPr>
      <w:r w:rsidRPr="009A1B6C">
        <w:rPr>
          <w:rStyle w:val="FootnoteReference"/>
        </w:rPr>
        <w:footnoteRef/>
      </w:r>
      <w:r w:rsidRPr="009A1B6C">
        <w:t xml:space="preserve"> </w:t>
      </w:r>
      <w:r w:rsidRPr="009A1B6C">
        <w:rPr>
          <w:i/>
        </w:rPr>
        <w:t xml:space="preserve">Lautsi </w:t>
      </w:r>
      <w:r w:rsidRPr="009A1B6C">
        <w:t>(201</w:t>
      </w:r>
      <w:r>
        <w:t>1/1</w:t>
      </w:r>
      <w:r w:rsidRPr="009A1B6C">
        <w:t>2) 87 [72].</w:t>
      </w:r>
    </w:p>
  </w:footnote>
  <w:footnote w:id="66">
    <w:p w14:paraId="36BB2F6E" w14:textId="5E2E1469" w:rsidR="0021384C" w:rsidRPr="009A1B6C" w:rsidRDefault="0021384C" w:rsidP="002A0038">
      <w:pPr>
        <w:pStyle w:val="FootnoteText"/>
      </w:pPr>
      <w:r w:rsidRPr="009A1B6C">
        <w:rPr>
          <w:rStyle w:val="FootnoteReference"/>
        </w:rPr>
        <w:footnoteRef/>
      </w:r>
      <w:r w:rsidRPr="009A1B6C">
        <w:t xml:space="preserve"> </w:t>
      </w:r>
      <w:r w:rsidRPr="009A1B6C">
        <w:rPr>
          <w:i/>
        </w:rPr>
        <w:t xml:space="preserve">Ebrahimian v France </w:t>
      </w:r>
      <w:r w:rsidRPr="009A1B6C">
        <w:t>no. 64846/11,</w:t>
      </w:r>
      <w:r w:rsidRPr="009A1B6C">
        <w:rPr>
          <w:shd w:val="clear" w:color="auto" w:fill="FFFFFF"/>
        </w:rPr>
        <w:t xml:space="preserve"> [2015] ECHR 1041, currently unreported</w:t>
      </w:r>
      <w:r w:rsidRPr="009A1B6C">
        <w:rPr>
          <w:rStyle w:val="apple-converted-space"/>
          <w:shd w:val="clear" w:color="auto" w:fill="FFFFFF"/>
        </w:rPr>
        <w:t xml:space="preserve"> (</w:t>
      </w:r>
      <w:r w:rsidRPr="009A1B6C">
        <w:rPr>
          <w:shd w:val="clear" w:color="auto" w:fill="FFFFFF"/>
        </w:rPr>
        <w:t>26 November</w:t>
      </w:r>
      <w:r w:rsidRPr="009A1B6C">
        <w:rPr>
          <w:rStyle w:val="apple-converted-space"/>
          <w:shd w:val="clear" w:color="auto" w:fill="FFFFFF"/>
        </w:rPr>
        <w:t> </w:t>
      </w:r>
      <w:r w:rsidRPr="009A1B6C">
        <w:rPr>
          <w:rStyle w:val="Emphasis"/>
          <w:bCs/>
          <w:i w:val="0"/>
          <w:iCs w:val="0"/>
          <w:shd w:val="clear" w:color="auto" w:fill="FFFFFF"/>
        </w:rPr>
        <w:t>2015)</w:t>
      </w:r>
      <w:r w:rsidRPr="009A1B6C">
        <w:rPr>
          <w:shd w:val="clear" w:color="auto" w:fill="FFFFFF"/>
        </w:rPr>
        <w:t>.</w:t>
      </w:r>
      <w:r>
        <w:rPr>
          <w:shd w:val="clear" w:color="auto" w:fill="FFFFFF"/>
        </w:rPr>
        <w:t xml:space="preserve"> All translations are our own</w:t>
      </w:r>
      <w:r w:rsidRPr="009A1B6C">
        <w:rPr>
          <w:shd w:val="clear" w:color="auto" w:fill="FFFFFF"/>
        </w:rPr>
        <w:t>.</w:t>
      </w:r>
    </w:p>
  </w:footnote>
  <w:footnote w:id="67">
    <w:p w14:paraId="461763B4"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[31].</w:t>
      </w:r>
    </w:p>
  </w:footnote>
  <w:footnote w:id="68">
    <w:p w14:paraId="0A58DAF1"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[54].</w:t>
      </w:r>
    </w:p>
  </w:footnote>
  <w:footnote w:id="69">
    <w:p w14:paraId="0DD40E45"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[8], [26], [51].</w:t>
      </w:r>
      <w:r w:rsidRPr="009A1B6C">
        <w:rPr>
          <w:shd w:val="clear" w:color="auto" w:fill="FFFFFF"/>
        </w:rPr>
        <w:t xml:space="preserve"> Presumably</w:t>
      </w:r>
      <w:r w:rsidRPr="009A1B6C">
        <w:rPr>
          <w:rFonts w:ascii="Calibri" w:hAnsi="Calibri"/>
          <w:shd w:val="clear" w:color="auto" w:fill="FFFFFF"/>
        </w:rPr>
        <w:t>—</w:t>
      </w:r>
      <w:r w:rsidRPr="009A1B6C">
        <w:rPr>
          <w:shd w:val="clear" w:color="auto" w:fill="FFFFFF"/>
        </w:rPr>
        <w:t>although this is never made explicit</w:t>
      </w:r>
      <w:r w:rsidRPr="009A1B6C">
        <w:rPr>
          <w:rFonts w:ascii="Calibri" w:hAnsi="Calibri"/>
          <w:shd w:val="clear" w:color="auto" w:fill="FFFFFF"/>
        </w:rPr>
        <w:t>—</w:t>
      </w:r>
      <w:r w:rsidRPr="009A1B6C">
        <w:rPr>
          <w:shd w:val="clear" w:color="auto" w:fill="FFFFFF"/>
        </w:rPr>
        <w:t>‘partiality’ means something like the perception that the hospital worker might treat patients belonging to her own religion preferentially.</w:t>
      </w:r>
    </w:p>
  </w:footnote>
  <w:footnote w:id="70">
    <w:p w14:paraId="1B3421D2"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[55].</w:t>
      </w:r>
    </w:p>
  </w:footnote>
  <w:footnote w:id="71">
    <w:p w14:paraId="3A0223F8"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[61].</w:t>
      </w:r>
    </w:p>
  </w:footnote>
  <w:footnote w:id="72">
    <w:p w14:paraId="7F2AC126" w14:textId="656DC4CB"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[62]. </w:t>
      </w:r>
      <w:r w:rsidRPr="009A1B6C">
        <w:rPr>
          <w:rStyle w:val="apple-converted-space"/>
          <w:shd w:val="clear" w:color="auto" w:fill="FFFFFF"/>
        </w:rPr>
        <w:t>Judge O’Leary returns to this point forcefully in her</w:t>
      </w:r>
      <w:r w:rsidR="00686192">
        <w:rPr>
          <w:rStyle w:val="apple-converted-space"/>
          <w:shd w:val="clear" w:color="auto" w:fill="FFFFFF"/>
        </w:rPr>
        <w:t xml:space="preserve"> </w:t>
      </w:r>
      <w:r w:rsidR="00686192" w:rsidRPr="00686192">
        <w:rPr>
          <w:shd w:val="clear" w:color="auto" w:fill="FFFFFF"/>
        </w:rPr>
        <w:t xml:space="preserve">partly concurring and partly dissenting </w:t>
      </w:r>
      <w:r w:rsidRPr="009A1B6C">
        <w:rPr>
          <w:rStyle w:val="apple-converted-space"/>
          <w:shd w:val="clear" w:color="auto" w:fill="FFFFFF"/>
        </w:rPr>
        <w:t>opinion, ‘</w:t>
      </w:r>
      <w:r w:rsidRPr="009A1B6C">
        <w:rPr>
          <w:shd w:val="clear" w:color="auto" w:fill="FFFFFF"/>
        </w:rPr>
        <w:t>In reaching this conclusion, the majority accept that there was no evidence that the applicant, through her attitude, conduct or acts, contravened the principle of neutrality-secularism by exerting pressure, seeking to provoke a reaction, proselytizing, spreading propaganda or undermining the rights of others.’ (§V).</w:t>
      </w:r>
    </w:p>
  </w:footnote>
  <w:footnote w:id="73">
    <w:p w14:paraId="2640C9C4"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[62].</w:t>
      </w:r>
    </w:p>
  </w:footnote>
  <w:footnote w:id="74">
    <w:p w14:paraId="1E891A87"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[63].</w:t>
      </w:r>
    </w:p>
  </w:footnote>
  <w:footnote w:id="75">
    <w:p w14:paraId="0CCB7AF9" w14:textId="77777777" w:rsidR="0021384C" w:rsidRPr="009A1B6C" w:rsidRDefault="0021384C" w:rsidP="002A0038">
      <w:pPr>
        <w:pStyle w:val="FootnoteText"/>
        <w:jc w:val="both"/>
      </w:pPr>
      <w:r w:rsidRPr="009A1B6C">
        <w:rPr>
          <w:rStyle w:val="FootnoteReference"/>
        </w:rPr>
        <w:footnoteRef/>
      </w:r>
      <w:r w:rsidRPr="009A1B6C">
        <w:t xml:space="preserve"> </w:t>
      </w:r>
      <w:r w:rsidRPr="009A1B6C">
        <w:rPr>
          <w:i/>
        </w:rPr>
        <w:t>Ebrahimian</w:t>
      </w:r>
      <w:r w:rsidRPr="009A1B6C">
        <w:t xml:space="preserve"> [64].</w:t>
      </w:r>
    </w:p>
  </w:footnote>
  <w:footnote w:id="76">
    <w:p w14:paraId="75395255" w14:textId="119C58B7" w:rsidR="0021384C" w:rsidRPr="009A1B6C" w:rsidRDefault="0021384C" w:rsidP="002A0038">
      <w:pPr>
        <w:pStyle w:val="FootnoteText"/>
      </w:pPr>
      <w:r w:rsidRPr="009A1B6C">
        <w:rPr>
          <w:rStyle w:val="FootnoteReference"/>
        </w:rPr>
        <w:footnoteRef/>
      </w:r>
      <w:r w:rsidRPr="009A1B6C">
        <w:t xml:space="preserve"> Judge O’Leary’s opinion, §V, </w:t>
      </w:r>
      <w:r w:rsidRPr="009A1B6C">
        <w:rPr>
          <w:i/>
        </w:rPr>
        <w:t>Ebrahimian</w:t>
      </w:r>
      <w:r w:rsidRPr="009A1B6C">
        <w:rPr>
          <w:rStyle w:val="sb8d990e2"/>
          <w:shd w:val="clear" w:color="auto" w:fill="FFFFFF"/>
        </w:rPr>
        <w:t>.</w:t>
      </w:r>
    </w:p>
  </w:footnote>
  <w:footnote w:id="77">
    <w:p w14:paraId="331889B4" w14:textId="1AC51F69" w:rsidR="0021384C" w:rsidRPr="009A1B6C" w:rsidRDefault="0021384C" w:rsidP="002A0038">
      <w:pPr>
        <w:pStyle w:val="FootnoteText"/>
      </w:pPr>
      <w:r w:rsidRPr="009A1B6C">
        <w:rPr>
          <w:rStyle w:val="FootnoteReference"/>
        </w:rPr>
        <w:footnoteRef/>
      </w:r>
      <w:r w:rsidRPr="009A1B6C">
        <w:t xml:space="preserve"> Judge O’Leary’s opinion, §VI, </w:t>
      </w:r>
      <w:r w:rsidRPr="009A1B6C">
        <w:rPr>
          <w:i/>
        </w:rPr>
        <w:t>Ebrahimian</w:t>
      </w:r>
      <w:r w:rsidRPr="009A1B6C">
        <w:rPr>
          <w:rStyle w:val="sb8d990e2"/>
          <w:shd w:val="clear" w:color="auto" w:fill="FFFFFF"/>
        </w:rPr>
        <w:t>.</w:t>
      </w:r>
    </w:p>
    <w:p w14:paraId="4F679DEC" w14:textId="77777777" w:rsidR="0021384C" w:rsidRPr="009A1B6C" w:rsidRDefault="0021384C" w:rsidP="002A0038">
      <w:pPr>
        <w:pStyle w:val="FootnoteText"/>
      </w:pPr>
    </w:p>
  </w:footnote>
  <w:footnote w:id="78">
    <w:p w14:paraId="2C4C1BD0" w14:textId="3DECA5A1" w:rsidR="0021384C" w:rsidRPr="004569C7" w:rsidRDefault="0021384C">
      <w:pPr>
        <w:pStyle w:val="FootnoteText"/>
      </w:pPr>
      <w:r>
        <w:rPr>
          <w:rStyle w:val="FootnoteReference"/>
        </w:rPr>
        <w:footnoteRef/>
      </w:r>
      <w:r>
        <w:t xml:space="preserve"> </w:t>
      </w:r>
      <w:r w:rsidRPr="004569C7">
        <w:rPr>
          <w:i/>
        </w:rPr>
        <w:t xml:space="preserve">SAS v France </w:t>
      </w:r>
      <w:r w:rsidRPr="004569C7">
        <w:t>no. 43835/11, [2014] ECHR 695, (2015) 60 EHRR 11 (1 July 2014)</w:t>
      </w:r>
      <w:r>
        <w:t xml:space="preserve">. </w:t>
      </w:r>
    </w:p>
  </w:footnote>
  <w:footnote w:id="79">
    <w:p w14:paraId="7E344E89" w14:textId="03143324" w:rsidR="0021384C" w:rsidRPr="006734AF" w:rsidRDefault="0021384C">
      <w:pPr>
        <w:pStyle w:val="FootnoteText"/>
      </w:pPr>
      <w:r w:rsidRPr="006734AF">
        <w:rPr>
          <w:rStyle w:val="FootnoteReference"/>
        </w:rPr>
        <w:footnoteRef/>
      </w:r>
      <w:r w:rsidRPr="006734AF">
        <w:t xml:space="preserve"> </w:t>
      </w:r>
      <w:r>
        <w:rPr>
          <w:bCs/>
        </w:rPr>
        <w:t>L</w:t>
      </w:r>
      <w:r w:rsidRPr="00293104">
        <w:rPr>
          <w:bCs/>
        </w:rPr>
        <w:t xml:space="preserve">oi </w:t>
      </w:r>
      <w:r w:rsidRPr="00A843C9">
        <w:rPr>
          <w:bCs/>
        </w:rPr>
        <w:t> n°2010-1192</w:t>
      </w:r>
      <w:r>
        <w:rPr>
          <w:bCs/>
        </w:rPr>
        <w:t xml:space="preserve"> </w:t>
      </w:r>
      <w:r w:rsidRPr="00293104">
        <w:rPr>
          <w:bCs/>
        </w:rPr>
        <w:t>interdisant la</w:t>
      </w:r>
      <w:r w:rsidRPr="00A843C9">
        <w:rPr>
          <w:bCs/>
        </w:rPr>
        <w:t xml:space="preserve"> dissimulation du visage dans l</w:t>
      </w:r>
      <w:r>
        <w:rPr>
          <w:bCs/>
        </w:rPr>
        <w:t>’</w:t>
      </w:r>
      <w:r w:rsidRPr="00293104">
        <w:rPr>
          <w:bCs/>
        </w:rPr>
        <w:t>espace public</w:t>
      </w:r>
      <w:r>
        <w:rPr>
          <w:bCs/>
        </w:rPr>
        <w:t xml:space="preserve"> (11 October 2010), </w:t>
      </w:r>
      <w:hyperlink r:id="rId4" w:tooltip="Système NOR" w:history="1">
        <w:r w:rsidRPr="00A843C9">
          <w:rPr>
            <w:rStyle w:val="Hyperlink"/>
          </w:rPr>
          <w:t>NOR</w:t>
        </w:r>
      </w:hyperlink>
      <w:r w:rsidRPr="00A843C9">
        <w:rPr>
          <w:bCs/>
        </w:rPr>
        <w:t>: JUSX1011390L</w:t>
      </w:r>
      <w:r>
        <w:rPr>
          <w:bCs/>
        </w:rPr>
        <w:t xml:space="preserve"> &lt;</w:t>
      </w:r>
      <w:hyperlink r:id="rId5" w:history="1">
        <w:r w:rsidRPr="0012298A">
          <w:rPr>
            <w:rStyle w:val="Hyperlink"/>
          </w:rPr>
          <w:t>https://www.legifrance.gouv.fr/affichTexte.do?cidTexte=JORFTEXT000022911670</w:t>
        </w:r>
      </w:hyperlink>
      <w:r>
        <w:rPr>
          <w:bCs/>
        </w:rPr>
        <w:t>&gt; accessed 14 June 2017.</w:t>
      </w:r>
    </w:p>
  </w:footnote>
  <w:footnote w:id="80">
    <w:p w14:paraId="213283E2" w14:textId="1BFEFAF8" w:rsidR="0021384C" w:rsidRPr="00E2398A" w:rsidRDefault="0021384C">
      <w:pPr>
        <w:pStyle w:val="FootnoteText"/>
      </w:pPr>
      <w:r>
        <w:rPr>
          <w:rStyle w:val="FootnoteReference"/>
        </w:rPr>
        <w:footnoteRef/>
      </w:r>
      <w:r>
        <w:t xml:space="preserve"> </w:t>
      </w:r>
      <w:r>
        <w:rPr>
          <w:i/>
        </w:rPr>
        <w:t>SAS</w:t>
      </w:r>
      <w:r>
        <w:t xml:space="preserve"> [142] 295.</w:t>
      </w:r>
    </w:p>
  </w:footnote>
  <w:footnote w:id="81">
    <w:p w14:paraId="1F5D4D91" w14:textId="7FBB0B36" w:rsidR="0021384C" w:rsidRPr="00601C4A" w:rsidRDefault="0021384C">
      <w:pPr>
        <w:pStyle w:val="FootnoteText"/>
      </w:pPr>
      <w:r>
        <w:rPr>
          <w:rStyle w:val="FootnoteReference"/>
        </w:rPr>
        <w:footnoteRef/>
      </w:r>
      <w:r>
        <w:t xml:space="preserve"> </w:t>
      </w:r>
      <w:r>
        <w:rPr>
          <w:i/>
        </w:rPr>
        <w:t>SAS</w:t>
      </w:r>
      <w:r>
        <w:t xml:space="preserve"> [157] 297.</w:t>
      </w:r>
    </w:p>
  </w:footnote>
  <w:footnote w:id="82">
    <w:p w14:paraId="336EC35A" w14:textId="4B2DFAB2" w:rsidR="0021384C" w:rsidRPr="001A5EBE" w:rsidRDefault="0021384C">
      <w:pPr>
        <w:pStyle w:val="FootnoteText"/>
      </w:pPr>
      <w:r>
        <w:rPr>
          <w:rStyle w:val="FootnoteReference"/>
        </w:rPr>
        <w:footnoteRef/>
      </w:r>
      <w:r>
        <w:t xml:space="preserve"> </w:t>
      </w:r>
      <w:r>
        <w:rPr>
          <w:i/>
        </w:rPr>
        <w:t>SAS</w:t>
      </w:r>
      <w:r>
        <w:t xml:space="preserve"> [141] 295.</w:t>
      </w:r>
    </w:p>
  </w:footnote>
  <w:footnote w:id="83">
    <w:p w14:paraId="321B6070" w14:textId="01B77E57" w:rsidR="0021384C" w:rsidRPr="006410AE" w:rsidRDefault="0021384C">
      <w:pPr>
        <w:pStyle w:val="FootnoteText"/>
      </w:pPr>
      <w:r>
        <w:rPr>
          <w:rStyle w:val="FootnoteReference"/>
        </w:rPr>
        <w:footnoteRef/>
      </w:r>
      <w:r>
        <w:t xml:space="preserve"> </w:t>
      </w:r>
      <w:r>
        <w:rPr>
          <w:i/>
        </w:rPr>
        <w:t>SAS</w:t>
      </w:r>
      <w:r>
        <w:t xml:space="preserve"> [122] 289</w:t>
      </w:r>
      <w:r>
        <w:rPr>
          <w:rFonts w:ascii="Calibri" w:hAnsi="Calibri" w:cs="Calibri"/>
        </w:rPr>
        <w:t>–</w:t>
      </w:r>
      <w:r>
        <w:t>90.</w:t>
      </w:r>
    </w:p>
  </w:footnote>
  <w:footnote w:id="84">
    <w:p w14:paraId="0547C7A7" w14:textId="7859F351" w:rsidR="0021384C" w:rsidRPr="00DD597B" w:rsidRDefault="0021384C">
      <w:pPr>
        <w:pStyle w:val="FootnoteText"/>
      </w:pPr>
      <w:r>
        <w:rPr>
          <w:rStyle w:val="FootnoteReference"/>
        </w:rPr>
        <w:footnoteRef/>
      </w:r>
      <w:r>
        <w:t xml:space="preserve"> </w:t>
      </w:r>
      <w:r>
        <w:rPr>
          <w:i/>
        </w:rPr>
        <w:t xml:space="preserve">SAS </w:t>
      </w:r>
      <w:r>
        <w:t>[122] 290.</w:t>
      </w:r>
    </w:p>
  </w:footnote>
  <w:footnote w:id="85">
    <w:p w14:paraId="7FF74767" w14:textId="1DEE1184" w:rsidR="0021384C" w:rsidRPr="0026788E" w:rsidRDefault="0021384C">
      <w:pPr>
        <w:pStyle w:val="FootnoteText"/>
      </w:pPr>
      <w:r>
        <w:rPr>
          <w:rStyle w:val="FootnoteReference"/>
        </w:rPr>
        <w:footnoteRef/>
      </w:r>
      <w:r>
        <w:t xml:space="preserve"> </w:t>
      </w:r>
      <w:r>
        <w:rPr>
          <w:i/>
        </w:rPr>
        <w:t>SAS</w:t>
      </w:r>
      <w:r>
        <w:t xml:space="preserve"> [OI-6] 299.</w:t>
      </w:r>
    </w:p>
  </w:footnote>
  <w:footnote w:id="86">
    <w:p w14:paraId="133EBE37" w14:textId="45444D25" w:rsidR="0021384C" w:rsidRPr="00F7433A" w:rsidRDefault="0021384C">
      <w:pPr>
        <w:pStyle w:val="FootnoteText"/>
      </w:pPr>
      <w:r>
        <w:rPr>
          <w:rStyle w:val="FootnoteReference"/>
        </w:rPr>
        <w:footnoteRef/>
      </w:r>
      <w:r>
        <w:t xml:space="preserve"> </w:t>
      </w:r>
      <w:r>
        <w:rPr>
          <w:i/>
        </w:rPr>
        <w:t>SAS</w:t>
      </w:r>
      <w:r>
        <w:t xml:space="preserve"> [OI-7]</w:t>
      </w:r>
      <w:r>
        <w:rPr>
          <w:i/>
        </w:rPr>
        <w:t xml:space="preserve"> </w:t>
      </w:r>
      <w:r>
        <w:t>299</w:t>
      </w:r>
      <w:r>
        <w:rPr>
          <w:rFonts w:ascii="Calibri" w:hAnsi="Calibri" w:cs="Calibri"/>
        </w:rPr>
        <w:t>–</w:t>
      </w:r>
      <w:r>
        <w:t xml:space="preserve">300. </w:t>
      </w:r>
    </w:p>
  </w:footnote>
  <w:footnote w:id="87">
    <w:p w14:paraId="7E50106C" w14:textId="52E130E6" w:rsidR="0021384C" w:rsidRPr="00EB6567" w:rsidRDefault="0021384C">
      <w:pPr>
        <w:pStyle w:val="FootnoteText"/>
        <w:rPr>
          <w:i/>
        </w:rPr>
      </w:pPr>
      <w:r>
        <w:rPr>
          <w:rStyle w:val="FootnoteReference"/>
        </w:rPr>
        <w:footnoteRef/>
      </w:r>
      <w:r>
        <w:t xml:space="preserve"> </w:t>
      </w:r>
      <w:r>
        <w:rPr>
          <w:i/>
        </w:rPr>
        <w:t xml:space="preserve">Handyside v UK </w:t>
      </w:r>
      <w:r>
        <w:t>no. 5493/72</w:t>
      </w:r>
      <w:r>
        <w:rPr>
          <w:i/>
        </w:rPr>
        <w:t xml:space="preserve"> </w:t>
      </w:r>
      <w:r w:rsidRPr="00EB6567">
        <w:t xml:space="preserve">[1976] ECHR </w:t>
      </w:r>
      <w:r>
        <w:t>5</w:t>
      </w:r>
      <w:r w:rsidRPr="00EB6567">
        <w:t>, (1979-80) 1 EHRR 73</w:t>
      </w:r>
      <w:r>
        <w:t>7 (</w:t>
      </w:r>
      <w:r w:rsidRPr="00F30DBA">
        <w:t>7 December 1976</w:t>
      </w:r>
      <w:r>
        <w:t xml:space="preserve">) [49] 794. </w:t>
      </w:r>
    </w:p>
  </w:footnote>
  <w:footnote w:id="88">
    <w:p w14:paraId="012C6F74" w14:textId="2B4912EF" w:rsidR="0021384C" w:rsidRPr="0021384C" w:rsidRDefault="0021384C">
      <w:pPr>
        <w:pStyle w:val="FootnoteText"/>
      </w:pPr>
      <w:r>
        <w:rPr>
          <w:rStyle w:val="FootnoteReference"/>
        </w:rPr>
        <w:footnoteRef/>
      </w:r>
      <w:r>
        <w:t xml:space="preserve"> </w:t>
      </w:r>
      <w:r w:rsidR="00EA6DDD" w:rsidRPr="00EA6DDD">
        <w:t>Søren Hansen</w:t>
      </w:r>
      <w:r w:rsidR="00EA6DDD">
        <w:t xml:space="preserve"> and</w:t>
      </w:r>
      <w:r w:rsidR="00EA6DDD" w:rsidRPr="00EA6DDD">
        <w:t xml:space="preserve"> Jesper Jensen</w:t>
      </w:r>
      <w:r w:rsidR="00EA6DDD">
        <w:t xml:space="preserve">, </w:t>
      </w:r>
      <w:r>
        <w:rPr>
          <w:i/>
        </w:rPr>
        <w:t xml:space="preserve">The Little Red Schoolbook </w:t>
      </w:r>
      <w:r>
        <w:t xml:space="preserve">(London: </w:t>
      </w:r>
      <w:r w:rsidR="00EA6DDD" w:rsidRPr="00EA6DDD">
        <w:t>Stage 1</w:t>
      </w:r>
      <w:r>
        <w:t>, 1971).</w:t>
      </w:r>
    </w:p>
  </w:footnote>
  <w:footnote w:id="89">
    <w:p w14:paraId="69445271" w14:textId="4342473E" w:rsidR="00ED6DBC" w:rsidRPr="00ED6DBC" w:rsidRDefault="00ED6DBC">
      <w:pPr>
        <w:pStyle w:val="FootnoteText"/>
      </w:pPr>
      <w:r>
        <w:rPr>
          <w:rStyle w:val="FootnoteReference"/>
        </w:rPr>
        <w:footnoteRef/>
      </w:r>
      <w:r>
        <w:t xml:space="preserve"> </w:t>
      </w:r>
      <w:r>
        <w:rPr>
          <w:i/>
        </w:rPr>
        <w:t>Handyside</w:t>
      </w:r>
      <w:r>
        <w:t xml:space="preserve"> [20] 742</w:t>
      </w:r>
      <w:r>
        <w:rPr>
          <w:rFonts w:ascii="Calibri" w:hAnsi="Calibri" w:cs="Calibri"/>
        </w:rPr>
        <w:t>–</w:t>
      </w:r>
      <w:r>
        <w:t>3, [32] 747</w:t>
      </w:r>
      <w:r>
        <w:rPr>
          <w:rFonts w:ascii="Calibri" w:hAnsi="Calibri" w:cs="Calibri"/>
        </w:rPr>
        <w:t>–</w:t>
      </w:r>
      <w:r>
        <w:t>8,</w:t>
      </w:r>
      <w:r w:rsidR="00997DF2">
        <w:t xml:space="preserve"> [34], 748</w:t>
      </w:r>
      <w:r w:rsidR="00997DF2">
        <w:rPr>
          <w:rFonts w:ascii="Calibri" w:hAnsi="Calibri" w:cs="Calibri"/>
        </w:rPr>
        <w:t>–</w:t>
      </w:r>
      <w:r w:rsidR="00997DF2">
        <w:t>9, [52] 756.</w:t>
      </w:r>
    </w:p>
  </w:footnote>
  <w:footnote w:id="90">
    <w:p w14:paraId="6355CCC8" w14:textId="7B0D7874" w:rsidR="005C1EC9" w:rsidRPr="005C1EC9" w:rsidRDefault="005C1EC9">
      <w:pPr>
        <w:pStyle w:val="FootnoteText"/>
      </w:pPr>
      <w:r>
        <w:rPr>
          <w:rStyle w:val="FootnoteReference"/>
        </w:rPr>
        <w:footnoteRef/>
      </w:r>
      <w:r>
        <w:t xml:space="preserve"> </w:t>
      </w:r>
      <w:r>
        <w:rPr>
          <w:i/>
        </w:rPr>
        <w:t>Handyside</w:t>
      </w:r>
      <w:r>
        <w:t xml:space="preserve"> [52] 756.</w:t>
      </w:r>
    </w:p>
  </w:footnote>
  <w:footnote w:id="91">
    <w:p w14:paraId="55225747" w14:textId="6E73D3EA" w:rsidR="0021384C" w:rsidRPr="009A1B6C" w:rsidRDefault="0021384C" w:rsidP="002A0038">
      <w:pPr>
        <w:pStyle w:val="FootnoteText"/>
        <w:jc w:val="both"/>
      </w:pPr>
      <w:r w:rsidRPr="009A1B6C">
        <w:rPr>
          <w:rStyle w:val="FootnoteReference"/>
        </w:rPr>
        <w:footnoteRef/>
      </w:r>
      <w:r w:rsidRPr="009A1B6C">
        <w:t xml:space="preserve"> As we have argued elsewhere, whatever the value of the practical turn in ECtHR jurisprudence, some appeal to intention or belief is frequently necessary. See Hill and Whistler, </w:t>
      </w:r>
      <w:r w:rsidRPr="009A1B6C">
        <w:rPr>
          <w:i/>
        </w:rPr>
        <w:t>The Right to Wear Religious Symbols</w:t>
      </w:r>
      <w:r>
        <w:t xml:space="preserve">, </w:t>
      </w:r>
      <w:r w:rsidRPr="009A1B6C">
        <w:t>Chapter Six.</w:t>
      </w:r>
    </w:p>
  </w:footnote>
  <w:footnote w:id="92">
    <w:p w14:paraId="6E73E125" w14:textId="77777777" w:rsidR="0021384C" w:rsidRPr="009A1B6C" w:rsidRDefault="0021384C" w:rsidP="002A0038">
      <w:pPr>
        <w:pStyle w:val="FootnoteText"/>
        <w:jc w:val="both"/>
      </w:pPr>
      <w:r w:rsidRPr="009A1B6C">
        <w:rPr>
          <w:rStyle w:val="FootnoteReference"/>
        </w:rPr>
        <w:footnoteRef/>
      </w:r>
      <w:r w:rsidRPr="009A1B6C">
        <w:t xml:space="preserve"> Cécile Laborde, </w:t>
      </w:r>
      <w:r w:rsidRPr="009A1B6C">
        <w:rPr>
          <w:lang w:eastAsia="en-GB"/>
        </w:rPr>
        <w:t>‘Political Liberalism and Religion: O</w:t>
      </w:r>
      <w:r>
        <w:rPr>
          <w:lang w:eastAsia="en-GB"/>
        </w:rPr>
        <w:t xml:space="preserve">n Separation and Establishment’ (2013) </w:t>
      </w:r>
      <w:r w:rsidRPr="009A1B6C">
        <w:rPr>
          <w:lang w:eastAsia="en-GB"/>
        </w:rPr>
        <w:t xml:space="preserve">21 </w:t>
      </w:r>
      <w:r w:rsidRPr="00705DC3">
        <w:rPr>
          <w:lang w:eastAsia="en-GB"/>
        </w:rPr>
        <w:t>Journal of Political Philosophy</w:t>
      </w:r>
      <w:r w:rsidRPr="009A1B6C">
        <w:rPr>
          <w:i/>
          <w:lang w:eastAsia="en-GB"/>
        </w:rPr>
        <w:t xml:space="preserve"> </w:t>
      </w:r>
      <w:r w:rsidRPr="009A1B6C">
        <w:rPr>
          <w:lang w:eastAsia="en-GB"/>
        </w:rPr>
        <w:t>67.</w:t>
      </w:r>
    </w:p>
  </w:footnote>
  <w:footnote w:id="93">
    <w:p w14:paraId="6E912E6B" w14:textId="77777777" w:rsidR="0021384C" w:rsidRPr="009A1B6C" w:rsidRDefault="0021384C" w:rsidP="002A0038">
      <w:pPr>
        <w:autoSpaceDE w:val="0"/>
        <w:autoSpaceDN w:val="0"/>
        <w:adjustRightInd w:val="0"/>
        <w:spacing w:after="0" w:line="240" w:lineRule="auto"/>
        <w:jc w:val="both"/>
        <w:rPr>
          <w:sz w:val="20"/>
          <w:szCs w:val="20"/>
          <w:lang w:eastAsia="en-GB"/>
        </w:rPr>
      </w:pPr>
      <w:r w:rsidRPr="009A1B6C">
        <w:rPr>
          <w:rStyle w:val="FootnoteReference"/>
          <w:sz w:val="20"/>
          <w:szCs w:val="20"/>
        </w:rPr>
        <w:footnoteRef/>
      </w:r>
      <w:r w:rsidRPr="009A1B6C">
        <w:rPr>
          <w:sz w:val="20"/>
          <w:szCs w:val="20"/>
        </w:rPr>
        <w:t xml:space="preserve"> </w:t>
      </w:r>
      <w:r>
        <w:rPr>
          <w:sz w:val="20"/>
          <w:szCs w:val="20"/>
        </w:rPr>
        <w:t>i</w:t>
      </w:r>
      <w:r w:rsidRPr="00476AF2">
        <w:rPr>
          <w:sz w:val="20"/>
          <w:szCs w:val="20"/>
        </w:rPr>
        <w:t>bid</w:t>
      </w:r>
      <w:r w:rsidRPr="009A1B6C">
        <w:rPr>
          <w:sz w:val="20"/>
          <w:szCs w:val="20"/>
        </w:rPr>
        <w:t xml:space="preserve"> 81.</w:t>
      </w:r>
    </w:p>
  </w:footnote>
  <w:footnote w:id="94">
    <w:p w14:paraId="52AEA0F4" w14:textId="77777777" w:rsidR="0021384C" w:rsidRPr="009A1B6C" w:rsidRDefault="0021384C" w:rsidP="002A0038">
      <w:pPr>
        <w:pStyle w:val="FootnoteText"/>
      </w:pPr>
      <w:r w:rsidRPr="009A1B6C">
        <w:rPr>
          <w:rStyle w:val="FootnoteReference"/>
        </w:rPr>
        <w:footnoteRef/>
      </w:r>
      <w:r w:rsidRPr="009A1B6C">
        <w:t xml:space="preserve"> </w:t>
      </w:r>
      <w:r>
        <w:t>i</w:t>
      </w:r>
      <w:r w:rsidRPr="00476AF2">
        <w:t>bid</w:t>
      </w:r>
      <w:r w:rsidRPr="009A1B6C">
        <w:t xml:space="preserve"> 81.</w:t>
      </w:r>
    </w:p>
  </w:footnote>
  <w:footnote w:id="95">
    <w:p w14:paraId="106181A4" w14:textId="77777777" w:rsidR="0021384C" w:rsidRPr="009A1B6C" w:rsidRDefault="0021384C" w:rsidP="002A0038">
      <w:pPr>
        <w:pStyle w:val="FootnoteText"/>
      </w:pPr>
      <w:r w:rsidRPr="009A1B6C">
        <w:rPr>
          <w:rStyle w:val="FootnoteReference"/>
        </w:rPr>
        <w:footnoteRef/>
      </w:r>
      <w:r w:rsidRPr="009A1B6C">
        <w:t xml:space="preserve"> </w:t>
      </w:r>
      <w:r>
        <w:t>i</w:t>
      </w:r>
      <w:r w:rsidRPr="00476AF2">
        <w:t>bid</w:t>
      </w:r>
      <w:r w:rsidRPr="009A1B6C">
        <w:t xml:space="preserve"> 82.</w:t>
      </w:r>
    </w:p>
  </w:footnote>
  <w:footnote w:id="96">
    <w:p w14:paraId="4121F740" w14:textId="4117FDCE" w:rsidR="007C5269" w:rsidRDefault="007C5269">
      <w:pPr>
        <w:pStyle w:val="FootnoteText"/>
      </w:pPr>
      <w:r>
        <w:rPr>
          <w:rStyle w:val="FootnoteReference"/>
        </w:rPr>
        <w:footnoteRef/>
      </w:r>
      <w:r>
        <w:t xml:space="preserve"> We’d like to thank Bronach Kane, Caroline Roberts, and Russell Sandberg</w:t>
      </w:r>
      <w:r w:rsidR="00792CC9">
        <w:t>, together with the other participants at the workshop at the University of Cardiff on 4 May 2016</w:t>
      </w:r>
      <w:r w:rsidR="007864A0">
        <w:t>, for helpful comments on an earlier draft of this chapter</w:t>
      </w:r>
      <w:r w:rsidR="00792CC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3869" w14:textId="67F1C1E1" w:rsidR="0021384C" w:rsidRPr="00035FED" w:rsidRDefault="0021384C">
    <w:pPr>
      <w:pStyle w:val="Header"/>
      <w:jc w:val="right"/>
      <w:rPr>
        <w:sz w:val="20"/>
        <w:szCs w:val="20"/>
      </w:rPr>
    </w:pPr>
    <w:r w:rsidRPr="00035FED">
      <w:rPr>
        <w:sz w:val="20"/>
        <w:szCs w:val="20"/>
      </w:rPr>
      <w:fldChar w:fldCharType="begin"/>
    </w:r>
    <w:r w:rsidRPr="00035FED">
      <w:rPr>
        <w:sz w:val="20"/>
        <w:szCs w:val="20"/>
      </w:rPr>
      <w:instrText xml:space="preserve"> PAGE   \* MERGEFORMAT </w:instrText>
    </w:r>
    <w:r w:rsidRPr="00035FED">
      <w:rPr>
        <w:sz w:val="20"/>
        <w:szCs w:val="20"/>
      </w:rPr>
      <w:fldChar w:fldCharType="separate"/>
    </w:r>
    <w:r w:rsidR="00AE5930">
      <w:rPr>
        <w:noProof/>
        <w:sz w:val="20"/>
        <w:szCs w:val="20"/>
      </w:rPr>
      <w:t>1</w:t>
    </w:r>
    <w:r w:rsidRPr="00035FED">
      <w:rPr>
        <w:noProof/>
        <w:sz w:val="20"/>
        <w:szCs w:val="20"/>
      </w:rPr>
      <w:fldChar w:fldCharType="end"/>
    </w:r>
  </w:p>
  <w:p w14:paraId="3D49E478" w14:textId="77777777" w:rsidR="0021384C" w:rsidRDefault="0021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BA06DE"/>
    <w:multiLevelType w:val="hybridMultilevel"/>
    <w:tmpl w:val="E86044F2"/>
    <w:lvl w:ilvl="0" w:tplc="49407D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B4A19"/>
    <w:multiLevelType w:val="hybridMultilevel"/>
    <w:tmpl w:val="0714D51A"/>
    <w:lvl w:ilvl="0" w:tplc="571648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A3C04"/>
    <w:multiLevelType w:val="hybridMultilevel"/>
    <w:tmpl w:val="9A228B3E"/>
    <w:lvl w:ilvl="0" w:tplc="3A7C38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086DCF"/>
    <w:multiLevelType w:val="hybridMultilevel"/>
    <w:tmpl w:val="92822F34"/>
    <w:lvl w:ilvl="0" w:tplc="48E877A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pStyle w:val="Heading3"/>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Hill">
    <w15:presenceInfo w15:providerId="None" w15:userId="Daniel H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6"/>
    <w:rsid w:val="00003C36"/>
    <w:rsid w:val="00012D00"/>
    <w:rsid w:val="00035FED"/>
    <w:rsid w:val="00037674"/>
    <w:rsid w:val="000376E4"/>
    <w:rsid w:val="0004094A"/>
    <w:rsid w:val="000421AE"/>
    <w:rsid w:val="00044EFE"/>
    <w:rsid w:val="000531EA"/>
    <w:rsid w:val="0006518D"/>
    <w:rsid w:val="00083043"/>
    <w:rsid w:val="00090365"/>
    <w:rsid w:val="0009214F"/>
    <w:rsid w:val="00096C9A"/>
    <w:rsid w:val="000973F7"/>
    <w:rsid w:val="00097F18"/>
    <w:rsid w:val="00097F9F"/>
    <w:rsid w:val="000A6D0B"/>
    <w:rsid w:val="000A7C4F"/>
    <w:rsid w:val="000B0126"/>
    <w:rsid w:val="000B690F"/>
    <w:rsid w:val="000C3074"/>
    <w:rsid w:val="000C366A"/>
    <w:rsid w:val="000C3A2C"/>
    <w:rsid w:val="000D011D"/>
    <w:rsid w:val="000D1E0F"/>
    <w:rsid w:val="000D3670"/>
    <w:rsid w:val="000D6023"/>
    <w:rsid w:val="000E1702"/>
    <w:rsid w:val="000E7728"/>
    <w:rsid w:val="000F48F8"/>
    <w:rsid w:val="0010178B"/>
    <w:rsid w:val="001108A6"/>
    <w:rsid w:val="001117E4"/>
    <w:rsid w:val="0011539A"/>
    <w:rsid w:val="00115AA8"/>
    <w:rsid w:val="001232FC"/>
    <w:rsid w:val="0013678B"/>
    <w:rsid w:val="00141204"/>
    <w:rsid w:val="001433E6"/>
    <w:rsid w:val="001477C6"/>
    <w:rsid w:val="0015167E"/>
    <w:rsid w:val="0016571E"/>
    <w:rsid w:val="00173CE3"/>
    <w:rsid w:val="00176A4F"/>
    <w:rsid w:val="00181ED4"/>
    <w:rsid w:val="00186B89"/>
    <w:rsid w:val="00191487"/>
    <w:rsid w:val="001A5EBE"/>
    <w:rsid w:val="001A718E"/>
    <w:rsid w:val="001C25D4"/>
    <w:rsid w:val="001C77DA"/>
    <w:rsid w:val="001D0F61"/>
    <w:rsid w:val="001E1C58"/>
    <w:rsid w:val="001E2AC3"/>
    <w:rsid w:val="001E40BD"/>
    <w:rsid w:val="001F0082"/>
    <w:rsid w:val="001F1C71"/>
    <w:rsid w:val="001F60B8"/>
    <w:rsid w:val="00203634"/>
    <w:rsid w:val="0021384C"/>
    <w:rsid w:val="00214955"/>
    <w:rsid w:val="00216BAE"/>
    <w:rsid w:val="00217A00"/>
    <w:rsid w:val="00217C6A"/>
    <w:rsid w:val="00217CD1"/>
    <w:rsid w:val="00223CC4"/>
    <w:rsid w:val="00234747"/>
    <w:rsid w:val="00235AD2"/>
    <w:rsid w:val="00242150"/>
    <w:rsid w:val="00263E0F"/>
    <w:rsid w:val="00263EA3"/>
    <w:rsid w:val="0026788E"/>
    <w:rsid w:val="00281D8C"/>
    <w:rsid w:val="00286699"/>
    <w:rsid w:val="002867C7"/>
    <w:rsid w:val="00287D1B"/>
    <w:rsid w:val="00293104"/>
    <w:rsid w:val="002A0038"/>
    <w:rsid w:val="002A0DE6"/>
    <w:rsid w:val="002A13D6"/>
    <w:rsid w:val="002A3F05"/>
    <w:rsid w:val="002A50B9"/>
    <w:rsid w:val="002A693B"/>
    <w:rsid w:val="002B5867"/>
    <w:rsid w:val="002B792C"/>
    <w:rsid w:val="002C5B95"/>
    <w:rsid w:val="002D3FEE"/>
    <w:rsid w:val="002D6A3D"/>
    <w:rsid w:val="002D7123"/>
    <w:rsid w:val="002E3406"/>
    <w:rsid w:val="002E53DE"/>
    <w:rsid w:val="002E5974"/>
    <w:rsid w:val="002E77CD"/>
    <w:rsid w:val="002F42E7"/>
    <w:rsid w:val="002F58D7"/>
    <w:rsid w:val="002F7412"/>
    <w:rsid w:val="002F7E2F"/>
    <w:rsid w:val="00300F01"/>
    <w:rsid w:val="003012AF"/>
    <w:rsid w:val="0030372E"/>
    <w:rsid w:val="00305F01"/>
    <w:rsid w:val="00312556"/>
    <w:rsid w:val="00315F73"/>
    <w:rsid w:val="00320324"/>
    <w:rsid w:val="00320D24"/>
    <w:rsid w:val="00321C62"/>
    <w:rsid w:val="003232A2"/>
    <w:rsid w:val="00325A99"/>
    <w:rsid w:val="003320FC"/>
    <w:rsid w:val="00332E2F"/>
    <w:rsid w:val="00334223"/>
    <w:rsid w:val="00335867"/>
    <w:rsid w:val="003366BB"/>
    <w:rsid w:val="003443A5"/>
    <w:rsid w:val="00344BF7"/>
    <w:rsid w:val="003500E6"/>
    <w:rsid w:val="003544B4"/>
    <w:rsid w:val="0036007C"/>
    <w:rsid w:val="00360654"/>
    <w:rsid w:val="00361ADC"/>
    <w:rsid w:val="003633EE"/>
    <w:rsid w:val="00366CAE"/>
    <w:rsid w:val="00370CF9"/>
    <w:rsid w:val="00376634"/>
    <w:rsid w:val="0038662A"/>
    <w:rsid w:val="00387FDE"/>
    <w:rsid w:val="0039468E"/>
    <w:rsid w:val="00396A72"/>
    <w:rsid w:val="003A28B9"/>
    <w:rsid w:val="003A42CD"/>
    <w:rsid w:val="003A556B"/>
    <w:rsid w:val="003B0FD3"/>
    <w:rsid w:val="003B1D94"/>
    <w:rsid w:val="003B52F7"/>
    <w:rsid w:val="003D4052"/>
    <w:rsid w:val="003D6E5A"/>
    <w:rsid w:val="003E019A"/>
    <w:rsid w:val="003F0B26"/>
    <w:rsid w:val="003F3D2C"/>
    <w:rsid w:val="003F681C"/>
    <w:rsid w:val="003F7995"/>
    <w:rsid w:val="003F7C28"/>
    <w:rsid w:val="00403D4C"/>
    <w:rsid w:val="00404B4C"/>
    <w:rsid w:val="00410874"/>
    <w:rsid w:val="00412F86"/>
    <w:rsid w:val="00413D69"/>
    <w:rsid w:val="004153C1"/>
    <w:rsid w:val="00430027"/>
    <w:rsid w:val="0043628B"/>
    <w:rsid w:val="004432A8"/>
    <w:rsid w:val="00446D81"/>
    <w:rsid w:val="004470BA"/>
    <w:rsid w:val="0044719E"/>
    <w:rsid w:val="004474AB"/>
    <w:rsid w:val="004555A6"/>
    <w:rsid w:val="004569C7"/>
    <w:rsid w:val="00463560"/>
    <w:rsid w:val="00476AF2"/>
    <w:rsid w:val="00477E4E"/>
    <w:rsid w:val="00480EFA"/>
    <w:rsid w:val="00483E86"/>
    <w:rsid w:val="0048504E"/>
    <w:rsid w:val="0049468C"/>
    <w:rsid w:val="004A09EC"/>
    <w:rsid w:val="004B1A46"/>
    <w:rsid w:val="004B3AA8"/>
    <w:rsid w:val="004C460C"/>
    <w:rsid w:val="004D0D20"/>
    <w:rsid w:val="004D0EEB"/>
    <w:rsid w:val="004D3016"/>
    <w:rsid w:val="004D559A"/>
    <w:rsid w:val="004E140E"/>
    <w:rsid w:val="004E17D6"/>
    <w:rsid w:val="004E5B54"/>
    <w:rsid w:val="004F477A"/>
    <w:rsid w:val="004F493D"/>
    <w:rsid w:val="005074F5"/>
    <w:rsid w:val="00507CDF"/>
    <w:rsid w:val="00512973"/>
    <w:rsid w:val="00513CA7"/>
    <w:rsid w:val="00516E84"/>
    <w:rsid w:val="00517C50"/>
    <w:rsid w:val="005303AE"/>
    <w:rsid w:val="00531823"/>
    <w:rsid w:val="00531981"/>
    <w:rsid w:val="005364BA"/>
    <w:rsid w:val="005534FC"/>
    <w:rsid w:val="00556323"/>
    <w:rsid w:val="00561193"/>
    <w:rsid w:val="00563278"/>
    <w:rsid w:val="00575A5D"/>
    <w:rsid w:val="00581685"/>
    <w:rsid w:val="00581F2D"/>
    <w:rsid w:val="00582CFE"/>
    <w:rsid w:val="00584953"/>
    <w:rsid w:val="005853D4"/>
    <w:rsid w:val="00586F9E"/>
    <w:rsid w:val="00591234"/>
    <w:rsid w:val="00593FB5"/>
    <w:rsid w:val="005A5CC8"/>
    <w:rsid w:val="005A7FBC"/>
    <w:rsid w:val="005B222B"/>
    <w:rsid w:val="005B47CA"/>
    <w:rsid w:val="005C1EC9"/>
    <w:rsid w:val="005D3299"/>
    <w:rsid w:val="005D3853"/>
    <w:rsid w:val="005E58C7"/>
    <w:rsid w:val="005F2A3B"/>
    <w:rsid w:val="005F3A2F"/>
    <w:rsid w:val="00600873"/>
    <w:rsid w:val="00601C4A"/>
    <w:rsid w:val="00602C49"/>
    <w:rsid w:val="00610B37"/>
    <w:rsid w:val="00612384"/>
    <w:rsid w:val="00612B6F"/>
    <w:rsid w:val="006171B9"/>
    <w:rsid w:val="006223B8"/>
    <w:rsid w:val="006234FD"/>
    <w:rsid w:val="00624427"/>
    <w:rsid w:val="00625F34"/>
    <w:rsid w:val="0062674F"/>
    <w:rsid w:val="00633B00"/>
    <w:rsid w:val="006351E5"/>
    <w:rsid w:val="006353F9"/>
    <w:rsid w:val="006400A5"/>
    <w:rsid w:val="006410AE"/>
    <w:rsid w:val="00641959"/>
    <w:rsid w:val="0064762A"/>
    <w:rsid w:val="00653D7A"/>
    <w:rsid w:val="00653DC4"/>
    <w:rsid w:val="00656F8E"/>
    <w:rsid w:val="00656FDA"/>
    <w:rsid w:val="00663C0C"/>
    <w:rsid w:val="006734AF"/>
    <w:rsid w:val="00673CC0"/>
    <w:rsid w:val="006763DA"/>
    <w:rsid w:val="006840F5"/>
    <w:rsid w:val="00686192"/>
    <w:rsid w:val="00686702"/>
    <w:rsid w:val="00690178"/>
    <w:rsid w:val="006959A7"/>
    <w:rsid w:val="006A184B"/>
    <w:rsid w:val="006A338B"/>
    <w:rsid w:val="006A6E5B"/>
    <w:rsid w:val="006B36D0"/>
    <w:rsid w:val="006B5668"/>
    <w:rsid w:val="006C6AF1"/>
    <w:rsid w:val="006C6D33"/>
    <w:rsid w:val="006D318F"/>
    <w:rsid w:val="006D3B4A"/>
    <w:rsid w:val="006E1529"/>
    <w:rsid w:val="006E50A5"/>
    <w:rsid w:val="006F2A6B"/>
    <w:rsid w:val="006F6D2C"/>
    <w:rsid w:val="007007BA"/>
    <w:rsid w:val="00701409"/>
    <w:rsid w:val="007025B1"/>
    <w:rsid w:val="007048F0"/>
    <w:rsid w:val="00705DC3"/>
    <w:rsid w:val="007071A5"/>
    <w:rsid w:val="00710E0B"/>
    <w:rsid w:val="007139F6"/>
    <w:rsid w:val="00717895"/>
    <w:rsid w:val="0072476D"/>
    <w:rsid w:val="007270E7"/>
    <w:rsid w:val="00730A55"/>
    <w:rsid w:val="00734BB8"/>
    <w:rsid w:val="00735DD1"/>
    <w:rsid w:val="0073742E"/>
    <w:rsid w:val="0074469E"/>
    <w:rsid w:val="00752656"/>
    <w:rsid w:val="00756DB1"/>
    <w:rsid w:val="00764B9D"/>
    <w:rsid w:val="0078583F"/>
    <w:rsid w:val="007864A0"/>
    <w:rsid w:val="00792CC9"/>
    <w:rsid w:val="007939F9"/>
    <w:rsid w:val="00797697"/>
    <w:rsid w:val="007A33F9"/>
    <w:rsid w:val="007A3D6F"/>
    <w:rsid w:val="007A56DF"/>
    <w:rsid w:val="007A7405"/>
    <w:rsid w:val="007B1BCA"/>
    <w:rsid w:val="007B1E02"/>
    <w:rsid w:val="007B3F52"/>
    <w:rsid w:val="007B69C0"/>
    <w:rsid w:val="007C038F"/>
    <w:rsid w:val="007C21D6"/>
    <w:rsid w:val="007C32F8"/>
    <w:rsid w:val="007C5269"/>
    <w:rsid w:val="007C78BB"/>
    <w:rsid w:val="007D273B"/>
    <w:rsid w:val="007D32DE"/>
    <w:rsid w:val="007E2D46"/>
    <w:rsid w:val="007E6973"/>
    <w:rsid w:val="007F1152"/>
    <w:rsid w:val="007F4E4B"/>
    <w:rsid w:val="007F525E"/>
    <w:rsid w:val="007F7C1B"/>
    <w:rsid w:val="008009E1"/>
    <w:rsid w:val="00811F57"/>
    <w:rsid w:val="00821656"/>
    <w:rsid w:val="0082210D"/>
    <w:rsid w:val="00832B97"/>
    <w:rsid w:val="008376FA"/>
    <w:rsid w:val="008470CC"/>
    <w:rsid w:val="00847C30"/>
    <w:rsid w:val="0085545C"/>
    <w:rsid w:val="00857168"/>
    <w:rsid w:val="00861C76"/>
    <w:rsid w:val="00861CCB"/>
    <w:rsid w:val="00863B62"/>
    <w:rsid w:val="00865A74"/>
    <w:rsid w:val="00870562"/>
    <w:rsid w:val="00871D1E"/>
    <w:rsid w:val="00882A22"/>
    <w:rsid w:val="008840E3"/>
    <w:rsid w:val="0088508E"/>
    <w:rsid w:val="008913BE"/>
    <w:rsid w:val="00892C58"/>
    <w:rsid w:val="00895505"/>
    <w:rsid w:val="008A2115"/>
    <w:rsid w:val="008A36E1"/>
    <w:rsid w:val="008B11E5"/>
    <w:rsid w:val="008B60DC"/>
    <w:rsid w:val="008B7615"/>
    <w:rsid w:val="008C4FFF"/>
    <w:rsid w:val="008C6719"/>
    <w:rsid w:val="008D6ED2"/>
    <w:rsid w:val="008E2B71"/>
    <w:rsid w:val="008E3FA1"/>
    <w:rsid w:val="008E4BA6"/>
    <w:rsid w:val="008E4EEF"/>
    <w:rsid w:val="008E59FD"/>
    <w:rsid w:val="008E5D66"/>
    <w:rsid w:val="008E76E0"/>
    <w:rsid w:val="008F628C"/>
    <w:rsid w:val="008F7542"/>
    <w:rsid w:val="00902CD0"/>
    <w:rsid w:val="00902F78"/>
    <w:rsid w:val="009246DF"/>
    <w:rsid w:val="00934DBF"/>
    <w:rsid w:val="009434E9"/>
    <w:rsid w:val="00945D0E"/>
    <w:rsid w:val="00970C26"/>
    <w:rsid w:val="00975E06"/>
    <w:rsid w:val="00977422"/>
    <w:rsid w:val="009940E5"/>
    <w:rsid w:val="009968ED"/>
    <w:rsid w:val="00997DF2"/>
    <w:rsid w:val="009A1B6C"/>
    <w:rsid w:val="009A2EAF"/>
    <w:rsid w:val="009A39D8"/>
    <w:rsid w:val="009A5578"/>
    <w:rsid w:val="009A7A90"/>
    <w:rsid w:val="009B38E1"/>
    <w:rsid w:val="009B6247"/>
    <w:rsid w:val="009B63E2"/>
    <w:rsid w:val="009C1B05"/>
    <w:rsid w:val="009C4BC2"/>
    <w:rsid w:val="009D2B28"/>
    <w:rsid w:val="009E25E2"/>
    <w:rsid w:val="009E5FBD"/>
    <w:rsid w:val="009E7DE6"/>
    <w:rsid w:val="009F3DD8"/>
    <w:rsid w:val="009F51AD"/>
    <w:rsid w:val="009F5D4F"/>
    <w:rsid w:val="00A069F9"/>
    <w:rsid w:val="00A11BE8"/>
    <w:rsid w:val="00A23A1A"/>
    <w:rsid w:val="00A347D4"/>
    <w:rsid w:val="00A4749E"/>
    <w:rsid w:val="00A514B5"/>
    <w:rsid w:val="00A5694F"/>
    <w:rsid w:val="00A61E19"/>
    <w:rsid w:val="00A7108F"/>
    <w:rsid w:val="00A718A2"/>
    <w:rsid w:val="00A72436"/>
    <w:rsid w:val="00A80F14"/>
    <w:rsid w:val="00A81A79"/>
    <w:rsid w:val="00A83A71"/>
    <w:rsid w:val="00A8407E"/>
    <w:rsid w:val="00A843C9"/>
    <w:rsid w:val="00A86E90"/>
    <w:rsid w:val="00A900B2"/>
    <w:rsid w:val="00A93E54"/>
    <w:rsid w:val="00A95013"/>
    <w:rsid w:val="00AA1A0B"/>
    <w:rsid w:val="00AA4911"/>
    <w:rsid w:val="00AA63E7"/>
    <w:rsid w:val="00AB3C4F"/>
    <w:rsid w:val="00AB4D84"/>
    <w:rsid w:val="00AB60E4"/>
    <w:rsid w:val="00AB6A81"/>
    <w:rsid w:val="00AC1DF1"/>
    <w:rsid w:val="00AC5B29"/>
    <w:rsid w:val="00AD0E30"/>
    <w:rsid w:val="00AE4770"/>
    <w:rsid w:val="00AE5930"/>
    <w:rsid w:val="00AF69FC"/>
    <w:rsid w:val="00AF6CAD"/>
    <w:rsid w:val="00B14631"/>
    <w:rsid w:val="00B15319"/>
    <w:rsid w:val="00B172F0"/>
    <w:rsid w:val="00B245C9"/>
    <w:rsid w:val="00B2779E"/>
    <w:rsid w:val="00B308ED"/>
    <w:rsid w:val="00B332B7"/>
    <w:rsid w:val="00B33839"/>
    <w:rsid w:val="00B537A6"/>
    <w:rsid w:val="00B53948"/>
    <w:rsid w:val="00B553F7"/>
    <w:rsid w:val="00B5587E"/>
    <w:rsid w:val="00B56DFC"/>
    <w:rsid w:val="00B61C35"/>
    <w:rsid w:val="00B72718"/>
    <w:rsid w:val="00B73687"/>
    <w:rsid w:val="00B85D67"/>
    <w:rsid w:val="00B878AC"/>
    <w:rsid w:val="00B917EC"/>
    <w:rsid w:val="00B9365C"/>
    <w:rsid w:val="00B9400C"/>
    <w:rsid w:val="00B96E7A"/>
    <w:rsid w:val="00BC338B"/>
    <w:rsid w:val="00BD42D0"/>
    <w:rsid w:val="00BD45EA"/>
    <w:rsid w:val="00BD7003"/>
    <w:rsid w:val="00BE036E"/>
    <w:rsid w:val="00BE4E3B"/>
    <w:rsid w:val="00BF1ED2"/>
    <w:rsid w:val="00BF53B2"/>
    <w:rsid w:val="00BF5FD3"/>
    <w:rsid w:val="00C007B8"/>
    <w:rsid w:val="00C02650"/>
    <w:rsid w:val="00C115C6"/>
    <w:rsid w:val="00C17347"/>
    <w:rsid w:val="00C175C1"/>
    <w:rsid w:val="00C226D7"/>
    <w:rsid w:val="00C32C83"/>
    <w:rsid w:val="00C405FD"/>
    <w:rsid w:val="00C603E7"/>
    <w:rsid w:val="00C65C94"/>
    <w:rsid w:val="00C72424"/>
    <w:rsid w:val="00C82A13"/>
    <w:rsid w:val="00C9092B"/>
    <w:rsid w:val="00C91ED4"/>
    <w:rsid w:val="00C92A81"/>
    <w:rsid w:val="00C95CB6"/>
    <w:rsid w:val="00CA44E6"/>
    <w:rsid w:val="00CB118D"/>
    <w:rsid w:val="00CB3B8F"/>
    <w:rsid w:val="00CB5AA8"/>
    <w:rsid w:val="00CC277F"/>
    <w:rsid w:val="00CC3245"/>
    <w:rsid w:val="00CC3FD2"/>
    <w:rsid w:val="00CC68B8"/>
    <w:rsid w:val="00CD0F78"/>
    <w:rsid w:val="00CD544E"/>
    <w:rsid w:val="00CE1558"/>
    <w:rsid w:val="00CE4BD6"/>
    <w:rsid w:val="00CE6329"/>
    <w:rsid w:val="00CF3602"/>
    <w:rsid w:val="00CF4DBA"/>
    <w:rsid w:val="00CF60B6"/>
    <w:rsid w:val="00CF7D9A"/>
    <w:rsid w:val="00D00AB6"/>
    <w:rsid w:val="00D06C2D"/>
    <w:rsid w:val="00D07EA0"/>
    <w:rsid w:val="00D104ED"/>
    <w:rsid w:val="00D15DAB"/>
    <w:rsid w:val="00D1701B"/>
    <w:rsid w:val="00D31AD0"/>
    <w:rsid w:val="00D33611"/>
    <w:rsid w:val="00D3464F"/>
    <w:rsid w:val="00D4432A"/>
    <w:rsid w:val="00D462F9"/>
    <w:rsid w:val="00D472E8"/>
    <w:rsid w:val="00D50626"/>
    <w:rsid w:val="00D6135A"/>
    <w:rsid w:val="00D6150A"/>
    <w:rsid w:val="00D72BAD"/>
    <w:rsid w:val="00D741CE"/>
    <w:rsid w:val="00D75085"/>
    <w:rsid w:val="00D752D1"/>
    <w:rsid w:val="00D75D14"/>
    <w:rsid w:val="00D91362"/>
    <w:rsid w:val="00DA5A23"/>
    <w:rsid w:val="00DA69C2"/>
    <w:rsid w:val="00DB30CD"/>
    <w:rsid w:val="00DB3205"/>
    <w:rsid w:val="00DB568D"/>
    <w:rsid w:val="00DC2B22"/>
    <w:rsid w:val="00DC71EA"/>
    <w:rsid w:val="00DC7987"/>
    <w:rsid w:val="00DD597B"/>
    <w:rsid w:val="00DD76BF"/>
    <w:rsid w:val="00DE441F"/>
    <w:rsid w:val="00DF72B3"/>
    <w:rsid w:val="00E02189"/>
    <w:rsid w:val="00E029D8"/>
    <w:rsid w:val="00E063DF"/>
    <w:rsid w:val="00E0746F"/>
    <w:rsid w:val="00E102D7"/>
    <w:rsid w:val="00E10FE9"/>
    <w:rsid w:val="00E205EB"/>
    <w:rsid w:val="00E2398A"/>
    <w:rsid w:val="00E24961"/>
    <w:rsid w:val="00E26AD6"/>
    <w:rsid w:val="00E27ED1"/>
    <w:rsid w:val="00E30BF8"/>
    <w:rsid w:val="00E320C6"/>
    <w:rsid w:val="00E328E9"/>
    <w:rsid w:val="00E3324E"/>
    <w:rsid w:val="00E333CB"/>
    <w:rsid w:val="00E3439A"/>
    <w:rsid w:val="00E45158"/>
    <w:rsid w:val="00E4775C"/>
    <w:rsid w:val="00E52C50"/>
    <w:rsid w:val="00E52F06"/>
    <w:rsid w:val="00E60587"/>
    <w:rsid w:val="00E65AB8"/>
    <w:rsid w:val="00E800B2"/>
    <w:rsid w:val="00E81CF5"/>
    <w:rsid w:val="00E874A8"/>
    <w:rsid w:val="00E91786"/>
    <w:rsid w:val="00EA20D6"/>
    <w:rsid w:val="00EA579E"/>
    <w:rsid w:val="00EA6DDD"/>
    <w:rsid w:val="00EB595B"/>
    <w:rsid w:val="00EB6567"/>
    <w:rsid w:val="00EC110D"/>
    <w:rsid w:val="00EC5B0B"/>
    <w:rsid w:val="00ED6DBC"/>
    <w:rsid w:val="00ED7524"/>
    <w:rsid w:val="00EE54F4"/>
    <w:rsid w:val="00EE69AA"/>
    <w:rsid w:val="00EE72C2"/>
    <w:rsid w:val="00EF6F5B"/>
    <w:rsid w:val="00EF7522"/>
    <w:rsid w:val="00F105F3"/>
    <w:rsid w:val="00F11137"/>
    <w:rsid w:val="00F11D7E"/>
    <w:rsid w:val="00F15FA7"/>
    <w:rsid w:val="00F22E72"/>
    <w:rsid w:val="00F23CC4"/>
    <w:rsid w:val="00F24FB0"/>
    <w:rsid w:val="00F30C09"/>
    <w:rsid w:val="00F30DBA"/>
    <w:rsid w:val="00F32762"/>
    <w:rsid w:val="00F3607D"/>
    <w:rsid w:val="00F473D1"/>
    <w:rsid w:val="00F479DD"/>
    <w:rsid w:val="00F60CD1"/>
    <w:rsid w:val="00F6432E"/>
    <w:rsid w:val="00F65EC5"/>
    <w:rsid w:val="00F679F3"/>
    <w:rsid w:val="00F67EA2"/>
    <w:rsid w:val="00F7433A"/>
    <w:rsid w:val="00F8203C"/>
    <w:rsid w:val="00F84BE7"/>
    <w:rsid w:val="00F904F4"/>
    <w:rsid w:val="00F96C8D"/>
    <w:rsid w:val="00FA19B3"/>
    <w:rsid w:val="00FA2BB1"/>
    <w:rsid w:val="00FA2BB6"/>
    <w:rsid w:val="00FA4A84"/>
    <w:rsid w:val="00FB27FF"/>
    <w:rsid w:val="00FB415E"/>
    <w:rsid w:val="00FC08AE"/>
    <w:rsid w:val="00FC429C"/>
    <w:rsid w:val="00FD11F2"/>
    <w:rsid w:val="00FD53CE"/>
    <w:rsid w:val="00FD64C0"/>
    <w:rsid w:val="00FD7590"/>
    <w:rsid w:val="00FE0753"/>
    <w:rsid w:val="00FF6D1D"/>
    <w:rsid w:val="00FF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1014"/>
  <w15:docId w15:val="{7EA76FE7-ADC4-4FE3-BFE5-80E04AF0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FE9"/>
    <w:pPr>
      <w:spacing w:after="20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9A7A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F1E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7D32DE"/>
    <w:pPr>
      <w:keepNext/>
      <w:widowControl w:val="0"/>
      <w:numPr>
        <w:ilvl w:val="2"/>
        <w:numId w:val="1"/>
      </w:numPr>
      <w:suppressAutoHyphens/>
      <w:spacing w:before="240" w:after="120" w:line="240" w:lineRule="auto"/>
      <w:outlineLvl w:val="2"/>
    </w:pPr>
    <w:rPr>
      <w:rFonts w:ascii="Liberation Sans" w:eastAsia="AR PL UKai CN" w:hAnsi="Liberation Sans" w:cs="Lohit Devanagari"/>
      <w:b/>
      <w:bCs/>
      <w:kern w:val="1"/>
      <w:sz w:val="28"/>
      <w:szCs w:val="28"/>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2C83"/>
    <w:pPr>
      <w:spacing w:after="0" w:line="240" w:lineRule="auto"/>
    </w:pPr>
    <w:rPr>
      <w:sz w:val="20"/>
      <w:szCs w:val="20"/>
    </w:rPr>
  </w:style>
  <w:style w:type="character" w:customStyle="1" w:styleId="FootnoteTextChar">
    <w:name w:val="Footnote Text Char"/>
    <w:basedOn w:val="DefaultParagraphFont"/>
    <w:link w:val="FootnoteText"/>
    <w:uiPriority w:val="99"/>
    <w:rsid w:val="00C32C83"/>
    <w:rPr>
      <w:rFonts w:ascii="Times New Roman" w:hAnsi="Times New Roman"/>
      <w:sz w:val="20"/>
      <w:szCs w:val="20"/>
    </w:rPr>
  </w:style>
  <w:style w:type="character" w:customStyle="1" w:styleId="apple-converted-space">
    <w:name w:val="apple-converted-space"/>
    <w:basedOn w:val="DefaultParagraphFont"/>
    <w:rsid w:val="00A72436"/>
  </w:style>
  <w:style w:type="character" w:styleId="Emphasis">
    <w:name w:val="Emphasis"/>
    <w:basedOn w:val="DefaultParagraphFont"/>
    <w:uiPriority w:val="20"/>
    <w:qFormat/>
    <w:rsid w:val="00A72436"/>
    <w:rPr>
      <w:i/>
      <w:iCs/>
    </w:rPr>
  </w:style>
  <w:style w:type="character" w:styleId="Hyperlink">
    <w:name w:val="Hyperlink"/>
    <w:basedOn w:val="DefaultParagraphFont"/>
    <w:uiPriority w:val="99"/>
    <w:unhideWhenUsed/>
    <w:rsid w:val="00F679F3"/>
    <w:rPr>
      <w:color w:val="0000FF"/>
      <w:u w:val="single"/>
    </w:rPr>
  </w:style>
  <w:style w:type="paragraph" w:styleId="ListParagraph">
    <w:name w:val="List Paragraph"/>
    <w:basedOn w:val="Normal"/>
    <w:uiPriority w:val="34"/>
    <w:qFormat/>
    <w:rsid w:val="007E6973"/>
    <w:pPr>
      <w:ind w:left="720"/>
      <w:contextualSpacing/>
    </w:pPr>
  </w:style>
  <w:style w:type="paragraph" w:styleId="NormalWeb">
    <w:name w:val="Normal (Web)"/>
    <w:basedOn w:val="Normal"/>
    <w:unhideWhenUsed/>
    <w:rsid w:val="000D6023"/>
    <w:pPr>
      <w:spacing w:before="100" w:after="100" w:line="240" w:lineRule="auto"/>
    </w:pPr>
    <w:rPr>
      <w:rFonts w:eastAsia="Times New Roman"/>
      <w:color w:val="000000"/>
      <w:kern w:val="2"/>
      <w:sz w:val="24"/>
      <w:szCs w:val="24"/>
      <w:lang w:eastAsia="zh-CN"/>
    </w:rPr>
  </w:style>
  <w:style w:type="paragraph" w:styleId="EndnoteText">
    <w:name w:val="endnote text"/>
    <w:basedOn w:val="Normal"/>
    <w:link w:val="EndnoteTextChar"/>
    <w:uiPriority w:val="99"/>
    <w:semiHidden/>
    <w:unhideWhenUsed/>
    <w:rsid w:val="000D6023"/>
    <w:rPr>
      <w:rFonts w:ascii="Calibri" w:hAnsi="Calibri"/>
      <w:sz w:val="20"/>
      <w:szCs w:val="20"/>
      <w:lang w:val="x-none"/>
    </w:rPr>
  </w:style>
  <w:style w:type="character" w:customStyle="1" w:styleId="EndnoteTextChar">
    <w:name w:val="Endnote Text Char"/>
    <w:basedOn w:val="DefaultParagraphFont"/>
    <w:link w:val="EndnoteText"/>
    <w:uiPriority w:val="99"/>
    <w:semiHidden/>
    <w:rsid w:val="000D6023"/>
    <w:rPr>
      <w:rFonts w:ascii="Calibri" w:eastAsia="Calibri" w:hAnsi="Calibri" w:cs="Times New Roman"/>
      <w:sz w:val="20"/>
      <w:szCs w:val="20"/>
      <w:lang w:val="x-none"/>
    </w:rPr>
  </w:style>
  <w:style w:type="character" w:styleId="EndnoteReference">
    <w:name w:val="endnote reference"/>
    <w:uiPriority w:val="99"/>
    <w:semiHidden/>
    <w:unhideWhenUsed/>
    <w:rsid w:val="000D6023"/>
    <w:rPr>
      <w:vertAlign w:val="superscript"/>
    </w:rPr>
  </w:style>
  <w:style w:type="character" w:customStyle="1" w:styleId="slug-pub-date">
    <w:name w:val="slug-pub-date"/>
    <w:basedOn w:val="DefaultParagraphFont"/>
    <w:rsid w:val="000D6023"/>
  </w:style>
  <w:style w:type="character" w:customStyle="1" w:styleId="slug-vol">
    <w:name w:val="slug-vol"/>
    <w:basedOn w:val="DefaultParagraphFont"/>
    <w:rsid w:val="000D6023"/>
  </w:style>
  <w:style w:type="character" w:customStyle="1" w:styleId="slug-issue">
    <w:name w:val="slug-issue"/>
    <w:basedOn w:val="DefaultParagraphFont"/>
    <w:rsid w:val="000D6023"/>
  </w:style>
  <w:style w:type="character" w:customStyle="1" w:styleId="slug-pages">
    <w:name w:val="slug-pages"/>
    <w:basedOn w:val="DefaultParagraphFont"/>
    <w:rsid w:val="000D6023"/>
  </w:style>
  <w:style w:type="character" w:customStyle="1" w:styleId="st">
    <w:name w:val="st"/>
    <w:basedOn w:val="DefaultParagraphFont"/>
    <w:rsid w:val="000D6023"/>
  </w:style>
  <w:style w:type="character" w:styleId="HTMLCite">
    <w:name w:val="HTML Cite"/>
    <w:basedOn w:val="DefaultParagraphFont"/>
    <w:uiPriority w:val="99"/>
    <w:semiHidden/>
    <w:unhideWhenUsed/>
    <w:rsid w:val="000D6023"/>
    <w:rPr>
      <w:i/>
      <w:iCs/>
    </w:rPr>
  </w:style>
  <w:style w:type="character" w:styleId="FootnoteReference">
    <w:name w:val="footnote reference"/>
    <w:basedOn w:val="DefaultParagraphFont"/>
    <w:uiPriority w:val="99"/>
    <w:unhideWhenUsed/>
    <w:rsid w:val="000D6023"/>
    <w:rPr>
      <w:vertAlign w:val="superscript"/>
    </w:rPr>
  </w:style>
  <w:style w:type="character" w:customStyle="1" w:styleId="sb8d990e2">
    <w:name w:val="sb8d990e2"/>
    <w:basedOn w:val="DefaultParagraphFont"/>
    <w:rsid w:val="009F3DD8"/>
  </w:style>
  <w:style w:type="character" w:customStyle="1" w:styleId="s6b621b36">
    <w:name w:val="s6b621b36"/>
    <w:basedOn w:val="DefaultParagraphFont"/>
    <w:rsid w:val="009F3DD8"/>
  </w:style>
  <w:style w:type="character" w:customStyle="1" w:styleId="sea881cdf">
    <w:name w:val="sea881cdf"/>
    <w:basedOn w:val="DefaultParagraphFont"/>
    <w:rsid w:val="009F3DD8"/>
  </w:style>
  <w:style w:type="character" w:customStyle="1" w:styleId="sfbbfee58">
    <w:name w:val="sfbbfee58"/>
    <w:basedOn w:val="DefaultParagraphFont"/>
    <w:rsid w:val="00F6432E"/>
  </w:style>
  <w:style w:type="character" w:customStyle="1" w:styleId="s1a844bc0">
    <w:name w:val="s1a844bc0"/>
    <w:basedOn w:val="DefaultParagraphFont"/>
    <w:rsid w:val="00F6432E"/>
  </w:style>
  <w:style w:type="character" w:styleId="CommentReference">
    <w:name w:val="annotation reference"/>
    <w:basedOn w:val="DefaultParagraphFont"/>
    <w:uiPriority w:val="99"/>
    <w:semiHidden/>
    <w:unhideWhenUsed/>
    <w:rsid w:val="00E45158"/>
    <w:rPr>
      <w:sz w:val="16"/>
      <w:szCs w:val="16"/>
    </w:rPr>
  </w:style>
  <w:style w:type="paragraph" w:styleId="CommentText">
    <w:name w:val="annotation text"/>
    <w:basedOn w:val="Normal"/>
    <w:link w:val="CommentTextChar"/>
    <w:uiPriority w:val="99"/>
    <w:semiHidden/>
    <w:unhideWhenUsed/>
    <w:rsid w:val="00E45158"/>
    <w:pPr>
      <w:spacing w:line="240" w:lineRule="auto"/>
    </w:pPr>
    <w:rPr>
      <w:sz w:val="20"/>
      <w:szCs w:val="20"/>
    </w:rPr>
  </w:style>
  <w:style w:type="character" w:customStyle="1" w:styleId="CommentTextChar">
    <w:name w:val="Comment Text Char"/>
    <w:basedOn w:val="DefaultParagraphFont"/>
    <w:link w:val="CommentText"/>
    <w:uiPriority w:val="99"/>
    <w:semiHidden/>
    <w:rsid w:val="00E4515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5158"/>
    <w:rPr>
      <w:b/>
      <w:bCs/>
    </w:rPr>
  </w:style>
  <w:style w:type="character" w:customStyle="1" w:styleId="CommentSubjectChar">
    <w:name w:val="Comment Subject Char"/>
    <w:basedOn w:val="CommentTextChar"/>
    <w:link w:val="CommentSubject"/>
    <w:uiPriority w:val="99"/>
    <w:semiHidden/>
    <w:rsid w:val="00E45158"/>
    <w:rPr>
      <w:rFonts w:ascii="Times New Roman" w:hAnsi="Times New Roman"/>
      <w:b/>
      <w:bCs/>
      <w:sz w:val="20"/>
      <w:szCs w:val="20"/>
    </w:rPr>
  </w:style>
  <w:style w:type="paragraph" w:styleId="BalloonText">
    <w:name w:val="Balloon Text"/>
    <w:basedOn w:val="Normal"/>
    <w:link w:val="BalloonTextChar"/>
    <w:uiPriority w:val="99"/>
    <w:semiHidden/>
    <w:unhideWhenUsed/>
    <w:rsid w:val="00E4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158"/>
    <w:rPr>
      <w:rFonts w:ascii="Tahoma" w:hAnsi="Tahoma" w:cs="Tahoma"/>
      <w:sz w:val="16"/>
      <w:szCs w:val="16"/>
    </w:rPr>
  </w:style>
  <w:style w:type="character" w:customStyle="1" w:styleId="FootnoteCharacters">
    <w:name w:val="Footnote Characters"/>
    <w:rsid w:val="007D32DE"/>
    <w:rPr>
      <w:rFonts w:ascii="Times New Roman" w:hAnsi="Times New Roman" w:cs="Times New Roman"/>
      <w:vertAlign w:val="superscript"/>
    </w:rPr>
  </w:style>
  <w:style w:type="character" w:customStyle="1" w:styleId="WW-FootnoteReference">
    <w:name w:val="WW-Footnote Reference"/>
    <w:rsid w:val="007D32DE"/>
    <w:rPr>
      <w:vertAlign w:val="superscript"/>
    </w:rPr>
  </w:style>
  <w:style w:type="character" w:customStyle="1" w:styleId="WW-FootnoteReference1">
    <w:name w:val="WW-Footnote Reference1"/>
    <w:rsid w:val="007D32DE"/>
    <w:rPr>
      <w:vertAlign w:val="superscript"/>
    </w:rPr>
  </w:style>
  <w:style w:type="character" w:customStyle="1" w:styleId="smallcaps">
    <w:name w:val="smallcaps"/>
    <w:basedOn w:val="DefaultParagraphFont"/>
    <w:rsid w:val="007D32DE"/>
  </w:style>
  <w:style w:type="paragraph" w:customStyle="1" w:styleId="Default">
    <w:name w:val="Default"/>
    <w:rsid w:val="007D32DE"/>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rsid w:val="007D32DE"/>
    <w:rPr>
      <w:rFonts w:ascii="Liberation Sans" w:eastAsia="AR PL UKai CN" w:hAnsi="Liberation Sans" w:cs="Lohit Devanagari"/>
      <w:b/>
      <w:bCs/>
      <w:kern w:val="1"/>
      <w:sz w:val="28"/>
      <w:szCs w:val="28"/>
      <w:lang w:val="en-US" w:eastAsia="zh-CN" w:bidi="hi-IN"/>
    </w:rPr>
  </w:style>
  <w:style w:type="character" w:customStyle="1" w:styleId="Footnoteanchor">
    <w:name w:val="Footnote anchor"/>
    <w:rsid w:val="007D32DE"/>
    <w:rPr>
      <w:vertAlign w:val="superscript"/>
    </w:rPr>
  </w:style>
  <w:style w:type="character" w:customStyle="1" w:styleId="FootnoteReference1">
    <w:name w:val="Footnote Reference1"/>
    <w:rsid w:val="007D32DE"/>
    <w:rPr>
      <w:vertAlign w:val="superscript"/>
    </w:rPr>
  </w:style>
  <w:style w:type="paragraph" w:styleId="BodyText">
    <w:name w:val="Body Text"/>
    <w:basedOn w:val="Normal"/>
    <w:link w:val="BodyTextChar"/>
    <w:rsid w:val="007D32DE"/>
    <w:pPr>
      <w:widowControl w:val="0"/>
      <w:suppressAutoHyphens/>
      <w:spacing w:after="120" w:line="240" w:lineRule="auto"/>
    </w:pPr>
    <w:rPr>
      <w:rFonts w:ascii="Liberation Serif" w:eastAsia="AR PL UKai CN" w:hAnsi="Liberation Serif" w:cs="Lohit Devanagari"/>
      <w:kern w:val="1"/>
      <w:sz w:val="24"/>
      <w:szCs w:val="24"/>
      <w:lang w:val="en-US" w:eastAsia="zh-CN" w:bidi="hi-IN"/>
    </w:rPr>
  </w:style>
  <w:style w:type="character" w:customStyle="1" w:styleId="BodyTextChar">
    <w:name w:val="Body Text Char"/>
    <w:basedOn w:val="DefaultParagraphFont"/>
    <w:link w:val="BodyText"/>
    <w:rsid w:val="007D32DE"/>
    <w:rPr>
      <w:rFonts w:ascii="Liberation Serif" w:eastAsia="AR PL UKai CN" w:hAnsi="Liberation Serif" w:cs="Lohit Devanagari"/>
      <w:kern w:val="1"/>
      <w:sz w:val="24"/>
      <w:szCs w:val="24"/>
      <w:lang w:val="en-US" w:eastAsia="zh-CN" w:bidi="hi-IN"/>
    </w:rPr>
  </w:style>
  <w:style w:type="paragraph" w:customStyle="1" w:styleId="FootnoteText1">
    <w:name w:val="Footnote Text1"/>
    <w:basedOn w:val="Normal"/>
    <w:rsid w:val="007D32DE"/>
    <w:pPr>
      <w:widowControl w:val="0"/>
      <w:suppressAutoHyphens/>
      <w:spacing w:after="0" w:line="100" w:lineRule="atLeast"/>
    </w:pPr>
    <w:rPr>
      <w:rFonts w:ascii="Liberation Serif" w:eastAsia="AR PL UKai CN" w:hAnsi="Liberation Serif" w:cs="Lohit Devanagari"/>
      <w:kern w:val="1"/>
      <w:sz w:val="20"/>
      <w:szCs w:val="20"/>
      <w:lang w:val="en-US" w:eastAsia="zh-CN" w:bidi="hi-IN"/>
    </w:rPr>
  </w:style>
  <w:style w:type="paragraph" w:styleId="BodyTextIndent2">
    <w:name w:val="Body Text Indent 2"/>
    <w:basedOn w:val="Normal"/>
    <w:link w:val="BodyTextIndent2Char"/>
    <w:rsid w:val="007D32DE"/>
    <w:pPr>
      <w:widowControl w:val="0"/>
      <w:suppressAutoHyphens/>
      <w:spacing w:after="120" w:line="480" w:lineRule="auto"/>
      <w:ind w:left="283"/>
    </w:pPr>
    <w:rPr>
      <w:rFonts w:ascii="Liberation Serif" w:eastAsia="AR PL UKai CN" w:hAnsi="Liberation Serif" w:cs="DejaVu Sans"/>
      <w:kern w:val="1"/>
      <w:sz w:val="24"/>
      <w:szCs w:val="21"/>
      <w:lang w:val="en-US" w:eastAsia="zh-CN" w:bidi="hi-IN"/>
    </w:rPr>
  </w:style>
  <w:style w:type="character" w:customStyle="1" w:styleId="BodyTextIndent2Char">
    <w:name w:val="Body Text Indent 2 Char"/>
    <w:basedOn w:val="DefaultParagraphFont"/>
    <w:link w:val="BodyTextIndent2"/>
    <w:rsid w:val="007D32DE"/>
    <w:rPr>
      <w:rFonts w:ascii="Liberation Serif" w:eastAsia="AR PL UKai CN" w:hAnsi="Liberation Serif" w:cs="DejaVu Sans"/>
      <w:kern w:val="1"/>
      <w:sz w:val="24"/>
      <w:szCs w:val="21"/>
      <w:lang w:val="en-US" w:eastAsia="zh-CN" w:bidi="hi-IN"/>
    </w:rPr>
  </w:style>
  <w:style w:type="paragraph" w:styleId="Header">
    <w:name w:val="header"/>
    <w:basedOn w:val="Normal"/>
    <w:link w:val="HeaderChar"/>
    <w:uiPriority w:val="99"/>
    <w:unhideWhenUsed/>
    <w:rsid w:val="0003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FED"/>
    <w:rPr>
      <w:rFonts w:ascii="Times New Roman" w:hAnsi="Times New Roman"/>
    </w:rPr>
  </w:style>
  <w:style w:type="paragraph" w:styleId="Footer">
    <w:name w:val="footer"/>
    <w:basedOn w:val="Normal"/>
    <w:link w:val="FooterChar"/>
    <w:uiPriority w:val="99"/>
    <w:unhideWhenUsed/>
    <w:rsid w:val="0003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FED"/>
    <w:rPr>
      <w:rFonts w:ascii="Times New Roman" w:hAnsi="Times New Roman"/>
    </w:rPr>
  </w:style>
  <w:style w:type="paragraph" w:styleId="BodyText3">
    <w:name w:val="Body Text 3"/>
    <w:basedOn w:val="Normal"/>
    <w:link w:val="BodyText3Char"/>
    <w:uiPriority w:val="99"/>
    <w:semiHidden/>
    <w:unhideWhenUsed/>
    <w:rsid w:val="00F30C09"/>
    <w:pPr>
      <w:spacing w:after="120"/>
    </w:pPr>
    <w:rPr>
      <w:sz w:val="16"/>
      <w:szCs w:val="16"/>
    </w:rPr>
  </w:style>
  <w:style w:type="character" w:customStyle="1" w:styleId="BodyText3Char">
    <w:name w:val="Body Text 3 Char"/>
    <w:basedOn w:val="DefaultParagraphFont"/>
    <w:link w:val="BodyText3"/>
    <w:uiPriority w:val="99"/>
    <w:semiHidden/>
    <w:rsid w:val="00F30C09"/>
    <w:rPr>
      <w:rFonts w:ascii="Times New Roman" w:hAnsi="Times New Roman"/>
      <w:sz w:val="16"/>
      <w:szCs w:val="16"/>
    </w:rPr>
  </w:style>
  <w:style w:type="character" w:customStyle="1" w:styleId="Heading2Char">
    <w:name w:val="Heading 2 Char"/>
    <w:basedOn w:val="DefaultParagraphFont"/>
    <w:link w:val="Heading2"/>
    <w:uiPriority w:val="9"/>
    <w:semiHidden/>
    <w:rsid w:val="00BF1ED2"/>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uiPriority w:val="9"/>
    <w:rsid w:val="009A7A90"/>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463560"/>
    <w:rPr>
      <w:rFonts w:ascii="Times New Roman" w:hAnsi="Times New Roman"/>
      <w:sz w:val="22"/>
      <w:szCs w:val="22"/>
      <w:lang w:eastAsia="en-US"/>
    </w:rPr>
  </w:style>
  <w:style w:type="character" w:styleId="Mention">
    <w:name w:val="Mention"/>
    <w:basedOn w:val="DefaultParagraphFont"/>
    <w:uiPriority w:val="99"/>
    <w:semiHidden/>
    <w:unhideWhenUsed/>
    <w:rsid w:val="00764B9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0925">
      <w:bodyDiv w:val="1"/>
      <w:marLeft w:val="0"/>
      <w:marRight w:val="0"/>
      <w:marTop w:val="0"/>
      <w:marBottom w:val="0"/>
      <w:divBdr>
        <w:top w:val="none" w:sz="0" w:space="0" w:color="auto"/>
        <w:left w:val="none" w:sz="0" w:space="0" w:color="auto"/>
        <w:bottom w:val="none" w:sz="0" w:space="0" w:color="auto"/>
        <w:right w:val="none" w:sz="0" w:space="0" w:color="auto"/>
      </w:divBdr>
    </w:div>
    <w:div w:id="326905970">
      <w:bodyDiv w:val="1"/>
      <w:marLeft w:val="0"/>
      <w:marRight w:val="0"/>
      <w:marTop w:val="0"/>
      <w:marBottom w:val="0"/>
      <w:divBdr>
        <w:top w:val="none" w:sz="0" w:space="0" w:color="auto"/>
        <w:left w:val="none" w:sz="0" w:space="0" w:color="auto"/>
        <w:bottom w:val="none" w:sz="0" w:space="0" w:color="auto"/>
        <w:right w:val="none" w:sz="0" w:space="0" w:color="auto"/>
      </w:divBdr>
    </w:div>
    <w:div w:id="452670154">
      <w:bodyDiv w:val="1"/>
      <w:marLeft w:val="0"/>
      <w:marRight w:val="0"/>
      <w:marTop w:val="0"/>
      <w:marBottom w:val="0"/>
      <w:divBdr>
        <w:top w:val="none" w:sz="0" w:space="0" w:color="auto"/>
        <w:left w:val="none" w:sz="0" w:space="0" w:color="auto"/>
        <w:bottom w:val="none" w:sz="0" w:space="0" w:color="auto"/>
        <w:right w:val="none" w:sz="0" w:space="0" w:color="auto"/>
      </w:divBdr>
    </w:div>
    <w:div w:id="529530965">
      <w:bodyDiv w:val="1"/>
      <w:marLeft w:val="0"/>
      <w:marRight w:val="0"/>
      <w:marTop w:val="0"/>
      <w:marBottom w:val="0"/>
      <w:divBdr>
        <w:top w:val="none" w:sz="0" w:space="0" w:color="auto"/>
        <w:left w:val="none" w:sz="0" w:space="0" w:color="auto"/>
        <w:bottom w:val="none" w:sz="0" w:space="0" w:color="auto"/>
        <w:right w:val="none" w:sz="0" w:space="0" w:color="auto"/>
      </w:divBdr>
    </w:div>
    <w:div w:id="544676540">
      <w:bodyDiv w:val="1"/>
      <w:marLeft w:val="0"/>
      <w:marRight w:val="0"/>
      <w:marTop w:val="0"/>
      <w:marBottom w:val="0"/>
      <w:divBdr>
        <w:top w:val="none" w:sz="0" w:space="0" w:color="auto"/>
        <w:left w:val="none" w:sz="0" w:space="0" w:color="auto"/>
        <w:bottom w:val="none" w:sz="0" w:space="0" w:color="auto"/>
        <w:right w:val="none" w:sz="0" w:space="0" w:color="auto"/>
      </w:divBdr>
    </w:div>
    <w:div w:id="647436210">
      <w:bodyDiv w:val="1"/>
      <w:marLeft w:val="0"/>
      <w:marRight w:val="0"/>
      <w:marTop w:val="0"/>
      <w:marBottom w:val="0"/>
      <w:divBdr>
        <w:top w:val="none" w:sz="0" w:space="0" w:color="auto"/>
        <w:left w:val="none" w:sz="0" w:space="0" w:color="auto"/>
        <w:bottom w:val="none" w:sz="0" w:space="0" w:color="auto"/>
        <w:right w:val="none" w:sz="0" w:space="0" w:color="auto"/>
      </w:divBdr>
    </w:div>
    <w:div w:id="859201108">
      <w:bodyDiv w:val="1"/>
      <w:marLeft w:val="0"/>
      <w:marRight w:val="0"/>
      <w:marTop w:val="0"/>
      <w:marBottom w:val="0"/>
      <w:divBdr>
        <w:top w:val="none" w:sz="0" w:space="0" w:color="auto"/>
        <w:left w:val="none" w:sz="0" w:space="0" w:color="auto"/>
        <w:bottom w:val="none" w:sz="0" w:space="0" w:color="auto"/>
        <w:right w:val="none" w:sz="0" w:space="0" w:color="auto"/>
      </w:divBdr>
    </w:div>
    <w:div w:id="1124736251">
      <w:bodyDiv w:val="1"/>
      <w:marLeft w:val="0"/>
      <w:marRight w:val="0"/>
      <w:marTop w:val="0"/>
      <w:marBottom w:val="0"/>
      <w:divBdr>
        <w:top w:val="none" w:sz="0" w:space="0" w:color="auto"/>
        <w:left w:val="none" w:sz="0" w:space="0" w:color="auto"/>
        <w:bottom w:val="none" w:sz="0" w:space="0" w:color="auto"/>
        <w:right w:val="none" w:sz="0" w:space="0" w:color="auto"/>
      </w:divBdr>
    </w:div>
    <w:div w:id="1708531008">
      <w:bodyDiv w:val="1"/>
      <w:marLeft w:val="0"/>
      <w:marRight w:val="0"/>
      <w:marTop w:val="0"/>
      <w:marBottom w:val="0"/>
      <w:divBdr>
        <w:top w:val="none" w:sz="0" w:space="0" w:color="auto"/>
        <w:left w:val="none" w:sz="0" w:space="0" w:color="auto"/>
        <w:bottom w:val="none" w:sz="0" w:space="0" w:color="auto"/>
        <w:right w:val="none" w:sz="0" w:space="0" w:color="auto"/>
      </w:divBdr>
    </w:div>
    <w:div w:id="1720205180">
      <w:bodyDiv w:val="1"/>
      <w:marLeft w:val="0"/>
      <w:marRight w:val="0"/>
      <w:marTop w:val="0"/>
      <w:marBottom w:val="0"/>
      <w:divBdr>
        <w:top w:val="none" w:sz="0" w:space="0" w:color="auto"/>
        <w:left w:val="none" w:sz="0" w:space="0" w:color="auto"/>
        <w:bottom w:val="none" w:sz="0" w:space="0" w:color="auto"/>
        <w:right w:val="none" w:sz="0" w:space="0" w:color="auto"/>
      </w:divBdr>
    </w:div>
    <w:div w:id="20882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eil-constitutionnel.fr/conseil-constitutionnel/francais/la-constitution/la-constitution-du-4-octobre-1958/declaration-des-droits-de-l-homme-et-du-citoyen-de-1789.5076.html" TargetMode="External"/><Relationship Id="rId2" Type="http://schemas.openxmlformats.org/officeDocument/2006/relationships/hyperlink" Target="http://www.econlib.org/library/Mill/mlLbty1.html" TargetMode="External"/><Relationship Id="rId1" Type="http://schemas.openxmlformats.org/officeDocument/2006/relationships/hyperlink" Target="file:///C:\Users\Daniel\Documents\Articles\The%20Convention%20for%20the%20Protection%20of%20Human%20Rights%20and%20Fundamental%20Freedoms,%20%3chttp:\www.echr.coe.int\Documents\Convention_ENG.pdf" TargetMode="External"/><Relationship Id="rId5" Type="http://schemas.openxmlformats.org/officeDocument/2006/relationships/hyperlink" Target="https://www.legifrance.gouv.fr/affichTexte.do?cidTexte=JORFTEXT000022911670" TargetMode="External"/><Relationship Id="rId4" Type="http://schemas.openxmlformats.org/officeDocument/2006/relationships/hyperlink" Target="https://fr.wikipedia.org/wiki/Syst%C3%A8me_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9C94-0660-413E-99D8-FC25F96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7473</Words>
  <Characters>42598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49972</CharactersWithSpaces>
  <SharedDoc>false</SharedDoc>
  <HLinks>
    <vt:vector size="12" baseType="variant">
      <vt:variant>
        <vt:i4>6160453</vt:i4>
      </vt:variant>
      <vt:variant>
        <vt:i4>3</vt:i4>
      </vt:variant>
      <vt:variant>
        <vt:i4>0</vt:i4>
      </vt:variant>
      <vt:variant>
        <vt:i4>5</vt:i4>
      </vt:variant>
      <vt:variant>
        <vt:lpwstr>http://www.econlib.org/library/Mill/mlLbty1.html</vt:lpwstr>
      </vt:variant>
      <vt:variant>
        <vt:lpwstr/>
      </vt:variant>
      <vt:variant>
        <vt:i4>3014721</vt:i4>
      </vt:variant>
      <vt:variant>
        <vt:i4>0</vt:i4>
      </vt:variant>
      <vt:variant>
        <vt:i4>0</vt:i4>
      </vt:variant>
      <vt:variant>
        <vt:i4>5</vt:i4>
      </vt:variant>
      <vt:variant>
        <vt:lpwstr>../../../../../Owner/OneDrive/My Papers/%3chttp:/www.echr.coe.int/Documents/Convention_ENG.pdf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Daniel Hill</cp:lastModifiedBy>
  <cp:revision>2</cp:revision>
  <dcterms:created xsi:type="dcterms:W3CDTF">2018-01-09T17:10:00Z</dcterms:created>
  <dcterms:modified xsi:type="dcterms:W3CDTF">2018-01-09T17:10:00Z</dcterms:modified>
</cp:coreProperties>
</file>