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A1D64" w14:textId="77777777" w:rsidR="00661045" w:rsidRDefault="00197E74" w:rsidP="00713EE2">
      <w:pPr>
        <w:pStyle w:val="Articletitle"/>
      </w:pPr>
      <w:r>
        <w:t xml:space="preserve">Cobalt and nickel uptake by silica-based </w:t>
      </w:r>
      <w:proofErr w:type="spellStart"/>
      <w:r>
        <w:t>extractants</w:t>
      </w:r>
      <w:proofErr w:type="spellEnd"/>
    </w:p>
    <w:p w14:paraId="68A64683" w14:textId="7FAE3951" w:rsidR="00442B9C" w:rsidRDefault="00197E74" w:rsidP="009914A5">
      <w:pPr>
        <w:pStyle w:val="Authornames"/>
      </w:pPr>
      <w:r>
        <w:t>Sarah E. Pepper</w:t>
      </w:r>
      <w:r w:rsidRPr="00197E74">
        <w:rPr>
          <w:vertAlign w:val="superscript"/>
        </w:rPr>
        <w:t>1</w:t>
      </w:r>
      <w:r>
        <w:t>, Karl R. Whittle</w:t>
      </w:r>
      <w:r w:rsidRPr="00197E74">
        <w:rPr>
          <w:vertAlign w:val="superscript"/>
        </w:rPr>
        <w:t>2</w:t>
      </w:r>
      <w:r>
        <w:t>, Laurence M. Harwood</w:t>
      </w:r>
      <w:r w:rsidRPr="00197E74">
        <w:rPr>
          <w:vertAlign w:val="superscript"/>
        </w:rPr>
        <w:t>3</w:t>
      </w:r>
      <w:r>
        <w:t>, Jo</w:t>
      </w:r>
      <w:r w:rsidR="00704C99">
        <w:t>s</w:t>
      </w:r>
      <w:r>
        <w:t>e</w:t>
      </w:r>
      <w:r w:rsidR="00704C99">
        <w:t>ph</w:t>
      </w:r>
      <w:r>
        <w:t xml:space="preserve"> Cowell</w:t>
      </w:r>
      <w:r w:rsidRPr="00197E74">
        <w:rPr>
          <w:vertAlign w:val="superscript"/>
        </w:rPr>
        <w:t>3</w:t>
      </w:r>
      <w:r>
        <w:t xml:space="preserve">, </w:t>
      </w:r>
      <w:proofErr w:type="spellStart"/>
      <w:r>
        <w:t>Taek</w:t>
      </w:r>
      <w:proofErr w:type="spellEnd"/>
      <w:r>
        <w:t xml:space="preserve"> </w:t>
      </w:r>
      <w:proofErr w:type="spellStart"/>
      <w:r>
        <w:t>Seung</w:t>
      </w:r>
      <w:proofErr w:type="spellEnd"/>
      <w:r>
        <w:t xml:space="preserve"> Lee</w:t>
      </w:r>
      <w:r w:rsidRPr="00197E74">
        <w:rPr>
          <w:vertAlign w:val="superscript"/>
        </w:rPr>
        <w:t>4</w:t>
      </w:r>
      <w:r>
        <w:t xml:space="preserve"> and Mark D. Ogden</w:t>
      </w:r>
      <w:r w:rsidRPr="00197E74">
        <w:rPr>
          <w:vertAlign w:val="superscript"/>
        </w:rPr>
        <w:t>1</w:t>
      </w:r>
    </w:p>
    <w:p w14:paraId="4DEC10D7" w14:textId="49787DD3" w:rsidR="00997B0F" w:rsidRDefault="00197E74" w:rsidP="00A2360E">
      <w:pPr>
        <w:pStyle w:val="Affiliation"/>
      </w:pPr>
      <w:r w:rsidRPr="00197E74">
        <w:rPr>
          <w:vertAlign w:val="superscript"/>
        </w:rPr>
        <w:t>1</w:t>
      </w:r>
      <w:r w:rsidR="008B484C" w:rsidRPr="008B484C">
        <w:t xml:space="preserve">Separations and Nuclear Chemical Engineering Research (SNUCER), </w:t>
      </w:r>
      <w:r>
        <w:t xml:space="preserve">Department of Chemical and Biological Engineering, University of Sheffield, Sheffield, United Kingdom; </w:t>
      </w:r>
      <w:r w:rsidR="00416458" w:rsidRPr="00416458">
        <w:rPr>
          <w:vertAlign w:val="superscript"/>
        </w:rPr>
        <w:t>2</w:t>
      </w:r>
      <w:r>
        <w:t xml:space="preserve">School of Engineering, University of Liverpool, Liverpool, United Kingdom; </w:t>
      </w:r>
      <w:r w:rsidR="00416458" w:rsidRPr="00416458">
        <w:rPr>
          <w:vertAlign w:val="superscript"/>
        </w:rPr>
        <w:t>3</w:t>
      </w:r>
      <w:r>
        <w:t xml:space="preserve">Department of Chemistry, University of Reading, Reading, United Kingdom; </w:t>
      </w:r>
      <w:r w:rsidR="00416458" w:rsidRPr="00416458">
        <w:rPr>
          <w:vertAlign w:val="superscript"/>
        </w:rPr>
        <w:t>4</w:t>
      </w:r>
      <w:r>
        <w:t xml:space="preserve">Department of Organic Materials Engineering, </w:t>
      </w:r>
      <w:proofErr w:type="spellStart"/>
      <w:r>
        <w:t>Chungnam</w:t>
      </w:r>
      <w:proofErr w:type="spellEnd"/>
      <w:r>
        <w:t xml:space="preserve"> National University, Daejeon, South Korea</w:t>
      </w:r>
    </w:p>
    <w:p w14:paraId="744EEE9B" w14:textId="2DE9269E" w:rsidR="00197E74" w:rsidRDefault="00197E74" w:rsidP="00A2360E">
      <w:pPr>
        <w:pStyle w:val="Correspondencedetails"/>
      </w:pPr>
      <w:r>
        <w:t xml:space="preserve">Sarah Pepper, </w:t>
      </w:r>
      <w:r w:rsidR="00A316B4">
        <w:t xml:space="preserve">Separations and Nuclear Chemical Engineering Research (SNUCER), </w:t>
      </w:r>
      <w:r>
        <w:t xml:space="preserve">Department of Chemical and Biological Engineering, University of Sheffield, Sheffield, S1 3JD, United Kingdom. Email: </w:t>
      </w:r>
      <w:hyperlink r:id="rId8" w:history="1">
        <w:r w:rsidRPr="006A58F0">
          <w:rPr>
            <w:rStyle w:val="Hyperlink"/>
          </w:rPr>
          <w:t>s.pepper@sheffield.ac.uk</w:t>
        </w:r>
      </w:hyperlink>
    </w:p>
    <w:p w14:paraId="13249CBC" w14:textId="77777777" w:rsidR="00C14585" w:rsidRDefault="00C14585" w:rsidP="005E2EEA">
      <w:pPr>
        <w:pStyle w:val="Notesoncontributors"/>
      </w:pPr>
    </w:p>
    <w:p w14:paraId="7E9D857A" w14:textId="77777777" w:rsidR="00C246C5" w:rsidRDefault="00C14585" w:rsidP="009B24B5">
      <w:pPr>
        <w:pStyle w:val="Articletitle"/>
      </w:pPr>
      <w:r>
        <w:br w:type="page"/>
      </w:r>
      <w:r w:rsidR="00197E74">
        <w:lastRenderedPageBreak/>
        <w:t xml:space="preserve">Cobalt and nickel uptake by silica-based </w:t>
      </w:r>
      <w:proofErr w:type="spellStart"/>
      <w:r w:rsidR="00197E74">
        <w:t>extractants</w:t>
      </w:r>
      <w:proofErr w:type="spellEnd"/>
    </w:p>
    <w:p w14:paraId="4C175993" w14:textId="2090298A" w:rsidR="00AB395F" w:rsidRDefault="00AB395F" w:rsidP="00F30DFF">
      <w:pPr>
        <w:pStyle w:val="Keywords"/>
      </w:pPr>
      <w:r>
        <w:t xml:space="preserve">The </w:t>
      </w:r>
      <w:proofErr w:type="spellStart"/>
      <w:r>
        <w:t>pK</w:t>
      </w:r>
      <w:r w:rsidRPr="007714E4">
        <w:rPr>
          <w:vertAlign w:val="subscript"/>
        </w:rPr>
        <w:t>a</w:t>
      </w:r>
      <w:r>
        <w:t>s</w:t>
      </w:r>
      <w:proofErr w:type="spellEnd"/>
      <w:r>
        <w:t xml:space="preserve"> of ethyl/butyl phosphonate silica (EBP-Si) have been determined and the removal of cobalt and nickel from solution investigated as a function of various parameters and compared </w:t>
      </w:r>
      <w:r w:rsidRPr="00D87232">
        <w:t>with</w:t>
      </w:r>
      <w:r>
        <w:t xml:space="preserve"> </w:t>
      </w:r>
      <w:proofErr w:type="spellStart"/>
      <w:r>
        <w:t>Purolite</w:t>
      </w:r>
      <w:proofErr w:type="spellEnd"/>
      <w:r>
        <w:t xml:space="preserve"> S950. </w:t>
      </w:r>
      <w:proofErr w:type="gramStart"/>
      <w:r>
        <w:t>pH</w:t>
      </w:r>
      <w:proofErr w:type="gramEnd"/>
      <w:r>
        <w:t xml:space="preserve"> uptake experiments suggested a combination of ion exchange and acid dissociation of the surface occurring. Isotherm data, fitted us</w:t>
      </w:r>
      <w:bookmarkStart w:id="0" w:name="_GoBack"/>
      <w:bookmarkEnd w:id="0"/>
      <w:r>
        <w:t xml:space="preserve">ing Langmuir and </w:t>
      </w:r>
      <w:proofErr w:type="spellStart"/>
      <w:r>
        <w:t>Dubinin-Radushkevich</w:t>
      </w:r>
      <w:proofErr w:type="spellEnd"/>
      <w:r>
        <w:t xml:space="preserve"> models, indicated that stronger complexes formed with S950 than EBP-Si. Kinetic data, fitted using a pseudo second-order model, suggested that the rate-determining process is the reaction of metal ions with the chelating functionality of the resin. Uptake by EBP-Si is 2-3 times faster than on S950.</w:t>
      </w:r>
    </w:p>
    <w:p w14:paraId="0757BAAC" w14:textId="7ADB8CDD" w:rsidR="0020415E" w:rsidRPr="0020415E" w:rsidRDefault="00997B0F" w:rsidP="00F30DFF">
      <w:pPr>
        <w:pStyle w:val="Keywords"/>
      </w:pPr>
      <w:r>
        <w:t xml:space="preserve">Keywords: </w:t>
      </w:r>
      <w:r w:rsidR="00BF5CE4">
        <w:t>ion exchange</w:t>
      </w:r>
      <w:r w:rsidR="007E651E">
        <w:t>;</w:t>
      </w:r>
      <w:r w:rsidR="00BF5CE4">
        <w:t xml:space="preserve"> silica-based resin</w:t>
      </w:r>
      <w:r w:rsidR="007E651E">
        <w:t>;</w:t>
      </w:r>
      <w:r w:rsidR="00BF5CE4">
        <w:t xml:space="preserve"> </w:t>
      </w:r>
      <w:proofErr w:type="spellStart"/>
      <w:r w:rsidR="007E651E">
        <w:t>Purolite</w:t>
      </w:r>
      <w:proofErr w:type="spellEnd"/>
      <w:r w:rsidR="007E651E">
        <w:t xml:space="preserve"> </w:t>
      </w:r>
      <w:r w:rsidR="00BF5CE4">
        <w:t>S950</w:t>
      </w:r>
      <w:r w:rsidR="007E651E">
        <w:t>;</w:t>
      </w:r>
      <w:r w:rsidR="00BF5CE4">
        <w:t xml:space="preserve"> cobalt</w:t>
      </w:r>
      <w:r w:rsidR="007E651E">
        <w:t>;</w:t>
      </w:r>
      <w:r w:rsidR="00BF5CE4">
        <w:t xml:space="preserve"> nickel</w:t>
      </w:r>
    </w:p>
    <w:p w14:paraId="4BA11540" w14:textId="77777777" w:rsidR="00197E74" w:rsidRDefault="00197E74" w:rsidP="00197E74">
      <w:pPr>
        <w:pStyle w:val="Heading1"/>
      </w:pPr>
      <w:r>
        <w:t>Introduction</w:t>
      </w:r>
    </w:p>
    <w:p w14:paraId="02CF103A" w14:textId="47D720DD" w:rsidR="00CD4865" w:rsidRDefault="00236F1C" w:rsidP="00A16389">
      <w:pPr>
        <w:pStyle w:val="Newparagraph"/>
      </w:pPr>
      <w:r>
        <w:t xml:space="preserve">Heavy metals like cobalt and nickel are commonly found in contaminated water </w:t>
      </w:r>
      <w:r w:rsidR="00160785">
        <w:t>from</w:t>
      </w:r>
      <w:r>
        <w:t xml:space="preserve"> many industrial operations, such as mining operations, metal plating facilities, battery and catalyst production as well as nuclear power plant operation. These, and other metals such as lead, chromium, mercury and cadmium, are not biodegradable and are toxic and harmful (and possibly radioactive), even at low concentrations, to human health, aquatic life and the environment.</w:t>
      </w:r>
      <w:r w:rsidRPr="00047C0F">
        <w:rPr>
          <w:vertAlign w:val="superscript"/>
        </w:rPr>
        <w:t>[</w:t>
      </w:r>
      <w:r w:rsidR="00BC7A06">
        <w:rPr>
          <w:vertAlign w:val="superscript"/>
        </w:rPr>
        <w:t xml:space="preserve">1, </w:t>
      </w:r>
      <w:r w:rsidR="00047C0F">
        <w:rPr>
          <w:vertAlign w:val="superscript"/>
        </w:rPr>
        <w:t>2</w:t>
      </w:r>
      <w:r w:rsidRPr="00047C0F">
        <w:rPr>
          <w:vertAlign w:val="superscript"/>
        </w:rPr>
        <w:t>]</w:t>
      </w:r>
      <w:r w:rsidR="00A84586">
        <w:rPr>
          <w:vertAlign w:val="superscript"/>
        </w:rPr>
        <w:t xml:space="preserve"> </w:t>
      </w:r>
      <w:r w:rsidR="00CD4865">
        <w:t>Consequently, the recovery of these metals has received considerable attention</w:t>
      </w:r>
      <w:r w:rsidR="00D80028">
        <w:t>.</w:t>
      </w:r>
      <w:r w:rsidR="00D80028" w:rsidRPr="00D80028">
        <w:rPr>
          <w:vertAlign w:val="superscript"/>
        </w:rPr>
        <w:t>[</w:t>
      </w:r>
      <w:r w:rsidR="00047C0F">
        <w:rPr>
          <w:vertAlign w:val="superscript"/>
        </w:rPr>
        <w:t>3</w:t>
      </w:r>
      <w:r w:rsidR="00D80028" w:rsidRPr="00D80028">
        <w:rPr>
          <w:vertAlign w:val="superscript"/>
        </w:rPr>
        <w:t>-1</w:t>
      </w:r>
      <w:r w:rsidR="00047C0F">
        <w:rPr>
          <w:vertAlign w:val="superscript"/>
        </w:rPr>
        <w:t>2</w:t>
      </w:r>
      <w:r w:rsidR="00D80028" w:rsidRPr="00D80028">
        <w:rPr>
          <w:vertAlign w:val="superscript"/>
        </w:rPr>
        <w:t>]</w:t>
      </w:r>
    </w:p>
    <w:p w14:paraId="41C0D977" w14:textId="79B96B06" w:rsidR="00197E74" w:rsidRDefault="00197E74" w:rsidP="00197E74">
      <w:pPr>
        <w:pStyle w:val="Newparagraph"/>
      </w:pPr>
      <w:r>
        <w:t>Solvent extraction and ion exchange are the two most common techniques employed for the removal of metals from an aqueous system</w:t>
      </w:r>
      <w:r w:rsidR="00D80028">
        <w:t>.</w:t>
      </w:r>
      <w:r w:rsidR="00D80028" w:rsidRPr="00D80028">
        <w:rPr>
          <w:vertAlign w:val="superscript"/>
        </w:rPr>
        <w:t>[</w:t>
      </w:r>
      <w:r w:rsidR="00047C0F">
        <w:rPr>
          <w:vertAlign w:val="superscript"/>
        </w:rPr>
        <w:t>5, 13-17</w:t>
      </w:r>
      <w:r w:rsidR="00D80028" w:rsidRPr="00D80028">
        <w:rPr>
          <w:vertAlign w:val="superscript"/>
        </w:rPr>
        <w:t>]</w:t>
      </w:r>
      <w:r w:rsidR="00D80028">
        <w:t xml:space="preserve"> </w:t>
      </w:r>
      <w:r>
        <w:t xml:space="preserve">With respect to ion exchange, there has been a significant body of research investigating the use of </w:t>
      </w:r>
      <w:proofErr w:type="spellStart"/>
      <w:r>
        <w:t>organo</w:t>
      </w:r>
      <w:proofErr w:type="spellEnd"/>
      <w:r>
        <w:t>-functionalised molecules immobilised on a solid support, with polystyrene-DVB-based materials and silica among the most popular materials</w:t>
      </w:r>
      <w:r w:rsidR="00D80028">
        <w:t>.</w:t>
      </w:r>
      <w:r w:rsidR="00D80028" w:rsidRPr="00D80028">
        <w:rPr>
          <w:vertAlign w:val="superscript"/>
        </w:rPr>
        <w:t>[</w:t>
      </w:r>
      <w:r w:rsidR="00047C0F">
        <w:rPr>
          <w:vertAlign w:val="superscript"/>
        </w:rPr>
        <w:t>3, 4, 8-10</w:t>
      </w:r>
      <w:r w:rsidR="00D80028" w:rsidRPr="00D80028">
        <w:rPr>
          <w:vertAlign w:val="superscript"/>
        </w:rPr>
        <w:t>]</w:t>
      </w:r>
      <w:r>
        <w:t xml:space="preserve"> The absorption mechanism has been reported to occur through a combination of ionic and coordinating interactions, instead of via simple electrostatic interactions as in conventional ion exchange</w:t>
      </w:r>
      <w:r w:rsidR="00D80028">
        <w:t>.</w:t>
      </w:r>
      <w:r w:rsidR="00D80028" w:rsidRPr="00D80028">
        <w:rPr>
          <w:vertAlign w:val="superscript"/>
        </w:rPr>
        <w:t>[1</w:t>
      </w:r>
      <w:r w:rsidR="00047C0F">
        <w:rPr>
          <w:vertAlign w:val="superscript"/>
        </w:rPr>
        <w:t>8</w:t>
      </w:r>
      <w:r w:rsidR="00D80028" w:rsidRPr="00D80028">
        <w:rPr>
          <w:vertAlign w:val="superscript"/>
        </w:rPr>
        <w:t>]</w:t>
      </w:r>
      <w:r>
        <w:t xml:space="preserve"> This means that these chelating resins offer greater selectivity than </w:t>
      </w:r>
      <w:proofErr w:type="gramStart"/>
      <w:r>
        <w:lastRenderedPageBreak/>
        <w:t>conventional</w:t>
      </w:r>
      <w:proofErr w:type="gramEnd"/>
      <w:r>
        <w:t xml:space="preserve"> resins</w:t>
      </w:r>
      <w:r w:rsidR="00D80028">
        <w:t>.</w:t>
      </w:r>
      <w:r w:rsidR="00D80028" w:rsidRPr="00D80028">
        <w:rPr>
          <w:vertAlign w:val="superscript"/>
        </w:rPr>
        <w:t>[1</w:t>
      </w:r>
      <w:r w:rsidR="00047C0F">
        <w:rPr>
          <w:vertAlign w:val="superscript"/>
        </w:rPr>
        <w:t>9</w:t>
      </w:r>
      <w:r w:rsidR="00D80028" w:rsidRPr="00D80028">
        <w:rPr>
          <w:vertAlign w:val="superscript"/>
        </w:rPr>
        <w:t>]</w:t>
      </w:r>
      <w:r>
        <w:t xml:space="preserve"> However, polymeric-based resins can display slow kinetics, may swell, be sensitive to chemical environments and lose mechanical stability</w:t>
      </w:r>
      <w:r w:rsidR="00D80028">
        <w:t>.</w:t>
      </w:r>
      <w:r w:rsidR="00D80028" w:rsidRPr="00D80028">
        <w:rPr>
          <w:vertAlign w:val="superscript"/>
        </w:rPr>
        <w:t>[</w:t>
      </w:r>
      <w:r w:rsidR="00047C0F">
        <w:rPr>
          <w:vertAlign w:val="superscript"/>
        </w:rPr>
        <w:t>20</w:t>
      </w:r>
      <w:r w:rsidR="00D80028" w:rsidRPr="00D80028">
        <w:rPr>
          <w:vertAlign w:val="superscript"/>
        </w:rPr>
        <w:t>]</w:t>
      </w:r>
      <w:r w:rsidR="00C61F2B">
        <w:t xml:space="preserve"> S</w:t>
      </w:r>
      <w:r>
        <w:t xml:space="preserve">ilica-based resins do not </w:t>
      </w:r>
      <w:r w:rsidR="00C61F2B">
        <w:t xml:space="preserve">have these drawbacks and, </w:t>
      </w:r>
      <w:r>
        <w:t>import</w:t>
      </w:r>
      <w:r w:rsidR="00D80028">
        <w:t>antly, can be thermally treated.</w:t>
      </w:r>
      <w:r w:rsidR="00D80028" w:rsidRPr="00D80028">
        <w:rPr>
          <w:vertAlign w:val="superscript"/>
        </w:rPr>
        <w:t>[</w:t>
      </w:r>
      <w:r w:rsidR="00047C0F">
        <w:rPr>
          <w:vertAlign w:val="superscript"/>
        </w:rPr>
        <w:t>20</w:t>
      </w:r>
      <w:r w:rsidR="00D80028" w:rsidRPr="00D80028">
        <w:rPr>
          <w:vertAlign w:val="superscript"/>
        </w:rPr>
        <w:t>]</w:t>
      </w:r>
    </w:p>
    <w:p w14:paraId="1E6380A0" w14:textId="0FD4770F" w:rsidR="00197E74" w:rsidRPr="00444507" w:rsidRDefault="00197E74" w:rsidP="00A16389">
      <w:pPr>
        <w:pStyle w:val="Newparagraph"/>
      </w:pPr>
      <w:r>
        <w:t>A wide range of organic materials have been attached to silica</w:t>
      </w:r>
      <w:r w:rsidR="000900BE">
        <w:t xml:space="preserve"> for </w:t>
      </w:r>
      <w:r w:rsidR="00C61F2B">
        <w:t xml:space="preserve">the recovery of </w:t>
      </w:r>
      <w:r w:rsidR="000900BE">
        <w:t xml:space="preserve">metals. Some examples include 1,8-dihydroxyanthraquinone for </w:t>
      </w:r>
      <w:r w:rsidR="00DF30A9">
        <w:t>Fe</w:t>
      </w:r>
      <w:r w:rsidR="000900BE">
        <w:t xml:space="preserve">(III), </w:t>
      </w:r>
      <w:r w:rsidR="00DF30A9">
        <w:t>Co(II)</w:t>
      </w:r>
      <w:r w:rsidR="000900BE">
        <w:t xml:space="preserve">, </w:t>
      </w:r>
      <w:r w:rsidR="00DF30A9">
        <w:t>Ni(II)</w:t>
      </w:r>
      <w:r w:rsidR="000900BE">
        <w:t xml:space="preserve"> and </w:t>
      </w:r>
      <w:r w:rsidR="00DF30A9">
        <w:t>Cu(II)</w:t>
      </w:r>
      <w:r w:rsidR="000900BE">
        <w:t xml:space="preserve"> recovery</w:t>
      </w:r>
      <w:r w:rsidR="00D80028">
        <w:t>,</w:t>
      </w:r>
      <w:r w:rsidR="00D80028" w:rsidRPr="00D80028">
        <w:rPr>
          <w:vertAlign w:val="superscript"/>
        </w:rPr>
        <w:t>[2</w:t>
      </w:r>
      <w:r w:rsidR="00047C0F">
        <w:rPr>
          <w:vertAlign w:val="superscript"/>
        </w:rPr>
        <w:t>1</w:t>
      </w:r>
      <w:r w:rsidR="00D80028" w:rsidRPr="00D80028">
        <w:rPr>
          <w:vertAlign w:val="superscript"/>
        </w:rPr>
        <w:t>]</w:t>
      </w:r>
      <w:r w:rsidR="000900BE">
        <w:t xml:space="preserve"> imidazole, diaza-18-crown-6 and dibenzo-18-crown-6</w:t>
      </w:r>
      <w:r w:rsidR="00DF30A9">
        <w:t xml:space="preserve"> for Co(II) sorption</w:t>
      </w:r>
      <w:r w:rsidR="00D80028">
        <w:t>,</w:t>
      </w:r>
      <w:r w:rsidR="00D80028" w:rsidRPr="00D80028">
        <w:rPr>
          <w:vertAlign w:val="superscript"/>
        </w:rPr>
        <w:t>[</w:t>
      </w:r>
      <w:r w:rsidR="00047C0F">
        <w:rPr>
          <w:vertAlign w:val="superscript"/>
        </w:rPr>
        <w:t>8</w:t>
      </w:r>
      <w:r w:rsidR="00D80028" w:rsidRPr="00D80028">
        <w:rPr>
          <w:vertAlign w:val="superscript"/>
        </w:rPr>
        <w:t>]</w:t>
      </w:r>
      <w:r w:rsidR="00DF30A9">
        <w:t xml:space="preserve"> </w:t>
      </w:r>
      <w:proofErr w:type="spellStart"/>
      <w:r w:rsidR="00DF30A9">
        <w:t>murexide</w:t>
      </w:r>
      <w:proofErr w:type="spellEnd"/>
      <w:r w:rsidR="00DF30A9">
        <w:t xml:space="preserve"> for U(VI) preconcentration</w:t>
      </w:r>
      <w:r w:rsidR="00D80028">
        <w:t>,</w:t>
      </w:r>
      <w:r w:rsidR="00D80028" w:rsidRPr="00D80028">
        <w:rPr>
          <w:vertAlign w:val="superscript"/>
        </w:rPr>
        <w:t>[1</w:t>
      </w:r>
      <w:r w:rsidR="00047C0F">
        <w:rPr>
          <w:vertAlign w:val="superscript"/>
        </w:rPr>
        <w:t>1</w:t>
      </w:r>
      <w:r w:rsidR="00D80028" w:rsidRPr="00D80028">
        <w:rPr>
          <w:vertAlign w:val="superscript"/>
        </w:rPr>
        <w:t>]</w:t>
      </w:r>
      <w:r w:rsidR="00DF30A9">
        <w:t xml:space="preserve"> </w:t>
      </w:r>
      <w:proofErr w:type="spellStart"/>
      <w:r w:rsidR="00DF30A9">
        <w:t>salicylaldoxime</w:t>
      </w:r>
      <w:proofErr w:type="spellEnd"/>
      <w:r w:rsidR="00DF30A9">
        <w:t xml:space="preserve"> for Co(II), Ni(II), Co(II), Zn(II) and Fe(III) preconcentration</w:t>
      </w:r>
      <w:r w:rsidR="00D80028" w:rsidRPr="00D80028">
        <w:rPr>
          <w:vertAlign w:val="superscript"/>
        </w:rPr>
        <w:t>[</w:t>
      </w:r>
      <w:r w:rsidR="00047C0F">
        <w:rPr>
          <w:vertAlign w:val="superscript"/>
        </w:rPr>
        <w:t>7</w:t>
      </w:r>
      <w:r w:rsidR="00D80028" w:rsidRPr="00D80028">
        <w:rPr>
          <w:vertAlign w:val="superscript"/>
        </w:rPr>
        <w:t>]</w:t>
      </w:r>
      <w:r w:rsidR="00DF30A9">
        <w:t xml:space="preserve"> and </w:t>
      </w:r>
      <w:proofErr w:type="spellStart"/>
      <w:r w:rsidR="00DF30A9">
        <w:t>gallic</w:t>
      </w:r>
      <w:proofErr w:type="spellEnd"/>
      <w:r w:rsidR="00DF30A9">
        <w:t xml:space="preserve"> acid for </w:t>
      </w:r>
      <w:proofErr w:type="spellStart"/>
      <w:r w:rsidR="00784A05">
        <w:t>Pb</w:t>
      </w:r>
      <w:proofErr w:type="spellEnd"/>
      <w:r w:rsidR="00784A05">
        <w:t>(II)</w:t>
      </w:r>
      <w:r w:rsidR="00DF30A9">
        <w:t xml:space="preserve">, </w:t>
      </w:r>
      <w:r w:rsidR="00784A05">
        <w:t>Cu(II)</w:t>
      </w:r>
      <w:r w:rsidR="00DF30A9">
        <w:t xml:space="preserve">, </w:t>
      </w:r>
      <w:r w:rsidR="00784A05">
        <w:t xml:space="preserve">Cd(II) </w:t>
      </w:r>
      <w:r w:rsidR="00DF30A9">
        <w:t xml:space="preserve">and </w:t>
      </w:r>
      <w:r w:rsidR="00784A05">
        <w:t>Ni(II)</w:t>
      </w:r>
      <w:r w:rsidR="00DF30A9">
        <w:t xml:space="preserve"> preconcentration</w:t>
      </w:r>
      <w:r w:rsidR="00D80028">
        <w:t>.</w:t>
      </w:r>
      <w:r w:rsidR="00D80028" w:rsidRPr="00D80028">
        <w:rPr>
          <w:vertAlign w:val="superscript"/>
        </w:rPr>
        <w:t>[</w:t>
      </w:r>
      <w:r w:rsidR="00047C0F">
        <w:rPr>
          <w:vertAlign w:val="superscript"/>
        </w:rPr>
        <w:t>9</w:t>
      </w:r>
      <w:r w:rsidR="00D80028" w:rsidRPr="00D80028">
        <w:rPr>
          <w:vertAlign w:val="superscript"/>
        </w:rPr>
        <w:t>]</w:t>
      </w:r>
      <w:r w:rsidR="00784A05">
        <w:t xml:space="preserve"> </w:t>
      </w:r>
      <w:r w:rsidR="00D360E3">
        <w:t xml:space="preserve">Additionally, there are many commercially available </w:t>
      </w:r>
      <w:r w:rsidRPr="00444507">
        <w:t xml:space="preserve">polymeric-based resins </w:t>
      </w:r>
      <w:r w:rsidR="00015211">
        <w:t xml:space="preserve">and several silica-based resins </w:t>
      </w:r>
      <w:r w:rsidR="00D360E3">
        <w:t>that h</w:t>
      </w:r>
      <w:r w:rsidRPr="00444507">
        <w:t>ave been used to remove or recover a range of metal ions</w:t>
      </w:r>
      <w:r w:rsidR="00D80028">
        <w:t>.</w:t>
      </w:r>
      <w:r w:rsidR="00D80028" w:rsidRPr="00D80028">
        <w:rPr>
          <w:vertAlign w:val="superscript"/>
        </w:rPr>
        <w:t>[</w:t>
      </w:r>
      <w:r w:rsidR="00047C0F">
        <w:rPr>
          <w:vertAlign w:val="superscript"/>
        </w:rPr>
        <w:t>3, 4, 10, 19, 22-27</w:t>
      </w:r>
      <w:r w:rsidR="00D80028" w:rsidRPr="00D80028">
        <w:rPr>
          <w:vertAlign w:val="superscript"/>
        </w:rPr>
        <w:t>]</w:t>
      </w:r>
    </w:p>
    <w:p w14:paraId="2CC77D48" w14:textId="22CC41B7" w:rsidR="0059684E" w:rsidRDefault="00A84586" w:rsidP="0059684E">
      <w:pPr>
        <w:pStyle w:val="Newparagraph"/>
      </w:pPr>
      <w:r>
        <w:t xml:space="preserve">In the nuclear industry a range of ion exchange materials are used to treat various water streams, from primary water coolant purification to </w:t>
      </w:r>
      <w:r w:rsidR="00A6441F">
        <w:t>fuel storage pond water treatment to drainage water treatments.</w:t>
      </w:r>
      <w:r w:rsidR="00866DC9">
        <w:t xml:space="preserve"> Ion exchange resins are regenerated and used until no longer practical and after this point are stored and/or disposed of. </w:t>
      </w:r>
      <w:r w:rsidR="00A4378B">
        <w:t xml:space="preserve">Often, the spent resins are highly radioactive and must be treated prior to disposal. Due to the high costs associated with disposal, the material often undergoes a process of volume reduction. Techniques such as dewatering, pyrolysis and stripping may reduce the category of the </w:t>
      </w:r>
      <w:r w:rsidR="0059684E">
        <w:t xml:space="preserve">resin </w:t>
      </w:r>
      <w:r w:rsidR="00A4378B">
        <w:t>waste</w:t>
      </w:r>
      <w:r w:rsidR="0059684E">
        <w:t xml:space="preserve">, for example from high level waste to intermediate or low level waste, </w:t>
      </w:r>
      <w:r w:rsidR="00A4378B">
        <w:t>but may generate a quantity of highly active waste that must be separately treated.</w:t>
      </w:r>
      <w:r w:rsidR="00C72B93" w:rsidRPr="00C72B93">
        <w:rPr>
          <w:vertAlign w:val="superscript"/>
        </w:rPr>
        <w:t>[28-31]</w:t>
      </w:r>
      <w:r w:rsidR="00A4378B">
        <w:t xml:space="preserve"> In the United Kingdom, currently the preferred option for high level radioactive waste disposal is vitrification within a borosilicate matrix and long-term storage (potentially thousands of years) of the glass-based waste form.</w:t>
      </w:r>
      <w:r w:rsidR="00A4378B" w:rsidRPr="00C72B93">
        <w:rPr>
          <w:vertAlign w:val="superscript"/>
        </w:rPr>
        <w:t>[</w:t>
      </w:r>
      <w:r w:rsidR="00C72B93" w:rsidRPr="00C72B93">
        <w:rPr>
          <w:vertAlign w:val="superscript"/>
        </w:rPr>
        <w:t>32</w:t>
      </w:r>
      <w:r w:rsidR="00A4378B" w:rsidRPr="00C72B93">
        <w:rPr>
          <w:vertAlign w:val="superscript"/>
        </w:rPr>
        <w:t>]</w:t>
      </w:r>
      <w:r w:rsidR="00A4378B">
        <w:t xml:space="preserve"> </w:t>
      </w:r>
      <w:r w:rsidR="00015211">
        <w:t>As mentioned above, one potential advantage of silica-based resins lies in their ability to be thermally trea</w:t>
      </w:r>
      <w:r w:rsidR="00D80028">
        <w:t>te</w:t>
      </w:r>
      <w:r w:rsidR="00A4378B">
        <w:t xml:space="preserve">d. </w:t>
      </w:r>
      <w:r w:rsidR="0059684E">
        <w:t xml:space="preserve">As silica-based resins already contain silica, it is hoped that these materials </w:t>
      </w:r>
      <w:r w:rsidR="0059684E">
        <w:lastRenderedPageBreak/>
        <w:t xml:space="preserve">could be utilised to remove metals from the waste stream and then </w:t>
      </w:r>
      <w:r w:rsidR="00A26D22">
        <w:t xml:space="preserve">directly converted to a borosilicate-based </w:t>
      </w:r>
      <w:proofErr w:type="spellStart"/>
      <w:r w:rsidR="00A26D22">
        <w:t>wasteform</w:t>
      </w:r>
      <w:proofErr w:type="spellEnd"/>
      <w:r w:rsidR="00A26D22">
        <w:t>.</w:t>
      </w:r>
    </w:p>
    <w:p w14:paraId="063C1178" w14:textId="0DE417E9" w:rsidR="007B1C96" w:rsidRDefault="00BC7A06" w:rsidP="00CC6DD3">
      <w:pPr>
        <w:pStyle w:val="Newparagraph"/>
      </w:pPr>
      <w:r>
        <w:t xml:space="preserve">In this paper, presenting results from our initial experiments, we have focused on cobalt and nickel, as important heavy metal pollutants found in </w:t>
      </w:r>
      <w:r w:rsidR="006E4BBD">
        <w:t xml:space="preserve">the </w:t>
      </w:r>
      <w:r>
        <w:t xml:space="preserve">aqueous waste streams </w:t>
      </w:r>
      <w:r w:rsidR="006E4BBD">
        <w:t xml:space="preserve">of </w:t>
      </w:r>
      <w:r>
        <w:t>both conventional and nuclear industr</w:t>
      </w:r>
      <w:r w:rsidR="006E4BBD">
        <w:t>ies</w:t>
      </w:r>
      <w:r>
        <w:t>.</w:t>
      </w:r>
      <w:r w:rsidR="006E4BBD">
        <w:t xml:space="preserve"> The uptake of these metals by a silica-based resin ethyl/butyl phosphonate silica (</w:t>
      </w:r>
      <w:proofErr w:type="spellStart"/>
      <w:r w:rsidR="006E4BBD">
        <w:t>PhosphonicS</w:t>
      </w:r>
      <w:proofErr w:type="spellEnd"/>
      <w:r w:rsidR="006E4BBD">
        <w:t xml:space="preserve"> PO1) was compared with a polymeric-based resin</w:t>
      </w:r>
      <w:r w:rsidR="007B1C96">
        <w:t xml:space="preserve"> with similar functionality</w:t>
      </w:r>
      <w:r w:rsidR="006E4BBD">
        <w:t xml:space="preserve">, </w:t>
      </w:r>
      <w:proofErr w:type="spellStart"/>
      <w:r w:rsidR="006E4BBD">
        <w:t>Purolite</w:t>
      </w:r>
      <w:proofErr w:type="spellEnd"/>
      <w:r w:rsidR="006E4BBD">
        <w:t xml:space="preserve"> S950 (</w:t>
      </w:r>
      <w:proofErr w:type="spellStart"/>
      <w:r w:rsidR="006E4BBD">
        <w:t>Purolite</w:t>
      </w:r>
      <w:proofErr w:type="spellEnd"/>
      <w:r w:rsidR="006E4BBD">
        <w:t xml:space="preserve">), an </w:t>
      </w:r>
      <w:proofErr w:type="spellStart"/>
      <w:r w:rsidR="006E4BBD">
        <w:t>aminophosphonic</w:t>
      </w:r>
      <w:proofErr w:type="spellEnd"/>
      <w:r w:rsidR="006E4BBD">
        <w:t xml:space="preserve"> acid on </w:t>
      </w:r>
      <w:proofErr w:type="spellStart"/>
      <w:r w:rsidR="006E4BBD">
        <w:t>macroporous</w:t>
      </w:r>
      <w:proofErr w:type="spellEnd"/>
      <w:r w:rsidR="006E4BBD">
        <w:t xml:space="preserve"> polystyrene crosslinked with DVB (Figure 1). </w:t>
      </w:r>
      <w:r w:rsidR="00FC51A5">
        <w:t>The pK</w:t>
      </w:r>
      <w:r w:rsidR="00FC51A5" w:rsidRPr="00FC51A5">
        <w:rPr>
          <w:vertAlign w:val="subscript"/>
        </w:rPr>
        <w:t>a</w:t>
      </w:r>
      <w:r w:rsidR="00FC51A5">
        <w:t xml:space="preserve"> of EBP-Si has also been determined by acid-base titration. </w:t>
      </w:r>
      <w:r w:rsidR="007E1A0A">
        <w:t xml:space="preserve">The loading behaviour of cobalt and nickel was investigated as a function of pH and metal concentration. The kinetics of metal uptake were also examined. The equilibrium data obtained were then analysed using the Langmuir </w:t>
      </w:r>
      <w:r w:rsidR="00BF5CE4">
        <w:t xml:space="preserve">and </w:t>
      </w:r>
      <w:proofErr w:type="spellStart"/>
      <w:r w:rsidR="00BF5CE4">
        <w:t>Dubinin-Radushkevich</w:t>
      </w:r>
      <w:proofErr w:type="spellEnd"/>
      <w:r w:rsidR="00BF5CE4">
        <w:t xml:space="preserve"> (D-R) </w:t>
      </w:r>
      <w:r w:rsidR="007E1A0A">
        <w:t>isotherm</w:t>
      </w:r>
      <w:r w:rsidR="00BF5CE4">
        <w:t>s</w:t>
      </w:r>
      <w:r w:rsidR="007E1A0A">
        <w:t xml:space="preserve"> and the kinetic data were fitted using a pseudo-second order model. </w:t>
      </w:r>
    </w:p>
    <w:p w14:paraId="2256B1EB" w14:textId="13ECD76A" w:rsidR="00015211" w:rsidRDefault="007B1C96" w:rsidP="00197E74">
      <w:pPr>
        <w:ind w:firstLine="709"/>
      </w:pPr>
      <w:r>
        <w:t xml:space="preserve">Both resins are commercially available but to </w:t>
      </w:r>
      <w:r w:rsidR="002E5E0D">
        <w:t xml:space="preserve">the best of </w:t>
      </w:r>
      <w:r>
        <w:t xml:space="preserve">our knowledge, this is the first time that partitioning of metals to ethyl/butyl phosphonate silica has been reported and compared with a </w:t>
      </w:r>
      <w:proofErr w:type="spellStart"/>
      <w:r>
        <w:t>macroporous</w:t>
      </w:r>
      <w:proofErr w:type="spellEnd"/>
      <w:r>
        <w:t xml:space="preserve"> polystyrene DVB resin with a thorough comparison of the thermodynamic and kinetic parameters. Additionally, this study represents the first in a series of papers investigating the use of silica-based resins for the removal of metals from aqueous wastes and their potential for direct conversion to a glass-based </w:t>
      </w:r>
      <w:proofErr w:type="spellStart"/>
      <w:r>
        <w:t>wasteform</w:t>
      </w:r>
      <w:proofErr w:type="spellEnd"/>
      <w:r>
        <w:t>.</w:t>
      </w:r>
    </w:p>
    <w:p w14:paraId="0010BEA0" w14:textId="13ACD6D7" w:rsidR="005D31A7" w:rsidRDefault="005D31A7" w:rsidP="00197E74">
      <w:pPr>
        <w:ind w:firstLine="709"/>
      </w:pPr>
      <w:r>
        <w:rPr>
          <w:noProof/>
        </w:rPr>
        <w:drawing>
          <wp:inline distT="0" distB="0" distL="0" distR="0" wp14:anchorId="68BAA30F" wp14:editId="1CF36F16">
            <wp:extent cx="4060800" cy="117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4060800" cy="1170000"/>
                    </a:xfrm>
                    <a:prstGeom prst="rect">
                      <a:avLst/>
                    </a:prstGeom>
                  </pic:spPr>
                </pic:pic>
              </a:graphicData>
            </a:graphic>
          </wp:inline>
        </w:drawing>
      </w:r>
    </w:p>
    <w:p w14:paraId="1C766D01" w14:textId="77777777" w:rsidR="005D31A7" w:rsidRDefault="005D31A7" w:rsidP="005D31A7">
      <w:pPr>
        <w:pStyle w:val="Figurecaption"/>
      </w:pPr>
      <w:r w:rsidRPr="00E405A3">
        <w:t xml:space="preserve">Figure 1. The structure of </w:t>
      </w:r>
      <w:r>
        <w:t xml:space="preserve">(a) </w:t>
      </w:r>
      <w:r w:rsidRPr="00E405A3">
        <w:t xml:space="preserve">ethyl/butyl phosphonate silica and </w:t>
      </w:r>
      <w:r>
        <w:t xml:space="preserve">(b) </w:t>
      </w:r>
      <w:proofErr w:type="spellStart"/>
      <w:r w:rsidRPr="00E405A3">
        <w:t>Purolite</w:t>
      </w:r>
      <w:proofErr w:type="spellEnd"/>
      <w:r w:rsidRPr="00E405A3">
        <w:t xml:space="preserve"> S950.</w:t>
      </w:r>
    </w:p>
    <w:p w14:paraId="3D3F8209" w14:textId="77777777" w:rsidR="00A11EF2" w:rsidRDefault="00A11EF2" w:rsidP="00A11EF2">
      <w:pPr>
        <w:pStyle w:val="Heading1"/>
      </w:pPr>
      <w:r>
        <w:lastRenderedPageBreak/>
        <w:t>Experimental</w:t>
      </w:r>
    </w:p>
    <w:p w14:paraId="486C76A0" w14:textId="77777777" w:rsidR="00A11EF2" w:rsidRDefault="00A11EF2" w:rsidP="00A11EF2">
      <w:pPr>
        <w:pStyle w:val="Heading2"/>
      </w:pPr>
      <w:r>
        <w:t>Materials</w:t>
      </w:r>
    </w:p>
    <w:p w14:paraId="040FAC6C" w14:textId="1C5D6FC1" w:rsidR="00A11EF2" w:rsidRDefault="00A11EF2" w:rsidP="00A16389">
      <w:pPr>
        <w:pStyle w:val="Newparagraph"/>
      </w:pPr>
      <w:r>
        <w:t>All chemicals used were of analytical grade or better and supplied by Sigma-Aldrich unless otherwise specified. Sodium ethyl/butyl phosphonate silica (</w:t>
      </w:r>
      <w:proofErr w:type="spellStart"/>
      <w:r>
        <w:t>Phosphonic</w:t>
      </w:r>
      <w:r w:rsidR="005C7BDA">
        <w:t>S</w:t>
      </w:r>
      <w:proofErr w:type="spellEnd"/>
      <w:r w:rsidR="005C7BDA">
        <w:t xml:space="preserve"> </w:t>
      </w:r>
      <w:r>
        <w:t xml:space="preserve">PO1) was purchased directly from </w:t>
      </w:r>
      <w:proofErr w:type="spellStart"/>
      <w:r>
        <w:t>Phosphonic</w:t>
      </w:r>
      <w:r w:rsidR="005C7BDA">
        <w:t>S</w:t>
      </w:r>
      <w:proofErr w:type="spellEnd"/>
      <w:r>
        <w:t xml:space="preserve">, while </w:t>
      </w:r>
      <w:proofErr w:type="spellStart"/>
      <w:r>
        <w:t>Purolite</w:t>
      </w:r>
      <w:proofErr w:type="spellEnd"/>
      <w:r>
        <w:t xml:space="preserve"> S950 was kindly donated by </w:t>
      </w:r>
      <w:proofErr w:type="spellStart"/>
      <w:r>
        <w:t>Purolite</w:t>
      </w:r>
      <w:proofErr w:type="spellEnd"/>
      <w:r>
        <w:t xml:space="preserve">. Both resins were converted from their sodium forms to their </w:t>
      </w:r>
      <w:proofErr w:type="spellStart"/>
      <w:r w:rsidR="00C61F2B">
        <w:t>protic</w:t>
      </w:r>
      <w:proofErr w:type="spellEnd"/>
      <w:r>
        <w:t xml:space="preserve"> forms by contact with a solution of 1M hydrochloric acid for 24 hours. After this time, the resins were washed twice with deionised water (DI water) and stored as a suspension under DI water.</w:t>
      </w:r>
    </w:p>
    <w:p w14:paraId="68566BF8" w14:textId="3A5BE34F" w:rsidR="00A11EF2" w:rsidRDefault="00A11EF2" w:rsidP="00A11EF2">
      <w:pPr>
        <w:ind w:firstLine="709"/>
      </w:pPr>
      <w:r>
        <w:t xml:space="preserve">Stock solutions of </w:t>
      </w:r>
      <w:proofErr w:type="gramStart"/>
      <w:r>
        <w:t>Co(</w:t>
      </w:r>
      <w:proofErr w:type="gramEnd"/>
      <w:r>
        <w:t xml:space="preserve">II) and Ni(II) were prepared by dissolving their respective chloride salts in DI water. Cobalt and nickel analysis was carried out using either a Perkin Elmer Atomic Absorption Spectrometer </w:t>
      </w:r>
      <w:proofErr w:type="spellStart"/>
      <w:r>
        <w:t>AAnalyst</w:t>
      </w:r>
      <w:proofErr w:type="spellEnd"/>
      <w:r>
        <w:t xml:space="preserve"> 400 or a </w:t>
      </w:r>
      <w:proofErr w:type="spellStart"/>
      <w:r>
        <w:t>Thermo</w:t>
      </w:r>
      <w:proofErr w:type="spellEnd"/>
      <w:r>
        <w:t xml:space="preserve"> Scientific </w:t>
      </w:r>
      <w:proofErr w:type="spellStart"/>
      <w:r>
        <w:t>iCAP</w:t>
      </w:r>
      <w:proofErr w:type="spellEnd"/>
      <w:r>
        <w:t xml:space="preserve"> 6000 series ICP-OES. Calibration for both instruments was performed using standard solutions (Inorganic Ventures) diluted with 1% nitric acid.</w:t>
      </w:r>
    </w:p>
    <w:p w14:paraId="4FC26A8C" w14:textId="59E00FCF" w:rsidR="000434CC" w:rsidRDefault="00DF1749" w:rsidP="000434CC">
      <w:pPr>
        <w:pStyle w:val="Heading2"/>
      </w:pPr>
      <w:r>
        <w:t>Determination of acid dissociation constants for EBP-Si</w:t>
      </w:r>
    </w:p>
    <w:p w14:paraId="7DF5408D" w14:textId="22ABE58E" w:rsidR="006F2B40" w:rsidRDefault="006F2B40" w:rsidP="0022375B">
      <w:pPr>
        <w:pStyle w:val="Newparagraph"/>
      </w:pPr>
      <w:r>
        <w:t xml:space="preserve">The acid dissociation constants of EBP-Si were determined using an adapted </w:t>
      </w:r>
      <w:r w:rsidR="002E258D">
        <w:t>version from Jarvis and Wagener</w:t>
      </w:r>
      <w:proofErr w:type="gramStart"/>
      <w:r w:rsidR="00047C0F">
        <w:t>.</w:t>
      </w:r>
      <w:r w:rsidRPr="00047C0F">
        <w:rPr>
          <w:vertAlign w:val="superscript"/>
        </w:rPr>
        <w:t>[</w:t>
      </w:r>
      <w:proofErr w:type="gramEnd"/>
      <w:r w:rsidR="00C72B93">
        <w:rPr>
          <w:vertAlign w:val="superscript"/>
        </w:rPr>
        <w:t>33</w:t>
      </w:r>
      <w:r w:rsidRPr="00047C0F">
        <w:rPr>
          <w:vertAlign w:val="superscript"/>
        </w:rPr>
        <w:t>]</w:t>
      </w:r>
      <w:r>
        <w:t xml:space="preserve"> An aliquot of the protonated form of the resin was combined with 0.01M hydrochloric acid and titrated with standardized </w:t>
      </w:r>
      <w:proofErr w:type="spellStart"/>
      <w:r>
        <w:t>NaOH</w:t>
      </w:r>
      <w:proofErr w:type="spellEnd"/>
      <w:r>
        <w:t xml:space="preserve"> (0.099293M). The titration was carried out by small </w:t>
      </w:r>
      <w:r w:rsidR="00F15A8E">
        <w:t>incremental</w:t>
      </w:r>
      <w:r w:rsidR="00767A34">
        <w:t xml:space="preserve"> </w:t>
      </w:r>
      <w:r>
        <w:t xml:space="preserve">additions from a 10 mL burette. After each addition of base, the pH was recorded after a stable period of response, which was achieved within 5 </w:t>
      </w:r>
      <w:r w:rsidR="002E258D">
        <w:t xml:space="preserve">to 10 </w:t>
      </w:r>
      <w:r>
        <w:t xml:space="preserve">minutes. The electrode used was a </w:t>
      </w:r>
      <w:proofErr w:type="spellStart"/>
      <w:r>
        <w:t>Mettler</w:t>
      </w:r>
      <w:proofErr w:type="spellEnd"/>
      <w:r>
        <w:t xml:space="preserve"> Toledo triple junction glass electrode with 3M </w:t>
      </w:r>
      <w:proofErr w:type="spellStart"/>
      <w:r>
        <w:t>NaCl</w:t>
      </w:r>
      <w:proofErr w:type="spellEnd"/>
      <w:r>
        <w:t xml:space="preserve"> as the filling solution. The experimental and titration solutions contained sufficient </w:t>
      </w:r>
      <w:proofErr w:type="spellStart"/>
      <w:r>
        <w:t>NaCl</w:t>
      </w:r>
      <w:proofErr w:type="spellEnd"/>
      <w:r>
        <w:t xml:space="preserve"> to bring the ionic strength </w:t>
      </w:r>
      <w:r>
        <w:lastRenderedPageBreak/>
        <w:t>to 1 M and the temperature was maintained at 21 °C.</w:t>
      </w:r>
      <w:r w:rsidR="002E258D">
        <w:t xml:space="preserve"> The potentiometric titrations were performed in triplicate in a static fashion.</w:t>
      </w:r>
    </w:p>
    <w:p w14:paraId="3A679D7E" w14:textId="1852EC08" w:rsidR="002E258D" w:rsidRDefault="002E258D" w:rsidP="00F15A8E">
      <w:pPr>
        <w:ind w:firstLine="720"/>
      </w:pPr>
      <w:r>
        <w:t>The concentration of proton exchange groups on the silica material was determined by contacting an aliquot of the sodium form of the resin (disodium ethyl/butyl phosphonate silica)</w:t>
      </w:r>
      <w:r w:rsidR="00DF1749">
        <w:t xml:space="preserve"> with 0.01M hydrochloric acid until thermodynamic equilibrium was reached (24 hours). The concentration was then determined by the difference in proton concentration per mass of resin. This was also performed in triplicate.</w:t>
      </w:r>
    </w:p>
    <w:p w14:paraId="32BC3FAD" w14:textId="52017D47" w:rsidR="002E258D" w:rsidRDefault="002E258D" w:rsidP="002E258D">
      <w:pPr>
        <w:ind w:firstLine="720"/>
      </w:pPr>
      <w:r>
        <w:t>The potentiometric curves produced were fitted using PSEQUAD</w:t>
      </w:r>
      <w:proofErr w:type="gramStart"/>
      <w:r>
        <w:t>.</w:t>
      </w:r>
      <w:r w:rsidR="00047C0F" w:rsidRPr="00047C0F">
        <w:rPr>
          <w:vertAlign w:val="superscript"/>
        </w:rPr>
        <w:t>[</w:t>
      </w:r>
      <w:proofErr w:type="gramEnd"/>
      <w:r w:rsidR="00C72B93">
        <w:rPr>
          <w:vertAlign w:val="superscript"/>
        </w:rPr>
        <w:t>34</w:t>
      </w:r>
      <w:r w:rsidR="00047C0F" w:rsidRPr="00047C0F">
        <w:rPr>
          <w:vertAlign w:val="superscript"/>
        </w:rPr>
        <w:t>]</w:t>
      </w:r>
      <w:r>
        <w:t xml:space="preserve"> PSEQUAD is a comprehensive program for the evaluation of potentiometric and/or spectrophotometric equilibrium data using analytical derivatives. The calculation of the unknown free concentrations of components is based on the standard Newton-Raphson procedure by minimizing the difference between calculated and experimental data points for a given number of species affecting free proton in solution. The Gauss-Newton method is used for the refinement of these parameters</w:t>
      </w:r>
      <w:proofErr w:type="gramStart"/>
      <w:r>
        <w:t>.</w:t>
      </w:r>
      <w:r w:rsidRPr="008831BD">
        <w:rPr>
          <w:vertAlign w:val="superscript"/>
        </w:rPr>
        <w:t>[</w:t>
      </w:r>
      <w:proofErr w:type="gramEnd"/>
      <w:r w:rsidR="00047C0F">
        <w:rPr>
          <w:vertAlign w:val="superscript"/>
        </w:rPr>
        <w:t>3</w:t>
      </w:r>
      <w:r w:rsidR="00C72B93">
        <w:rPr>
          <w:vertAlign w:val="superscript"/>
        </w:rPr>
        <w:t>5</w:t>
      </w:r>
      <w:r w:rsidRPr="008831BD">
        <w:rPr>
          <w:vertAlign w:val="superscript"/>
        </w:rPr>
        <w:t>]</w:t>
      </w:r>
      <w:r>
        <w:t xml:space="preserve"> This makes the program capable of fitting polyelectrolytes and solid-liquid systems including metal ion precipitation.</w:t>
      </w:r>
    </w:p>
    <w:p w14:paraId="567906E6" w14:textId="77777777" w:rsidR="00197E74" w:rsidRDefault="00A11EF2" w:rsidP="00A11EF2">
      <w:pPr>
        <w:pStyle w:val="Heading2"/>
      </w:pPr>
      <w:r>
        <w:t>Metal loading experiments as a function of pH and metal concentration</w:t>
      </w:r>
    </w:p>
    <w:p w14:paraId="7C0A7E6B" w14:textId="6719A644" w:rsidR="00A11EF2" w:rsidRDefault="00A11EF2" w:rsidP="00A16389">
      <w:pPr>
        <w:pStyle w:val="Newparagraph"/>
      </w:pPr>
      <w:r>
        <w:t>A</w:t>
      </w:r>
      <w:r w:rsidR="00DF1749">
        <w:t xml:space="preserve">n aliquot </w:t>
      </w:r>
      <w:r>
        <w:t>of wet settled resin</w:t>
      </w:r>
      <w:r w:rsidR="00DF1749">
        <w:t xml:space="preserve"> (1.6 mL)</w:t>
      </w:r>
      <w:r>
        <w:t xml:space="preserve"> was contacted with a known volume of solution containing Co and Ni </w:t>
      </w:r>
      <w:r w:rsidR="00DF1749">
        <w:t xml:space="preserve">set at an initial </w:t>
      </w:r>
      <w:r>
        <w:t>pH and shaken on a m</w:t>
      </w:r>
      <w:r w:rsidR="00D80028">
        <w:t xml:space="preserve">echanical shaker for 24 hours. </w:t>
      </w:r>
      <w:r w:rsidR="00B024C7">
        <w:t>The ratio of Co and Ni was kept constant at 1:1</w:t>
      </w:r>
      <w:r w:rsidR="00C61F2B">
        <w:t xml:space="preserve"> and t</w:t>
      </w:r>
      <w:r>
        <w:t xml:space="preserve">he pH was </w:t>
      </w:r>
      <w:r w:rsidR="00DF1749">
        <w:t xml:space="preserve">initially set </w:t>
      </w:r>
      <w:r>
        <w:t>using dilute solutions of hydrochloric acid</w:t>
      </w:r>
      <w:r w:rsidR="0003735C">
        <w:t>, however, no attempt was made to control the pH during the experiment</w:t>
      </w:r>
      <w:r>
        <w:t xml:space="preserve">. The solid was allowed to settle under gravity, which usually took </w:t>
      </w:r>
      <w:r w:rsidR="005C7BDA">
        <w:t>one</w:t>
      </w:r>
      <w:r>
        <w:t xml:space="preserve"> minute or less</w:t>
      </w:r>
      <w:r w:rsidR="00C61F2B">
        <w:t>, a</w:t>
      </w:r>
      <w:r>
        <w:t>fter which time the solution pH was measured and an aliquot of the solution taken for elemental analysis.</w:t>
      </w:r>
    </w:p>
    <w:p w14:paraId="39A0B90C" w14:textId="77777777" w:rsidR="00A11EF2" w:rsidRDefault="005E5B0C" w:rsidP="00A11EF2">
      <w:pPr>
        <w:ind w:firstLine="720"/>
      </w:pPr>
      <w:r>
        <w:lastRenderedPageBreak/>
        <w:t xml:space="preserve">Extraction efficiency and </w:t>
      </w:r>
      <w:r w:rsidR="00A11EF2">
        <w:t xml:space="preserve">distribution ratio, </w:t>
      </w:r>
      <w:proofErr w:type="spellStart"/>
      <w:proofErr w:type="gramStart"/>
      <w:r w:rsidR="00A11EF2">
        <w:rPr>
          <w:i/>
        </w:rPr>
        <w:t>K</w:t>
      </w:r>
      <w:r w:rsidR="00A11EF2" w:rsidRPr="00CF58D7">
        <w:rPr>
          <w:i/>
          <w:vertAlign w:val="subscript"/>
        </w:rPr>
        <w:t>d</w:t>
      </w:r>
      <w:proofErr w:type="spellEnd"/>
      <w:proofErr w:type="gramEnd"/>
      <w:r w:rsidR="00A11EF2">
        <w:t>, w</w:t>
      </w:r>
      <w:r>
        <w:t xml:space="preserve">ere </w:t>
      </w:r>
      <w:r w:rsidR="00A11EF2">
        <w:t>calculated as follows:</w:t>
      </w:r>
    </w:p>
    <w:p w14:paraId="77380811" w14:textId="4F19C869" w:rsidR="00FE7D5D" w:rsidRDefault="00FE7D5D" w:rsidP="00A11EF2">
      <w:pPr>
        <w:ind w:firstLine="720"/>
      </w:pPr>
      <w:r>
        <w:rPr>
          <w:noProof/>
        </w:rPr>
        <w:drawing>
          <wp:inline distT="0" distB="0" distL="0" distR="0" wp14:anchorId="691403B8" wp14:editId="3FDF9FC8">
            <wp:extent cx="1925955" cy="503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ation 1.tif"/>
                    <pic:cNvPicPr/>
                  </pic:nvPicPr>
                  <pic:blipFill>
                    <a:blip r:embed="rId10">
                      <a:extLst>
                        <a:ext uri="{28A0092B-C50C-407E-A947-70E740481C1C}">
                          <a14:useLocalDpi xmlns:a14="http://schemas.microsoft.com/office/drawing/2010/main" val="0"/>
                        </a:ext>
                      </a:extLst>
                    </a:blip>
                    <a:stretch>
                      <a:fillRect/>
                    </a:stretch>
                  </pic:blipFill>
                  <pic:spPr>
                    <a:xfrm>
                      <a:off x="0" y="0"/>
                      <a:ext cx="1925955" cy="503555"/>
                    </a:xfrm>
                    <a:prstGeom prst="rect">
                      <a:avLst/>
                    </a:prstGeom>
                  </pic:spPr>
                </pic:pic>
              </a:graphicData>
            </a:graphic>
          </wp:inline>
        </w:drawing>
      </w:r>
      <w:r>
        <w:tab/>
      </w:r>
      <w:r>
        <w:tab/>
      </w:r>
      <w:r w:rsidR="008F4A96">
        <w:tab/>
      </w:r>
      <w:r w:rsidR="008F4A96">
        <w:tab/>
      </w:r>
      <w:r>
        <w:t>(1)</w:t>
      </w:r>
    </w:p>
    <w:p w14:paraId="074A6DD0" w14:textId="4FA144E5" w:rsidR="005E5B0C" w:rsidRPr="005E5B0C" w:rsidRDefault="00FE7D5D" w:rsidP="00FE7D5D">
      <w:pPr>
        <w:ind w:firstLine="720"/>
      </w:pPr>
      <w:r>
        <w:rPr>
          <w:noProof/>
        </w:rPr>
        <w:drawing>
          <wp:inline distT="0" distB="0" distL="0" distR="0" wp14:anchorId="4C2C9C8A" wp14:editId="642FC1DB">
            <wp:extent cx="1633728" cy="5120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tion 2.tif"/>
                    <pic:cNvPicPr/>
                  </pic:nvPicPr>
                  <pic:blipFill>
                    <a:blip r:embed="rId11">
                      <a:extLst>
                        <a:ext uri="{28A0092B-C50C-407E-A947-70E740481C1C}">
                          <a14:useLocalDpi xmlns:a14="http://schemas.microsoft.com/office/drawing/2010/main" val="0"/>
                        </a:ext>
                      </a:extLst>
                    </a:blip>
                    <a:stretch>
                      <a:fillRect/>
                    </a:stretch>
                  </pic:blipFill>
                  <pic:spPr>
                    <a:xfrm>
                      <a:off x="0" y="0"/>
                      <a:ext cx="1633728" cy="512064"/>
                    </a:xfrm>
                    <a:prstGeom prst="rect">
                      <a:avLst/>
                    </a:prstGeom>
                  </pic:spPr>
                </pic:pic>
              </a:graphicData>
            </a:graphic>
          </wp:inline>
        </w:drawing>
      </w:r>
      <w:r>
        <w:tab/>
      </w:r>
      <w:r>
        <w:tab/>
      </w:r>
      <w:r>
        <w:tab/>
      </w:r>
      <w:r w:rsidR="008F4A96">
        <w:tab/>
      </w:r>
      <w:r w:rsidR="008F4A96">
        <w:tab/>
      </w:r>
      <w:r>
        <w:t>(2)</w:t>
      </w:r>
    </w:p>
    <w:p w14:paraId="4D636D40" w14:textId="04D6F256" w:rsidR="00A11EF2" w:rsidRDefault="00A11EF2" w:rsidP="00A16389">
      <w:r>
        <w:t xml:space="preserve">Where </w:t>
      </w:r>
      <w:r>
        <w:rPr>
          <w:i/>
        </w:rPr>
        <w:t>c</w:t>
      </w:r>
      <w:r w:rsidR="005E5B0C">
        <w:rPr>
          <w:i/>
          <w:vertAlign w:val="subscript"/>
        </w:rPr>
        <w:t>0</w:t>
      </w:r>
      <w:r>
        <w:rPr>
          <w:i/>
        </w:rPr>
        <w:t xml:space="preserve"> </w:t>
      </w:r>
      <w:r w:rsidRPr="00BD7E1F">
        <w:t>and</w:t>
      </w:r>
      <w:r>
        <w:rPr>
          <w:i/>
        </w:rPr>
        <w:t xml:space="preserve"> </w:t>
      </w:r>
      <w:proofErr w:type="spellStart"/>
      <w:r>
        <w:rPr>
          <w:i/>
        </w:rPr>
        <w:t>c</w:t>
      </w:r>
      <w:r w:rsidR="005E5B0C">
        <w:rPr>
          <w:i/>
          <w:vertAlign w:val="subscript"/>
        </w:rPr>
        <w:t>f</w:t>
      </w:r>
      <w:proofErr w:type="spellEnd"/>
      <w:r>
        <w:t xml:space="preserve"> denote the </w:t>
      </w:r>
      <w:r w:rsidR="005E5B0C">
        <w:t xml:space="preserve">initial (pre-contact) and final (post contact) metal </w:t>
      </w:r>
      <w:r>
        <w:t>concentration</w:t>
      </w:r>
      <w:r w:rsidR="005E5B0C">
        <w:t xml:space="preserve">s, respectively, </w:t>
      </w:r>
      <w:r>
        <w:rPr>
          <w:i/>
        </w:rPr>
        <w:t>V</w:t>
      </w:r>
      <w:r w:rsidR="005E5B0C">
        <w:rPr>
          <w:i/>
        </w:rPr>
        <w:t xml:space="preserve"> </w:t>
      </w:r>
      <w:r w:rsidR="005E5B0C">
        <w:t xml:space="preserve">represents </w:t>
      </w:r>
      <w:r>
        <w:t xml:space="preserve">the volume of solution in contact with the resin and </w:t>
      </w:r>
      <w:r>
        <w:rPr>
          <w:i/>
        </w:rPr>
        <w:t>m</w:t>
      </w:r>
      <w:r w:rsidR="005E5B0C">
        <w:rPr>
          <w:i/>
        </w:rPr>
        <w:t xml:space="preserve"> </w:t>
      </w:r>
      <w:r w:rsidR="005E5B0C">
        <w:t xml:space="preserve">is </w:t>
      </w:r>
      <w:r>
        <w:t xml:space="preserve">the mass of resin. The mass of resin was calculated by converting the volume of wet settled resin using the experimentally </w:t>
      </w:r>
      <w:r w:rsidR="00F15A8E">
        <w:t xml:space="preserve">determined </w:t>
      </w:r>
      <w:r>
        <w:t xml:space="preserve">resin densities for each </w:t>
      </w:r>
      <w:r w:rsidR="00F72F27">
        <w:t xml:space="preserve">preconditioned </w:t>
      </w:r>
      <w:r>
        <w:t>material; 0.498 g mL</w:t>
      </w:r>
      <w:r>
        <w:rPr>
          <w:vertAlign w:val="superscript"/>
        </w:rPr>
        <w:t>-1</w:t>
      </w:r>
      <w:r>
        <w:t xml:space="preserve"> and 0.378 g mL</w:t>
      </w:r>
      <w:r>
        <w:rPr>
          <w:vertAlign w:val="superscript"/>
        </w:rPr>
        <w:t>-1</w:t>
      </w:r>
      <w:r>
        <w:t xml:space="preserve"> for H-EBP-Si and S950 respectively.</w:t>
      </w:r>
    </w:p>
    <w:p w14:paraId="7A62FBED" w14:textId="5E0C661A" w:rsidR="00B024C7" w:rsidRDefault="00B024C7" w:rsidP="00A11EF2">
      <w:pPr>
        <w:ind w:firstLine="720"/>
      </w:pPr>
      <w:r>
        <w:t xml:space="preserve">The effect of metal concentration (isotherm experiments) was determined in a similar manner to that described above, except that the pH value was </w:t>
      </w:r>
      <w:r w:rsidR="004A6B90">
        <w:t>set at an initial value</w:t>
      </w:r>
      <w:r>
        <w:t xml:space="preserve"> and the amount of metal added was varied. As before the ratio of cobalt to nickel was constant at 1:1.</w:t>
      </w:r>
    </w:p>
    <w:p w14:paraId="42679E78" w14:textId="77777777" w:rsidR="00A11EF2" w:rsidRDefault="00A11EF2" w:rsidP="00A11EF2">
      <w:pPr>
        <w:pStyle w:val="Heading2"/>
      </w:pPr>
      <w:r>
        <w:t>Static kinetic tests</w:t>
      </w:r>
    </w:p>
    <w:p w14:paraId="1C3746AD" w14:textId="251D4305" w:rsidR="00A11EF2" w:rsidRPr="00AD5F52" w:rsidRDefault="00A11EF2" w:rsidP="00A16389">
      <w:pPr>
        <w:pStyle w:val="Newparagraph"/>
      </w:pPr>
      <w:r>
        <w:t>The kinetics of uptake were determined by contacting a</w:t>
      </w:r>
      <w:r w:rsidR="00DF1749">
        <w:t xml:space="preserve">n aliquot </w:t>
      </w:r>
      <w:r>
        <w:t>of wet settled resin</w:t>
      </w:r>
      <w:r w:rsidR="00DF1749">
        <w:t xml:space="preserve"> (1.6 mL)</w:t>
      </w:r>
      <w:r>
        <w:t xml:space="preserve"> with a solution containing Co and Ni </w:t>
      </w:r>
      <w:r w:rsidR="0003735C">
        <w:t xml:space="preserve">set </w:t>
      </w:r>
      <w:r>
        <w:t>at a</w:t>
      </w:r>
      <w:r w:rsidR="0003735C">
        <w:t xml:space="preserve">n </w:t>
      </w:r>
      <w:proofErr w:type="spellStart"/>
      <w:r w:rsidR="0003735C">
        <w:t>initial</w:t>
      </w:r>
      <w:r>
        <w:t>pH</w:t>
      </w:r>
      <w:proofErr w:type="spellEnd"/>
      <w:r>
        <w:t xml:space="preserve"> and shaken on a mechanical shaker</w:t>
      </w:r>
      <w:r w:rsidR="004A6B90">
        <w:t xml:space="preserve"> for</w:t>
      </w:r>
      <w:r w:rsidR="00C61F2B">
        <w:t xml:space="preserve"> up to 1 week</w:t>
      </w:r>
      <w:r>
        <w:t xml:space="preserve">. The solid to solution ratio was such that aliquots removed for analysis were less than 10% of the solution volume to avoid dilution effects. Samples were removed </w:t>
      </w:r>
      <w:r w:rsidR="00B024C7">
        <w:t xml:space="preserve">and analysed </w:t>
      </w:r>
      <w:r>
        <w:t>at various time intervals over the course of a week using a similar procedure to the one described above.</w:t>
      </w:r>
    </w:p>
    <w:p w14:paraId="0F9F0F9A" w14:textId="77777777" w:rsidR="00A11EF2" w:rsidRPr="00A11EF2" w:rsidRDefault="00A11EF2" w:rsidP="00A11EF2">
      <w:pPr>
        <w:pStyle w:val="Paragraph"/>
      </w:pPr>
    </w:p>
    <w:p w14:paraId="642635A0" w14:textId="77777777" w:rsidR="007E1A0A" w:rsidRDefault="007E1A0A" w:rsidP="00106DAF">
      <w:pPr>
        <w:pStyle w:val="Heading1"/>
      </w:pPr>
      <w:r>
        <w:lastRenderedPageBreak/>
        <w:t>Results and Discussion</w:t>
      </w:r>
    </w:p>
    <w:p w14:paraId="40F85025" w14:textId="4E433DDF" w:rsidR="00967453" w:rsidRDefault="007D34FA" w:rsidP="00967453">
      <w:pPr>
        <w:pStyle w:val="Heading2"/>
      </w:pPr>
      <w:r>
        <w:t>Determination of acid dissociation constants</w:t>
      </w:r>
    </w:p>
    <w:p w14:paraId="2830D5AA" w14:textId="437CD5C3" w:rsidR="002F454B" w:rsidRDefault="007D34FA" w:rsidP="00FE2FF9">
      <w:pPr>
        <w:pStyle w:val="Newparagraph"/>
      </w:pPr>
      <w:r>
        <w:t xml:space="preserve">The averaged triplicate titration curve for EBP-Si at 1M </w:t>
      </w:r>
      <w:proofErr w:type="spellStart"/>
      <w:r>
        <w:t>NaCl</w:t>
      </w:r>
      <w:proofErr w:type="spellEnd"/>
      <w:r>
        <w:t xml:space="preserve"> ionic strength is shown in Figure 2</w:t>
      </w:r>
      <w:r w:rsidR="00180D07">
        <w:t xml:space="preserve"> and the values for the proton dissociation constants fit using P</w:t>
      </w:r>
      <w:r w:rsidR="00EC3569">
        <w:t>S</w:t>
      </w:r>
      <w:r w:rsidR="00180D07">
        <w:t>EQUAD are presented in Table 1.</w:t>
      </w:r>
      <w:r w:rsidR="002F454B">
        <w:t xml:space="preserve"> Best fit of the titration data was carried out by incorporating 3 protonated species on the surface of the resin with a total acid concentration of 0.0269M in a volume of 25.00 mL and total proton exchange capacity determined at 0.00195 M.</w:t>
      </w:r>
    </w:p>
    <w:p w14:paraId="064092FD" w14:textId="009FE5C8" w:rsidR="005D31A7" w:rsidRDefault="005D31A7" w:rsidP="00FE2FF9">
      <w:pPr>
        <w:pStyle w:val="Newparagraph"/>
      </w:pPr>
      <w:r>
        <w:rPr>
          <w:noProof/>
        </w:rPr>
        <w:drawing>
          <wp:inline distT="0" distB="0" distL="0" distR="0" wp14:anchorId="113ED8F0" wp14:editId="41F9504C">
            <wp:extent cx="3898800" cy="2638800"/>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3898800" cy="2638800"/>
                    </a:xfrm>
                    <a:prstGeom prst="rect">
                      <a:avLst/>
                    </a:prstGeom>
                  </pic:spPr>
                </pic:pic>
              </a:graphicData>
            </a:graphic>
          </wp:inline>
        </w:drawing>
      </w:r>
    </w:p>
    <w:p w14:paraId="00713555" w14:textId="77777777" w:rsidR="005D31A7" w:rsidRDefault="005D31A7" w:rsidP="005D31A7">
      <w:r>
        <w:t>Figure 2. Potentiometric titration of EBP-Si at 21 °C and I = 1M (</w:t>
      </w:r>
      <w:proofErr w:type="spellStart"/>
      <w:r>
        <w:t>NaCl</w:t>
      </w:r>
      <w:proofErr w:type="spellEnd"/>
      <w:r>
        <w:t>). Diamonds = experimental data points. PSEQUAD program fits are shown by black lines: solid line = 3 pK</w:t>
      </w:r>
      <w:r w:rsidRPr="008671E6">
        <w:rPr>
          <w:vertAlign w:val="subscript"/>
        </w:rPr>
        <w:t>a</w:t>
      </w:r>
      <w:r>
        <w:t xml:space="preserve"> fit, dashed line = 2 pK</w:t>
      </w:r>
      <w:r w:rsidRPr="008671E6">
        <w:rPr>
          <w:vertAlign w:val="subscript"/>
        </w:rPr>
        <w:t>a</w:t>
      </w:r>
      <w:r>
        <w:t xml:space="preserve"> fit, dotted line = 1 pK</w:t>
      </w:r>
      <w:r w:rsidRPr="008671E6">
        <w:rPr>
          <w:vertAlign w:val="subscript"/>
        </w:rPr>
        <w:t>a</w:t>
      </w:r>
      <w:r>
        <w:t xml:space="preserve"> fit.</w:t>
      </w:r>
    </w:p>
    <w:p w14:paraId="2E885487" w14:textId="77777777" w:rsidR="00AB3548" w:rsidRDefault="00AB3548" w:rsidP="0082231C">
      <w:pPr>
        <w:pStyle w:val="Newparagraph"/>
      </w:pPr>
    </w:p>
    <w:p w14:paraId="21BC8211" w14:textId="77777777" w:rsidR="0082231C" w:rsidRDefault="0082231C" w:rsidP="0082231C">
      <w:pPr>
        <w:pStyle w:val="Newparagraph"/>
      </w:pPr>
      <w:r>
        <w:t>A titration model considering a singly charged protonated species, HL, present on the resin surface and the presence of two species, HL and H</w:t>
      </w:r>
      <w:r w:rsidRPr="002F454B">
        <w:rPr>
          <w:vertAlign w:val="subscript"/>
        </w:rPr>
        <w:t>2</w:t>
      </w:r>
      <w:r>
        <w:t>L, resulted in overall poor fitting of the potentiometric titration curve by over predicting free proton in solution. The best fit was obtained by including 3 protonation species into the titration curve, resulting in 2 pK</w:t>
      </w:r>
      <w:r w:rsidRPr="002F454B">
        <w:rPr>
          <w:vertAlign w:val="subscript"/>
        </w:rPr>
        <w:t>a</w:t>
      </w:r>
      <w:r>
        <w:t xml:space="preserve"> values that are very close to each other at 6.46 (</w:t>
      </w:r>
      <w:r>
        <w:rPr>
          <w:rFonts w:ascii="Calibri" w:hAnsi="Calibri" w:cs="Calibri"/>
        </w:rPr>
        <w:t>±</w:t>
      </w:r>
      <w:r>
        <w:t xml:space="preserve"> 0.03) and </w:t>
      </w:r>
      <w:r>
        <w:lastRenderedPageBreak/>
        <w:t>6.38 (</w:t>
      </w:r>
      <w:r>
        <w:rPr>
          <w:rFonts w:ascii="Calibri" w:hAnsi="Calibri" w:cs="Calibri"/>
        </w:rPr>
        <w:t>±</w:t>
      </w:r>
      <w:r>
        <w:t xml:space="preserve"> 0.06) and a more acidic pK</w:t>
      </w:r>
      <w:r w:rsidRPr="002F454B">
        <w:rPr>
          <w:vertAlign w:val="subscript"/>
        </w:rPr>
        <w:t>a</w:t>
      </w:r>
      <w:r>
        <w:t xml:space="preserve"> at 4.22 (</w:t>
      </w:r>
      <w:r>
        <w:rPr>
          <w:rFonts w:ascii="Calibri" w:hAnsi="Calibri" w:cs="Calibri"/>
        </w:rPr>
        <w:t xml:space="preserve">± </w:t>
      </w:r>
      <w:r>
        <w:t>0.04). Incorporation of HL</w:t>
      </w:r>
      <w:r w:rsidRPr="002F454B">
        <w:rPr>
          <w:vertAlign w:val="subscript"/>
        </w:rPr>
        <w:t>2</w:t>
      </w:r>
      <w:r>
        <w:t xml:space="preserve"> and H</w:t>
      </w:r>
      <w:r w:rsidRPr="002F454B">
        <w:rPr>
          <w:vertAlign w:val="subscript"/>
        </w:rPr>
        <w:t>2</w:t>
      </w:r>
      <w:r>
        <w:t>L</w:t>
      </w:r>
      <w:r w:rsidRPr="002F454B">
        <w:rPr>
          <w:vertAlign w:val="subscript"/>
        </w:rPr>
        <w:t>2</w:t>
      </w:r>
      <w:r>
        <w:t xml:space="preserve"> was also tested but produced significantly poorer fits. Additionally, a model using four pK</w:t>
      </w:r>
      <w:r w:rsidRPr="002F454B">
        <w:rPr>
          <w:vertAlign w:val="subscript"/>
        </w:rPr>
        <w:t>a</w:t>
      </w:r>
      <w:r>
        <w:rPr>
          <w:vertAlign w:val="subscript"/>
        </w:rPr>
        <w:t xml:space="preserve"> </w:t>
      </w:r>
      <w:r>
        <w:t>values was tested and although a reasonable fit was obtained, it led to very high errors in the calculated acid dissociation constants by orders of magnitude and was thus discarded.</w:t>
      </w:r>
    </w:p>
    <w:p w14:paraId="51F1A9E9" w14:textId="77777777" w:rsidR="005D31A7" w:rsidRDefault="005D31A7" w:rsidP="00FE2FF9">
      <w:pPr>
        <w:pStyle w:val="Newparagraph"/>
      </w:pPr>
    </w:p>
    <w:p w14:paraId="2B36AF9C" w14:textId="77777777" w:rsidR="005D31A7" w:rsidRDefault="005D31A7" w:rsidP="005D31A7">
      <w:r>
        <w:t>Table 1. Best fit dissociation constants for EBP-Si at 21 °C and I = 1M (</w:t>
      </w:r>
      <w:proofErr w:type="spellStart"/>
      <w:r>
        <w:t>NaCl</w:t>
      </w:r>
      <w:proofErr w:type="spellEnd"/>
      <w:r>
        <w:t xml:space="preserve">) determined using PSEQUAD. </w:t>
      </w:r>
      <w:r w:rsidRPr="00215A21">
        <w:rPr>
          <w:vertAlign w:val="superscript"/>
        </w:rPr>
        <w:t>[</w:t>
      </w:r>
      <w:r>
        <w:rPr>
          <w:vertAlign w:val="superscript"/>
        </w:rPr>
        <w:t>29</w:t>
      </w:r>
      <w:r w:rsidRPr="00215A21">
        <w:rPr>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696"/>
        <w:gridCol w:w="1843"/>
        <w:gridCol w:w="1701"/>
      </w:tblGrid>
      <w:tr w:rsidR="005D31A7" w:rsidRPr="00694BC3" w14:paraId="635D378C" w14:textId="77777777" w:rsidTr="0041637A">
        <w:trPr>
          <w:trHeight w:val="556"/>
          <w:jc w:val="center"/>
        </w:trPr>
        <w:tc>
          <w:tcPr>
            <w:tcW w:w="1985" w:type="dxa"/>
            <w:tcBorders>
              <w:top w:val="single" w:sz="4" w:space="0" w:color="auto"/>
              <w:bottom w:val="single" w:sz="4" w:space="0" w:color="auto"/>
            </w:tcBorders>
            <w:shd w:val="clear" w:color="auto" w:fill="auto"/>
            <w:vAlign w:val="center"/>
          </w:tcPr>
          <w:p w14:paraId="335BCB0B"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Species</w:t>
            </w:r>
          </w:p>
        </w:tc>
        <w:tc>
          <w:tcPr>
            <w:tcW w:w="1696" w:type="dxa"/>
            <w:tcBorders>
              <w:top w:val="single" w:sz="4" w:space="0" w:color="auto"/>
              <w:bottom w:val="single" w:sz="4" w:space="0" w:color="auto"/>
            </w:tcBorders>
            <w:shd w:val="clear" w:color="auto" w:fill="auto"/>
            <w:vAlign w:val="center"/>
          </w:tcPr>
          <w:p w14:paraId="63892DC0"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MHL notation</w:t>
            </w:r>
          </w:p>
        </w:tc>
        <w:tc>
          <w:tcPr>
            <w:tcW w:w="1843" w:type="dxa"/>
            <w:tcBorders>
              <w:top w:val="single" w:sz="4" w:space="0" w:color="auto"/>
              <w:bottom w:val="single" w:sz="4" w:space="0" w:color="auto"/>
            </w:tcBorders>
            <w:shd w:val="clear" w:color="auto" w:fill="auto"/>
            <w:vAlign w:val="center"/>
          </w:tcPr>
          <w:p w14:paraId="20AD06E7"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log</w:t>
            </w:r>
            <w:r w:rsidRPr="00694BC3">
              <w:rPr>
                <w:rFonts w:ascii="Times New Roman" w:hAnsi="Times New Roman" w:cs="Times New Roman"/>
                <w:sz w:val="24"/>
                <w:vertAlign w:val="subscript"/>
              </w:rPr>
              <w:t>10</w:t>
            </w:r>
            <w:r w:rsidRPr="00694BC3">
              <w:rPr>
                <w:rFonts w:ascii="Times New Roman" w:hAnsi="Times New Roman" w:cs="Times New Roman"/>
                <w:sz w:val="24"/>
              </w:rPr>
              <w:t xml:space="preserve"> β</w:t>
            </w:r>
          </w:p>
        </w:tc>
        <w:tc>
          <w:tcPr>
            <w:tcW w:w="1701" w:type="dxa"/>
            <w:tcBorders>
              <w:top w:val="single" w:sz="4" w:space="0" w:color="auto"/>
              <w:bottom w:val="single" w:sz="4" w:space="0" w:color="auto"/>
            </w:tcBorders>
            <w:shd w:val="clear" w:color="auto" w:fill="auto"/>
            <w:vAlign w:val="center"/>
          </w:tcPr>
          <w:p w14:paraId="28EE91D4"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log</w:t>
            </w:r>
            <w:r w:rsidRPr="00694BC3">
              <w:rPr>
                <w:rFonts w:ascii="Times New Roman" w:hAnsi="Times New Roman" w:cs="Times New Roman"/>
                <w:sz w:val="24"/>
                <w:vertAlign w:val="subscript"/>
              </w:rPr>
              <w:t>10</w:t>
            </w:r>
            <w:r w:rsidRPr="00694BC3">
              <w:rPr>
                <w:rFonts w:ascii="Times New Roman" w:hAnsi="Times New Roman" w:cs="Times New Roman"/>
                <w:sz w:val="24"/>
              </w:rPr>
              <w:t xml:space="preserve"> K</w:t>
            </w:r>
          </w:p>
        </w:tc>
      </w:tr>
      <w:tr w:rsidR="005D31A7" w:rsidRPr="00694BC3" w14:paraId="64092F1A" w14:textId="77777777" w:rsidTr="0041637A">
        <w:trPr>
          <w:trHeight w:val="556"/>
          <w:jc w:val="center"/>
        </w:trPr>
        <w:tc>
          <w:tcPr>
            <w:tcW w:w="1985" w:type="dxa"/>
            <w:tcBorders>
              <w:top w:val="single" w:sz="4" w:space="0" w:color="auto"/>
            </w:tcBorders>
            <w:shd w:val="clear" w:color="auto" w:fill="auto"/>
            <w:vAlign w:val="center"/>
          </w:tcPr>
          <w:p w14:paraId="0A28E548" w14:textId="77777777" w:rsidR="005D31A7" w:rsidRPr="00694BC3" w:rsidRDefault="005D31A7" w:rsidP="0041637A">
            <w:pPr>
              <w:pStyle w:val="NoSpacing"/>
              <w:spacing w:line="480" w:lineRule="auto"/>
              <w:jc w:val="center"/>
              <w:rPr>
                <w:rFonts w:ascii="Times New Roman" w:hAnsi="Times New Roman" w:cs="Times New Roman"/>
                <w:sz w:val="24"/>
                <w:vertAlign w:val="superscript"/>
              </w:rPr>
            </w:pPr>
            <w:r w:rsidRPr="00694BC3">
              <w:rPr>
                <w:rFonts w:ascii="Times New Roman" w:hAnsi="Times New Roman" w:cs="Times New Roman"/>
                <w:sz w:val="24"/>
              </w:rPr>
              <w:t>HL</w:t>
            </w:r>
          </w:p>
        </w:tc>
        <w:tc>
          <w:tcPr>
            <w:tcW w:w="1696" w:type="dxa"/>
            <w:tcBorders>
              <w:top w:val="single" w:sz="4" w:space="0" w:color="auto"/>
            </w:tcBorders>
            <w:shd w:val="clear" w:color="auto" w:fill="auto"/>
            <w:vAlign w:val="center"/>
          </w:tcPr>
          <w:p w14:paraId="5DF0B274"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01</w:t>
            </w:r>
            <w:r>
              <w:rPr>
                <w:rFonts w:ascii="Times New Roman" w:hAnsi="Times New Roman" w:cs="Times New Roman"/>
                <w:sz w:val="24"/>
              </w:rPr>
              <w:t>1</w:t>
            </w:r>
          </w:p>
        </w:tc>
        <w:tc>
          <w:tcPr>
            <w:tcW w:w="1843" w:type="dxa"/>
            <w:tcBorders>
              <w:top w:val="single" w:sz="4" w:space="0" w:color="auto"/>
            </w:tcBorders>
            <w:shd w:val="clear" w:color="auto" w:fill="auto"/>
            <w:vAlign w:val="center"/>
          </w:tcPr>
          <w:p w14:paraId="75FAE7ED" w14:textId="77777777" w:rsidR="005D31A7" w:rsidRPr="00694BC3"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6.46</w:t>
            </w:r>
            <w:r w:rsidRPr="00694BC3">
              <w:rPr>
                <w:rFonts w:ascii="Times New Roman" w:hAnsi="Times New Roman" w:cs="Times New Roman"/>
                <w:sz w:val="24"/>
              </w:rPr>
              <w:t xml:space="preserve"> ± 0.0</w:t>
            </w:r>
            <w:r>
              <w:rPr>
                <w:rFonts w:ascii="Times New Roman" w:hAnsi="Times New Roman" w:cs="Times New Roman"/>
                <w:sz w:val="24"/>
              </w:rPr>
              <w:t>3</w:t>
            </w:r>
          </w:p>
        </w:tc>
        <w:tc>
          <w:tcPr>
            <w:tcW w:w="1701" w:type="dxa"/>
            <w:tcBorders>
              <w:top w:val="single" w:sz="4" w:space="0" w:color="auto"/>
            </w:tcBorders>
            <w:shd w:val="clear" w:color="auto" w:fill="auto"/>
            <w:vAlign w:val="center"/>
          </w:tcPr>
          <w:p w14:paraId="35A05C7E" w14:textId="77777777" w:rsidR="005D31A7" w:rsidRPr="00694BC3" w:rsidRDefault="005D31A7" w:rsidP="0041637A">
            <w:pPr>
              <w:pStyle w:val="NoSpacing"/>
              <w:spacing w:line="480" w:lineRule="auto"/>
              <w:jc w:val="center"/>
              <w:rPr>
                <w:rFonts w:ascii="Times New Roman" w:hAnsi="Times New Roman" w:cs="Times New Roman"/>
                <w:sz w:val="24"/>
              </w:rPr>
            </w:pPr>
          </w:p>
        </w:tc>
      </w:tr>
      <w:tr w:rsidR="005D31A7" w:rsidRPr="00694BC3" w14:paraId="44950FFF" w14:textId="77777777" w:rsidTr="0041637A">
        <w:trPr>
          <w:trHeight w:val="556"/>
          <w:jc w:val="center"/>
        </w:trPr>
        <w:tc>
          <w:tcPr>
            <w:tcW w:w="1985" w:type="dxa"/>
            <w:shd w:val="clear" w:color="auto" w:fill="auto"/>
            <w:vAlign w:val="center"/>
          </w:tcPr>
          <w:p w14:paraId="4F60F6C6" w14:textId="77777777" w:rsidR="005D31A7" w:rsidRPr="00694BC3" w:rsidRDefault="005D31A7" w:rsidP="0041637A">
            <w:pPr>
              <w:pStyle w:val="NoSpacing"/>
              <w:spacing w:line="480" w:lineRule="auto"/>
              <w:jc w:val="center"/>
              <w:rPr>
                <w:rFonts w:ascii="Times New Roman" w:hAnsi="Times New Roman" w:cs="Times New Roman"/>
                <w:sz w:val="24"/>
                <w:vertAlign w:val="superscript"/>
              </w:rPr>
            </w:pPr>
            <w:r w:rsidRPr="00694BC3">
              <w:rPr>
                <w:rFonts w:ascii="Times New Roman" w:hAnsi="Times New Roman" w:cs="Times New Roman"/>
                <w:sz w:val="24"/>
              </w:rPr>
              <w:t>H</w:t>
            </w:r>
            <w:r w:rsidRPr="00694BC3">
              <w:rPr>
                <w:rFonts w:ascii="Times New Roman" w:hAnsi="Times New Roman" w:cs="Times New Roman"/>
                <w:sz w:val="24"/>
                <w:vertAlign w:val="subscript"/>
              </w:rPr>
              <w:t>2</w:t>
            </w:r>
            <w:r w:rsidRPr="00694BC3">
              <w:rPr>
                <w:rFonts w:ascii="Times New Roman" w:hAnsi="Times New Roman" w:cs="Times New Roman"/>
                <w:sz w:val="24"/>
              </w:rPr>
              <w:t>L</w:t>
            </w:r>
          </w:p>
        </w:tc>
        <w:tc>
          <w:tcPr>
            <w:tcW w:w="1696" w:type="dxa"/>
            <w:shd w:val="clear" w:color="auto" w:fill="auto"/>
            <w:vAlign w:val="center"/>
          </w:tcPr>
          <w:p w14:paraId="55E7ED35"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0</w:t>
            </w:r>
            <w:r>
              <w:rPr>
                <w:rFonts w:ascii="Times New Roman" w:hAnsi="Times New Roman" w:cs="Times New Roman"/>
                <w:sz w:val="24"/>
              </w:rPr>
              <w:t>2</w:t>
            </w:r>
            <w:r w:rsidRPr="00694BC3">
              <w:rPr>
                <w:rFonts w:ascii="Times New Roman" w:hAnsi="Times New Roman" w:cs="Times New Roman"/>
                <w:sz w:val="24"/>
              </w:rPr>
              <w:t>1</w:t>
            </w:r>
          </w:p>
        </w:tc>
        <w:tc>
          <w:tcPr>
            <w:tcW w:w="1843" w:type="dxa"/>
            <w:shd w:val="clear" w:color="auto" w:fill="auto"/>
            <w:vAlign w:val="center"/>
          </w:tcPr>
          <w:p w14:paraId="3D83FDF2" w14:textId="77777777" w:rsidR="005D31A7" w:rsidRPr="00694BC3"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 xml:space="preserve">12.84 </w:t>
            </w:r>
            <w:r w:rsidRPr="00694BC3">
              <w:rPr>
                <w:rFonts w:ascii="Times New Roman" w:hAnsi="Times New Roman" w:cs="Times New Roman"/>
                <w:sz w:val="24"/>
              </w:rPr>
              <w:t xml:space="preserve"> ± 0.0</w:t>
            </w:r>
            <w:r>
              <w:rPr>
                <w:rFonts w:ascii="Times New Roman" w:hAnsi="Times New Roman" w:cs="Times New Roman"/>
                <w:sz w:val="24"/>
              </w:rPr>
              <w:t>6</w:t>
            </w:r>
          </w:p>
        </w:tc>
        <w:tc>
          <w:tcPr>
            <w:tcW w:w="1701" w:type="dxa"/>
            <w:shd w:val="clear" w:color="auto" w:fill="auto"/>
            <w:vAlign w:val="center"/>
          </w:tcPr>
          <w:p w14:paraId="0BB1F1C7" w14:textId="77777777" w:rsidR="005D31A7" w:rsidRPr="00694BC3"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6</w:t>
            </w:r>
            <w:r w:rsidRPr="00694BC3">
              <w:rPr>
                <w:rFonts w:ascii="Times New Roman" w:hAnsi="Times New Roman" w:cs="Times New Roman"/>
                <w:sz w:val="24"/>
              </w:rPr>
              <w:t>.</w:t>
            </w:r>
            <w:r>
              <w:rPr>
                <w:rFonts w:ascii="Times New Roman" w:hAnsi="Times New Roman" w:cs="Times New Roman"/>
                <w:sz w:val="24"/>
              </w:rPr>
              <w:t>38</w:t>
            </w:r>
            <w:r w:rsidRPr="00694BC3">
              <w:rPr>
                <w:rFonts w:ascii="Times New Roman" w:hAnsi="Times New Roman" w:cs="Times New Roman"/>
                <w:sz w:val="24"/>
              </w:rPr>
              <w:t xml:space="preserve"> ± 0.0</w:t>
            </w:r>
            <w:r>
              <w:rPr>
                <w:rFonts w:ascii="Times New Roman" w:hAnsi="Times New Roman" w:cs="Times New Roman"/>
                <w:sz w:val="24"/>
              </w:rPr>
              <w:t>6</w:t>
            </w:r>
          </w:p>
        </w:tc>
      </w:tr>
      <w:tr w:rsidR="005D31A7" w:rsidRPr="00694BC3" w14:paraId="254555D9" w14:textId="77777777" w:rsidTr="0041637A">
        <w:trPr>
          <w:trHeight w:val="556"/>
          <w:jc w:val="center"/>
        </w:trPr>
        <w:tc>
          <w:tcPr>
            <w:tcW w:w="1985" w:type="dxa"/>
            <w:tcBorders>
              <w:bottom w:val="single" w:sz="4" w:space="0" w:color="auto"/>
            </w:tcBorders>
            <w:shd w:val="clear" w:color="auto" w:fill="auto"/>
            <w:vAlign w:val="center"/>
          </w:tcPr>
          <w:p w14:paraId="25938606" w14:textId="77777777" w:rsidR="005D31A7" w:rsidRPr="00694BC3" w:rsidRDefault="005D31A7" w:rsidP="0041637A">
            <w:pPr>
              <w:pStyle w:val="NoSpacing"/>
              <w:spacing w:line="480" w:lineRule="auto"/>
              <w:jc w:val="center"/>
              <w:rPr>
                <w:rFonts w:ascii="Times New Roman" w:hAnsi="Times New Roman" w:cs="Times New Roman"/>
                <w:sz w:val="24"/>
                <w:vertAlign w:val="superscript"/>
              </w:rPr>
            </w:pPr>
            <w:r w:rsidRPr="00694BC3">
              <w:rPr>
                <w:rFonts w:ascii="Times New Roman" w:hAnsi="Times New Roman" w:cs="Times New Roman"/>
                <w:sz w:val="24"/>
              </w:rPr>
              <w:t>H</w:t>
            </w:r>
            <w:r w:rsidRPr="00694BC3">
              <w:rPr>
                <w:rFonts w:ascii="Times New Roman" w:hAnsi="Times New Roman" w:cs="Times New Roman"/>
                <w:sz w:val="24"/>
                <w:vertAlign w:val="subscript"/>
              </w:rPr>
              <w:t>3</w:t>
            </w:r>
            <w:r w:rsidRPr="00694BC3">
              <w:rPr>
                <w:rFonts w:ascii="Times New Roman" w:hAnsi="Times New Roman" w:cs="Times New Roman"/>
                <w:sz w:val="24"/>
              </w:rPr>
              <w:t>L</w:t>
            </w:r>
          </w:p>
        </w:tc>
        <w:tc>
          <w:tcPr>
            <w:tcW w:w="1696" w:type="dxa"/>
            <w:tcBorders>
              <w:bottom w:val="single" w:sz="4" w:space="0" w:color="auto"/>
            </w:tcBorders>
            <w:shd w:val="clear" w:color="auto" w:fill="auto"/>
            <w:vAlign w:val="center"/>
          </w:tcPr>
          <w:p w14:paraId="27896C99"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031</w:t>
            </w:r>
          </w:p>
        </w:tc>
        <w:tc>
          <w:tcPr>
            <w:tcW w:w="1843" w:type="dxa"/>
            <w:tcBorders>
              <w:bottom w:val="single" w:sz="4" w:space="0" w:color="auto"/>
            </w:tcBorders>
            <w:shd w:val="clear" w:color="auto" w:fill="auto"/>
            <w:vAlign w:val="center"/>
          </w:tcPr>
          <w:p w14:paraId="5E17E9F2" w14:textId="77777777" w:rsidR="005D31A7" w:rsidRPr="00694BC3"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 xml:space="preserve">17.06 </w:t>
            </w:r>
            <w:r>
              <w:rPr>
                <w:rFonts w:ascii="Calibri" w:hAnsi="Calibri" w:cs="Calibri"/>
                <w:sz w:val="24"/>
              </w:rPr>
              <w:t>±</w:t>
            </w:r>
            <w:r>
              <w:rPr>
                <w:rFonts w:ascii="Times New Roman" w:hAnsi="Times New Roman" w:cs="Times New Roman"/>
                <w:sz w:val="24"/>
              </w:rPr>
              <w:t xml:space="preserve"> 0.04</w:t>
            </w:r>
          </w:p>
        </w:tc>
        <w:tc>
          <w:tcPr>
            <w:tcW w:w="1701" w:type="dxa"/>
            <w:tcBorders>
              <w:bottom w:val="single" w:sz="4" w:space="0" w:color="auto"/>
            </w:tcBorders>
            <w:shd w:val="clear" w:color="auto" w:fill="auto"/>
            <w:vAlign w:val="center"/>
          </w:tcPr>
          <w:p w14:paraId="5676C3E0" w14:textId="77777777" w:rsidR="005D31A7" w:rsidRPr="00694BC3" w:rsidRDefault="005D31A7" w:rsidP="0041637A">
            <w:pPr>
              <w:pStyle w:val="NoSpacing"/>
              <w:spacing w:line="480" w:lineRule="auto"/>
              <w:jc w:val="center"/>
              <w:rPr>
                <w:rFonts w:ascii="Times New Roman" w:hAnsi="Times New Roman" w:cs="Times New Roman"/>
                <w:sz w:val="24"/>
              </w:rPr>
            </w:pPr>
            <w:r w:rsidRPr="00694BC3">
              <w:rPr>
                <w:rFonts w:ascii="Times New Roman" w:hAnsi="Times New Roman" w:cs="Times New Roman"/>
                <w:sz w:val="24"/>
              </w:rPr>
              <w:t>4.</w:t>
            </w:r>
            <w:r>
              <w:rPr>
                <w:rFonts w:ascii="Times New Roman" w:hAnsi="Times New Roman" w:cs="Times New Roman"/>
                <w:sz w:val="24"/>
              </w:rPr>
              <w:t>22</w:t>
            </w:r>
            <w:r w:rsidRPr="00694BC3">
              <w:rPr>
                <w:rFonts w:ascii="Times New Roman" w:hAnsi="Times New Roman" w:cs="Times New Roman"/>
                <w:sz w:val="24"/>
              </w:rPr>
              <w:t xml:space="preserve"> ± 0.04</w:t>
            </w:r>
          </w:p>
        </w:tc>
      </w:tr>
    </w:tbl>
    <w:p w14:paraId="6FFB27C4" w14:textId="77777777" w:rsidR="005D31A7" w:rsidRDefault="005D31A7" w:rsidP="005D31A7">
      <w:pPr>
        <w:spacing w:after="160" w:line="259" w:lineRule="auto"/>
      </w:pPr>
    </w:p>
    <w:p w14:paraId="1E7FEAB0" w14:textId="3A7E6E6E" w:rsidR="004B4F3D" w:rsidRDefault="004B4F3D" w:rsidP="00FE2FF9">
      <w:pPr>
        <w:pStyle w:val="Newparagraph"/>
      </w:pPr>
      <w:r>
        <w:t xml:space="preserve">Phosphonate </w:t>
      </w:r>
      <w:r w:rsidR="007F0F15">
        <w:t>((HO</w:t>
      </w:r>
      <w:proofErr w:type="gramStart"/>
      <w:r w:rsidR="007F0F15">
        <w:t>)</w:t>
      </w:r>
      <w:r w:rsidR="007F0F15" w:rsidRPr="007F0F15">
        <w:rPr>
          <w:vertAlign w:val="subscript"/>
        </w:rPr>
        <w:t>2</w:t>
      </w:r>
      <w:r w:rsidR="007F0F15">
        <w:t>P</w:t>
      </w:r>
      <w:proofErr w:type="gramEnd"/>
      <w:r w:rsidR="007F0F15">
        <w:t xml:space="preserve">(O)H) </w:t>
      </w:r>
      <w:r>
        <w:t>has been reported to have two pK</w:t>
      </w:r>
      <w:r w:rsidRPr="004B4F3D">
        <w:rPr>
          <w:vertAlign w:val="subscript"/>
        </w:rPr>
        <w:t>a</w:t>
      </w:r>
      <w:r>
        <w:t xml:space="preserve"> values at 1.42 and 6.7</w:t>
      </w:r>
      <w:r w:rsidR="00047C0F">
        <w:t>.</w:t>
      </w:r>
      <w:r w:rsidR="00047C0F" w:rsidRPr="00047C0F">
        <w:rPr>
          <w:vertAlign w:val="superscript"/>
        </w:rPr>
        <w:t>[3</w:t>
      </w:r>
      <w:r w:rsidR="00C72B93">
        <w:rPr>
          <w:vertAlign w:val="superscript"/>
        </w:rPr>
        <w:t>6</w:t>
      </w:r>
      <w:r w:rsidR="00047C0F" w:rsidRPr="00047C0F">
        <w:rPr>
          <w:vertAlign w:val="superscript"/>
        </w:rPr>
        <w:t>]</w:t>
      </w:r>
      <w:r>
        <w:t xml:space="preserve"> In our experiments, the pK</w:t>
      </w:r>
      <w:r w:rsidRPr="004B4F3D">
        <w:rPr>
          <w:vertAlign w:val="subscript"/>
        </w:rPr>
        <w:t>a</w:t>
      </w:r>
      <w:r>
        <w:t xml:space="preserve"> determination was carried out at an initial pH value of 2 hence why it was not determined. However, the pK</w:t>
      </w:r>
      <w:r w:rsidRPr="004B4F3D">
        <w:rPr>
          <w:vertAlign w:val="subscript"/>
        </w:rPr>
        <w:t>a</w:t>
      </w:r>
      <w:r>
        <w:t xml:space="preserve"> values at 6.46 and 6.38 are close to the value for phosphonate at 6.7. </w:t>
      </w:r>
      <w:r w:rsidR="007F0F15">
        <w:t>The</w:t>
      </w:r>
      <w:r>
        <w:t xml:space="preserve"> values may be lower as a result of the attachment of the phosphonate group to the silica surface</w:t>
      </w:r>
      <w:r w:rsidR="007F0F15">
        <w:t xml:space="preserve"> as i</w:t>
      </w:r>
      <w:r>
        <w:t>t has been reported that attaching a ligand to a surface lowers the pK</w:t>
      </w:r>
      <w:r w:rsidRPr="004B4F3D">
        <w:rPr>
          <w:vertAlign w:val="subscript"/>
        </w:rPr>
        <w:t>a</w:t>
      </w:r>
      <w:r>
        <w:t xml:space="preserve"> value.</w:t>
      </w:r>
      <w:r w:rsidRPr="0022375B">
        <w:rPr>
          <w:vertAlign w:val="superscript"/>
        </w:rPr>
        <w:t>[</w:t>
      </w:r>
      <w:r w:rsidR="00C72B93">
        <w:rPr>
          <w:vertAlign w:val="superscript"/>
        </w:rPr>
        <w:t>33, 37</w:t>
      </w:r>
      <w:r w:rsidRPr="0022375B">
        <w:rPr>
          <w:vertAlign w:val="superscript"/>
        </w:rPr>
        <w:t>]</w:t>
      </w:r>
      <w:r>
        <w:t xml:space="preserve"> The presence of two pK</w:t>
      </w:r>
      <w:r w:rsidRPr="004B4F3D">
        <w:rPr>
          <w:vertAlign w:val="subscript"/>
        </w:rPr>
        <w:t>a</w:t>
      </w:r>
      <w:r>
        <w:t xml:space="preserve"> values close together implies heterogeneity on the functionalised surface.</w:t>
      </w:r>
      <w:r w:rsidR="007F0F15">
        <w:t xml:space="preserve"> The value at 4.22 may be associated with the </w:t>
      </w:r>
      <w:proofErr w:type="spellStart"/>
      <w:r w:rsidR="007F0F15">
        <w:t>sil</w:t>
      </w:r>
      <w:r w:rsidR="00453489">
        <w:t>anol</w:t>
      </w:r>
      <w:proofErr w:type="spellEnd"/>
      <w:r w:rsidR="00453489">
        <w:t xml:space="preserve"> group of the silica </w:t>
      </w:r>
      <w:r w:rsidR="007F0F15">
        <w:t>surface, which has a reported pK</w:t>
      </w:r>
      <w:r w:rsidR="007F0F15" w:rsidRPr="007F0F15">
        <w:rPr>
          <w:vertAlign w:val="subscript"/>
        </w:rPr>
        <w:t>a</w:t>
      </w:r>
      <w:r w:rsidR="007F0F15">
        <w:t xml:space="preserve"> value of 4.5</w:t>
      </w:r>
      <w:proofErr w:type="gramStart"/>
      <w:r w:rsidR="007F0F15">
        <w:t>.</w:t>
      </w:r>
      <w:r w:rsidR="007F0F15" w:rsidRPr="0022375B">
        <w:rPr>
          <w:vertAlign w:val="superscript"/>
        </w:rPr>
        <w:t>[</w:t>
      </w:r>
      <w:proofErr w:type="gramEnd"/>
      <w:r w:rsidR="00047C0F" w:rsidRPr="0022375B">
        <w:rPr>
          <w:vertAlign w:val="superscript"/>
        </w:rPr>
        <w:t>3</w:t>
      </w:r>
      <w:r w:rsidR="00C72B93">
        <w:rPr>
          <w:vertAlign w:val="superscript"/>
        </w:rPr>
        <w:t>8</w:t>
      </w:r>
      <w:r w:rsidR="007F0F15" w:rsidRPr="0022375B">
        <w:rPr>
          <w:vertAlign w:val="superscript"/>
        </w:rPr>
        <w:t>]</w:t>
      </w:r>
      <w:r w:rsidR="007F0F15">
        <w:t xml:space="preserve"> As before, the </w:t>
      </w:r>
      <w:r w:rsidR="00453489">
        <w:t xml:space="preserve">hydrophobic environment of the functionalised silicate surface leads to the acidification of the </w:t>
      </w:r>
      <w:proofErr w:type="spellStart"/>
      <w:r w:rsidR="00453489">
        <w:t>silanol</w:t>
      </w:r>
      <w:proofErr w:type="spellEnd"/>
      <w:r w:rsidR="00453489">
        <w:t xml:space="preserve"> group pK</w:t>
      </w:r>
      <w:r w:rsidR="00453489" w:rsidRPr="00453489">
        <w:rPr>
          <w:vertAlign w:val="subscript"/>
        </w:rPr>
        <w:t>a</w:t>
      </w:r>
      <w:r w:rsidR="00453489">
        <w:t>.</w:t>
      </w:r>
    </w:p>
    <w:p w14:paraId="28E41B2F" w14:textId="77777777" w:rsidR="005C7BDA" w:rsidRDefault="00BD7E1F" w:rsidP="00425276">
      <w:pPr>
        <w:pStyle w:val="Heading2"/>
      </w:pPr>
      <w:r>
        <w:lastRenderedPageBreak/>
        <w:t>Effect of pH</w:t>
      </w:r>
    </w:p>
    <w:p w14:paraId="636BD3FD" w14:textId="4BF3D7F7" w:rsidR="003E7137" w:rsidRDefault="00BD7E1F" w:rsidP="00BD7E1F">
      <w:pPr>
        <w:pStyle w:val="Newparagraph"/>
      </w:pPr>
      <w:r>
        <w:t xml:space="preserve">The pH was varied from 0 to 5 for H-EBP-Si and 2 to 5 for S950. Experiments were not performed below pH 2 for S950 as it has been reported that uptake </w:t>
      </w:r>
      <w:r w:rsidR="000D7CA2">
        <w:t xml:space="preserve">of divalent cations </w:t>
      </w:r>
      <w:r>
        <w:t xml:space="preserve">is </w:t>
      </w:r>
      <w:r w:rsidR="003E7137">
        <w:t xml:space="preserve">not </w:t>
      </w:r>
      <w:r>
        <w:t>observed below this pH</w:t>
      </w:r>
      <w:proofErr w:type="gramStart"/>
      <w:r w:rsidR="00D80028">
        <w:t>.</w:t>
      </w:r>
      <w:r w:rsidR="00D80028" w:rsidRPr="00D80028">
        <w:rPr>
          <w:vertAlign w:val="superscript"/>
        </w:rPr>
        <w:t>[</w:t>
      </w:r>
      <w:proofErr w:type="gramEnd"/>
      <w:r w:rsidR="00047C0F">
        <w:rPr>
          <w:vertAlign w:val="superscript"/>
        </w:rPr>
        <w:t>4</w:t>
      </w:r>
      <w:r w:rsidR="00D80028" w:rsidRPr="00D80028">
        <w:rPr>
          <w:vertAlign w:val="superscript"/>
        </w:rPr>
        <w:t>]</w:t>
      </w:r>
      <w:r>
        <w:t xml:space="preserve"> Results are shown in </w:t>
      </w:r>
      <w:r w:rsidRPr="00D80028">
        <w:t xml:space="preserve">Figure </w:t>
      </w:r>
      <w:r w:rsidR="00047C0F">
        <w:t>3</w:t>
      </w:r>
      <w:r w:rsidR="003E7137">
        <w:t xml:space="preserve"> and are presented as a function of equilibrium pH</w:t>
      </w:r>
      <w:r w:rsidRPr="00D80028">
        <w:t>.</w:t>
      </w:r>
      <w:r>
        <w:t xml:space="preserve"> </w:t>
      </w:r>
    </w:p>
    <w:p w14:paraId="62602CB0" w14:textId="61769012" w:rsidR="005D31A7" w:rsidRDefault="005D31A7" w:rsidP="00BD7E1F">
      <w:pPr>
        <w:pStyle w:val="Newparagraph"/>
      </w:pPr>
      <w:r>
        <w:rPr>
          <w:noProof/>
        </w:rPr>
        <w:drawing>
          <wp:inline distT="0" distB="0" distL="0" distR="0" wp14:anchorId="1C81DE67" wp14:editId="57D684F7">
            <wp:extent cx="3895200" cy="5274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tif"/>
                    <pic:cNvPicPr/>
                  </pic:nvPicPr>
                  <pic:blipFill>
                    <a:blip r:embed="rId13">
                      <a:extLst>
                        <a:ext uri="{28A0092B-C50C-407E-A947-70E740481C1C}">
                          <a14:useLocalDpi xmlns:a14="http://schemas.microsoft.com/office/drawing/2010/main" val="0"/>
                        </a:ext>
                      </a:extLst>
                    </a:blip>
                    <a:stretch>
                      <a:fillRect/>
                    </a:stretch>
                  </pic:blipFill>
                  <pic:spPr>
                    <a:xfrm>
                      <a:off x="0" y="0"/>
                      <a:ext cx="3895200" cy="5274000"/>
                    </a:xfrm>
                    <a:prstGeom prst="rect">
                      <a:avLst/>
                    </a:prstGeom>
                  </pic:spPr>
                </pic:pic>
              </a:graphicData>
            </a:graphic>
          </wp:inline>
        </w:drawing>
      </w:r>
    </w:p>
    <w:p w14:paraId="251924CA" w14:textId="77777777" w:rsidR="005D31A7" w:rsidRPr="00E405A3" w:rsidRDefault="005D31A7" w:rsidP="005D31A7">
      <w:pPr>
        <w:pStyle w:val="Figurecaption"/>
      </w:pPr>
      <w:r>
        <w:t xml:space="preserve">Figure 3. Percentage metal uptake as a function of pH for cobalt and nickel on (a) EBP-Si and (b) S950 at </w:t>
      </w:r>
      <w:r w:rsidRPr="0056355C">
        <w:t>2</w:t>
      </w:r>
      <w:r>
        <w:t>1</w:t>
      </w:r>
      <w:r w:rsidRPr="0056355C">
        <w:t xml:space="preserve"> °C</w:t>
      </w:r>
      <w:r>
        <w:t xml:space="preserve"> and 24 hr. contact time. Circles = Co</w:t>
      </w:r>
      <w:r>
        <w:rPr>
          <w:vertAlign w:val="superscript"/>
        </w:rPr>
        <w:t>2+</w:t>
      </w:r>
      <w:r>
        <w:t xml:space="preserve"> and triangles = Ni</w:t>
      </w:r>
      <w:r w:rsidRPr="00E40656">
        <w:rPr>
          <w:vertAlign w:val="superscript"/>
        </w:rPr>
        <w:t>2+</w:t>
      </w:r>
      <w:r>
        <w:t>, black solid line = Co</w:t>
      </w:r>
      <w:r>
        <w:rPr>
          <w:vertAlign w:val="superscript"/>
        </w:rPr>
        <w:t>2+</w:t>
      </w:r>
      <w:r>
        <w:t>, black dashed line = Ni</w:t>
      </w:r>
      <w:r>
        <w:rPr>
          <w:vertAlign w:val="superscript"/>
        </w:rPr>
        <w:t>2+</w:t>
      </w:r>
      <w:r>
        <w:t>.</w:t>
      </w:r>
    </w:p>
    <w:p w14:paraId="2D234548" w14:textId="77777777" w:rsidR="005D31A7" w:rsidRDefault="005D31A7" w:rsidP="00BD7E1F">
      <w:pPr>
        <w:pStyle w:val="Newparagraph"/>
      </w:pPr>
    </w:p>
    <w:p w14:paraId="51F3AEAB" w14:textId="2653447E" w:rsidR="00BD7E1F" w:rsidRDefault="003E7137" w:rsidP="00BD7E1F">
      <w:pPr>
        <w:pStyle w:val="Newparagraph"/>
      </w:pPr>
      <w:r>
        <w:lastRenderedPageBreak/>
        <w:t xml:space="preserve">Uptake of both metals by EBP-Si appears to be initially constant at approximately 32% and 17% for </w:t>
      </w:r>
      <w:proofErr w:type="gramStart"/>
      <w:r>
        <w:t>Co(</w:t>
      </w:r>
      <w:proofErr w:type="gramEnd"/>
      <w:r>
        <w:t xml:space="preserve">II) and Ni(II) respectively. At lower acidic pH values it may be expected that extraction of </w:t>
      </w:r>
      <w:proofErr w:type="gramStart"/>
      <w:r>
        <w:t>Co(</w:t>
      </w:r>
      <w:proofErr w:type="gramEnd"/>
      <w:r>
        <w:t xml:space="preserve">II) and Ni(II) decreases as competition for the phosphonate group between the metals and protons increases. </w:t>
      </w:r>
      <w:r w:rsidR="000D1644">
        <w:t xml:space="preserve">Moderate uptake at lower pH values </w:t>
      </w:r>
      <w:r w:rsidR="00526F2A">
        <w:t xml:space="preserve">indicates a surface affinity for </w:t>
      </w:r>
      <w:proofErr w:type="gramStart"/>
      <w:r w:rsidR="00526F2A">
        <w:t>Co(</w:t>
      </w:r>
      <w:proofErr w:type="gramEnd"/>
      <w:r w:rsidR="00526F2A">
        <w:t xml:space="preserve">II) over Ni(II) </w:t>
      </w:r>
      <w:r w:rsidR="00301B25">
        <w:t xml:space="preserve">whereby extraction occurs without the exchange of protons. This is an adsorption process that </w:t>
      </w:r>
      <w:r w:rsidR="000D1644">
        <w:t>may be indicative of an extraction mechanism via adduct formation</w:t>
      </w:r>
      <w:r w:rsidR="00526F2A">
        <w:t xml:space="preserve"> with a neutral metal species</w:t>
      </w:r>
      <w:proofErr w:type="gramStart"/>
      <w:r w:rsidR="00047C0F">
        <w:t>.</w:t>
      </w:r>
      <w:r w:rsidR="00047C0F" w:rsidRPr="0022375B">
        <w:rPr>
          <w:vertAlign w:val="superscript"/>
        </w:rPr>
        <w:t>[</w:t>
      </w:r>
      <w:proofErr w:type="gramEnd"/>
      <w:r w:rsidR="00047C0F" w:rsidRPr="0022375B">
        <w:rPr>
          <w:vertAlign w:val="superscript"/>
        </w:rPr>
        <w:t>3</w:t>
      </w:r>
      <w:r w:rsidR="00C72B93">
        <w:rPr>
          <w:vertAlign w:val="superscript"/>
        </w:rPr>
        <w:t>9</w:t>
      </w:r>
      <w:r w:rsidR="00047C0F" w:rsidRPr="0022375B">
        <w:rPr>
          <w:vertAlign w:val="superscript"/>
        </w:rPr>
        <w:t>]</w:t>
      </w:r>
      <w:r w:rsidR="000D1644">
        <w:t xml:space="preserve"> </w:t>
      </w:r>
      <w:r w:rsidR="00526F2A">
        <w:t>This potential extraction mechanism is further supported by the higher affinity of Co(II) for Cl- in solution over Ni(II).</w:t>
      </w:r>
      <w:r w:rsidR="00526F2A" w:rsidRPr="00301B25">
        <w:rPr>
          <w:vertAlign w:val="superscript"/>
        </w:rPr>
        <w:t>[</w:t>
      </w:r>
      <w:r w:rsidR="00C72B93">
        <w:rPr>
          <w:vertAlign w:val="superscript"/>
        </w:rPr>
        <w:t>40</w:t>
      </w:r>
      <w:r w:rsidR="00526F2A" w:rsidRPr="00301B25">
        <w:rPr>
          <w:vertAlign w:val="superscript"/>
        </w:rPr>
        <w:t>]</w:t>
      </w:r>
      <w:r w:rsidR="00526F2A">
        <w:t xml:space="preserve"> </w:t>
      </w:r>
      <w:r>
        <w:t xml:space="preserve">Above an equilibrium pH value of 0.5, the amount of metal increases linearly as a function of pH until reaching a maximum uptake value, presumably as all metal coordination sites are utilized. </w:t>
      </w:r>
      <w:r w:rsidR="007D0535">
        <w:t xml:space="preserve">A similar experiment was performed with the </w:t>
      </w:r>
      <w:r w:rsidR="00C61F2B">
        <w:t xml:space="preserve">unconditioned </w:t>
      </w:r>
      <w:r w:rsidR="007D0535">
        <w:t xml:space="preserve">disodium form of the resin and the same trend with pH was observed (data not shown). However, overall the amount of cobalt and nickel taken up was </w:t>
      </w:r>
      <w:r w:rsidR="00BF5CE4">
        <w:t xml:space="preserve">slightly </w:t>
      </w:r>
      <w:r w:rsidR="007D0535">
        <w:t>suppressed compared to the protonated resin</w:t>
      </w:r>
      <w:r w:rsidR="00425276">
        <w:t xml:space="preserve"> by an average of approximately 10 – 12%</w:t>
      </w:r>
      <w:r w:rsidR="007D0535">
        <w:t xml:space="preserve">. </w:t>
      </w:r>
      <w:r w:rsidR="00995F91">
        <w:t>This is due to the strength of the sodium adduct when compared directly with the protonated form of the resin functionality</w:t>
      </w:r>
      <w:r w:rsidR="00F57A1A">
        <w:t xml:space="preserve">. </w:t>
      </w:r>
      <w:r>
        <w:t>For S950, uptake increases linearly as a function of pH. As expected, during the course of the experiment, protons were released, resulting in a decrease in pH, as the metals were t</w:t>
      </w:r>
      <w:r w:rsidR="00047C0F">
        <w:t>aken up by both resins. Figure 4</w:t>
      </w:r>
      <w:r>
        <w:t xml:space="preserve"> shows the uptake as a function of the difference in p</w:t>
      </w:r>
      <w:r w:rsidR="001C01B9">
        <w:t xml:space="preserve">roton concentration for EBP-Si. The graph shows that the release of protons corresponds to the uptake of </w:t>
      </w:r>
      <w:proofErr w:type="gramStart"/>
      <w:r w:rsidR="001C01B9">
        <w:t>Co(</w:t>
      </w:r>
      <w:proofErr w:type="gramEnd"/>
      <w:r w:rsidR="001C01B9">
        <w:t xml:space="preserve">II) and Ni(II), which supports the theory that uptake proceeds via an ion exchange mechanism. </w:t>
      </w:r>
      <w:r w:rsidR="00BD7E1F">
        <w:t xml:space="preserve">By taking the gradient of the </w:t>
      </w:r>
      <w:r w:rsidR="000D7CA2">
        <w:t xml:space="preserve">linear section of the </w:t>
      </w:r>
      <w:r w:rsidR="00BD7E1F">
        <w:t>graph, the pH value correspond</w:t>
      </w:r>
      <w:r w:rsidR="007D0535">
        <w:t>ing</w:t>
      </w:r>
      <w:r w:rsidR="00BD7E1F">
        <w:t xml:space="preserve"> to 50% uptake was determined. These values are shown in </w:t>
      </w:r>
      <w:r w:rsidR="00BD7E1F" w:rsidRPr="006F59DB">
        <w:t xml:space="preserve">Table </w:t>
      </w:r>
      <w:r w:rsidR="00047C0F">
        <w:t>2</w:t>
      </w:r>
      <w:r w:rsidR="00BD7E1F" w:rsidRPr="006F59DB">
        <w:t>.</w:t>
      </w:r>
    </w:p>
    <w:p w14:paraId="50A523F0" w14:textId="12C577EF" w:rsidR="005D31A7" w:rsidRDefault="005D31A7" w:rsidP="00BD7E1F">
      <w:pPr>
        <w:pStyle w:val="Newparagraph"/>
      </w:pPr>
      <w:r>
        <w:rPr>
          <w:noProof/>
        </w:rPr>
        <w:lastRenderedPageBreak/>
        <w:drawing>
          <wp:inline distT="0" distB="0" distL="0" distR="0" wp14:anchorId="3C96DA59" wp14:editId="5BB7D9CF">
            <wp:extent cx="3898800" cy="2638800"/>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tif"/>
                    <pic:cNvPicPr/>
                  </pic:nvPicPr>
                  <pic:blipFill>
                    <a:blip r:embed="rId14">
                      <a:extLst>
                        <a:ext uri="{28A0092B-C50C-407E-A947-70E740481C1C}">
                          <a14:useLocalDpi xmlns:a14="http://schemas.microsoft.com/office/drawing/2010/main" val="0"/>
                        </a:ext>
                      </a:extLst>
                    </a:blip>
                    <a:stretch>
                      <a:fillRect/>
                    </a:stretch>
                  </pic:blipFill>
                  <pic:spPr>
                    <a:xfrm>
                      <a:off x="0" y="0"/>
                      <a:ext cx="3898800" cy="2638800"/>
                    </a:xfrm>
                    <a:prstGeom prst="rect">
                      <a:avLst/>
                    </a:prstGeom>
                  </pic:spPr>
                </pic:pic>
              </a:graphicData>
            </a:graphic>
          </wp:inline>
        </w:drawing>
      </w:r>
    </w:p>
    <w:p w14:paraId="5010CB0E" w14:textId="77777777" w:rsidR="005D31A7" w:rsidRDefault="005D31A7" w:rsidP="005D31A7">
      <w:r>
        <w:t>Figure 4. Uptake of cobalt and nickel as a function of difference in proton concentration between initial and equilibrium pH values. Circles = Co</w:t>
      </w:r>
      <w:r w:rsidRPr="00AF1B29">
        <w:rPr>
          <w:vertAlign w:val="superscript"/>
        </w:rPr>
        <w:t>2+</w:t>
      </w:r>
      <w:r>
        <w:t xml:space="preserve"> and triangles = Ni</w:t>
      </w:r>
      <w:r w:rsidRPr="00AF1B29">
        <w:rPr>
          <w:vertAlign w:val="superscript"/>
        </w:rPr>
        <w:t>2+</w:t>
      </w:r>
      <w:r>
        <w:t>.</w:t>
      </w:r>
    </w:p>
    <w:p w14:paraId="58646CD0" w14:textId="77777777" w:rsidR="005D31A7" w:rsidRDefault="005D31A7" w:rsidP="00BD7E1F">
      <w:pPr>
        <w:pStyle w:val="Newparagraph"/>
      </w:pPr>
    </w:p>
    <w:p w14:paraId="06705836" w14:textId="77777777" w:rsidR="005D31A7" w:rsidRPr="00E405A3" w:rsidRDefault="005D31A7" w:rsidP="005D31A7">
      <w:pPr>
        <w:pStyle w:val="References"/>
      </w:pPr>
      <w:r w:rsidRPr="00E405A3">
        <w:t xml:space="preserve">Table </w:t>
      </w:r>
      <w:r>
        <w:t>2</w:t>
      </w:r>
      <w:r w:rsidRPr="00E405A3">
        <w:t xml:space="preserve">. </w:t>
      </w:r>
      <w:r>
        <w:t>Values of pH</w:t>
      </w:r>
      <w:r w:rsidRPr="00933144">
        <w:rPr>
          <w:vertAlign w:val="subscript"/>
        </w:rPr>
        <w:t>50</w:t>
      </w:r>
      <w:r>
        <w:t xml:space="preserve"> and numbers of protons exchanged for cobalt and nickel extraction by EBP-Si and S950 at </w:t>
      </w:r>
      <w:r w:rsidRPr="0056355C">
        <w:t>2</w:t>
      </w:r>
      <w:r>
        <w:t>1</w:t>
      </w:r>
      <w:r w:rsidRPr="0056355C">
        <w:t xml:space="preserve"> °C</w:t>
      </w:r>
      <w:r>
        <w:t xml:space="preserve"> and 24 hr. contact time. Cobalt and nickel concentrations were constant at a ratio of 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17"/>
        <w:gridCol w:w="1417"/>
        <w:gridCol w:w="1417"/>
        <w:gridCol w:w="1417"/>
      </w:tblGrid>
      <w:tr w:rsidR="005D31A7" w:rsidRPr="00933144" w14:paraId="67E13113" w14:textId="77777777" w:rsidTr="0041637A">
        <w:trPr>
          <w:jc w:val="center"/>
        </w:trPr>
        <w:tc>
          <w:tcPr>
            <w:tcW w:w="1701" w:type="dxa"/>
            <w:tcBorders>
              <w:top w:val="single" w:sz="4" w:space="0" w:color="auto"/>
            </w:tcBorders>
          </w:tcPr>
          <w:p w14:paraId="2EDC022B" w14:textId="77777777" w:rsidR="005D31A7" w:rsidRPr="00933144" w:rsidRDefault="005D31A7" w:rsidP="0041637A">
            <w:pPr>
              <w:jc w:val="center"/>
            </w:pPr>
          </w:p>
        </w:tc>
        <w:tc>
          <w:tcPr>
            <w:tcW w:w="2834" w:type="dxa"/>
            <w:gridSpan w:val="2"/>
            <w:tcBorders>
              <w:top w:val="single" w:sz="4" w:space="0" w:color="auto"/>
            </w:tcBorders>
          </w:tcPr>
          <w:p w14:paraId="494BF760" w14:textId="77777777" w:rsidR="005D31A7" w:rsidRPr="00933144" w:rsidRDefault="005D31A7" w:rsidP="0041637A">
            <w:pPr>
              <w:jc w:val="center"/>
            </w:pPr>
            <w:r>
              <w:t>pH</w:t>
            </w:r>
            <w:r w:rsidRPr="00933144">
              <w:rPr>
                <w:vertAlign w:val="subscript"/>
              </w:rPr>
              <w:t>50</w:t>
            </w:r>
          </w:p>
        </w:tc>
        <w:tc>
          <w:tcPr>
            <w:tcW w:w="2834" w:type="dxa"/>
            <w:gridSpan w:val="2"/>
            <w:tcBorders>
              <w:top w:val="single" w:sz="4" w:space="0" w:color="auto"/>
            </w:tcBorders>
          </w:tcPr>
          <w:p w14:paraId="025DE9DB" w14:textId="77777777" w:rsidR="005D31A7" w:rsidRPr="00933144" w:rsidRDefault="005D31A7" w:rsidP="0041637A">
            <w:pPr>
              <w:jc w:val="center"/>
            </w:pPr>
            <w:r>
              <w:t>No. protons exchanged</w:t>
            </w:r>
          </w:p>
        </w:tc>
      </w:tr>
      <w:tr w:rsidR="005D31A7" w:rsidRPr="00933144" w14:paraId="6A2547EC" w14:textId="77777777" w:rsidTr="0041637A">
        <w:trPr>
          <w:jc w:val="center"/>
        </w:trPr>
        <w:tc>
          <w:tcPr>
            <w:tcW w:w="1701" w:type="dxa"/>
            <w:tcBorders>
              <w:bottom w:val="single" w:sz="4" w:space="0" w:color="auto"/>
            </w:tcBorders>
          </w:tcPr>
          <w:p w14:paraId="4524A0C9" w14:textId="77777777" w:rsidR="005D31A7" w:rsidRPr="00933144" w:rsidRDefault="005D31A7" w:rsidP="0041637A">
            <w:pPr>
              <w:jc w:val="center"/>
            </w:pPr>
          </w:p>
        </w:tc>
        <w:tc>
          <w:tcPr>
            <w:tcW w:w="1417" w:type="dxa"/>
            <w:tcBorders>
              <w:bottom w:val="single" w:sz="4" w:space="0" w:color="auto"/>
            </w:tcBorders>
          </w:tcPr>
          <w:p w14:paraId="29392BAB" w14:textId="77777777" w:rsidR="005D31A7" w:rsidRPr="00933144" w:rsidRDefault="005D31A7" w:rsidP="0041637A">
            <w:pPr>
              <w:jc w:val="center"/>
            </w:pPr>
            <w:r>
              <w:t>Co</w:t>
            </w:r>
            <w:r w:rsidRPr="00933144">
              <w:rPr>
                <w:vertAlign w:val="superscript"/>
              </w:rPr>
              <w:t>2+</w:t>
            </w:r>
          </w:p>
        </w:tc>
        <w:tc>
          <w:tcPr>
            <w:tcW w:w="1417" w:type="dxa"/>
            <w:tcBorders>
              <w:bottom w:val="single" w:sz="4" w:space="0" w:color="auto"/>
            </w:tcBorders>
          </w:tcPr>
          <w:p w14:paraId="114D0123" w14:textId="77777777" w:rsidR="005D31A7" w:rsidRPr="00933144" w:rsidRDefault="005D31A7" w:rsidP="0041637A">
            <w:pPr>
              <w:jc w:val="center"/>
            </w:pPr>
            <w:r>
              <w:t>Ni</w:t>
            </w:r>
            <w:r w:rsidRPr="00933144">
              <w:rPr>
                <w:vertAlign w:val="superscript"/>
              </w:rPr>
              <w:t>2+</w:t>
            </w:r>
          </w:p>
        </w:tc>
        <w:tc>
          <w:tcPr>
            <w:tcW w:w="1417" w:type="dxa"/>
            <w:tcBorders>
              <w:bottom w:val="single" w:sz="4" w:space="0" w:color="auto"/>
            </w:tcBorders>
          </w:tcPr>
          <w:p w14:paraId="5231502A" w14:textId="77777777" w:rsidR="005D31A7" w:rsidRPr="00933144" w:rsidRDefault="005D31A7" w:rsidP="0041637A">
            <w:pPr>
              <w:jc w:val="center"/>
            </w:pPr>
            <w:r>
              <w:t>Co</w:t>
            </w:r>
            <w:r w:rsidRPr="00933144">
              <w:rPr>
                <w:vertAlign w:val="superscript"/>
              </w:rPr>
              <w:t>2+</w:t>
            </w:r>
          </w:p>
        </w:tc>
        <w:tc>
          <w:tcPr>
            <w:tcW w:w="1417" w:type="dxa"/>
            <w:tcBorders>
              <w:bottom w:val="single" w:sz="4" w:space="0" w:color="auto"/>
            </w:tcBorders>
          </w:tcPr>
          <w:p w14:paraId="48DD3ACB" w14:textId="77777777" w:rsidR="005D31A7" w:rsidRPr="00933144" w:rsidRDefault="005D31A7" w:rsidP="0041637A">
            <w:pPr>
              <w:jc w:val="center"/>
            </w:pPr>
            <w:r>
              <w:t>Ni</w:t>
            </w:r>
            <w:r w:rsidRPr="00933144">
              <w:rPr>
                <w:vertAlign w:val="superscript"/>
              </w:rPr>
              <w:t>2+</w:t>
            </w:r>
          </w:p>
        </w:tc>
      </w:tr>
      <w:tr w:rsidR="005D31A7" w:rsidRPr="00933144" w14:paraId="5BE5FF80" w14:textId="77777777" w:rsidTr="0041637A">
        <w:trPr>
          <w:jc w:val="center"/>
        </w:trPr>
        <w:tc>
          <w:tcPr>
            <w:tcW w:w="1701" w:type="dxa"/>
            <w:tcBorders>
              <w:top w:val="single" w:sz="4" w:space="0" w:color="auto"/>
            </w:tcBorders>
          </w:tcPr>
          <w:p w14:paraId="33452232" w14:textId="77777777" w:rsidR="005D31A7" w:rsidRPr="00933144" w:rsidRDefault="005D31A7" w:rsidP="0041637A">
            <w:pPr>
              <w:jc w:val="center"/>
            </w:pPr>
            <w:r>
              <w:t>H-EBP-Si</w:t>
            </w:r>
          </w:p>
        </w:tc>
        <w:tc>
          <w:tcPr>
            <w:tcW w:w="1417" w:type="dxa"/>
            <w:tcBorders>
              <w:top w:val="single" w:sz="4" w:space="0" w:color="auto"/>
            </w:tcBorders>
          </w:tcPr>
          <w:p w14:paraId="7E3D9C7F" w14:textId="77777777" w:rsidR="005D31A7" w:rsidRPr="00933144" w:rsidRDefault="005D31A7" w:rsidP="0041637A">
            <w:pPr>
              <w:jc w:val="center"/>
            </w:pPr>
            <w:r>
              <w:t>1.21</w:t>
            </w:r>
          </w:p>
        </w:tc>
        <w:tc>
          <w:tcPr>
            <w:tcW w:w="1417" w:type="dxa"/>
            <w:tcBorders>
              <w:top w:val="single" w:sz="4" w:space="0" w:color="auto"/>
            </w:tcBorders>
          </w:tcPr>
          <w:p w14:paraId="1CA9A727" w14:textId="77777777" w:rsidR="005D31A7" w:rsidRPr="00933144" w:rsidRDefault="005D31A7" w:rsidP="0041637A">
            <w:pPr>
              <w:jc w:val="center"/>
            </w:pPr>
            <w:r>
              <w:t>1.41</w:t>
            </w:r>
          </w:p>
        </w:tc>
        <w:tc>
          <w:tcPr>
            <w:tcW w:w="1417" w:type="dxa"/>
            <w:tcBorders>
              <w:top w:val="single" w:sz="4" w:space="0" w:color="auto"/>
            </w:tcBorders>
          </w:tcPr>
          <w:p w14:paraId="337E561D" w14:textId="77777777" w:rsidR="005D31A7" w:rsidRPr="00933144" w:rsidRDefault="005D31A7" w:rsidP="0041637A">
            <w:pPr>
              <w:jc w:val="center"/>
            </w:pPr>
            <w:r>
              <w:t>0.94</w:t>
            </w:r>
          </w:p>
        </w:tc>
        <w:tc>
          <w:tcPr>
            <w:tcW w:w="1417" w:type="dxa"/>
            <w:tcBorders>
              <w:top w:val="single" w:sz="4" w:space="0" w:color="auto"/>
            </w:tcBorders>
          </w:tcPr>
          <w:p w14:paraId="10BA734D" w14:textId="77777777" w:rsidR="005D31A7" w:rsidRPr="00933144" w:rsidRDefault="005D31A7" w:rsidP="0041637A">
            <w:pPr>
              <w:jc w:val="center"/>
            </w:pPr>
            <w:r>
              <w:t>1.03</w:t>
            </w:r>
          </w:p>
        </w:tc>
      </w:tr>
      <w:tr w:rsidR="005D31A7" w:rsidRPr="00933144" w14:paraId="1DD93111" w14:textId="77777777" w:rsidTr="0041637A">
        <w:trPr>
          <w:jc w:val="center"/>
        </w:trPr>
        <w:tc>
          <w:tcPr>
            <w:tcW w:w="1701" w:type="dxa"/>
          </w:tcPr>
          <w:p w14:paraId="2187C9FD" w14:textId="77777777" w:rsidR="005D31A7" w:rsidRPr="00933144" w:rsidRDefault="005D31A7" w:rsidP="0041637A">
            <w:pPr>
              <w:jc w:val="center"/>
            </w:pPr>
            <w:r>
              <w:t>Na-EBP-Si</w:t>
            </w:r>
          </w:p>
        </w:tc>
        <w:tc>
          <w:tcPr>
            <w:tcW w:w="1417" w:type="dxa"/>
          </w:tcPr>
          <w:p w14:paraId="715CA561" w14:textId="77777777" w:rsidR="005D31A7" w:rsidRPr="00933144" w:rsidRDefault="005D31A7" w:rsidP="0041637A">
            <w:pPr>
              <w:jc w:val="center"/>
            </w:pPr>
            <w:r>
              <w:t>1.70</w:t>
            </w:r>
          </w:p>
        </w:tc>
        <w:tc>
          <w:tcPr>
            <w:tcW w:w="1417" w:type="dxa"/>
          </w:tcPr>
          <w:p w14:paraId="0A417C78" w14:textId="77777777" w:rsidR="005D31A7" w:rsidRPr="00933144" w:rsidRDefault="005D31A7" w:rsidP="0041637A">
            <w:pPr>
              <w:jc w:val="center"/>
            </w:pPr>
            <w:r>
              <w:t>1.85</w:t>
            </w:r>
          </w:p>
        </w:tc>
        <w:tc>
          <w:tcPr>
            <w:tcW w:w="1417" w:type="dxa"/>
          </w:tcPr>
          <w:p w14:paraId="0D50AF62" w14:textId="77777777" w:rsidR="005D31A7" w:rsidRPr="00933144" w:rsidRDefault="005D31A7" w:rsidP="0041637A">
            <w:pPr>
              <w:jc w:val="center"/>
            </w:pPr>
            <w:r>
              <w:t>1.30</w:t>
            </w:r>
          </w:p>
        </w:tc>
        <w:tc>
          <w:tcPr>
            <w:tcW w:w="1417" w:type="dxa"/>
          </w:tcPr>
          <w:p w14:paraId="6B650762" w14:textId="77777777" w:rsidR="005D31A7" w:rsidRPr="00933144" w:rsidRDefault="005D31A7" w:rsidP="0041637A">
            <w:pPr>
              <w:jc w:val="center"/>
            </w:pPr>
            <w:r>
              <w:t>1.32</w:t>
            </w:r>
          </w:p>
        </w:tc>
      </w:tr>
      <w:tr w:rsidR="005D31A7" w:rsidRPr="00933144" w14:paraId="12B3EC32" w14:textId="77777777" w:rsidTr="0041637A">
        <w:trPr>
          <w:jc w:val="center"/>
        </w:trPr>
        <w:tc>
          <w:tcPr>
            <w:tcW w:w="1701" w:type="dxa"/>
            <w:tcBorders>
              <w:bottom w:val="single" w:sz="4" w:space="0" w:color="auto"/>
            </w:tcBorders>
          </w:tcPr>
          <w:p w14:paraId="303C1365" w14:textId="77777777" w:rsidR="005D31A7" w:rsidRPr="00933144" w:rsidRDefault="005D31A7" w:rsidP="0041637A">
            <w:pPr>
              <w:jc w:val="center"/>
            </w:pPr>
            <w:r>
              <w:t>S950</w:t>
            </w:r>
          </w:p>
        </w:tc>
        <w:tc>
          <w:tcPr>
            <w:tcW w:w="1417" w:type="dxa"/>
            <w:tcBorders>
              <w:bottom w:val="single" w:sz="4" w:space="0" w:color="auto"/>
            </w:tcBorders>
          </w:tcPr>
          <w:p w14:paraId="0BC0E8B4" w14:textId="77777777" w:rsidR="005D31A7" w:rsidRPr="00933144" w:rsidRDefault="005D31A7" w:rsidP="0041637A">
            <w:pPr>
              <w:jc w:val="center"/>
            </w:pPr>
            <w:r>
              <w:t>1.56</w:t>
            </w:r>
          </w:p>
        </w:tc>
        <w:tc>
          <w:tcPr>
            <w:tcW w:w="1417" w:type="dxa"/>
            <w:tcBorders>
              <w:bottom w:val="single" w:sz="4" w:space="0" w:color="auto"/>
            </w:tcBorders>
          </w:tcPr>
          <w:p w14:paraId="02AC0129" w14:textId="77777777" w:rsidR="005D31A7" w:rsidRPr="00933144" w:rsidRDefault="005D31A7" w:rsidP="0041637A">
            <w:pPr>
              <w:jc w:val="center"/>
            </w:pPr>
            <w:r>
              <w:t>1.61</w:t>
            </w:r>
          </w:p>
        </w:tc>
        <w:tc>
          <w:tcPr>
            <w:tcW w:w="1417" w:type="dxa"/>
            <w:tcBorders>
              <w:bottom w:val="single" w:sz="4" w:space="0" w:color="auto"/>
            </w:tcBorders>
          </w:tcPr>
          <w:p w14:paraId="1BB5251D" w14:textId="77777777" w:rsidR="005D31A7" w:rsidRPr="00933144" w:rsidRDefault="005D31A7" w:rsidP="0041637A">
            <w:pPr>
              <w:jc w:val="center"/>
            </w:pPr>
            <w:r>
              <w:t>1.80</w:t>
            </w:r>
          </w:p>
        </w:tc>
        <w:tc>
          <w:tcPr>
            <w:tcW w:w="1417" w:type="dxa"/>
            <w:tcBorders>
              <w:bottom w:val="single" w:sz="4" w:space="0" w:color="auto"/>
            </w:tcBorders>
          </w:tcPr>
          <w:p w14:paraId="0F5D8B41" w14:textId="77777777" w:rsidR="005D31A7" w:rsidRPr="00933144" w:rsidRDefault="005D31A7" w:rsidP="0041637A">
            <w:pPr>
              <w:jc w:val="center"/>
            </w:pPr>
            <w:r>
              <w:t>1.41</w:t>
            </w:r>
          </w:p>
        </w:tc>
      </w:tr>
    </w:tbl>
    <w:p w14:paraId="1B78FAC1" w14:textId="77777777" w:rsidR="005D31A7" w:rsidRDefault="005D31A7" w:rsidP="005D31A7"/>
    <w:p w14:paraId="40559D41" w14:textId="7A9D22B1" w:rsidR="00BD7E1F" w:rsidRDefault="00146A8D" w:rsidP="00BD7E1F">
      <w:pPr>
        <w:pStyle w:val="Newparagraph"/>
      </w:pPr>
      <w:r>
        <w:t xml:space="preserve">Log </w:t>
      </w:r>
      <w:proofErr w:type="spellStart"/>
      <w:proofErr w:type="gramStart"/>
      <w:r w:rsidRPr="00146A8D">
        <w:rPr>
          <w:i/>
        </w:rPr>
        <w:t>K</w:t>
      </w:r>
      <w:r w:rsidRPr="00146A8D">
        <w:rPr>
          <w:i/>
          <w:vertAlign w:val="subscript"/>
        </w:rPr>
        <w:t>d</w:t>
      </w:r>
      <w:proofErr w:type="spellEnd"/>
      <w:proofErr w:type="gramEnd"/>
      <w:r>
        <w:t xml:space="preserve"> values as a function of pH for both resins are shown in</w:t>
      </w:r>
      <w:r w:rsidRPr="00146A8D">
        <w:t xml:space="preserve"> </w:t>
      </w:r>
      <w:r w:rsidR="00BD7E1F" w:rsidRPr="006F59DB">
        <w:t xml:space="preserve">Figure </w:t>
      </w:r>
      <w:r w:rsidR="00047C0F">
        <w:t>5</w:t>
      </w:r>
      <w:r w:rsidRPr="006F59DB">
        <w:t>.</w:t>
      </w:r>
      <w:r w:rsidR="00BD7E1F">
        <w:t xml:space="preserve"> </w:t>
      </w:r>
      <w:r>
        <w:t>Both resins display a similar trend in that the v</w:t>
      </w:r>
      <w:r w:rsidR="00C72B69">
        <w:t xml:space="preserve">alue of </w:t>
      </w:r>
      <w:proofErr w:type="spellStart"/>
      <w:proofErr w:type="gramStart"/>
      <w:r w:rsidRPr="00146A8D">
        <w:rPr>
          <w:i/>
        </w:rPr>
        <w:t>K</w:t>
      </w:r>
      <w:r w:rsidRPr="00146A8D">
        <w:rPr>
          <w:i/>
          <w:vertAlign w:val="subscript"/>
        </w:rPr>
        <w:t>d</w:t>
      </w:r>
      <w:proofErr w:type="spellEnd"/>
      <w:proofErr w:type="gramEnd"/>
      <w:r w:rsidR="00C72B69">
        <w:t xml:space="preserve"> increases with increasing pH</w:t>
      </w:r>
      <w:r>
        <w:t xml:space="preserve">, as expected. Also, </w:t>
      </w:r>
      <w:r w:rsidR="00F57A1A">
        <w:t xml:space="preserve">the values for </w:t>
      </w:r>
      <w:r>
        <w:t xml:space="preserve">cobalt </w:t>
      </w:r>
      <w:r w:rsidR="00F57A1A">
        <w:t xml:space="preserve">are larger than those for nickel. This is similar to results obtained with ES 467, which contains </w:t>
      </w:r>
      <w:proofErr w:type="spellStart"/>
      <w:r w:rsidR="00F57A1A">
        <w:t>aminomethylphosphonic</w:t>
      </w:r>
      <w:proofErr w:type="spellEnd"/>
      <w:r w:rsidR="00F57A1A">
        <w:t xml:space="preserve"> acid groups anchored on a </w:t>
      </w:r>
      <w:proofErr w:type="spellStart"/>
      <w:r w:rsidR="00F57A1A">
        <w:t>macroporous</w:t>
      </w:r>
      <w:proofErr w:type="spellEnd"/>
      <w:r w:rsidR="00F57A1A">
        <w:t xml:space="preserve"> polystyrene DVB</w:t>
      </w:r>
      <w:proofErr w:type="gramStart"/>
      <w:r w:rsidR="006F59DB">
        <w:t>.</w:t>
      </w:r>
      <w:r w:rsidR="006F59DB" w:rsidRPr="006F59DB">
        <w:rPr>
          <w:vertAlign w:val="superscript"/>
        </w:rPr>
        <w:t>[</w:t>
      </w:r>
      <w:proofErr w:type="gramEnd"/>
      <w:r w:rsidR="006F59DB" w:rsidRPr="006F59DB">
        <w:rPr>
          <w:vertAlign w:val="superscript"/>
        </w:rPr>
        <w:t>2</w:t>
      </w:r>
      <w:r w:rsidR="00047C0F">
        <w:rPr>
          <w:vertAlign w:val="superscript"/>
        </w:rPr>
        <w:t>3</w:t>
      </w:r>
      <w:r w:rsidR="006F59DB" w:rsidRPr="006F59DB">
        <w:rPr>
          <w:vertAlign w:val="superscript"/>
        </w:rPr>
        <w:t>]</w:t>
      </w:r>
      <w:r w:rsidR="001C01B9">
        <w:rPr>
          <w:vertAlign w:val="superscript"/>
        </w:rPr>
        <w:t xml:space="preserve"> </w:t>
      </w:r>
      <w:r w:rsidR="00BD7E1F">
        <w:t xml:space="preserve">The gradient of this graph gives an </w:t>
      </w:r>
      <w:r w:rsidR="00BD7E1F">
        <w:lastRenderedPageBreak/>
        <w:t>indication of the number of protons exchanged during metal uptake. T</w:t>
      </w:r>
      <w:r w:rsidR="00BD7E1F" w:rsidRPr="006F59DB">
        <w:t xml:space="preserve">hese values are shown in Table </w:t>
      </w:r>
      <w:r w:rsidR="00047C0F">
        <w:t>2</w:t>
      </w:r>
      <w:r w:rsidR="007D0535" w:rsidRPr="006F59DB">
        <w:t xml:space="preserve"> alo</w:t>
      </w:r>
      <w:r w:rsidR="007D0535">
        <w:t>ng with the values determined for the unconditioned EBP-Si</w:t>
      </w:r>
      <w:r w:rsidR="00BD7E1F">
        <w:t xml:space="preserve">. With cobalt and nickel, </w:t>
      </w:r>
      <w:r w:rsidR="001C01B9">
        <w:t xml:space="preserve">if ion exchange were the only process occurring, </w:t>
      </w:r>
      <w:r w:rsidR="00BD7E1F">
        <w:t xml:space="preserve">it would be expected that 2 protons would be exchanged per cobalt or nickel. However, </w:t>
      </w:r>
      <w:r w:rsidR="00425276">
        <w:t>the values obtained in these experiments are all below the expected value of 2</w:t>
      </w:r>
      <w:r w:rsidR="001C01B9">
        <w:t>. As mentioned above, phosphonate has a pK</w:t>
      </w:r>
      <w:r w:rsidR="001C01B9" w:rsidRPr="00CB3EC1">
        <w:rPr>
          <w:vertAlign w:val="subscript"/>
        </w:rPr>
        <w:t>a</w:t>
      </w:r>
      <w:r w:rsidR="001C01B9">
        <w:t xml:space="preserve"> value around 1</w:t>
      </w:r>
      <w:r w:rsidR="00281B57">
        <w:t>.</w:t>
      </w:r>
      <w:r w:rsidR="00CB3EC1">
        <w:t>42 and</w:t>
      </w:r>
      <w:r w:rsidR="00281B57">
        <w:t xml:space="preserve"> therefore the EBP-Si surface may already be negatively charged and consequently the ideal number of protons may not be transferred during </w:t>
      </w:r>
      <w:proofErr w:type="gramStart"/>
      <w:r w:rsidR="00281B57">
        <w:t>Co(</w:t>
      </w:r>
      <w:proofErr w:type="gramEnd"/>
      <w:r w:rsidR="00281B57">
        <w:t xml:space="preserve">II) and Ni(II) uptake. </w:t>
      </w:r>
      <w:r w:rsidR="00BD7E1F">
        <w:t xml:space="preserve">Therefore </w:t>
      </w:r>
      <w:r w:rsidR="000D7CA2">
        <w:t xml:space="preserve">it is likely that </w:t>
      </w:r>
      <w:r w:rsidR="00BD7E1F">
        <w:t>there is a combination of ion exchange between the metals and the surface and acid dissociation of the surface occurring.</w:t>
      </w:r>
    </w:p>
    <w:p w14:paraId="2F4AAB7C" w14:textId="7201A65B" w:rsidR="005D31A7" w:rsidRDefault="005D31A7" w:rsidP="00BD7E1F">
      <w:pPr>
        <w:pStyle w:val="Newparagraph"/>
      </w:pPr>
      <w:r>
        <w:rPr>
          <w:noProof/>
        </w:rPr>
        <w:drawing>
          <wp:inline distT="0" distB="0" distL="0" distR="0" wp14:anchorId="4457EBCB" wp14:editId="372BD17C">
            <wp:extent cx="3895200" cy="52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tif"/>
                    <pic:cNvPicPr/>
                  </pic:nvPicPr>
                  <pic:blipFill>
                    <a:blip r:embed="rId15">
                      <a:extLst>
                        <a:ext uri="{28A0092B-C50C-407E-A947-70E740481C1C}">
                          <a14:useLocalDpi xmlns:a14="http://schemas.microsoft.com/office/drawing/2010/main" val="0"/>
                        </a:ext>
                      </a:extLst>
                    </a:blip>
                    <a:stretch>
                      <a:fillRect/>
                    </a:stretch>
                  </pic:blipFill>
                  <pic:spPr>
                    <a:xfrm>
                      <a:off x="0" y="0"/>
                      <a:ext cx="3895200" cy="5281200"/>
                    </a:xfrm>
                    <a:prstGeom prst="rect">
                      <a:avLst/>
                    </a:prstGeom>
                  </pic:spPr>
                </pic:pic>
              </a:graphicData>
            </a:graphic>
          </wp:inline>
        </w:drawing>
      </w:r>
    </w:p>
    <w:p w14:paraId="195D4DEB" w14:textId="77777777" w:rsidR="005D31A7" w:rsidRDefault="005D31A7" w:rsidP="005D31A7">
      <w:pPr>
        <w:pStyle w:val="Figurecaption"/>
      </w:pPr>
      <w:r>
        <w:lastRenderedPageBreak/>
        <w:t xml:space="preserve">Figure 5. Log distribution ratio as a function of pH for cobalt and nickel on (a) EBP-Si and (b) S950 at </w:t>
      </w:r>
      <w:r w:rsidRPr="0056355C">
        <w:t>2</w:t>
      </w:r>
      <w:r>
        <w:t>1</w:t>
      </w:r>
      <w:r w:rsidRPr="0056355C">
        <w:t xml:space="preserve"> °C</w:t>
      </w:r>
      <w:r>
        <w:t xml:space="preserve"> and 24 hr. contact time. Circles = Co</w:t>
      </w:r>
      <w:r>
        <w:rPr>
          <w:vertAlign w:val="superscript"/>
        </w:rPr>
        <w:t>2+</w:t>
      </w:r>
      <w:r>
        <w:t xml:space="preserve"> and triangles = Ni</w:t>
      </w:r>
      <w:r w:rsidRPr="00E40656">
        <w:rPr>
          <w:vertAlign w:val="superscript"/>
        </w:rPr>
        <w:t>2+</w:t>
      </w:r>
      <w:r>
        <w:t>, black solid line = Co</w:t>
      </w:r>
      <w:r>
        <w:rPr>
          <w:vertAlign w:val="superscript"/>
        </w:rPr>
        <w:t>2+</w:t>
      </w:r>
      <w:r>
        <w:t>, black dashed line = Ni</w:t>
      </w:r>
      <w:r>
        <w:rPr>
          <w:vertAlign w:val="superscript"/>
        </w:rPr>
        <w:t>2+</w:t>
      </w:r>
      <w:r>
        <w:t>.</w:t>
      </w:r>
    </w:p>
    <w:p w14:paraId="32E750B2" w14:textId="77777777" w:rsidR="003E7137" w:rsidRDefault="003E7137" w:rsidP="003E7137">
      <w:pPr>
        <w:pStyle w:val="Newparagraph"/>
      </w:pPr>
    </w:p>
    <w:p w14:paraId="27F272E9" w14:textId="77777777" w:rsidR="00BD7E1F" w:rsidRDefault="00BD7E1F" w:rsidP="00425276">
      <w:pPr>
        <w:pStyle w:val="Heading2"/>
      </w:pPr>
      <w:r>
        <w:t>Isotherm experiments</w:t>
      </w:r>
    </w:p>
    <w:p w14:paraId="1B2F1130" w14:textId="37097B24" w:rsidR="00BD7E1F" w:rsidRDefault="00D5546B" w:rsidP="00BD7E1F">
      <w:pPr>
        <w:pStyle w:val="Newparagraph"/>
      </w:pPr>
      <w:r>
        <w:t>Isotherm experiments were performed at pH value</w:t>
      </w:r>
      <w:r w:rsidR="00497264">
        <w:t>s</w:t>
      </w:r>
      <w:r>
        <w:t xml:space="preserve"> of 2 and 4.3 for H-EBP-Si and S950, respectively. </w:t>
      </w:r>
      <w:r w:rsidR="00CD2458">
        <w:t xml:space="preserve">The results are shown in </w:t>
      </w:r>
      <w:r w:rsidR="00CD2458" w:rsidRPr="00F46E2B">
        <w:t xml:space="preserve">Figure </w:t>
      </w:r>
      <w:r w:rsidR="00047C0F">
        <w:t>6</w:t>
      </w:r>
      <w:r w:rsidR="00CD2458" w:rsidRPr="00F46E2B">
        <w:t>.</w:t>
      </w:r>
      <w:r w:rsidR="00CD2458">
        <w:t xml:space="preserve"> </w:t>
      </w:r>
      <w:r>
        <w:t xml:space="preserve">These pH values were chosen as they corresponded to the maximum amount of metal taken </w:t>
      </w:r>
      <w:r w:rsidR="00425276">
        <w:t xml:space="preserve">up </w:t>
      </w:r>
      <w:r>
        <w:t>by each resin, as determined from the effect of pH experiments.</w:t>
      </w:r>
      <w:r w:rsidR="00CD2458">
        <w:t xml:space="preserve"> As expected, increasing metal concentration corresponds to an increase in the amount of metal taken up by the surface up to a maximum concentration, after which uptake remains constant.</w:t>
      </w:r>
    </w:p>
    <w:p w14:paraId="2B82E81F" w14:textId="6B653B05" w:rsidR="005D31A7" w:rsidRDefault="005D31A7" w:rsidP="00BD7E1F">
      <w:pPr>
        <w:pStyle w:val="Newparagraph"/>
      </w:pPr>
      <w:r>
        <w:rPr>
          <w:noProof/>
        </w:rPr>
        <w:lastRenderedPageBreak/>
        <w:drawing>
          <wp:inline distT="0" distB="0" distL="0" distR="0" wp14:anchorId="25961266" wp14:editId="2710627B">
            <wp:extent cx="3895200" cy="527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tif"/>
                    <pic:cNvPicPr/>
                  </pic:nvPicPr>
                  <pic:blipFill>
                    <a:blip r:embed="rId16">
                      <a:extLst>
                        <a:ext uri="{28A0092B-C50C-407E-A947-70E740481C1C}">
                          <a14:useLocalDpi xmlns:a14="http://schemas.microsoft.com/office/drawing/2010/main" val="0"/>
                        </a:ext>
                      </a:extLst>
                    </a:blip>
                    <a:stretch>
                      <a:fillRect/>
                    </a:stretch>
                  </pic:blipFill>
                  <pic:spPr>
                    <a:xfrm>
                      <a:off x="0" y="0"/>
                      <a:ext cx="3895200" cy="5277600"/>
                    </a:xfrm>
                    <a:prstGeom prst="rect">
                      <a:avLst/>
                    </a:prstGeom>
                  </pic:spPr>
                </pic:pic>
              </a:graphicData>
            </a:graphic>
          </wp:inline>
        </w:drawing>
      </w:r>
    </w:p>
    <w:p w14:paraId="79134F03" w14:textId="77777777" w:rsidR="005D31A7" w:rsidRDefault="005D31A7" w:rsidP="005D31A7">
      <w:pPr>
        <w:pStyle w:val="Figurecaption"/>
      </w:pPr>
      <w:r w:rsidRPr="006F54A0">
        <w:t xml:space="preserve">Figure </w:t>
      </w:r>
      <w:r>
        <w:t>6</w:t>
      </w:r>
      <w:r w:rsidRPr="006F54A0">
        <w:t>. Isotherms for cobalt and nickel uptake on (a) EBP-Si at pH 2.0 and (b) S950 at pH 4.3, 2</w:t>
      </w:r>
      <w:r>
        <w:t>1</w:t>
      </w:r>
      <w:r w:rsidRPr="006F54A0">
        <w:t>°C</w:t>
      </w:r>
      <w:r>
        <w:t xml:space="preserve"> and</w:t>
      </w:r>
      <w:r w:rsidRPr="006F54A0">
        <w:t xml:space="preserve"> 24 hr contact fitting using D-R isotherm model. </w:t>
      </w:r>
      <w:r>
        <w:t xml:space="preserve">Circles </w:t>
      </w:r>
      <w:r w:rsidRPr="006F54A0">
        <w:t>=</w:t>
      </w:r>
      <w:r>
        <w:t xml:space="preserve"> </w:t>
      </w:r>
      <w:r w:rsidRPr="006F54A0">
        <w:t>Co</w:t>
      </w:r>
      <w:r w:rsidRPr="000509E3">
        <w:rPr>
          <w:vertAlign w:val="superscript"/>
        </w:rPr>
        <w:t>2+</w:t>
      </w:r>
      <w:r w:rsidRPr="006F54A0">
        <w:t xml:space="preserve"> and </w:t>
      </w:r>
      <w:r>
        <w:t xml:space="preserve">triangles </w:t>
      </w:r>
      <w:r w:rsidRPr="006F54A0">
        <w:t>=</w:t>
      </w:r>
      <w:r>
        <w:t xml:space="preserve"> </w:t>
      </w:r>
      <w:r w:rsidRPr="006F54A0">
        <w:t>Ni</w:t>
      </w:r>
      <w:r w:rsidRPr="000509E3">
        <w:rPr>
          <w:vertAlign w:val="superscript"/>
        </w:rPr>
        <w:t>2+</w:t>
      </w:r>
      <w:r w:rsidRPr="006F54A0">
        <w:t>, black solid line = Co</w:t>
      </w:r>
      <w:r w:rsidRPr="000509E3">
        <w:rPr>
          <w:vertAlign w:val="superscript"/>
        </w:rPr>
        <w:t>2+</w:t>
      </w:r>
      <w:r w:rsidRPr="006F54A0">
        <w:t xml:space="preserve"> D-R fit, black dashed line = Ni</w:t>
      </w:r>
      <w:r w:rsidRPr="000509E3">
        <w:rPr>
          <w:vertAlign w:val="superscript"/>
        </w:rPr>
        <w:t>2+</w:t>
      </w:r>
      <w:r w:rsidRPr="006F54A0">
        <w:t xml:space="preserve"> D-R fit.</w:t>
      </w:r>
    </w:p>
    <w:p w14:paraId="2C5C29BE" w14:textId="77777777" w:rsidR="005D31A7" w:rsidRDefault="005D31A7" w:rsidP="00BD7E1F">
      <w:pPr>
        <w:pStyle w:val="Newparagraph"/>
      </w:pPr>
    </w:p>
    <w:p w14:paraId="77B32F48" w14:textId="0D206359" w:rsidR="00425276" w:rsidRDefault="00425276" w:rsidP="00BD7E1F">
      <w:pPr>
        <w:pStyle w:val="Newparagraph"/>
      </w:pPr>
      <w:r>
        <w:t xml:space="preserve">The adsorption isotherm models, </w:t>
      </w:r>
      <w:r w:rsidR="007D0535">
        <w:t xml:space="preserve">Langmuir and D-R </w:t>
      </w:r>
      <w:r w:rsidR="008524B7">
        <w:t>have been widely utilised to describe the experimental data of sorption isotherms</w:t>
      </w:r>
      <w:proofErr w:type="gramStart"/>
      <w:r w:rsidR="00F46E2B">
        <w:t>.</w:t>
      </w:r>
      <w:r w:rsidR="00F46E2B" w:rsidRPr="00F46E2B">
        <w:rPr>
          <w:vertAlign w:val="superscript"/>
        </w:rPr>
        <w:t>[</w:t>
      </w:r>
      <w:proofErr w:type="gramEnd"/>
      <w:r w:rsidR="00C72B93">
        <w:rPr>
          <w:vertAlign w:val="superscript"/>
        </w:rPr>
        <w:t>35, 41, 42</w:t>
      </w:r>
      <w:r w:rsidR="00F46E2B" w:rsidRPr="00F46E2B">
        <w:rPr>
          <w:vertAlign w:val="superscript"/>
        </w:rPr>
        <w:t>]</w:t>
      </w:r>
      <w:r w:rsidR="008524B7">
        <w:t xml:space="preserve"> The Langmuir isotherm is expressed as:</w:t>
      </w:r>
    </w:p>
    <w:p w14:paraId="0BBB0269" w14:textId="75BE7853" w:rsidR="008F4A96" w:rsidRDefault="008F4A96" w:rsidP="008F4A96">
      <w:pPr>
        <w:pStyle w:val="Newparagraph"/>
      </w:pPr>
      <w:r>
        <w:rPr>
          <w:noProof/>
        </w:rPr>
        <w:drawing>
          <wp:inline distT="0" distB="0" distL="0" distR="0" wp14:anchorId="26E94784" wp14:editId="0C490763">
            <wp:extent cx="1200912" cy="499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tion 3.tif"/>
                    <pic:cNvPicPr/>
                  </pic:nvPicPr>
                  <pic:blipFill>
                    <a:blip r:embed="rId17">
                      <a:extLst>
                        <a:ext uri="{28A0092B-C50C-407E-A947-70E740481C1C}">
                          <a14:useLocalDpi xmlns:a14="http://schemas.microsoft.com/office/drawing/2010/main" val="0"/>
                        </a:ext>
                      </a:extLst>
                    </a:blip>
                    <a:stretch>
                      <a:fillRect/>
                    </a:stretch>
                  </pic:blipFill>
                  <pic:spPr>
                    <a:xfrm>
                      <a:off x="0" y="0"/>
                      <a:ext cx="1200912" cy="499872"/>
                    </a:xfrm>
                    <a:prstGeom prst="rect">
                      <a:avLst/>
                    </a:prstGeom>
                  </pic:spPr>
                </pic:pic>
              </a:graphicData>
            </a:graphic>
          </wp:inline>
        </w:drawing>
      </w:r>
      <w:r>
        <w:tab/>
      </w:r>
      <w:r>
        <w:tab/>
      </w:r>
      <w:r>
        <w:tab/>
      </w:r>
      <w:r>
        <w:tab/>
      </w:r>
      <w:r>
        <w:tab/>
      </w:r>
      <w:r>
        <w:tab/>
        <w:t>(3)</w:t>
      </w:r>
    </w:p>
    <w:p w14:paraId="510F84E4" w14:textId="581F673A" w:rsidR="008524B7" w:rsidRDefault="008524B7" w:rsidP="008524B7">
      <w:pPr>
        <w:pStyle w:val="Paragraph"/>
      </w:pPr>
      <w:r>
        <w:t xml:space="preserve">Where </w:t>
      </w:r>
      <w:proofErr w:type="spellStart"/>
      <w:r w:rsidRPr="00A215CF">
        <w:rPr>
          <w:i/>
        </w:rPr>
        <w:t>q</w:t>
      </w:r>
      <w:r w:rsidRPr="00A215CF">
        <w:rPr>
          <w:i/>
          <w:vertAlign w:val="subscript"/>
        </w:rPr>
        <w:t>e</w:t>
      </w:r>
      <w:proofErr w:type="spellEnd"/>
      <w:r>
        <w:t xml:space="preserve"> is the maximum amount of adsorbate in the </w:t>
      </w:r>
      <w:proofErr w:type="spellStart"/>
      <w:r>
        <w:t>adsorbant</w:t>
      </w:r>
      <w:proofErr w:type="spellEnd"/>
      <w:r>
        <w:t xml:space="preserve"> at equilibrium (</w:t>
      </w:r>
      <w:proofErr w:type="spellStart"/>
      <w:r>
        <w:t>m</w:t>
      </w:r>
      <w:r w:rsidR="00E5432B">
        <w:t>ol</w:t>
      </w:r>
      <w:proofErr w:type="spellEnd"/>
      <w:r w:rsidR="000C36D8">
        <w:t xml:space="preserve"> </w:t>
      </w:r>
      <w:r>
        <w:t>g</w:t>
      </w:r>
      <w:r w:rsidR="000C36D8" w:rsidRPr="000C36D8">
        <w:rPr>
          <w:vertAlign w:val="superscript"/>
        </w:rPr>
        <w:t>-1</w:t>
      </w:r>
      <w:r>
        <w:t xml:space="preserve">), </w:t>
      </w:r>
      <w:r w:rsidRPr="00A215CF">
        <w:rPr>
          <w:i/>
        </w:rPr>
        <w:lastRenderedPageBreak/>
        <w:t>K</w:t>
      </w:r>
      <w:r w:rsidRPr="00A215CF">
        <w:rPr>
          <w:i/>
          <w:vertAlign w:val="subscript"/>
        </w:rPr>
        <w:t>L</w:t>
      </w:r>
      <w:r>
        <w:t xml:space="preserve"> is the Langmuir isotherm constant (dm</w:t>
      </w:r>
      <w:r w:rsidRPr="008524B7">
        <w:rPr>
          <w:vertAlign w:val="superscript"/>
        </w:rPr>
        <w:t>3</w:t>
      </w:r>
      <w:r w:rsidR="000C36D8">
        <w:t xml:space="preserve"> </w:t>
      </w:r>
      <w:r>
        <w:t>g</w:t>
      </w:r>
      <w:r w:rsidR="000C36D8" w:rsidRPr="000C36D8">
        <w:rPr>
          <w:vertAlign w:val="superscript"/>
        </w:rPr>
        <w:t>-1</w:t>
      </w:r>
      <w:r>
        <w:t>)</w:t>
      </w:r>
      <w:r w:rsidR="00812136">
        <w:t xml:space="preserve">, </w:t>
      </w:r>
      <w:proofErr w:type="spellStart"/>
      <w:proofErr w:type="gramStart"/>
      <w:r w:rsidR="00812136" w:rsidRPr="00A215CF">
        <w:rPr>
          <w:i/>
        </w:rPr>
        <w:t>c</w:t>
      </w:r>
      <w:r w:rsidR="00812136" w:rsidRPr="00A215CF">
        <w:rPr>
          <w:i/>
          <w:vertAlign w:val="subscript"/>
        </w:rPr>
        <w:t>e</w:t>
      </w:r>
      <w:proofErr w:type="spellEnd"/>
      <w:proofErr w:type="gramEnd"/>
      <w:r w:rsidR="00812136">
        <w:t xml:space="preserve"> is the concentration of adsorbent at equilibrium (</w:t>
      </w:r>
      <w:proofErr w:type="spellStart"/>
      <w:r w:rsidR="00812136">
        <w:t>m</w:t>
      </w:r>
      <w:r w:rsidR="00E5432B">
        <w:t>ol</w:t>
      </w:r>
      <w:proofErr w:type="spellEnd"/>
      <w:r w:rsidR="000C36D8">
        <w:t xml:space="preserve"> </w:t>
      </w:r>
      <w:r w:rsidR="00812136">
        <w:t>L</w:t>
      </w:r>
      <w:r w:rsidR="000C36D8" w:rsidRPr="000C36D8">
        <w:rPr>
          <w:vertAlign w:val="superscript"/>
        </w:rPr>
        <w:t>-1</w:t>
      </w:r>
      <w:r w:rsidR="00812136">
        <w:t xml:space="preserve">) and </w:t>
      </w:r>
      <w:proofErr w:type="spellStart"/>
      <w:r w:rsidR="00812136" w:rsidRPr="00A215CF">
        <w:rPr>
          <w:i/>
        </w:rPr>
        <w:t>a</w:t>
      </w:r>
      <w:r w:rsidR="00812136" w:rsidRPr="00A215CF">
        <w:rPr>
          <w:i/>
          <w:vertAlign w:val="subscript"/>
        </w:rPr>
        <w:t>L</w:t>
      </w:r>
      <w:proofErr w:type="spellEnd"/>
      <w:r w:rsidR="00812136">
        <w:t xml:space="preserve"> is the Langmuir isotherm constant (dm</w:t>
      </w:r>
      <w:r w:rsidR="00812136" w:rsidRPr="00812136">
        <w:rPr>
          <w:vertAlign w:val="superscript"/>
        </w:rPr>
        <w:t>3</w:t>
      </w:r>
      <w:r w:rsidR="000C36D8">
        <w:rPr>
          <w:vertAlign w:val="superscript"/>
        </w:rPr>
        <w:t xml:space="preserve"> </w:t>
      </w:r>
      <w:r w:rsidR="00812136">
        <w:t>g</w:t>
      </w:r>
      <w:r w:rsidR="000C36D8" w:rsidRPr="000C36D8">
        <w:rPr>
          <w:vertAlign w:val="superscript"/>
        </w:rPr>
        <w:t>-1</w:t>
      </w:r>
      <w:r w:rsidR="00812136">
        <w:t xml:space="preserve">). The Langmuir isotherm constant, </w:t>
      </w:r>
      <w:r w:rsidR="00812136" w:rsidRPr="00A215CF">
        <w:rPr>
          <w:i/>
        </w:rPr>
        <w:t>K</w:t>
      </w:r>
      <w:r w:rsidR="00812136" w:rsidRPr="00A215CF">
        <w:rPr>
          <w:i/>
          <w:vertAlign w:val="subscript"/>
        </w:rPr>
        <w:t>L</w:t>
      </w:r>
      <w:r w:rsidR="00812136">
        <w:t xml:space="preserve"> is related to the maximum monolayer coverage capacity, </w:t>
      </w:r>
      <w:proofErr w:type="spellStart"/>
      <w:proofErr w:type="gramStart"/>
      <w:r w:rsidR="00812136" w:rsidRPr="00A215CF">
        <w:rPr>
          <w:i/>
        </w:rPr>
        <w:t>q</w:t>
      </w:r>
      <w:r w:rsidR="00812136" w:rsidRPr="00A215CF">
        <w:rPr>
          <w:i/>
          <w:vertAlign w:val="subscript"/>
        </w:rPr>
        <w:t>m</w:t>
      </w:r>
      <w:proofErr w:type="spellEnd"/>
      <w:proofErr w:type="gramEnd"/>
      <w:r w:rsidR="00812136">
        <w:t xml:space="preserve"> (</w:t>
      </w:r>
      <w:proofErr w:type="spellStart"/>
      <w:r w:rsidR="00812136">
        <w:t>m</w:t>
      </w:r>
      <w:r w:rsidR="00E5432B">
        <w:t>ol</w:t>
      </w:r>
      <w:proofErr w:type="spellEnd"/>
      <w:r w:rsidR="000C36D8">
        <w:t xml:space="preserve"> </w:t>
      </w:r>
      <w:r w:rsidR="00812136">
        <w:t>g</w:t>
      </w:r>
      <w:r w:rsidR="000C36D8" w:rsidRPr="000C36D8">
        <w:rPr>
          <w:vertAlign w:val="superscript"/>
        </w:rPr>
        <w:t>-1</w:t>
      </w:r>
      <w:r w:rsidR="00812136">
        <w:t>) by the following:</w:t>
      </w:r>
    </w:p>
    <w:p w14:paraId="69398763" w14:textId="73367B2E" w:rsidR="008F4A96" w:rsidRPr="008F4A96" w:rsidRDefault="008F4A96" w:rsidP="008F4A96">
      <w:pPr>
        <w:pStyle w:val="Newparagraph"/>
      </w:pPr>
      <w:r>
        <w:rPr>
          <w:noProof/>
        </w:rPr>
        <w:drawing>
          <wp:inline distT="0" distB="0" distL="0" distR="0" wp14:anchorId="40B68584" wp14:editId="26D381A3">
            <wp:extent cx="816864" cy="4693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ation 4.tif"/>
                    <pic:cNvPicPr/>
                  </pic:nvPicPr>
                  <pic:blipFill>
                    <a:blip r:embed="rId18">
                      <a:extLst>
                        <a:ext uri="{28A0092B-C50C-407E-A947-70E740481C1C}">
                          <a14:useLocalDpi xmlns:a14="http://schemas.microsoft.com/office/drawing/2010/main" val="0"/>
                        </a:ext>
                      </a:extLst>
                    </a:blip>
                    <a:stretch>
                      <a:fillRect/>
                    </a:stretch>
                  </pic:blipFill>
                  <pic:spPr>
                    <a:xfrm>
                      <a:off x="0" y="0"/>
                      <a:ext cx="816864" cy="469392"/>
                    </a:xfrm>
                    <a:prstGeom prst="rect">
                      <a:avLst/>
                    </a:prstGeom>
                  </pic:spPr>
                </pic:pic>
              </a:graphicData>
            </a:graphic>
          </wp:inline>
        </w:drawing>
      </w:r>
      <w:r>
        <w:tab/>
      </w:r>
      <w:r>
        <w:tab/>
      </w:r>
      <w:r>
        <w:tab/>
      </w:r>
      <w:r>
        <w:tab/>
      </w:r>
      <w:r>
        <w:tab/>
      </w:r>
      <w:r>
        <w:tab/>
      </w:r>
      <w:r>
        <w:tab/>
        <w:t>(4)</w:t>
      </w:r>
    </w:p>
    <w:p w14:paraId="0AD1B12B" w14:textId="12EB5E8F" w:rsidR="00812136" w:rsidRDefault="00812136" w:rsidP="00812136">
      <w:pPr>
        <w:pStyle w:val="Paragraph"/>
      </w:pPr>
      <w:r>
        <w:t>The Langmuir isotherm refers to homogeneous adsorption, with each molecule possessing constant enthalpies and sorption activation energies</w:t>
      </w:r>
      <w:proofErr w:type="gramStart"/>
      <w:r w:rsidR="00F46E2B">
        <w:t>.</w:t>
      </w:r>
      <w:r w:rsidR="00F46E2B" w:rsidRPr="00F46E2B">
        <w:rPr>
          <w:vertAlign w:val="superscript"/>
        </w:rPr>
        <w:t>[</w:t>
      </w:r>
      <w:proofErr w:type="gramEnd"/>
      <w:r w:rsidR="00C72B93">
        <w:rPr>
          <w:vertAlign w:val="superscript"/>
        </w:rPr>
        <w:t>41</w:t>
      </w:r>
      <w:r w:rsidR="00F46E2B" w:rsidRPr="00F46E2B">
        <w:rPr>
          <w:vertAlign w:val="superscript"/>
        </w:rPr>
        <w:t>]</w:t>
      </w:r>
      <w:r>
        <w:t xml:space="preserve"> Since this assumption may not account for the uptake of two metal species by a complexing molecule attached to a resin surface, the data have </w:t>
      </w:r>
      <w:r w:rsidR="00A215CF">
        <w:t xml:space="preserve">also </w:t>
      </w:r>
      <w:r>
        <w:t>been fitted with the D-R isotherm</w:t>
      </w:r>
      <w:r w:rsidR="00F5375B">
        <w:t>, shown below, which expresses the adsorption mechanism with a Gaussian energy distribution onto a heterogeneous surface</w:t>
      </w:r>
      <w:r w:rsidR="00F46E2B">
        <w:t>:</w:t>
      </w:r>
      <w:r w:rsidR="00F46E2B" w:rsidRPr="00F46E2B">
        <w:rPr>
          <w:vertAlign w:val="superscript"/>
        </w:rPr>
        <w:t>[</w:t>
      </w:r>
      <w:r w:rsidR="00C72B93">
        <w:rPr>
          <w:vertAlign w:val="superscript"/>
        </w:rPr>
        <w:t>41</w:t>
      </w:r>
      <w:r w:rsidR="00F46E2B" w:rsidRPr="00F46E2B">
        <w:rPr>
          <w:vertAlign w:val="superscript"/>
        </w:rPr>
        <w:t>]</w:t>
      </w:r>
    </w:p>
    <w:p w14:paraId="7571DB90" w14:textId="072AE3A6" w:rsidR="008F4A96" w:rsidRPr="008F4A96" w:rsidRDefault="008F4A96" w:rsidP="008F4A96">
      <w:pPr>
        <w:pStyle w:val="Newparagraph"/>
      </w:pPr>
      <w:r>
        <w:rPr>
          <w:noProof/>
        </w:rPr>
        <w:drawing>
          <wp:inline distT="0" distB="0" distL="0" distR="0" wp14:anchorId="45D53321" wp14:editId="6551FB0C">
            <wp:extent cx="2206752" cy="4511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uation 5.tif"/>
                    <pic:cNvPicPr/>
                  </pic:nvPicPr>
                  <pic:blipFill>
                    <a:blip r:embed="rId19">
                      <a:extLst>
                        <a:ext uri="{28A0092B-C50C-407E-A947-70E740481C1C}">
                          <a14:useLocalDpi xmlns:a14="http://schemas.microsoft.com/office/drawing/2010/main" val="0"/>
                        </a:ext>
                      </a:extLst>
                    </a:blip>
                    <a:stretch>
                      <a:fillRect/>
                    </a:stretch>
                  </pic:blipFill>
                  <pic:spPr>
                    <a:xfrm>
                      <a:off x="0" y="0"/>
                      <a:ext cx="2206752" cy="451104"/>
                    </a:xfrm>
                    <a:prstGeom prst="rect">
                      <a:avLst/>
                    </a:prstGeom>
                  </pic:spPr>
                </pic:pic>
              </a:graphicData>
            </a:graphic>
          </wp:inline>
        </w:drawing>
      </w:r>
      <w:r>
        <w:tab/>
      </w:r>
      <w:r>
        <w:tab/>
      </w:r>
      <w:r>
        <w:tab/>
      </w:r>
      <w:r>
        <w:tab/>
        <w:t>(5)</w:t>
      </w:r>
    </w:p>
    <w:p w14:paraId="2677D362" w14:textId="4D6F19D8" w:rsidR="00726FD1" w:rsidRDefault="00812136" w:rsidP="00F5375B">
      <w:pPr>
        <w:pStyle w:val="Paragraph"/>
      </w:pPr>
      <w:r>
        <w:t xml:space="preserve">Where </w:t>
      </w:r>
      <w:proofErr w:type="spellStart"/>
      <w:r w:rsidRPr="00A215CF">
        <w:rPr>
          <w:i/>
        </w:rPr>
        <w:t>q</w:t>
      </w:r>
      <w:r w:rsidRPr="00A215CF">
        <w:rPr>
          <w:i/>
          <w:vertAlign w:val="subscript"/>
        </w:rPr>
        <w:t>e</w:t>
      </w:r>
      <w:proofErr w:type="spellEnd"/>
      <w:r>
        <w:t xml:space="preserve"> is the maximum amount of adsorbate in the </w:t>
      </w:r>
      <w:proofErr w:type="spellStart"/>
      <w:r>
        <w:t>adsorbant</w:t>
      </w:r>
      <w:proofErr w:type="spellEnd"/>
      <w:r>
        <w:t xml:space="preserve"> at equilibrium (</w:t>
      </w:r>
      <w:proofErr w:type="spellStart"/>
      <w:r>
        <w:t>m</w:t>
      </w:r>
      <w:r w:rsidR="00E5432B">
        <w:t>ol</w:t>
      </w:r>
      <w:proofErr w:type="spellEnd"/>
      <w:r w:rsidR="000C36D8">
        <w:t xml:space="preserve"> </w:t>
      </w:r>
      <w:r>
        <w:t>g</w:t>
      </w:r>
      <w:r w:rsidR="000C36D8" w:rsidRPr="000C36D8">
        <w:rPr>
          <w:vertAlign w:val="superscript"/>
        </w:rPr>
        <w:t>-1</w:t>
      </w:r>
      <w:r>
        <w:t xml:space="preserve">), </w:t>
      </w:r>
      <w:proofErr w:type="spellStart"/>
      <w:r w:rsidRPr="00A215CF">
        <w:rPr>
          <w:i/>
        </w:rPr>
        <w:t>q</w:t>
      </w:r>
      <w:r w:rsidRPr="00A215CF">
        <w:rPr>
          <w:i/>
          <w:vertAlign w:val="subscript"/>
        </w:rPr>
        <w:t>D</w:t>
      </w:r>
      <w:proofErr w:type="spellEnd"/>
      <w:r>
        <w:t xml:space="preserve"> is the theoretical isotherm saturation constant (</w:t>
      </w:r>
      <w:proofErr w:type="spellStart"/>
      <w:r>
        <w:t>m</w:t>
      </w:r>
      <w:r w:rsidR="00E5432B">
        <w:t>ol</w:t>
      </w:r>
      <w:proofErr w:type="spellEnd"/>
      <w:r w:rsidR="000C36D8">
        <w:t xml:space="preserve"> </w:t>
      </w:r>
      <w:r>
        <w:t>g</w:t>
      </w:r>
      <w:r w:rsidR="000C36D8" w:rsidRPr="000C36D8">
        <w:rPr>
          <w:vertAlign w:val="superscript"/>
        </w:rPr>
        <w:t>-1</w:t>
      </w:r>
      <w:r>
        <w:t xml:space="preserve">), </w:t>
      </w:r>
      <w:r w:rsidRPr="00A215CF">
        <w:rPr>
          <w:i/>
        </w:rPr>
        <w:t>B</w:t>
      </w:r>
      <w:r w:rsidRPr="00A215CF">
        <w:rPr>
          <w:i/>
          <w:vertAlign w:val="subscript"/>
        </w:rPr>
        <w:t>D</w:t>
      </w:r>
      <w:r w:rsidR="00F5375B">
        <w:t xml:space="preserve"> is a D-R isotherm constant, R is the gas constant (8.314 kJ</w:t>
      </w:r>
      <w:r w:rsidR="000C36D8">
        <w:t xml:space="preserve"> </w:t>
      </w:r>
      <w:r w:rsidR="00F5375B">
        <w:t>mol</w:t>
      </w:r>
      <w:r w:rsidR="000C36D8" w:rsidRPr="000C36D8">
        <w:rPr>
          <w:vertAlign w:val="superscript"/>
        </w:rPr>
        <w:t>-1</w:t>
      </w:r>
      <w:r w:rsidR="00F5375B">
        <w:t xml:space="preserve"> K</w:t>
      </w:r>
      <w:r w:rsidR="000C36D8" w:rsidRPr="000C36D8">
        <w:rPr>
          <w:vertAlign w:val="superscript"/>
        </w:rPr>
        <w:t>-1</w:t>
      </w:r>
      <w:r w:rsidR="00F5375B">
        <w:t>), T is the absolute temperature (K)</w:t>
      </w:r>
      <w:r w:rsidR="00A215CF">
        <w:t xml:space="preserve"> and </w:t>
      </w:r>
      <w:proofErr w:type="spellStart"/>
      <w:r w:rsidR="00F5375B" w:rsidRPr="00A215CF">
        <w:rPr>
          <w:i/>
        </w:rPr>
        <w:t>c</w:t>
      </w:r>
      <w:r w:rsidR="00F5375B" w:rsidRPr="00A215CF">
        <w:rPr>
          <w:i/>
          <w:vertAlign w:val="subscript"/>
        </w:rPr>
        <w:t>e</w:t>
      </w:r>
      <w:proofErr w:type="spellEnd"/>
      <w:r w:rsidR="00F5375B">
        <w:t xml:space="preserve"> is the adsorbate equilibrium concentration (</w:t>
      </w:r>
      <w:proofErr w:type="spellStart"/>
      <w:r w:rsidR="00F5375B">
        <w:t>m</w:t>
      </w:r>
      <w:r w:rsidR="00E5432B">
        <w:t>ol</w:t>
      </w:r>
      <w:proofErr w:type="spellEnd"/>
      <w:r w:rsidR="000C36D8">
        <w:t xml:space="preserve"> </w:t>
      </w:r>
      <w:r w:rsidR="00F5375B">
        <w:t>L</w:t>
      </w:r>
      <w:r w:rsidR="000C36D8" w:rsidRPr="000C36D8">
        <w:rPr>
          <w:vertAlign w:val="superscript"/>
        </w:rPr>
        <w:t>-1</w:t>
      </w:r>
      <w:r w:rsidR="00F5375B">
        <w:t xml:space="preserve">). </w:t>
      </w:r>
      <w:r w:rsidR="00726FD1">
        <w:t xml:space="preserve">The mean free energy of sorption, </w:t>
      </w:r>
      <w:r w:rsidR="00726FD1" w:rsidRPr="00A215CF">
        <w:rPr>
          <w:i/>
        </w:rPr>
        <w:t>E</w:t>
      </w:r>
      <w:r w:rsidR="00A215CF" w:rsidRPr="00A215CF">
        <w:rPr>
          <w:i/>
          <w:vertAlign w:val="subscript"/>
        </w:rPr>
        <w:t>D</w:t>
      </w:r>
      <w:r w:rsidR="00726FD1">
        <w:t>, can be calculated from the following:</w:t>
      </w:r>
    </w:p>
    <w:p w14:paraId="2B09FE70" w14:textId="1AC768D0" w:rsidR="008F4A96" w:rsidRPr="008F4A96" w:rsidRDefault="008F4A96" w:rsidP="008F4A96">
      <w:pPr>
        <w:pStyle w:val="Newparagraph"/>
      </w:pPr>
      <w:r>
        <w:rPr>
          <w:noProof/>
        </w:rPr>
        <w:drawing>
          <wp:inline distT="0" distB="0" distL="0" distR="0" wp14:anchorId="3B630D65" wp14:editId="11DAFF85">
            <wp:extent cx="926592" cy="518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quation 6.tif"/>
                    <pic:cNvPicPr/>
                  </pic:nvPicPr>
                  <pic:blipFill>
                    <a:blip r:embed="rId20">
                      <a:extLst>
                        <a:ext uri="{28A0092B-C50C-407E-A947-70E740481C1C}">
                          <a14:useLocalDpi xmlns:a14="http://schemas.microsoft.com/office/drawing/2010/main" val="0"/>
                        </a:ext>
                      </a:extLst>
                    </a:blip>
                    <a:stretch>
                      <a:fillRect/>
                    </a:stretch>
                  </pic:blipFill>
                  <pic:spPr>
                    <a:xfrm>
                      <a:off x="0" y="0"/>
                      <a:ext cx="926592" cy="518160"/>
                    </a:xfrm>
                    <a:prstGeom prst="rect">
                      <a:avLst/>
                    </a:prstGeom>
                  </pic:spPr>
                </pic:pic>
              </a:graphicData>
            </a:graphic>
          </wp:inline>
        </w:drawing>
      </w:r>
      <w:r>
        <w:tab/>
      </w:r>
      <w:r>
        <w:tab/>
      </w:r>
      <w:r>
        <w:tab/>
      </w:r>
      <w:r>
        <w:tab/>
      </w:r>
      <w:r>
        <w:tab/>
      </w:r>
      <w:r>
        <w:tab/>
        <w:t>(6)</w:t>
      </w:r>
    </w:p>
    <w:p w14:paraId="2189D9A6" w14:textId="5650D053" w:rsidR="006D1803" w:rsidRDefault="00F5375B" w:rsidP="00362773">
      <w:pPr>
        <w:pStyle w:val="Paragraph"/>
        <w:rPr>
          <w:vertAlign w:val="superscript"/>
        </w:rPr>
      </w:pPr>
      <w:r>
        <w:t xml:space="preserve">The </w:t>
      </w:r>
      <w:r w:rsidR="00726FD1">
        <w:t xml:space="preserve">fitting for both sorption isotherms was carried out using linear regression and non-linear least squared analysis using </w:t>
      </w:r>
      <w:r>
        <w:t>SOLVER</w:t>
      </w:r>
      <w:proofErr w:type="gramStart"/>
      <w:r w:rsidR="007602A2">
        <w:t>.</w:t>
      </w:r>
      <w:r w:rsidR="007602A2" w:rsidRPr="007602A2">
        <w:rPr>
          <w:vertAlign w:val="superscript"/>
        </w:rPr>
        <w:t>[</w:t>
      </w:r>
      <w:proofErr w:type="gramEnd"/>
      <w:r w:rsidR="00C72B93">
        <w:rPr>
          <w:vertAlign w:val="superscript"/>
        </w:rPr>
        <w:t>43</w:t>
      </w:r>
      <w:r w:rsidR="007602A2" w:rsidRPr="007602A2">
        <w:rPr>
          <w:vertAlign w:val="superscript"/>
        </w:rPr>
        <w:t>]</w:t>
      </w:r>
      <w:r>
        <w:t xml:space="preserve"> </w:t>
      </w:r>
      <w:r w:rsidR="00CD2458">
        <w:t xml:space="preserve">The parameters determined for Langmuir and D-R fits are shown in </w:t>
      </w:r>
      <w:r w:rsidR="00CD2458" w:rsidRPr="007602A2">
        <w:t xml:space="preserve">Table </w:t>
      </w:r>
      <w:r w:rsidR="00B340EE">
        <w:t>3</w:t>
      </w:r>
      <w:r w:rsidR="007602A2" w:rsidRPr="007602A2">
        <w:t>.</w:t>
      </w:r>
      <w:r w:rsidR="007602A2">
        <w:t xml:space="preserve"> </w:t>
      </w:r>
      <w:r w:rsidR="00CD2458">
        <w:t xml:space="preserve">The correlation coefficients for the </w:t>
      </w:r>
      <w:r w:rsidR="00CD2458">
        <w:lastRenderedPageBreak/>
        <w:t xml:space="preserve">Langmuir approach are very poor, while they were significantly </w:t>
      </w:r>
      <w:r w:rsidR="003A7128">
        <w:t xml:space="preserve">improved for D-R and its fit is shown </w:t>
      </w:r>
      <w:r w:rsidR="003A7128" w:rsidRPr="007602A2">
        <w:t xml:space="preserve">in Figure </w:t>
      </w:r>
      <w:r w:rsidR="00B340EE">
        <w:t>6</w:t>
      </w:r>
      <w:r w:rsidR="003A7128" w:rsidRPr="007602A2">
        <w:t>.</w:t>
      </w:r>
      <w:r w:rsidR="006A710E">
        <w:t xml:space="preserve"> </w:t>
      </w:r>
      <w:r w:rsidR="009B3207">
        <w:t>It has been shown that S</w:t>
      </w:r>
      <w:r w:rsidR="006D1803">
        <w:t>9</w:t>
      </w:r>
      <w:r w:rsidR="009B3207">
        <w:t>50 has a heterogeneous surface</w:t>
      </w:r>
      <w:r w:rsidR="007602A2">
        <w:t>,</w:t>
      </w:r>
      <w:r w:rsidR="007602A2" w:rsidRPr="007602A2">
        <w:rPr>
          <w:vertAlign w:val="superscript"/>
        </w:rPr>
        <w:t>[</w:t>
      </w:r>
      <w:r w:rsidR="00B340EE">
        <w:rPr>
          <w:vertAlign w:val="superscript"/>
        </w:rPr>
        <w:t>3</w:t>
      </w:r>
      <w:r w:rsidR="007602A2" w:rsidRPr="007602A2">
        <w:rPr>
          <w:vertAlign w:val="superscript"/>
        </w:rPr>
        <w:t>]</w:t>
      </w:r>
      <w:r w:rsidR="009B3207">
        <w:t xml:space="preserve"> as does surface-modified silica</w:t>
      </w:r>
      <w:r w:rsidR="007602A2">
        <w:t>.</w:t>
      </w:r>
      <w:r w:rsidR="007602A2" w:rsidRPr="007602A2">
        <w:rPr>
          <w:vertAlign w:val="superscript"/>
        </w:rPr>
        <w:t>[</w:t>
      </w:r>
      <w:r w:rsidR="00B340EE">
        <w:rPr>
          <w:vertAlign w:val="superscript"/>
        </w:rPr>
        <w:t xml:space="preserve">8, 20, </w:t>
      </w:r>
      <w:r w:rsidR="00C72B93">
        <w:rPr>
          <w:vertAlign w:val="superscript"/>
        </w:rPr>
        <w:t>44</w:t>
      </w:r>
      <w:r w:rsidR="007602A2" w:rsidRPr="007602A2">
        <w:rPr>
          <w:vertAlign w:val="superscript"/>
        </w:rPr>
        <w:t>]</w:t>
      </w:r>
      <w:r w:rsidR="006D1803">
        <w:t xml:space="preserve"> C</w:t>
      </w:r>
      <w:r w:rsidR="009B3207">
        <w:t>onsequently</w:t>
      </w:r>
      <w:r w:rsidR="00C61F2B">
        <w:t>,</w:t>
      </w:r>
      <w:r w:rsidR="006D1803">
        <w:t xml:space="preserve"> it is not surprising that the Langmuir model, which assumes monolayer adsorption occurring at a fixed number of sites that are identical and equivalent, gives such a poor fit to the data, while the D-R model expresses the adsorption mechanism with a Gaussian energy distribution onto a heterogeneous surface</w:t>
      </w:r>
      <w:r w:rsidR="007602A2">
        <w:t>.</w:t>
      </w:r>
      <w:r w:rsidR="007602A2" w:rsidRPr="007602A2">
        <w:rPr>
          <w:vertAlign w:val="superscript"/>
        </w:rPr>
        <w:t>[</w:t>
      </w:r>
      <w:r w:rsidR="00C72B93">
        <w:rPr>
          <w:vertAlign w:val="superscript"/>
        </w:rPr>
        <w:t>41</w:t>
      </w:r>
      <w:r w:rsidR="007602A2" w:rsidRPr="007602A2">
        <w:rPr>
          <w:vertAlign w:val="superscript"/>
        </w:rPr>
        <w:t>]</w:t>
      </w:r>
      <w:r w:rsidR="00362773">
        <w:t xml:space="preserve"> The D-R parameter </w:t>
      </w:r>
      <w:proofErr w:type="spellStart"/>
      <w:r w:rsidR="00362773" w:rsidRPr="00362773">
        <w:rPr>
          <w:i/>
        </w:rPr>
        <w:t>q</w:t>
      </w:r>
      <w:r w:rsidR="00362773" w:rsidRPr="00362773">
        <w:rPr>
          <w:i/>
          <w:vertAlign w:val="subscript"/>
        </w:rPr>
        <w:t>D</w:t>
      </w:r>
      <w:proofErr w:type="spellEnd"/>
      <w:r w:rsidR="00362773">
        <w:t xml:space="preserve"> gives an indication of the maximum sorption capacity of a material and it can be seen that it is roughly four times greate</w:t>
      </w:r>
      <w:r w:rsidR="007602A2">
        <w:t xml:space="preserve">r for S950 compared to EBP-Si. </w:t>
      </w:r>
      <w:r w:rsidR="00362773">
        <w:t xml:space="preserve">This is primarily due to the differences in structure: EBP-Si is a surface functionalised material, while S950 is a </w:t>
      </w:r>
      <w:proofErr w:type="spellStart"/>
      <w:r w:rsidR="00362773">
        <w:t>macroporous</w:t>
      </w:r>
      <w:proofErr w:type="spellEnd"/>
      <w:r w:rsidR="00362773">
        <w:t xml:space="preserve"> material that is functionalised both on the surface and on the interior. Therefore, S950 will have more sites available for sorption. These values also suggest that both materials have a higher capacity for nickel than cobalt. </w:t>
      </w:r>
      <w:r w:rsidR="00B2542A">
        <w:t xml:space="preserve">This is in agreement with previous studies with </w:t>
      </w:r>
      <w:r w:rsidR="001E1ED9">
        <w:t xml:space="preserve">surface-functionalised silica and </w:t>
      </w:r>
      <w:r w:rsidR="00B2542A">
        <w:t>S950</w:t>
      </w:r>
      <w:proofErr w:type="gramStart"/>
      <w:r w:rsidR="007602A2">
        <w:t>.</w:t>
      </w:r>
      <w:r w:rsidR="007602A2" w:rsidRPr="007602A2">
        <w:rPr>
          <w:vertAlign w:val="superscript"/>
        </w:rPr>
        <w:t>[</w:t>
      </w:r>
      <w:proofErr w:type="gramEnd"/>
      <w:r w:rsidR="00B340EE">
        <w:rPr>
          <w:vertAlign w:val="superscript"/>
        </w:rPr>
        <w:t xml:space="preserve">4, 10, 24, </w:t>
      </w:r>
      <w:r w:rsidR="00C72B93">
        <w:rPr>
          <w:vertAlign w:val="superscript"/>
        </w:rPr>
        <w:t>44</w:t>
      </w:r>
      <w:r w:rsidR="007602A2" w:rsidRPr="007602A2">
        <w:rPr>
          <w:vertAlign w:val="superscript"/>
        </w:rPr>
        <w:t>]</w:t>
      </w:r>
    </w:p>
    <w:p w14:paraId="3A676B32" w14:textId="77777777" w:rsidR="005D31A7" w:rsidRDefault="005D31A7" w:rsidP="005D31A7">
      <w:pPr>
        <w:pStyle w:val="Tabletitle"/>
      </w:pPr>
      <w:r>
        <w:t xml:space="preserve">Table 3. </w:t>
      </w:r>
      <w:r w:rsidRPr="0056355C">
        <w:t xml:space="preserve">Isotherm fitting parameter calculated using </w:t>
      </w:r>
      <w:r>
        <w:t xml:space="preserve">Langmuir and D-R isotherm </w:t>
      </w:r>
      <w:r w:rsidRPr="0056355C">
        <w:t xml:space="preserve">models for </w:t>
      </w:r>
      <w:r>
        <w:t>cobalt and nickel</w:t>
      </w:r>
      <w:r w:rsidRPr="0056355C">
        <w:t xml:space="preserve"> extraction at pH </w:t>
      </w:r>
      <w:r>
        <w:t>2.0</w:t>
      </w:r>
      <w:r w:rsidRPr="0056355C">
        <w:t xml:space="preserve"> ± 0.1 </w:t>
      </w:r>
      <w:r>
        <w:t xml:space="preserve">on EBP-Si and pH 4.3 </w:t>
      </w:r>
      <w:r w:rsidRPr="0056355C">
        <w:t>± 0.1</w:t>
      </w:r>
      <w:r>
        <w:t xml:space="preserve"> on S950</w:t>
      </w:r>
      <w:r w:rsidRPr="0056355C">
        <w:t xml:space="preserve"> at 2</w:t>
      </w:r>
      <w:r>
        <w:t>1</w:t>
      </w:r>
      <w:r w:rsidRPr="0056355C">
        <w:t xml:space="preserve"> °C</w:t>
      </w:r>
      <w:r>
        <w:t xml:space="preserve"> and 24 hr. contact time</w:t>
      </w:r>
      <w:r w:rsidRPr="0056355C">
        <w:t>, using non-linear least squares fitting using SOLVER.</w:t>
      </w:r>
      <w:r>
        <w:t xml:space="preserve"> Cobalt and nickel concentrations were constant at a ratio of 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1368"/>
        <w:gridCol w:w="1368"/>
        <w:gridCol w:w="1585"/>
        <w:gridCol w:w="1585"/>
      </w:tblGrid>
      <w:tr w:rsidR="005D31A7" w:rsidRPr="0056355C" w14:paraId="3CDB1334" w14:textId="77777777" w:rsidTr="0041637A">
        <w:trPr>
          <w:trHeight w:val="556"/>
          <w:jc w:val="center"/>
        </w:trPr>
        <w:tc>
          <w:tcPr>
            <w:tcW w:w="0" w:type="auto"/>
            <w:tcBorders>
              <w:top w:val="single" w:sz="4" w:space="0" w:color="auto"/>
            </w:tcBorders>
            <w:vAlign w:val="bottom"/>
          </w:tcPr>
          <w:p w14:paraId="7F2C049F" w14:textId="77777777" w:rsidR="005D31A7" w:rsidRPr="00056CF7" w:rsidRDefault="005D31A7" w:rsidP="0041637A">
            <w:pPr>
              <w:pStyle w:val="NoSpacing"/>
              <w:spacing w:line="480" w:lineRule="auto"/>
              <w:jc w:val="center"/>
              <w:rPr>
                <w:rFonts w:ascii="Times New Roman" w:hAnsi="Times New Roman" w:cs="Times New Roman"/>
                <w:sz w:val="24"/>
              </w:rPr>
            </w:pPr>
            <w:r w:rsidRPr="00056CF7">
              <w:rPr>
                <w:rFonts w:ascii="Times New Roman" w:hAnsi="Times New Roman" w:cs="Times New Roman"/>
                <w:sz w:val="24"/>
              </w:rPr>
              <w:t>Langmuir</w:t>
            </w:r>
          </w:p>
        </w:tc>
        <w:tc>
          <w:tcPr>
            <w:tcW w:w="0" w:type="auto"/>
            <w:gridSpan w:val="2"/>
            <w:tcBorders>
              <w:top w:val="single" w:sz="4" w:space="0" w:color="auto"/>
            </w:tcBorders>
            <w:vAlign w:val="bottom"/>
          </w:tcPr>
          <w:p w14:paraId="56BA3887" w14:textId="77777777" w:rsidR="005D31A7" w:rsidRPr="00056CF7" w:rsidRDefault="005D31A7" w:rsidP="0041637A">
            <w:pPr>
              <w:pStyle w:val="NoSpacing"/>
              <w:spacing w:line="480" w:lineRule="auto"/>
              <w:jc w:val="center"/>
              <w:rPr>
                <w:rFonts w:ascii="Times New Roman" w:hAnsi="Times New Roman" w:cs="Times New Roman"/>
                <w:sz w:val="24"/>
              </w:rPr>
            </w:pPr>
            <w:r w:rsidRPr="00056CF7">
              <w:rPr>
                <w:rFonts w:ascii="Times New Roman" w:hAnsi="Times New Roman" w:cs="Times New Roman"/>
                <w:sz w:val="24"/>
              </w:rPr>
              <w:t>EBP-Si</w:t>
            </w:r>
          </w:p>
        </w:tc>
        <w:tc>
          <w:tcPr>
            <w:tcW w:w="0" w:type="auto"/>
            <w:gridSpan w:val="2"/>
            <w:tcBorders>
              <w:top w:val="single" w:sz="4" w:space="0" w:color="auto"/>
            </w:tcBorders>
            <w:vAlign w:val="bottom"/>
          </w:tcPr>
          <w:p w14:paraId="41177B1E"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S950</w:t>
            </w:r>
          </w:p>
        </w:tc>
      </w:tr>
      <w:tr w:rsidR="005D31A7" w:rsidRPr="0056355C" w14:paraId="44183169" w14:textId="77777777" w:rsidTr="0041637A">
        <w:trPr>
          <w:trHeight w:val="556"/>
          <w:jc w:val="center"/>
        </w:trPr>
        <w:tc>
          <w:tcPr>
            <w:tcW w:w="0" w:type="auto"/>
            <w:tcBorders>
              <w:bottom w:val="single" w:sz="4" w:space="0" w:color="auto"/>
            </w:tcBorders>
            <w:vAlign w:val="bottom"/>
          </w:tcPr>
          <w:p w14:paraId="3B7C7B8C" w14:textId="77777777" w:rsidR="005D31A7" w:rsidRPr="00056CF7" w:rsidRDefault="005D31A7" w:rsidP="0041637A">
            <w:pPr>
              <w:pStyle w:val="NoSpacing"/>
              <w:spacing w:line="480" w:lineRule="auto"/>
              <w:jc w:val="center"/>
              <w:rPr>
                <w:rFonts w:ascii="Times New Roman" w:hAnsi="Times New Roman" w:cs="Times New Roman"/>
                <w:sz w:val="24"/>
              </w:rPr>
            </w:pPr>
            <w:r w:rsidRPr="00056CF7">
              <w:rPr>
                <w:rFonts w:ascii="Times New Roman" w:hAnsi="Times New Roman" w:cs="Times New Roman"/>
                <w:sz w:val="24"/>
              </w:rPr>
              <w:t>Constant</w:t>
            </w:r>
          </w:p>
        </w:tc>
        <w:tc>
          <w:tcPr>
            <w:tcW w:w="0" w:type="auto"/>
            <w:tcBorders>
              <w:bottom w:val="single" w:sz="4" w:space="0" w:color="auto"/>
            </w:tcBorders>
            <w:vAlign w:val="bottom"/>
          </w:tcPr>
          <w:p w14:paraId="319C728B" w14:textId="77777777" w:rsidR="005D31A7" w:rsidRPr="00056CF7" w:rsidRDefault="005D31A7" w:rsidP="0041637A">
            <w:pPr>
              <w:pStyle w:val="NoSpacing"/>
              <w:spacing w:line="480" w:lineRule="auto"/>
              <w:jc w:val="center"/>
              <w:rPr>
                <w:rFonts w:ascii="Times New Roman" w:hAnsi="Times New Roman" w:cs="Times New Roman"/>
                <w:sz w:val="24"/>
                <w:vertAlign w:val="superscript"/>
              </w:rPr>
            </w:pPr>
            <w:r w:rsidRPr="00056CF7">
              <w:rPr>
                <w:rFonts w:ascii="Times New Roman" w:hAnsi="Times New Roman" w:cs="Times New Roman"/>
                <w:sz w:val="24"/>
              </w:rPr>
              <w:t>Co</w:t>
            </w:r>
            <w:r w:rsidRPr="00056CF7">
              <w:rPr>
                <w:rFonts w:ascii="Times New Roman" w:hAnsi="Times New Roman" w:cs="Times New Roman"/>
                <w:sz w:val="24"/>
                <w:vertAlign w:val="superscript"/>
              </w:rPr>
              <w:t>2+</w:t>
            </w:r>
          </w:p>
        </w:tc>
        <w:tc>
          <w:tcPr>
            <w:tcW w:w="0" w:type="auto"/>
            <w:tcBorders>
              <w:bottom w:val="single" w:sz="4" w:space="0" w:color="auto"/>
            </w:tcBorders>
            <w:vAlign w:val="bottom"/>
          </w:tcPr>
          <w:p w14:paraId="59E2F950" w14:textId="77777777" w:rsidR="005D31A7" w:rsidRPr="00056CF7" w:rsidRDefault="005D31A7" w:rsidP="0041637A">
            <w:pPr>
              <w:pStyle w:val="NoSpacing"/>
              <w:spacing w:line="480" w:lineRule="auto"/>
              <w:jc w:val="center"/>
              <w:rPr>
                <w:rFonts w:ascii="Times New Roman" w:hAnsi="Times New Roman" w:cs="Times New Roman"/>
                <w:sz w:val="24"/>
                <w:vertAlign w:val="superscript"/>
              </w:rPr>
            </w:pPr>
            <w:r w:rsidRPr="00056CF7">
              <w:rPr>
                <w:rFonts w:ascii="Times New Roman" w:hAnsi="Times New Roman" w:cs="Times New Roman"/>
                <w:sz w:val="24"/>
              </w:rPr>
              <w:t>Ni</w:t>
            </w:r>
            <w:r w:rsidRPr="00056CF7">
              <w:rPr>
                <w:rFonts w:ascii="Times New Roman" w:hAnsi="Times New Roman" w:cs="Times New Roman"/>
                <w:sz w:val="24"/>
                <w:vertAlign w:val="superscript"/>
              </w:rPr>
              <w:t>2+</w:t>
            </w:r>
          </w:p>
        </w:tc>
        <w:tc>
          <w:tcPr>
            <w:tcW w:w="0" w:type="auto"/>
            <w:tcBorders>
              <w:bottom w:val="single" w:sz="4" w:space="0" w:color="auto"/>
            </w:tcBorders>
            <w:vAlign w:val="bottom"/>
          </w:tcPr>
          <w:p w14:paraId="73836274"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Co</w:t>
            </w:r>
            <w:r>
              <w:rPr>
                <w:rFonts w:ascii="Times New Roman" w:hAnsi="Times New Roman" w:cs="Times New Roman"/>
                <w:sz w:val="24"/>
                <w:vertAlign w:val="superscript"/>
              </w:rPr>
              <w:t>2+</w:t>
            </w:r>
          </w:p>
        </w:tc>
        <w:tc>
          <w:tcPr>
            <w:tcW w:w="0" w:type="auto"/>
            <w:tcBorders>
              <w:bottom w:val="single" w:sz="4" w:space="0" w:color="auto"/>
            </w:tcBorders>
            <w:vAlign w:val="bottom"/>
          </w:tcPr>
          <w:p w14:paraId="1264E7AA"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Ni</w:t>
            </w:r>
            <w:r>
              <w:rPr>
                <w:rFonts w:ascii="Times New Roman" w:hAnsi="Times New Roman" w:cs="Times New Roman"/>
                <w:sz w:val="24"/>
                <w:vertAlign w:val="superscript"/>
              </w:rPr>
              <w:t>2+</w:t>
            </w:r>
          </w:p>
        </w:tc>
      </w:tr>
      <w:tr w:rsidR="005D31A7" w:rsidRPr="0056355C" w14:paraId="5B92AA34" w14:textId="77777777" w:rsidTr="0041637A">
        <w:trPr>
          <w:trHeight w:val="556"/>
          <w:jc w:val="center"/>
        </w:trPr>
        <w:tc>
          <w:tcPr>
            <w:tcW w:w="0" w:type="auto"/>
            <w:tcBorders>
              <w:top w:val="single" w:sz="4" w:space="0" w:color="auto"/>
            </w:tcBorders>
            <w:vAlign w:val="bottom"/>
          </w:tcPr>
          <w:p w14:paraId="6F2C5C03" w14:textId="77777777" w:rsidR="005D31A7" w:rsidRPr="00056CF7" w:rsidRDefault="005D31A7" w:rsidP="0041637A">
            <w:pPr>
              <w:pStyle w:val="NoSpacing"/>
              <w:spacing w:line="480" w:lineRule="auto"/>
              <w:jc w:val="center"/>
              <w:rPr>
                <w:rFonts w:ascii="Times New Roman" w:hAnsi="Times New Roman" w:cs="Times New Roman"/>
                <w:sz w:val="24"/>
              </w:rPr>
            </w:pPr>
            <w:r w:rsidRPr="00056CF7">
              <w:rPr>
                <w:rFonts w:ascii="Times New Roman" w:hAnsi="Times New Roman" w:cs="Times New Roman"/>
                <w:sz w:val="24"/>
              </w:rPr>
              <w:t>log</w:t>
            </w:r>
            <w:r w:rsidRPr="00056CF7">
              <w:rPr>
                <w:rFonts w:ascii="Times New Roman" w:hAnsi="Times New Roman" w:cs="Times New Roman"/>
                <w:sz w:val="24"/>
                <w:vertAlign w:val="subscript"/>
              </w:rPr>
              <w:t>10</w:t>
            </w:r>
            <w:r w:rsidRPr="00056CF7">
              <w:rPr>
                <w:rFonts w:ascii="Times New Roman" w:hAnsi="Times New Roman" w:cs="Times New Roman"/>
                <w:sz w:val="24"/>
              </w:rPr>
              <w:t xml:space="preserve"> K</w:t>
            </w:r>
            <w:r w:rsidRPr="00056CF7">
              <w:rPr>
                <w:rFonts w:ascii="Times New Roman" w:hAnsi="Times New Roman" w:cs="Times New Roman"/>
                <w:sz w:val="24"/>
                <w:vertAlign w:val="subscript"/>
              </w:rPr>
              <w:t>L</w:t>
            </w:r>
          </w:p>
        </w:tc>
        <w:tc>
          <w:tcPr>
            <w:tcW w:w="0" w:type="auto"/>
            <w:tcBorders>
              <w:top w:val="single" w:sz="4" w:space="0" w:color="auto"/>
            </w:tcBorders>
            <w:vAlign w:val="bottom"/>
          </w:tcPr>
          <w:p w14:paraId="13D2DB40" w14:textId="77777777" w:rsidR="005D31A7" w:rsidRPr="00056CF7"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color w:val="000000"/>
                <w:sz w:val="24"/>
              </w:rPr>
              <w:t>1</w:t>
            </w:r>
            <w:r w:rsidRPr="00056CF7">
              <w:rPr>
                <w:rFonts w:ascii="Times New Roman" w:hAnsi="Times New Roman" w:cs="Times New Roman"/>
                <w:color w:val="000000"/>
                <w:sz w:val="24"/>
              </w:rPr>
              <w:t>.20</w:t>
            </w:r>
            <w:r>
              <w:rPr>
                <w:rFonts w:ascii="Times New Roman" w:hAnsi="Times New Roman" w:cs="Times New Roman"/>
                <w:color w:val="000000"/>
                <w:sz w:val="24"/>
              </w:rPr>
              <w:t>4</w:t>
            </w:r>
          </w:p>
        </w:tc>
        <w:tc>
          <w:tcPr>
            <w:tcW w:w="0" w:type="auto"/>
            <w:tcBorders>
              <w:top w:val="single" w:sz="4" w:space="0" w:color="auto"/>
            </w:tcBorders>
            <w:vAlign w:val="bottom"/>
          </w:tcPr>
          <w:p w14:paraId="1B31D8FB" w14:textId="77777777" w:rsidR="005D31A7" w:rsidRPr="00056CF7"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color w:val="000000"/>
                <w:sz w:val="24"/>
              </w:rPr>
              <w:t>1</w:t>
            </w:r>
            <w:r w:rsidRPr="00056CF7">
              <w:rPr>
                <w:rFonts w:ascii="Times New Roman" w:hAnsi="Times New Roman" w:cs="Times New Roman"/>
                <w:color w:val="000000"/>
                <w:sz w:val="24"/>
              </w:rPr>
              <w:t>.135</w:t>
            </w:r>
          </w:p>
        </w:tc>
        <w:tc>
          <w:tcPr>
            <w:tcW w:w="0" w:type="auto"/>
            <w:tcBorders>
              <w:top w:val="single" w:sz="4" w:space="0" w:color="auto"/>
            </w:tcBorders>
            <w:vAlign w:val="bottom"/>
          </w:tcPr>
          <w:p w14:paraId="625DC789"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3.536</w:t>
            </w:r>
          </w:p>
        </w:tc>
        <w:tc>
          <w:tcPr>
            <w:tcW w:w="0" w:type="auto"/>
            <w:tcBorders>
              <w:top w:val="single" w:sz="4" w:space="0" w:color="auto"/>
            </w:tcBorders>
            <w:vAlign w:val="bottom"/>
          </w:tcPr>
          <w:p w14:paraId="42BCAF02"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3.124</w:t>
            </w:r>
          </w:p>
        </w:tc>
      </w:tr>
      <w:tr w:rsidR="005D31A7" w:rsidRPr="0056355C" w14:paraId="38A417BE" w14:textId="77777777" w:rsidTr="0041637A">
        <w:trPr>
          <w:trHeight w:val="556"/>
          <w:jc w:val="center"/>
        </w:trPr>
        <w:tc>
          <w:tcPr>
            <w:tcW w:w="0" w:type="auto"/>
            <w:vAlign w:val="bottom"/>
          </w:tcPr>
          <w:p w14:paraId="24987BDD" w14:textId="77777777" w:rsidR="005D31A7" w:rsidRPr="00B024C7" w:rsidRDefault="005D31A7" w:rsidP="0041637A">
            <w:pPr>
              <w:pStyle w:val="NoSpacing"/>
              <w:spacing w:line="480" w:lineRule="auto"/>
              <w:jc w:val="center"/>
              <w:rPr>
                <w:rFonts w:ascii="Times New Roman" w:hAnsi="Times New Roman" w:cs="Times New Roman"/>
                <w:sz w:val="24"/>
              </w:rPr>
            </w:pPr>
            <w:proofErr w:type="spellStart"/>
            <w:r w:rsidRPr="00B024C7">
              <w:rPr>
                <w:rFonts w:ascii="Times New Roman" w:hAnsi="Times New Roman" w:cs="Times New Roman"/>
                <w:sz w:val="24"/>
              </w:rPr>
              <w:t>a</w:t>
            </w:r>
            <w:r w:rsidRPr="00B024C7">
              <w:rPr>
                <w:rFonts w:ascii="Times New Roman" w:hAnsi="Times New Roman" w:cs="Times New Roman"/>
                <w:sz w:val="24"/>
                <w:vertAlign w:val="subscript"/>
              </w:rPr>
              <w:t>L</w:t>
            </w:r>
            <w:proofErr w:type="spellEnd"/>
          </w:p>
        </w:tc>
        <w:tc>
          <w:tcPr>
            <w:tcW w:w="0" w:type="auto"/>
            <w:vAlign w:val="bottom"/>
          </w:tcPr>
          <w:p w14:paraId="08D48124"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sz w:val="24"/>
              </w:rPr>
              <w:t>60.26</w:t>
            </w:r>
          </w:p>
        </w:tc>
        <w:tc>
          <w:tcPr>
            <w:tcW w:w="0" w:type="auto"/>
            <w:vAlign w:val="bottom"/>
          </w:tcPr>
          <w:p w14:paraId="5B6AE9DD"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sz w:val="24"/>
              </w:rPr>
              <w:t>47.42</w:t>
            </w:r>
          </w:p>
        </w:tc>
        <w:tc>
          <w:tcPr>
            <w:tcW w:w="0" w:type="auto"/>
            <w:vAlign w:val="bottom"/>
          </w:tcPr>
          <w:p w14:paraId="2F9AAE6F"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sz w:val="24"/>
              </w:rPr>
              <w:t>3433.48</w:t>
            </w:r>
          </w:p>
        </w:tc>
        <w:tc>
          <w:tcPr>
            <w:tcW w:w="0" w:type="auto"/>
            <w:vAlign w:val="bottom"/>
          </w:tcPr>
          <w:p w14:paraId="5C22A86C"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sz w:val="24"/>
              </w:rPr>
              <w:t>1331.61</w:t>
            </w:r>
          </w:p>
        </w:tc>
      </w:tr>
      <w:tr w:rsidR="005D31A7" w:rsidRPr="0056355C" w14:paraId="4ECDF0D9" w14:textId="77777777" w:rsidTr="0041637A">
        <w:trPr>
          <w:trHeight w:val="556"/>
          <w:jc w:val="center"/>
        </w:trPr>
        <w:tc>
          <w:tcPr>
            <w:tcW w:w="0" w:type="auto"/>
            <w:vAlign w:val="bottom"/>
          </w:tcPr>
          <w:p w14:paraId="0A2FAC11" w14:textId="77777777" w:rsidR="005D31A7" w:rsidRPr="00B024C7" w:rsidRDefault="005D31A7" w:rsidP="0041637A">
            <w:pPr>
              <w:pStyle w:val="NoSpacing"/>
              <w:spacing w:line="480" w:lineRule="auto"/>
              <w:jc w:val="center"/>
              <w:rPr>
                <w:rFonts w:ascii="Times New Roman" w:hAnsi="Times New Roman" w:cs="Times New Roman"/>
                <w:sz w:val="24"/>
              </w:rPr>
            </w:pPr>
            <w:proofErr w:type="spellStart"/>
            <w:r w:rsidRPr="00B024C7">
              <w:rPr>
                <w:rFonts w:ascii="Times New Roman" w:hAnsi="Times New Roman" w:cs="Times New Roman"/>
                <w:sz w:val="24"/>
              </w:rPr>
              <w:t>q</w:t>
            </w:r>
            <w:r w:rsidRPr="00B024C7">
              <w:rPr>
                <w:rFonts w:ascii="Times New Roman" w:hAnsi="Times New Roman" w:cs="Times New Roman"/>
                <w:sz w:val="24"/>
                <w:vertAlign w:val="subscript"/>
              </w:rPr>
              <w:t>m</w:t>
            </w:r>
            <w:proofErr w:type="spellEnd"/>
            <w:r w:rsidRPr="00B024C7">
              <w:rPr>
                <w:rFonts w:ascii="Times New Roman" w:hAnsi="Times New Roman" w:cs="Times New Roman"/>
                <w:sz w:val="24"/>
              </w:rPr>
              <w:t xml:space="preserve"> (mol·g</w:t>
            </w:r>
            <w:r w:rsidRPr="00B024C7">
              <w:rPr>
                <w:rFonts w:ascii="Times New Roman" w:hAnsi="Times New Roman" w:cs="Times New Roman"/>
                <w:sz w:val="24"/>
                <w:vertAlign w:val="superscript"/>
              </w:rPr>
              <w:t>-1</w:t>
            </w:r>
            <w:r w:rsidRPr="00B024C7">
              <w:rPr>
                <w:rFonts w:ascii="Times New Roman" w:hAnsi="Times New Roman" w:cs="Times New Roman"/>
                <w:sz w:val="24"/>
              </w:rPr>
              <w:t>)</w:t>
            </w:r>
          </w:p>
        </w:tc>
        <w:tc>
          <w:tcPr>
            <w:tcW w:w="0" w:type="auto"/>
            <w:vAlign w:val="bottom"/>
          </w:tcPr>
          <w:p w14:paraId="61E8CC0F"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color w:val="000000"/>
                <w:sz w:val="24"/>
              </w:rPr>
              <w:t>0.2652</w:t>
            </w:r>
          </w:p>
        </w:tc>
        <w:tc>
          <w:tcPr>
            <w:tcW w:w="0" w:type="auto"/>
            <w:vAlign w:val="bottom"/>
          </w:tcPr>
          <w:p w14:paraId="3AE94B05" w14:textId="77777777" w:rsidR="005D31A7" w:rsidRPr="00B024C7" w:rsidRDefault="005D31A7" w:rsidP="0041637A">
            <w:pPr>
              <w:pStyle w:val="NoSpacing"/>
              <w:spacing w:line="480" w:lineRule="auto"/>
              <w:jc w:val="center"/>
              <w:rPr>
                <w:rFonts w:ascii="Times New Roman" w:hAnsi="Times New Roman" w:cs="Times New Roman"/>
                <w:color w:val="000000"/>
                <w:sz w:val="24"/>
              </w:rPr>
            </w:pPr>
            <w:r w:rsidRPr="00B024C7">
              <w:rPr>
                <w:rFonts w:ascii="Times New Roman" w:hAnsi="Times New Roman" w:cs="Times New Roman"/>
                <w:color w:val="000000"/>
                <w:sz w:val="24"/>
              </w:rPr>
              <w:t>0.2440</w:t>
            </w:r>
          </w:p>
        </w:tc>
        <w:tc>
          <w:tcPr>
            <w:tcW w:w="0" w:type="auto"/>
            <w:vAlign w:val="bottom"/>
          </w:tcPr>
          <w:p w14:paraId="22EFC40D"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sz w:val="24"/>
              </w:rPr>
              <w:t>0.8354</w:t>
            </w:r>
          </w:p>
        </w:tc>
        <w:tc>
          <w:tcPr>
            <w:tcW w:w="0" w:type="auto"/>
            <w:vAlign w:val="bottom"/>
          </w:tcPr>
          <w:p w14:paraId="6340FA44" w14:textId="77777777" w:rsidR="005D31A7" w:rsidRPr="00B024C7" w:rsidRDefault="005D31A7" w:rsidP="0041637A">
            <w:pPr>
              <w:pStyle w:val="NoSpacing"/>
              <w:spacing w:line="480" w:lineRule="auto"/>
              <w:jc w:val="center"/>
              <w:rPr>
                <w:rFonts w:ascii="Times New Roman" w:hAnsi="Times New Roman" w:cs="Times New Roman"/>
                <w:sz w:val="24"/>
              </w:rPr>
            </w:pPr>
            <w:r w:rsidRPr="00B024C7">
              <w:rPr>
                <w:rFonts w:ascii="Times New Roman" w:hAnsi="Times New Roman" w:cs="Times New Roman"/>
                <w:sz w:val="24"/>
              </w:rPr>
              <w:t>0.8615</w:t>
            </w:r>
          </w:p>
        </w:tc>
      </w:tr>
      <w:tr w:rsidR="005D31A7" w:rsidRPr="0056355C" w14:paraId="4452AB6B" w14:textId="77777777" w:rsidTr="0041637A">
        <w:trPr>
          <w:trHeight w:val="556"/>
          <w:jc w:val="center"/>
        </w:trPr>
        <w:tc>
          <w:tcPr>
            <w:tcW w:w="0" w:type="auto"/>
            <w:tcBorders>
              <w:bottom w:val="single" w:sz="4" w:space="0" w:color="auto"/>
            </w:tcBorders>
            <w:vAlign w:val="bottom"/>
          </w:tcPr>
          <w:p w14:paraId="4D9D8F1F" w14:textId="77777777" w:rsidR="005D31A7" w:rsidRPr="00056CF7" w:rsidRDefault="005D31A7" w:rsidP="0041637A">
            <w:pPr>
              <w:pStyle w:val="NoSpacing"/>
              <w:spacing w:line="480" w:lineRule="auto"/>
              <w:jc w:val="center"/>
              <w:rPr>
                <w:rFonts w:ascii="Times New Roman" w:hAnsi="Times New Roman" w:cs="Times New Roman"/>
                <w:sz w:val="24"/>
                <w:vertAlign w:val="superscript"/>
              </w:rPr>
            </w:pPr>
            <w:r w:rsidRPr="00056CF7">
              <w:rPr>
                <w:rFonts w:ascii="Times New Roman" w:hAnsi="Times New Roman" w:cs="Times New Roman"/>
                <w:sz w:val="24"/>
              </w:rPr>
              <w:t>R</w:t>
            </w:r>
            <w:r w:rsidRPr="00056CF7">
              <w:rPr>
                <w:rFonts w:ascii="Times New Roman" w:hAnsi="Times New Roman" w:cs="Times New Roman"/>
                <w:sz w:val="24"/>
                <w:vertAlign w:val="superscript"/>
              </w:rPr>
              <w:t>2</w:t>
            </w:r>
          </w:p>
        </w:tc>
        <w:tc>
          <w:tcPr>
            <w:tcW w:w="0" w:type="auto"/>
            <w:tcBorders>
              <w:bottom w:val="single" w:sz="4" w:space="0" w:color="auto"/>
            </w:tcBorders>
            <w:vAlign w:val="bottom"/>
          </w:tcPr>
          <w:p w14:paraId="30886D62" w14:textId="77777777" w:rsidR="005D31A7" w:rsidRPr="00056CF7" w:rsidRDefault="005D31A7" w:rsidP="0041637A">
            <w:pPr>
              <w:pStyle w:val="NoSpacing"/>
              <w:spacing w:line="480" w:lineRule="auto"/>
              <w:jc w:val="center"/>
              <w:rPr>
                <w:rFonts w:ascii="Times New Roman" w:hAnsi="Times New Roman" w:cs="Times New Roman"/>
                <w:sz w:val="24"/>
              </w:rPr>
            </w:pPr>
            <w:r w:rsidRPr="00056CF7">
              <w:rPr>
                <w:rFonts w:ascii="Times New Roman" w:hAnsi="Times New Roman" w:cs="Times New Roman"/>
                <w:color w:val="000000"/>
                <w:sz w:val="24"/>
              </w:rPr>
              <w:t>0.9257</w:t>
            </w:r>
          </w:p>
        </w:tc>
        <w:tc>
          <w:tcPr>
            <w:tcW w:w="0" w:type="auto"/>
            <w:tcBorders>
              <w:bottom w:val="single" w:sz="4" w:space="0" w:color="auto"/>
            </w:tcBorders>
            <w:vAlign w:val="bottom"/>
          </w:tcPr>
          <w:p w14:paraId="7CD90943" w14:textId="77777777" w:rsidR="005D31A7" w:rsidRPr="00056CF7" w:rsidRDefault="005D31A7" w:rsidP="0041637A">
            <w:pPr>
              <w:pStyle w:val="NoSpacing"/>
              <w:spacing w:line="480" w:lineRule="auto"/>
              <w:jc w:val="center"/>
              <w:rPr>
                <w:rFonts w:ascii="Times New Roman" w:hAnsi="Times New Roman" w:cs="Times New Roman"/>
                <w:sz w:val="24"/>
              </w:rPr>
            </w:pPr>
            <w:r w:rsidRPr="00056CF7">
              <w:rPr>
                <w:rFonts w:ascii="Times New Roman" w:hAnsi="Times New Roman" w:cs="Times New Roman"/>
                <w:color w:val="000000"/>
                <w:sz w:val="24"/>
              </w:rPr>
              <w:t>0.9450</w:t>
            </w:r>
          </w:p>
        </w:tc>
        <w:tc>
          <w:tcPr>
            <w:tcW w:w="0" w:type="auto"/>
            <w:tcBorders>
              <w:bottom w:val="single" w:sz="4" w:space="0" w:color="auto"/>
            </w:tcBorders>
            <w:vAlign w:val="bottom"/>
          </w:tcPr>
          <w:p w14:paraId="2D45462D"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0.9193</w:t>
            </w:r>
          </w:p>
        </w:tc>
        <w:tc>
          <w:tcPr>
            <w:tcW w:w="0" w:type="auto"/>
            <w:tcBorders>
              <w:bottom w:val="single" w:sz="4" w:space="0" w:color="auto"/>
            </w:tcBorders>
            <w:vAlign w:val="bottom"/>
          </w:tcPr>
          <w:p w14:paraId="55A2097C"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0.9372</w:t>
            </w:r>
          </w:p>
        </w:tc>
      </w:tr>
      <w:tr w:rsidR="005D31A7" w:rsidRPr="0056355C" w14:paraId="771A6F53" w14:textId="77777777" w:rsidTr="0041637A">
        <w:trPr>
          <w:trHeight w:val="556"/>
          <w:jc w:val="center"/>
        </w:trPr>
        <w:tc>
          <w:tcPr>
            <w:tcW w:w="0" w:type="auto"/>
            <w:tcBorders>
              <w:top w:val="single" w:sz="4" w:space="0" w:color="auto"/>
            </w:tcBorders>
            <w:vAlign w:val="bottom"/>
          </w:tcPr>
          <w:p w14:paraId="32870BC0" w14:textId="77777777" w:rsidR="005D31A7" w:rsidRPr="0056355C" w:rsidRDefault="005D31A7" w:rsidP="0041637A">
            <w:pPr>
              <w:pStyle w:val="NoSpacing"/>
              <w:spacing w:line="480" w:lineRule="auto"/>
              <w:jc w:val="center"/>
              <w:rPr>
                <w:rFonts w:ascii="Times New Roman" w:hAnsi="Times New Roman" w:cs="Times New Roman"/>
                <w:sz w:val="24"/>
              </w:rPr>
            </w:pPr>
            <w:proofErr w:type="spellStart"/>
            <w:r w:rsidRPr="0056355C">
              <w:rPr>
                <w:rFonts w:ascii="Times New Roman" w:hAnsi="Times New Roman" w:cs="Times New Roman"/>
                <w:sz w:val="24"/>
              </w:rPr>
              <w:t>Dubinin-Radushkevich</w:t>
            </w:r>
            <w:proofErr w:type="spellEnd"/>
          </w:p>
        </w:tc>
        <w:tc>
          <w:tcPr>
            <w:tcW w:w="2736" w:type="dxa"/>
            <w:gridSpan w:val="2"/>
            <w:tcBorders>
              <w:top w:val="single" w:sz="4" w:space="0" w:color="auto"/>
            </w:tcBorders>
            <w:vAlign w:val="bottom"/>
          </w:tcPr>
          <w:p w14:paraId="01DAA377"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EBP-Si</w:t>
            </w:r>
          </w:p>
        </w:tc>
        <w:tc>
          <w:tcPr>
            <w:tcW w:w="3170" w:type="dxa"/>
            <w:gridSpan w:val="2"/>
            <w:tcBorders>
              <w:top w:val="single" w:sz="4" w:space="0" w:color="auto"/>
            </w:tcBorders>
            <w:vAlign w:val="bottom"/>
          </w:tcPr>
          <w:p w14:paraId="3BBDB01F"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S950</w:t>
            </w:r>
          </w:p>
        </w:tc>
      </w:tr>
      <w:tr w:rsidR="005D31A7" w:rsidRPr="0056355C" w14:paraId="7C0F7E86" w14:textId="77777777" w:rsidTr="0041637A">
        <w:trPr>
          <w:trHeight w:val="556"/>
          <w:jc w:val="center"/>
        </w:trPr>
        <w:tc>
          <w:tcPr>
            <w:tcW w:w="0" w:type="auto"/>
            <w:tcBorders>
              <w:bottom w:val="single" w:sz="4" w:space="0" w:color="auto"/>
            </w:tcBorders>
            <w:vAlign w:val="bottom"/>
          </w:tcPr>
          <w:p w14:paraId="4C2DC0BB" w14:textId="77777777" w:rsidR="005D31A7" w:rsidRPr="0056355C" w:rsidRDefault="005D31A7" w:rsidP="0041637A">
            <w:pPr>
              <w:pStyle w:val="NoSpacing"/>
              <w:spacing w:line="480" w:lineRule="auto"/>
              <w:jc w:val="center"/>
              <w:rPr>
                <w:rFonts w:ascii="Times New Roman" w:eastAsia="Times New Roman" w:hAnsi="Times New Roman" w:cs="Times New Roman"/>
                <w:sz w:val="24"/>
                <w:lang w:eastAsia="en-AU"/>
              </w:rPr>
            </w:pPr>
            <w:r w:rsidRPr="0056355C">
              <w:rPr>
                <w:rFonts w:ascii="Times New Roman" w:hAnsi="Times New Roman" w:cs="Times New Roman"/>
                <w:sz w:val="24"/>
              </w:rPr>
              <w:lastRenderedPageBreak/>
              <w:t>Constant</w:t>
            </w:r>
          </w:p>
        </w:tc>
        <w:tc>
          <w:tcPr>
            <w:tcW w:w="0" w:type="auto"/>
            <w:tcBorders>
              <w:bottom w:val="single" w:sz="4" w:space="0" w:color="auto"/>
            </w:tcBorders>
            <w:vAlign w:val="bottom"/>
          </w:tcPr>
          <w:p w14:paraId="1247B043"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Co</w:t>
            </w:r>
            <w:r>
              <w:rPr>
                <w:rFonts w:ascii="Times New Roman" w:hAnsi="Times New Roman" w:cs="Times New Roman"/>
                <w:sz w:val="24"/>
                <w:vertAlign w:val="superscript"/>
              </w:rPr>
              <w:t>2+</w:t>
            </w:r>
          </w:p>
        </w:tc>
        <w:tc>
          <w:tcPr>
            <w:tcW w:w="0" w:type="auto"/>
            <w:tcBorders>
              <w:bottom w:val="single" w:sz="4" w:space="0" w:color="auto"/>
            </w:tcBorders>
            <w:vAlign w:val="bottom"/>
          </w:tcPr>
          <w:p w14:paraId="6341A426"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Ni</w:t>
            </w:r>
            <w:r>
              <w:rPr>
                <w:rFonts w:ascii="Times New Roman" w:hAnsi="Times New Roman" w:cs="Times New Roman"/>
                <w:sz w:val="24"/>
                <w:vertAlign w:val="superscript"/>
              </w:rPr>
              <w:t>2+</w:t>
            </w:r>
          </w:p>
        </w:tc>
        <w:tc>
          <w:tcPr>
            <w:tcW w:w="0" w:type="auto"/>
            <w:tcBorders>
              <w:bottom w:val="single" w:sz="4" w:space="0" w:color="auto"/>
            </w:tcBorders>
            <w:vAlign w:val="bottom"/>
          </w:tcPr>
          <w:p w14:paraId="68432D47"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Co</w:t>
            </w:r>
            <w:r>
              <w:rPr>
                <w:rFonts w:ascii="Times New Roman" w:hAnsi="Times New Roman" w:cs="Times New Roman"/>
                <w:sz w:val="24"/>
                <w:vertAlign w:val="superscript"/>
              </w:rPr>
              <w:t>2+</w:t>
            </w:r>
          </w:p>
        </w:tc>
        <w:tc>
          <w:tcPr>
            <w:tcW w:w="0" w:type="auto"/>
            <w:tcBorders>
              <w:bottom w:val="single" w:sz="4" w:space="0" w:color="auto"/>
            </w:tcBorders>
            <w:vAlign w:val="bottom"/>
          </w:tcPr>
          <w:p w14:paraId="742CF713"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Pr>
                <w:rFonts w:ascii="Times New Roman" w:hAnsi="Times New Roman" w:cs="Times New Roman"/>
                <w:sz w:val="24"/>
              </w:rPr>
              <w:t>Ni</w:t>
            </w:r>
            <w:r>
              <w:rPr>
                <w:rFonts w:ascii="Times New Roman" w:hAnsi="Times New Roman" w:cs="Times New Roman"/>
                <w:sz w:val="24"/>
                <w:vertAlign w:val="superscript"/>
              </w:rPr>
              <w:t>2+</w:t>
            </w:r>
          </w:p>
        </w:tc>
      </w:tr>
      <w:tr w:rsidR="005D31A7" w:rsidRPr="0056355C" w14:paraId="42B66C9E" w14:textId="77777777" w:rsidTr="0041637A">
        <w:trPr>
          <w:trHeight w:val="556"/>
          <w:jc w:val="center"/>
        </w:trPr>
        <w:tc>
          <w:tcPr>
            <w:tcW w:w="0" w:type="auto"/>
            <w:tcBorders>
              <w:top w:val="single" w:sz="4" w:space="0" w:color="auto"/>
            </w:tcBorders>
            <w:vAlign w:val="bottom"/>
          </w:tcPr>
          <w:p w14:paraId="7975C6CC" w14:textId="77777777" w:rsidR="005D31A7" w:rsidRPr="0056355C" w:rsidRDefault="005D31A7" w:rsidP="0041637A">
            <w:pPr>
              <w:pStyle w:val="NoSpacing"/>
              <w:spacing w:line="480" w:lineRule="auto"/>
              <w:jc w:val="center"/>
              <w:rPr>
                <w:rFonts w:ascii="Times New Roman" w:hAnsi="Times New Roman" w:cs="Times New Roman"/>
                <w:sz w:val="24"/>
              </w:rPr>
            </w:pPr>
            <w:r w:rsidRPr="0056355C">
              <w:rPr>
                <w:rFonts w:ascii="Times New Roman" w:eastAsia="Times New Roman" w:hAnsi="Times New Roman" w:cs="Times New Roman"/>
                <w:sz w:val="24"/>
                <w:lang w:eastAsia="en-AU"/>
              </w:rPr>
              <w:t>B</w:t>
            </w:r>
            <w:r w:rsidRPr="0056355C">
              <w:rPr>
                <w:rFonts w:ascii="Times New Roman" w:eastAsia="Times New Roman" w:hAnsi="Times New Roman" w:cs="Times New Roman"/>
                <w:sz w:val="24"/>
                <w:vertAlign w:val="subscript"/>
                <w:lang w:eastAsia="en-AU"/>
              </w:rPr>
              <w:t xml:space="preserve">D </w:t>
            </w:r>
            <w:r w:rsidRPr="0056355C">
              <w:rPr>
                <w:rFonts w:ascii="Times New Roman" w:eastAsia="Times New Roman" w:hAnsi="Times New Roman" w:cs="Times New Roman"/>
                <w:sz w:val="24"/>
                <w:lang w:eastAsia="en-AU"/>
              </w:rPr>
              <w:t>(x10</w:t>
            </w:r>
            <w:r w:rsidRPr="0056355C">
              <w:rPr>
                <w:rFonts w:ascii="Times New Roman" w:eastAsia="Times New Roman" w:hAnsi="Times New Roman" w:cs="Times New Roman"/>
                <w:sz w:val="24"/>
                <w:vertAlign w:val="superscript"/>
                <w:lang w:eastAsia="en-AU"/>
              </w:rPr>
              <w:t>-9</w:t>
            </w:r>
            <w:r w:rsidRPr="0056355C">
              <w:rPr>
                <w:rFonts w:ascii="Times New Roman" w:eastAsia="Times New Roman" w:hAnsi="Times New Roman" w:cs="Times New Roman"/>
                <w:sz w:val="24"/>
                <w:lang w:eastAsia="en-AU"/>
              </w:rPr>
              <w:t>)</w:t>
            </w:r>
          </w:p>
        </w:tc>
        <w:tc>
          <w:tcPr>
            <w:tcW w:w="0" w:type="auto"/>
            <w:tcBorders>
              <w:top w:val="single" w:sz="4" w:space="0" w:color="auto"/>
            </w:tcBorders>
            <w:vAlign w:val="bottom"/>
          </w:tcPr>
          <w:p w14:paraId="36588482"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8.547</w:t>
            </w:r>
          </w:p>
        </w:tc>
        <w:tc>
          <w:tcPr>
            <w:tcW w:w="0" w:type="auto"/>
            <w:tcBorders>
              <w:top w:val="single" w:sz="4" w:space="0" w:color="auto"/>
            </w:tcBorders>
            <w:vAlign w:val="bottom"/>
          </w:tcPr>
          <w:p w14:paraId="7CE04790"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9.566</w:t>
            </w:r>
          </w:p>
        </w:tc>
        <w:tc>
          <w:tcPr>
            <w:tcW w:w="0" w:type="auto"/>
            <w:tcBorders>
              <w:top w:val="single" w:sz="4" w:space="0" w:color="auto"/>
            </w:tcBorders>
            <w:vAlign w:val="bottom"/>
          </w:tcPr>
          <w:p w14:paraId="4326656F"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2.8445</w:t>
            </w:r>
          </w:p>
        </w:tc>
        <w:tc>
          <w:tcPr>
            <w:tcW w:w="0" w:type="auto"/>
            <w:tcBorders>
              <w:top w:val="single" w:sz="4" w:space="0" w:color="auto"/>
            </w:tcBorders>
            <w:vAlign w:val="bottom"/>
          </w:tcPr>
          <w:p w14:paraId="330E328F"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3.9054</w:t>
            </w:r>
          </w:p>
        </w:tc>
      </w:tr>
      <w:tr w:rsidR="005D31A7" w:rsidRPr="0056355C" w14:paraId="55727A50" w14:textId="77777777" w:rsidTr="0041637A">
        <w:trPr>
          <w:trHeight w:val="556"/>
          <w:jc w:val="center"/>
        </w:trPr>
        <w:tc>
          <w:tcPr>
            <w:tcW w:w="0" w:type="auto"/>
            <w:vAlign w:val="bottom"/>
          </w:tcPr>
          <w:p w14:paraId="6B71CCFA" w14:textId="77777777" w:rsidR="005D31A7" w:rsidRPr="0056355C" w:rsidRDefault="005D31A7" w:rsidP="0041637A">
            <w:pPr>
              <w:pStyle w:val="NoSpacing"/>
              <w:spacing w:line="480" w:lineRule="auto"/>
              <w:jc w:val="center"/>
              <w:rPr>
                <w:rFonts w:ascii="Times New Roman" w:hAnsi="Times New Roman" w:cs="Times New Roman"/>
                <w:sz w:val="24"/>
              </w:rPr>
            </w:pPr>
            <w:proofErr w:type="spellStart"/>
            <w:r w:rsidRPr="0056355C">
              <w:rPr>
                <w:rFonts w:ascii="Times New Roman" w:hAnsi="Times New Roman" w:cs="Times New Roman"/>
                <w:sz w:val="24"/>
              </w:rPr>
              <w:t>q</w:t>
            </w:r>
            <w:r w:rsidRPr="00203F8C">
              <w:rPr>
                <w:rFonts w:ascii="Times New Roman" w:hAnsi="Times New Roman" w:cs="Times New Roman"/>
                <w:sz w:val="24"/>
                <w:vertAlign w:val="subscript"/>
              </w:rPr>
              <w:t>D</w:t>
            </w:r>
            <w:proofErr w:type="spellEnd"/>
            <w:r w:rsidRPr="0056355C">
              <w:rPr>
                <w:rFonts w:ascii="Times New Roman" w:hAnsi="Times New Roman" w:cs="Times New Roman"/>
                <w:sz w:val="24"/>
              </w:rPr>
              <w:t xml:space="preserve"> (mol·g</w:t>
            </w:r>
            <w:r w:rsidRPr="0056355C">
              <w:rPr>
                <w:rFonts w:ascii="Times New Roman" w:hAnsi="Times New Roman" w:cs="Times New Roman"/>
                <w:sz w:val="24"/>
                <w:vertAlign w:val="superscript"/>
              </w:rPr>
              <w:t>-1</w:t>
            </w:r>
            <w:r w:rsidRPr="0056355C">
              <w:rPr>
                <w:rFonts w:ascii="Times New Roman" w:hAnsi="Times New Roman" w:cs="Times New Roman"/>
                <w:sz w:val="24"/>
              </w:rPr>
              <w:t>)</w:t>
            </w:r>
          </w:p>
        </w:tc>
        <w:tc>
          <w:tcPr>
            <w:tcW w:w="0" w:type="auto"/>
            <w:vAlign w:val="bottom"/>
          </w:tcPr>
          <w:p w14:paraId="07D17C06"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0.3072</w:t>
            </w:r>
          </w:p>
        </w:tc>
        <w:tc>
          <w:tcPr>
            <w:tcW w:w="0" w:type="auto"/>
            <w:vAlign w:val="bottom"/>
          </w:tcPr>
          <w:p w14:paraId="0A8FA68F"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0.3300</w:t>
            </w:r>
          </w:p>
        </w:tc>
        <w:tc>
          <w:tcPr>
            <w:tcW w:w="0" w:type="auto"/>
            <w:vAlign w:val="bottom"/>
          </w:tcPr>
          <w:p w14:paraId="43F56E27"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1.1700</w:t>
            </w:r>
          </w:p>
        </w:tc>
        <w:tc>
          <w:tcPr>
            <w:tcW w:w="0" w:type="auto"/>
            <w:vAlign w:val="bottom"/>
          </w:tcPr>
          <w:p w14:paraId="398F9C78"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1.3032</w:t>
            </w:r>
          </w:p>
        </w:tc>
      </w:tr>
      <w:tr w:rsidR="005D31A7" w:rsidRPr="0056355C" w14:paraId="13238D6A" w14:textId="77777777" w:rsidTr="0041637A">
        <w:trPr>
          <w:trHeight w:val="556"/>
          <w:jc w:val="center"/>
        </w:trPr>
        <w:tc>
          <w:tcPr>
            <w:tcW w:w="0" w:type="auto"/>
            <w:vAlign w:val="bottom"/>
          </w:tcPr>
          <w:p w14:paraId="23CB3D49" w14:textId="77777777" w:rsidR="005D31A7" w:rsidRPr="0056355C" w:rsidRDefault="005D31A7" w:rsidP="0041637A">
            <w:pPr>
              <w:pStyle w:val="NoSpacing"/>
              <w:spacing w:line="480" w:lineRule="auto"/>
              <w:jc w:val="center"/>
              <w:rPr>
                <w:rFonts w:ascii="Times New Roman" w:hAnsi="Times New Roman" w:cs="Times New Roman"/>
                <w:sz w:val="24"/>
              </w:rPr>
            </w:pPr>
            <w:r w:rsidRPr="0056355C">
              <w:rPr>
                <w:rFonts w:ascii="Times New Roman" w:eastAsia="Times New Roman" w:hAnsi="Times New Roman" w:cs="Times New Roman"/>
                <w:sz w:val="24"/>
                <w:lang w:eastAsia="en-AU"/>
              </w:rPr>
              <w:t>E</w:t>
            </w:r>
            <w:r w:rsidRPr="0056355C">
              <w:rPr>
                <w:rFonts w:ascii="Times New Roman" w:eastAsia="Times New Roman" w:hAnsi="Times New Roman" w:cs="Times New Roman"/>
                <w:sz w:val="24"/>
                <w:vertAlign w:val="subscript"/>
                <w:lang w:eastAsia="en-AU"/>
              </w:rPr>
              <w:t>D</w:t>
            </w:r>
            <w:r w:rsidRPr="0056355C">
              <w:rPr>
                <w:rFonts w:ascii="Times New Roman" w:eastAsia="Times New Roman" w:hAnsi="Times New Roman" w:cs="Times New Roman"/>
                <w:sz w:val="24"/>
                <w:lang w:eastAsia="en-AU"/>
              </w:rPr>
              <w:t xml:space="preserve"> (kJ·mol</w:t>
            </w:r>
            <w:r w:rsidRPr="0056355C">
              <w:rPr>
                <w:rFonts w:ascii="Times New Roman" w:eastAsia="Times New Roman" w:hAnsi="Times New Roman" w:cs="Times New Roman"/>
                <w:sz w:val="24"/>
                <w:vertAlign w:val="superscript"/>
                <w:lang w:eastAsia="en-AU"/>
              </w:rPr>
              <w:t>-1</w:t>
            </w:r>
            <w:r w:rsidRPr="0056355C">
              <w:rPr>
                <w:rFonts w:ascii="Times New Roman" w:eastAsia="Times New Roman" w:hAnsi="Times New Roman" w:cs="Times New Roman"/>
                <w:sz w:val="24"/>
                <w:lang w:eastAsia="en-AU"/>
              </w:rPr>
              <w:t>)</w:t>
            </w:r>
          </w:p>
        </w:tc>
        <w:tc>
          <w:tcPr>
            <w:tcW w:w="0" w:type="auto"/>
            <w:vAlign w:val="bottom"/>
          </w:tcPr>
          <w:p w14:paraId="46FAD46A"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7.648</w:t>
            </w:r>
          </w:p>
        </w:tc>
        <w:tc>
          <w:tcPr>
            <w:tcW w:w="0" w:type="auto"/>
            <w:vAlign w:val="bottom"/>
          </w:tcPr>
          <w:p w14:paraId="1FB3B782"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7.230</w:t>
            </w:r>
          </w:p>
        </w:tc>
        <w:tc>
          <w:tcPr>
            <w:tcW w:w="0" w:type="auto"/>
            <w:vAlign w:val="bottom"/>
          </w:tcPr>
          <w:p w14:paraId="4C93B744"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13.258</w:t>
            </w:r>
          </w:p>
        </w:tc>
        <w:tc>
          <w:tcPr>
            <w:tcW w:w="0" w:type="auto"/>
            <w:vAlign w:val="bottom"/>
          </w:tcPr>
          <w:p w14:paraId="59EA78A7"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11.315</w:t>
            </w:r>
          </w:p>
        </w:tc>
      </w:tr>
      <w:tr w:rsidR="005D31A7" w:rsidRPr="0056355C" w14:paraId="336097C7" w14:textId="77777777" w:rsidTr="0041637A">
        <w:trPr>
          <w:trHeight w:val="556"/>
          <w:jc w:val="center"/>
        </w:trPr>
        <w:tc>
          <w:tcPr>
            <w:tcW w:w="0" w:type="auto"/>
            <w:tcBorders>
              <w:bottom w:val="single" w:sz="4" w:space="0" w:color="auto"/>
            </w:tcBorders>
            <w:vAlign w:val="bottom"/>
          </w:tcPr>
          <w:p w14:paraId="55F4E0D1" w14:textId="77777777" w:rsidR="005D31A7" w:rsidRPr="0056355C" w:rsidRDefault="005D31A7" w:rsidP="0041637A">
            <w:pPr>
              <w:pStyle w:val="NoSpacing"/>
              <w:spacing w:line="480" w:lineRule="auto"/>
              <w:jc w:val="center"/>
              <w:rPr>
                <w:rFonts w:ascii="Times New Roman" w:hAnsi="Times New Roman" w:cs="Times New Roman"/>
                <w:sz w:val="24"/>
                <w:vertAlign w:val="superscript"/>
              </w:rPr>
            </w:pPr>
            <w:r w:rsidRPr="0056355C">
              <w:rPr>
                <w:rFonts w:ascii="Times New Roman" w:hAnsi="Times New Roman" w:cs="Times New Roman"/>
                <w:sz w:val="24"/>
              </w:rPr>
              <w:t>R</w:t>
            </w:r>
            <w:r w:rsidRPr="0056355C">
              <w:rPr>
                <w:rFonts w:ascii="Times New Roman" w:hAnsi="Times New Roman" w:cs="Times New Roman"/>
                <w:sz w:val="24"/>
                <w:vertAlign w:val="superscript"/>
              </w:rPr>
              <w:t>2</w:t>
            </w:r>
          </w:p>
        </w:tc>
        <w:tc>
          <w:tcPr>
            <w:tcW w:w="0" w:type="auto"/>
            <w:tcBorders>
              <w:bottom w:val="single" w:sz="4" w:space="0" w:color="auto"/>
            </w:tcBorders>
            <w:vAlign w:val="bottom"/>
          </w:tcPr>
          <w:p w14:paraId="2E618C71" w14:textId="77777777" w:rsidR="005D31A7" w:rsidRPr="0056355C" w:rsidRDefault="005D31A7" w:rsidP="0041637A">
            <w:pPr>
              <w:pStyle w:val="NoSpacing"/>
              <w:spacing w:line="480" w:lineRule="auto"/>
              <w:jc w:val="center"/>
              <w:rPr>
                <w:rFonts w:ascii="Times New Roman" w:hAnsi="Times New Roman" w:cs="Times New Roman"/>
                <w:sz w:val="24"/>
              </w:rPr>
            </w:pPr>
            <w:r w:rsidRPr="0056355C">
              <w:rPr>
                <w:rFonts w:ascii="Times New Roman" w:hAnsi="Times New Roman" w:cs="Times New Roman"/>
                <w:sz w:val="24"/>
              </w:rPr>
              <w:t>0.9</w:t>
            </w:r>
            <w:r>
              <w:rPr>
                <w:rFonts w:ascii="Times New Roman" w:hAnsi="Times New Roman" w:cs="Times New Roman"/>
                <w:sz w:val="24"/>
              </w:rPr>
              <w:t>558</w:t>
            </w:r>
          </w:p>
        </w:tc>
        <w:tc>
          <w:tcPr>
            <w:tcW w:w="0" w:type="auto"/>
            <w:tcBorders>
              <w:bottom w:val="single" w:sz="4" w:space="0" w:color="auto"/>
            </w:tcBorders>
            <w:vAlign w:val="bottom"/>
          </w:tcPr>
          <w:p w14:paraId="6F558EB5" w14:textId="77777777" w:rsidR="005D31A7" w:rsidRPr="0056355C" w:rsidRDefault="005D31A7" w:rsidP="0041637A">
            <w:pPr>
              <w:pStyle w:val="NoSpacing"/>
              <w:spacing w:line="480" w:lineRule="auto"/>
              <w:jc w:val="center"/>
              <w:rPr>
                <w:rFonts w:ascii="Times New Roman" w:hAnsi="Times New Roman" w:cs="Times New Roman"/>
                <w:sz w:val="24"/>
              </w:rPr>
            </w:pPr>
            <w:r w:rsidRPr="0056355C">
              <w:rPr>
                <w:rFonts w:ascii="Times New Roman" w:hAnsi="Times New Roman" w:cs="Times New Roman"/>
                <w:sz w:val="24"/>
              </w:rPr>
              <w:t>0.9</w:t>
            </w:r>
            <w:r>
              <w:rPr>
                <w:rFonts w:ascii="Times New Roman" w:hAnsi="Times New Roman" w:cs="Times New Roman"/>
                <w:sz w:val="24"/>
              </w:rPr>
              <w:t>661</w:t>
            </w:r>
          </w:p>
        </w:tc>
        <w:tc>
          <w:tcPr>
            <w:tcW w:w="0" w:type="auto"/>
            <w:tcBorders>
              <w:bottom w:val="single" w:sz="4" w:space="0" w:color="auto"/>
            </w:tcBorders>
            <w:vAlign w:val="bottom"/>
          </w:tcPr>
          <w:p w14:paraId="4050B6C8"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0.9674</w:t>
            </w:r>
          </w:p>
        </w:tc>
        <w:tc>
          <w:tcPr>
            <w:tcW w:w="0" w:type="auto"/>
            <w:tcBorders>
              <w:bottom w:val="single" w:sz="4" w:space="0" w:color="auto"/>
            </w:tcBorders>
            <w:vAlign w:val="bottom"/>
          </w:tcPr>
          <w:p w14:paraId="7380E866" w14:textId="77777777" w:rsidR="005D31A7" w:rsidRPr="0056355C" w:rsidRDefault="005D31A7" w:rsidP="0041637A">
            <w:pPr>
              <w:pStyle w:val="NoSpacing"/>
              <w:spacing w:line="480" w:lineRule="auto"/>
              <w:jc w:val="center"/>
              <w:rPr>
                <w:rFonts w:ascii="Times New Roman" w:hAnsi="Times New Roman" w:cs="Times New Roman"/>
                <w:sz w:val="24"/>
              </w:rPr>
            </w:pPr>
            <w:r>
              <w:rPr>
                <w:rFonts w:ascii="Times New Roman" w:hAnsi="Times New Roman" w:cs="Times New Roman"/>
                <w:sz w:val="24"/>
              </w:rPr>
              <w:t>0.9886</w:t>
            </w:r>
          </w:p>
        </w:tc>
      </w:tr>
    </w:tbl>
    <w:p w14:paraId="1BAB778D" w14:textId="77777777" w:rsidR="005D31A7" w:rsidRDefault="005D31A7" w:rsidP="005D31A7"/>
    <w:p w14:paraId="5971950F" w14:textId="7554D365" w:rsidR="001D2384" w:rsidRPr="002E25E5" w:rsidRDefault="00A51C6C" w:rsidP="002E25E5">
      <w:pPr>
        <w:pStyle w:val="Newparagraph"/>
      </w:pPr>
      <w:r>
        <w:t xml:space="preserve">The calculated mean free energy, </w:t>
      </w:r>
      <w:r>
        <w:rPr>
          <w:i/>
        </w:rPr>
        <w:t>E</w:t>
      </w:r>
      <w:r w:rsidRPr="00A51C6C">
        <w:rPr>
          <w:i/>
          <w:vertAlign w:val="subscript"/>
        </w:rPr>
        <w:t>D</w:t>
      </w:r>
      <w:r>
        <w:t xml:space="preserve">, can be used to determine the type of adsorption; if </w:t>
      </w:r>
      <w:r>
        <w:rPr>
          <w:i/>
        </w:rPr>
        <w:t>E</w:t>
      </w:r>
      <w:r w:rsidRPr="00A51C6C">
        <w:rPr>
          <w:i/>
          <w:vertAlign w:val="subscript"/>
        </w:rPr>
        <w:t>D</w:t>
      </w:r>
      <w:r>
        <w:t xml:space="preserve"> falls in the range 8 – 16 kJ mol</w:t>
      </w:r>
      <w:r w:rsidRPr="00B340EE">
        <w:rPr>
          <w:vertAlign w:val="superscript"/>
        </w:rPr>
        <w:t>-1</w:t>
      </w:r>
      <w:r>
        <w:t>, adsorption is dominated by chemical ion exchange, whereas below 8 kJ mol</w:t>
      </w:r>
      <w:r w:rsidRPr="00B340EE">
        <w:rPr>
          <w:vertAlign w:val="superscript"/>
        </w:rPr>
        <w:t>-1</w:t>
      </w:r>
      <w:r>
        <w:t>, adsorption is dominated by physical forces</w:t>
      </w:r>
      <w:proofErr w:type="gramStart"/>
      <w:r>
        <w:t>.</w:t>
      </w:r>
      <w:r w:rsidRPr="00B340EE">
        <w:rPr>
          <w:vertAlign w:val="superscript"/>
        </w:rPr>
        <w:t>[</w:t>
      </w:r>
      <w:proofErr w:type="gramEnd"/>
      <w:r w:rsidR="00C72B93">
        <w:rPr>
          <w:vertAlign w:val="superscript"/>
        </w:rPr>
        <w:t>45-48</w:t>
      </w:r>
      <w:r w:rsidRPr="00B340EE">
        <w:rPr>
          <w:vertAlign w:val="superscript"/>
        </w:rPr>
        <w:t>]</w:t>
      </w:r>
      <w:r>
        <w:t xml:space="preserve"> The </w:t>
      </w:r>
      <w:r>
        <w:rPr>
          <w:i/>
        </w:rPr>
        <w:t>E</w:t>
      </w:r>
      <w:r w:rsidRPr="00BE2FAA">
        <w:rPr>
          <w:i/>
          <w:vertAlign w:val="subscript"/>
        </w:rPr>
        <w:t>D</w:t>
      </w:r>
      <w:r>
        <w:t xml:space="preserve"> values</w:t>
      </w:r>
      <w:r w:rsidR="001E1ED9">
        <w:t xml:space="preserve"> for cobalt and nickel uptake are greater for S950 than for EBP-Si </w:t>
      </w:r>
      <w:r w:rsidR="00C02BA9">
        <w:t xml:space="preserve">and </w:t>
      </w:r>
      <w:r w:rsidR="001E1ED9">
        <w:t>are higher for cobalt than for nickel</w:t>
      </w:r>
      <w:r w:rsidR="00C02BA9">
        <w:t xml:space="preserve"> for both resins</w:t>
      </w:r>
      <w:r w:rsidR="007602A2">
        <w:t xml:space="preserve">. </w:t>
      </w:r>
      <w:r>
        <w:t xml:space="preserve">In the case of S950, adsorption of </w:t>
      </w:r>
      <w:proofErr w:type="gramStart"/>
      <w:r>
        <w:t>Co(</w:t>
      </w:r>
      <w:proofErr w:type="gramEnd"/>
      <w:r>
        <w:t xml:space="preserve">II) and Ni(II) is controlled by ion exchange, while adsorption by EBP-Si </w:t>
      </w:r>
      <w:r w:rsidR="00281B57">
        <w:t xml:space="preserve">appears to be </w:t>
      </w:r>
      <w:r>
        <w:t xml:space="preserve">dominated by </w:t>
      </w:r>
      <w:proofErr w:type="spellStart"/>
      <w:r>
        <w:t>physisorption</w:t>
      </w:r>
      <w:proofErr w:type="spellEnd"/>
      <w:r>
        <w:t>.</w:t>
      </w:r>
      <w:r w:rsidR="00281B57">
        <w:t xml:space="preserve"> This </w:t>
      </w:r>
      <w:r w:rsidR="00E9640A">
        <w:t xml:space="preserve">appears to directly </w:t>
      </w:r>
      <w:r w:rsidR="00281B57">
        <w:t xml:space="preserve">contradict the results above which suggest that metals are adsorbed by EBP-Si via ion exchange. </w:t>
      </w:r>
      <w:r w:rsidR="00E9640A">
        <w:t xml:space="preserve">The D-R isotherm was chosen as it better represents a non-uniform surface and when the model parameters were calculated using the linear form of the D-R isotherm, the </w:t>
      </w:r>
      <w:r w:rsidR="00E9640A">
        <w:rPr>
          <w:i/>
        </w:rPr>
        <w:t>E</w:t>
      </w:r>
      <w:r w:rsidR="00E9640A" w:rsidRPr="00E9640A">
        <w:rPr>
          <w:i/>
          <w:vertAlign w:val="subscript"/>
        </w:rPr>
        <w:t>D</w:t>
      </w:r>
      <w:r w:rsidR="00E9640A">
        <w:t xml:space="preserve"> values were calculated at 9.170 and 9.113 kJ mol</w:t>
      </w:r>
      <w:r w:rsidR="00E9640A" w:rsidRPr="00E9640A">
        <w:rPr>
          <w:vertAlign w:val="superscript"/>
        </w:rPr>
        <w:t>-1</w:t>
      </w:r>
      <w:r w:rsidR="00E9640A">
        <w:t xml:space="preserve"> for Co(II) and Ni(II) respectively. If an average of the non-linear and linear values are taken (8.409 and 8.172 kJ mol</w:t>
      </w:r>
      <w:r w:rsidR="00E9640A" w:rsidRPr="00E9640A">
        <w:rPr>
          <w:vertAlign w:val="superscript"/>
        </w:rPr>
        <w:t>-1</w:t>
      </w:r>
      <w:r w:rsidR="00E9640A">
        <w:t xml:space="preserve"> for </w:t>
      </w:r>
      <w:proofErr w:type="gramStart"/>
      <w:r w:rsidR="00E9640A">
        <w:t>Co(</w:t>
      </w:r>
      <w:proofErr w:type="gramEnd"/>
      <w:r w:rsidR="00E9640A">
        <w:t>II) and Ni(II) respectively)</w:t>
      </w:r>
      <w:r w:rsidR="00393EF8">
        <w:t xml:space="preserve"> then adsorption to EBP-Si occurs via ion exchange.</w:t>
      </w:r>
    </w:p>
    <w:p w14:paraId="0F60D7D2" w14:textId="77777777" w:rsidR="00997B0F" w:rsidRDefault="00B024C7" w:rsidP="00B11F5F">
      <w:pPr>
        <w:pStyle w:val="Heading2"/>
      </w:pPr>
      <w:r>
        <w:t>Kinetic test</w:t>
      </w:r>
    </w:p>
    <w:p w14:paraId="7FCA1669" w14:textId="1915EDCB" w:rsidR="005E6613" w:rsidRDefault="00495FD4" w:rsidP="00DC6731">
      <w:pPr>
        <w:pStyle w:val="Newparagraph"/>
        <w:rPr>
          <w:vertAlign w:val="superscript"/>
        </w:rPr>
      </w:pPr>
      <w:r>
        <w:t xml:space="preserve">Kinetic </w:t>
      </w:r>
      <w:r w:rsidR="00B024C7">
        <w:t xml:space="preserve">experiments were performed at pH values of 2 and 4.3 for H-EBP-Si and S950 as described above. </w:t>
      </w:r>
      <w:r w:rsidR="00E25084">
        <w:t>Sorption of cobalt and nickel occurs rapidly on both resins, with the maximum uptake on EBP-Si occurring within an hour and on S950 within 2 hours. In the initial fitting of the kinetic data, it was assumed that the diffusion of the metal ion into the resin was the rate</w:t>
      </w:r>
      <w:r w:rsidR="00C61F2B">
        <w:t>-</w:t>
      </w:r>
      <w:r w:rsidR="00E25084">
        <w:t xml:space="preserve">determining step and that the counter diffusion of </w:t>
      </w:r>
      <w:r w:rsidR="00E25084">
        <w:lastRenderedPageBreak/>
        <w:t>any anions and the reaction of the metal ion with the functional groups on the resin occur rapidly</w:t>
      </w:r>
      <w:proofErr w:type="gramStart"/>
      <w:r w:rsidR="007602A2">
        <w:t>.</w:t>
      </w:r>
      <w:r w:rsidR="007602A2" w:rsidRPr="007602A2">
        <w:rPr>
          <w:vertAlign w:val="superscript"/>
        </w:rPr>
        <w:t>[</w:t>
      </w:r>
      <w:proofErr w:type="gramEnd"/>
      <w:r w:rsidR="00C66F35">
        <w:rPr>
          <w:vertAlign w:val="superscript"/>
        </w:rPr>
        <w:t>44</w:t>
      </w:r>
      <w:r w:rsidR="007602A2" w:rsidRPr="007602A2">
        <w:rPr>
          <w:vertAlign w:val="superscript"/>
        </w:rPr>
        <w:t>]</w:t>
      </w:r>
      <w:r w:rsidR="00E25084">
        <w:t xml:space="preserve"> Three models, film diffusion, particle diffusion and the </w:t>
      </w:r>
      <w:proofErr w:type="spellStart"/>
      <w:r w:rsidR="00E25084">
        <w:t>Elovich</w:t>
      </w:r>
      <w:proofErr w:type="spellEnd"/>
      <w:r w:rsidR="00E25084">
        <w:t xml:space="preserve"> model were fitted to the data and these are shown in </w:t>
      </w:r>
      <w:r w:rsidR="00E25084" w:rsidRPr="007602A2">
        <w:t xml:space="preserve">Figure </w:t>
      </w:r>
      <w:r w:rsidR="00B340EE">
        <w:t>7</w:t>
      </w:r>
      <w:r w:rsidR="00E25084" w:rsidRPr="007602A2">
        <w:t>.</w:t>
      </w:r>
      <w:r w:rsidR="00E25084">
        <w:t xml:space="preserve"> If metal uptake was controlled by film diffusion, a plot of –ln(1-</w:t>
      </w:r>
      <w:r w:rsidR="00E25084" w:rsidRPr="00F65F48">
        <w:rPr>
          <w:i/>
        </w:rPr>
        <w:t>M</w:t>
      </w:r>
      <w:r w:rsidR="00E25084" w:rsidRPr="00F65F48">
        <w:rPr>
          <w:i/>
          <w:vertAlign w:val="subscript"/>
        </w:rPr>
        <w:t>At</w:t>
      </w:r>
      <w:r w:rsidR="00E25084" w:rsidRPr="00F65F48">
        <w:t>/</w:t>
      </w:r>
      <w:r w:rsidR="00E25084" w:rsidRPr="00F65F48">
        <w:rPr>
          <w:i/>
        </w:rPr>
        <w:t>M</w:t>
      </w:r>
      <w:r w:rsidR="00E25084" w:rsidRPr="00F65F48">
        <w:rPr>
          <w:i/>
          <w:vertAlign w:val="subscript"/>
        </w:rPr>
        <w:t>A0</w:t>
      </w:r>
      <w:r w:rsidR="00E25084">
        <w:t>) vers</w:t>
      </w:r>
      <w:r w:rsidR="005E6613">
        <w:t>u</w:t>
      </w:r>
      <w:r w:rsidR="00E25084">
        <w:t>s time</w:t>
      </w:r>
      <w:r w:rsidR="00FA7272">
        <w:t xml:space="preserve"> </w:t>
      </w:r>
      <w:proofErr w:type="spellStart"/>
      <w:r w:rsidR="00FA7272" w:rsidRPr="00FA7272">
        <w:rPr>
          <w:i/>
        </w:rPr>
        <w:t>t</w:t>
      </w:r>
      <w:proofErr w:type="spellEnd"/>
      <w:r w:rsidR="00E25084">
        <w:t xml:space="preserve"> would be a straight line</w:t>
      </w:r>
      <w:r w:rsidR="007602A2">
        <w:t>,</w:t>
      </w:r>
      <w:r w:rsidR="007602A2" w:rsidRPr="007602A2">
        <w:rPr>
          <w:vertAlign w:val="superscript"/>
        </w:rPr>
        <w:t>[</w:t>
      </w:r>
      <w:r w:rsidR="00C72B93">
        <w:rPr>
          <w:vertAlign w:val="superscript"/>
        </w:rPr>
        <w:t>50</w:t>
      </w:r>
      <w:r w:rsidR="007602A2" w:rsidRPr="007602A2">
        <w:rPr>
          <w:vertAlign w:val="superscript"/>
        </w:rPr>
        <w:t>]</w:t>
      </w:r>
      <w:r w:rsidR="00E25084">
        <w:t xml:space="preserve"> where </w:t>
      </w:r>
      <w:proofErr w:type="spellStart"/>
      <w:r w:rsidR="00E25084" w:rsidRPr="00F65F48">
        <w:rPr>
          <w:i/>
        </w:rPr>
        <w:t>M</w:t>
      </w:r>
      <w:r w:rsidR="00E25084" w:rsidRPr="00F65F48">
        <w:rPr>
          <w:i/>
          <w:vertAlign w:val="subscript"/>
        </w:rPr>
        <w:t>At</w:t>
      </w:r>
      <w:proofErr w:type="spellEnd"/>
      <w:r w:rsidR="00E25084">
        <w:t xml:space="preserve"> and </w:t>
      </w:r>
      <w:r w:rsidR="00E25084" w:rsidRPr="00F65F48">
        <w:rPr>
          <w:i/>
        </w:rPr>
        <w:t>M</w:t>
      </w:r>
      <w:r w:rsidR="00E25084" w:rsidRPr="00F65F48">
        <w:rPr>
          <w:i/>
          <w:vertAlign w:val="subscript"/>
        </w:rPr>
        <w:t>A0</w:t>
      </w:r>
      <w:r w:rsidR="00E25084">
        <w:t xml:space="preserve"> represent the aqueous concentrations of the metal at time </w:t>
      </w:r>
      <w:r w:rsidR="00E25084" w:rsidRPr="00FA7272">
        <w:rPr>
          <w:i/>
        </w:rPr>
        <w:t>t</w:t>
      </w:r>
      <w:r w:rsidR="00E25084">
        <w:t xml:space="preserve"> and initially, respectively.</w:t>
      </w:r>
      <w:r w:rsidR="005E6613">
        <w:t xml:space="preserve"> Similarly, if particle diffusion dominated the kinetics, then a plot of </w:t>
      </w:r>
      <w:proofErr w:type="spellStart"/>
      <w:r w:rsidR="005E6613" w:rsidRPr="00F65F48">
        <w:rPr>
          <w:i/>
        </w:rPr>
        <w:t>M</w:t>
      </w:r>
      <w:r w:rsidR="005E6613" w:rsidRPr="00F65F48">
        <w:rPr>
          <w:i/>
          <w:vertAlign w:val="subscript"/>
        </w:rPr>
        <w:t>Rt</w:t>
      </w:r>
      <w:proofErr w:type="spellEnd"/>
      <w:r w:rsidR="005E6613">
        <w:t xml:space="preserve"> versus </w:t>
      </w:r>
      <w:r w:rsidR="005E6613" w:rsidRPr="00F65F48">
        <w:rPr>
          <w:i/>
        </w:rPr>
        <w:t>√t</w:t>
      </w:r>
      <w:r w:rsidR="005E6613">
        <w:t xml:space="preserve"> would yield a straight </w:t>
      </w:r>
      <w:proofErr w:type="gramStart"/>
      <w:r w:rsidR="005E6613">
        <w:t>line</w:t>
      </w:r>
      <w:r w:rsidR="007602A2" w:rsidRPr="007602A2">
        <w:rPr>
          <w:vertAlign w:val="superscript"/>
        </w:rPr>
        <w:t>[</w:t>
      </w:r>
      <w:proofErr w:type="gramEnd"/>
      <w:r w:rsidR="00C72B93">
        <w:rPr>
          <w:vertAlign w:val="superscript"/>
        </w:rPr>
        <w:t>51</w:t>
      </w:r>
      <w:r w:rsidR="007602A2" w:rsidRPr="007602A2">
        <w:rPr>
          <w:vertAlign w:val="superscript"/>
        </w:rPr>
        <w:t>]</w:t>
      </w:r>
      <w:r w:rsidR="005E6613" w:rsidRPr="005E6613">
        <w:t xml:space="preserve"> where </w:t>
      </w:r>
      <w:proofErr w:type="spellStart"/>
      <w:r w:rsidR="005E6613" w:rsidRPr="00F65F48">
        <w:rPr>
          <w:i/>
        </w:rPr>
        <w:t>M</w:t>
      </w:r>
      <w:r w:rsidR="005E6613" w:rsidRPr="00F65F48">
        <w:rPr>
          <w:i/>
          <w:vertAlign w:val="subscript"/>
        </w:rPr>
        <w:t>Rt</w:t>
      </w:r>
      <w:proofErr w:type="spellEnd"/>
      <w:r w:rsidR="005E6613">
        <w:t xml:space="preserve"> is the metal resin concentration at time </w:t>
      </w:r>
      <w:r w:rsidR="005E6613" w:rsidRPr="00FA7272">
        <w:rPr>
          <w:i/>
        </w:rPr>
        <w:t>t</w:t>
      </w:r>
      <w:r w:rsidR="005E6613">
        <w:t xml:space="preserve">. An attempt was also made to fit the data to the </w:t>
      </w:r>
      <w:proofErr w:type="spellStart"/>
      <w:r w:rsidR="005E6613">
        <w:t>Elovich</w:t>
      </w:r>
      <w:proofErr w:type="spellEnd"/>
      <w:r w:rsidR="005E6613">
        <w:t xml:space="preserve"> equation</w:t>
      </w:r>
      <w:proofErr w:type="gramStart"/>
      <w:r w:rsidR="007602A2">
        <w:t>.</w:t>
      </w:r>
      <w:r w:rsidR="007602A2" w:rsidRPr="007602A2">
        <w:rPr>
          <w:vertAlign w:val="superscript"/>
        </w:rPr>
        <w:t>[</w:t>
      </w:r>
      <w:proofErr w:type="gramEnd"/>
      <w:r w:rsidR="00C72B93">
        <w:rPr>
          <w:vertAlign w:val="superscript"/>
        </w:rPr>
        <w:t>52</w:t>
      </w:r>
      <w:r w:rsidR="007602A2" w:rsidRPr="007602A2">
        <w:rPr>
          <w:vertAlign w:val="superscript"/>
        </w:rPr>
        <w:t>]</w:t>
      </w:r>
      <w:r w:rsidR="005E6613">
        <w:t xml:space="preserve"> It can be seen that in all three cases, the data does not fit a str</w:t>
      </w:r>
      <w:r w:rsidR="007602A2">
        <w:t xml:space="preserve">aight line through the origin. </w:t>
      </w:r>
      <w:r w:rsidR="005E6613">
        <w:t>Therefore</w:t>
      </w:r>
      <w:r w:rsidR="00C61F2B">
        <w:t>,</w:t>
      </w:r>
      <w:r w:rsidR="005E6613">
        <w:t xml:space="preserve"> it is reasonable to assume that diffusion of the metal ions </w:t>
      </w:r>
      <w:r w:rsidR="00FA7272">
        <w:t>o</w:t>
      </w:r>
      <w:r w:rsidR="005E6613">
        <w:t>nto both resins is not the rate</w:t>
      </w:r>
      <w:r w:rsidR="007602A2">
        <w:t>-</w:t>
      </w:r>
      <w:r w:rsidR="005E6613">
        <w:t xml:space="preserve">determining step. However, in the </w:t>
      </w:r>
      <w:proofErr w:type="spellStart"/>
      <w:r w:rsidR="005E6613">
        <w:t>Elovich</w:t>
      </w:r>
      <w:proofErr w:type="spellEnd"/>
      <w:r w:rsidR="005E6613">
        <w:t xml:space="preserve"> plot for the uptake by H-EBP-Si</w:t>
      </w:r>
      <w:r w:rsidR="00FA7272">
        <w:t xml:space="preserve"> </w:t>
      </w:r>
      <w:r w:rsidR="00FA7272" w:rsidRPr="007602A2">
        <w:t xml:space="preserve">(Figure </w:t>
      </w:r>
      <w:r w:rsidR="00B340EE">
        <w:t>7</w:t>
      </w:r>
      <w:r w:rsidR="00FA7272" w:rsidRPr="007602A2">
        <w:t>c)</w:t>
      </w:r>
      <w:r w:rsidR="005E6613">
        <w:t xml:space="preserve">, there is a degree of linearity that is often </w:t>
      </w:r>
      <w:r w:rsidR="00FA7272">
        <w:t xml:space="preserve">observed </w:t>
      </w:r>
      <w:r w:rsidR="005E6613">
        <w:t xml:space="preserve">for systems in which the adsorbing surface is heterogeneous as could be expected from a </w:t>
      </w:r>
      <w:r w:rsidR="00F65F48">
        <w:t>functionalised</w:t>
      </w:r>
      <w:r w:rsidR="005E6613">
        <w:t xml:space="preserve"> silica</w:t>
      </w:r>
      <w:proofErr w:type="gramStart"/>
      <w:r w:rsidR="007602A2">
        <w:t>.</w:t>
      </w:r>
      <w:r w:rsidR="007602A2" w:rsidRPr="007602A2">
        <w:rPr>
          <w:vertAlign w:val="superscript"/>
        </w:rPr>
        <w:t>[</w:t>
      </w:r>
      <w:proofErr w:type="gramEnd"/>
      <w:r w:rsidR="00C72B93">
        <w:rPr>
          <w:vertAlign w:val="superscript"/>
        </w:rPr>
        <w:t>53</w:t>
      </w:r>
      <w:r w:rsidR="007602A2" w:rsidRPr="007602A2">
        <w:rPr>
          <w:vertAlign w:val="superscript"/>
        </w:rPr>
        <w:t>]</w:t>
      </w:r>
    </w:p>
    <w:p w14:paraId="74CB2FE1" w14:textId="30C7CEB6" w:rsidR="005D31A7" w:rsidRDefault="005D31A7" w:rsidP="00DC6731">
      <w:pPr>
        <w:pStyle w:val="Newparagraph"/>
      </w:pPr>
      <w:r>
        <w:rPr>
          <w:noProof/>
        </w:rPr>
        <w:lastRenderedPageBreak/>
        <w:drawing>
          <wp:inline distT="0" distB="0" distL="0" distR="0" wp14:anchorId="7C51F6C7" wp14:editId="3A9ED9C2">
            <wp:extent cx="3369600" cy="6840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9600" cy="6840000"/>
                    </a:xfrm>
                    <a:prstGeom prst="rect">
                      <a:avLst/>
                    </a:prstGeom>
                  </pic:spPr>
                </pic:pic>
              </a:graphicData>
            </a:graphic>
          </wp:inline>
        </w:drawing>
      </w:r>
    </w:p>
    <w:p w14:paraId="1B28F85C" w14:textId="77777777" w:rsidR="005D31A7" w:rsidRPr="006F54A0" w:rsidRDefault="005D31A7" w:rsidP="005D31A7">
      <w:pPr>
        <w:pStyle w:val="Figurecaption"/>
      </w:pPr>
      <w:r>
        <w:t xml:space="preserve">Figure 7. Kinetic fitting of cobalt and nickel uptake by EBP-Si and S950 using (a) film diffusion model, (b) pore diffusion model and (c) </w:t>
      </w:r>
      <w:proofErr w:type="spellStart"/>
      <w:r>
        <w:t>Elovich</w:t>
      </w:r>
      <w:proofErr w:type="spellEnd"/>
      <w:r>
        <w:t xml:space="preserve"> model at pH 2.0 and 4.3 respectively. Circles </w:t>
      </w:r>
      <w:r w:rsidRPr="006F54A0">
        <w:t>=</w:t>
      </w:r>
      <w:r>
        <w:t xml:space="preserve"> </w:t>
      </w:r>
      <w:r w:rsidRPr="006F54A0">
        <w:t>Co</w:t>
      </w:r>
      <w:r w:rsidRPr="000509E3">
        <w:rPr>
          <w:vertAlign w:val="superscript"/>
        </w:rPr>
        <w:t>2+</w:t>
      </w:r>
      <w:r w:rsidRPr="006F54A0">
        <w:t xml:space="preserve"> and </w:t>
      </w:r>
      <w:r>
        <w:t xml:space="preserve">triangles </w:t>
      </w:r>
      <w:r w:rsidRPr="006F54A0">
        <w:t>=</w:t>
      </w:r>
      <w:r>
        <w:t xml:space="preserve"> </w:t>
      </w:r>
      <w:r w:rsidRPr="006F54A0">
        <w:t>Ni</w:t>
      </w:r>
      <w:r w:rsidRPr="000509E3">
        <w:rPr>
          <w:vertAlign w:val="superscript"/>
        </w:rPr>
        <w:t>2+</w:t>
      </w:r>
      <w:r w:rsidRPr="006F54A0">
        <w:t>,</w:t>
      </w:r>
      <w:r>
        <w:t xml:space="preserve"> open symbols = EBP-Si and closed symbols = S950.</w:t>
      </w:r>
    </w:p>
    <w:p w14:paraId="155D0EC2" w14:textId="77777777" w:rsidR="005D31A7" w:rsidRDefault="005D31A7" w:rsidP="00DC6731">
      <w:pPr>
        <w:pStyle w:val="Newparagraph"/>
      </w:pPr>
    </w:p>
    <w:p w14:paraId="1144457F" w14:textId="06FC6574" w:rsidR="007652DD" w:rsidRDefault="007652DD" w:rsidP="00EC6013">
      <w:pPr>
        <w:pStyle w:val="Newparagraph"/>
      </w:pPr>
      <w:r>
        <w:lastRenderedPageBreak/>
        <w:t xml:space="preserve">Pseudo </w:t>
      </w:r>
      <w:r w:rsidR="0007219C">
        <w:t xml:space="preserve">first and </w:t>
      </w:r>
      <w:r>
        <w:t>second order reaction kinetics were fitted to the data</w:t>
      </w:r>
      <w:r w:rsidR="0007219C">
        <w:t>. The pseudo first</w:t>
      </w:r>
      <w:r w:rsidR="00A81717">
        <w:t xml:space="preserve"> </w:t>
      </w:r>
      <w:r w:rsidR="0007219C">
        <w:t xml:space="preserve">order equation (Equation </w:t>
      </w:r>
      <w:r w:rsidR="00B340EE">
        <w:t>7</w:t>
      </w:r>
      <w:r w:rsidR="0007219C">
        <w:t xml:space="preserve">) </w:t>
      </w:r>
      <w:r w:rsidR="00A81717">
        <w:t xml:space="preserve">and the </w:t>
      </w:r>
      <w:r w:rsidR="0007219C">
        <w:t xml:space="preserve">pseudo second order </w:t>
      </w:r>
      <w:r w:rsidR="00A81717">
        <w:t>equations</w:t>
      </w:r>
      <w:r w:rsidR="0007219C">
        <w:t xml:space="preserve"> (Equations </w:t>
      </w:r>
      <w:r w:rsidR="00B340EE">
        <w:t>8</w:t>
      </w:r>
      <w:r w:rsidR="0007219C">
        <w:t>-</w:t>
      </w:r>
      <w:r w:rsidR="00B340EE">
        <w:t>10</w:t>
      </w:r>
      <w:r w:rsidR="0007219C">
        <w:t>)</w:t>
      </w:r>
      <w:r w:rsidR="00A81717">
        <w:t xml:space="preserve"> are shown below</w:t>
      </w:r>
      <w:proofErr w:type="gramStart"/>
      <w:r w:rsidR="007602A2">
        <w:t>:</w:t>
      </w:r>
      <w:r w:rsidR="007602A2" w:rsidRPr="007602A2">
        <w:rPr>
          <w:vertAlign w:val="superscript"/>
        </w:rPr>
        <w:t>[</w:t>
      </w:r>
      <w:proofErr w:type="gramEnd"/>
      <w:r w:rsidR="007602A2" w:rsidRPr="007602A2">
        <w:rPr>
          <w:vertAlign w:val="superscript"/>
        </w:rPr>
        <w:t>2</w:t>
      </w:r>
      <w:r w:rsidR="00B340EE">
        <w:rPr>
          <w:vertAlign w:val="superscript"/>
        </w:rPr>
        <w:t xml:space="preserve">6, </w:t>
      </w:r>
      <w:r w:rsidR="00C72B93">
        <w:rPr>
          <w:vertAlign w:val="superscript"/>
        </w:rPr>
        <w:t>51-54</w:t>
      </w:r>
      <w:r w:rsidR="007602A2" w:rsidRPr="007602A2">
        <w:rPr>
          <w:vertAlign w:val="superscript"/>
        </w:rPr>
        <w:t>]</w:t>
      </w:r>
    </w:p>
    <w:p w14:paraId="5237F67E" w14:textId="3741D340" w:rsidR="008F4A96" w:rsidRDefault="008F4A96" w:rsidP="00EC6013">
      <w:pPr>
        <w:pStyle w:val="Newparagraph"/>
      </w:pPr>
      <w:r>
        <w:rPr>
          <w:noProof/>
        </w:rPr>
        <w:drawing>
          <wp:inline distT="0" distB="0" distL="0" distR="0" wp14:anchorId="5AF988D4" wp14:editId="3DD97B4D">
            <wp:extent cx="1505712" cy="316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ation 7.tif"/>
                    <pic:cNvPicPr/>
                  </pic:nvPicPr>
                  <pic:blipFill>
                    <a:blip r:embed="rId22">
                      <a:extLst>
                        <a:ext uri="{28A0092B-C50C-407E-A947-70E740481C1C}">
                          <a14:useLocalDpi xmlns:a14="http://schemas.microsoft.com/office/drawing/2010/main" val="0"/>
                        </a:ext>
                      </a:extLst>
                    </a:blip>
                    <a:stretch>
                      <a:fillRect/>
                    </a:stretch>
                  </pic:blipFill>
                  <pic:spPr>
                    <a:xfrm>
                      <a:off x="0" y="0"/>
                      <a:ext cx="1505712" cy="316992"/>
                    </a:xfrm>
                    <a:prstGeom prst="rect">
                      <a:avLst/>
                    </a:prstGeom>
                  </pic:spPr>
                </pic:pic>
              </a:graphicData>
            </a:graphic>
          </wp:inline>
        </w:drawing>
      </w:r>
      <w:r>
        <w:tab/>
      </w:r>
      <w:r>
        <w:tab/>
      </w:r>
      <w:r>
        <w:tab/>
      </w:r>
      <w:r>
        <w:tab/>
      </w:r>
      <w:r>
        <w:tab/>
        <w:t>(7)</w:t>
      </w:r>
    </w:p>
    <w:p w14:paraId="5B5C1A3A" w14:textId="499AA419" w:rsidR="008F4A96" w:rsidRDefault="008F4A96" w:rsidP="00EC6013">
      <w:pPr>
        <w:pStyle w:val="Newparagraph"/>
      </w:pPr>
      <w:r>
        <w:rPr>
          <w:noProof/>
        </w:rPr>
        <w:drawing>
          <wp:inline distT="0" distB="0" distL="0" distR="0" wp14:anchorId="06302DDA" wp14:editId="0E2F174F">
            <wp:extent cx="1200912" cy="4937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quation 8.tif"/>
                    <pic:cNvPicPr/>
                  </pic:nvPicPr>
                  <pic:blipFill>
                    <a:blip r:embed="rId23">
                      <a:extLst>
                        <a:ext uri="{28A0092B-C50C-407E-A947-70E740481C1C}">
                          <a14:useLocalDpi xmlns:a14="http://schemas.microsoft.com/office/drawing/2010/main" val="0"/>
                        </a:ext>
                      </a:extLst>
                    </a:blip>
                    <a:stretch>
                      <a:fillRect/>
                    </a:stretch>
                  </pic:blipFill>
                  <pic:spPr>
                    <a:xfrm>
                      <a:off x="0" y="0"/>
                      <a:ext cx="1200912" cy="493776"/>
                    </a:xfrm>
                    <a:prstGeom prst="rect">
                      <a:avLst/>
                    </a:prstGeom>
                  </pic:spPr>
                </pic:pic>
              </a:graphicData>
            </a:graphic>
          </wp:inline>
        </w:drawing>
      </w:r>
      <w:r>
        <w:tab/>
      </w:r>
      <w:r>
        <w:tab/>
      </w:r>
      <w:r>
        <w:tab/>
      </w:r>
      <w:r>
        <w:tab/>
      </w:r>
      <w:r>
        <w:tab/>
      </w:r>
      <w:r>
        <w:tab/>
        <w:t>(8)</w:t>
      </w:r>
    </w:p>
    <w:p w14:paraId="3F9DE939" w14:textId="6141C2D2" w:rsidR="008F4A96" w:rsidRDefault="008F4A96" w:rsidP="00EC6013">
      <w:pPr>
        <w:pStyle w:val="Newparagraph"/>
      </w:pPr>
      <w:r>
        <w:rPr>
          <w:noProof/>
        </w:rPr>
        <w:drawing>
          <wp:inline distT="0" distB="0" distL="0" distR="0" wp14:anchorId="6BC155E9" wp14:editId="56C1D97A">
            <wp:extent cx="987552" cy="688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ation 9.tif"/>
                    <pic:cNvPicPr/>
                  </pic:nvPicPr>
                  <pic:blipFill>
                    <a:blip r:embed="rId24">
                      <a:extLst>
                        <a:ext uri="{28A0092B-C50C-407E-A947-70E740481C1C}">
                          <a14:useLocalDpi xmlns:a14="http://schemas.microsoft.com/office/drawing/2010/main" val="0"/>
                        </a:ext>
                      </a:extLst>
                    </a:blip>
                    <a:stretch>
                      <a:fillRect/>
                    </a:stretch>
                  </pic:blipFill>
                  <pic:spPr>
                    <a:xfrm>
                      <a:off x="0" y="0"/>
                      <a:ext cx="987552" cy="688848"/>
                    </a:xfrm>
                    <a:prstGeom prst="rect">
                      <a:avLst/>
                    </a:prstGeom>
                  </pic:spPr>
                </pic:pic>
              </a:graphicData>
            </a:graphic>
          </wp:inline>
        </w:drawing>
      </w:r>
      <w:r>
        <w:tab/>
      </w:r>
      <w:r>
        <w:tab/>
      </w:r>
      <w:r>
        <w:tab/>
      </w:r>
      <w:r>
        <w:tab/>
      </w:r>
      <w:r>
        <w:tab/>
      </w:r>
      <w:r>
        <w:tab/>
        <w:t>(9)</w:t>
      </w:r>
    </w:p>
    <w:p w14:paraId="65C0FB5A" w14:textId="4008AC59" w:rsidR="008F4A96" w:rsidRPr="008F4A96" w:rsidRDefault="008F4A96" w:rsidP="00EC6013">
      <w:pPr>
        <w:pStyle w:val="Newparagraph"/>
      </w:pPr>
      <w:r>
        <w:rPr>
          <w:noProof/>
        </w:rPr>
        <w:drawing>
          <wp:inline distT="0" distB="0" distL="0" distR="0" wp14:anchorId="655663C5" wp14:editId="78D06216">
            <wp:extent cx="896112"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quation 10.tif"/>
                    <pic:cNvPicPr/>
                  </pic:nvPicPr>
                  <pic:blipFill>
                    <a:blip r:embed="rId25">
                      <a:extLst>
                        <a:ext uri="{28A0092B-C50C-407E-A947-70E740481C1C}">
                          <a14:useLocalDpi xmlns:a14="http://schemas.microsoft.com/office/drawing/2010/main" val="0"/>
                        </a:ext>
                      </a:extLst>
                    </a:blip>
                    <a:stretch>
                      <a:fillRect/>
                    </a:stretch>
                  </pic:blipFill>
                  <pic:spPr>
                    <a:xfrm>
                      <a:off x="0" y="0"/>
                      <a:ext cx="896112" cy="274320"/>
                    </a:xfrm>
                    <a:prstGeom prst="rect">
                      <a:avLst/>
                    </a:prstGeom>
                  </pic:spPr>
                </pic:pic>
              </a:graphicData>
            </a:graphic>
          </wp:inline>
        </w:drawing>
      </w:r>
      <w:r>
        <w:tab/>
      </w:r>
      <w:r>
        <w:tab/>
      </w:r>
      <w:r>
        <w:tab/>
      </w:r>
      <w:r>
        <w:tab/>
      </w:r>
      <w:r>
        <w:tab/>
      </w:r>
      <w:r>
        <w:tab/>
      </w:r>
      <w:r>
        <w:tab/>
        <w:t>(10)</w:t>
      </w:r>
    </w:p>
    <w:p w14:paraId="1E3CB141" w14:textId="7189F1C3" w:rsidR="005D63C0" w:rsidRDefault="00A81717" w:rsidP="005D63C0">
      <w:pPr>
        <w:pStyle w:val="Newparagraph"/>
      </w:pPr>
      <w:r w:rsidRPr="00A81717">
        <w:t>Where</w:t>
      </w:r>
      <w:r>
        <w:t xml:space="preserve"> </w:t>
      </w:r>
      <w:proofErr w:type="spellStart"/>
      <w:r w:rsidRPr="00A81717">
        <w:rPr>
          <w:i/>
        </w:rPr>
        <w:t>q</w:t>
      </w:r>
      <w:r w:rsidRPr="00A81717">
        <w:rPr>
          <w:i/>
          <w:vertAlign w:val="subscript"/>
        </w:rPr>
        <w:t>t</w:t>
      </w:r>
      <w:proofErr w:type="spellEnd"/>
      <w:r>
        <w:t xml:space="preserve"> and </w:t>
      </w:r>
      <w:proofErr w:type="spellStart"/>
      <w:r w:rsidRPr="00A81717">
        <w:rPr>
          <w:i/>
        </w:rPr>
        <w:t>q</w:t>
      </w:r>
      <w:r w:rsidRPr="00A81717">
        <w:rPr>
          <w:i/>
          <w:vertAlign w:val="subscript"/>
        </w:rPr>
        <w:t>e</w:t>
      </w:r>
      <w:proofErr w:type="spellEnd"/>
      <w:r>
        <w:t xml:space="preserve"> are the metal concentrations</w:t>
      </w:r>
      <w:r w:rsidR="00FA7272">
        <w:t xml:space="preserve"> (</w:t>
      </w:r>
      <w:proofErr w:type="spellStart"/>
      <w:r w:rsidR="00FA7272">
        <w:t>mol</w:t>
      </w:r>
      <w:proofErr w:type="spellEnd"/>
      <w:r w:rsidR="002C43B6">
        <w:t xml:space="preserve"> </w:t>
      </w:r>
      <w:r w:rsidR="00FA7272">
        <w:t>g</w:t>
      </w:r>
      <w:r w:rsidR="002C43B6" w:rsidRPr="002C43B6">
        <w:rPr>
          <w:vertAlign w:val="superscript"/>
        </w:rPr>
        <w:t>-1</w:t>
      </w:r>
      <w:r w:rsidR="00FA7272">
        <w:t>)</w:t>
      </w:r>
      <w:r>
        <w:t xml:space="preserve"> at time </w:t>
      </w:r>
      <w:r>
        <w:rPr>
          <w:i/>
        </w:rPr>
        <w:t>t</w:t>
      </w:r>
      <w:r>
        <w:t xml:space="preserve"> (</w:t>
      </w:r>
      <w:r w:rsidR="00831440">
        <w:t>min</w:t>
      </w:r>
      <w:r>
        <w:t xml:space="preserve">) and at equilibrium, respectively, </w:t>
      </w:r>
      <w:r w:rsidR="0007219C">
        <w:rPr>
          <w:i/>
        </w:rPr>
        <w:t>k</w:t>
      </w:r>
      <w:r w:rsidR="0007219C" w:rsidRPr="00D30632">
        <w:rPr>
          <w:i/>
          <w:vertAlign w:val="subscript"/>
        </w:rPr>
        <w:t>1</w:t>
      </w:r>
      <w:r w:rsidR="0007219C">
        <w:rPr>
          <w:i/>
        </w:rPr>
        <w:t xml:space="preserve"> </w:t>
      </w:r>
      <w:r w:rsidR="0007219C">
        <w:t xml:space="preserve">and </w:t>
      </w:r>
      <w:r w:rsidRPr="00A81717">
        <w:rPr>
          <w:i/>
        </w:rPr>
        <w:t>k</w:t>
      </w:r>
      <w:r w:rsidRPr="00A81717">
        <w:rPr>
          <w:i/>
          <w:vertAlign w:val="subscript"/>
        </w:rPr>
        <w:t>2</w:t>
      </w:r>
      <w:r>
        <w:t xml:space="preserve"> </w:t>
      </w:r>
      <w:r w:rsidR="00FA7272">
        <w:t>(g</w:t>
      </w:r>
      <w:r w:rsidR="002C43B6">
        <w:t xml:space="preserve"> </w:t>
      </w:r>
      <w:r w:rsidR="00FA7272">
        <w:t>mol</w:t>
      </w:r>
      <w:r w:rsidR="002C43B6" w:rsidRPr="002C43B6">
        <w:rPr>
          <w:vertAlign w:val="superscript"/>
        </w:rPr>
        <w:t>-1</w:t>
      </w:r>
      <w:r w:rsidR="00FA7272">
        <w:t xml:space="preserve"> min</w:t>
      </w:r>
      <w:r w:rsidR="002C43B6" w:rsidRPr="002C43B6">
        <w:rPr>
          <w:vertAlign w:val="superscript"/>
        </w:rPr>
        <w:t>-1</w:t>
      </w:r>
      <w:r w:rsidR="00FA7272">
        <w:t xml:space="preserve">) </w:t>
      </w:r>
      <w:r w:rsidR="0007219C">
        <w:t>are</w:t>
      </w:r>
      <w:r>
        <w:t xml:space="preserve"> the pseudo </w:t>
      </w:r>
      <w:r w:rsidR="0007219C">
        <w:t xml:space="preserve">first order and pseudo </w:t>
      </w:r>
      <w:r>
        <w:t>second order rate constant</w:t>
      </w:r>
      <w:r w:rsidR="0007219C">
        <w:t>s</w:t>
      </w:r>
      <w:r>
        <w:t>,</w:t>
      </w:r>
      <w:r w:rsidR="00B340EE">
        <w:t xml:space="preserve"> respectively,</w:t>
      </w:r>
      <w:r>
        <w:t xml:space="preserve"> t</w:t>
      </w:r>
      <w:r w:rsidRPr="00A81717">
        <w:rPr>
          <w:vertAlign w:val="subscript"/>
        </w:rPr>
        <w:t>1/2</w:t>
      </w:r>
      <w:r>
        <w:t xml:space="preserve"> is the</w:t>
      </w:r>
      <w:r w:rsidR="00831440">
        <w:t xml:space="preserve"> sorption half time (min) </w:t>
      </w:r>
      <w:r>
        <w:t xml:space="preserve">and </w:t>
      </w:r>
      <w:r>
        <w:rPr>
          <w:i/>
        </w:rPr>
        <w:t>h</w:t>
      </w:r>
      <w:r w:rsidRPr="00A81717">
        <w:rPr>
          <w:i/>
          <w:vertAlign w:val="subscript"/>
        </w:rPr>
        <w:t>0</w:t>
      </w:r>
      <w:r>
        <w:t xml:space="preserve"> is the initial adsorption rate (mg</w:t>
      </w:r>
      <w:r w:rsidR="002C43B6">
        <w:t xml:space="preserve"> </w:t>
      </w:r>
      <w:r>
        <w:t>g</w:t>
      </w:r>
      <w:r w:rsidR="002C43B6" w:rsidRPr="002C43B6">
        <w:rPr>
          <w:vertAlign w:val="superscript"/>
        </w:rPr>
        <w:t>-1</w:t>
      </w:r>
      <w:r>
        <w:t xml:space="preserve"> min</w:t>
      </w:r>
      <w:r w:rsidR="002C43B6" w:rsidRPr="002C43B6">
        <w:rPr>
          <w:vertAlign w:val="superscript"/>
        </w:rPr>
        <w:t>-1</w:t>
      </w:r>
      <w:r w:rsidR="007602A2">
        <w:t xml:space="preserve">). </w:t>
      </w:r>
      <w:r w:rsidR="0007219C">
        <w:t xml:space="preserve">The parameters calculated are presented in Table </w:t>
      </w:r>
      <w:r w:rsidR="00B340EE">
        <w:t>4</w:t>
      </w:r>
      <w:r w:rsidR="0007219C">
        <w:t>. It can be seen from the R</w:t>
      </w:r>
      <w:r w:rsidR="0007219C" w:rsidRPr="00D30632">
        <w:rPr>
          <w:vertAlign w:val="superscript"/>
        </w:rPr>
        <w:t>2</w:t>
      </w:r>
      <w:r w:rsidR="0007219C">
        <w:t xml:space="preserve"> values that the data does not fit a pseudo-first order reaction mechanism. The pseudo second order data is shown in Figure </w:t>
      </w:r>
      <w:r w:rsidR="00B340EE">
        <w:t>8</w:t>
      </w:r>
      <w:r w:rsidR="0007219C">
        <w:t>.</w:t>
      </w:r>
      <w:r w:rsidR="00FA7272">
        <w:t xml:space="preserve"> </w:t>
      </w:r>
      <w:r w:rsidR="005D63C0">
        <w:t>The rate constants determined for EBP-Si are much higher than for S950, nearly two and half times greater, and the sorption half-time for both resins occurs in minutes but uptake by EBP-Si is more rapid than S950. Due to the differences in structure, described previously, it seems apparent that while uptake is higher on S950 than EBP-Si, it takes longer for cobalt and nickel to access all the sites available for sorption.</w:t>
      </w:r>
    </w:p>
    <w:p w14:paraId="0DCC8FA8" w14:textId="23BC4F1E" w:rsidR="005D31A7" w:rsidRDefault="005D31A7" w:rsidP="005D63C0">
      <w:pPr>
        <w:pStyle w:val="Newparagraph"/>
      </w:pPr>
      <w:r>
        <w:rPr>
          <w:noProof/>
        </w:rPr>
        <w:lastRenderedPageBreak/>
        <w:drawing>
          <wp:inline distT="0" distB="0" distL="0" distR="0" wp14:anchorId="0A33E5FA" wp14:editId="7B14AF7B">
            <wp:extent cx="3776400" cy="503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8.tif"/>
                    <pic:cNvPicPr/>
                  </pic:nvPicPr>
                  <pic:blipFill>
                    <a:blip r:embed="rId26">
                      <a:extLst>
                        <a:ext uri="{28A0092B-C50C-407E-A947-70E740481C1C}">
                          <a14:useLocalDpi xmlns:a14="http://schemas.microsoft.com/office/drawing/2010/main" val="0"/>
                        </a:ext>
                      </a:extLst>
                    </a:blip>
                    <a:stretch>
                      <a:fillRect/>
                    </a:stretch>
                  </pic:blipFill>
                  <pic:spPr>
                    <a:xfrm>
                      <a:off x="0" y="0"/>
                      <a:ext cx="3776400" cy="5032800"/>
                    </a:xfrm>
                    <a:prstGeom prst="rect">
                      <a:avLst/>
                    </a:prstGeom>
                  </pic:spPr>
                </pic:pic>
              </a:graphicData>
            </a:graphic>
          </wp:inline>
        </w:drawing>
      </w:r>
    </w:p>
    <w:p w14:paraId="5C8D9776" w14:textId="77777777" w:rsidR="005D31A7" w:rsidRDefault="005D31A7" w:rsidP="005D31A7">
      <w:pPr>
        <w:pStyle w:val="Figurecaption"/>
      </w:pPr>
      <w:r>
        <w:t>Figure 8: Uptake of cobalt and nickel as a function of time and pseudo-second order (PSO) kinetic fitting on (a) EBP-Si and (b) S950. Circles = Co</w:t>
      </w:r>
      <w:r>
        <w:rPr>
          <w:vertAlign w:val="superscript"/>
        </w:rPr>
        <w:t>2+</w:t>
      </w:r>
      <w:r>
        <w:t xml:space="preserve"> and triangles = Ni</w:t>
      </w:r>
      <w:r w:rsidRPr="00E40656">
        <w:rPr>
          <w:vertAlign w:val="superscript"/>
        </w:rPr>
        <w:t>2+</w:t>
      </w:r>
      <w:r>
        <w:t>, black solid line = Co</w:t>
      </w:r>
      <w:r>
        <w:rPr>
          <w:vertAlign w:val="superscript"/>
        </w:rPr>
        <w:t>2+</w:t>
      </w:r>
      <w:r>
        <w:t xml:space="preserve"> PSO fitting, black dashed line = Ni</w:t>
      </w:r>
      <w:r>
        <w:rPr>
          <w:vertAlign w:val="superscript"/>
        </w:rPr>
        <w:t>2+</w:t>
      </w:r>
      <w:r>
        <w:t xml:space="preserve"> PSO fitting.</w:t>
      </w:r>
    </w:p>
    <w:p w14:paraId="764BE621" w14:textId="77777777" w:rsidR="005D31A7" w:rsidRDefault="005D31A7" w:rsidP="005D63C0">
      <w:pPr>
        <w:pStyle w:val="Newparagraph"/>
      </w:pPr>
    </w:p>
    <w:p w14:paraId="4BB41DE7" w14:textId="1C14543E" w:rsidR="00E92363" w:rsidRDefault="00E92363" w:rsidP="00B65A2B">
      <w:pPr>
        <w:pStyle w:val="Newparagraph"/>
        <w:rPr>
          <w:vertAlign w:val="superscript"/>
        </w:rPr>
      </w:pPr>
      <w:r w:rsidRPr="00C8002C">
        <w:t xml:space="preserve">The overall superior fit of the pseudo-second-order model with </w:t>
      </w:r>
      <w:r w:rsidR="00FA7272">
        <w:t xml:space="preserve">the </w:t>
      </w:r>
      <w:r w:rsidRPr="00C8002C">
        <w:t>experimental data implies that the adsorption</w:t>
      </w:r>
      <w:r w:rsidR="00C8002C">
        <w:t>/desorption</w:t>
      </w:r>
      <w:r w:rsidRPr="00C8002C">
        <w:t xml:space="preserve"> process</w:t>
      </w:r>
      <w:r w:rsidR="00C8002C">
        <w:t xml:space="preserve">, </w:t>
      </w:r>
      <w:r w:rsidR="005D63C0" w:rsidRPr="00C61F2B">
        <w:rPr>
          <w:i/>
        </w:rPr>
        <w:t>i.e.</w:t>
      </w:r>
      <w:r w:rsidR="005D63C0">
        <w:t xml:space="preserve"> </w:t>
      </w:r>
      <w:r w:rsidR="000C36D8">
        <w:t xml:space="preserve">the </w:t>
      </w:r>
      <w:r w:rsidR="00C8002C">
        <w:t xml:space="preserve">chemical reaction of the metal ions with the chelating functionality of the </w:t>
      </w:r>
      <w:proofErr w:type="spellStart"/>
      <w:r w:rsidR="00EC6013">
        <w:t>extractants</w:t>
      </w:r>
      <w:proofErr w:type="spellEnd"/>
      <w:r w:rsidR="00C8002C">
        <w:t>,</w:t>
      </w:r>
      <w:r w:rsidRPr="00C8002C">
        <w:t xml:space="preserve"> is </w:t>
      </w:r>
      <w:r w:rsidR="00C8002C">
        <w:t>the rate</w:t>
      </w:r>
      <w:r w:rsidR="007602A2">
        <w:t>-</w:t>
      </w:r>
      <w:r w:rsidR="00C8002C">
        <w:t>determining process</w:t>
      </w:r>
      <w:r w:rsidR="007602A2">
        <w:t>,</w:t>
      </w:r>
      <w:r w:rsidR="007602A2" w:rsidRPr="007602A2">
        <w:rPr>
          <w:vertAlign w:val="superscript"/>
        </w:rPr>
        <w:t>[</w:t>
      </w:r>
      <w:r w:rsidR="00C66F35" w:rsidRPr="007602A2">
        <w:rPr>
          <w:vertAlign w:val="superscript"/>
        </w:rPr>
        <w:t>4</w:t>
      </w:r>
      <w:r w:rsidR="00C66F35">
        <w:rPr>
          <w:vertAlign w:val="superscript"/>
        </w:rPr>
        <w:t>8</w:t>
      </w:r>
      <w:r w:rsidR="007602A2" w:rsidRPr="007602A2">
        <w:rPr>
          <w:vertAlign w:val="superscript"/>
        </w:rPr>
        <w:t>]</w:t>
      </w:r>
      <w:r w:rsidRPr="00C8002C">
        <w:t xml:space="preserve"> </w:t>
      </w:r>
      <w:r w:rsidR="0028230F" w:rsidRPr="00C8002C">
        <w:t xml:space="preserve">much like </w:t>
      </w:r>
      <w:r w:rsidRPr="00C8002C">
        <w:t xml:space="preserve">chemisorption involving valence force through sharing or exchange of electrons between </w:t>
      </w:r>
      <w:r w:rsidR="0028230F" w:rsidRPr="00C8002C">
        <w:t>the functionality</w:t>
      </w:r>
      <w:r w:rsidRPr="00C8002C">
        <w:t xml:space="preserve"> and heavy metal ions</w:t>
      </w:r>
      <w:r w:rsidR="007602A2">
        <w:t>.</w:t>
      </w:r>
      <w:r w:rsidR="007602A2" w:rsidRPr="007602A2">
        <w:rPr>
          <w:vertAlign w:val="superscript"/>
        </w:rPr>
        <w:t>[</w:t>
      </w:r>
      <w:r w:rsidR="00C66F35">
        <w:rPr>
          <w:vertAlign w:val="superscript"/>
        </w:rPr>
        <w:t>5</w:t>
      </w:r>
      <w:r w:rsidR="00C72B93">
        <w:rPr>
          <w:vertAlign w:val="superscript"/>
        </w:rPr>
        <w:t>5</w:t>
      </w:r>
      <w:r w:rsidR="007602A2" w:rsidRPr="007602A2">
        <w:rPr>
          <w:vertAlign w:val="superscript"/>
        </w:rPr>
        <w:t>]</w:t>
      </w:r>
      <w:r w:rsidR="00295FDA">
        <w:t xml:space="preserve"> </w:t>
      </w:r>
      <w:r w:rsidR="00B65A2B">
        <w:t>This type of kinetic behaviour has been observed before in the uptake of Co(II) and Ni(II) on synthesized</w:t>
      </w:r>
      <w:r w:rsidR="00B65A2B" w:rsidRPr="00B65A2B">
        <w:t xml:space="preserve"> </w:t>
      </w:r>
      <w:r w:rsidR="00B65A2B">
        <w:t>cross-linked poly[(</w:t>
      </w:r>
      <w:proofErr w:type="spellStart"/>
      <w:r w:rsidR="00B65A2B">
        <w:t>aminopropyl</w:t>
      </w:r>
      <w:proofErr w:type="spellEnd"/>
      <w:r w:rsidR="00B65A2B">
        <w:t xml:space="preserve">)phosphonates where the fitting did not </w:t>
      </w:r>
      <w:r w:rsidR="00B65A2B">
        <w:lastRenderedPageBreak/>
        <w:t>follow diffusion controlled models but produced a comprehensively superior pseudo second order model fit</w:t>
      </w:r>
      <w:r w:rsidR="007602A2">
        <w:t>.</w:t>
      </w:r>
      <w:r w:rsidR="007602A2" w:rsidRPr="007602A2">
        <w:rPr>
          <w:vertAlign w:val="superscript"/>
        </w:rPr>
        <w:t>[</w:t>
      </w:r>
      <w:r w:rsidR="001E3894">
        <w:rPr>
          <w:vertAlign w:val="superscript"/>
        </w:rPr>
        <w:t>5</w:t>
      </w:r>
      <w:r w:rsidR="00C72B93">
        <w:rPr>
          <w:vertAlign w:val="superscript"/>
        </w:rPr>
        <w:t>5</w:t>
      </w:r>
      <w:r w:rsidR="007602A2" w:rsidRPr="007602A2">
        <w:rPr>
          <w:vertAlign w:val="superscript"/>
        </w:rPr>
        <w:t>]</w:t>
      </w:r>
    </w:p>
    <w:p w14:paraId="0F11477B" w14:textId="77777777" w:rsidR="005D31A7" w:rsidRDefault="005D31A7" w:rsidP="005D31A7">
      <w:pPr>
        <w:pStyle w:val="Tabletitle"/>
      </w:pPr>
      <w:r>
        <w:t xml:space="preserve">Table 4. Pseudo-first order and pseudo-second order reaction kinetic parameters determined for uptake of Co and Ni at pH 2 </w:t>
      </w:r>
      <w:r w:rsidRPr="0056355C">
        <w:t>± 0.1</w:t>
      </w:r>
      <w:r>
        <w:t xml:space="preserve"> and 4.3 </w:t>
      </w:r>
      <w:r w:rsidRPr="0056355C">
        <w:t>± 0.1</w:t>
      </w:r>
      <w:r>
        <w:t xml:space="preserve"> for H-EBP-Si and S950, respectively. Cobalt and nickel concentrations were equal at 100 ppm each.</w:t>
      </w:r>
    </w:p>
    <w:tbl>
      <w:tblPr>
        <w:tblStyle w:val="TableGrid"/>
        <w:tblW w:w="8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47"/>
        <w:gridCol w:w="1531"/>
        <w:gridCol w:w="1531"/>
        <w:gridCol w:w="1531"/>
      </w:tblGrid>
      <w:tr w:rsidR="005D31A7" w:rsidRPr="000C36D8" w14:paraId="7063B1B6" w14:textId="77777777" w:rsidTr="0041637A">
        <w:tc>
          <w:tcPr>
            <w:tcW w:w="2268" w:type="dxa"/>
            <w:tcBorders>
              <w:top w:val="single" w:sz="4" w:space="0" w:color="auto"/>
            </w:tcBorders>
            <w:vAlign w:val="center"/>
          </w:tcPr>
          <w:p w14:paraId="24BD404F" w14:textId="77777777" w:rsidR="005D31A7" w:rsidRPr="000C36D8" w:rsidRDefault="005D31A7" w:rsidP="0041637A">
            <w:pPr>
              <w:jc w:val="center"/>
            </w:pPr>
            <w:r>
              <w:t>Pseudo-first order</w:t>
            </w:r>
          </w:p>
        </w:tc>
        <w:tc>
          <w:tcPr>
            <w:tcW w:w="2778" w:type="dxa"/>
            <w:gridSpan w:val="2"/>
            <w:tcBorders>
              <w:top w:val="single" w:sz="4" w:space="0" w:color="auto"/>
            </w:tcBorders>
            <w:vAlign w:val="center"/>
          </w:tcPr>
          <w:p w14:paraId="0B58D62B" w14:textId="77777777" w:rsidR="005D31A7" w:rsidRPr="000C36D8" w:rsidRDefault="005D31A7" w:rsidP="0041637A">
            <w:pPr>
              <w:jc w:val="center"/>
            </w:pPr>
            <w:r>
              <w:t>EBP-Si</w:t>
            </w:r>
          </w:p>
        </w:tc>
        <w:tc>
          <w:tcPr>
            <w:tcW w:w="3062" w:type="dxa"/>
            <w:gridSpan w:val="2"/>
            <w:tcBorders>
              <w:top w:val="single" w:sz="4" w:space="0" w:color="auto"/>
            </w:tcBorders>
            <w:vAlign w:val="center"/>
          </w:tcPr>
          <w:p w14:paraId="6A1CDD53" w14:textId="77777777" w:rsidR="005D31A7" w:rsidRPr="000C36D8" w:rsidRDefault="005D31A7" w:rsidP="0041637A">
            <w:pPr>
              <w:jc w:val="center"/>
            </w:pPr>
            <w:r>
              <w:t>S950</w:t>
            </w:r>
          </w:p>
        </w:tc>
      </w:tr>
      <w:tr w:rsidR="005D31A7" w:rsidRPr="000C36D8" w14:paraId="722C8260" w14:textId="77777777" w:rsidTr="0041637A">
        <w:tc>
          <w:tcPr>
            <w:tcW w:w="2268" w:type="dxa"/>
            <w:tcBorders>
              <w:bottom w:val="single" w:sz="4" w:space="0" w:color="auto"/>
            </w:tcBorders>
            <w:vAlign w:val="center"/>
          </w:tcPr>
          <w:p w14:paraId="3BA576EC" w14:textId="77777777" w:rsidR="005D31A7" w:rsidRPr="000C36D8" w:rsidRDefault="005D31A7" w:rsidP="0041637A">
            <w:pPr>
              <w:jc w:val="center"/>
            </w:pPr>
            <w:r>
              <w:t>Constant</w:t>
            </w:r>
          </w:p>
        </w:tc>
        <w:tc>
          <w:tcPr>
            <w:tcW w:w="1247" w:type="dxa"/>
            <w:tcBorders>
              <w:bottom w:val="single" w:sz="4" w:space="0" w:color="auto"/>
            </w:tcBorders>
            <w:vAlign w:val="center"/>
          </w:tcPr>
          <w:p w14:paraId="55D01379" w14:textId="77777777" w:rsidR="005D31A7" w:rsidRPr="000C36D8" w:rsidRDefault="005D31A7" w:rsidP="0041637A">
            <w:pPr>
              <w:jc w:val="center"/>
            </w:pPr>
            <w:r>
              <w:t>Co</w:t>
            </w:r>
            <w:r w:rsidRPr="007652DD">
              <w:rPr>
                <w:vertAlign w:val="superscript"/>
              </w:rPr>
              <w:t>2+</w:t>
            </w:r>
          </w:p>
        </w:tc>
        <w:tc>
          <w:tcPr>
            <w:tcW w:w="1531" w:type="dxa"/>
            <w:tcBorders>
              <w:bottom w:val="single" w:sz="4" w:space="0" w:color="auto"/>
            </w:tcBorders>
            <w:vAlign w:val="center"/>
          </w:tcPr>
          <w:p w14:paraId="2A87FDB2" w14:textId="77777777" w:rsidR="005D31A7" w:rsidRPr="000C36D8" w:rsidRDefault="005D31A7" w:rsidP="0041637A">
            <w:pPr>
              <w:jc w:val="center"/>
            </w:pPr>
            <w:r>
              <w:t>Ni</w:t>
            </w:r>
            <w:r w:rsidRPr="007652DD">
              <w:rPr>
                <w:vertAlign w:val="superscript"/>
              </w:rPr>
              <w:t>2+</w:t>
            </w:r>
          </w:p>
        </w:tc>
        <w:tc>
          <w:tcPr>
            <w:tcW w:w="1531" w:type="dxa"/>
            <w:tcBorders>
              <w:bottom w:val="single" w:sz="4" w:space="0" w:color="auto"/>
            </w:tcBorders>
            <w:vAlign w:val="center"/>
          </w:tcPr>
          <w:p w14:paraId="3E1C6F5B" w14:textId="77777777" w:rsidR="005D31A7" w:rsidRPr="000C36D8" w:rsidRDefault="005D31A7" w:rsidP="0041637A">
            <w:pPr>
              <w:jc w:val="center"/>
            </w:pPr>
            <w:r>
              <w:t>Co</w:t>
            </w:r>
            <w:r w:rsidRPr="007652DD">
              <w:rPr>
                <w:vertAlign w:val="superscript"/>
              </w:rPr>
              <w:t>2+</w:t>
            </w:r>
          </w:p>
        </w:tc>
        <w:tc>
          <w:tcPr>
            <w:tcW w:w="1531" w:type="dxa"/>
            <w:tcBorders>
              <w:bottom w:val="single" w:sz="4" w:space="0" w:color="auto"/>
            </w:tcBorders>
            <w:vAlign w:val="center"/>
          </w:tcPr>
          <w:p w14:paraId="63E8B9CB" w14:textId="77777777" w:rsidR="005D31A7" w:rsidRPr="000C36D8" w:rsidRDefault="005D31A7" w:rsidP="0041637A">
            <w:pPr>
              <w:jc w:val="center"/>
            </w:pPr>
            <w:r>
              <w:t>Ni</w:t>
            </w:r>
            <w:r w:rsidRPr="007652DD">
              <w:rPr>
                <w:vertAlign w:val="superscript"/>
              </w:rPr>
              <w:t>2+</w:t>
            </w:r>
          </w:p>
        </w:tc>
      </w:tr>
      <w:tr w:rsidR="005D31A7" w:rsidRPr="000C36D8" w14:paraId="3ED51811" w14:textId="77777777" w:rsidTr="0041637A">
        <w:tc>
          <w:tcPr>
            <w:tcW w:w="2268" w:type="dxa"/>
            <w:tcBorders>
              <w:top w:val="single" w:sz="4" w:space="0" w:color="auto"/>
            </w:tcBorders>
            <w:vAlign w:val="center"/>
          </w:tcPr>
          <w:p w14:paraId="309290B7" w14:textId="77777777" w:rsidR="005D31A7" w:rsidRPr="000C36D8" w:rsidRDefault="005D31A7" w:rsidP="0041637A">
            <w:pPr>
              <w:jc w:val="center"/>
            </w:pPr>
            <w:r>
              <w:rPr>
                <w:i/>
              </w:rPr>
              <w:t>k</w:t>
            </w:r>
            <w:r>
              <w:rPr>
                <w:i/>
                <w:vertAlign w:val="subscript"/>
              </w:rPr>
              <w:t>1</w:t>
            </w:r>
            <w:r>
              <w:t xml:space="preserve"> (g mol</w:t>
            </w:r>
            <w:r w:rsidRPr="000C36D8">
              <w:rPr>
                <w:vertAlign w:val="superscript"/>
              </w:rPr>
              <w:t>-1</w:t>
            </w:r>
            <w:r>
              <w:t xml:space="preserve"> min</w:t>
            </w:r>
            <w:r w:rsidRPr="000C36D8">
              <w:rPr>
                <w:vertAlign w:val="superscript"/>
              </w:rPr>
              <w:t>-1</w:t>
            </w:r>
            <w:r>
              <w:t>)</w:t>
            </w:r>
          </w:p>
        </w:tc>
        <w:tc>
          <w:tcPr>
            <w:tcW w:w="1247" w:type="dxa"/>
            <w:tcBorders>
              <w:top w:val="single" w:sz="4" w:space="0" w:color="auto"/>
            </w:tcBorders>
            <w:vAlign w:val="center"/>
          </w:tcPr>
          <w:p w14:paraId="01C68F6E" w14:textId="77777777" w:rsidR="005D31A7" w:rsidRDefault="005D31A7" w:rsidP="0041637A">
            <w:pPr>
              <w:jc w:val="center"/>
            </w:pPr>
            <w:r>
              <w:t>0.31</w:t>
            </w:r>
          </w:p>
        </w:tc>
        <w:tc>
          <w:tcPr>
            <w:tcW w:w="1531" w:type="dxa"/>
            <w:tcBorders>
              <w:top w:val="single" w:sz="4" w:space="0" w:color="auto"/>
            </w:tcBorders>
            <w:vAlign w:val="center"/>
          </w:tcPr>
          <w:p w14:paraId="3979255C" w14:textId="77777777" w:rsidR="005D31A7" w:rsidRDefault="005D31A7" w:rsidP="0041637A">
            <w:pPr>
              <w:jc w:val="center"/>
            </w:pPr>
            <w:r>
              <w:t>0.38</w:t>
            </w:r>
          </w:p>
        </w:tc>
        <w:tc>
          <w:tcPr>
            <w:tcW w:w="1531" w:type="dxa"/>
            <w:tcBorders>
              <w:top w:val="single" w:sz="4" w:space="0" w:color="auto"/>
            </w:tcBorders>
            <w:vAlign w:val="center"/>
          </w:tcPr>
          <w:p w14:paraId="779B0F51" w14:textId="77777777" w:rsidR="005D31A7" w:rsidRDefault="005D31A7" w:rsidP="0041637A">
            <w:pPr>
              <w:jc w:val="center"/>
            </w:pPr>
            <w:r>
              <w:t>0.17</w:t>
            </w:r>
          </w:p>
        </w:tc>
        <w:tc>
          <w:tcPr>
            <w:tcW w:w="1531" w:type="dxa"/>
            <w:tcBorders>
              <w:top w:val="single" w:sz="4" w:space="0" w:color="auto"/>
            </w:tcBorders>
            <w:vAlign w:val="center"/>
          </w:tcPr>
          <w:p w14:paraId="12A77F8E" w14:textId="77777777" w:rsidR="005D31A7" w:rsidRDefault="005D31A7" w:rsidP="0041637A">
            <w:pPr>
              <w:jc w:val="center"/>
            </w:pPr>
            <w:r>
              <w:t>0.16</w:t>
            </w:r>
          </w:p>
        </w:tc>
      </w:tr>
      <w:tr w:rsidR="005D31A7" w:rsidRPr="000C36D8" w14:paraId="5EE3EB73" w14:textId="77777777" w:rsidTr="0041637A">
        <w:tc>
          <w:tcPr>
            <w:tcW w:w="2268" w:type="dxa"/>
            <w:vAlign w:val="center"/>
          </w:tcPr>
          <w:p w14:paraId="100927D5" w14:textId="77777777" w:rsidR="005D31A7" w:rsidRPr="000C36D8" w:rsidRDefault="005D31A7" w:rsidP="0041637A">
            <w:pPr>
              <w:jc w:val="center"/>
            </w:pPr>
            <w:proofErr w:type="spellStart"/>
            <w:r>
              <w:t>q</w:t>
            </w:r>
            <w:r w:rsidRPr="007652DD">
              <w:rPr>
                <w:vertAlign w:val="subscript"/>
              </w:rPr>
              <w:t>e</w:t>
            </w:r>
            <w:proofErr w:type="spellEnd"/>
            <w:r>
              <w:rPr>
                <w:vertAlign w:val="subscript"/>
              </w:rPr>
              <w:t xml:space="preserve"> </w:t>
            </w:r>
            <w:r>
              <w:t>(</w:t>
            </w:r>
            <w:proofErr w:type="spellStart"/>
            <w:r>
              <w:t>mol</w:t>
            </w:r>
            <w:proofErr w:type="spellEnd"/>
            <w:r>
              <w:t xml:space="preserve"> g</w:t>
            </w:r>
            <w:r w:rsidRPr="000C36D8">
              <w:rPr>
                <w:vertAlign w:val="superscript"/>
              </w:rPr>
              <w:t>-1</w:t>
            </w:r>
            <w:r>
              <w:t>)</w:t>
            </w:r>
          </w:p>
        </w:tc>
        <w:tc>
          <w:tcPr>
            <w:tcW w:w="1247" w:type="dxa"/>
            <w:vAlign w:val="center"/>
          </w:tcPr>
          <w:p w14:paraId="4A49E02F" w14:textId="77777777" w:rsidR="005D31A7" w:rsidRDefault="005D31A7" w:rsidP="0041637A">
            <w:pPr>
              <w:jc w:val="center"/>
            </w:pPr>
            <w:r>
              <w:t>0.0465</w:t>
            </w:r>
          </w:p>
        </w:tc>
        <w:tc>
          <w:tcPr>
            <w:tcW w:w="1531" w:type="dxa"/>
            <w:vAlign w:val="center"/>
          </w:tcPr>
          <w:p w14:paraId="0F2A41B2" w14:textId="77777777" w:rsidR="005D31A7" w:rsidRDefault="005D31A7" w:rsidP="0041637A">
            <w:pPr>
              <w:jc w:val="center"/>
            </w:pPr>
            <w:r>
              <w:t>0.0451</w:t>
            </w:r>
          </w:p>
        </w:tc>
        <w:tc>
          <w:tcPr>
            <w:tcW w:w="1531" w:type="dxa"/>
            <w:vAlign w:val="center"/>
          </w:tcPr>
          <w:p w14:paraId="6326FC3D" w14:textId="77777777" w:rsidR="005D31A7" w:rsidRDefault="005D31A7" w:rsidP="0041637A">
            <w:pPr>
              <w:jc w:val="center"/>
            </w:pPr>
            <w:r>
              <w:t>0.0596</w:t>
            </w:r>
          </w:p>
        </w:tc>
        <w:tc>
          <w:tcPr>
            <w:tcW w:w="1531" w:type="dxa"/>
            <w:vAlign w:val="center"/>
          </w:tcPr>
          <w:p w14:paraId="69A7A14D" w14:textId="77777777" w:rsidR="005D31A7" w:rsidRDefault="005D31A7" w:rsidP="0041637A">
            <w:pPr>
              <w:jc w:val="center"/>
            </w:pPr>
            <w:r>
              <w:t>0.0553</w:t>
            </w:r>
          </w:p>
        </w:tc>
      </w:tr>
      <w:tr w:rsidR="005D31A7" w:rsidRPr="000C36D8" w14:paraId="684F927D" w14:textId="77777777" w:rsidTr="0041637A">
        <w:tc>
          <w:tcPr>
            <w:tcW w:w="2268" w:type="dxa"/>
            <w:vAlign w:val="center"/>
          </w:tcPr>
          <w:p w14:paraId="68CC8ADE" w14:textId="77777777" w:rsidR="005D31A7" w:rsidRPr="000C36D8" w:rsidRDefault="005D31A7" w:rsidP="0041637A">
            <w:pPr>
              <w:jc w:val="center"/>
            </w:pPr>
            <w:r>
              <w:rPr>
                <w:i/>
              </w:rPr>
              <w:t>t</w:t>
            </w:r>
            <w:r w:rsidRPr="007652DD">
              <w:rPr>
                <w:i/>
                <w:vertAlign w:val="subscript"/>
              </w:rPr>
              <w:t>1/2</w:t>
            </w:r>
            <w:r>
              <w:rPr>
                <w:i/>
                <w:vertAlign w:val="subscript"/>
              </w:rPr>
              <w:t xml:space="preserve"> </w:t>
            </w:r>
            <w:r>
              <w:t>(min)</w:t>
            </w:r>
          </w:p>
        </w:tc>
        <w:tc>
          <w:tcPr>
            <w:tcW w:w="1247" w:type="dxa"/>
            <w:vAlign w:val="center"/>
          </w:tcPr>
          <w:p w14:paraId="09F85CAA" w14:textId="77777777" w:rsidR="005D31A7" w:rsidRDefault="005D31A7" w:rsidP="0041637A">
            <w:pPr>
              <w:jc w:val="center"/>
            </w:pPr>
            <w:r>
              <w:t>2.249</w:t>
            </w:r>
          </w:p>
        </w:tc>
        <w:tc>
          <w:tcPr>
            <w:tcW w:w="1531" w:type="dxa"/>
            <w:vAlign w:val="center"/>
          </w:tcPr>
          <w:p w14:paraId="18079C75" w14:textId="77777777" w:rsidR="005D31A7" w:rsidRDefault="005D31A7" w:rsidP="0041637A">
            <w:pPr>
              <w:jc w:val="center"/>
            </w:pPr>
            <w:r>
              <w:t>1.810</w:t>
            </w:r>
          </w:p>
        </w:tc>
        <w:tc>
          <w:tcPr>
            <w:tcW w:w="1531" w:type="dxa"/>
            <w:vAlign w:val="center"/>
          </w:tcPr>
          <w:p w14:paraId="7709FEE8" w14:textId="77777777" w:rsidR="005D31A7" w:rsidRDefault="005D31A7" w:rsidP="0041637A">
            <w:pPr>
              <w:jc w:val="center"/>
            </w:pPr>
            <w:r>
              <w:t>4.075</w:t>
            </w:r>
          </w:p>
        </w:tc>
        <w:tc>
          <w:tcPr>
            <w:tcW w:w="1531" w:type="dxa"/>
            <w:vAlign w:val="center"/>
          </w:tcPr>
          <w:p w14:paraId="5584F248" w14:textId="77777777" w:rsidR="005D31A7" w:rsidRDefault="005D31A7" w:rsidP="0041637A">
            <w:pPr>
              <w:jc w:val="center"/>
            </w:pPr>
            <w:r>
              <w:t>4.238</w:t>
            </w:r>
          </w:p>
        </w:tc>
      </w:tr>
      <w:tr w:rsidR="005D31A7" w:rsidRPr="000C36D8" w14:paraId="514F1F6A" w14:textId="77777777" w:rsidTr="0041637A">
        <w:tc>
          <w:tcPr>
            <w:tcW w:w="2268" w:type="dxa"/>
            <w:tcBorders>
              <w:bottom w:val="single" w:sz="4" w:space="0" w:color="auto"/>
            </w:tcBorders>
            <w:vAlign w:val="center"/>
          </w:tcPr>
          <w:p w14:paraId="4FB3B98C" w14:textId="77777777" w:rsidR="005D31A7" w:rsidRDefault="005D31A7" w:rsidP="0041637A">
            <w:pPr>
              <w:jc w:val="center"/>
              <w:rPr>
                <w:i/>
              </w:rPr>
            </w:pPr>
            <w:r>
              <w:t>R</w:t>
            </w:r>
            <w:r w:rsidRPr="007652DD">
              <w:rPr>
                <w:vertAlign w:val="superscript"/>
              </w:rPr>
              <w:t>2</w:t>
            </w:r>
          </w:p>
        </w:tc>
        <w:tc>
          <w:tcPr>
            <w:tcW w:w="1247" w:type="dxa"/>
            <w:tcBorders>
              <w:bottom w:val="single" w:sz="4" w:space="0" w:color="auto"/>
            </w:tcBorders>
            <w:vAlign w:val="center"/>
          </w:tcPr>
          <w:p w14:paraId="3CE21E87" w14:textId="77777777" w:rsidR="005D31A7" w:rsidRDefault="005D31A7" w:rsidP="0041637A">
            <w:pPr>
              <w:jc w:val="center"/>
            </w:pPr>
            <w:r>
              <w:t>0.7365</w:t>
            </w:r>
          </w:p>
        </w:tc>
        <w:tc>
          <w:tcPr>
            <w:tcW w:w="1531" w:type="dxa"/>
            <w:tcBorders>
              <w:bottom w:val="single" w:sz="4" w:space="0" w:color="auto"/>
            </w:tcBorders>
            <w:vAlign w:val="center"/>
          </w:tcPr>
          <w:p w14:paraId="49BA05BF" w14:textId="77777777" w:rsidR="005D31A7" w:rsidRDefault="005D31A7" w:rsidP="0041637A">
            <w:pPr>
              <w:jc w:val="center"/>
            </w:pPr>
            <w:r>
              <w:t>0.7545</w:t>
            </w:r>
          </w:p>
        </w:tc>
        <w:tc>
          <w:tcPr>
            <w:tcW w:w="1531" w:type="dxa"/>
            <w:tcBorders>
              <w:bottom w:val="single" w:sz="4" w:space="0" w:color="auto"/>
            </w:tcBorders>
            <w:vAlign w:val="center"/>
          </w:tcPr>
          <w:p w14:paraId="007B4F06" w14:textId="77777777" w:rsidR="005D31A7" w:rsidRDefault="005D31A7" w:rsidP="0041637A">
            <w:pPr>
              <w:jc w:val="center"/>
            </w:pPr>
            <w:r>
              <w:t>0.8945</w:t>
            </w:r>
          </w:p>
        </w:tc>
        <w:tc>
          <w:tcPr>
            <w:tcW w:w="1531" w:type="dxa"/>
            <w:tcBorders>
              <w:bottom w:val="single" w:sz="4" w:space="0" w:color="auto"/>
            </w:tcBorders>
            <w:vAlign w:val="center"/>
          </w:tcPr>
          <w:p w14:paraId="15935C78" w14:textId="77777777" w:rsidR="005D31A7" w:rsidRDefault="005D31A7" w:rsidP="0041637A">
            <w:pPr>
              <w:jc w:val="center"/>
            </w:pPr>
            <w:r>
              <w:t>0.8987</w:t>
            </w:r>
          </w:p>
        </w:tc>
      </w:tr>
      <w:tr w:rsidR="005D31A7" w:rsidRPr="000C36D8" w14:paraId="749D53F9" w14:textId="77777777" w:rsidTr="0041637A">
        <w:tc>
          <w:tcPr>
            <w:tcW w:w="2268" w:type="dxa"/>
            <w:tcBorders>
              <w:top w:val="single" w:sz="4" w:space="0" w:color="auto"/>
            </w:tcBorders>
            <w:vAlign w:val="center"/>
          </w:tcPr>
          <w:p w14:paraId="63751736" w14:textId="77777777" w:rsidR="005D31A7" w:rsidRPr="000C36D8" w:rsidRDefault="005D31A7" w:rsidP="0041637A">
            <w:pPr>
              <w:jc w:val="center"/>
            </w:pPr>
            <w:r>
              <w:t>Pseudo-second order</w:t>
            </w:r>
          </w:p>
        </w:tc>
        <w:tc>
          <w:tcPr>
            <w:tcW w:w="2778" w:type="dxa"/>
            <w:gridSpan w:val="2"/>
            <w:tcBorders>
              <w:top w:val="single" w:sz="4" w:space="0" w:color="auto"/>
              <w:left w:val="nil"/>
            </w:tcBorders>
            <w:vAlign w:val="center"/>
          </w:tcPr>
          <w:p w14:paraId="1E0851C7" w14:textId="77777777" w:rsidR="005D31A7" w:rsidRPr="000C36D8" w:rsidRDefault="005D31A7" w:rsidP="0041637A">
            <w:pPr>
              <w:jc w:val="center"/>
            </w:pPr>
            <w:r>
              <w:t>EBP-Si</w:t>
            </w:r>
          </w:p>
        </w:tc>
        <w:tc>
          <w:tcPr>
            <w:tcW w:w="3062" w:type="dxa"/>
            <w:gridSpan w:val="2"/>
            <w:tcBorders>
              <w:top w:val="single" w:sz="4" w:space="0" w:color="auto"/>
            </w:tcBorders>
            <w:vAlign w:val="center"/>
          </w:tcPr>
          <w:p w14:paraId="40360CFE" w14:textId="77777777" w:rsidR="005D31A7" w:rsidRDefault="005D31A7" w:rsidP="0041637A">
            <w:pPr>
              <w:jc w:val="center"/>
            </w:pPr>
            <w:r>
              <w:t>S950</w:t>
            </w:r>
          </w:p>
        </w:tc>
      </w:tr>
      <w:tr w:rsidR="005D31A7" w:rsidRPr="000C36D8" w14:paraId="59D72505" w14:textId="77777777" w:rsidTr="0041637A">
        <w:tc>
          <w:tcPr>
            <w:tcW w:w="2268" w:type="dxa"/>
            <w:vAlign w:val="center"/>
          </w:tcPr>
          <w:p w14:paraId="52AB6048" w14:textId="77777777" w:rsidR="005D31A7" w:rsidRPr="000C36D8" w:rsidRDefault="005D31A7" w:rsidP="0041637A">
            <w:pPr>
              <w:jc w:val="center"/>
            </w:pPr>
            <w:r>
              <w:t>Constant</w:t>
            </w:r>
          </w:p>
        </w:tc>
        <w:tc>
          <w:tcPr>
            <w:tcW w:w="1247" w:type="dxa"/>
            <w:vAlign w:val="center"/>
          </w:tcPr>
          <w:p w14:paraId="1399887E" w14:textId="77777777" w:rsidR="005D31A7" w:rsidRPr="000C36D8" w:rsidRDefault="005D31A7" w:rsidP="0041637A">
            <w:pPr>
              <w:jc w:val="center"/>
            </w:pPr>
            <w:r>
              <w:t>Co</w:t>
            </w:r>
            <w:r w:rsidRPr="007652DD">
              <w:rPr>
                <w:vertAlign w:val="superscript"/>
              </w:rPr>
              <w:t>2+</w:t>
            </w:r>
          </w:p>
        </w:tc>
        <w:tc>
          <w:tcPr>
            <w:tcW w:w="1531" w:type="dxa"/>
            <w:vAlign w:val="center"/>
          </w:tcPr>
          <w:p w14:paraId="0416178E" w14:textId="77777777" w:rsidR="005D31A7" w:rsidRPr="000C36D8" w:rsidRDefault="005D31A7" w:rsidP="0041637A">
            <w:pPr>
              <w:jc w:val="center"/>
            </w:pPr>
            <w:r>
              <w:t>Ni</w:t>
            </w:r>
            <w:r w:rsidRPr="007652DD">
              <w:rPr>
                <w:vertAlign w:val="superscript"/>
              </w:rPr>
              <w:t>2+</w:t>
            </w:r>
          </w:p>
        </w:tc>
        <w:tc>
          <w:tcPr>
            <w:tcW w:w="1531" w:type="dxa"/>
            <w:vAlign w:val="center"/>
          </w:tcPr>
          <w:p w14:paraId="5E924487" w14:textId="77777777" w:rsidR="005D31A7" w:rsidRPr="000C36D8" w:rsidRDefault="005D31A7" w:rsidP="0041637A">
            <w:pPr>
              <w:jc w:val="center"/>
            </w:pPr>
            <w:r>
              <w:t>Co</w:t>
            </w:r>
            <w:r w:rsidRPr="007652DD">
              <w:rPr>
                <w:vertAlign w:val="superscript"/>
              </w:rPr>
              <w:t>2+</w:t>
            </w:r>
          </w:p>
        </w:tc>
        <w:tc>
          <w:tcPr>
            <w:tcW w:w="1531" w:type="dxa"/>
            <w:vAlign w:val="center"/>
          </w:tcPr>
          <w:p w14:paraId="2C5BD3C0" w14:textId="77777777" w:rsidR="005D31A7" w:rsidRPr="000C36D8" w:rsidRDefault="005D31A7" w:rsidP="0041637A">
            <w:pPr>
              <w:jc w:val="center"/>
            </w:pPr>
            <w:r>
              <w:t>Ni</w:t>
            </w:r>
            <w:r w:rsidRPr="007652DD">
              <w:rPr>
                <w:vertAlign w:val="superscript"/>
              </w:rPr>
              <w:t>2+</w:t>
            </w:r>
          </w:p>
        </w:tc>
      </w:tr>
      <w:tr w:rsidR="005D31A7" w:rsidRPr="000C36D8" w14:paraId="775657CB" w14:textId="77777777" w:rsidTr="0041637A">
        <w:tc>
          <w:tcPr>
            <w:tcW w:w="2268" w:type="dxa"/>
            <w:tcBorders>
              <w:top w:val="single" w:sz="4" w:space="0" w:color="auto"/>
            </w:tcBorders>
            <w:vAlign w:val="center"/>
          </w:tcPr>
          <w:p w14:paraId="2DB41A77" w14:textId="77777777" w:rsidR="005D31A7" w:rsidRPr="000C36D8" w:rsidRDefault="005D31A7" w:rsidP="0041637A">
            <w:pPr>
              <w:jc w:val="center"/>
            </w:pPr>
            <w:r>
              <w:rPr>
                <w:i/>
              </w:rPr>
              <w:t>k</w:t>
            </w:r>
            <w:r w:rsidRPr="007652DD">
              <w:rPr>
                <w:i/>
                <w:vertAlign w:val="subscript"/>
              </w:rPr>
              <w:t>2</w:t>
            </w:r>
            <w:r>
              <w:t xml:space="preserve"> (g mol</w:t>
            </w:r>
            <w:r w:rsidRPr="000C36D8">
              <w:rPr>
                <w:vertAlign w:val="superscript"/>
              </w:rPr>
              <w:t>-1</w:t>
            </w:r>
            <w:r>
              <w:t xml:space="preserve"> min</w:t>
            </w:r>
            <w:r w:rsidRPr="000C36D8">
              <w:rPr>
                <w:vertAlign w:val="superscript"/>
              </w:rPr>
              <w:t>-1</w:t>
            </w:r>
            <w:r>
              <w:t>)</w:t>
            </w:r>
          </w:p>
        </w:tc>
        <w:tc>
          <w:tcPr>
            <w:tcW w:w="1247" w:type="dxa"/>
            <w:tcBorders>
              <w:top w:val="single" w:sz="4" w:space="0" w:color="auto"/>
            </w:tcBorders>
            <w:vAlign w:val="center"/>
          </w:tcPr>
          <w:p w14:paraId="7168256A" w14:textId="77777777" w:rsidR="005D31A7" w:rsidRPr="000C36D8" w:rsidRDefault="005D31A7" w:rsidP="0041637A">
            <w:pPr>
              <w:jc w:val="center"/>
            </w:pPr>
            <w:r>
              <w:t>14.51</w:t>
            </w:r>
          </w:p>
        </w:tc>
        <w:tc>
          <w:tcPr>
            <w:tcW w:w="1531" w:type="dxa"/>
            <w:tcBorders>
              <w:top w:val="single" w:sz="4" w:space="0" w:color="auto"/>
            </w:tcBorders>
            <w:vAlign w:val="center"/>
          </w:tcPr>
          <w:p w14:paraId="437039B6" w14:textId="77777777" w:rsidR="005D31A7" w:rsidRPr="000C36D8" w:rsidRDefault="005D31A7" w:rsidP="0041637A">
            <w:pPr>
              <w:jc w:val="center"/>
            </w:pPr>
            <w:r>
              <w:t>20.17</w:t>
            </w:r>
          </w:p>
        </w:tc>
        <w:tc>
          <w:tcPr>
            <w:tcW w:w="1531" w:type="dxa"/>
            <w:tcBorders>
              <w:top w:val="single" w:sz="4" w:space="0" w:color="auto"/>
            </w:tcBorders>
            <w:vAlign w:val="center"/>
          </w:tcPr>
          <w:p w14:paraId="4362CBAA" w14:textId="77777777" w:rsidR="005D31A7" w:rsidRPr="000C36D8" w:rsidRDefault="005D31A7" w:rsidP="0041637A">
            <w:pPr>
              <w:jc w:val="center"/>
            </w:pPr>
            <w:r>
              <w:t>5.50</w:t>
            </w:r>
          </w:p>
        </w:tc>
        <w:tc>
          <w:tcPr>
            <w:tcW w:w="1531" w:type="dxa"/>
            <w:tcBorders>
              <w:top w:val="single" w:sz="4" w:space="0" w:color="auto"/>
            </w:tcBorders>
            <w:vAlign w:val="center"/>
          </w:tcPr>
          <w:p w14:paraId="402C1CB6" w14:textId="77777777" w:rsidR="005D31A7" w:rsidRPr="000C36D8" w:rsidRDefault="005D31A7" w:rsidP="0041637A">
            <w:pPr>
              <w:jc w:val="center"/>
            </w:pPr>
            <w:r>
              <w:t>5.59</w:t>
            </w:r>
          </w:p>
        </w:tc>
      </w:tr>
      <w:tr w:rsidR="005D31A7" w:rsidRPr="000C36D8" w14:paraId="1A0F1B94" w14:textId="77777777" w:rsidTr="0041637A">
        <w:tc>
          <w:tcPr>
            <w:tcW w:w="2268" w:type="dxa"/>
            <w:vAlign w:val="center"/>
          </w:tcPr>
          <w:p w14:paraId="4672F33E" w14:textId="77777777" w:rsidR="005D31A7" w:rsidRPr="000C36D8" w:rsidRDefault="005D31A7" w:rsidP="0041637A">
            <w:pPr>
              <w:jc w:val="center"/>
            </w:pPr>
            <w:proofErr w:type="spellStart"/>
            <w:r>
              <w:t>q</w:t>
            </w:r>
            <w:r w:rsidRPr="007652DD">
              <w:rPr>
                <w:vertAlign w:val="subscript"/>
              </w:rPr>
              <w:t>e</w:t>
            </w:r>
            <w:proofErr w:type="spellEnd"/>
            <w:r>
              <w:rPr>
                <w:vertAlign w:val="subscript"/>
              </w:rPr>
              <w:t xml:space="preserve"> </w:t>
            </w:r>
            <w:r>
              <w:t>(</w:t>
            </w:r>
            <w:proofErr w:type="spellStart"/>
            <w:r>
              <w:t>mol</w:t>
            </w:r>
            <w:proofErr w:type="spellEnd"/>
            <w:r>
              <w:t xml:space="preserve"> g</w:t>
            </w:r>
            <w:r w:rsidRPr="000C36D8">
              <w:rPr>
                <w:vertAlign w:val="superscript"/>
              </w:rPr>
              <w:t>-1</w:t>
            </w:r>
            <w:r>
              <w:t>)</w:t>
            </w:r>
          </w:p>
        </w:tc>
        <w:tc>
          <w:tcPr>
            <w:tcW w:w="1247" w:type="dxa"/>
            <w:vAlign w:val="center"/>
          </w:tcPr>
          <w:p w14:paraId="42EA6BF6" w14:textId="77777777" w:rsidR="005D31A7" w:rsidRPr="000C36D8" w:rsidRDefault="005D31A7" w:rsidP="0041637A">
            <w:pPr>
              <w:jc w:val="center"/>
            </w:pPr>
            <w:r>
              <w:t>0.0476</w:t>
            </w:r>
          </w:p>
        </w:tc>
        <w:tc>
          <w:tcPr>
            <w:tcW w:w="1531" w:type="dxa"/>
            <w:vAlign w:val="center"/>
          </w:tcPr>
          <w:p w14:paraId="363C9F6C" w14:textId="77777777" w:rsidR="005D31A7" w:rsidRPr="000C36D8" w:rsidRDefault="005D31A7" w:rsidP="0041637A">
            <w:pPr>
              <w:jc w:val="center"/>
            </w:pPr>
            <w:r>
              <w:t>0.0461</w:t>
            </w:r>
          </w:p>
        </w:tc>
        <w:tc>
          <w:tcPr>
            <w:tcW w:w="1531" w:type="dxa"/>
            <w:vAlign w:val="center"/>
          </w:tcPr>
          <w:p w14:paraId="4EBCD105" w14:textId="77777777" w:rsidR="005D31A7" w:rsidRPr="000C36D8" w:rsidRDefault="005D31A7" w:rsidP="0041637A">
            <w:pPr>
              <w:jc w:val="center"/>
            </w:pPr>
            <w:r>
              <w:t>0.0612</w:t>
            </w:r>
          </w:p>
        </w:tc>
        <w:tc>
          <w:tcPr>
            <w:tcW w:w="1531" w:type="dxa"/>
            <w:vAlign w:val="center"/>
          </w:tcPr>
          <w:p w14:paraId="3CAB7E0A" w14:textId="77777777" w:rsidR="005D31A7" w:rsidRPr="000C36D8" w:rsidRDefault="005D31A7" w:rsidP="0041637A">
            <w:pPr>
              <w:jc w:val="center"/>
            </w:pPr>
            <w:r>
              <w:t>0.0569</w:t>
            </w:r>
          </w:p>
        </w:tc>
      </w:tr>
      <w:tr w:rsidR="005D31A7" w:rsidRPr="000C36D8" w14:paraId="46856308" w14:textId="77777777" w:rsidTr="0041637A">
        <w:tc>
          <w:tcPr>
            <w:tcW w:w="2268" w:type="dxa"/>
            <w:vAlign w:val="center"/>
          </w:tcPr>
          <w:p w14:paraId="50A1BD5A" w14:textId="77777777" w:rsidR="005D31A7" w:rsidRPr="000C36D8" w:rsidRDefault="005D31A7" w:rsidP="0041637A">
            <w:pPr>
              <w:jc w:val="center"/>
            </w:pPr>
            <w:r>
              <w:rPr>
                <w:i/>
              </w:rPr>
              <w:t>t</w:t>
            </w:r>
            <w:r w:rsidRPr="007652DD">
              <w:rPr>
                <w:i/>
                <w:vertAlign w:val="subscript"/>
              </w:rPr>
              <w:t>1/2</w:t>
            </w:r>
            <w:r>
              <w:rPr>
                <w:i/>
                <w:vertAlign w:val="subscript"/>
              </w:rPr>
              <w:t xml:space="preserve"> </w:t>
            </w:r>
            <w:r>
              <w:t>(min)</w:t>
            </w:r>
          </w:p>
        </w:tc>
        <w:tc>
          <w:tcPr>
            <w:tcW w:w="1247" w:type="dxa"/>
            <w:vAlign w:val="center"/>
          </w:tcPr>
          <w:p w14:paraId="67EA1590" w14:textId="77777777" w:rsidR="005D31A7" w:rsidRPr="000C36D8" w:rsidRDefault="005D31A7" w:rsidP="0041637A">
            <w:pPr>
              <w:jc w:val="center"/>
            </w:pPr>
            <w:r>
              <w:t>1.447</w:t>
            </w:r>
          </w:p>
        </w:tc>
        <w:tc>
          <w:tcPr>
            <w:tcW w:w="1531" w:type="dxa"/>
            <w:vAlign w:val="center"/>
          </w:tcPr>
          <w:p w14:paraId="1A4A166C" w14:textId="77777777" w:rsidR="005D31A7" w:rsidRPr="000C36D8" w:rsidRDefault="005D31A7" w:rsidP="0041637A">
            <w:pPr>
              <w:jc w:val="center"/>
            </w:pPr>
            <w:r>
              <w:t>1.076</w:t>
            </w:r>
          </w:p>
        </w:tc>
        <w:tc>
          <w:tcPr>
            <w:tcW w:w="1531" w:type="dxa"/>
            <w:vAlign w:val="center"/>
          </w:tcPr>
          <w:p w14:paraId="274AF04C" w14:textId="77777777" w:rsidR="005D31A7" w:rsidRPr="000C36D8" w:rsidRDefault="005D31A7" w:rsidP="0041637A">
            <w:pPr>
              <w:jc w:val="center"/>
            </w:pPr>
            <w:r>
              <w:t>2.971</w:t>
            </w:r>
          </w:p>
        </w:tc>
        <w:tc>
          <w:tcPr>
            <w:tcW w:w="1531" w:type="dxa"/>
            <w:vAlign w:val="center"/>
          </w:tcPr>
          <w:p w14:paraId="00F15CE5" w14:textId="77777777" w:rsidR="005D31A7" w:rsidRPr="000C36D8" w:rsidRDefault="005D31A7" w:rsidP="0041637A">
            <w:pPr>
              <w:jc w:val="center"/>
            </w:pPr>
            <w:r>
              <w:t>3.142</w:t>
            </w:r>
          </w:p>
        </w:tc>
      </w:tr>
      <w:tr w:rsidR="005D31A7" w:rsidRPr="000C36D8" w14:paraId="3C9D1FCB" w14:textId="77777777" w:rsidTr="0041637A">
        <w:tc>
          <w:tcPr>
            <w:tcW w:w="2268" w:type="dxa"/>
            <w:vAlign w:val="center"/>
          </w:tcPr>
          <w:p w14:paraId="0634F956" w14:textId="77777777" w:rsidR="005D31A7" w:rsidRPr="000C36D8" w:rsidRDefault="005D31A7" w:rsidP="0041637A">
            <w:pPr>
              <w:jc w:val="center"/>
            </w:pPr>
            <w:r>
              <w:t>h</w:t>
            </w:r>
            <w:r w:rsidRPr="007652DD">
              <w:rPr>
                <w:vertAlign w:val="subscript"/>
              </w:rPr>
              <w:t>0</w:t>
            </w:r>
            <w:r>
              <w:rPr>
                <w:vertAlign w:val="subscript"/>
              </w:rPr>
              <w:t xml:space="preserve"> </w:t>
            </w:r>
            <w:r>
              <w:t>(</w:t>
            </w:r>
            <w:proofErr w:type="spellStart"/>
            <w:r>
              <w:t>mol</w:t>
            </w:r>
            <w:proofErr w:type="spellEnd"/>
            <w:r>
              <w:t xml:space="preserve"> g</w:t>
            </w:r>
            <w:r w:rsidRPr="000C36D8">
              <w:rPr>
                <w:vertAlign w:val="superscript"/>
              </w:rPr>
              <w:t>-1</w:t>
            </w:r>
            <w:r>
              <w:t xml:space="preserve"> min</w:t>
            </w:r>
            <w:r w:rsidRPr="000C36D8">
              <w:rPr>
                <w:vertAlign w:val="superscript"/>
              </w:rPr>
              <w:t>-1</w:t>
            </w:r>
            <w:r>
              <w:t>)</w:t>
            </w:r>
          </w:p>
        </w:tc>
        <w:tc>
          <w:tcPr>
            <w:tcW w:w="1247" w:type="dxa"/>
            <w:vAlign w:val="center"/>
          </w:tcPr>
          <w:p w14:paraId="394E0580" w14:textId="77777777" w:rsidR="005D31A7" w:rsidRPr="000C36D8" w:rsidRDefault="005D31A7" w:rsidP="0041637A">
            <w:pPr>
              <w:jc w:val="center"/>
            </w:pPr>
            <w:r>
              <w:t>0.0329</w:t>
            </w:r>
          </w:p>
        </w:tc>
        <w:tc>
          <w:tcPr>
            <w:tcW w:w="1531" w:type="dxa"/>
            <w:vAlign w:val="center"/>
          </w:tcPr>
          <w:p w14:paraId="0135CE41" w14:textId="77777777" w:rsidR="005D31A7" w:rsidRPr="000C36D8" w:rsidRDefault="005D31A7" w:rsidP="0041637A">
            <w:pPr>
              <w:jc w:val="center"/>
            </w:pPr>
            <w:r>
              <w:t>0.0428</w:t>
            </w:r>
          </w:p>
        </w:tc>
        <w:tc>
          <w:tcPr>
            <w:tcW w:w="1531" w:type="dxa"/>
            <w:vAlign w:val="center"/>
          </w:tcPr>
          <w:p w14:paraId="0836436C" w14:textId="77777777" w:rsidR="005D31A7" w:rsidRPr="000C36D8" w:rsidRDefault="005D31A7" w:rsidP="0041637A">
            <w:pPr>
              <w:jc w:val="center"/>
            </w:pPr>
            <w:r>
              <w:t>0.0206</w:t>
            </w:r>
          </w:p>
        </w:tc>
        <w:tc>
          <w:tcPr>
            <w:tcW w:w="1531" w:type="dxa"/>
            <w:vAlign w:val="center"/>
          </w:tcPr>
          <w:p w14:paraId="24C5355E" w14:textId="77777777" w:rsidR="005D31A7" w:rsidRPr="000C36D8" w:rsidRDefault="005D31A7" w:rsidP="0041637A">
            <w:pPr>
              <w:jc w:val="center"/>
            </w:pPr>
            <w:r>
              <w:t>0.0180</w:t>
            </w:r>
          </w:p>
        </w:tc>
      </w:tr>
      <w:tr w:rsidR="005D31A7" w:rsidRPr="000C36D8" w14:paraId="0AA18945" w14:textId="77777777" w:rsidTr="0041637A">
        <w:tc>
          <w:tcPr>
            <w:tcW w:w="2268" w:type="dxa"/>
            <w:tcBorders>
              <w:bottom w:val="single" w:sz="4" w:space="0" w:color="auto"/>
            </w:tcBorders>
            <w:vAlign w:val="center"/>
          </w:tcPr>
          <w:p w14:paraId="72D97942" w14:textId="77777777" w:rsidR="005D31A7" w:rsidRPr="000C36D8" w:rsidRDefault="005D31A7" w:rsidP="0041637A">
            <w:pPr>
              <w:jc w:val="center"/>
            </w:pPr>
            <w:r>
              <w:t>R</w:t>
            </w:r>
            <w:r w:rsidRPr="007652DD">
              <w:rPr>
                <w:vertAlign w:val="superscript"/>
              </w:rPr>
              <w:t>2</w:t>
            </w:r>
          </w:p>
        </w:tc>
        <w:tc>
          <w:tcPr>
            <w:tcW w:w="1247" w:type="dxa"/>
            <w:tcBorders>
              <w:bottom w:val="single" w:sz="4" w:space="0" w:color="auto"/>
            </w:tcBorders>
            <w:vAlign w:val="center"/>
          </w:tcPr>
          <w:p w14:paraId="1C0DDEA7" w14:textId="77777777" w:rsidR="005D31A7" w:rsidRPr="000C36D8" w:rsidRDefault="005D31A7" w:rsidP="0041637A">
            <w:pPr>
              <w:jc w:val="center"/>
            </w:pPr>
            <w:r>
              <w:t>0.9830</w:t>
            </w:r>
          </w:p>
        </w:tc>
        <w:tc>
          <w:tcPr>
            <w:tcW w:w="1531" w:type="dxa"/>
            <w:tcBorders>
              <w:bottom w:val="single" w:sz="4" w:space="0" w:color="auto"/>
            </w:tcBorders>
            <w:vAlign w:val="center"/>
          </w:tcPr>
          <w:p w14:paraId="5B2361F1" w14:textId="77777777" w:rsidR="005D31A7" w:rsidRPr="000C36D8" w:rsidRDefault="005D31A7" w:rsidP="0041637A">
            <w:pPr>
              <w:jc w:val="center"/>
            </w:pPr>
            <w:r>
              <w:t>0.9861</w:t>
            </w:r>
          </w:p>
        </w:tc>
        <w:tc>
          <w:tcPr>
            <w:tcW w:w="1531" w:type="dxa"/>
            <w:tcBorders>
              <w:bottom w:val="single" w:sz="4" w:space="0" w:color="auto"/>
            </w:tcBorders>
            <w:vAlign w:val="center"/>
          </w:tcPr>
          <w:p w14:paraId="77713A02" w14:textId="77777777" w:rsidR="005D31A7" w:rsidRPr="000C36D8" w:rsidRDefault="005D31A7" w:rsidP="0041637A">
            <w:pPr>
              <w:jc w:val="center"/>
            </w:pPr>
            <w:r>
              <w:t>0.9982</w:t>
            </w:r>
          </w:p>
        </w:tc>
        <w:tc>
          <w:tcPr>
            <w:tcW w:w="1531" w:type="dxa"/>
            <w:tcBorders>
              <w:bottom w:val="single" w:sz="4" w:space="0" w:color="auto"/>
            </w:tcBorders>
            <w:vAlign w:val="center"/>
          </w:tcPr>
          <w:p w14:paraId="4DCB484D" w14:textId="77777777" w:rsidR="005D31A7" w:rsidRPr="000C36D8" w:rsidRDefault="005D31A7" w:rsidP="0041637A">
            <w:pPr>
              <w:jc w:val="center"/>
            </w:pPr>
            <w:r>
              <w:t>0.9987</w:t>
            </w:r>
          </w:p>
        </w:tc>
      </w:tr>
    </w:tbl>
    <w:p w14:paraId="721BC0A1" w14:textId="77777777" w:rsidR="005D31A7" w:rsidRDefault="005D31A7" w:rsidP="005D31A7"/>
    <w:p w14:paraId="0F696F59" w14:textId="77777777" w:rsidR="007652DD" w:rsidRDefault="007652DD" w:rsidP="007652DD">
      <w:pPr>
        <w:pStyle w:val="Heading1"/>
      </w:pPr>
      <w:r>
        <w:t>Conclusions</w:t>
      </w:r>
    </w:p>
    <w:p w14:paraId="55050C51" w14:textId="0880EC79" w:rsidR="002C43B6" w:rsidRDefault="00AB36FE" w:rsidP="0022375B">
      <w:pPr>
        <w:pStyle w:val="Newparagraph"/>
      </w:pPr>
      <w:r>
        <w:t>The pK</w:t>
      </w:r>
      <w:r w:rsidRPr="00AB36FE">
        <w:rPr>
          <w:vertAlign w:val="subscript"/>
        </w:rPr>
        <w:t>a</w:t>
      </w:r>
      <w:r>
        <w:t xml:space="preserve"> values for </w:t>
      </w:r>
      <w:r w:rsidR="005E6A7F">
        <w:t xml:space="preserve">a commercially available silica-based resin, </w:t>
      </w:r>
      <w:r>
        <w:t>EBP-Si</w:t>
      </w:r>
      <w:r w:rsidR="005E6A7F">
        <w:t>,</w:t>
      </w:r>
      <w:r>
        <w:t xml:space="preserve"> were determined via acid base titration and three values were found at 4.22 (</w:t>
      </w:r>
      <w:r>
        <w:rPr>
          <w:rFonts w:ascii="Calibri" w:hAnsi="Calibri" w:cs="Calibri"/>
        </w:rPr>
        <w:t xml:space="preserve">± </w:t>
      </w:r>
      <w:r>
        <w:t>0.04), 6.38 (</w:t>
      </w:r>
      <w:r>
        <w:rPr>
          <w:rFonts w:ascii="Calibri" w:hAnsi="Calibri" w:cs="Calibri"/>
        </w:rPr>
        <w:t xml:space="preserve">± </w:t>
      </w:r>
      <w:r>
        <w:t>0.06 and 6.46 (</w:t>
      </w:r>
      <w:r>
        <w:rPr>
          <w:rFonts w:ascii="Calibri" w:hAnsi="Calibri" w:cs="Calibri"/>
        </w:rPr>
        <w:t xml:space="preserve">± </w:t>
      </w:r>
      <w:r>
        <w:t xml:space="preserve">0.03). It is suggested that these values represent the </w:t>
      </w:r>
      <w:proofErr w:type="spellStart"/>
      <w:r>
        <w:t>silanol</w:t>
      </w:r>
      <w:proofErr w:type="spellEnd"/>
      <w:r>
        <w:t xml:space="preserve"> group on </w:t>
      </w:r>
      <w:r>
        <w:lastRenderedPageBreak/>
        <w:t xml:space="preserve">the silica support material and </w:t>
      </w:r>
      <w:r w:rsidR="005E6A7F">
        <w:t xml:space="preserve">the phosphonate group of the attached ligand, with the two values at 6.38 and 6.46 representing </w:t>
      </w:r>
      <w:r>
        <w:t>heter</w:t>
      </w:r>
      <w:r w:rsidR="005E6A7F">
        <w:t xml:space="preserve">ogeneity of the functionalised surface. The uptake of cobalt and nickel by this resin was also </w:t>
      </w:r>
      <w:r w:rsidR="00DB45CA">
        <w:t xml:space="preserve">investigated and compared to S950, a </w:t>
      </w:r>
      <w:proofErr w:type="spellStart"/>
      <w:r w:rsidR="00DB45CA">
        <w:t>macroporous</w:t>
      </w:r>
      <w:proofErr w:type="spellEnd"/>
      <w:r w:rsidR="00DB45CA">
        <w:t xml:space="preserve"> polystyre</w:t>
      </w:r>
      <w:r w:rsidR="007602A2">
        <w:t xml:space="preserve">ne resin crosslinked with DVB. </w:t>
      </w:r>
      <w:r w:rsidR="00DB45CA">
        <w:t>It was found that both resins perform we</w:t>
      </w:r>
      <w:r w:rsidR="007602A2">
        <w:t xml:space="preserve">ll at weakly acidic pH values. </w:t>
      </w:r>
      <w:r w:rsidR="002C43B6">
        <w:t xml:space="preserve">An analysis of the </w:t>
      </w:r>
      <w:r w:rsidR="00642C4F">
        <w:t xml:space="preserve">pH effect, metal isotherm </w:t>
      </w:r>
      <w:r w:rsidR="002C43B6">
        <w:t>and kinetic data suggests that the mechanism of uptake proceeds via io</w:t>
      </w:r>
      <w:r w:rsidR="007602A2">
        <w:t xml:space="preserve">n exchange. </w:t>
      </w:r>
      <w:r w:rsidR="002C43B6">
        <w:t>There is also evidence of acid dissociation occurring.</w:t>
      </w:r>
    </w:p>
    <w:p w14:paraId="3E9E1E63" w14:textId="48D8B759" w:rsidR="002C43B6" w:rsidRDefault="002C43B6" w:rsidP="002C43B6">
      <w:pPr>
        <w:pStyle w:val="Newparagraph"/>
      </w:pPr>
      <w:r>
        <w:t>Metal isotherm experiments showed that the uptake of cobalt and nickel increases up to a maximum value corresponding to the saturation of the available surface sites. Langmuir and D-R isotherms were fitted to the data and their respective parameters determined. The D-R isotherm provided a better fit, probably due to its ability to more accurately describe uptake onto a heterogeneous surface</w:t>
      </w:r>
      <w:r w:rsidR="00471BBB">
        <w:t>. T</w:t>
      </w:r>
      <w:r>
        <w:t xml:space="preserve">he maximum sorption capacity of S950 was found to be nearly four and a half times greater than that of EBP-Si, most likely due to the differences in structure. However, </w:t>
      </w:r>
      <w:r w:rsidR="00471BBB">
        <w:t xml:space="preserve">kinetic data suggested that </w:t>
      </w:r>
      <w:r>
        <w:t>the uptake onto EBP-Si was much more rapid, about two and half times faster.</w:t>
      </w:r>
      <w:r w:rsidR="00471BBB">
        <w:t xml:space="preserve"> The rate</w:t>
      </w:r>
      <w:r w:rsidR="007602A2">
        <w:t>-</w:t>
      </w:r>
      <w:r w:rsidR="00471BBB">
        <w:t>limiting step was found to be the interaction between the metal and the chelating ligand rather than diffusion.</w:t>
      </w:r>
    </w:p>
    <w:p w14:paraId="22A402AF" w14:textId="5BF0FBB1" w:rsidR="00642C4F" w:rsidRDefault="00471BBB" w:rsidP="002C43B6">
      <w:pPr>
        <w:pStyle w:val="Newparagraph"/>
      </w:pPr>
      <w:r>
        <w:t xml:space="preserve">This initial study suggests that EBP-Si may be useful in removing metal species from aqueous waste streams. Experiments are continuing to investigate its ability to remove </w:t>
      </w:r>
      <w:r w:rsidR="003E7137">
        <w:t xml:space="preserve">these and </w:t>
      </w:r>
      <w:r w:rsidR="00642C4F">
        <w:t xml:space="preserve">other </w:t>
      </w:r>
      <w:r>
        <w:t>problematic species</w:t>
      </w:r>
      <w:r w:rsidR="003E7137">
        <w:t>, including the effect of high ionic strength on metal uptake</w:t>
      </w:r>
      <w:r w:rsidR="00EB6DA5">
        <w:t xml:space="preserve"> </w:t>
      </w:r>
      <w:r w:rsidR="005E6A7F">
        <w:t>in both static and dynamic column studies</w:t>
      </w:r>
      <w:r>
        <w:t>.</w:t>
      </w:r>
    </w:p>
    <w:p w14:paraId="7AA1E25B" w14:textId="46F4A16C" w:rsidR="00471BBB" w:rsidRPr="002C43B6" w:rsidRDefault="00642C4F" w:rsidP="002C43B6">
      <w:pPr>
        <w:pStyle w:val="Newparagraph"/>
      </w:pPr>
      <w:r>
        <w:t xml:space="preserve">Under normal circumstances, ion exchange resins are reused after the metal is stripped from the resin. However, we have not investigated resin stripping as this is an initial study into the feasibility of using silica-based resins as precursor materials in the formation of glass-based waste forms. Therefore, there would be no need to strip the </w:t>
      </w:r>
      <w:r>
        <w:lastRenderedPageBreak/>
        <w:t>metals as the metal-loaded material would be combined with other ingredients and heated to form glass. E</w:t>
      </w:r>
      <w:r w:rsidR="00471BBB">
        <w:t xml:space="preserve">xperiments are </w:t>
      </w:r>
      <w:r>
        <w:t xml:space="preserve">currently </w:t>
      </w:r>
      <w:r w:rsidR="00471BBB">
        <w:t>underway investigating the direct conversion of the loaded material into a glass-based waste form and its subsequent ability to retain those species under standard leaching conditions.</w:t>
      </w:r>
    </w:p>
    <w:p w14:paraId="1765F90F" w14:textId="77777777" w:rsidR="002C43B6" w:rsidRDefault="002C43B6" w:rsidP="007652DD">
      <w:pPr>
        <w:pStyle w:val="Paragraph"/>
      </w:pPr>
    </w:p>
    <w:p w14:paraId="58EEEA93" w14:textId="77777777" w:rsidR="00695B96" w:rsidRPr="00CC460E" w:rsidRDefault="00695B96" w:rsidP="00CC460E">
      <w:pPr>
        <w:pStyle w:val="Acknowledgements"/>
      </w:pPr>
      <w:r w:rsidRPr="00CC460E">
        <w:t>Acknowledgements:</w:t>
      </w:r>
    </w:p>
    <w:p w14:paraId="60A9E38A" w14:textId="77777777" w:rsidR="00997B0F" w:rsidRDefault="00695B96" w:rsidP="00ED7006">
      <w:pPr>
        <w:pStyle w:val="Acknowledgements"/>
      </w:pPr>
      <w:r>
        <w:t>Special thanks to Claire Corkhill and Clare Thorpe for their help with ICP-OES analysis and Mark Jones for his assistance with AAS.</w:t>
      </w:r>
    </w:p>
    <w:p w14:paraId="708B12AD" w14:textId="21273B39" w:rsidR="00695B96" w:rsidRDefault="00695B96" w:rsidP="00ED7006">
      <w:pPr>
        <w:pStyle w:val="Acknowledgements"/>
      </w:pPr>
      <w:r>
        <w:t>This work was supported by the En</w:t>
      </w:r>
      <w:r w:rsidR="00C61F2B">
        <w:t xml:space="preserve">gineering </w:t>
      </w:r>
      <w:r>
        <w:t>and Phy</w:t>
      </w:r>
      <w:r w:rsidR="00511454">
        <w:t xml:space="preserve">sical Sciences Research Council through the </w:t>
      </w:r>
      <w:r w:rsidR="00511454" w:rsidRPr="00511454">
        <w:t>UK Korea Civil Nuclear Energy</w:t>
      </w:r>
      <w:r w:rsidR="00511454">
        <w:t xml:space="preserve"> program grant </w:t>
      </w:r>
      <w:r w:rsidR="00511454" w:rsidRPr="00511454">
        <w:t>EP/M026558/1</w:t>
      </w:r>
      <w:r w:rsidR="00511454">
        <w:t xml:space="preserve"> </w:t>
      </w:r>
      <w:r w:rsidR="00511454" w:rsidRPr="00511454">
        <w:t>Silicate Nanoparticles for Extraction of Radionuclides (SINNER)</w:t>
      </w:r>
      <w:r w:rsidR="00511454">
        <w:t>.</w:t>
      </w:r>
    </w:p>
    <w:p w14:paraId="2258661E" w14:textId="77777777" w:rsidR="00ED7006" w:rsidRPr="00ED7006" w:rsidRDefault="00ED7006" w:rsidP="00ED7006"/>
    <w:p w14:paraId="34525CB3" w14:textId="77777777" w:rsidR="00E66188" w:rsidRDefault="00161344" w:rsidP="00E66188">
      <w:pPr>
        <w:pStyle w:val="References"/>
      </w:pPr>
      <w:r>
        <w:t>References</w:t>
      </w:r>
      <w:r w:rsidR="00615B0A">
        <w:t xml:space="preserve">: </w:t>
      </w:r>
    </w:p>
    <w:p w14:paraId="4195C456" w14:textId="628A3C59" w:rsidR="00E1085E" w:rsidRDefault="00F60F05" w:rsidP="00F60F05">
      <w:pPr>
        <w:pStyle w:val="References"/>
      </w:pPr>
      <w:r>
        <w:t xml:space="preserve">[1] </w:t>
      </w:r>
      <w:proofErr w:type="spellStart"/>
      <w:r w:rsidR="00E1085E">
        <w:t>Forstner</w:t>
      </w:r>
      <w:proofErr w:type="spellEnd"/>
      <w:r w:rsidR="00E1085E">
        <w:t xml:space="preserve">, U.; William, G. T. W. (1983) </w:t>
      </w:r>
      <w:r w:rsidR="00E1085E">
        <w:rPr>
          <w:i/>
        </w:rPr>
        <w:t>Metal Pollution in the Aquatic Environment;</w:t>
      </w:r>
      <w:r w:rsidR="00E1085E">
        <w:t xml:space="preserve"> Springer-</w:t>
      </w:r>
      <w:proofErr w:type="spellStart"/>
      <w:r w:rsidR="00E1085E">
        <w:t>Verlag</w:t>
      </w:r>
      <w:proofErr w:type="spellEnd"/>
      <w:r w:rsidR="00E1085E">
        <w:t>: Berlin.</w:t>
      </w:r>
    </w:p>
    <w:p w14:paraId="2C11D3DD" w14:textId="349D3334" w:rsidR="001E3894" w:rsidRPr="001E3894" w:rsidRDefault="001E3894" w:rsidP="00F60F05">
      <w:pPr>
        <w:pStyle w:val="References"/>
      </w:pPr>
      <w:r>
        <w:t xml:space="preserve">[2] </w:t>
      </w:r>
      <w:proofErr w:type="spellStart"/>
      <w:r>
        <w:t>Rengaraj</w:t>
      </w:r>
      <w:proofErr w:type="spellEnd"/>
      <w:r>
        <w:t xml:space="preserve">, S.; Moon, S. H. (2002) Kinetics of adsorption of </w:t>
      </w:r>
      <w:proofErr w:type="gramStart"/>
      <w:r>
        <w:t>Co(</w:t>
      </w:r>
      <w:proofErr w:type="gramEnd"/>
      <w:r>
        <w:t xml:space="preserve">II) removal from water and wastewater by ion exchange resins. </w:t>
      </w:r>
      <w:r>
        <w:rPr>
          <w:i/>
        </w:rPr>
        <w:t xml:space="preserve">Water Research, </w:t>
      </w:r>
      <w:r>
        <w:t>36: 1783-1793.</w:t>
      </w:r>
    </w:p>
    <w:p w14:paraId="56BB03A9" w14:textId="31404D78" w:rsidR="00F50190" w:rsidRDefault="00E1085E" w:rsidP="00E1085E">
      <w:pPr>
        <w:pStyle w:val="References"/>
      </w:pPr>
      <w:r>
        <w:t>[</w:t>
      </w:r>
      <w:r w:rsidR="001E3894">
        <w:t>3</w:t>
      </w:r>
      <w:r>
        <w:t xml:space="preserve">] </w:t>
      </w:r>
      <w:proofErr w:type="spellStart"/>
      <w:r w:rsidR="00F50190" w:rsidRPr="001D665C">
        <w:t>Sofi</w:t>
      </w:r>
      <w:r w:rsidR="00F50190">
        <w:t>ń</w:t>
      </w:r>
      <w:r w:rsidR="00F50190" w:rsidRPr="001D665C">
        <w:t>ska-Chmiel</w:t>
      </w:r>
      <w:proofErr w:type="spellEnd"/>
      <w:r w:rsidR="00F50190">
        <w:t xml:space="preserve">, W.; </w:t>
      </w:r>
      <w:proofErr w:type="spellStart"/>
      <w:r w:rsidR="00F50190" w:rsidRPr="001D665C">
        <w:t>Ko</w:t>
      </w:r>
      <w:r w:rsidR="00F50190">
        <w:t>ł</w:t>
      </w:r>
      <w:r w:rsidR="00F50190" w:rsidRPr="001D665C">
        <w:t>ody</w:t>
      </w:r>
      <w:r w:rsidR="00F50190">
        <w:t>ń</w:t>
      </w:r>
      <w:r w:rsidR="00F50190" w:rsidRPr="001D665C">
        <w:t>ska</w:t>
      </w:r>
      <w:proofErr w:type="spellEnd"/>
      <w:r w:rsidR="00F50190" w:rsidRPr="001D665C">
        <w:t xml:space="preserve">, </w:t>
      </w:r>
      <w:r w:rsidR="00F50190">
        <w:t xml:space="preserve">D. (2016) </w:t>
      </w:r>
      <w:proofErr w:type="spellStart"/>
      <w:r w:rsidR="00F50190">
        <w:t>Purolite</w:t>
      </w:r>
      <w:proofErr w:type="spellEnd"/>
      <w:r w:rsidR="00F50190">
        <w:t xml:space="preserve"> S940 and </w:t>
      </w:r>
      <w:proofErr w:type="spellStart"/>
      <w:r w:rsidR="00F50190">
        <w:t>Purolite</w:t>
      </w:r>
      <w:proofErr w:type="spellEnd"/>
      <w:r w:rsidR="00F50190">
        <w:t xml:space="preserve"> S950 in heavy metal ions removal from acidic streams. </w:t>
      </w:r>
      <w:r w:rsidR="00F50190">
        <w:rPr>
          <w:i/>
        </w:rPr>
        <w:t xml:space="preserve">Separation Science and Technology, </w:t>
      </w:r>
      <w:r w:rsidR="00F50190">
        <w:t>51: 2528-2538.</w:t>
      </w:r>
    </w:p>
    <w:p w14:paraId="5F8852EB" w14:textId="0AE8B0C4" w:rsidR="00F50190" w:rsidRDefault="00F50190" w:rsidP="00F60F05">
      <w:pPr>
        <w:pStyle w:val="References"/>
      </w:pPr>
      <w:r>
        <w:t>[</w:t>
      </w:r>
      <w:r w:rsidR="001E3894">
        <w:t>4</w:t>
      </w:r>
      <w:r>
        <w:t xml:space="preserve">] </w:t>
      </w:r>
      <w:proofErr w:type="spellStart"/>
      <w:r w:rsidRPr="001D665C">
        <w:t>Outola</w:t>
      </w:r>
      <w:proofErr w:type="spellEnd"/>
      <w:r>
        <w:t xml:space="preserve">, P.; </w:t>
      </w:r>
      <w:proofErr w:type="spellStart"/>
      <w:r>
        <w:t>Leinonen</w:t>
      </w:r>
      <w:proofErr w:type="spellEnd"/>
      <w:r>
        <w:t xml:space="preserve">, H.; </w:t>
      </w:r>
      <w:proofErr w:type="spellStart"/>
      <w:r>
        <w:t>Ridell</w:t>
      </w:r>
      <w:proofErr w:type="spellEnd"/>
      <w:r>
        <w:t xml:space="preserve">, M.; </w:t>
      </w:r>
      <w:proofErr w:type="spellStart"/>
      <w:r>
        <w:t>Lehto</w:t>
      </w:r>
      <w:proofErr w:type="spellEnd"/>
      <w:r>
        <w:t>, J. (</w:t>
      </w:r>
      <w:r w:rsidRPr="001D665C">
        <w:t>2001</w:t>
      </w:r>
      <w:r>
        <w:t xml:space="preserve">) Acid/base and metal uptake properties of chelating and weak base resins. </w:t>
      </w:r>
      <w:r>
        <w:rPr>
          <w:i/>
        </w:rPr>
        <w:t xml:space="preserve">Solvent Extraction and Ion Exchange, </w:t>
      </w:r>
      <w:r>
        <w:t>19: 743-756.</w:t>
      </w:r>
    </w:p>
    <w:p w14:paraId="0BE1EA20" w14:textId="1BD1FD36" w:rsidR="00F50190" w:rsidRPr="0092703A" w:rsidRDefault="00F50190" w:rsidP="00F60F05">
      <w:pPr>
        <w:pStyle w:val="References"/>
      </w:pPr>
      <w:r>
        <w:t>[</w:t>
      </w:r>
      <w:r w:rsidR="001E3894">
        <w:t>5</w:t>
      </w:r>
      <w:r>
        <w:t>] Rosenberg</w:t>
      </w:r>
      <w:r w:rsidR="0092703A">
        <w:t xml:space="preserve">, E.; Pinson, G.; Tsosie, R.; Tutu, H.; </w:t>
      </w:r>
      <w:proofErr w:type="spellStart"/>
      <w:r w:rsidR="0092703A">
        <w:t>Cukrowska</w:t>
      </w:r>
      <w:proofErr w:type="spellEnd"/>
      <w:r w:rsidR="0092703A">
        <w:t xml:space="preserve">, E. </w:t>
      </w:r>
      <w:r>
        <w:t>(2016)</w:t>
      </w:r>
      <w:r w:rsidR="0092703A">
        <w:t xml:space="preserve"> Uranium remediation by ion exchange and sorption methods: A critical review. </w:t>
      </w:r>
      <w:r w:rsidR="0092703A">
        <w:rPr>
          <w:i/>
        </w:rPr>
        <w:t xml:space="preserve">Johnson Matthey Technology Review, </w:t>
      </w:r>
      <w:r w:rsidR="0092703A">
        <w:t>60: 59-77.</w:t>
      </w:r>
    </w:p>
    <w:p w14:paraId="74DF7E8D" w14:textId="61EBC852" w:rsidR="00F50190" w:rsidRPr="0092703A" w:rsidRDefault="00F50190" w:rsidP="00F50190">
      <w:pPr>
        <w:pStyle w:val="References"/>
      </w:pPr>
      <w:r>
        <w:t>[</w:t>
      </w:r>
      <w:r w:rsidR="001E3894">
        <w:t>6</w:t>
      </w:r>
      <w:r>
        <w:t>] Mendes</w:t>
      </w:r>
      <w:r w:rsidR="0092703A">
        <w:t xml:space="preserve">, F. D.; </w:t>
      </w:r>
      <w:r>
        <w:t>Martins</w:t>
      </w:r>
      <w:r w:rsidR="0092703A">
        <w:t xml:space="preserve">, A. H. </w:t>
      </w:r>
      <w:r>
        <w:t>(2005)</w:t>
      </w:r>
      <w:r w:rsidR="0092703A">
        <w:t xml:space="preserve"> Recovery of nickel and cobalt from acid leach pulp by ion exchange using chelating resin. </w:t>
      </w:r>
      <w:r w:rsidR="0092703A">
        <w:rPr>
          <w:i/>
        </w:rPr>
        <w:t xml:space="preserve">Minerals Engineering, </w:t>
      </w:r>
      <w:r w:rsidR="0092703A">
        <w:t>18: 945-954.</w:t>
      </w:r>
    </w:p>
    <w:p w14:paraId="3D06D884" w14:textId="2D70EB79" w:rsidR="00F50190" w:rsidRDefault="00F50190" w:rsidP="00F50190">
      <w:pPr>
        <w:pStyle w:val="References"/>
      </w:pPr>
      <w:r>
        <w:t>[</w:t>
      </w:r>
      <w:r w:rsidR="001E3894">
        <w:t>7</w:t>
      </w:r>
      <w:r>
        <w:t xml:space="preserve">] Sarkar, A. R.; </w:t>
      </w:r>
      <w:proofErr w:type="spellStart"/>
      <w:r>
        <w:t>Datta</w:t>
      </w:r>
      <w:proofErr w:type="spellEnd"/>
      <w:r>
        <w:t xml:space="preserve">, P. K.; Sarkar, M. (1996) Sorption recovery of metal </w:t>
      </w:r>
      <w:r w:rsidR="002773B8">
        <w:t>i</w:t>
      </w:r>
      <w:r>
        <w:t xml:space="preserve">ons using silica gel modified with </w:t>
      </w:r>
      <w:proofErr w:type="spellStart"/>
      <w:r>
        <w:t>salicylaldoxime</w:t>
      </w:r>
      <w:proofErr w:type="spellEnd"/>
      <w:r>
        <w:t xml:space="preserve">. </w:t>
      </w:r>
      <w:proofErr w:type="spellStart"/>
      <w:r>
        <w:rPr>
          <w:i/>
        </w:rPr>
        <w:t>Talanta</w:t>
      </w:r>
      <w:proofErr w:type="spellEnd"/>
      <w:r>
        <w:rPr>
          <w:i/>
        </w:rPr>
        <w:t xml:space="preserve">, </w:t>
      </w:r>
      <w:r>
        <w:t>43: 1857-1862.</w:t>
      </w:r>
    </w:p>
    <w:p w14:paraId="4AAD0C01" w14:textId="60065A32" w:rsidR="00F50190" w:rsidRPr="0092703A" w:rsidRDefault="00F50190" w:rsidP="00F50190">
      <w:pPr>
        <w:pStyle w:val="References"/>
      </w:pPr>
      <w:r>
        <w:lastRenderedPageBreak/>
        <w:t>[</w:t>
      </w:r>
      <w:r w:rsidR="001E3894">
        <w:t>8</w:t>
      </w:r>
      <w:r>
        <w:t xml:space="preserve">] </w:t>
      </w:r>
      <w:proofErr w:type="spellStart"/>
      <w:r>
        <w:t>Hanzel</w:t>
      </w:r>
      <w:proofErr w:type="spellEnd"/>
      <w:r w:rsidR="0092703A">
        <w:t xml:space="preserve">, R.; </w:t>
      </w:r>
      <w:proofErr w:type="spellStart"/>
      <w:r>
        <w:t>Rajec</w:t>
      </w:r>
      <w:proofErr w:type="spellEnd"/>
      <w:r w:rsidR="0092703A">
        <w:t>, P.</w:t>
      </w:r>
      <w:r>
        <w:t xml:space="preserve"> (2000)</w:t>
      </w:r>
      <w:r w:rsidR="0092703A">
        <w:t xml:space="preserve"> Sorption of cobalt on modified silica gel materials. </w:t>
      </w:r>
      <w:r w:rsidR="0092703A">
        <w:rPr>
          <w:i/>
        </w:rPr>
        <w:t xml:space="preserve">Journal of </w:t>
      </w:r>
      <w:proofErr w:type="spellStart"/>
      <w:r w:rsidR="0092703A">
        <w:rPr>
          <w:i/>
        </w:rPr>
        <w:t>Radioanalytical</w:t>
      </w:r>
      <w:proofErr w:type="spellEnd"/>
      <w:r w:rsidR="0092703A">
        <w:rPr>
          <w:i/>
        </w:rPr>
        <w:t xml:space="preserve"> and Nuclear Chemistry, </w:t>
      </w:r>
      <w:r w:rsidR="0092703A">
        <w:t>246: 607-615.</w:t>
      </w:r>
    </w:p>
    <w:p w14:paraId="6BB26A36" w14:textId="6EBF16D0" w:rsidR="00F50190" w:rsidRPr="00F50190" w:rsidRDefault="00F50190" w:rsidP="00F50190">
      <w:pPr>
        <w:pStyle w:val="References"/>
      </w:pPr>
      <w:r>
        <w:t>[</w:t>
      </w:r>
      <w:r w:rsidR="001E3894">
        <w:t>9</w:t>
      </w:r>
      <w:r>
        <w:t xml:space="preserve">] </w:t>
      </w:r>
      <w:proofErr w:type="spellStart"/>
      <w:r>
        <w:t>Xie</w:t>
      </w:r>
      <w:proofErr w:type="spellEnd"/>
      <w:r>
        <w:t xml:space="preserve">, F.; Lin, X.; Wu, X.; </w:t>
      </w:r>
      <w:proofErr w:type="spellStart"/>
      <w:r>
        <w:t>Xie</w:t>
      </w:r>
      <w:proofErr w:type="spellEnd"/>
      <w:r>
        <w:t xml:space="preserve">, Z. (2008) Solid phase extraction of lead (II), copper (II), cadmium (II) and nickel (II) using </w:t>
      </w:r>
      <w:proofErr w:type="spellStart"/>
      <w:r>
        <w:t>gallic</w:t>
      </w:r>
      <w:proofErr w:type="spellEnd"/>
      <w:r>
        <w:t xml:space="preserve"> acid-modified silica gel prior to determination by flame atomic </w:t>
      </w:r>
      <w:r w:rsidRPr="00F50190">
        <w:t xml:space="preserve">absorption spectrometry. </w:t>
      </w:r>
      <w:proofErr w:type="spellStart"/>
      <w:r w:rsidRPr="00F50190">
        <w:rPr>
          <w:i/>
        </w:rPr>
        <w:t>Talanta</w:t>
      </w:r>
      <w:proofErr w:type="spellEnd"/>
      <w:r w:rsidRPr="00F50190">
        <w:rPr>
          <w:i/>
        </w:rPr>
        <w:t xml:space="preserve">, </w:t>
      </w:r>
      <w:r w:rsidRPr="00F50190">
        <w:t>74: 836-843.</w:t>
      </w:r>
    </w:p>
    <w:p w14:paraId="36A19061" w14:textId="33DB23EC" w:rsidR="00F50190" w:rsidRDefault="00F50190" w:rsidP="00F50190">
      <w:pPr>
        <w:pStyle w:val="References"/>
      </w:pPr>
      <w:r w:rsidRPr="00F50190">
        <w:t>[</w:t>
      </w:r>
      <w:r w:rsidR="001E3894">
        <w:t>10</w:t>
      </w:r>
      <w:r w:rsidRPr="00F50190">
        <w:t xml:space="preserve">] </w:t>
      </w:r>
      <w:proofErr w:type="spellStart"/>
      <w:r w:rsidRPr="00F50190">
        <w:t>Zainol</w:t>
      </w:r>
      <w:proofErr w:type="spellEnd"/>
      <w:r w:rsidRPr="00F50190">
        <w:t>, Z.; Nicol, M. J. (2009) Ion-exchange equilibria of Ni</w:t>
      </w:r>
      <w:r w:rsidRPr="00F50190">
        <w:rPr>
          <w:vertAlign w:val="superscript"/>
        </w:rPr>
        <w:t>2+</w:t>
      </w:r>
      <w:r w:rsidRPr="00F50190">
        <w:t>, Co</w:t>
      </w:r>
      <w:r w:rsidRPr="00F50190">
        <w:rPr>
          <w:vertAlign w:val="superscript"/>
        </w:rPr>
        <w:t>2+</w:t>
      </w:r>
      <w:r w:rsidRPr="00F50190">
        <w:t>, Mn</w:t>
      </w:r>
      <w:r w:rsidRPr="00F50190">
        <w:rPr>
          <w:vertAlign w:val="superscript"/>
        </w:rPr>
        <w:t>2+</w:t>
      </w:r>
      <w:r w:rsidRPr="00F50190">
        <w:t xml:space="preserve"> and Mg</w:t>
      </w:r>
      <w:r w:rsidRPr="00F50190">
        <w:rPr>
          <w:vertAlign w:val="superscript"/>
        </w:rPr>
        <w:t>2+</w:t>
      </w:r>
      <w:r w:rsidRPr="00F50190">
        <w:t xml:space="preserve"> with </w:t>
      </w:r>
      <w:proofErr w:type="spellStart"/>
      <w:r w:rsidRPr="00F50190">
        <w:t>iminodiacetic</w:t>
      </w:r>
      <w:proofErr w:type="spellEnd"/>
      <w:r w:rsidRPr="00F50190">
        <w:t xml:space="preserve"> acid chelating resin </w:t>
      </w:r>
      <w:proofErr w:type="spellStart"/>
      <w:r w:rsidRPr="00F50190">
        <w:t>Amberlite</w:t>
      </w:r>
      <w:proofErr w:type="spellEnd"/>
      <w:r w:rsidRPr="00F50190">
        <w:t xml:space="preserve"> IRC 748. </w:t>
      </w:r>
      <w:r w:rsidRPr="00F50190">
        <w:rPr>
          <w:i/>
        </w:rPr>
        <w:t xml:space="preserve">Hydrometallurgy, </w:t>
      </w:r>
      <w:r w:rsidRPr="00F50190">
        <w:t>99: 175-180.</w:t>
      </w:r>
    </w:p>
    <w:p w14:paraId="188DA55D" w14:textId="78FDE009" w:rsidR="002773B8" w:rsidRDefault="002773B8" w:rsidP="002773B8">
      <w:pPr>
        <w:pStyle w:val="References"/>
      </w:pPr>
      <w:r>
        <w:t>[1</w:t>
      </w:r>
      <w:r w:rsidR="001E3894">
        <w:t>1</w:t>
      </w:r>
      <w:r>
        <w:t xml:space="preserve">] </w:t>
      </w:r>
      <w:proofErr w:type="spellStart"/>
      <w:r>
        <w:t>Sadeghi</w:t>
      </w:r>
      <w:proofErr w:type="spellEnd"/>
      <w:r>
        <w:t xml:space="preserve">, S.; </w:t>
      </w:r>
      <w:proofErr w:type="spellStart"/>
      <w:r>
        <w:t>Sheikhzadeh</w:t>
      </w:r>
      <w:proofErr w:type="spellEnd"/>
      <w:r>
        <w:t xml:space="preserve">, E. (2009) Solid phase extraction using silica gel modified with </w:t>
      </w:r>
      <w:proofErr w:type="spellStart"/>
      <w:r>
        <w:t>murexide</w:t>
      </w:r>
      <w:proofErr w:type="spellEnd"/>
      <w:r>
        <w:t xml:space="preserve"> for preconcentration of uraniu</w:t>
      </w:r>
      <w:r w:rsidR="007602A2">
        <w:t xml:space="preserve">m(VI) ions from water samples. </w:t>
      </w:r>
      <w:r>
        <w:rPr>
          <w:i/>
        </w:rPr>
        <w:t xml:space="preserve">Journal of Hazardous Materials, </w:t>
      </w:r>
      <w:r>
        <w:t>163: 861-868.</w:t>
      </w:r>
    </w:p>
    <w:p w14:paraId="2A6321FD" w14:textId="3E88A82A" w:rsidR="00E1085E" w:rsidRPr="00A02A09" w:rsidRDefault="00E1085E" w:rsidP="00F50190">
      <w:pPr>
        <w:pStyle w:val="References"/>
      </w:pPr>
      <w:r>
        <w:t>[1</w:t>
      </w:r>
      <w:r w:rsidR="001E3894">
        <w:t>2</w:t>
      </w:r>
      <w:r>
        <w:t xml:space="preserve">] Schulz, W. W.; Horwitz, E. P. (1994) </w:t>
      </w:r>
      <w:r w:rsidR="00A02A09">
        <w:rPr>
          <w:i/>
        </w:rPr>
        <w:t xml:space="preserve">Chemical </w:t>
      </w:r>
      <w:proofErr w:type="spellStart"/>
      <w:r w:rsidR="00A02A09">
        <w:rPr>
          <w:i/>
        </w:rPr>
        <w:t>Pretreatment</w:t>
      </w:r>
      <w:proofErr w:type="spellEnd"/>
      <w:r w:rsidR="00A02A09">
        <w:rPr>
          <w:i/>
        </w:rPr>
        <w:t xml:space="preserve"> of Nuclear Waste for Disposal;</w:t>
      </w:r>
      <w:r w:rsidR="00A02A09">
        <w:t xml:space="preserve"> Springer: New York.</w:t>
      </w:r>
    </w:p>
    <w:p w14:paraId="6F2CAF54" w14:textId="1BA82681" w:rsidR="00F50190" w:rsidRPr="00F50190" w:rsidRDefault="00F50190" w:rsidP="00F50190">
      <w:pPr>
        <w:pStyle w:val="References"/>
      </w:pPr>
      <w:r>
        <w:t>[</w:t>
      </w:r>
      <w:r w:rsidR="00934046">
        <w:t>1</w:t>
      </w:r>
      <w:r w:rsidR="001E3894">
        <w:t>3</w:t>
      </w:r>
      <w:r>
        <w:t xml:space="preserve">] </w:t>
      </w:r>
      <w:proofErr w:type="spellStart"/>
      <w:r>
        <w:t>Alexandratos</w:t>
      </w:r>
      <w:proofErr w:type="spellEnd"/>
      <w:r>
        <w:t xml:space="preserve">, S. D. (2009) Ion-exchange resins: A retrospective from </w:t>
      </w:r>
      <w:r>
        <w:rPr>
          <w:i/>
        </w:rPr>
        <w:t>Industrial and Engineering Chemistry Research</w:t>
      </w:r>
      <w:r>
        <w:t xml:space="preserve">. </w:t>
      </w:r>
      <w:r>
        <w:rPr>
          <w:i/>
        </w:rPr>
        <w:t xml:space="preserve">Industrial and Engineering Chemistry Research, </w:t>
      </w:r>
      <w:r>
        <w:t>48: 388-398.</w:t>
      </w:r>
    </w:p>
    <w:p w14:paraId="164E3D0C" w14:textId="1CD9F523" w:rsidR="00F50190" w:rsidRDefault="00F50190" w:rsidP="00F60F05">
      <w:pPr>
        <w:pStyle w:val="References"/>
      </w:pPr>
      <w:r>
        <w:t>[1</w:t>
      </w:r>
      <w:r w:rsidR="001E3894">
        <w:t>4</w:t>
      </w:r>
      <w:r>
        <w:t xml:space="preserve">] </w:t>
      </w:r>
      <w:proofErr w:type="spellStart"/>
      <w:r w:rsidRPr="00F50190">
        <w:t>Hubicki</w:t>
      </w:r>
      <w:proofErr w:type="spellEnd"/>
      <w:r w:rsidRPr="00F50190">
        <w:t xml:space="preserve">, Z.; </w:t>
      </w:r>
      <w:proofErr w:type="spellStart"/>
      <w:r w:rsidRPr="00F50190">
        <w:t>Kołodyńska</w:t>
      </w:r>
      <w:proofErr w:type="spellEnd"/>
      <w:r w:rsidRPr="00F50190">
        <w:t xml:space="preserve">, D. (2012) Selective removal of heavy metal ions from waters and waste waters using ion exchange methods. </w:t>
      </w:r>
      <w:r w:rsidR="00934046">
        <w:t xml:space="preserve">In: </w:t>
      </w:r>
      <w:r w:rsidR="00934046">
        <w:rPr>
          <w:i/>
        </w:rPr>
        <w:t>Ion Exchange Technologies;</w:t>
      </w:r>
      <w:r w:rsidR="00934046">
        <w:t xml:space="preserve"> </w:t>
      </w:r>
      <w:proofErr w:type="spellStart"/>
      <w:r w:rsidR="00934046">
        <w:t>InTech</w:t>
      </w:r>
      <w:proofErr w:type="spellEnd"/>
      <w:r w:rsidR="00934046">
        <w:t>.</w:t>
      </w:r>
    </w:p>
    <w:p w14:paraId="5288B0DA" w14:textId="709E041F" w:rsidR="00F50190" w:rsidRDefault="00F50190" w:rsidP="00F60F05">
      <w:pPr>
        <w:pStyle w:val="References"/>
      </w:pPr>
      <w:r>
        <w:t>[1</w:t>
      </w:r>
      <w:r w:rsidR="001E3894">
        <w:t>5</w:t>
      </w:r>
      <w:r>
        <w:t xml:space="preserve">] </w:t>
      </w:r>
      <w:proofErr w:type="spellStart"/>
      <w:r>
        <w:t>Ritcey</w:t>
      </w:r>
      <w:proofErr w:type="spellEnd"/>
      <w:r w:rsidR="00E253F6">
        <w:t xml:space="preserve">, G. M.; Ashbrook, A. W. </w:t>
      </w:r>
      <w:r>
        <w:t>(1984)</w:t>
      </w:r>
      <w:r w:rsidR="00E253F6">
        <w:t xml:space="preserve"> </w:t>
      </w:r>
      <w:r w:rsidR="00E253F6" w:rsidRPr="00934046">
        <w:rPr>
          <w:i/>
        </w:rPr>
        <w:t>Solvent extraction: Principles and applications to process metallurgy</w:t>
      </w:r>
      <w:r w:rsidR="00934046">
        <w:rPr>
          <w:i/>
        </w:rPr>
        <w:t>;</w:t>
      </w:r>
      <w:r w:rsidR="00E253F6">
        <w:t xml:space="preserve"> </w:t>
      </w:r>
      <w:r w:rsidR="00E253F6" w:rsidRPr="002773B8">
        <w:t>Elsevier</w:t>
      </w:r>
      <w:r w:rsidR="002773B8">
        <w:t>:</w:t>
      </w:r>
      <w:r w:rsidR="00E253F6" w:rsidRPr="002773B8">
        <w:t xml:space="preserve"> Amsterdam.</w:t>
      </w:r>
    </w:p>
    <w:p w14:paraId="60F57D93" w14:textId="7911133E" w:rsidR="00F50190" w:rsidRDefault="00F50190" w:rsidP="00F60F05">
      <w:pPr>
        <w:pStyle w:val="References"/>
      </w:pPr>
      <w:r>
        <w:t>[1</w:t>
      </w:r>
      <w:r w:rsidR="001E3894">
        <w:t>6</w:t>
      </w:r>
      <w:r>
        <w:t>] De</w:t>
      </w:r>
      <w:r w:rsidR="00E253F6">
        <w:t xml:space="preserve">, A. K.; </w:t>
      </w:r>
      <w:proofErr w:type="spellStart"/>
      <w:r w:rsidR="00E253F6">
        <w:t>Khopkar</w:t>
      </w:r>
      <w:proofErr w:type="spellEnd"/>
      <w:r w:rsidR="00E253F6">
        <w:t xml:space="preserve">, S. M.; Chalmers, R. A. </w:t>
      </w:r>
      <w:r>
        <w:t>(1970)</w:t>
      </w:r>
      <w:r w:rsidR="00E253F6">
        <w:t xml:space="preserve"> </w:t>
      </w:r>
      <w:r w:rsidR="00E253F6" w:rsidRPr="002773B8">
        <w:rPr>
          <w:i/>
        </w:rPr>
        <w:t>Solvent extraction of metals</w:t>
      </w:r>
      <w:r w:rsidR="002773B8">
        <w:rPr>
          <w:i/>
        </w:rPr>
        <w:t>;</w:t>
      </w:r>
      <w:r w:rsidR="00E253F6">
        <w:t xml:space="preserve"> </w:t>
      </w:r>
      <w:r w:rsidR="00E253F6" w:rsidRPr="002773B8">
        <w:t xml:space="preserve">Van </w:t>
      </w:r>
      <w:proofErr w:type="spellStart"/>
      <w:r w:rsidR="00E253F6" w:rsidRPr="002773B8">
        <w:t>Nostrand</w:t>
      </w:r>
      <w:proofErr w:type="spellEnd"/>
      <w:r w:rsidR="00E253F6" w:rsidRPr="002773B8">
        <w:t xml:space="preserve"> Reinhold</w:t>
      </w:r>
      <w:r w:rsidR="002773B8" w:rsidRPr="002773B8">
        <w:t xml:space="preserve">: </w:t>
      </w:r>
      <w:r w:rsidR="00E253F6" w:rsidRPr="002773B8">
        <w:t>London</w:t>
      </w:r>
      <w:r w:rsidR="002773B8" w:rsidRPr="002773B8">
        <w:t>.</w:t>
      </w:r>
    </w:p>
    <w:p w14:paraId="44DF5D33" w14:textId="1F1C26A4" w:rsidR="00F50190" w:rsidRDefault="00F50190" w:rsidP="00F60F05">
      <w:pPr>
        <w:pStyle w:val="References"/>
      </w:pPr>
      <w:r>
        <w:t>[1</w:t>
      </w:r>
      <w:r w:rsidR="001E3894">
        <w:t>7</w:t>
      </w:r>
      <w:r>
        <w:t>] Pepper</w:t>
      </w:r>
      <w:r w:rsidR="00E253F6">
        <w:t xml:space="preserve">, S. E.; </w:t>
      </w:r>
      <w:proofErr w:type="spellStart"/>
      <w:r w:rsidR="00E253F6">
        <w:t>Borkowski</w:t>
      </w:r>
      <w:proofErr w:type="spellEnd"/>
      <w:r w:rsidR="00E253F6">
        <w:t xml:space="preserve">, M.; </w:t>
      </w:r>
      <w:proofErr w:type="spellStart"/>
      <w:r w:rsidR="00E253F6">
        <w:t>Richmann</w:t>
      </w:r>
      <w:proofErr w:type="spellEnd"/>
      <w:r w:rsidR="00E253F6">
        <w:t xml:space="preserve">, M. K.; Reed, D. T. </w:t>
      </w:r>
      <w:r>
        <w:t>(2010)</w:t>
      </w:r>
      <w:r w:rsidR="00E253F6">
        <w:t xml:space="preserve"> Determination of ferrous and ferric iron in aqueous biological solutions. </w:t>
      </w:r>
      <w:proofErr w:type="spellStart"/>
      <w:r w:rsidR="00E253F6">
        <w:rPr>
          <w:i/>
        </w:rPr>
        <w:t>Analytica</w:t>
      </w:r>
      <w:proofErr w:type="spellEnd"/>
      <w:r w:rsidR="00E253F6">
        <w:rPr>
          <w:i/>
        </w:rPr>
        <w:t xml:space="preserve"> </w:t>
      </w:r>
      <w:proofErr w:type="spellStart"/>
      <w:r w:rsidR="00E253F6">
        <w:rPr>
          <w:i/>
        </w:rPr>
        <w:t>Chimica</w:t>
      </w:r>
      <w:proofErr w:type="spellEnd"/>
      <w:r w:rsidR="00E253F6">
        <w:rPr>
          <w:i/>
        </w:rPr>
        <w:t xml:space="preserve"> </w:t>
      </w:r>
      <w:proofErr w:type="spellStart"/>
      <w:r w:rsidR="00E253F6">
        <w:rPr>
          <w:i/>
        </w:rPr>
        <w:t>Acta</w:t>
      </w:r>
      <w:proofErr w:type="spellEnd"/>
      <w:r w:rsidR="00E253F6">
        <w:rPr>
          <w:i/>
        </w:rPr>
        <w:t xml:space="preserve">, </w:t>
      </w:r>
      <w:r w:rsidR="00E253F6">
        <w:t>663: 172-177.</w:t>
      </w:r>
    </w:p>
    <w:p w14:paraId="58CE43E4" w14:textId="16031176" w:rsidR="00F50190" w:rsidRDefault="00F50190" w:rsidP="00F60F05">
      <w:pPr>
        <w:pStyle w:val="References"/>
      </w:pPr>
      <w:r>
        <w:t>[1</w:t>
      </w:r>
      <w:r w:rsidR="001E3894">
        <w:t>8</w:t>
      </w:r>
      <w:r>
        <w:t>] Harland</w:t>
      </w:r>
      <w:r w:rsidR="0050251B">
        <w:t xml:space="preserve">, C. E. </w:t>
      </w:r>
      <w:r w:rsidR="0050251B" w:rsidRPr="002773B8">
        <w:t>(</w:t>
      </w:r>
      <w:r w:rsidRPr="002773B8">
        <w:t>1994</w:t>
      </w:r>
      <w:r w:rsidR="0050251B" w:rsidRPr="002773B8">
        <w:t xml:space="preserve">) </w:t>
      </w:r>
      <w:r w:rsidR="0050251B" w:rsidRPr="002773B8">
        <w:rPr>
          <w:i/>
        </w:rPr>
        <w:t>Ion exchange: Theory and practice</w:t>
      </w:r>
      <w:r w:rsidR="002773B8" w:rsidRPr="002773B8">
        <w:rPr>
          <w:i/>
        </w:rPr>
        <w:t>:</w:t>
      </w:r>
      <w:r w:rsidR="0050251B" w:rsidRPr="002773B8">
        <w:t xml:space="preserve"> The Royal Society of Chemistry</w:t>
      </w:r>
      <w:r w:rsidR="002773B8" w:rsidRPr="002773B8">
        <w:t>:</w:t>
      </w:r>
      <w:r w:rsidR="0050251B" w:rsidRPr="002773B8">
        <w:t xml:space="preserve"> Cambridge</w:t>
      </w:r>
      <w:r w:rsidR="002773B8" w:rsidRPr="002773B8">
        <w:t>.</w:t>
      </w:r>
    </w:p>
    <w:p w14:paraId="6251227A" w14:textId="0EC191F8" w:rsidR="00540A08" w:rsidRPr="0050251B" w:rsidRDefault="00540A08" w:rsidP="00540A08">
      <w:pPr>
        <w:pStyle w:val="References"/>
      </w:pPr>
      <w:r w:rsidRPr="00F50190">
        <w:t>[1</w:t>
      </w:r>
      <w:r w:rsidR="001E3894">
        <w:t>9</w:t>
      </w:r>
      <w:r w:rsidRPr="00F50190">
        <w:t xml:space="preserve">] </w:t>
      </w:r>
      <w:proofErr w:type="spellStart"/>
      <w:r w:rsidRPr="00F50190">
        <w:t>Riegel</w:t>
      </w:r>
      <w:proofErr w:type="spellEnd"/>
      <w:r>
        <w:t xml:space="preserve">, M.; </w:t>
      </w:r>
      <w:proofErr w:type="spellStart"/>
      <w:r>
        <w:t>Tokmachev</w:t>
      </w:r>
      <w:proofErr w:type="spellEnd"/>
      <w:r>
        <w:t xml:space="preserve">, M.; </w:t>
      </w:r>
      <w:proofErr w:type="spellStart"/>
      <w:r>
        <w:t>Hoell</w:t>
      </w:r>
      <w:proofErr w:type="spellEnd"/>
      <w:r>
        <w:t xml:space="preserve">, W. H. </w:t>
      </w:r>
      <w:r w:rsidRPr="00F50190">
        <w:t>(2008)</w:t>
      </w:r>
      <w:r>
        <w:t xml:space="preserve"> Kinetics of uranium sorption onto weakly basic anion exchangers. </w:t>
      </w:r>
      <w:r>
        <w:rPr>
          <w:i/>
        </w:rPr>
        <w:t xml:space="preserve">Reactive and Functional Polymers, </w:t>
      </w:r>
      <w:r>
        <w:t>68:1072-1080.</w:t>
      </w:r>
    </w:p>
    <w:p w14:paraId="5DA48CA4" w14:textId="10EA8B25" w:rsidR="00540A08" w:rsidRDefault="00540A08" w:rsidP="00540A08">
      <w:pPr>
        <w:pStyle w:val="References"/>
      </w:pPr>
      <w:r w:rsidRPr="00F50190">
        <w:lastRenderedPageBreak/>
        <w:t>[</w:t>
      </w:r>
      <w:r w:rsidR="001E3894">
        <w:t>20</w:t>
      </w:r>
      <w:r w:rsidRPr="00F50190">
        <w:t xml:space="preserve">] Jal, P. K.; Patel, S.; Mishra, B. K. (2004) Chemical modification of silica surface by immobilization of functional groups for extractive concentration of metal ions. </w:t>
      </w:r>
      <w:proofErr w:type="spellStart"/>
      <w:r w:rsidRPr="00F50190">
        <w:rPr>
          <w:i/>
        </w:rPr>
        <w:t>Talanta</w:t>
      </w:r>
      <w:proofErr w:type="spellEnd"/>
      <w:r w:rsidRPr="00F50190">
        <w:rPr>
          <w:i/>
        </w:rPr>
        <w:t xml:space="preserve">, </w:t>
      </w:r>
      <w:r w:rsidRPr="00F50190">
        <w:t>62: 1005-1028.</w:t>
      </w:r>
    </w:p>
    <w:p w14:paraId="5EF66A62" w14:textId="4E07F248" w:rsidR="00540A08" w:rsidRDefault="00540A08" w:rsidP="00540A08">
      <w:pPr>
        <w:pStyle w:val="References"/>
      </w:pPr>
      <w:r w:rsidRPr="00F50190">
        <w:t>[</w:t>
      </w:r>
      <w:r>
        <w:t>2</w:t>
      </w:r>
      <w:r w:rsidR="001E3894">
        <w:t>1</w:t>
      </w:r>
      <w:r w:rsidRPr="00F50190">
        <w:t xml:space="preserve">] </w:t>
      </w:r>
      <w:proofErr w:type="spellStart"/>
      <w:r w:rsidRPr="00F50190">
        <w:t>Goswami</w:t>
      </w:r>
      <w:proofErr w:type="spellEnd"/>
      <w:r w:rsidRPr="00F50190">
        <w:t xml:space="preserve">, A.; Singh, A. K. (2002) Enrichment of </w:t>
      </w:r>
      <w:proofErr w:type="gramStart"/>
      <w:r w:rsidRPr="00F50190">
        <w:t>iron(</w:t>
      </w:r>
      <w:proofErr w:type="gramEnd"/>
      <w:r w:rsidRPr="00F50190">
        <w:t xml:space="preserve">III), cobalt(II), nickel(II) and copper(II) by solid-phase extraction with 1,8-dihydroxyanthraquinone anchored to silica gel before their determination by flame atomic absorption spectroscopy. </w:t>
      </w:r>
      <w:r w:rsidRPr="00F50190">
        <w:rPr>
          <w:i/>
        </w:rPr>
        <w:t xml:space="preserve">Analytical and Bioanalytical Chemistry, </w:t>
      </w:r>
      <w:r w:rsidRPr="00F50190">
        <w:t>374: 554-560.</w:t>
      </w:r>
    </w:p>
    <w:p w14:paraId="34A6CD1C" w14:textId="4C042F75" w:rsidR="002773B8" w:rsidRPr="00895197" w:rsidRDefault="00895197" w:rsidP="00F60F05">
      <w:pPr>
        <w:pStyle w:val="References"/>
      </w:pPr>
      <w:r>
        <w:t>[2</w:t>
      </w:r>
      <w:r w:rsidR="001E3894">
        <w:t>2</w:t>
      </w:r>
      <w:r>
        <w:t xml:space="preserve">] Fernandez, M. A.; Carta, G. (1996) Characterization of protein adsorption by composite silica-polyacrylamide gel anion exchangers I. Equilibrium and mass transfer in agitated contactors. </w:t>
      </w:r>
      <w:r>
        <w:rPr>
          <w:i/>
        </w:rPr>
        <w:t xml:space="preserve">Journal of Chromatography A, </w:t>
      </w:r>
      <w:r>
        <w:t>746: 169-183.</w:t>
      </w:r>
    </w:p>
    <w:p w14:paraId="7C4227DE" w14:textId="579D6F33" w:rsidR="00895197" w:rsidRDefault="00895197" w:rsidP="00895197">
      <w:pPr>
        <w:pStyle w:val="References"/>
      </w:pPr>
      <w:r w:rsidRPr="00F50190">
        <w:t>[2</w:t>
      </w:r>
      <w:r w:rsidR="001E3894">
        <w:t>3</w:t>
      </w:r>
      <w:r w:rsidRPr="00F50190">
        <w:t xml:space="preserve">] </w:t>
      </w:r>
      <w:proofErr w:type="spellStart"/>
      <w:r w:rsidRPr="00F50190">
        <w:t>Sahni</w:t>
      </w:r>
      <w:proofErr w:type="spellEnd"/>
      <w:r w:rsidRPr="00F50190">
        <w:t xml:space="preserve">, S. K.; Van </w:t>
      </w:r>
      <w:proofErr w:type="spellStart"/>
      <w:r w:rsidRPr="00F50190">
        <w:t>Bennekom</w:t>
      </w:r>
      <w:proofErr w:type="spellEnd"/>
      <w:r w:rsidRPr="00F50190">
        <w:t xml:space="preserve">, R.; </w:t>
      </w:r>
      <w:proofErr w:type="spellStart"/>
      <w:r w:rsidRPr="00F50190">
        <w:t>Reedijk</w:t>
      </w:r>
      <w:proofErr w:type="spellEnd"/>
      <w:r w:rsidRPr="00F50190">
        <w:t xml:space="preserve">, J. (1985) A spectral study of transition-metal complexes on a chelating ion-exchange resin containing </w:t>
      </w:r>
      <w:proofErr w:type="spellStart"/>
      <w:r w:rsidRPr="00F50190">
        <w:t>aminophosphonic</w:t>
      </w:r>
      <w:proofErr w:type="spellEnd"/>
      <w:r w:rsidRPr="00F50190">
        <w:t xml:space="preserve"> acid groups. </w:t>
      </w:r>
      <w:r w:rsidRPr="00F50190">
        <w:rPr>
          <w:i/>
        </w:rPr>
        <w:t xml:space="preserve">Polyhedron, </w:t>
      </w:r>
      <w:r w:rsidRPr="00F50190">
        <w:t>4: 1643-1658.</w:t>
      </w:r>
    </w:p>
    <w:p w14:paraId="442EE9B2" w14:textId="4DBFCD3F" w:rsidR="00895197" w:rsidRPr="00F50190" w:rsidRDefault="00895197" w:rsidP="00895197">
      <w:pPr>
        <w:pStyle w:val="References"/>
      </w:pPr>
      <w:r w:rsidRPr="00F50190">
        <w:t>[</w:t>
      </w:r>
      <w:r>
        <w:t>2</w:t>
      </w:r>
      <w:r w:rsidR="001E3894">
        <w:t>4</w:t>
      </w:r>
      <w:r w:rsidRPr="00F50190">
        <w:t xml:space="preserve">] </w:t>
      </w:r>
      <w:proofErr w:type="spellStart"/>
      <w:r w:rsidRPr="00F50190">
        <w:t>Deepatana</w:t>
      </w:r>
      <w:proofErr w:type="spellEnd"/>
      <w:r w:rsidRPr="00F50190">
        <w:t xml:space="preserve">, A.; </w:t>
      </w:r>
      <w:proofErr w:type="spellStart"/>
      <w:r w:rsidRPr="00F50190">
        <w:t>Valix</w:t>
      </w:r>
      <w:proofErr w:type="spellEnd"/>
      <w:r w:rsidRPr="00F50190">
        <w:t xml:space="preserve">, M. (2006) Recovery of nickel and cobalt from organic acid complexes: Adsorption mechanisms of metal-organic complexes onto </w:t>
      </w:r>
      <w:proofErr w:type="spellStart"/>
      <w:r w:rsidRPr="00F50190">
        <w:t>aminophosphonate</w:t>
      </w:r>
      <w:proofErr w:type="spellEnd"/>
      <w:r w:rsidRPr="00F50190">
        <w:t xml:space="preserve"> chelating resin. </w:t>
      </w:r>
      <w:r w:rsidRPr="00F50190">
        <w:rPr>
          <w:i/>
        </w:rPr>
        <w:t xml:space="preserve">Journal of Hazardous Materials, </w:t>
      </w:r>
      <w:r w:rsidRPr="00F50190">
        <w:t>B137: 925-933.</w:t>
      </w:r>
    </w:p>
    <w:p w14:paraId="487E53E5" w14:textId="5231BBEF" w:rsidR="00895197" w:rsidRPr="00F50190" w:rsidRDefault="00895197" w:rsidP="00895197">
      <w:pPr>
        <w:pStyle w:val="References"/>
      </w:pPr>
      <w:r w:rsidRPr="00F50190">
        <w:t>[</w:t>
      </w:r>
      <w:r>
        <w:t>2</w:t>
      </w:r>
      <w:r w:rsidR="001E3894">
        <w:t>5</w:t>
      </w:r>
      <w:r w:rsidRPr="00F50190">
        <w:t xml:space="preserve">] Kiefer, R.; </w:t>
      </w:r>
      <w:proofErr w:type="spellStart"/>
      <w:r w:rsidRPr="00F50190">
        <w:t>Hőll</w:t>
      </w:r>
      <w:proofErr w:type="spellEnd"/>
      <w:r w:rsidRPr="00F50190">
        <w:t xml:space="preserve">, W. H. (2001) Sorption of heavy metals onto selective ion-exchange resins with </w:t>
      </w:r>
      <w:proofErr w:type="spellStart"/>
      <w:r w:rsidRPr="00F50190">
        <w:t>aminophosphonate</w:t>
      </w:r>
      <w:proofErr w:type="spellEnd"/>
      <w:r w:rsidRPr="00F50190">
        <w:t xml:space="preserve"> functional groups. </w:t>
      </w:r>
      <w:r w:rsidRPr="00F50190">
        <w:rPr>
          <w:i/>
        </w:rPr>
        <w:t xml:space="preserve">Industrial and Engineering Chemistry Research, </w:t>
      </w:r>
      <w:r w:rsidRPr="00F50190">
        <w:t>40: 4570-4576.</w:t>
      </w:r>
    </w:p>
    <w:p w14:paraId="682E2C0F" w14:textId="590395B1" w:rsidR="002773B8" w:rsidRPr="00895197" w:rsidRDefault="00895197" w:rsidP="00F60F05">
      <w:pPr>
        <w:pStyle w:val="References"/>
      </w:pPr>
      <w:r>
        <w:t>[2</w:t>
      </w:r>
      <w:r w:rsidR="001E3894">
        <w:t>6</w:t>
      </w:r>
      <w:r>
        <w:t xml:space="preserve">] </w:t>
      </w:r>
      <w:proofErr w:type="spellStart"/>
      <w:r>
        <w:t>Alyüz</w:t>
      </w:r>
      <w:proofErr w:type="spellEnd"/>
      <w:r>
        <w:t xml:space="preserve">, B.; </w:t>
      </w:r>
      <w:proofErr w:type="spellStart"/>
      <w:r>
        <w:t>Veli</w:t>
      </w:r>
      <w:proofErr w:type="spellEnd"/>
      <w:r>
        <w:t xml:space="preserve">, S. (2009) Kinetics and equilibrium studies for the removal of nickel and zinc from aqueous solutions by ion exchange resins. </w:t>
      </w:r>
      <w:r>
        <w:rPr>
          <w:i/>
        </w:rPr>
        <w:t xml:space="preserve">Journal of Hazardous Materials, </w:t>
      </w:r>
      <w:r>
        <w:t>167: 482-488.</w:t>
      </w:r>
    </w:p>
    <w:p w14:paraId="6BDDAD42" w14:textId="79928748" w:rsidR="00895197" w:rsidRDefault="00895197" w:rsidP="00F60F05">
      <w:pPr>
        <w:pStyle w:val="References"/>
      </w:pPr>
      <w:r>
        <w:t>[2</w:t>
      </w:r>
      <w:r w:rsidR="001E3894">
        <w:t>7</w:t>
      </w:r>
      <w:r>
        <w:t xml:space="preserve">] </w:t>
      </w:r>
      <w:proofErr w:type="spellStart"/>
      <w:r>
        <w:t>Aşçi</w:t>
      </w:r>
      <w:proofErr w:type="spellEnd"/>
      <w:r>
        <w:t xml:space="preserve">, Y.; Kaya, S. (2014) Removal of cobalt ions from water by ion-exchange method. </w:t>
      </w:r>
      <w:r>
        <w:rPr>
          <w:i/>
        </w:rPr>
        <w:t xml:space="preserve">Desalination and Water Treatment, </w:t>
      </w:r>
      <w:r>
        <w:t>52: 267-273.</w:t>
      </w:r>
    </w:p>
    <w:p w14:paraId="52F08FEF" w14:textId="3B35F9C3" w:rsidR="00C72B93" w:rsidRDefault="00C72B93" w:rsidP="00C72B93">
      <w:pPr>
        <w:pStyle w:val="References"/>
      </w:pPr>
      <w:r>
        <w:t xml:space="preserve">[28] </w:t>
      </w:r>
      <w:r w:rsidR="00C249DB">
        <w:t>International Atomic Energy Authority (2002) Application of ion exchange processes for the treatment of spent ion exchangers. Technical Report Series No. 408, IAEA: Vienna.</w:t>
      </w:r>
    </w:p>
    <w:p w14:paraId="20BB935F" w14:textId="6DCC66AD" w:rsidR="00C249DB" w:rsidRDefault="00C249DB" w:rsidP="00C72B93">
      <w:pPr>
        <w:pStyle w:val="References"/>
      </w:pPr>
      <w:r>
        <w:t xml:space="preserve">[29] Kim, K.; Kim, K.; Choi, M.; Son, S. H.; Han, J. E. (2012) Treatment of ion exchange resins used in nuclear power plants by super- and sub-critical water oxidation – A road to commercial plant from bench-scale facility. </w:t>
      </w:r>
      <w:r>
        <w:rPr>
          <w:i/>
        </w:rPr>
        <w:t xml:space="preserve">Chemical Engineering Journal, </w:t>
      </w:r>
      <w:r>
        <w:t>189-190:213-221.</w:t>
      </w:r>
    </w:p>
    <w:p w14:paraId="08E25465" w14:textId="09820A8A" w:rsidR="00C249DB" w:rsidRDefault="00C249DB" w:rsidP="00C72B93">
      <w:pPr>
        <w:pStyle w:val="References"/>
      </w:pPr>
      <w:r>
        <w:lastRenderedPageBreak/>
        <w:t xml:space="preserve">[30] </w:t>
      </w:r>
      <w:proofErr w:type="spellStart"/>
      <w:r>
        <w:t>Hamodi</w:t>
      </w:r>
      <w:proofErr w:type="spellEnd"/>
      <w:r>
        <w:t xml:space="preserve">, N.; </w:t>
      </w:r>
      <w:proofErr w:type="spellStart"/>
      <w:r>
        <w:t>Papadopoulou</w:t>
      </w:r>
      <w:proofErr w:type="spellEnd"/>
      <w:r>
        <w:t xml:space="preserve">, K.; Lowe, T.; Abram, T. (2012) Thermal analysis and immobilisation of spent ion exchange resin in borosilicate glass. </w:t>
      </w:r>
      <w:r>
        <w:rPr>
          <w:i/>
        </w:rPr>
        <w:t xml:space="preserve">New Journal of Glass and Ceramics, </w:t>
      </w:r>
      <w:r>
        <w:t>2: 111-120.</w:t>
      </w:r>
    </w:p>
    <w:p w14:paraId="14CFF8A2" w14:textId="1FBB9A60" w:rsidR="00C249DB" w:rsidRDefault="00C249DB" w:rsidP="00C72B93">
      <w:pPr>
        <w:pStyle w:val="References"/>
      </w:pPr>
      <w:r>
        <w:t xml:space="preserve">[31] Wang, J.; Wan, Z. (2015) Treatment and disposal of spent radioactive ion-exchange resins produced in the nuclear industry. </w:t>
      </w:r>
      <w:r>
        <w:rPr>
          <w:i/>
        </w:rPr>
        <w:t xml:space="preserve">Progress in Nuclear Energy, </w:t>
      </w:r>
      <w:r>
        <w:t>78: 47-55.</w:t>
      </w:r>
    </w:p>
    <w:p w14:paraId="06705D65" w14:textId="2C57F1A4" w:rsidR="00C249DB" w:rsidRPr="00C249DB" w:rsidRDefault="00C249DB" w:rsidP="00C72B93">
      <w:pPr>
        <w:pStyle w:val="References"/>
      </w:pPr>
      <w:r>
        <w:t xml:space="preserve">[32] Schofield, J. M.; Swanton, S. W.; </w:t>
      </w:r>
      <w:proofErr w:type="spellStart"/>
      <w:r>
        <w:t>Farahani</w:t>
      </w:r>
      <w:proofErr w:type="spellEnd"/>
      <w:r>
        <w:t xml:space="preserve">, B.; Myatt, B. J.; Heath, T. G.; Burrows, S. E.; Holland, D.; </w:t>
      </w:r>
      <w:proofErr w:type="spellStart"/>
      <w:r>
        <w:t>Moule</w:t>
      </w:r>
      <w:proofErr w:type="spellEnd"/>
      <w:r>
        <w:t xml:space="preserve">, A.; </w:t>
      </w:r>
      <w:proofErr w:type="spellStart"/>
      <w:r>
        <w:t>Brigden</w:t>
      </w:r>
      <w:proofErr w:type="spellEnd"/>
      <w:r>
        <w:t xml:space="preserve">, C. T.; </w:t>
      </w:r>
      <w:proofErr w:type="spellStart"/>
      <w:r>
        <w:t>Farnan</w:t>
      </w:r>
      <w:proofErr w:type="spellEnd"/>
      <w:r>
        <w:t>, I. (2016) Experimental studies of the chemical durability of UK HLW and ILW glasses. Interim Progress Report.</w:t>
      </w:r>
      <w:r w:rsidR="006242C5">
        <w:t xml:space="preserve"> Nuclear Decommissioning Authority.</w:t>
      </w:r>
    </w:p>
    <w:p w14:paraId="057A6E1A" w14:textId="3D25132C" w:rsidR="000771E1" w:rsidRPr="000771E1" w:rsidRDefault="000771E1" w:rsidP="000771E1">
      <w:pPr>
        <w:pStyle w:val="References"/>
      </w:pPr>
      <w:r>
        <w:t>[</w:t>
      </w:r>
      <w:r w:rsidR="00C72B93">
        <w:t>33</w:t>
      </w:r>
      <w:r>
        <w:t xml:space="preserve">] Jarvis, N. V.; Wagener, J. M. (1994) Mechanistic studies of chelating resins using two-phase </w:t>
      </w:r>
      <w:proofErr w:type="spellStart"/>
      <w:r>
        <w:t>potentiometry</w:t>
      </w:r>
      <w:proofErr w:type="spellEnd"/>
      <w:r>
        <w:t xml:space="preserve">. </w:t>
      </w:r>
      <w:proofErr w:type="spellStart"/>
      <w:r>
        <w:rPr>
          <w:i/>
        </w:rPr>
        <w:t>Talanta</w:t>
      </w:r>
      <w:proofErr w:type="spellEnd"/>
      <w:r>
        <w:rPr>
          <w:i/>
        </w:rPr>
        <w:t xml:space="preserve">, </w:t>
      </w:r>
      <w:r>
        <w:t>41: 747-754.</w:t>
      </w:r>
    </w:p>
    <w:p w14:paraId="08460B00" w14:textId="525D530E" w:rsidR="001E3894" w:rsidRPr="001E3894" w:rsidRDefault="001E3894" w:rsidP="00F60F05">
      <w:pPr>
        <w:pStyle w:val="References"/>
      </w:pPr>
      <w:r>
        <w:t>[</w:t>
      </w:r>
      <w:r w:rsidR="00C72B93">
        <w:t>34</w:t>
      </w:r>
      <w:r>
        <w:t xml:space="preserve">] </w:t>
      </w:r>
      <w:proofErr w:type="spellStart"/>
      <w:r>
        <w:t>Zekany</w:t>
      </w:r>
      <w:proofErr w:type="spellEnd"/>
      <w:r>
        <w:t xml:space="preserve">, L.; </w:t>
      </w:r>
      <w:proofErr w:type="spellStart"/>
      <w:r>
        <w:t>Nagypal</w:t>
      </w:r>
      <w:proofErr w:type="spellEnd"/>
      <w:r>
        <w:t xml:space="preserve">, I. (1985) PSEQUAD: A comprehensive program for the evaluation of potentiometric and/or spectrophotometric equilibrium data using analytical derivatives. In </w:t>
      </w:r>
      <w:r>
        <w:rPr>
          <w:i/>
        </w:rPr>
        <w:t xml:space="preserve">Computational methods for the determination of formation constants, </w:t>
      </w:r>
      <w:r w:rsidR="003A6A89">
        <w:t>Plenum Press: New York.</w:t>
      </w:r>
    </w:p>
    <w:p w14:paraId="2A1423CD" w14:textId="61481248" w:rsidR="001E3894" w:rsidRDefault="001E3894" w:rsidP="001E3894">
      <w:pPr>
        <w:pStyle w:val="References"/>
      </w:pPr>
      <w:r>
        <w:t>[3</w:t>
      </w:r>
      <w:r w:rsidR="00C72B93">
        <w:t>5</w:t>
      </w:r>
      <w:r>
        <w:t xml:space="preserve">] </w:t>
      </w:r>
      <w:proofErr w:type="spellStart"/>
      <w:r>
        <w:t>Ho</w:t>
      </w:r>
      <w:proofErr w:type="spellEnd"/>
      <w:r>
        <w:t xml:space="preserve">, Y. S.; Porter, J. F.; McKay, G. (2002) Equilibrium isotherm studies for the sorption of divalent metal ions onto peat: copper, nickel and lead single component systems. </w:t>
      </w:r>
      <w:r>
        <w:rPr>
          <w:i/>
        </w:rPr>
        <w:t xml:space="preserve">Water, Air and Soil Pollution, </w:t>
      </w:r>
      <w:r>
        <w:t>141: 1-33.</w:t>
      </w:r>
    </w:p>
    <w:p w14:paraId="0ACB1E22" w14:textId="24F237F6" w:rsidR="001E3894" w:rsidRPr="00420E30" w:rsidRDefault="003A6A89" w:rsidP="00F60F05">
      <w:pPr>
        <w:pStyle w:val="References"/>
      </w:pPr>
      <w:r>
        <w:t>[3</w:t>
      </w:r>
      <w:r w:rsidR="00C72B93">
        <w:t>6</w:t>
      </w:r>
      <w:r>
        <w:t>]</w:t>
      </w:r>
      <w:r w:rsidR="003632D8">
        <w:t xml:space="preserve"> Jencks, W. P.; Regenstein, J. </w:t>
      </w:r>
      <w:r w:rsidR="00420E30">
        <w:t xml:space="preserve">(1975) Ionization constants of acids and bases. In </w:t>
      </w:r>
      <w:r w:rsidR="00420E30" w:rsidRPr="00420E30">
        <w:rPr>
          <w:i/>
        </w:rPr>
        <w:t>Handbook of biochemistry and molecular biology</w:t>
      </w:r>
      <w:r w:rsidR="00420E30">
        <w:rPr>
          <w:i/>
        </w:rPr>
        <w:t xml:space="preserve">, </w:t>
      </w:r>
      <w:r w:rsidR="00420E30">
        <w:t>CRC Press: Cleveland.</w:t>
      </w:r>
    </w:p>
    <w:p w14:paraId="69630027" w14:textId="7B59B01B" w:rsidR="003A6A89" w:rsidRPr="0022375B" w:rsidRDefault="003A6A89" w:rsidP="00F60F05">
      <w:pPr>
        <w:pStyle w:val="References"/>
      </w:pPr>
      <w:r>
        <w:t>[3</w:t>
      </w:r>
      <w:r w:rsidR="00C72B93">
        <w:t>7</w:t>
      </w:r>
      <w:r>
        <w:t>]</w:t>
      </w:r>
      <w:r w:rsidR="00420E30">
        <w:t xml:space="preserve"> Ogden, M. D.; Moon, E. M.; </w:t>
      </w:r>
      <w:r w:rsidR="0022375B">
        <w:t xml:space="preserve">Wilson, A.; Pepper, S. E. (2017) Application of chelating weak base resin </w:t>
      </w:r>
      <w:proofErr w:type="spellStart"/>
      <w:r w:rsidR="0022375B">
        <w:t>Dowex</w:t>
      </w:r>
      <w:proofErr w:type="spellEnd"/>
      <w:r w:rsidR="0022375B">
        <w:t xml:space="preserve"> M4195 to the recovery of uranium from mixed </w:t>
      </w:r>
      <w:proofErr w:type="spellStart"/>
      <w:r w:rsidR="0022375B">
        <w:t>sulfate</w:t>
      </w:r>
      <w:proofErr w:type="spellEnd"/>
      <w:r w:rsidR="0022375B">
        <w:t xml:space="preserve">/chloride media. </w:t>
      </w:r>
      <w:r w:rsidR="0022375B">
        <w:rPr>
          <w:i/>
        </w:rPr>
        <w:t xml:space="preserve">Chemical Engineering Journal, </w:t>
      </w:r>
      <w:r w:rsidR="0022375B">
        <w:t>317: 80-89.</w:t>
      </w:r>
    </w:p>
    <w:p w14:paraId="11CA312E" w14:textId="3AC5F08C" w:rsidR="003A6A89" w:rsidRPr="00037E2C" w:rsidRDefault="003A6A89" w:rsidP="00F60F05">
      <w:pPr>
        <w:pStyle w:val="References"/>
      </w:pPr>
      <w:r>
        <w:t>[3</w:t>
      </w:r>
      <w:r w:rsidR="00C72B93">
        <w:t>8</w:t>
      </w:r>
      <w:r>
        <w:t>]</w:t>
      </w:r>
      <w:r w:rsidR="00370C91">
        <w:t xml:space="preserve"> Leung, K.; Nielsen</w:t>
      </w:r>
      <w:r w:rsidR="00037E2C">
        <w:t xml:space="preserve"> I. M. B.; </w:t>
      </w:r>
      <w:proofErr w:type="spellStart"/>
      <w:r w:rsidR="00037E2C">
        <w:t>Criscenti</w:t>
      </w:r>
      <w:proofErr w:type="spellEnd"/>
      <w:r w:rsidR="00037E2C">
        <w:t xml:space="preserve">, L. J. (2009) Elucidating the bimodal acid-base behaviour of the water-silica interface from first principles. </w:t>
      </w:r>
      <w:r w:rsidR="00037E2C">
        <w:rPr>
          <w:i/>
        </w:rPr>
        <w:t xml:space="preserve">Journal of the American Chemical Society, </w:t>
      </w:r>
      <w:r w:rsidR="00037E2C">
        <w:t>131: 18358-18365.</w:t>
      </w:r>
    </w:p>
    <w:p w14:paraId="0464AAE5" w14:textId="56AA04B3" w:rsidR="003A6A89" w:rsidRPr="00E74E71" w:rsidRDefault="003A6A89" w:rsidP="00F60F05">
      <w:pPr>
        <w:pStyle w:val="References"/>
      </w:pPr>
      <w:r>
        <w:t>[3</w:t>
      </w:r>
      <w:r w:rsidR="00C72B93">
        <w:t>9</w:t>
      </w:r>
      <w:r>
        <w:t>]</w:t>
      </w:r>
      <w:r w:rsidR="00420E30">
        <w:t xml:space="preserve"> </w:t>
      </w:r>
      <w:proofErr w:type="spellStart"/>
      <w:r w:rsidR="00E74E71">
        <w:t>Tkac</w:t>
      </w:r>
      <w:proofErr w:type="spellEnd"/>
      <w:r w:rsidR="00E74E71">
        <w:t xml:space="preserve">, P.; </w:t>
      </w:r>
      <w:proofErr w:type="spellStart"/>
      <w:r w:rsidR="00E74E71">
        <w:t>Vendegrift</w:t>
      </w:r>
      <w:proofErr w:type="spellEnd"/>
      <w:r w:rsidR="00E74E71">
        <w:t xml:space="preserve">, G. F.; </w:t>
      </w:r>
      <w:proofErr w:type="spellStart"/>
      <w:r w:rsidR="00E74E71">
        <w:t>Lumetta</w:t>
      </w:r>
      <w:proofErr w:type="spellEnd"/>
      <w:r w:rsidR="00E74E71">
        <w:t xml:space="preserve">, G. J.; </w:t>
      </w:r>
      <w:proofErr w:type="spellStart"/>
      <w:r w:rsidR="00E74E71">
        <w:t>Gelis</w:t>
      </w:r>
      <w:proofErr w:type="spellEnd"/>
      <w:r w:rsidR="00E74E71">
        <w:t xml:space="preserve">, A. V. (2012) Study of the interaction between HDEHP and CMPO and its effect on the extraction of selected lanthanides. </w:t>
      </w:r>
      <w:r w:rsidR="00E74E71" w:rsidRPr="00F50190">
        <w:rPr>
          <w:i/>
        </w:rPr>
        <w:t>Industrial and Engineering Chemistry Research,</w:t>
      </w:r>
      <w:r w:rsidR="00E74E71">
        <w:rPr>
          <w:i/>
        </w:rPr>
        <w:t xml:space="preserve"> </w:t>
      </w:r>
      <w:r w:rsidR="00E74E71">
        <w:t>51: 10433-10444.</w:t>
      </w:r>
    </w:p>
    <w:p w14:paraId="3143DDB2" w14:textId="6757646A" w:rsidR="00723564" w:rsidRDefault="000771E1" w:rsidP="00723564">
      <w:pPr>
        <w:pStyle w:val="References"/>
      </w:pPr>
      <w:r>
        <w:t>[</w:t>
      </w:r>
      <w:r w:rsidR="00C72B93">
        <w:t>40</w:t>
      </w:r>
      <w:r w:rsidR="00723564" w:rsidRPr="00F50190">
        <w:t xml:space="preserve">] Foo, K. Y.; Hameed, B. H. (2010) Insights into the modelling of adsorption isotherm systems. </w:t>
      </w:r>
      <w:r w:rsidR="00723564" w:rsidRPr="00F50190">
        <w:rPr>
          <w:i/>
        </w:rPr>
        <w:t xml:space="preserve">Chemical Engineering Journal, </w:t>
      </w:r>
      <w:r w:rsidR="00723564" w:rsidRPr="00F50190">
        <w:t>156: 2-10.</w:t>
      </w:r>
    </w:p>
    <w:p w14:paraId="69648BBC" w14:textId="00E629D7" w:rsidR="002773B8" w:rsidRPr="003D3131" w:rsidRDefault="00723564" w:rsidP="00F60F05">
      <w:pPr>
        <w:pStyle w:val="References"/>
      </w:pPr>
      <w:r>
        <w:lastRenderedPageBreak/>
        <w:t>[</w:t>
      </w:r>
      <w:r w:rsidR="00C72B93">
        <w:t>41</w:t>
      </w:r>
      <w:r>
        <w:t xml:space="preserve">] </w:t>
      </w:r>
      <w:proofErr w:type="spellStart"/>
      <w:r>
        <w:t>Itodo</w:t>
      </w:r>
      <w:proofErr w:type="spellEnd"/>
      <w:r>
        <w:t xml:space="preserve">, A. U.; </w:t>
      </w:r>
      <w:proofErr w:type="spellStart"/>
      <w:r>
        <w:t>Itodo</w:t>
      </w:r>
      <w:proofErr w:type="spellEnd"/>
      <w:r>
        <w:t xml:space="preserve">, H. U. (2010) Sorption energies estimation using </w:t>
      </w:r>
      <w:proofErr w:type="spellStart"/>
      <w:r>
        <w:t>Dubinin-Radushkevich</w:t>
      </w:r>
      <w:proofErr w:type="spellEnd"/>
      <w:r>
        <w:t xml:space="preserve"> and </w:t>
      </w:r>
      <w:proofErr w:type="spellStart"/>
      <w:r>
        <w:t>Temkin</w:t>
      </w:r>
      <w:proofErr w:type="spellEnd"/>
      <w:r>
        <w:t xml:space="preserve"> adsorption isotherms.  </w:t>
      </w:r>
      <w:r>
        <w:rPr>
          <w:i/>
        </w:rPr>
        <w:t xml:space="preserve">Life Science Journal, </w:t>
      </w:r>
      <w:r w:rsidR="003D3131">
        <w:t>7: 31-39.</w:t>
      </w:r>
    </w:p>
    <w:p w14:paraId="736387AB" w14:textId="5B3DEDBA" w:rsidR="00723564" w:rsidRPr="00F50190" w:rsidRDefault="00723564" w:rsidP="00723564">
      <w:pPr>
        <w:pStyle w:val="References"/>
      </w:pPr>
      <w:r w:rsidRPr="00F50190">
        <w:t>[</w:t>
      </w:r>
      <w:r w:rsidR="00C72B93">
        <w:t>42</w:t>
      </w:r>
      <w:r w:rsidRPr="00F50190">
        <w:t xml:space="preserve">] </w:t>
      </w:r>
      <w:proofErr w:type="spellStart"/>
      <w:r>
        <w:t>Billo</w:t>
      </w:r>
      <w:proofErr w:type="spellEnd"/>
      <w:r>
        <w:t xml:space="preserve">, E. J. (2001) </w:t>
      </w:r>
      <w:r w:rsidRPr="00723564">
        <w:rPr>
          <w:i/>
        </w:rPr>
        <w:t>EXCEL® for chemists: a comprehensive guide,</w:t>
      </w:r>
      <w:r>
        <w:t xml:space="preserve"> </w:t>
      </w:r>
      <w:r w:rsidRPr="00723564">
        <w:t>2</w:t>
      </w:r>
      <w:r w:rsidRPr="00723564">
        <w:rPr>
          <w:vertAlign w:val="superscript"/>
        </w:rPr>
        <w:t>nd</w:t>
      </w:r>
      <w:r w:rsidRPr="00723564">
        <w:t xml:space="preserve"> edition</w:t>
      </w:r>
      <w:r>
        <w:t>;</w:t>
      </w:r>
      <w:r w:rsidRPr="00723564">
        <w:t xml:space="preserve"> Wiley-VCH</w:t>
      </w:r>
      <w:r>
        <w:t>:</w:t>
      </w:r>
      <w:r w:rsidRPr="00723564">
        <w:t xml:space="preserve"> New York</w:t>
      </w:r>
      <w:r>
        <w:t>.</w:t>
      </w:r>
    </w:p>
    <w:p w14:paraId="17122EA1" w14:textId="33E2FD1C" w:rsidR="003D3131" w:rsidRPr="00F50190" w:rsidRDefault="003D3131" w:rsidP="003D3131">
      <w:pPr>
        <w:pStyle w:val="References"/>
      </w:pPr>
      <w:r w:rsidRPr="00F50190">
        <w:t>[</w:t>
      </w:r>
      <w:r w:rsidR="00C72B93">
        <w:t>43</w:t>
      </w:r>
      <w:r w:rsidRPr="00F50190">
        <w:t xml:space="preserve">] Arakaki, L. N. H.; </w:t>
      </w:r>
      <w:proofErr w:type="spellStart"/>
      <w:r w:rsidRPr="00F50190">
        <w:t>Nunes</w:t>
      </w:r>
      <w:proofErr w:type="spellEnd"/>
      <w:r w:rsidRPr="00F50190">
        <w:t xml:space="preserve">, L. M.; </w:t>
      </w:r>
      <w:proofErr w:type="spellStart"/>
      <w:r w:rsidRPr="00F50190">
        <w:t>Simoni</w:t>
      </w:r>
      <w:proofErr w:type="spellEnd"/>
      <w:r w:rsidRPr="00F50190">
        <w:t xml:space="preserve">, J. A.; </w:t>
      </w:r>
      <w:proofErr w:type="spellStart"/>
      <w:r w:rsidRPr="00F50190">
        <w:t>Airoldi</w:t>
      </w:r>
      <w:proofErr w:type="spellEnd"/>
      <w:r w:rsidRPr="00F50190">
        <w:t xml:space="preserve">, C. (2000) </w:t>
      </w:r>
      <w:proofErr w:type="spellStart"/>
      <w:r w:rsidRPr="00F50190">
        <w:t>Ethyleneimine</w:t>
      </w:r>
      <w:proofErr w:type="spellEnd"/>
      <w:r w:rsidRPr="00F50190">
        <w:t xml:space="preserve"> anchored on thiol-modified silica gel surface – Adsorption of divalent cations and calorimetric data. </w:t>
      </w:r>
      <w:r w:rsidRPr="00F50190">
        <w:rPr>
          <w:i/>
        </w:rPr>
        <w:t xml:space="preserve">Journal of Colloid and Interface Science, </w:t>
      </w:r>
      <w:r w:rsidRPr="00F50190">
        <w:t>228: 46-51.</w:t>
      </w:r>
    </w:p>
    <w:p w14:paraId="7DFD0E25" w14:textId="0D41C32E" w:rsidR="00F65F48" w:rsidRDefault="00F65F48" w:rsidP="00F65F48">
      <w:pPr>
        <w:pStyle w:val="References"/>
      </w:pPr>
      <w:r w:rsidRPr="00F50190">
        <w:t>[</w:t>
      </w:r>
      <w:r w:rsidR="00C72B93">
        <w:t>44</w:t>
      </w:r>
      <w:r w:rsidRPr="00F50190">
        <w:t xml:space="preserve">] Jain, M., Garg, V. K., </w:t>
      </w:r>
      <w:proofErr w:type="spellStart"/>
      <w:r w:rsidRPr="00F50190">
        <w:t>Kadirvelu</w:t>
      </w:r>
      <w:proofErr w:type="spellEnd"/>
      <w:r w:rsidRPr="00F50190">
        <w:t>, K. (2009) Chromium</w:t>
      </w:r>
      <w:r>
        <w:t xml:space="preserve"> </w:t>
      </w:r>
      <w:r w:rsidRPr="00F50190">
        <w:t xml:space="preserve">(VI) removal from aqueous system using </w:t>
      </w:r>
      <w:r w:rsidRPr="00F50190">
        <w:rPr>
          <w:i/>
        </w:rPr>
        <w:t xml:space="preserve">Helianthus </w:t>
      </w:r>
      <w:proofErr w:type="spellStart"/>
      <w:r w:rsidRPr="00F50190">
        <w:rPr>
          <w:i/>
        </w:rPr>
        <w:t>annuus</w:t>
      </w:r>
      <w:proofErr w:type="spellEnd"/>
      <w:r w:rsidRPr="00F50190">
        <w:rPr>
          <w:i/>
        </w:rPr>
        <w:t xml:space="preserve"> </w:t>
      </w:r>
      <w:r w:rsidRPr="00F50190">
        <w:t xml:space="preserve">(sunflower) stem waste. </w:t>
      </w:r>
      <w:r w:rsidRPr="00F50190">
        <w:rPr>
          <w:i/>
        </w:rPr>
        <w:t xml:space="preserve">Journal of Hazardous Materials, </w:t>
      </w:r>
      <w:r w:rsidRPr="00F50190">
        <w:t>162: 365-372.</w:t>
      </w:r>
    </w:p>
    <w:p w14:paraId="28414E31" w14:textId="2EE9690B" w:rsidR="003A6A89" w:rsidRPr="003A6A89" w:rsidRDefault="003A6A89" w:rsidP="00F65F48">
      <w:pPr>
        <w:pStyle w:val="References"/>
      </w:pPr>
      <w:r>
        <w:t>[4</w:t>
      </w:r>
      <w:r w:rsidR="00C72B93">
        <w:t>5</w:t>
      </w:r>
      <w:r>
        <w:t xml:space="preserve">] </w:t>
      </w:r>
      <w:proofErr w:type="spellStart"/>
      <w:r>
        <w:t>Jin</w:t>
      </w:r>
      <w:proofErr w:type="spellEnd"/>
      <w:r>
        <w:t xml:space="preserve">, T.; Yuan, W.; </w:t>
      </w:r>
      <w:proofErr w:type="spellStart"/>
      <w:r>
        <w:t>Xue</w:t>
      </w:r>
      <w:proofErr w:type="spellEnd"/>
      <w:r>
        <w:t xml:space="preserve">, Y.; Wei, H.; Zhang, C.; Li, K. (2017) Co-modified MCM-41 as an effective adsorbent for levofloxacin removal from aqueous solution: optimization of process parameters, isotherm and thermodynamic studies. </w:t>
      </w:r>
      <w:r>
        <w:rPr>
          <w:i/>
        </w:rPr>
        <w:t xml:space="preserve">Environmental Science and Pollution Research, </w:t>
      </w:r>
      <w:r>
        <w:t>24: 5238-5248.</w:t>
      </w:r>
    </w:p>
    <w:p w14:paraId="6C618025" w14:textId="4B6FA0B7" w:rsidR="003A6A89" w:rsidRPr="00437E76" w:rsidRDefault="003A6A89" w:rsidP="00F65F48">
      <w:pPr>
        <w:pStyle w:val="References"/>
      </w:pPr>
      <w:r>
        <w:t>[4</w:t>
      </w:r>
      <w:r w:rsidR="00C72B93">
        <w:t>6</w:t>
      </w:r>
      <w:r>
        <w:t xml:space="preserve">] </w:t>
      </w:r>
      <w:proofErr w:type="spellStart"/>
      <w:r w:rsidR="00437E76">
        <w:t>Langeroodi</w:t>
      </w:r>
      <w:proofErr w:type="spellEnd"/>
      <w:r w:rsidR="00437E76">
        <w:t xml:space="preserve">, N. S. (2017) Equilibrium and kinetics of </w:t>
      </w:r>
      <w:proofErr w:type="spellStart"/>
      <w:r w:rsidR="00437E76">
        <w:t>biosorption</w:t>
      </w:r>
      <w:proofErr w:type="spellEnd"/>
      <w:r w:rsidR="00437E76">
        <w:t xml:space="preserve"> of oxalic acid by wheat straw. </w:t>
      </w:r>
      <w:r w:rsidR="00437E76">
        <w:rPr>
          <w:i/>
        </w:rPr>
        <w:t xml:space="preserve">Russian Journal of Physical Chemistry B, </w:t>
      </w:r>
      <w:r w:rsidR="00437E76">
        <w:t>11: 318-323.</w:t>
      </w:r>
    </w:p>
    <w:p w14:paraId="4366C3B9" w14:textId="14755E88" w:rsidR="003A6A89" w:rsidRPr="00437E76" w:rsidRDefault="003A6A89" w:rsidP="00F65F48">
      <w:pPr>
        <w:pStyle w:val="References"/>
      </w:pPr>
      <w:r>
        <w:t>[4</w:t>
      </w:r>
      <w:r w:rsidR="00C72B93">
        <w:t>7</w:t>
      </w:r>
      <w:r>
        <w:t>]</w:t>
      </w:r>
      <w:r w:rsidR="00437E76">
        <w:t xml:space="preserve"> </w:t>
      </w:r>
      <w:proofErr w:type="spellStart"/>
      <w:r w:rsidR="00437E76">
        <w:t>Gilca</w:t>
      </w:r>
      <w:proofErr w:type="spellEnd"/>
      <w:r w:rsidR="00437E76">
        <w:t xml:space="preserve">, E.; </w:t>
      </w:r>
      <w:proofErr w:type="spellStart"/>
      <w:r w:rsidR="00437E76">
        <w:t>Maicaneanu</w:t>
      </w:r>
      <w:proofErr w:type="spellEnd"/>
      <w:r w:rsidR="00437E76">
        <w:t>, A</w:t>
      </w:r>
      <w:proofErr w:type="gramStart"/>
      <w:r w:rsidR="00437E76">
        <w:t>,;</w:t>
      </w:r>
      <w:proofErr w:type="gramEnd"/>
      <w:r w:rsidR="00437E76">
        <w:t xml:space="preserve"> </w:t>
      </w:r>
      <w:proofErr w:type="spellStart"/>
      <w:r w:rsidR="00437E76">
        <w:t>Petru</w:t>
      </w:r>
      <w:proofErr w:type="spellEnd"/>
      <w:r w:rsidR="00437E76">
        <w:t xml:space="preserve">, I. (2014) Removal of zinc ions as zinc chloride complexes from strongly acidic aqueous solutions by ion exchange. </w:t>
      </w:r>
      <w:r w:rsidR="00437E76">
        <w:rPr>
          <w:i/>
        </w:rPr>
        <w:t xml:space="preserve">Central European Journal of Chemistry, </w:t>
      </w:r>
      <w:r w:rsidR="00437E76">
        <w:t>12: 821-828.</w:t>
      </w:r>
    </w:p>
    <w:p w14:paraId="478BC04B" w14:textId="75B836E8" w:rsidR="00F65F48" w:rsidRPr="00D15028" w:rsidRDefault="00D15028" w:rsidP="00F65F48">
      <w:pPr>
        <w:pStyle w:val="References"/>
      </w:pPr>
      <w:r>
        <w:t>[</w:t>
      </w:r>
      <w:r w:rsidR="003A6A89">
        <w:t>4</w:t>
      </w:r>
      <w:r w:rsidR="00C72B93">
        <w:t>8</w:t>
      </w:r>
      <w:r>
        <w:t xml:space="preserve">] </w:t>
      </w:r>
      <w:proofErr w:type="spellStart"/>
      <w:r>
        <w:t>Qiu</w:t>
      </w:r>
      <w:proofErr w:type="spellEnd"/>
      <w:r>
        <w:t xml:space="preserve">, H.; </w:t>
      </w:r>
      <w:proofErr w:type="spellStart"/>
      <w:r>
        <w:t>Lv</w:t>
      </w:r>
      <w:proofErr w:type="spellEnd"/>
      <w:r>
        <w:t xml:space="preserve">, L.; Pan, B.; Zhang, Q.; Zhang, W.; Zhang, Q. (2009) Critical review in adsorption kinetic models. </w:t>
      </w:r>
      <w:r>
        <w:rPr>
          <w:i/>
        </w:rPr>
        <w:t xml:space="preserve">Journal of Zhejiang University SCIENCE A, </w:t>
      </w:r>
      <w:r>
        <w:t>10: 716-724.</w:t>
      </w:r>
    </w:p>
    <w:p w14:paraId="575CDDFA" w14:textId="371F68A1" w:rsidR="00F65F48" w:rsidRDefault="00D15028" w:rsidP="00F65F48">
      <w:pPr>
        <w:pStyle w:val="References"/>
      </w:pPr>
      <w:r>
        <w:t>[</w:t>
      </w:r>
      <w:r w:rsidR="003A6A89">
        <w:t>4</w:t>
      </w:r>
      <w:r w:rsidR="00C72B93">
        <w:t>9</w:t>
      </w:r>
      <w:r>
        <w:t xml:space="preserve">] </w:t>
      </w:r>
      <w:proofErr w:type="spellStart"/>
      <w:r w:rsidR="000E796E">
        <w:t>Tarawoui</w:t>
      </w:r>
      <w:proofErr w:type="spellEnd"/>
      <w:r w:rsidR="000E796E">
        <w:t xml:space="preserve">, T.; Young, E. (2015) </w:t>
      </w:r>
      <w:proofErr w:type="spellStart"/>
      <w:r w:rsidR="000E796E">
        <w:t>Intraparticle</w:t>
      </w:r>
      <w:proofErr w:type="spellEnd"/>
      <w:r w:rsidR="000E796E">
        <w:t xml:space="preserve"> and liquid film diffusion studies on the adsorption of Cu</w:t>
      </w:r>
      <w:r w:rsidR="000E796E" w:rsidRPr="000E796E">
        <w:rPr>
          <w:vertAlign w:val="superscript"/>
        </w:rPr>
        <w:t>2+</w:t>
      </w:r>
      <w:r w:rsidR="000E796E">
        <w:t xml:space="preserve"> and Pb</w:t>
      </w:r>
      <w:r w:rsidR="000E796E" w:rsidRPr="000E796E">
        <w:rPr>
          <w:vertAlign w:val="superscript"/>
        </w:rPr>
        <w:t>2+</w:t>
      </w:r>
      <w:r w:rsidR="000E796E">
        <w:t xml:space="preserve"> ions from aqueous solution using powdered cocoa pod (</w:t>
      </w:r>
      <w:r w:rsidR="000E796E" w:rsidRPr="000E796E">
        <w:rPr>
          <w:i/>
        </w:rPr>
        <w:t>Theobroma cacao</w:t>
      </w:r>
      <w:r w:rsidR="000E796E">
        <w:t xml:space="preserve">). </w:t>
      </w:r>
      <w:r w:rsidR="000E796E">
        <w:rPr>
          <w:i/>
        </w:rPr>
        <w:t xml:space="preserve">International Research Journal of Engineering and Technology, </w:t>
      </w:r>
      <w:r w:rsidR="000E796E">
        <w:t>2: 236-243.</w:t>
      </w:r>
    </w:p>
    <w:p w14:paraId="3ADC039D" w14:textId="4AFDB630" w:rsidR="000E796E" w:rsidRPr="009C19BB" w:rsidRDefault="000E796E" w:rsidP="00F65F48">
      <w:pPr>
        <w:pStyle w:val="References"/>
      </w:pPr>
      <w:r>
        <w:t>[</w:t>
      </w:r>
      <w:r w:rsidR="00C72B93">
        <w:t>50</w:t>
      </w:r>
      <w:r>
        <w:t xml:space="preserve">] </w:t>
      </w:r>
      <w:proofErr w:type="spellStart"/>
      <w:r>
        <w:t>Maksin</w:t>
      </w:r>
      <w:proofErr w:type="spellEnd"/>
      <w:r>
        <w:t xml:space="preserve">, D. D.; </w:t>
      </w:r>
      <w:proofErr w:type="spellStart"/>
      <w:r>
        <w:t>Kljajević</w:t>
      </w:r>
      <w:proofErr w:type="spellEnd"/>
      <w:r>
        <w:t xml:space="preserve">, S. O.; </w:t>
      </w:r>
      <w:proofErr w:type="spellStart"/>
      <w:r>
        <w:t>Đolić</w:t>
      </w:r>
      <w:proofErr w:type="spellEnd"/>
      <w:r>
        <w:t xml:space="preserve">, M. B.; </w:t>
      </w:r>
      <w:proofErr w:type="spellStart"/>
      <w:r>
        <w:t>Marković</w:t>
      </w:r>
      <w:proofErr w:type="spellEnd"/>
      <w:r>
        <w:t xml:space="preserve">, J. P.; </w:t>
      </w:r>
      <w:proofErr w:type="spellStart"/>
      <w:r w:rsidR="009C19BB" w:rsidRPr="000E796E">
        <w:t>Ekmeščić</w:t>
      </w:r>
      <w:proofErr w:type="spellEnd"/>
      <w:r w:rsidR="009C19BB">
        <w:t xml:space="preserve">, B. M.; </w:t>
      </w:r>
      <w:proofErr w:type="spellStart"/>
      <w:r w:rsidR="009C19BB">
        <w:t>Onjia</w:t>
      </w:r>
      <w:proofErr w:type="spellEnd"/>
      <w:r w:rsidR="009C19BB">
        <w:t xml:space="preserve">, A. E.; </w:t>
      </w:r>
      <w:proofErr w:type="spellStart"/>
      <w:r w:rsidR="009C19BB" w:rsidRPr="000E796E">
        <w:t>Nastasović</w:t>
      </w:r>
      <w:proofErr w:type="spellEnd"/>
      <w:r w:rsidR="009C19BB">
        <w:t xml:space="preserve">, A. B. (2012) Kinetic modelling of heavy metal sorption by vinyl pyridine based copolymer. </w:t>
      </w:r>
      <w:proofErr w:type="spellStart"/>
      <w:r w:rsidR="009C19BB">
        <w:rPr>
          <w:i/>
        </w:rPr>
        <w:t>Hemijska</w:t>
      </w:r>
      <w:proofErr w:type="spellEnd"/>
      <w:r w:rsidR="009C19BB">
        <w:rPr>
          <w:i/>
        </w:rPr>
        <w:t xml:space="preserve"> </w:t>
      </w:r>
      <w:proofErr w:type="spellStart"/>
      <w:r w:rsidR="009C19BB">
        <w:rPr>
          <w:i/>
        </w:rPr>
        <w:t>Industrija</w:t>
      </w:r>
      <w:proofErr w:type="spellEnd"/>
      <w:r w:rsidR="009C19BB">
        <w:rPr>
          <w:i/>
        </w:rPr>
        <w:t xml:space="preserve">, </w:t>
      </w:r>
      <w:r w:rsidR="009C19BB">
        <w:t>66: 795-804.</w:t>
      </w:r>
    </w:p>
    <w:p w14:paraId="79A3EE93" w14:textId="02433724" w:rsidR="00D15028" w:rsidRDefault="009C19BB" w:rsidP="00F65F48">
      <w:pPr>
        <w:pStyle w:val="References"/>
      </w:pPr>
      <w:r>
        <w:t>[</w:t>
      </w:r>
      <w:r w:rsidR="00C72B93">
        <w:t>51</w:t>
      </w:r>
      <w:r>
        <w:t xml:space="preserve">] </w:t>
      </w:r>
      <w:proofErr w:type="spellStart"/>
      <w:r>
        <w:t>Maiyalagan</w:t>
      </w:r>
      <w:proofErr w:type="spellEnd"/>
      <w:r>
        <w:t xml:space="preserve">, T.; </w:t>
      </w:r>
      <w:proofErr w:type="spellStart"/>
      <w:r>
        <w:t>Karthikeyan</w:t>
      </w:r>
      <w:proofErr w:type="spellEnd"/>
      <w:r>
        <w:t xml:space="preserve">, S. (2013) Film-pore diffusion modelling for sorption of azo dye on to exfoliated graphitic </w:t>
      </w:r>
      <w:proofErr w:type="spellStart"/>
      <w:r>
        <w:t>nanoplatelets</w:t>
      </w:r>
      <w:proofErr w:type="spellEnd"/>
      <w:r>
        <w:t xml:space="preserve">. </w:t>
      </w:r>
      <w:r>
        <w:rPr>
          <w:i/>
        </w:rPr>
        <w:t xml:space="preserve">Indian Journal of Chemical Technology, </w:t>
      </w:r>
      <w:r>
        <w:t>20: 7-14.</w:t>
      </w:r>
    </w:p>
    <w:p w14:paraId="1E946F86" w14:textId="11E4E666" w:rsidR="00381CDA" w:rsidRDefault="00381CDA" w:rsidP="00F65F48">
      <w:pPr>
        <w:pStyle w:val="References"/>
      </w:pPr>
      <w:r>
        <w:lastRenderedPageBreak/>
        <w:t>[</w:t>
      </w:r>
      <w:r w:rsidR="00C72B93">
        <w:t>52</w:t>
      </w:r>
      <w:r>
        <w:t xml:space="preserve">] </w:t>
      </w:r>
      <w:proofErr w:type="spellStart"/>
      <w:r>
        <w:t>Plazinski</w:t>
      </w:r>
      <w:proofErr w:type="spellEnd"/>
      <w:r>
        <w:t xml:space="preserve">, W.; </w:t>
      </w:r>
      <w:proofErr w:type="spellStart"/>
      <w:r>
        <w:t>Rudzinski</w:t>
      </w:r>
      <w:proofErr w:type="spellEnd"/>
      <w:r>
        <w:t xml:space="preserve">, W.; </w:t>
      </w:r>
      <w:proofErr w:type="spellStart"/>
      <w:r>
        <w:t>Plazinska</w:t>
      </w:r>
      <w:proofErr w:type="spellEnd"/>
      <w:r>
        <w:t>, A. (2009) Theoretical models of sorption kinetics including a surface</w:t>
      </w:r>
      <w:r w:rsidR="007602A2">
        <w:t xml:space="preserve"> reaction mechanism: A review. </w:t>
      </w:r>
      <w:r>
        <w:rPr>
          <w:i/>
        </w:rPr>
        <w:t xml:space="preserve">Advances in Colloid and Interface Science, </w:t>
      </w:r>
      <w:r>
        <w:t>152: 2-13.</w:t>
      </w:r>
    </w:p>
    <w:p w14:paraId="5126EE33" w14:textId="40D2AE39" w:rsidR="00381CDA" w:rsidRDefault="00381CDA" w:rsidP="00F65F48">
      <w:pPr>
        <w:pStyle w:val="References"/>
      </w:pPr>
      <w:r>
        <w:t>[</w:t>
      </w:r>
      <w:r w:rsidR="00C72B93">
        <w:t>53</w:t>
      </w:r>
      <w:r>
        <w:t xml:space="preserve">] </w:t>
      </w:r>
      <w:proofErr w:type="spellStart"/>
      <w:r>
        <w:t>Karthikeyan</w:t>
      </w:r>
      <w:proofErr w:type="spellEnd"/>
      <w:r>
        <w:t xml:space="preserve">, S.; </w:t>
      </w:r>
      <w:proofErr w:type="spellStart"/>
      <w:r>
        <w:t>Sivakumar</w:t>
      </w:r>
      <w:proofErr w:type="spellEnd"/>
      <w:r>
        <w:t xml:space="preserve">, B.; </w:t>
      </w:r>
      <w:proofErr w:type="spellStart"/>
      <w:r>
        <w:t>Sivakumar</w:t>
      </w:r>
      <w:proofErr w:type="spellEnd"/>
      <w:r>
        <w:t xml:space="preserve">, N. (2010) Film and pore diffusion modelling for adsorption of reactive red 2 from aqueous solution on to activated carbon prepared from bio-diesel industrial waste. </w:t>
      </w:r>
      <w:r>
        <w:rPr>
          <w:i/>
        </w:rPr>
        <w:t xml:space="preserve">E-journal of Chemistry, </w:t>
      </w:r>
      <w:r w:rsidR="008871A5">
        <w:t>7: S175-S184.</w:t>
      </w:r>
    </w:p>
    <w:p w14:paraId="5EFFC504" w14:textId="6251CB00" w:rsidR="008871A5" w:rsidRDefault="008871A5" w:rsidP="00F65F48">
      <w:pPr>
        <w:pStyle w:val="References"/>
      </w:pPr>
      <w:r>
        <w:t>[</w:t>
      </w:r>
      <w:r w:rsidR="00C72B93">
        <w:t>54</w:t>
      </w:r>
      <w:r>
        <w:t xml:space="preserve">] Zhang, H.; Tang, Y.; </w:t>
      </w:r>
      <w:proofErr w:type="spellStart"/>
      <w:r>
        <w:t>Cai</w:t>
      </w:r>
      <w:proofErr w:type="spellEnd"/>
      <w:r>
        <w:t xml:space="preserve">, D.; Liu, X.; Wang, X.; Huang, Q.; Yu, Z. (2010) Hexavalent chromium removal from aqueous solution by algal bloom residue derived activated carbon: Equilibrium and kinetic studies. </w:t>
      </w:r>
      <w:r>
        <w:rPr>
          <w:i/>
        </w:rPr>
        <w:t xml:space="preserve">Journal of Hazardous Materials, </w:t>
      </w:r>
      <w:r>
        <w:t>181: 801-808.</w:t>
      </w:r>
    </w:p>
    <w:p w14:paraId="2278D8E1" w14:textId="76E5B65C" w:rsidR="00151B46" w:rsidRDefault="008871A5" w:rsidP="00ED5FE1">
      <w:pPr>
        <w:pStyle w:val="References"/>
      </w:pPr>
      <w:r>
        <w:t>[</w:t>
      </w:r>
      <w:r w:rsidR="003A6A89">
        <w:t>5</w:t>
      </w:r>
      <w:r w:rsidR="00C72B93">
        <w:t>5</w:t>
      </w:r>
      <w:r>
        <w:t xml:space="preserve">] Ali, S. A.; </w:t>
      </w:r>
      <w:proofErr w:type="spellStart"/>
      <w:r>
        <w:t>Kazi</w:t>
      </w:r>
      <w:proofErr w:type="spellEnd"/>
      <w:r>
        <w:t xml:space="preserve">, I. W.; </w:t>
      </w:r>
      <w:proofErr w:type="spellStart"/>
      <w:r>
        <w:t>Ullah</w:t>
      </w:r>
      <w:proofErr w:type="spellEnd"/>
      <w:r>
        <w:t xml:space="preserve">, N. (2015) New chelating ion-exchange resin synthesized via the </w:t>
      </w:r>
      <w:proofErr w:type="spellStart"/>
      <w:r>
        <w:t>cyclopolymerization</w:t>
      </w:r>
      <w:proofErr w:type="spellEnd"/>
      <w:r>
        <w:t xml:space="preserve"> protocol and its uptake performance for metal ion removal. </w:t>
      </w:r>
      <w:r>
        <w:rPr>
          <w:i/>
        </w:rPr>
        <w:t xml:space="preserve">Industrial and Engineering Chemistry Research, </w:t>
      </w:r>
      <w:r>
        <w:t>54: 9689-9698.</w:t>
      </w:r>
    </w:p>
    <w:p w14:paraId="36045727" w14:textId="77777777" w:rsidR="00A27E0E" w:rsidRPr="00A27E0E" w:rsidRDefault="00A27E0E" w:rsidP="004536C3">
      <w:pPr>
        <w:spacing w:line="240" w:lineRule="auto"/>
      </w:pPr>
    </w:p>
    <w:sectPr w:rsidR="00A27E0E" w:rsidRPr="00A27E0E" w:rsidSect="00074B81">
      <w:footerReference w:type="default" r:id="rId27"/>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B9CA6" w14:textId="77777777" w:rsidR="00751610" w:rsidRDefault="00751610" w:rsidP="00AF2C92">
      <w:r>
        <w:separator/>
      </w:r>
    </w:p>
  </w:endnote>
  <w:endnote w:type="continuationSeparator" w:id="0">
    <w:p w14:paraId="604799BA" w14:textId="77777777" w:rsidR="00751610" w:rsidRDefault="00751610"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903722"/>
      <w:docPartObj>
        <w:docPartGallery w:val="Page Numbers (Bottom of Page)"/>
        <w:docPartUnique/>
      </w:docPartObj>
    </w:sdtPr>
    <w:sdtEndPr>
      <w:rPr>
        <w:noProof/>
      </w:rPr>
    </w:sdtEndPr>
    <w:sdtContent>
      <w:p w14:paraId="7AF6E556" w14:textId="77A1136A" w:rsidR="001E3894" w:rsidRDefault="001E3894">
        <w:pPr>
          <w:pStyle w:val="Footer"/>
          <w:jc w:val="center"/>
        </w:pPr>
        <w:r>
          <w:fldChar w:fldCharType="begin"/>
        </w:r>
        <w:r>
          <w:instrText xml:space="preserve"> PAGE   \* MERGEFORMAT </w:instrText>
        </w:r>
        <w:r>
          <w:fldChar w:fldCharType="separate"/>
        </w:r>
        <w:r w:rsidR="00AB3548">
          <w:rPr>
            <w:noProof/>
          </w:rPr>
          <w:t>22</w:t>
        </w:r>
        <w:r>
          <w:rPr>
            <w:noProof/>
          </w:rPr>
          <w:fldChar w:fldCharType="end"/>
        </w:r>
      </w:p>
    </w:sdtContent>
  </w:sdt>
  <w:p w14:paraId="02E40192" w14:textId="77777777" w:rsidR="001E3894" w:rsidRDefault="001E3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F250C" w14:textId="77777777" w:rsidR="00751610" w:rsidRDefault="00751610" w:rsidP="00AF2C92">
      <w:r>
        <w:separator/>
      </w:r>
    </w:p>
  </w:footnote>
  <w:footnote w:type="continuationSeparator" w:id="0">
    <w:p w14:paraId="72B8410C" w14:textId="77777777" w:rsidR="00751610" w:rsidRDefault="00751610"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160ED6"/>
    <w:multiLevelType w:val="hybridMultilevel"/>
    <w:tmpl w:val="CDB64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6F776C"/>
    <w:multiLevelType w:val="hybridMultilevel"/>
    <w:tmpl w:val="31B8E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A26EF2"/>
    <w:multiLevelType w:val="hybridMultilevel"/>
    <w:tmpl w:val="DC88C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5B4D4B"/>
    <w:multiLevelType w:val="hybridMultilevel"/>
    <w:tmpl w:val="1006F1EA"/>
    <w:lvl w:ilvl="0" w:tplc="0809000F">
      <w:start w:val="1"/>
      <w:numFmt w:val="decimal"/>
      <w:lvlText w:val="%1."/>
      <w:lvlJc w:val="left"/>
      <w:pPr>
        <w:ind w:left="720" w:hanging="360"/>
      </w:pPr>
    </w:lvl>
    <w:lvl w:ilvl="1" w:tplc="27D202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7"/>
  </w:num>
  <w:num w:numId="25">
    <w:abstractNumId w:val="18"/>
  </w:num>
  <w:num w:numId="26">
    <w:abstractNumId w:val="22"/>
  </w:num>
  <w:num w:numId="27">
    <w:abstractNumId w:val="23"/>
  </w:num>
  <w:num w:numId="28">
    <w:abstractNumId w:val="21"/>
  </w:num>
  <w:num w:numId="29">
    <w:abstractNumId w:val="13"/>
  </w:num>
  <w:num w:numId="30">
    <w:abstractNumId w:val="24"/>
  </w:num>
  <w:num w:numId="31">
    <w:abstractNumId w:val="26"/>
  </w:num>
  <w:num w:numId="32">
    <w:abstractNumId w:val="25"/>
  </w:num>
  <w:num w:numId="33">
    <w:abstractNumId w:val="1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E74"/>
    <w:rsid w:val="00000863"/>
    <w:rsid w:val="00001899"/>
    <w:rsid w:val="00003F4E"/>
    <w:rsid w:val="000049AD"/>
    <w:rsid w:val="0000681B"/>
    <w:rsid w:val="000133C0"/>
    <w:rsid w:val="00014C4E"/>
    <w:rsid w:val="00015211"/>
    <w:rsid w:val="000169B1"/>
    <w:rsid w:val="00017107"/>
    <w:rsid w:val="000202E2"/>
    <w:rsid w:val="00022441"/>
    <w:rsid w:val="0002261E"/>
    <w:rsid w:val="00023BDA"/>
    <w:rsid w:val="00024839"/>
    <w:rsid w:val="00026871"/>
    <w:rsid w:val="0003017D"/>
    <w:rsid w:val="0003114B"/>
    <w:rsid w:val="00034B23"/>
    <w:rsid w:val="0003735C"/>
    <w:rsid w:val="00037A98"/>
    <w:rsid w:val="00037E2C"/>
    <w:rsid w:val="000427FB"/>
    <w:rsid w:val="000434CC"/>
    <w:rsid w:val="0004455E"/>
    <w:rsid w:val="00047C0F"/>
    <w:rsid w:val="00047CB5"/>
    <w:rsid w:val="000509E3"/>
    <w:rsid w:val="00050E70"/>
    <w:rsid w:val="00051FAA"/>
    <w:rsid w:val="00056CF7"/>
    <w:rsid w:val="000572A9"/>
    <w:rsid w:val="00061325"/>
    <w:rsid w:val="0007219C"/>
    <w:rsid w:val="000733AC"/>
    <w:rsid w:val="0007397B"/>
    <w:rsid w:val="00074B81"/>
    <w:rsid w:val="00074D22"/>
    <w:rsid w:val="00075081"/>
    <w:rsid w:val="0007528A"/>
    <w:rsid w:val="000771E1"/>
    <w:rsid w:val="000811AB"/>
    <w:rsid w:val="00083C5F"/>
    <w:rsid w:val="000900BE"/>
    <w:rsid w:val="0009172C"/>
    <w:rsid w:val="000930EC"/>
    <w:rsid w:val="00095E61"/>
    <w:rsid w:val="000966C1"/>
    <w:rsid w:val="000970AC"/>
    <w:rsid w:val="000A1167"/>
    <w:rsid w:val="000A4428"/>
    <w:rsid w:val="000A6D40"/>
    <w:rsid w:val="000A7BC3"/>
    <w:rsid w:val="000B1661"/>
    <w:rsid w:val="000B2E88"/>
    <w:rsid w:val="000B4603"/>
    <w:rsid w:val="000C09BE"/>
    <w:rsid w:val="000C1380"/>
    <w:rsid w:val="000C36D8"/>
    <w:rsid w:val="000C554F"/>
    <w:rsid w:val="000D0DC5"/>
    <w:rsid w:val="000D0E96"/>
    <w:rsid w:val="000D15FF"/>
    <w:rsid w:val="000D1644"/>
    <w:rsid w:val="000D28DF"/>
    <w:rsid w:val="000D488B"/>
    <w:rsid w:val="000D68DF"/>
    <w:rsid w:val="000D7CA2"/>
    <w:rsid w:val="000E138D"/>
    <w:rsid w:val="000E187A"/>
    <w:rsid w:val="000E2D61"/>
    <w:rsid w:val="000E450E"/>
    <w:rsid w:val="000E6259"/>
    <w:rsid w:val="000E6B00"/>
    <w:rsid w:val="000E796E"/>
    <w:rsid w:val="000F189F"/>
    <w:rsid w:val="000F2E21"/>
    <w:rsid w:val="000F4677"/>
    <w:rsid w:val="000F5BE0"/>
    <w:rsid w:val="00100587"/>
    <w:rsid w:val="0010284E"/>
    <w:rsid w:val="00103122"/>
    <w:rsid w:val="0010336A"/>
    <w:rsid w:val="001050F1"/>
    <w:rsid w:val="00105AEA"/>
    <w:rsid w:val="00106DAF"/>
    <w:rsid w:val="00114132"/>
    <w:rsid w:val="00114ABE"/>
    <w:rsid w:val="00116023"/>
    <w:rsid w:val="001224CD"/>
    <w:rsid w:val="00123C61"/>
    <w:rsid w:val="00134A51"/>
    <w:rsid w:val="00140727"/>
    <w:rsid w:val="00142CB5"/>
    <w:rsid w:val="00146A8D"/>
    <w:rsid w:val="0015012F"/>
    <w:rsid w:val="00150F9C"/>
    <w:rsid w:val="00151B46"/>
    <w:rsid w:val="00160628"/>
    <w:rsid w:val="00160785"/>
    <w:rsid w:val="00161344"/>
    <w:rsid w:val="00162195"/>
    <w:rsid w:val="00162954"/>
    <w:rsid w:val="0016322A"/>
    <w:rsid w:val="00163CB5"/>
    <w:rsid w:val="00165A21"/>
    <w:rsid w:val="001705CE"/>
    <w:rsid w:val="00176F83"/>
    <w:rsid w:val="0017714B"/>
    <w:rsid w:val="001771CD"/>
    <w:rsid w:val="001804DF"/>
    <w:rsid w:val="00180D07"/>
    <w:rsid w:val="00181BDC"/>
    <w:rsid w:val="00181DB0"/>
    <w:rsid w:val="00182569"/>
    <w:rsid w:val="001829E3"/>
    <w:rsid w:val="001832B3"/>
    <w:rsid w:val="001924C0"/>
    <w:rsid w:val="0019731E"/>
    <w:rsid w:val="00197E74"/>
    <w:rsid w:val="001A09FE"/>
    <w:rsid w:val="001A67C9"/>
    <w:rsid w:val="001A69DE"/>
    <w:rsid w:val="001A713C"/>
    <w:rsid w:val="001B1C7C"/>
    <w:rsid w:val="001B398F"/>
    <w:rsid w:val="001B46C6"/>
    <w:rsid w:val="001B4B48"/>
    <w:rsid w:val="001B4D1F"/>
    <w:rsid w:val="001B7681"/>
    <w:rsid w:val="001B7CAE"/>
    <w:rsid w:val="001C01B9"/>
    <w:rsid w:val="001C0772"/>
    <w:rsid w:val="001C0D4F"/>
    <w:rsid w:val="001C1BA3"/>
    <w:rsid w:val="001C1DEC"/>
    <w:rsid w:val="001C3016"/>
    <w:rsid w:val="001C5736"/>
    <w:rsid w:val="001D0020"/>
    <w:rsid w:val="001D19E7"/>
    <w:rsid w:val="001D2384"/>
    <w:rsid w:val="001D647F"/>
    <w:rsid w:val="001D6857"/>
    <w:rsid w:val="001E0572"/>
    <w:rsid w:val="001E0A67"/>
    <w:rsid w:val="001E1028"/>
    <w:rsid w:val="001E14E2"/>
    <w:rsid w:val="001E1ED9"/>
    <w:rsid w:val="001E3894"/>
    <w:rsid w:val="001E6302"/>
    <w:rsid w:val="001E7DCB"/>
    <w:rsid w:val="001F1FA5"/>
    <w:rsid w:val="001F3411"/>
    <w:rsid w:val="001F3B6C"/>
    <w:rsid w:val="001F4287"/>
    <w:rsid w:val="001F4DBA"/>
    <w:rsid w:val="002001A2"/>
    <w:rsid w:val="00203F8C"/>
    <w:rsid w:val="0020415E"/>
    <w:rsid w:val="00204FF4"/>
    <w:rsid w:val="0021056E"/>
    <w:rsid w:val="0021075D"/>
    <w:rsid w:val="0021165A"/>
    <w:rsid w:val="00211BC9"/>
    <w:rsid w:val="0021620C"/>
    <w:rsid w:val="00216E78"/>
    <w:rsid w:val="00217275"/>
    <w:rsid w:val="002223DF"/>
    <w:rsid w:val="0022375B"/>
    <w:rsid w:val="00236F1C"/>
    <w:rsid w:val="00236F4B"/>
    <w:rsid w:val="00242B0D"/>
    <w:rsid w:val="002467C6"/>
    <w:rsid w:val="0024692A"/>
    <w:rsid w:val="00252BBA"/>
    <w:rsid w:val="00253123"/>
    <w:rsid w:val="002547F1"/>
    <w:rsid w:val="00264001"/>
    <w:rsid w:val="00266354"/>
    <w:rsid w:val="00267A18"/>
    <w:rsid w:val="00273462"/>
    <w:rsid w:val="0027395B"/>
    <w:rsid w:val="00275854"/>
    <w:rsid w:val="002773B8"/>
    <w:rsid w:val="00281B57"/>
    <w:rsid w:val="0028230F"/>
    <w:rsid w:val="00283AE8"/>
    <w:rsid w:val="00283B41"/>
    <w:rsid w:val="00285F28"/>
    <w:rsid w:val="0028632F"/>
    <w:rsid w:val="00286398"/>
    <w:rsid w:val="00287C0B"/>
    <w:rsid w:val="00295FDA"/>
    <w:rsid w:val="002A3C42"/>
    <w:rsid w:val="002A5D75"/>
    <w:rsid w:val="002B1B1A"/>
    <w:rsid w:val="002B3927"/>
    <w:rsid w:val="002B7228"/>
    <w:rsid w:val="002C3881"/>
    <w:rsid w:val="002C43B6"/>
    <w:rsid w:val="002C53EE"/>
    <w:rsid w:val="002D24F7"/>
    <w:rsid w:val="002D2799"/>
    <w:rsid w:val="002D2CD7"/>
    <w:rsid w:val="002D4DDC"/>
    <w:rsid w:val="002D4F75"/>
    <w:rsid w:val="002D6493"/>
    <w:rsid w:val="002D703C"/>
    <w:rsid w:val="002D7AB6"/>
    <w:rsid w:val="002E06D0"/>
    <w:rsid w:val="002E258D"/>
    <w:rsid w:val="002E25E0"/>
    <w:rsid w:val="002E25E5"/>
    <w:rsid w:val="002E3C27"/>
    <w:rsid w:val="002E403A"/>
    <w:rsid w:val="002E548B"/>
    <w:rsid w:val="002E5E0D"/>
    <w:rsid w:val="002E7F3A"/>
    <w:rsid w:val="002F0168"/>
    <w:rsid w:val="002F1A3B"/>
    <w:rsid w:val="002F454B"/>
    <w:rsid w:val="002F4EDB"/>
    <w:rsid w:val="002F6054"/>
    <w:rsid w:val="00301B25"/>
    <w:rsid w:val="00302DBE"/>
    <w:rsid w:val="00311947"/>
    <w:rsid w:val="00313D0A"/>
    <w:rsid w:val="00315713"/>
    <w:rsid w:val="0031686C"/>
    <w:rsid w:val="00316FE0"/>
    <w:rsid w:val="003204D2"/>
    <w:rsid w:val="00320C1D"/>
    <w:rsid w:val="0032605E"/>
    <w:rsid w:val="003275D1"/>
    <w:rsid w:val="00330B2A"/>
    <w:rsid w:val="00331E17"/>
    <w:rsid w:val="00333063"/>
    <w:rsid w:val="003408E3"/>
    <w:rsid w:val="00343480"/>
    <w:rsid w:val="00345E89"/>
    <w:rsid w:val="003510AD"/>
    <w:rsid w:val="003522A1"/>
    <w:rsid w:val="0035254B"/>
    <w:rsid w:val="00353555"/>
    <w:rsid w:val="0035426F"/>
    <w:rsid w:val="003565D4"/>
    <w:rsid w:val="003607FB"/>
    <w:rsid w:val="00360FD5"/>
    <w:rsid w:val="003622D0"/>
    <w:rsid w:val="00362773"/>
    <w:rsid w:val="003632D8"/>
    <w:rsid w:val="0036340D"/>
    <w:rsid w:val="003634A5"/>
    <w:rsid w:val="00366868"/>
    <w:rsid w:val="00367506"/>
    <w:rsid w:val="00370085"/>
    <w:rsid w:val="00370C91"/>
    <w:rsid w:val="003744A7"/>
    <w:rsid w:val="00374B2F"/>
    <w:rsid w:val="00376235"/>
    <w:rsid w:val="003773F3"/>
    <w:rsid w:val="003817D2"/>
    <w:rsid w:val="00381CDA"/>
    <w:rsid w:val="00381FB6"/>
    <w:rsid w:val="003836D3"/>
    <w:rsid w:val="00383A52"/>
    <w:rsid w:val="00391652"/>
    <w:rsid w:val="00393EF8"/>
    <w:rsid w:val="0039507F"/>
    <w:rsid w:val="003A1260"/>
    <w:rsid w:val="003A295F"/>
    <w:rsid w:val="003A41DD"/>
    <w:rsid w:val="003A5822"/>
    <w:rsid w:val="003A6A89"/>
    <w:rsid w:val="003A7033"/>
    <w:rsid w:val="003A7128"/>
    <w:rsid w:val="003B47FE"/>
    <w:rsid w:val="003B5673"/>
    <w:rsid w:val="003B62C9"/>
    <w:rsid w:val="003B710A"/>
    <w:rsid w:val="003C7176"/>
    <w:rsid w:val="003D0929"/>
    <w:rsid w:val="003D3131"/>
    <w:rsid w:val="003D4729"/>
    <w:rsid w:val="003D5383"/>
    <w:rsid w:val="003D7DD6"/>
    <w:rsid w:val="003E5AAF"/>
    <w:rsid w:val="003E600D"/>
    <w:rsid w:val="003E64DF"/>
    <w:rsid w:val="003E6A5D"/>
    <w:rsid w:val="003E7137"/>
    <w:rsid w:val="003F193A"/>
    <w:rsid w:val="003F4207"/>
    <w:rsid w:val="003F5C46"/>
    <w:rsid w:val="003F7CBB"/>
    <w:rsid w:val="003F7D34"/>
    <w:rsid w:val="00403DC7"/>
    <w:rsid w:val="00410DD5"/>
    <w:rsid w:val="0041115E"/>
    <w:rsid w:val="00412C8E"/>
    <w:rsid w:val="0041518D"/>
    <w:rsid w:val="00416458"/>
    <w:rsid w:val="00420E30"/>
    <w:rsid w:val="0042221D"/>
    <w:rsid w:val="00424C86"/>
    <w:rsid w:val="00424DD3"/>
    <w:rsid w:val="00425276"/>
    <w:rsid w:val="00426185"/>
    <w:rsid w:val="004269C5"/>
    <w:rsid w:val="00435939"/>
    <w:rsid w:val="00437CC7"/>
    <w:rsid w:val="00437E76"/>
    <w:rsid w:val="00442B9C"/>
    <w:rsid w:val="00444507"/>
    <w:rsid w:val="00445EFA"/>
    <w:rsid w:val="0044738A"/>
    <w:rsid w:val="004473D3"/>
    <w:rsid w:val="00452231"/>
    <w:rsid w:val="00453489"/>
    <w:rsid w:val="004536C3"/>
    <w:rsid w:val="00460C13"/>
    <w:rsid w:val="00463228"/>
    <w:rsid w:val="00463782"/>
    <w:rsid w:val="004667E0"/>
    <w:rsid w:val="0046760E"/>
    <w:rsid w:val="00470E10"/>
    <w:rsid w:val="00471BBB"/>
    <w:rsid w:val="0047253F"/>
    <w:rsid w:val="00477A97"/>
    <w:rsid w:val="00481343"/>
    <w:rsid w:val="00484BB3"/>
    <w:rsid w:val="0048549E"/>
    <w:rsid w:val="00493347"/>
    <w:rsid w:val="00495FD4"/>
    <w:rsid w:val="00496092"/>
    <w:rsid w:val="00497264"/>
    <w:rsid w:val="004A08DB"/>
    <w:rsid w:val="004A25D0"/>
    <w:rsid w:val="004A37E8"/>
    <w:rsid w:val="004A6B90"/>
    <w:rsid w:val="004A7549"/>
    <w:rsid w:val="004B09D4"/>
    <w:rsid w:val="004B21FD"/>
    <w:rsid w:val="004B309D"/>
    <w:rsid w:val="004B330A"/>
    <w:rsid w:val="004B469A"/>
    <w:rsid w:val="004B4F3D"/>
    <w:rsid w:val="004B7C8E"/>
    <w:rsid w:val="004C33C6"/>
    <w:rsid w:val="004C3D3C"/>
    <w:rsid w:val="004C6C90"/>
    <w:rsid w:val="004D0EDC"/>
    <w:rsid w:val="004D1220"/>
    <w:rsid w:val="004D14B3"/>
    <w:rsid w:val="004D1529"/>
    <w:rsid w:val="004D2253"/>
    <w:rsid w:val="004D5514"/>
    <w:rsid w:val="004D56C3"/>
    <w:rsid w:val="004E0338"/>
    <w:rsid w:val="004E089A"/>
    <w:rsid w:val="004E4FF3"/>
    <w:rsid w:val="004E56A8"/>
    <w:rsid w:val="004F2B16"/>
    <w:rsid w:val="004F3B55"/>
    <w:rsid w:val="004F4E46"/>
    <w:rsid w:val="004F6B7D"/>
    <w:rsid w:val="00500E4A"/>
    <w:rsid w:val="005015F6"/>
    <w:rsid w:val="0050251B"/>
    <w:rsid w:val="005030C4"/>
    <w:rsid w:val="005031C5"/>
    <w:rsid w:val="00504FDC"/>
    <w:rsid w:val="00511454"/>
    <w:rsid w:val="005120CC"/>
    <w:rsid w:val="00512B7B"/>
    <w:rsid w:val="00514EA1"/>
    <w:rsid w:val="0051798B"/>
    <w:rsid w:val="00521F5A"/>
    <w:rsid w:val="00525E06"/>
    <w:rsid w:val="00526454"/>
    <w:rsid w:val="00526F2A"/>
    <w:rsid w:val="00527D9F"/>
    <w:rsid w:val="00531823"/>
    <w:rsid w:val="00534ECC"/>
    <w:rsid w:val="0053720D"/>
    <w:rsid w:val="00540A08"/>
    <w:rsid w:val="00540EF5"/>
    <w:rsid w:val="00541BF3"/>
    <w:rsid w:val="00541CD3"/>
    <w:rsid w:val="005476FA"/>
    <w:rsid w:val="0055595E"/>
    <w:rsid w:val="00557988"/>
    <w:rsid w:val="00562C49"/>
    <w:rsid w:val="00562DEF"/>
    <w:rsid w:val="0056321A"/>
    <w:rsid w:val="0056355C"/>
    <w:rsid w:val="00563A35"/>
    <w:rsid w:val="00566596"/>
    <w:rsid w:val="005741E9"/>
    <w:rsid w:val="005748CF"/>
    <w:rsid w:val="0058182D"/>
    <w:rsid w:val="00582033"/>
    <w:rsid w:val="005840CC"/>
    <w:rsid w:val="00584270"/>
    <w:rsid w:val="00584738"/>
    <w:rsid w:val="005920B0"/>
    <w:rsid w:val="0059380D"/>
    <w:rsid w:val="00595A8F"/>
    <w:rsid w:val="0059684E"/>
    <w:rsid w:val="005977C2"/>
    <w:rsid w:val="00597BF2"/>
    <w:rsid w:val="005B134E"/>
    <w:rsid w:val="005B2039"/>
    <w:rsid w:val="005B344F"/>
    <w:rsid w:val="005B3FBA"/>
    <w:rsid w:val="005B4A1D"/>
    <w:rsid w:val="005B674D"/>
    <w:rsid w:val="005C0CBE"/>
    <w:rsid w:val="005C1FCF"/>
    <w:rsid w:val="005C7BDA"/>
    <w:rsid w:val="005D1885"/>
    <w:rsid w:val="005D31A7"/>
    <w:rsid w:val="005D4A38"/>
    <w:rsid w:val="005D63C0"/>
    <w:rsid w:val="005E2EEA"/>
    <w:rsid w:val="005E3708"/>
    <w:rsid w:val="005E3CCD"/>
    <w:rsid w:val="005E3D6B"/>
    <w:rsid w:val="005E5B0C"/>
    <w:rsid w:val="005E5B55"/>
    <w:rsid w:val="005E5E4A"/>
    <w:rsid w:val="005E6613"/>
    <w:rsid w:val="005E693D"/>
    <w:rsid w:val="005E6A7F"/>
    <w:rsid w:val="005E75BF"/>
    <w:rsid w:val="005E7E4F"/>
    <w:rsid w:val="005F57BA"/>
    <w:rsid w:val="005F61E6"/>
    <w:rsid w:val="005F6C45"/>
    <w:rsid w:val="00605A69"/>
    <w:rsid w:val="00606C54"/>
    <w:rsid w:val="00614375"/>
    <w:rsid w:val="00615B0A"/>
    <w:rsid w:val="006168CF"/>
    <w:rsid w:val="00616AAE"/>
    <w:rsid w:val="0062011B"/>
    <w:rsid w:val="006242C5"/>
    <w:rsid w:val="00626DE0"/>
    <w:rsid w:val="00630901"/>
    <w:rsid w:val="00631DBA"/>
    <w:rsid w:val="00631F8E"/>
    <w:rsid w:val="00636EE9"/>
    <w:rsid w:val="00640950"/>
    <w:rsid w:val="00641AE7"/>
    <w:rsid w:val="00642629"/>
    <w:rsid w:val="00642C4F"/>
    <w:rsid w:val="0065293D"/>
    <w:rsid w:val="00653EFC"/>
    <w:rsid w:val="00654021"/>
    <w:rsid w:val="006570DA"/>
    <w:rsid w:val="00661045"/>
    <w:rsid w:val="00666DA8"/>
    <w:rsid w:val="00671057"/>
    <w:rsid w:val="00675AAF"/>
    <w:rsid w:val="0068031A"/>
    <w:rsid w:val="00681B2F"/>
    <w:rsid w:val="0068335F"/>
    <w:rsid w:val="00687217"/>
    <w:rsid w:val="00687AE8"/>
    <w:rsid w:val="006910B0"/>
    <w:rsid w:val="00693302"/>
    <w:rsid w:val="00694137"/>
    <w:rsid w:val="00694BC3"/>
    <w:rsid w:val="00695B96"/>
    <w:rsid w:val="0069640B"/>
    <w:rsid w:val="006A1B83"/>
    <w:rsid w:val="006A21CD"/>
    <w:rsid w:val="006A5918"/>
    <w:rsid w:val="006A710E"/>
    <w:rsid w:val="006B21B2"/>
    <w:rsid w:val="006B4A4A"/>
    <w:rsid w:val="006C19B2"/>
    <w:rsid w:val="006C4E58"/>
    <w:rsid w:val="006C5BB8"/>
    <w:rsid w:val="006C6936"/>
    <w:rsid w:val="006C7B01"/>
    <w:rsid w:val="006D0FE8"/>
    <w:rsid w:val="006D1803"/>
    <w:rsid w:val="006D27B0"/>
    <w:rsid w:val="006D3C7C"/>
    <w:rsid w:val="006D47BF"/>
    <w:rsid w:val="006D4961"/>
    <w:rsid w:val="006D4B2B"/>
    <w:rsid w:val="006D4F3C"/>
    <w:rsid w:val="006D5C66"/>
    <w:rsid w:val="006D6B57"/>
    <w:rsid w:val="006E1B3C"/>
    <w:rsid w:val="006E23FB"/>
    <w:rsid w:val="006E2BC6"/>
    <w:rsid w:val="006E31DC"/>
    <w:rsid w:val="006E325A"/>
    <w:rsid w:val="006E33EC"/>
    <w:rsid w:val="006E3802"/>
    <w:rsid w:val="006E4BBD"/>
    <w:rsid w:val="006E6C02"/>
    <w:rsid w:val="006F231A"/>
    <w:rsid w:val="006F2B40"/>
    <w:rsid w:val="006F54A0"/>
    <w:rsid w:val="006F59DB"/>
    <w:rsid w:val="006F6B55"/>
    <w:rsid w:val="006F788D"/>
    <w:rsid w:val="006F78E1"/>
    <w:rsid w:val="007008F5"/>
    <w:rsid w:val="00701072"/>
    <w:rsid w:val="00702054"/>
    <w:rsid w:val="007035A4"/>
    <w:rsid w:val="00704C99"/>
    <w:rsid w:val="00711799"/>
    <w:rsid w:val="00712B78"/>
    <w:rsid w:val="0071393B"/>
    <w:rsid w:val="00713EE2"/>
    <w:rsid w:val="007177FC"/>
    <w:rsid w:val="00720C5E"/>
    <w:rsid w:val="00721701"/>
    <w:rsid w:val="00723564"/>
    <w:rsid w:val="00726FD1"/>
    <w:rsid w:val="00731835"/>
    <w:rsid w:val="007341F8"/>
    <w:rsid w:val="00734372"/>
    <w:rsid w:val="00734EB8"/>
    <w:rsid w:val="00735F8B"/>
    <w:rsid w:val="00736F74"/>
    <w:rsid w:val="00742D1F"/>
    <w:rsid w:val="00743EBA"/>
    <w:rsid w:val="00743F0A"/>
    <w:rsid w:val="00744C8E"/>
    <w:rsid w:val="0074707E"/>
    <w:rsid w:val="00751610"/>
    <w:rsid w:val="007516DC"/>
    <w:rsid w:val="00754B80"/>
    <w:rsid w:val="007602A2"/>
    <w:rsid w:val="00761918"/>
    <w:rsid w:val="00762F03"/>
    <w:rsid w:val="0076413B"/>
    <w:rsid w:val="007648AE"/>
    <w:rsid w:val="00764BF8"/>
    <w:rsid w:val="0076514D"/>
    <w:rsid w:val="007652DD"/>
    <w:rsid w:val="00767A34"/>
    <w:rsid w:val="00771D90"/>
    <w:rsid w:val="00773D59"/>
    <w:rsid w:val="0077520B"/>
    <w:rsid w:val="00781003"/>
    <w:rsid w:val="00784A05"/>
    <w:rsid w:val="007911FD"/>
    <w:rsid w:val="00793930"/>
    <w:rsid w:val="00793DD1"/>
    <w:rsid w:val="00794FEC"/>
    <w:rsid w:val="00796A19"/>
    <w:rsid w:val="0079719D"/>
    <w:rsid w:val="007A003E"/>
    <w:rsid w:val="007A1965"/>
    <w:rsid w:val="007A2ED1"/>
    <w:rsid w:val="007A4BE6"/>
    <w:rsid w:val="007A7374"/>
    <w:rsid w:val="007B0DC6"/>
    <w:rsid w:val="007B1094"/>
    <w:rsid w:val="007B1762"/>
    <w:rsid w:val="007B1C96"/>
    <w:rsid w:val="007B3320"/>
    <w:rsid w:val="007B44F3"/>
    <w:rsid w:val="007B676B"/>
    <w:rsid w:val="007C301F"/>
    <w:rsid w:val="007C4540"/>
    <w:rsid w:val="007C46A7"/>
    <w:rsid w:val="007C4C1B"/>
    <w:rsid w:val="007C65AF"/>
    <w:rsid w:val="007D0535"/>
    <w:rsid w:val="007D135D"/>
    <w:rsid w:val="007D34FA"/>
    <w:rsid w:val="007D6CFA"/>
    <w:rsid w:val="007D730F"/>
    <w:rsid w:val="007D7CD8"/>
    <w:rsid w:val="007E0968"/>
    <w:rsid w:val="007E1A0A"/>
    <w:rsid w:val="007E3AA7"/>
    <w:rsid w:val="007E4EA6"/>
    <w:rsid w:val="007E651E"/>
    <w:rsid w:val="007E789C"/>
    <w:rsid w:val="007F0F15"/>
    <w:rsid w:val="007F737D"/>
    <w:rsid w:val="0080308E"/>
    <w:rsid w:val="00805303"/>
    <w:rsid w:val="00806705"/>
    <w:rsid w:val="00806738"/>
    <w:rsid w:val="00812136"/>
    <w:rsid w:val="008216D5"/>
    <w:rsid w:val="0082231C"/>
    <w:rsid w:val="008249CE"/>
    <w:rsid w:val="00825F56"/>
    <w:rsid w:val="00831440"/>
    <w:rsid w:val="00831A50"/>
    <w:rsid w:val="00831B3C"/>
    <w:rsid w:val="00831C89"/>
    <w:rsid w:val="00832114"/>
    <w:rsid w:val="00834C46"/>
    <w:rsid w:val="00835ACD"/>
    <w:rsid w:val="0084093E"/>
    <w:rsid w:val="00841CE1"/>
    <w:rsid w:val="00846D94"/>
    <w:rsid w:val="008473D8"/>
    <w:rsid w:val="008524B7"/>
    <w:rsid w:val="008528DC"/>
    <w:rsid w:val="00852B8C"/>
    <w:rsid w:val="00854981"/>
    <w:rsid w:val="00861589"/>
    <w:rsid w:val="00864B2E"/>
    <w:rsid w:val="00865963"/>
    <w:rsid w:val="00866DC9"/>
    <w:rsid w:val="008671AD"/>
    <w:rsid w:val="00871C1D"/>
    <w:rsid w:val="0087450E"/>
    <w:rsid w:val="00875A82"/>
    <w:rsid w:val="00876CA3"/>
    <w:rsid w:val="008772FE"/>
    <w:rsid w:val="008775F1"/>
    <w:rsid w:val="008821AE"/>
    <w:rsid w:val="008831BD"/>
    <w:rsid w:val="00883D3A"/>
    <w:rsid w:val="008854F7"/>
    <w:rsid w:val="00885A9D"/>
    <w:rsid w:val="008871A5"/>
    <w:rsid w:val="00887338"/>
    <w:rsid w:val="008912CD"/>
    <w:rsid w:val="008929D2"/>
    <w:rsid w:val="00893636"/>
    <w:rsid w:val="00893B94"/>
    <w:rsid w:val="00895197"/>
    <w:rsid w:val="00896E9D"/>
    <w:rsid w:val="00896F11"/>
    <w:rsid w:val="008A1049"/>
    <w:rsid w:val="008A1C98"/>
    <w:rsid w:val="008A322D"/>
    <w:rsid w:val="008A4D72"/>
    <w:rsid w:val="008A6285"/>
    <w:rsid w:val="008A63B2"/>
    <w:rsid w:val="008A6ECF"/>
    <w:rsid w:val="008A75D6"/>
    <w:rsid w:val="008B345D"/>
    <w:rsid w:val="008B484C"/>
    <w:rsid w:val="008C1FC2"/>
    <w:rsid w:val="008C2980"/>
    <w:rsid w:val="008C4DD6"/>
    <w:rsid w:val="008C5AFB"/>
    <w:rsid w:val="008D07FB"/>
    <w:rsid w:val="008D0C02"/>
    <w:rsid w:val="008D357D"/>
    <w:rsid w:val="008D435A"/>
    <w:rsid w:val="008E387B"/>
    <w:rsid w:val="008E4064"/>
    <w:rsid w:val="008E6087"/>
    <w:rsid w:val="008E758D"/>
    <w:rsid w:val="008F10A7"/>
    <w:rsid w:val="008F2258"/>
    <w:rsid w:val="008F4A96"/>
    <w:rsid w:val="008F755D"/>
    <w:rsid w:val="008F7A39"/>
    <w:rsid w:val="009021E8"/>
    <w:rsid w:val="00903121"/>
    <w:rsid w:val="00904677"/>
    <w:rsid w:val="00905EE2"/>
    <w:rsid w:val="00911440"/>
    <w:rsid w:val="00911475"/>
    <w:rsid w:val="00911712"/>
    <w:rsid w:val="00911B27"/>
    <w:rsid w:val="00914374"/>
    <w:rsid w:val="009170BE"/>
    <w:rsid w:val="00920B55"/>
    <w:rsid w:val="009262C9"/>
    <w:rsid w:val="0092703A"/>
    <w:rsid w:val="00930EB9"/>
    <w:rsid w:val="00933144"/>
    <w:rsid w:val="00933DC7"/>
    <w:rsid w:val="00934046"/>
    <w:rsid w:val="009418F4"/>
    <w:rsid w:val="00941D69"/>
    <w:rsid w:val="00942BBC"/>
    <w:rsid w:val="00944180"/>
    <w:rsid w:val="00944AA0"/>
    <w:rsid w:val="00947DA2"/>
    <w:rsid w:val="00951177"/>
    <w:rsid w:val="009673E8"/>
    <w:rsid w:val="00967453"/>
    <w:rsid w:val="00972D6F"/>
    <w:rsid w:val="00974DB8"/>
    <w:rsid w:val="00980661"/>
    <w:rsid w:val="0098093B"/>
    <w:rsid w:val="00982CA3"/>
    <w:rsid w:val="00984DB6"/>
    <w:rsid w:val="009870FC"/>
    <w:rsid w:val="009876D4"/>
    <w:rsid w:val="009914A5"/>
    <w:rsid w:val="00993DE2"/>
    <w:rsid w:val="0099548E"/>
    <w:rsid w:val="00995F91"/>
    <w:rsid w:val="00996456"/>
    <w:rsid w:val="00996A12"/>
    <w:rsid w:val="00997B0F"/>
    <w:rsid w:val="009A1CAD"/>
    <w:rsid w:val="009A3440"/>
    <w:rsid w:val="009A5832"/>
    <w:rsid w:val="009A6838"/>
    <w:rsid w:val="009B24B5"/>
    <w:rsid w:val="009B3207"/>
    <w:rsid w:val="009B4EBC"/>
    <w:rsid w:val="009B5ABB"/>
    <w:rsid w:val="009B73CE"/>
    <w:rsid w:val="009C19BB"/>
    <w:rsid w:val="009C2461"/>
    <w:rsid w:val="009C5243"/>
    <w:rsid w:val="009C6A44"/>
    <w:rsid w:val="009C6FE2"/>
    <w:rsid w:val="009C7674"/>
    <w:rsid w:val="009D004A"/>
    <w:rsid w:val="009D5880"/>
    <w:rsid w:val="009D6FBB"/>
    <w:rsid w:val="009E1FD4"/>
    <w:rsid w:val="009E3B07"/>
    <w:rsid w:val="009E51D1"/>
    <w:rsid w:val="009E5531"/>
    <w:rsid w:val="009F171E"/>
    <w:rsid w:val="009F3D2F"/>
    <w:rsid w:val="009F7052"/>
    <w:rsid w:val="00A02668"/>
    <w:rsid w:val="00A02801"/>
    <w:rsid w:val="00A02A09"/>
    <w:rsid w:val="00A04384"/>
    <w:rsid w:val="00A06A39"/>
    <w:rsid w:val="00A07F58"/>
    <w:rsid w:val="00A11EF2"/>
    <w:rsid w:val="00A131CB"/>
    <w:rsid w:val="00A14847"/>
    <w:rsid w:val="00A16389"/>
    <w:rsid w:val="00A16D6D"/>
    <w:rsid w:val="00A21383"/>
    <w:rsid w:val="00A215CF"/>
    <w:rsid w:val="00A2199F"/>
    <w:rsid w:val="00A21B31"/>
    <w:rsid w:val="00A2360E"/>
    <w:rsid w:val="00A24760"/>
    <w:rsid w:val="00A26D22"/>
    <w:rsid w:val="00A26E0C"/>
    <w:rsid w:val="00A27E0E"/>
    <w:rsid w:val="00A316B4"/>
    <w:rsid w:val="00A32FCB"/>
    <w:rsid w:val="00A34C25"/>
    <w:rsid w:val="00A3507D"/>
    <w:rsid w:val="00A3717A"/>
    <w:rsid w:val="00A4088C"/>
    <w:rsid w:val="00A4378B"/>
    <w:rsid w:val="00A4456B"/>
    <w:rsid w:val="00A448D4"/>
    <w:rsid w:val="00A452E0"/>
    <w:rsid w:val="00A51C6C"/>
    <w:rsid w:val="00A51EA5"/>
    <w:rsid w:val="00A53742"/>
    <w:rsid w:val="00A557A1"/>
    <w:rsid w:val="00A63059"/>
    <w:rsid w:val="00A63AE3"/>
    <w:rsid w:val="00A63D48"/>
    <w:rsid w:val="00A6441F"/>
    <w:rsid w:val="00A651A4"/>
    <w:rsid w:val="00A7082D"/>
    <w:rsid w:val="00A71361"/>
    <w:rsid w:val="00A746E2"/>
    <w:rsid w:val="00A76846"/>
    <w:rsid w:val="00A772B4"/>
    <w:rsid w:val="00A81717"/>
    <w:rsid w:val="00A81FF2"/>
    <w:rsid w:val="00A82D6A"/>
    <w:rsid w:val="00A83904"/>
    <w:rsid w:val="00A84586"/>
    <w:rsid w:val="00A90A79"/>
    <w:rsid w:val="00A949BB"/>
    <w:rsid w:val="00A96B30"/>
    <w:rsid w:val="00AA59B5"/>
    <w:rsid w:val="00AA7777"/>
    <w:rsid w:val="00AA7B84"/>
    <w:rsid w:val="00AB3548"/>
    <w:rsid w:val="00AB36FE"/>
    <w:rsid w:val="00AB395F"/>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4994"/>
    <w:rsid w:val="00AE6A21"/>
    <w:rsid w:val="00AE6C13"/>
    <w:rsid w:val="00AF1C8F"/>
    <w:rsid w:val="00AF2B68"/>
    <w:rsid w:val="00AF2C92"/>
    <w:rsid w:val="00AF3EC1"/>
    <w:rsid w:val="00AF5025"/>
    <w:rsid w:val="00AF519F"/>
    <w:rsid w:val="00AF5387"/>
    <w:rsid w:val="00AF55F5"/>
    <w:rsid w:val="00AF7E86"/>
    <w:rsid w:val="00B024B9"/>
    <w:rsid w:val="00B024C7"/>
    <w:rsid w:val="00B06F54"/>
    <w:rsid w:val="00B077FA"/>
    <w:rsid w:val="00B11F5F"/>
    <w:rsid w:val="00B127D7"/>
    <w:rsid w:val="00B13B0C"/>
    <w:rsid w:val="00B1453A"/>
    <w:rsid w:val="00B2095D"/>
    <w:rsid w:val="00B20F82"/>
    <w:rsid w:val="00B2542A"/>
    <w:rsid w:val="00B25BD5"/>
    <w:rsid w:val="00B274A7"/>
    <w:rsid w:val="00B34079"/>
    <w:rsid w:val="00B340EE"/>
    <w:rsid w:val="00B35439"/>
    <w:rsid w:val="00B3793A"/>
    <w:rsid w:val="00B401BA"/>
    <w:rsid w:val="00B407E4"/>
    <w:rsid w:val="00B425B6"/>
    <w:rsid w:val="00B42A72"/>
    <w:rsid w:val="00B441AE"/>
    <w:rsid w:val="00B45A65"/>
    <w:rsid w:val="00B45F33"/>
    <w:rsid w:val="00B46D50"/>
    <w:rsid w:val="00B53170"/>
    <w:rsid w:val="00B548B9"/>
    <w:rsid w:val="00B56DBE"/>
    <w:rsid w:val="00B62999"/>
    <w:rsid w:val="00B633D4"/>
    <w:rsid w:val="00B63826"/>
    <w:rsid w:val="00B63BE3"/>
    <w:rsid w:val="00B64885"/>
    <w:rsid w:val="00B65526"/>
    <w:rsid w:val="00B65A2B"/>
    <w:rsid w:val="00B66810"/>
    <w:rsid w:val="00B72BE3"/>
    <w:rsid w:val="00B73B80"/>
    <w:rsid w:val="00B770C7"/>
    <w:rsid w:val="00B80F26"/>
    <w:rsid w:val="00B822BD"/>
    <w:rsid w:val="00B842F4"/>
    <w:rsid w:val="00B91A7B"/>
    <w:rsid w:val="00B929DD"/>
    <w:rsid w:val="00B93AF6"/>
    <w:rsid w:val="00B941C6"/>
    <w:rsid w:val="00B95405"/>
    <w:rsid w:val="00B963F1"/>
    <w:rsid w:val="00BA020A"/>
    <w:rsid w:val="00BA6D7B"/>
    <w:rsid w:val="00BB02A4"/>
    <w:rsid w:val="00BB0D9F"/>
    <w:rsid w:val="00BB1270"/>
    <w:rsid w:val="00BB1E44"/>
    <w:rsid w:val="00BB5267"/>
    <w:rsid w:val="00BB52B8"/>
    <w:rsid w:val="00BB59D8"/>
    <w:rsid w:val="00BB7E69"/>
    <w:rsid w:val="00BC0E51"/>
    <w:rsid w:val="00BC3C1F"/>
    <w:rsid w:val="00BC7A06"/>
    <w:rsid w:val="00BC7CE7"/>
    <w:rsid w:val="00BC7D85"/>
    <w:rsid w:val="00BD295E"/>
    <w:rsid w:val="00BD4664"/>
    <w:rsid w:val="00BD7E1F"/>
    <w:rsid w:val="00BE1193"/>
    <w:rsid w:val="00BE2FAA"/>
    <w:rsid w:val="00BF4849"/>
    <w:rsid w:val="00BF4EA7"/>
    <w:rsid w:val="00BF5CE4"/>
    <w:rsid w:val="00BF7374"/>
    <w:rsid w:val="00C00EDB"/>
    <w:rsid w:val="00C02863"/>
    <w:rsid w:val="00C02BA9"/>
    <w:rsid w:val="00C0383A"/>
    <w:rsid w:val="00C05986"/>
    <w:rsid w:val="00C067FF"/>
    <w:rsid w:val="00C12862"/>
    <w:rsid w:val="00C13D28"/>
    <w:rsid w:val="00C14585"/>
    <w:rsid w:val="00C165A0"/>
    <w:rsid w:val="00C216CE"/>
    <w:rsid w:val="00C2184F"/>
    <w:rsid w:val="00C22A78"/>
    <w:rsid w:val="00C23C7E"/>
    <w:rsid w:val="00C246C5"/>
    <w:rsid w:val="00C249DB"/>
    <w:rsid w:val="00C24EE2"/>
    <w:rsid w:val="00C25A82"/>
    <w:rsid w:val="00C30499"/>
    <w:rsid w:val="00C30A2A"/>
    <w:rsid w:val="00C33993"/>
    <w:rsid w:val="00C4069E"/>
    <w:rsid w:val="00C41ADC"/>
    <w:rsid w:val="00C44149"/>
    <w:rsid w:val="00C44410"/>
    <w:rsid w:val="00C44A15"/>
    <w:rsid w:val="00C4630A"/>
    <w:rsid w:val="00C523F0"/>
    <w:rsid w:val="00C526D2"/>
    <w:rsid w:val="00C53A91"/>
    <w:rsid w:val="00C5794E"/>
    <w:rsid w:val="00C60968"/>
    <w:rsid w:val="00C61F2B"/>
    <w:rsid w:val="00C63D39"/>
    <w:rsid w:val="00C63EDD"/>
    <w:rsid w:val="00C65B36"/>
    <w:rsid w:val="00C66F35"/>
    <w:rsid w:val="00C7292E"/>
    <w:rsid w:val="00C72B69"/>
    <w:rsid w:val="00C72B93"/>
    <w:rsid w:val="00C74E88"/>
    <w:rsid w:val="00C8002C"/>
    <w:rsid w:val="00C80924"/>
    <w:rsid w:val="00C8286B"/>
    <w:rsid w:val="00C947F8"/>
    <w:rsid w:val="00C9515F"/>
    <w:rsid w:val="00C963C5"/>
    <w:rsid w:val="00CA0195"/>
    <w:rsid w:val="00CA030C"/>
    <w:rsid w:val="00CA1F41"/>
    <w:rsid w:val="00CA32EE"/>
    <w:rsid w:val="00CA414E"/>
    <w:rsid w:val="00CA5771"/>
    <w:rsid w:val="00CA5844"/>
    <w:rsid w:val="00CA6A1A"/>
    <w:rsid w:val="00CB0180"/>
    <w:rsid w:val="00CB2C38"/>
    <w:rsid w:val="00CB3EC1"/>
    <w:rsid w:val="00CC1E75"/>
    <w:rsid w:val="00CC2E0E"/>
    <w:rsid w:val="00CC361C"/>
    <w:rsid w:val="00CC460E"/>
    <w:rsid w:val="00CC474B"/>
    <w:rsid w:val="00CC5770"/>
    <w:rsid w:val="00CC658C"/>
    <w:rsid w:val="00CC67BF"/>
    <w:rsid w:val="00CC6DD3"/>
    <w:rsid w:val="00CD0139"/>
    <w:rsid w:val="00CD0843"/>
    <w:rsid w:val="00CD2458"/>
    <w:rsid w:val="00CD4865"/>
    <w:rsid w:val="00CD5A78"/>
    <w:rsid w:val="00CD7345"/>
    <w:rsid w:val="00CE2B19"/>
    <w:rsid w:val="00CE372E"/>
    <w:rsid w:val="00CE373A"/>
    <w:rsid w:val="00CF0A1B"/>
    <w:rsid w:val="00CF19F6"/>
    <w:rsid w:val="00CF2F4F"/>
    <w:rsid w:val="00CF536D"/>
    <w:rsid w:val="00D02E9D"/>
    <w:rsid w:val="00D10CB8"/>
    <w:rsid w:val="00D11EE5"/>
    <w:rsid w:val="00D12806"/>
    <w:rsid w:val="00D12D44"/>
    <w:rsid w:val="00D15018"/>
    <w:rsid w:val="00D15028"/>
    <w:rsid w:val="00D158AC"/>
    <w:rsid w:val="00D1694C"/>
    <w:rsid w:val="00D20F5E"/>
    <w:rsid w:val="00D23B76"/>
    <w:rsid w:val="00D24B4A"/>
    <w:rsid w:val="00D30632"/>
    <w:rsid w:val="00D316C4"/>
    <w:rsid w:val="00D360E3"/>
    <w:rsid w:val="00D379A3"/>
    <w:rsid w:val="00D458EA"/>
    <w:rsid w:val="00D45FF3"/>
    <w:rsid w:val="00D512CF"/>
    <w:rsid w:val="00D528B9"/>
    <w:rsid w:val="00D53186"/>
    <w:rsid w:val="00D5487D"/>
    <w:rsid w:val="00D5546B"/>
    <w:rsid w:val="00D60140"/>
    <w:rsid w:val="00D6024A"/>
    <w:rsid w:val="00D608B5"/>
    <w:rsid w:val="00D61883"/>
    <w:rsid w:val="00D64739"/>
    <w:rsid w:val="00D71F99"/>
    <w:rsid w:val="00D73CA4"/>
    <w:rsid w:val="00D73D71"/>
    <w:rsid w:val="00D74396"/>
    <w:rsid w:val="00D75FC4"/>
    <w:rsid w:val="00D80028"/>
    <w:rsid w:val="00D80284"/>
    <w:rsid w:val="00D81F71"/>
    <w:rsid w:val="00D8642D"/>
    <w:rsid w:val="00D87232"/>
    <w:rsid w:val="00D90A5E"/>
    <w:rsid w:val="00D91A68"/>
    <w:rsid w:val="00D95A68"/>
    <w:rsid w:val="00D96EB2"/>
    <w:rsid w:val="00DA0521"/>
    <w:rsid w:val="00DA17C7"/>
    <w:rsid w:val="00DA6A9A"/>
    <w:rsid w:val="00DB1EFD"/>
    <w:rsid w:val="00DB3EAF"/>
    <w:rsid w:val="00DB45CA"/>
    <w:rsid w:val="00DB46C6"/>
    <w:rsid w:val="00DC3203"/>
    <w:rsid w:val="00DC3C99"/>
    <w:rsid w:val="00DC52F5"/>
    <w:rsid w:val="00DC5FD0"/>
    <w:rsid w:val="00DC6731"/>
    <w:rsid w:val="00DD0354"/>
    <w:rsid w:val="00DD20FD"/>
    <w:rsid w:val="00DD27D7"/>
    <w:rsid w:val="00DD458C"/>
    <w:rsid w:val="00DD72E9"/>
    <w:rsid w:val="00DD7605"/>
    <w:rsid w:val="00DE2020"/>
    <w:rsid w:val="00DE3476"/>
    <w:rsid w:val="00DE7BEA"/>
    <w:rsid w:val="00DF0C87"/>
    <w:rsid w:val="00DF1749"/>
    <w:rsid w:val="00DF30A9"/>
    <w:rsid w:val="00DF4165"/>
    <w:rsid w:val="00DF5B84"/>
    <w:rsid w:val="00DF6D5B"/>
    <w:rsid w:val="00DF771B"/>
    <w:rsid w:val="00DF7EE2"/>
    <w:rsid w:val="00E01BAA"/>
    <w:rsid w:val="00E0282A"/>
    <w:rsid w:val="00E02F9B"/>
    <w:rsid w:val="00E07E14"/>
    <w:rsid w:val="00E1085E"/>
    <w:rsid w:val="00E14F94"/>
    <w:rsid w:val="00E17336"/>
    <w:rsid w:val="00E17D15"/>
    <w:rsid w:val="00E22B95"/>
    <w:rsid w:val="00E22CB6"/>
    <w:rsid w:val="00E25084"/>
    <w:rsid w:val="00E253F6"/>
    <w:rsid w:val="00E30331"/>
    <w:rsid w:val="00E30BB8"/>
    <w:rsid w:val="00E31F9C"/>
    <w:rsid w:val="00E32ABB"/>
    <w:rsid w:val="00E3522E"/>
    <w:rsid w:val="00E359B9"/>
    <w:rsid w:val="00E40488"/>
    <w:rsid w:val="00E405A3"/>
    <w:rsid w:val="00E40656"/>
    <w:rsid w:val="00E45129"/>
    <w:rsid w:val="00E50367"/>
    <w:rsid w:val="00E51ABA"/>
    <w:rsid w:val="00E524CB"/>
    <w:rsid w:val="00E5432B"/>
    <w:rsid w:val="00E6324A"/>
    <w:rsid w:val="00E653D9"/>
    <w:rsid w:val="00E65456"/>
    <w:rsid w:val="00E65A91"/>
    <w:rsid w:val="00E66188"/>
    <w:rsid w:val="00E664FB"/>
    <w:rsid w:val="00E672F0"/>
    <w:rsid w:val="00E70373"/>
    <w:rsid w:val="00E72E40"/>
    <w:rsid w:val="00E73665"/>
    <w:rsid w:val="00E73999"/>
    <w:rsid w:val="00E73BDC"/>
    <w:rsid w:val="00E73E9E"/>
    <w:rsid w:val="00E74E71"/>
    <w:rsid w:val="00E81660"/>
    <w:rsid w:val="00E817B2"/>
    <w:rsid w:val="00E854FE"/>
    <w:rsid w:val="00E906CC"/>
    <w:rsid w:val="00E92363"/>
    <w:rsid w:val="00E93790"/>
    <w:rsid w:val="00E939A0"/>
    <w:rsid w:val="00E94650"/>
    <w:rsid w:val="00E948FC"/>
    <w:rsid w:val="00E9640A"/>
    <w:rsid w:val="00E97E4E"/>
    <w:rsid w:val="00EA1CC2"/>
    <w:rsid w:val="00EA2D76"/>
    <w:rsid w:val="00EA4644"/>
    <w:rsid w:val="00EA758A"/>
    <w:rsid w:val="00EB096F"/>
    <w:rsid w:val="00EB199F"/>
    <w:rsid w:val="00EB27C4"/>
    <w:rsid w:val="00EB5387"/>
    <w:rsid w:val="00EB5C10"/>
    <w:rsid w:val="00EB66F8"/>
    <w:rsid w:val="00EB6DA5"/>
    <w:rsid w:val="00EB7322"/>
    <w:rsid w:val="00EC0FE9"/>
    <w:rsid w:val="00EC1221"/>
    <w:rsid w:val="00EC198B"/>
    <w:rsid w:val="00EC3569"/>
    <w:rsid w:val="00EC426D"/>
    <w:rsid w:val="00EC571B"/>
    <w:rsid w:val="00EC57D7"/>
    <w:rsid w:val="00EC6013"/>
    <w:rsid w:val="00EC6385"/>
    <w:rsid w:val="00ED1DE9"/>
    <w:rsid w:val="00ED23D4"/>
    <w:rsid w:val="00ED4765"/>
    <w:rsid w:val="00ED5E0B"/>
    <w:rsid w:val="00ED5FE1"/>
    <w:rsid w:val="00ED7006"/>
    <w:rsid w:val="00EE37B6"/>
    <w:rsid w:val="00EF0F45"/>
    <w:rsid w:val="00EF7463"/>
    <w:rsid w:val="00EF7971"/>
    <w:rsid w:val="00F002EF"/>
    <w:rsid w:val="00F01EE9"/>
    <w:rsid w:val="00F04900"/>
    <w:rsid w:val="00F065A4"/>
    <w:rsid w:val="00F126B9"/>
    <w:rsid w:val="00F12715"/>
    <w:rsid w:val="00F144D5"/>
    <w:rsid w:val="00F146F0"/>
    <w:rsid w:val="00F15039"/>
    <w:rsid w:val="00F15A8E"/>
    <w:rsid w:val="00F20FF3"/>
    <w:rsid w:val="00F2190B"/>
    <w:rsid w:val="00F228B5"/>
    <w:rsid w:val="00F2389C"/>
    <w:rsid w:val="00F25C67"/>
    <w:rsid w:val="00F30DFF"/>
    <w:rsid w:val="00F32B80"/>
    <w:rsid w:val="00F340EB"/>
    <w:rsid w:val="00F35285"/>
    <w:rsid w:val="00F43B9D"/>
    <w:rsid w:val="00F44D5E"/>
    <w:rsid w:val="00F46E2B"/>
    <w:rsid w:val="00F50190"/>
    <w:rsid w:val="00F5375B"/>
    <w:rsid w:val="00F53A35"/>
    <w:rsid w:val="00F55A3D"/>
    <w:rsid w:val="00F5744B"/>
    <w:rsid w:val="00F57A1A"/>
    <w:rsid w:val="00F60F05"/>
    <w:rsid w:val="00F61209"/>
    <w:rsid w:val="00F6259E"/>
    <w:rsid w:val="00F65DD4"/>
    <w:rsid w:val="00F65F48"/>
    <w:rsid w:val="00F672B2"/>
    <w:rsid w:val="00F72F27"/>
    <w:rsid w:val="00F83973"/>
    <w:rsid w:val="00F851EA"/>
    <w:rsid w:val="00F87FA3"/>
    <w:rsid w:val="00F93D8C"/>
    <w:rsid w:val="00FA3102"/>
    <w:rsid w:val="00FA41F6"/>
    <w:rsid w:val="00FA48D4"/>
    <w:rsid w:val="00FA54FA"/>
    <w:rsid w:val="00FA6D39"/>
    <w:rsid w:val="00FA7272"/>
    <w:rsid w:val="00FB227E"/>
    <w:rsid w:val="00FB3D61"/>
    <w:rsid w:val="00FB44CE"/>
    <w:rsid w:val="00FB5009"/>
    <w:rsid w:val="00FB76AB"/>
    <w:rsid w:val="00FC1A8E"/>
    <w:rsid w:val="00FC51A5"/>
    <w:rsid w:val="00FC7E76"/>
    <w:rsid w:val="00FD03FE"/>
    <w:rsid w:val="00FD126E"/>
    <w:rsid w:val="00FD3C36"/>
    <w:rsid w:val="00FD4D81"/>
    <w:rsid w:val="00FD7498"/>
    <w:rsid w:val="00FD7FB3"/>
    <w:rsid w:val="00FE2FF9"/>
    <w:rsid w:val="00FE4713"/>
    <w:rsid w:val="00FE7D5D"/>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D5C0B"/>
  <w15:docId w15:val="{3201A307-2242-43C4-B66C-5D1DF196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197E74"/>
    <w:rPr>
      <w:color w:val="0000FF" w:themeColor="hyperlink"/>
      <w:u w:val="single"/>
    </w:rPr>
  </w:style>
  <w:style w:type="paragraph" w:styleId="BalloonText">
    <w:name w:val="Balloon Text"/>
    <w:basedOn w:val="Normal"/>
    <w:link w:val="BalloonTextChar"/>
    <w:semiHidden/>
    <w:unhideWhenUsed/>
    <w:rsid w:val="0056355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6355C"/>
    <w:rPr>
      <w:rFonts w:ascii="Tahoma" w:hAnsi="Tahoma" w:cs="Tahoma"/>
      <w:sz w:val="16"/>
      <w:szCs w:val="16"/>
    </w:rPr>
  </w:style>
  <w:style w:type="paragraph" w:styleId="NoSpacing">
    <w:name w:val="No Spacing"/>
    <w:basedOn w:val="Normal"/>
    <w:uiPriority w:val="1"/>
    <w:qFormat/>
    <w:rsid w:val="0056355C"/>
    <w:pPr>
      <w:spacing w:line="240" w:lineRule="auto"/>
    </w:pPr>
    <w:rPr>
      <w:rFonts w:asciiTheme="minorHAnsi" w:eastAsiaTheme="minorEastAsia" w:hAnsiTheme="minorHAnsi" w:cstheme="minorBidi"/>
      <w:sz w:val="22"/>
      <w:szCs w:val="22"/>
      <w:lang w:val="en-AU" w:eastAsia="en-US"/>
    </w:rPr>
  </w:style>
  <w:style w:type="table" w:styleId="TableGrid">
    <w:name w:val="Table Grid"/>
    <w:basedOn w:val="TableNormal"/>
    <w:rsid w:val="0056355C"/>
    <w:rPr>
      <w:rFonts w:asciiTheme="minorHAnsi" w:eastAsiaTheme="minorEastAsia"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7652DD"/>
    <w:rPr>
      <w:color w:val="808080"/>
    </w:rPr>
  </w:style>
  <w:style w:type="character" w:styleId="CommentReference">
    <w:name w:val="annotation reference"/>
    <w:basedOn w:val="DefaultParagraphFont"/>
    <w:semiHidden/>
    <w:unhideWhenUsed/>
    <w:rsid w:val="00982CA3"/>
    <w:rPr>
      <w:sz w:val="16"/>
      <w:szCs w:val="16"/>
    </w:rPr>
  </w:style>
  <w:style w:type="paragraph" w:styleId="CommentText">
    <w:name w:val="annotation text"/>
    <w:basedOn w:val="Normal"/>
    <w:link w:val="CommentTextChar"/>
    <w:semiHidden/>
    <w:unhideWhenUsed/>
    <w:rsid w:val="00982CA3"/>
    <w:pPr>
      <w:spacing w:line="240" w:lineRule="auto"/>
    </w:pPr>
    <w:rPr>
      <w:sz w:val="20"/>
      <w:szCs w:val="20"/>
    </w:rPr>
  </w:style>
  <w:style w:type="character" w:customStyle="1" w:styleId="CommentTextChar">
    <w:name w:val="Comment Text Char"/>
    <w:basedOn w:val="DefaultParagraphFont"/>
    <w:link w:val="CommentText"/>
    <w:semiHidden/>
    <w:rsid w:val="00982CA3"/>
  </w:style>
  <w:style w:type="paragraph" w:styleId="CommentSubject">
    <w:name w:val="annotation subject"/>
    <w:basedOn w:val="CommentText"/>
    <w:next w:val="CommentText"/>
    <w:link w:val="CommentSubjectChar"/>
    <w:semiHidden/>
    <w:unhideWhenUsed/>
    <w:rsid w:val="00982CA3"/>
    <w:rPr>
      <w:b/>
      <w:bCs/>
    </w:rPr>
  </w:style>
  <w:style w:type="character" w:customStyle="1" w:styleId="CommentSubjectChar">
    <w:name w:val="Comment Subject Char"/>
    <w:basedOn w:val="CommentTextChar"/>
    <w:link w:val="CommentSubject"/>
    <w:semiHidden/>
    <w:rsid w:val="00982C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126">
      <w:bodyDiv w:val="1"/>
      <w:marLeft w:val="0"/>
      <w:marRight w:val="0"/>
      <w:marTop w:val="0"/>
      <w:marBottom w:val="0"/>
      <w:divBdr>
        <w:top w:val="none" w:sz="0" w:space="0" w:color="auto"/>
        <w:left w:val="none" w:sz="0" w:space="0" w:color="auto"/>
        <w:bottom w:val="none" w:sz="0" w:space="0" w:color="auto"/>
        <w:right w:val="none" w:sz="0" w:space="0" w:color="auto"/>
      </w:divBdr>
      <w:divsChild>
        <w:div w:id="9381932">
          <w:marLeft w:val="0"/>
          <w:marRight w:val="0"/>
          <w:marTop w:val="0"/>
          <w:marBottom w:val="0"/>
          <w:divBdr>
            <w:top w:val="none" w:sz="0" w:space="0" w:color="auto"/>
            <w:left w:val="none" w:sz="0" w:space="0" w:color="auto"/>
            <w:bottom w:val="none" w:sz="0" w:space="0" w:color="auto"/>
            <w:right w:val="none" w:sz="0" w:space="0" w:color="auto"/>
          </w:divBdr>
        </w:div>
        <w:div w:id="361974287">
          <w:marLeft w:val="0"/>
          <w:marRight w:val="0"/>
          <w:marTop w:val="0"/>
          <w:marBottom w:val="0"/>
          <w:divBdr>
            <w:top w:val="none" w:sz="0" w:space="0" w:color="auto"/>
            <w:left w:val="none" w:sz="0" w:space="0" w:color="auto"/>
            <w:bottom w:val="none" w:sz="0" w:space="0" w:color="auto"/>
            <w:right w:val="none" w:sz="0" w:space="0" w:color="auto"/>
          </w:divBdr>
        </w:div>
        <w:div w:id="834223271">
          <w:marLeft w:val="0"/>
          <w:marRight w:val="0"/>
          <w:marTop w:val="0"/>
          <w:marBottom w:val="0"/>
          <w:divBdr>
            <w:top w:val="none" w:sz="0" w:space="0" w:color="auto"/>
            <w:left w:val="none" w:sz="0" w:space="0" w:color="auto"/>
            <w:bottom w:val="none" w:sz="0" w:space="0" w:color="auto"/>
            <w:right w:val="none" w:sz="0" w:space="0" w:color="auto"/>
          </w:divBdr>
        </w:div>
        <w:div w:id="924999957">
          <w:marLeft w:val="0"/>
          <w:marRight w:val="0"/>
          <w:marTop w:val="0"/>
          <w:marBottom w:val="0"/>
          <w:divBdr>
            <w:top w:val="none" w:sz="0" w:space="0" w:color="auto"/>
            <w:left w:val="none" w:sz="0" w:space="0" w:color="auto"/>
            <w:bottom w:val="none" w:sz="0" w:space="0" w:color="auto"/>
            <w:right w:val="none" w:sz="0" w:space="0" w:color="auto"/>
          </w:divBdr>
        </w:div>
        <w:div w:id="1954822204">
          <w:marLeft w:val="0"/>
          <w:marRight w:val="0"/>
          <w:marTop w:val="0"/>
          <w:marBottom w:val="0"/>
          <w:divBdr>
            <w:top w:val="none" w:sz="0" w:space="0" w:color="auto"/>
            <w:left w:val="none" w:sz="0" w:space="0" w:color="auto"/>
            <w:bottom w:val="none" w:sz="0" w:space="0" w:color="auto"/>
            <w:right w:val="none" w:sz="0" w:space="0" w:color="auto"/>
          </w:divBdr>
        </w:div>
        <w:div w:id="2114472852">
          <w:marLeft w:val="0"/>
          <w:marRight w:val="0"/>
          <w:marTop w:val="0"/>
          <w:marBottom w:val="0"/>
          <w:divBdr>
            <w:top w:val="none" w:sz="0" w:space="0" w:color="auto"/>
            <w:left w:val="none" w:sz="0" w:space="0" w:color="auto"/>
            <w:bottom w:val="none" w:sz="0" w:space="0" w:color="auto"/>
            <w:right w:val="none" w:sz="0" w:space="0" w:color="auto"/>
          </w:divBdr>
        </w:div>
        <w:div w:id="2129083696">
          <w:marLeft w:val="0"/>
          <w:marRight w:val="0"/>
          <w:marTop w:val="0"/>
          <w:marBottom w:val="0"/>
          <w:divBdr>
            <w:top w:val="none" w:sz="0" w:space="0" w:color="auto"/>
            <w:left w:val="none" w:sz="0" w:space="0" w:color="auto"/>
            <w:bottom w:val="none" w:sz="0" w:space="0" w:color="auto"/>
            <w:right w:val="none" w:sz="0" w:space="0" w:color="auto"/>
          </w:divBdr>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96444126">
      <w:bodyDiv w:val="1"/>
      <w:marLeft w:val="0"/>
      <w:marRight w:val="0"/>
      <w:marTop w:val="0"/>
      <w:marBottom w:val="0"/>
      <w:divBdr>
        <w:top w:val="none" w:sz="0" w:space="0" w:color="auto"/>
        <w:left w:val="none" w:sz="0" w:space="0" w:color="auto"/>
        <w:bottom w:val="none" w:sz="0" w:space="0" w:color="auto"/>
        <w:right w:val="none" w:sz="0" w:space="0" w:color="auto"/>
      </w:divBdr>
    </w:div>
    <w:div w:id="1221984786">
      <w:bodyDiv w:val="1"/>
      <w:marLeft w:val="0"/>
      <w:marRight w:val="0"/>
      <w:marTop w:val="0"/>
      <w:marBottom w:val="0"/>
      <w:divBdr>
        <w:top w:val="none" w:sz="0" w:space="0" w:color="auto"/>
        <w:left w:val="none" w:sz="0" w:space="0" w:color="auto"/>
        <w:bottom w:val="none" w:sz="0" w:space="0" w:color="auto"/>
        <w:right w:val="none" w:sz="0" w:space="0" w:color="auto"/>
      </w:divBdr>
      <w:divsChild>
        <w:div w:id="278343172">
          <w:marLeft w:val="0"/>
          <w:marRight w:val="0"/>
          <w:marTop w:val="0"/>
          <w:marBottom w:val="0"/>
          <w:divBdr>
            <w:top w:val="none" w:sz="0" w:space="0" w:color="auto"/>
            <w:left w:val="none" w:sz="0" w:space="0" w:color="auto"/>
            <w:bottom w:val="none" w:sz="0" w:space="0" w:color="auto"/>
            <w:right w:val="none" w:sz="0" w:space="0" w:color="auto"/>
          </w:divBdr>
        </w:div>
        <w:div w:id="324167362">
          <w:marLeft w:val="0"/>
          <w:marRight w:val="0"/>
          <w:marTop w:val="0"/>
          <w:marBottom w:val="0"/>
          <w:divBdr>
            <w:top w:val="none" w:sz="0" w:space="0" w:color="auto"/>
            <w:left w:val="none" w:sz="0" w:space="0" w:color="auto"/>
            <w:bottom w:val="none" w:sz="0" w:space="0" w:color="auto"/>
            <w:right w:val="none" w:sz="0" w:space="0" w:color="auto"/>
          </w:divBdr>
        </w:div>
        <w:div w:id="1567570078">
          <w:marLeft w:val="0"/>
          <w:marRight w:val="0"/>
          <w:marTop w:val="0"/>
          <w:marBottom w:val="0"/>
          <w:divBdr>
            <w:top w:val="none" w:sz="0" w:space="0" w:color="auto"/>
            <w:left w:val="none" w:sz="0" w:space="0" w:color="auto"/>
            <w:bottom w:val="none" w:sz="0" w:space="0" w:color="auto"/>
            <w:right w:val="none" w:sz="0" w:space="0" w:color="auto"/>
          </w:divBdr>
        </w:div>
      </w:divsChild>
    </w:div>
    <w:div w:id="1476024088">
      <w:bodyDiv w:val="1"/>
      <w:marLeft w:val="0"/>
      <w:marRight w:val="0"/>
      <w:marTop w:val="0"/>
      <w:marBottom w:val="0"/>
      <w:divBdr>
        <w:top w:val="none" w:sz="0" w:space="0" w:color="auto"/>
        <w:left w:val="none" w:sz="0" w:space="0" w:color="auto"/>
        <w:bottom w:val="none" w:sz="0" w:space="0" w:color="auto"/>
        <w:right w:val="none" w:sz="0" w:space="0" w:color="auto"/>
      </w:divBdr>
      <w:divsChild>
        <w:div w:id="556402520">
          <w:marLeft w:val="0"/>
          <w:marRight w:val="0"/>
          <w:marTop w:val="0"/>
          <w:marBottom w:val="0"/>
          <w:divBdr>
            <w:top w:val="none" w:sz="0" w:space="0" w:color="auto"/>
            <w:left w:val="none" w:sz="0" w:space="0" w:color="auto"/>
            <w:bottom w:val="none" w:sz="0" w:space="0" w:color="auto"/>
            <w:right w:val="none" w:sz="0" w:space="0" w:color="auto"/>
          </w:divBdr>
        </w:div>
        <w:div w:id="1290208160">
          <w:marLeft w:val="0"/>
          <w:marRight w:val="0"/>
          <w:marTop w:val="0"/>
          <w:marBottom w:val="0"/>
          <w:divBdr>
            <w:top w:val="none" w:sz="0" w:space="0" w:color="auto"/>
            <w:left w:val="none" w:sz="0" w:space="0" w:color="auto"/>
            <w:bottom w:val="none" w:sz="0" w:space="0" w:color="auto"/>
            <w:right w:val="none" w:sz="0" w:space="0" w:color="auto"/>
          </w:divBdr>
        </w:div>
        <w:div w:id="169636696">
          <w:marLeft w:val="0"/>
          <w:marRight w:val="0"/>
          <w:marTop w:val="0"/>
          <w:marBottom w:val="0"/>
          <w:divBdr>
            <w:top w:val="none" w:sz="0" w:space="0" w:color="auto"/>
            <w:left w:val="none" w:sz="0" w:space="0" w:color="auto"/>
            <w:bottom w:val="none" w:sz="0" w:space="0" w:color="auto"/>
            <w:right w:val="none" w:sz="0" w:space="0" w:color="auto"/>
          </w:divBdr>
        </w:div>
        <w:div w:id="757672665">
          <w:marLeft w:val="0"/>
          <w:marRight w:val="0"/>
          <w:marTop w:val="0"/>
          <w:marBottom w:val="0"/>
          <w:divBdr>
            <w:top w:val="none" w:sz="0" w:space="0" w:color="auto"/>
            <w:left w:val="none" w:sz="0" w:space="0" w:color="auto"/>
            <w:bottom w:val="none" w:sz="0" w:space="0" w:color="auto"/>
            <w:right w:val="none" w:sz="0" w:space="0" w:color="auto"/>
          </w:divBdr>
        </w:div>
        <w:div w:id="1782145366">
          <w:marLeft w:val="0"/>
          <w:marRight w:val="0"/>
          <w:marTop w:val="0"/>
          <w:marBottom w:val="0"/>
          <w:divBdr>
            <w:top w:val="none" w:sz="0" w:space="0" w:color="auto"/>
            <w:left w:val="none" w:sz="0" w:space="0" w:color="auto"/>
            <w:bottom w:val="none" w:sz="0" w:space="0" w:color="auto"/>
            <w:right w:val="none" w:sz="0" w:space="0" w:color="auto"/>
          </w:divBdr>
        </w:div>
        <w:div w:id="1089548224">
          <w:marLeft w:val="0"/>
          <w:marRight w:val="0"/>
          <w:marTop w:val="0"/>
          <w:marBottom w:val="0"/>
          <w:divBdr>
            <w:top w:val="none" w:sz="0" w:space="0" w:color="auto"/>
            <w:left w:val="none" w:sz="0" w:space="0" w:color="auto"/>
            <w:bottom w:val="none" w:sz="0" w:space="0" w:color="auto"/>
            <w:right w:val="none" w:sz="0" w:space="0" w:color="auto"/>
          </w:divBdr>
        </w:div>
        <w:div w:id="2082677892">
          <w:marLeft w:val="0"/>
          <w:marRight w:val="0"/>
          <w:marTop w:val="0"/>
          <w:marBottom w:val="0"/>
          <w:divBdr>
            <w:top w:val="none" w:sz="0" w:space="0" w:color="auto"/>
            <w:left w:val="none" w:sz="0" w:space="0" w:color="auto"/>
            <w:bottom w:val="none" w:sz="0" w:space="0" w:color="auto"/>
            <w:right w:val="none" w:sz="0" w:space="0" w:color="auto"/>
          </w:divBdr>
        </w:div>
        <w:div w:id="2086997036">
          <w:marLeft w:val="0"/>
          <w:marRight w:val="0"/>
          <w:marTop w:val="0"/>
          <w:marBottom w:val="0"/>
          <w:divBdr>
            <w:top w:val="none" w:sz="0" w:space="0" w:color="auto"/>
            <w:left w:val="none" w:sz="0" w:space="0" w:color="auto"/>
            <w:bottom w:val="none" w:sz="0" w:space="0" w:color="auto"/>
            <w:right w:val="none" w:sz="0" w:space="0" w:color="auto"/>
          </w:divBdr>
        </w:div>
        <w:div w:id="252663187">
          <w:marLeft w:val="0"/>
          <w:marRight w:val="0"/>
          <w:marTop w:val="0"/>
          <w:marBottom w:val="0"/>
          <w:divBdr>
            <w:top w:val="none" w:sz="0" w:space="0" w:color="auto"/>
            <w:left w:val="none" w:sz="0" w:space="0" w:color="auto"/>
            <w:bottom w:val="none" w:sz="0" w:space="0" w:color="auto"/>
            <w:right w:val="none" w:sz="0" w:space="0" w:color="auto"/>
          </w:divBdr>
        </w:div>
        <w:div w:id="2136873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pper@sheffield.ac.uk" TargetMode="External"/><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image" Target="media/image18.tif"/><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image" Target="media/image17.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tif"/><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tif"/><Relationship Id="rId28" Type="http://schemas.openxmlformats.org/officeDocument/2006/relationships/fontTable" Target="fontTable.xml"/><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e%20user\Dropbox\Pepper%20project\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10C9F-D9F3-4EDF-B588-9F0AD941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TF_Template_Word_Windows_2010</Template>
  <TotalTime>3</TotalTime>
  <Pages>30</Pages>
  <Words>6312</Words>
  <Characters>35979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TF_Template_Word_Windows_2010</vt:lpstr>
    </vt:vector>
  </TitlesOfParts>
  <Company>Informa Plc</Company>
  <LinksUpToDate>false</LinksUpToDate>
  <CharactersWithSpaces>42207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subject/>
  <dc:creator>cbe user</dc:creator>
  <cp:keywords/>
  <dc:description/>
  <cp:lastModifiedBy>cbe user</cp:lastModifiedBy>
  <cp:revision>4</cp:revision>
  <cp:lastPrinted>2017-10-25T13:29:00Z</cp:lastPrinted>
  <dcterms:created xsi:type="dcterms:W3CDTF">2018-01-09T14:07:00Z</dcterms:created>
  <dcterms:modified xsi:type="dcterms:W3CDTF">2018-01-09T14:12:00Z</dcterms:modified>
</cp:coreProperties>
</file>