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9B43" w14:textId="374504B4" w:rsidR="00A62F4B" w:rsidRPr="00836D59" w:rsidRDefault="006E1CA6" w:rsidP="00A62F4B">
      <w:pPr>
        <w:rPr>
          <w:rFonts w:asciiTheme="minorHAnsi" w:hAnsiTheme="minorHAnsi"/>
          <w:lang w:val="en-GB"/>
        </w:rPr>
      </w:pPr>
      <w:bookmarkStart w:id="0" w:name="_GoBack"/>
      <w:bookmarkEnd w:id="0"/>
      <w:r w:rsidRPr="00836D59">
        <w:rPr>
          <w:rFonts w:asciiTheme="minorHAnsi" w:hAnsiTheme="minorHAnsi"/>
          <w:lang w:val="en-GB"/>
        </w:rPr>
        <w:t>Policy and Practice</w:t>
      </w:r>
    </w:p>
    <w:p w14:paraId="39D33E45" w14:textId="77777777" w:rsidR="00A62F4B" w:rsidRPr="00836D59" w:rsidRDefault="00A62F4B" w:rsidP="00F8080E">
      <w:pPr>
        <w:jc w:val="center"/>
        <w:rPr>
          <w:rFonts w:asciiTheme="minorHAnsi" w:hAnsiTheme="minorHAnsi"/>
          <w:b/>
          <w:lang w:val="en-GB"/>
        </w:rPr>
      </w:pPr>
    </w:p>
    <w:p w14:paraId="06FD71D7" w14:textId="5152D070" w:rsidR="006459A0" w:rsidRPr="00E65AF3" w:rsidRDefault="003465C3" w:rsidP="00836D59">
      <w:pPr>
        <w:jc w:val="center"/>
        <w:rPr>
          <w:rFonts w:asciiTheme="minorHAnsi" w:hAnsiTheme="minorHAnsi"/>
          <w:b/>
          <w:sz w:val="28"/>
          <w:szCs w:val="28"/>
          <w:lang w:val="en-GB"/>
        </w:rPr>
      </w:pPr>
      <w:r w:rsidRPr="00E65AF3">
        <w:rPr>
          <w:rFonts w:asciiTheme="minorHAnsi" w:hAnsiTheme="minorHAnsi"/>
          <w:b/>
          <w:sz w:val="28"/>
          <w:szCs w:val="28"/>
          <w:lang w:val="en-GB"/>
        </w:rPr>
        <w:t>A safe</w:t>
      </w:r>
      <w:r w:rsidR="0048749C" w:rsidRPr="00E65AF3">
        <w:rPr>
          <w:rFonts w:asciiTheme="minorHAnsi" w:hAnsiTheme="minorHAnsi"/>
          <w:b/>
          <w:sz w:val="28"/>
          <w:szCs w:val="28"/>
          <w:lang w:val="en-GB"/>
        </w:rPr>
        <w:t xml:space="preserve"> glimpse within</w:t>
      </w:r>
      <w:r w:rsidR="00ED24C6" w:rsidRPr="00E65AF3">
        <w:rPr>
          <w:rFonts w:asciiTheme="minorHAnsi" w:hAnsiTheme="minorHAnsi"/>
          <w:b/>
          <w:sz w:val="28"/>
          <w:szCs w:val="28"/>
          <w:lang w:val="en-GB"/>
        </w:rPr>
        <w:t xml:space="preserve"> the </w:t>
      </w:r>
      <w:r w:rsidR="00CD00A5" w:rsidRPr="00E65AF3">
        <w:rPr>
          <w:rFonts w:asciiTheme="minorHAnsi" w:hAnsiTheme="minorHAnsi"/>
          <w:b/>
          <w:sz w:val="28"/>
          <w:szCs w:val="28"/>
          <w:lang w:val="en-GB"/>
        </w:rPr>
        <w:t>“</w:t>
      </w:r>
      <w:r w:rsidR="00ED24C6" w:rsidRPr="00E65AF3">
        <w:rPr>
          <w:rFonts w:asciiTheme="minorHAnsi" w:hAnsiTheme="minorHAnsi"/>
          <w:b/>
          <w:sz w:val="28"/>
          <w:szCs w:val="28"/>
          <w:lang w:val="en-GB"/>
        </w:rPr>
        <w:t>black box</w:t>
      </w:r>
      <w:r w:rsidR="00CD00A5" w:rsidRPr="00E65AF3">
        <w:rPr>
          <w:rFonts w:asciiTheme="minorHAnsi" w:hAnsiTheme="minorHAnsi"/>
          <w:b/>
          <w:sz w:val="28"/>
          <w:szCs w:val="28"/>
          <w:lang w:val="en-GB"/>
        </w:rPr>
        <w:t>”</w:t>
      </w:r>
      <w:r w:rsidR="00ED24C6" w:rsidRPr="00E65AF3">
        <w:rPr>
          <w:rFonts w:asciiTheme="minorHAnsi" w:hAnsiTheme="minorHAnsi"/>
          <w:b/>
          <w:sz w:val="28"/>
          <w:szCs w:val="28"/>
          <w:lang w:val="en-GB"/>
        </w:rPr>
        <w:t>?</w:t>
      </w:r>
      <w:r w:rsidR="006E4108" w:rsidRPr="00E65AF3">
        <w:rPr>
          <w:rFonts w:asciiTheme="minorHAnsi" w:hAnsiTheme="minorHAnsi"/>
          <w:b/>
          <w:sz w:val="28"/>
          <w:szCs w:val="28"/>
          <w:lang w:val="en-GB"/>
        </w:rPr>
        <w:t xml:space="preserve"> </w:t>
      </w:r>
      <w:r w:rsidR="005D3E34" w:rsidRPr="00E65AF3">
        <w:rPr>
          <w:rFonts w:asciiTheme="minorHAnsi" w:hAnsiTheme="minorHAnsi"/>
          <w:b/>
          <w:sz w:val="28"/>
          <w:szCs w:val="28"/>
          <w:lang w:val="en-GB"/>
        </w:rPr>
        <w:t>E</w:t>
      </w:r>
      <w:r w:rsidR="001A001F" w:rsidRPr="00E65AF3">
        <w:rPr>
          <w:rFonts w:asciiTheme="minorHAnsi" w:hAnsiTheme="minorHAnsi"/>
          <w:b/>
          <w:sz w:val="28"/>
          <w:szCs w:val="28"/>
          <w:lang w:val="en-GB"/>
        </w:rPr>
        <w:t xml:space="preserve">thical and legal </w:t>
      </w:r>
      <w:r w:rsidR="000C347B" w:rsidRPr="00E65AF3">
        <w:rPr>
          <w:rFonts w:asciiTheme="minorHAnsi" w:hAnsiTheme="minorHAnsi"/>
          <w:b/>
          <w:sz w:val="28"/>
          <w:szCs w:val="28"/>
          <w:lang w:val="en-GB"/>
        </w:rPr>
        <w:t>principles</w:t>
      </w:r>
      <w:r w:rsidR="00BD1A8E" w:rsidRPr="00E65AF3">
        <w:rPr>
          <w:rFonts w:asciiTheme="minorHAnsi" w:hAnsiTheme="minorHAnsi"/>
          <w:b/>
          <w:sz w:val="28"/>
          <w:szCs w:val="28"/>
          <w:lang w:val="en-GB"/>
        </w:rPr>
        <w:t xml:space="preserve"> </w:t>
      </w:r>
      <w:r w:rsidR="00AD5F7D" w:rsidRPr="00E65AF3">
        <w:rPr>
          <w:rFonts w:asciiTheme="minorHAnsi" w:hAnsiTheme="minorHAnsi"/>
          <w:b/>
          <w:sz w:val="28"/>
          <w:szCs w:val="28"/>
          <w:lang w:val="en-GB"/>
        </w:rPr>
        <w:t xml:space="preserve">when </w:t>
      </w:r>
      <w:r w:rsidR="001A001F" w:rsidRPr="00E65AF3">
        <w:rPr>
          <w:rFonts w:asciiTheme="minorHAnsi" w:hAnsiTheme="minorHAnsi"/>
          <w:b/>
          <w:sz w:val="28"/>
          <w:szCs w:val="28"/>
          <w:lang w:val="en-GB"/>
        </w:rPr>
        <w:t>assessing</w:t>
      </w:r>
      <w:r w:rsidR="00C00DF0" w:rsidRPr="00E65AF3">
        <w:rPr>
          <w:rFonts w:asciiTheme="minorHAnsi" w:hAnsiTheme="minorHAnsi"/>
          <w:b/>
          <w:sz w:val="28"/>
          <w:szCs w:val="28"/>
          <w:lang w:val="en-GB"/>
        </w:rPr>
        <w:t xml:space="preserve"> </w:t>
      </w:r>
      <w:r w:rsidR="00490DAE" w:rsidRPr="00E65AF3">
        <w:rPr>
          <w:rFonts w:asciiTheme="minorHAnsi" w:hAnsiTheme="minorHAnsi"/>
          <w:b/>
          <w:sz w:val="28"/>
          <w:szCs w:val="28"/>
          <w:lang w:val="en-GB"/>
        </w:rPr>
        <w:t xml:space="preserve">digital </w:t>
      </w:r>
      <w:r w:rsidR="00C00DF0" w:rsidRPr="00E65AF3">
        <w:rPr>
          <w:rFonts w:asciiTheme="minorHAnsi" w:hAnsiTheme="minorHAnsi"/>
          <w:b/>
          <w:sz w:val="28"/>
          <w:szCs w:val="28"/>
          <w:lang w:val="en-GB"/>
        </w:rPr>
        <w:t xml:space="preserve">marketing of food </w:t>
      </w:r>
      <w:r w:rsidR="006459A0" w:rsidRPr="00E65AF3">
        <w:rPr>
          <w:rFonts w:asciiTheme="minorHAnsi" w:hAnsiTheme="minorHAnsi"/>
          <w:b/>
          <w:sz w:val="28"/>
          <w:szCs w:val="28"/>
          <w:lang w:val="en-GB"/>
        </w:rPr>
        <w:t xml:space="preserve">and </w:t>
      </w:r>
      <w:r w:rsidR="00C00DF0" w:rsidRPr="00E65AF3">
        <w:rPr>
          <w:rFonts w:asciiTheme="minorHAnsi" w:hAnsiTheme="minorHAnsi"/>
          <w:b/>
          <w:sz w:val="28"/>
          <w:szCs w:val="28"/>
          <w:lang w:val="en-GB"/>
        </w:rPr>
        <w:t>drink</w:t>
      </w:r>
      <w:r w:rsidR="006459A0" w:rsidRPr="00E65AF3">
        <w:rPr>
          <w:rFonts w:asciiTheme="minorHAnsi" w:hAnsiTheme="minorHAnsi"/>
          <w:b/>
          <w:sz w:val="28"/>
          <w:szCs w:val="28"/>
          <w:lang w:val="en-GB"/>
        </w:rPr>
        <w:t xml:space="preserve"> to children</w:t>
      </w:r>
      <w:r w:rsidR="00D74535" w:rsidRPr="00E65AF3">
        <w:rPr>
          <w:rFonts w:asciiTheme="minorHAnsi" w:hAnsiTheme="minorHAnsi"/>
          <w:b/>
          <w:sz w:val="28"/>
          <w:szCs w:val="28"/>
          <w:lang w:val="en-GB"/>
        </w:rPr>
        <w:t xml:space="preserve"> </w:t>
      </w:r>
    </w:p>
    <w:p w14:paraId="4615E72F" w14:textId="77777777" w:rsidR="00836D59" w:rsidRPr="00836D59" w:rsidRDefault="00836D59" w:rsidP="00836D59">
      <w:pPr>
        <w:jc w:val="center"/>
        <w:rPr>
          <w:rFonts w:asciiTheme="minorHAnsi" w:hAnsiTheme="minorHAnsi"/>
          <w:b/>
          <w:lang w:val="en-GB"/>
        </w:rPr>
      </w:pPr>
    </w:p>
    <w:p w14:paraId="792F67F3" w14:textId="74EA70BD" w:rsidR="0060642E" w:rsidRPr="00E65AF3" w:rsidRDefault="006459A0" w:rsidP="00E65AF3">
      <w:pPr>
        <w:jc w:val="center"/>
        <w:rPr>
          <w:rFonts w:asciiTheme="minorHAnsi" w:hAnsiTheme="minorHAnsi"/>
          <w:b/>
          <w:vertAlign w:val="superscript"/>
          <w:lang w:val="en-GB"/>
        </w:rPr>
      </w:pPr>
      <w:r w:rsidRPr="00836D59">
        <w:rPr>
          <w:rFonts w:asciiTheme="minorHAnsi" w:hAnsiTheme="minorHAnsi"/>
          <w:b/>
          <w:lang w:val="en-GB"/>
        </w:rPr>
        <w:t>Mimi Tatlow-Golden</w:t>
      </w:r>
      <w:r w:rsidR="00952889" w:rsidRPr="00836D59">
        <w:rPr>
          <w:rFonts w:asciiTheme="minorHAnsi" w:hAnsiTheme="minorHAnsi"/>
          <w:b/>
          <w:vertAlign w:val="superscript"/>
          <w:lang w:val="en-GB"/>
        </w:rPr>
        <w:t>1</w:t>
      </w:r>
      <w:r w:rsidR="00424981" w:rsidRPr="00836D59">
        <w:rPr>
          <w:rFonts w:asciiTheme="minorHAnsi" w:hAnsiTheme="minorHAnsi"/>
          <w:b/>
          <w:lang w:val="en-GB"/>
        </w:rPr>
        <w:t>, Valerie Verdoodt</w:t>
      </w:r>
      <w:r w:rsidR="00952889" w:rsidRPr="00836D59">
        <w:rPr>
          <w:rFonts w:asciiTheme="minorHAnsi" w:hAnsiTheme="minorHAnsi"/>
          <w:b/>
          <w:vertAlign w:val="superscript"/>
          <w:lang w:val="en-GB"/>
        </w:rPr>
        <w:t>2</w:t>
      </w:r>
      <w:r w:rsidR="00424981" w:rsidRPr="00836D59">
        <w:rPr>
          <w:rFonts w:asciiTheme="minorHAnsi" w:hAnsiTheme="minorHAnsi"/>
          <w:b/>
          <w:lang w:val="en-GB"/>
        </w:rPr>
        <w:t>, John Oates</w:t>
      </w:r>
      <w:r w:rsidR="00952889" w:rsidRPr="00836D59">
        <w:rPr>
          <w:rFonts w:asciiTheme="minorHAnsi" w:hAnsiTheme="minorHAnsi"/>
          <w:b/>
          <w:vertAlign w:val="superscript"/>
          <w:lang w:val="en-GB"/>
        </w:rPr>
        <w:t>1</w:t>
      </w:r>
      <w:r w:rsidR="00424981" w:rsidRPr="00836D59">
        <w:rPr>
          <w:rFonts w:asciiTheme="minorHAnsi" w:hAnsiTheme="minorHAnsi"/>
          <w:b/>
          <w:lang w:val="en-GB"/>
        </w:rPr>
        <w:t>, Jo Jewell</w:t>
      </w:r>
      <w:r w:rsidR="00952889" w:rsidRPr="00836D59">
        <w:rPr>
          <w:rFonts w:asciiTheme="minorHAnsi" w:hAnsiTheme="minorHAnsi"/>
          <w:b/>
          <w:vertAlign w:val="superscript"/>
          <w:lang w:val="en-GB"/>
        </w:rPr>
        <w:t>3</w:t>
      </w:r>
      <w:r w:rsidR="00424981" w:rsidRPr="00836D59">
        <w:rPr>
          <w:rFonts w:asciiTheme="minorHAnsi" w:hAnsiTheme="minorHAnsi"/>
          <w:b/>
          <w:lang w:val="en-GB"/>
        </w:rPr>
        <w:t>, Joao Breda</w:t>
      </w:r>
      <w:r w:rsidR="00952889" w:rsidRPr="00836D59">
        <w:rPr>
          <w:rFonts w:asciiTheme="minorHAnsi" w:hAnsiTheme="minorHAnsi"/>
          <w:b/>
          <w:vertAlign w:val="superscript"/>
          <w:lang w:val="en-GB"/>
        </w:rPr>
        <w:t>3</w:t>
      </w:r>
      <w:r w:rsidR="006E1CA6" w:rsidRPr="00836D59">
        <w:rPr>
          <w:rFonts w:asciiTheme="minorHAnsi" w:hAnsiTheme="minorHAnsi"/>
          <w:b/>
          <w:lang w:val="en-GB"/>
        </w:rPr>
        <w:t xml:space="preserve"> and</w:t>
      </w:r>
      <w:r w:rsidR="00424981" w:rsidRPr="00836D59">
        <w:rPr>
          <w:rFonts w:asciiTheme="minorHAnsi" w:hAnsiTheme="minorHAnsi"/>
          <w:b/>
          <w:lang w:val="en-GB"/>
        </w:rPr>
        <w:t xml:space="preserve"> Emma Boyland</w:t>
      </w:r>
      <w:r w:rsidR="00952889" w:rsidRPr="00836D59">
        <w:rPr>
          <w:rFonts w:asciiTheme="minorHAnsi" w:hAnsiTheme="minorHAnsi"/>
          <w:b/>
          <w:vertAlign w:val="superscript"/>
          <w:lang w:val="en-GB"/>
        </w:rPr>
        <w:t>4</w:t>
      </w:r>
    </w:p>
    <w:p w14:paraId="4856E3AB" w14:textId="7207B7B0" w:rsidR="00952889" w:rsidRPr="00836D59" w:rsidRDefault="00952889" w:rsidP="00836D59">
      <w:pPr>
        <w:spacing w:line="276" w:lineRule="auto"/>
        <w:rPr>
          <w:rFonts w:asciiTheme="minorHAnsi" w:hAnsiTheme="minorHAnsi"/>
          <w:lang w:val="en-GB"/>
        </w:rPr>
      </w:pPr>
      <w:r w:rsidRPr="00836D59">
        <w:rPr>
          <w:rFonts w:asciiTheme="minorHAnsi" w:hAnsiTheme="minorHAnsi"/>
          <w:vertAlign w:val="superscript"/>
          <w:lang w:val="en-GB"/>
        </w:rPr>
        <w:t>1</w:t>
      </w:r>
      <w:r w:rsidRPr="00836D59">
        <w:rPr>
          <w:rFonts w:asciiTheme="minorHAnsi" w:hAnsiTheme="minorHAnsi"/>
          <w:lang w:val="en-GB"/>
        </w:rPr>
        <w:t xml:space="preserve"> The Open University, </w:t>
      </w:r>
      <w:r w:rsidR="00624F81" w:rsidRPr="00836D59">
        <w:rPr>
          <w:rFonts w:asciiTheme="minorHAnsi" w:hAnsiTheme="minorHAnsi"/>
          <w:lang w:val="en-GB"/>
        </w:rPr>
        <w:t>United Kingdom</w:t>
      </w:r>
    </w:p>
    <w:p w14:paraId="7ED6A92E" w14:textId="6126BC9E" w:rsidR="00952889" w:rsidRPr="00836D59" w:rsidRDefault="00952889" w:rsidP="00836D59">
      <w:pPr>
        <w:spacing w:line="276" w:lineRule="auto"/>
        <w:rPr>
          <w:rFonts w:asciiTheme="minorHAnsi" w:hAnsiTheme="minorHAnsi"/>
          <w:lang w:val="en-GB"/>
        </w:rPr>
      </w:pPr>
      <w:r w:rsidRPr="00836D59">
        <w:rPr>
          <w:rFonts w:asciiTheme="minorHAnsi" w:hAnsiTheme="minorHAnsi"/>
          <w:vertAlign w:val="superscript"/>
          <w:lang w:val="en-GB"/>
        </w:rPr>
        <w:t>2</w:t>
      </w:r>
      <w:r w:rsidRPr="00836D59">
        <w:rPr>
          <w:rFonts w:asciiTheme="minorHAnsi" w:hAnsiTheme="minorHAnsi"/>
          <w:lang w:val="en-GB"/>
        </w:rPr>
        <w:t xml:space="preserve"> </w:t>
      </w:r>
      <w:r w:rsidR="00CC4752" w:rsidRPr="00836D59">
        <w:rPr>
          <w:rFonts w:asciiTheme="minorHAnsi" w:hAnsiTheme="minorHAnsi"/>
          <w:lang w:val="en-GB"/>
        </w:rPr>
        <w:t xml:space="preserve">KU </w:t>
      </w:r>
      <w:r w:rsidRPr="00836D59">
        <w:rPr>
          <w:rFonts w:asciiTheme="minorHAnsi" w:hAnsiTheme="minorHAnsi"/>
          <w:lang w:val="en-GB"/>
        </w:rPr>
        <w:t>Leuven</w:t>
      </w:r>
      <w:r w:rsidR="00D13CE2" w:rsidRPr="00836D59">
        <w:rPr>
          <w:rFonts w:asciiTheme="minorHAnsi" w:hAnsiTheme="minorHAnsi"/>
          <w:lang w:val="en-GB"/>
        </w:rPr>
        <w:t>, Belgium</w:t>
      </w:r>
      <w:r w:rsidRPr="00836D59">
        <w:rPr>
          <w:rFonts w:asciiTheme="minorHAnsi" w:hAnsiTheme="minorHAnsi"/>
          <w:lang w:val="en-GB"/>
        </w:rPr>
        <w:t xml:space="preserve"> </w:t>
      </w:r>
    </w:p>
    <w:p w14:paraId="0C9D12D3" w14:textId="2D1EE1CF" w:rsidR="00952889" w:rsidRPr="00836D59" w:rsidRDefault="00952889" w:rsidP="00836D59">
      <w:pPr>
        <w:spacing w:line="276" w:lineRule="auto"/>
        <w:rPr>
          <w:rFonts w:asciiTheme="minorHAnsi" w:hAnsiTheme="minorHAnsi"/>
          <w:lang w:val="en-GB"/>
        </w:rPr>
      </w:pPr>
      <w:r w:rsidRPr="00836D59">
        <w:rPr>
          <w:rFonts w:asciiTheme="minorHAnsi" w:hAnsiTheme="minorHAnsi"/>
          <w:vertAlign w:val="superscript"/>
          <w:lang w:val="en-GB"/>
        </w:rPr>
        <w:t>3</w:t>
      </w:r>
      <w:r w:rsidRPr="00836D59">
        <w:rPr>
          <w:rFonts w:asciiTheme="minorHAnsi" w:hAnsiTheme="minorHAnsi"/>
          <w:lang w:val="en-GB"/>
        </w:rPr>
        <w:t xml:space="preserve"> WHO Regional Office for Europe</w:t>
      </w:r>
      <w:r w:rsidR="00D13CE2" w:rsidRPr="00836D59">
        <w:rPr>
          <w:rFonts w:asciiTheme="minorHAnsi" w:hAnsiTheme="minorHAnsi"/>
          <w:lang w:val="en-GB"/>
        </w:rPr>
        <w:t xml:space="preserve">, </w:t>
      </w:r>
      <w:r w:rsidR="00E135A6" w:rsidRPr="00836D59">
        <w:rPr>
          <w:rFonts w:asciiTheme="minorHAnsi" w:hAnsiTheme="minorHAnsi"/>
          <w:lang w:val="en-GB"/>
        </w:rPr>
        <w:t>Denmark</w:t>
      </w:r>
    </w:p>
    <w:p w14:paraId="3EDA751A" w14:textId="14C99A3E" w:rsidR="006459A0" w:rsidRPr="00836D59" w:rsidRDefault="00952889" w:rsidP="00836D59">
      <w:pPr>
        <w:spacing w:line="276" w:lineRule="auto"/>
        <w:rPr>
          <w:rFonts w:asciiTheme="minorHAnsi" w:hAnsiTheme="minorHAnsi"/>
          <w:lang w:val="en-GB"/>
        </w:rPr>
      </w:pPr>
      <w:r w:rsidRPr="00836D59">
        <w:rPr>
          <w:rFonts w:asciiTheme="minorHAnsi" w:hAnsiTheme="minorHAnsi"/>
          <w:vertAlign w:val="superscript"/>
          <w:lang w:val="en-GB"/>
        </w:rPr>
        <w:t>4</w:t>
      </w:r>
      <w:r w:rsidRPr="00836D59">
        <w:rPr>
          <w:rFonts w:asciiTheme="minorHAnsi" w:hAnsiTheme="minorHAnsi"/>
          <w:lang w:val="en-GB"/>
        </w:rPr>
        <w:t xml:space="preserve"> </w:t>
      </w:r>
      <w:r w:rsidR="006459A0" w:rsidRPr="00836D59">
        <w:rPr>
          <w:rFonts w:asciiTheme="minorHAnsi" w:hAnsiTheme="minorHAnsi"/>
          <w:lang w:val="en-GB"/>
        </w:rPr>
        <w:t>University of Liverpool</w:t>
      </w:r>
      <w:r w:rsidR="00D13CE2" w:rsidRPr="00836D59">
        <w:rPr>
          <w:rFonts w:asciiTheme="minorHAnsi" w:hAnsiTheme="minorHAnsi"/>
          <w:lang w:val="en-GB"/>
        </w:rPr>
        <w:t xml:space="preserve">, </w:t>
      </w:r>
      <w:r w:rsidR="00624F81" w:rsidRPr="00836D59">
        <w:rPr>
          <w:rFonts w:asciiTheme="minorHAnsi" w:hAnsiTheme="minorHAnsi"/>
          <w:lang w:val="en-GB"/>
        </w:rPr>
        <w:t>United Kingdom</w:t>
      </w:r>
      <w:r w:rsidR="006459A0" w:rsidRPr="00836D59">
        <w:rPr>
          <w:rFonts w:asciiTheme="minorHAnsi" w:hAnsiTheme="minorHAnsi"/>
          <w:lang w:val="en-GB"/>
        </w:rPr>
        <w:t xml:space="preserve"> </w:t>
      </w:r>
    </w:p>
    <w:p w14:paraId="5DCB3F89" w14:textId="77777777" w:rsidR="006459A0" w:rsidRPr="00836D59" w:rsidRDefault="006459A0" w:rsidP="00F8080E">
      <w:pPr>
        <w:rPr>
          <w:rFonts w:asciiTheme="minorHAnsi" w:hAnsiTheme="minorHAnsi"/>
          <w:u w:val="single"/>
          <w:lang w:val="en-GB"/>
        </w:rPr>
      </w:pPr>
    </w:p>
    <w:p w14:paraId="59F2A827" w14:textId="3BE0FCCA" w:rsidR="00ED446B" w:rsidRDefault="006E1CA6" w:rsidP="00F8080E">
      <w:pPr>
        <w:rPr>
          <w:rFonts w:asciiTheme="minorHAnsi" w:hAnsiTheme="minorHAnsi"/>
          <w:lang w:val="en-GB"/>
        </w:rPr>
      </w:pPr>
      <w:r w:rsidRPr="00836D59">
        <w:rPr>
          <w:rFonts w:asciiTheme="minorHAnsi" w:hAnsiTheme="minorHAnsi"/>
          <w:lang w:val="en-GB"/>
        </w:rPr>
        <w:t xml:space="preserve">Keywords: </w:t>
      </w:r>
      <w:r w:rsidR="005F4210" w:rsidRPr="00836D59">
        <w:rPr>
          <w:rFonts w:asciiTheme="minorHAnsi" w:hAnsiTheme="minorHAnsi"/>
          <w:lang w:val="en-GB"/>
        </w:rPr>
        <w:t>digital media, ethics, law, marketing, advertising, research</w:t>
      </w:r>
      <w:r w:rsidR="00BE2838" w:rsidRPr="00836D59">
        <w:rPr>
          <w:rFonts w:asciiTheme="minorHAnsi" w:hAnsiTheme="minorHAnsi"/>
          <w:lang w:val="en-GB"/>
        </w:rPr>
        <w:t>, children, adolescents, social media, food</w:t>
      </w:r>
    </w:p>
    <w:p w14:paraId="09390B67" w14:textId="77777777" w:rsidR="00E65AF3" w:rsidRDefault="00E65AF3" w:rsidP="00F8080E">
      <w:pPr>
        <w:rPr>
          <w:rFonts w:asciiTheme="minorHAnsi" w:hAnsiTheme="minorHAnsi"/>
          <w:lang w:val="en-GB"/>
        </w:rPr>
      </w:pPr>
    </w:p>
    <w:p w14:paraId="6C771D78" w14:textId="77777777" w:rsidR="00E65AF3" w:rsidRDefault="00E65AF3" w:rsidP="00F8080E">
      <w:pPr>
        <w:rPr>
          <w:rFonts w:asciiTheme="minorHAnsi" w:hAnsiTheme="minorHAnsi"/>
          <w:lang w:val="en-GB"/>
        </w:rPr>
      </w:pPr>
    </w:p>
    <w:p w14:paraId="30B2877F" w14:textId="77777777" w:rsidR="00E65AF3" w:rsidRDefault="00E65AF3" w:rsidP="00F8080E">
      <w:pPr>
        <w:rPr>
          <w:rFonts w:asciiTheme="minorHAnsi" w:hAnsiTheme="minorHAnsi"/>
          <w:lang w:val="en-GB"/>
        </w:rPr>
      </w:pPr>
    </w:p>
    <w:p w14:paraId="4C04D333" w14:textId="77777777" w:rsidR="00E65AF3" w:rsidRDefault="00E65AF3" w:rsidP="00F8080E">
      <w:pPr>
        <w:rPr>
          <w:rFonts w:asciiTheme="minorHAnsi" w:hAnsiTheme="minorHAnsi"/>
          <w:lang w:val="en-GB"/>
        </w:rPr>
      </w:pPr>
    </w:p>
    <w:p w14:paraId="4FD3D5BC" w14:textId="77777777" w:rsidR="00E65AF3" w:rsidRPr="00E65AF3" w:rsidRDefault="00E65AF3" w:rsidP="00E65AF3">
      <w:pPr>
        <w:rPr>
          <w:rFonts w:asciiTheme="minorHAnsi" w:hAnsiTheme="minorHAnsi"/>
          <w:sz w:val="20"/>
          <w:szCs w:val="20"/>
          <w:lang w:val="en-GB"/>
        </w:rPr>
      </w:pPr>
      <w:r w:rsidRPr="00E65AF3">
        <w:rPr>
          <w:rFonts w:asciiTheme="minorHAnsi" w:hAnsiTheme="minorHAnsi"/>
          <w:sz w:val="20"/>
          <w:szCs w:val="20"/>
          <w:lang w:val="en-GB"/>
        </w:rPr>
        <w:t xml:space="preserve">Corresponding author: Dr Mimi Tatlow-Golden (email: </w:t>
      </w:r>
      <w:hyperlink r:id="rId12" w:history="1">
        <w:r w:rsidRPr="00E65AF3">
          <w:rPr>
            <w:rStyle w:val="Hyperlink"/>
            <w:rFonts w:asciiTheme="minorHAnsi" w:hAnsiTheme="minorHAnsi"/>
            <w:sz w:val="20"/>
            <w:szCs w:val="20"/>
            <w:lang w:val="en-GB"/>
          </w:rPr>
          <w:t>mimi.tatlow-golden@open.ac.uk</w:t>
        </w:r>
      </w:hyperlink>
      <w:r w:rsidRPr="00E65AF3">
        <w:rPr>
          <w:rStyle w:val="Hyperlink"/>
          <w:rFonts w:asciiTheme="minorHAnsi" w:hAnsiTheme="minorHAnsi"/>
          <w:sz w:val="20"/>
          <w:szCs w:val="20"/>
          <w:lang w:val="en-GB"/>
        </w:rPr>
        <w:t>)</w:t>
      </w:r>
    </w:p>
    <w:p w14:paraId="46EB66CE" w14:textId="77777777" w:rsidR="00E65AF3" w:rsidRPr="00836D59" w:rsidRDefault="00E65AF3" w:rsidP="00F8080E">
      <w:pPr>
        <w:rPr>
          <w:rFonts w:asciiTheme="minorHAnsi" w:hAnsiTheme="minorHAnsi"/>
          <w:lang w:val="en-GB"/>
        </w:rPr>
      </w:pPr>
    </w:p>
    <w:p w14:paraId="6E3507D1" w14:textId="77777777" w:rsidR="00836D59" w:rsidRPr="00836D59" w:rsidRDefault="00836D59">
      <w:pPr>
        <w:spacing w:before="0" w:after="0" w:line="240" w:lineRule="auto"/>
        <w:rPr>
          <w:rFonts w:asciiTheme="minorHAnsi" w:eastAsiaTheme="majorEastAsia" w:hAnsiTheme="minorHAnsi" w:cstheme="majorBidi"/>
          <w:color w:val="2F5496" w:themeColor="accent1" w:themeShade="BF"/>
          <w:sz w:val="32"/>
          <w:szCs w:val="32"/>
          <w:lang w:val="en-GB"/>
        </w:rPr>
      </w:pPr>
      <w:r w:rsidRPr="00836D59">
        <w:rPr>
          <w:rFonts w:asciiTheme="minorHAnsi" w:hAnsiTheme="minorHAnsi"/>
          <w:lang w:val="en-GB"/>
        </w:rPr>
        <w:br w:type="page"/>
      </w:r>
    </w:p>
    <w:p w14:paraId="247CD5A6" w14:textId="03304789" w:rsidR="00D96335" w:rsidRPr="00836D59" w:rsidRDefault="00D96335" w:rsidP="005D57EB">
      <w:pPr>
        <w:pStyle w:val="Heading1"/>
        <w:rPr>
          <w:rFonts w:asciiTheme="minorHAnsi" w:hAnsiTheme="minorHAnsi"/>
          <w:lang w:val="en-GB"/>
        </w:rPr>
      </w:pPr>
      <w:r w:rsidRPr="00836D59">
        <w:rPr>
          <w:rFonts w:asciiTheme="minorHAnsi" w:hAnsiTheme="minorHAnsi"/>
          <w:lang w:val="en-GB"/>
        </w:rPr>
        <w:lastRenderedPageBreak/>
        <w:t>Abstract</w:t>
      </w:r>
    </w:p>
    <w:p w14:paraId="5951437C" w14:textId="3FFAB72E" w:rsidR="006459A0" w:rsidRPr="00836D59" w:rsidRDefault="00947625" w:rsidP="00E65AF3">
      <w:pPr>
        <w:spacing w:line="360" w:lineRule="auto"/>
        <w:rPr>
          <w:rFonts w:asciiTheme="minorHAnsi" w:hAnsiTheme="minorHAnsi"/>
          <w:lang w:val="en-GB"/>
        </w:rPr>
      </w:pPr>
      <w:r w:rsidRPr="00836D59">
        <w:rPr>
          <w:rFonts w:asciiTheme="minorHAnsi" w:hAnsiTheme="minorHAnsi"/>
          <w:lang w:val="en-GB"/>
        </w:rPr>
        <w:t>Marketing in digital media presents major new challenges t</w:t>
      </w:r>
      <w:r w:rsidR="00A50634" w:rsidRPr="00836D59">
        <w:rPr>
          <w:rFonts w:asciiTheme="minorHAnsi" w:hAnsiTheme="minorHAnsi"/>
          <w:lang w:val="en-GB"/>
        </w:rPr>
        <w:t>o those seeking to identify</w:t>
      </w:r>
      <w:r w:rsidR="0048749C" w:rsidRPr="00836D59">
        <w:rPr>
          <w:rFonts w:asciiTheme="minorHAnsi" w:hAnsiTheme="minorHAnsi"/>
          <w:lang w:val="en-GB"/>
        </w:rPr>
        <w:t>, for research or monitoring purposes,</w:t>
      </w:r>
      <w:r w:rsidR="00A50634" w:rsidRPr="00836D59">
        <w:rPr>
          <w:rFonts w:asciiTheme="minorHAnsi" w:hAnsiTheme="minorHAnsi"/>
          <w:lang w:val="en-GB"/>
        </w:rPr>
        <w:t xml:space="preserve"> the extent and nature of children</w:t>
      </w:r>
      <w:r w:rsidR="00624F81" w:rsidRPr="00836D59">
        <w:rPr>
          <w:rFonts w:asciiTheme="minorHAnsi" w:hAnsiTheme="minorHAnsi"/>
          <w:lang w:val="en-GB"/>
        </w:rPr>
        <w:t>’</w:t>
      </w:r>
      <w:r w:rsidR="00A50634" w:rsidRPr="00836D59">
        <w:rPr>
          <w:rFonts w:asciiTheme="minorHAnsi" w:hAnsiTheme="minorHAnsi"/>
          <w:lang w:val="en-GB"/>
        </w:rPr>
        <w:t>s exposure</w:t>
      </w:r>
      <w:r w:rsidRPr="00836D59">
        <w:rPr>
          <w:rFonts w:asciiTheme="minorHAnsi" w:hAnsiTheme="minorHAnsi"/>
          <w:lang w:val="en-GB"/>
        </w:rPr>
        <w:t xml:space="preserve"> to marketing </w:t>
      </w:r>
      <w:r w:rsidR="00193832" w:rsidRPr="00836D59">
        <w:rPr>
          <w:rFonts w:asciiTheme="minorHAnsi" w:hAnsiTheme="minorHAnsi"/>
          <w:lang w:val="en-GB"/>
        </w:rPr>
        <w:t xml:space="preserve">of </w:t>
      </w:r>
      <w:r w:rsidRPr="00836D59">
        <w:rPr>
          <w:rFonts w:asciiTheme="minorHAnsi" w:hAnsiTheme="minorHAnsi"/>
          <w:lang w:val="en-GB"/>
        </w:rPr>
        <w:t>foods and non-alcoholic beverages high in fat, salt and sugar</w:t>
      </w:r>
      <w:r w:rsidR="00A50634" w:rsidRPr="00836D59">
        <w:rPr>
          <w:rFonts w:asciiTheme="minorHAnsi" w:hAnsiTheme="minorHAnsi"/>
          <w:lang w:val="en-GB"/>
        </w:rPr>
        <w:t>.</w:t>
      </w:r>
      <w:r w:rsidR="00654160" w:rsidRPr="00836D59">
        <w:rPr>
          <w:rFonts w:asciiTheme="minorHAnsi" w:hAnsiTheme="minorHAnsi"/>
          <w:lang w:val="en-GB"/>
        </w:rPr>
        <w:t xml:space="preserve"> </w:t>
      </w:r>
      <w:r w:rsidR="00453360" w:rsidRPr="00836D59">
        <w:rPr>
          <w:rFonts w:asciiTheme="minorHAnsi" w:hAnsiTheme="minorHAnsi"/>
          <w:lang w:val="en-GB"/>
        </w:rPr>
        <w:t>T</w:t>
      </w:r>
      <w:r w:rsidR="00654160" w:rsidRPr="00836D59">
        <w:rPr>
          <w:rFonts w:asciiTheme="minorHAnsi" w:hAnsiTheme="minorHAnsi"/>
          <w:lang w:val="en-GB"/>
        </w:rPr>
        <w:t xml:space="preserve">he </w:t>
      </w:r>
      <w:r w:rsidR="00231F63" w:rsidRPr="00836D59">
        <w:rPr>
          <w:rFonts w:asciiTheme="minorHAnsi" w:hAnsiTheme="minorHAnsi"/>
          <w:lang w:val="en-GB"/>
        </w:rPr>
        <w:t>WHO</w:t>
      </w:r>
      <w:r w:rsidR="00654160" w:rsidRPr="00836D59">
        <w:rPr>
          <w:rFonts w:asciiTheme="minorHAnsi" w:hAnsiTheme="minorHAnsi"/>
          <w:lang w:val="en-GB"/>
        </w:rPr>
        <w:t xml:space="preserve"> Commission on Ending Childhood Obesity called for reductions in children</w:t>
      </w:r>
      <w:r w:rsidR="00624F81" w:rsidRPr="00836D59">
        <w:rPr>
          <w:rFonts w:asciiTheme="minorHAnsi" w:hAnsiTheme="minorHAnsi"/>
          <w:lang w:val="en-GB"/>
        </w:rPr>
        <w:t>’</w:t>
      </w:r>
      <w:r w:rsidR="00654160" w:rsidRPr="00836D59">
        <w:rPr>
          <w:rFonts w:asciiTheme="minorHAnsi" w:hAnsiTheme="minorHAnsi"/>
          <w:lang w:val="en-GB"/>
        </w:rPr>
        <w:t>s (including adolescents</w:t>
      </w:r>
      <w:r w:rsidR="00624F81" w:rsidRPr="00836D59">
        <w:rPr>
          <w:rFonts w:asciiTheme="minorHAnsi" w:hAnsiTheme="minorHAnsi"/>
          <w:lang w:val="en-GB"/>
        </w:rPr>
        <w:t>’</w:t>
      </w:r>
      <w:r w:rsidR="00654160" w:rsidRPr="00836D59">
        <w:rPr>
          <w:rFonts w:asciiTheme="minorHAnsi" w:hAnsiTheme="minorHAnsi"/>
          <w:lang w:val="en-GB"/>
        </w:rPr>
        <w:t xml:space="preserve">) exposure to </w:t>
      </w:r>
      <w:r w:rsidR="003B3C13" w:rsidRPr="00836D59">
        <w:rPr>
          <w:rFonts w:asciiTheme="minorHAnsi" w:hAnsiTheme="minorHAnsi"/>
          <w:lang w:val="en-GB"/>
        </w:rPr>
        <w:t>such</w:t>
      </w:r>
      <w:r w:rsidR="00AF3DB1" w:rsidRPr="00836D59">
        <w:rPr>
          <w:rFonts w:asciiTheme="minorHAnsi" w:hAnsiTheme="minorHAnsi"/>
          <w:lang w:val="en-GB"/>
        </w:rPr>
        <w:t xml:space="preserve"> marketing in all media</w:t>
      </w:r>
      <w:r w:rsidR="00654160" w:rsidRPr="00836D59">
        <w:rPr>
          <w:rFonts w:asciiTheme="minorHAnsi" w:hAnsiTheme="minorHAnsi"/>
          <w:lang w:val="en-GB"/>
        </w:rPr>
        <w:t xml:space="preserve"> and </w:t>
      </w:r>
      <w:r w:rsidR="000C1E6D" w:rsidRPr="00836D59">
        <w:rPr>
          <w:rFonts w:asciiTheme="minorHAnsi" w:hAnsiTheme="minorHAnsi"/>
          <w:lang w:val="en-GB"/>
        </w:rPr>
        <w:t xml:space="preserve">for the </w:t>
      </w:r>
      <w:r w:rsidR="00654160" w:rsidRPr="00836D59">
        <w:rPr>
          <w:rFonts w:asciiTheme="minorHAnsi" w:hAnsiTheme="minorHAnsi"/>
          <w:lang w:val="en-GB"/>
        </w:rPr>
        <w:t xml:space="preserve">closing of regulatory loopholes. </w:t>
      </w:r>
      <w:r w:rsidR="000C1E6D" w:rsidRPr="00836D59">
        <w:rPr>
          <w:rFonts w:asciiTheme="minorHAnsi" w:hAnsiTheme="minorHAnsi"/>
          <w:lang w:val="en-GB"/>
        </w:rPr>
        <w:t>A</w:t>
      </w:r>
      <w:r w:rsidR="00654160" w:rsidRPr="00836D59">
        <w:rPr>
          <w:rFonts w:asciiTheme="minorHAnsi" w:hAnsiTheme="minorHAnsi"/>
          <w:lang w:val="en-GB"/>
        </w:rPr>
        <w:t xml:space="preserve">ssessing the extent and nature of such exposure and </w:t>
      </w:r>
      <w:r w:rsidR="000C1E6D" w:rsidRPr="00836D59">
        <w:rPr>
          <w:rFonts w:asciiTheme="minorHAnsi" w:hAnsiTheme="minorHAnsi"/>
          <w:lang w:val="en-GB"/>
        </w:rPr>
        <w:t xml:space="preserve">the </w:t>
      </w:r>
      <w:r w:rsidR="00654160" w:rsidRPr="00836D59">
        <w:rPr>
          <w:rFonts w:asciiTheme="minorHAnsi" w:hAnsiTheme="minorHAnsi"/>
          <w:lang w:val="en-GB"/>
        </w:rPr>
        <w:t xml:space="preserve">effectiveness of proposed regulation is challenging in a new </w:t>
      </w:r>
      <w:r w:rsidR="00E831EF" w:rsidRPr="00836D59">
        <w:rPr>
          <w:rFonts w:asciiTheme="minorHAnsi" w:hAnsiTheme="minorHAnsi"/>
          <w:lang w:val="en-GB"/>
        </w:rPr>
        <w:t xml:space="preserve">digital media </w:t>
      </w:r>
      <w:r w:rsidR="00654160" w:rsidRPr="00836D59">
        <w:rPr>
          <w:rFonts w:asciiTheme="minorHAnsi" w:hAnsiTheme="minorHAnsi"/>
          <w:lang w:val="en-GB"/>
        </w:rPr>
        <w:t>era</w:t>
      </w:r>
      <w:r w:rsidR="00E831EF" w:rsidRPr="00836D59">
        <w:rPr>
          <w:rFonts w:asciiTheme="minorHAnsi" w:hAnsiTheme="minorHAnsi"/>
          <w:lang w:val="en-GB"/>
        </w:rPr>
        <w:t>,</w:t>
      </w:r>
      <w:r w:rsidR="00654160" w:rsidRPr="00836D59">
        <w:rPr>
          <w:rFonts w:asciiTheme="minorHAnsi" w:hAnsiTheme="minorHAnsi"/>
          <w:lang w:val="en-GB"/>
        </w:rPr>
        <w:t xml:space="preserve"> </w:t>
      </w:r>
      <w:r w:rsidR="000C1E6D" w:rsidRPr="00836D59">
        <w:rPr>
          <w:rFonts w:asciiTheme="minorHAnsi" w:hAnsiTheme="minorHAnsi"/>
          <w:lang w:val="en-GB"/>
        </w:rPr>
        <w:t xml:space="preserve">however, </w:t>
      </w:r>
      <w:r w:rsidR="00250DB0" w:rsidRPr="00836D59">
        <w:rPr>
          <w:rFonts w:asciiTheme="minorHAnsi" w:hAnsiTheme="minorHAnsi"/>
          <w:lang w:val="en-GB"/>
        </w:rPr>
        <w:t xml:space="preserve">as </w:t>
      </w:r>
      <w:r w:rsidR="00654160" w:rsidRPr="00836D59">
        <w:rPr>
          <w:rFonts w:asciiTheme="minorHAnsi" w:hAnsiTheme="minorHAnsi"/>
          <w:lang w:val="en-GB"/>
        </w:rPr>
        <w:t xml:space="preserve">marketing </w:t>
      </w:r>
      <w:r w:rsidR="00E831EF" w:rsidRPr="00836D59">
        <w:rPr>
          <w:rFonts w:asciiTheme="minorHAnsi" w:hAnsiTheme="minorHAnsi"/>
          <w:lang w:val="en-GB"/>
        </w:rPr>
        <w:t>is increasingly personali</w:t>
      </w:r>
      <w:r w:rsidR="000C1E6D" w:rsidRPr="00836D59">
        <w:rPr>
          <w:rFonts w:asciiTheme="minorHAnsi" w:hAnsiTheme="minorHAnsi"/>
          <w:lang w:val="en-GB"/>
        </w:rPr>
        <w:t>z</w:t>
      </w:r>
      <w:r w:rsidR="00E831EF" w:rsidRPr="00836D59">
        <w:rPr>
          <w:rFonts w:asciiTheme="minorHAnsi" w:hAnsiTheme="minorHAnsi"/>
          <w:lang w:val="en-GB"/>
        </w:rPr>
        <w:t xml:space="preserve">ed, </w:t>
      </w:r>
      <w:r w:rsidR="00654160" w:rsidRPr="00836D59">
        <w:rPr>
          <w:rFonts w:asciiTheme="minorHAnsi" w:hAnsiTheme="minorHAnsi"/>
          <w:lang w:val="en-GB"/>
        </w:rPr>
        <w:t xml:space="preserve">based on </w:t>
      </w:r>
      <w:r w:rsidR="00501CD2" w:rsidRPr="00836D59">
        <w:rPr>
          <w:rFonts w:asciiTheme="minorHAnsi" w:hAnsiTheme="minorHAnsi"/>
          <w:lang w:val="en-GB"/>
        </w:rPr>
        <w:t>I</w:t>
      </w:r>
      <w:r w:rsidR="00654160" w:rsidRPr="00836D59">
        <w:rPr>
          <w:rFonts w:asciiTheme="minorHAnsi" w:hAnsiTheme="minorHAnsi"/>
          <w:lang w:val="en-GB"/>
        </w:rPr>
        <w:t>nternet users</w:t>
      </w:r>
      <w:r w:rsidR="00624F81" w:rsidRPr="00836D59">
        <w:rPr>
          <w:rFonts w:asciiTheme="minorHAnsi" w:hAnsiTheme="minorHAnsi"/>
          <w:lang w:val="en-GB"/>
        </w:rPr>
        <w:t>’</w:t>
      </w:r>
      <w:r w:rsidR="00654160" w:rsidRPr="00836D59">
        <w:rPr>
          <w:rFonts w:asciiTheme="minorHAnsi" w:hAnsiTheme="minorHAnsi"/>
          <w:lang w:val="en-GB"/>
        </w:rPr>
        <w:t xml:space="preserve"> behavioural patterns</w:t>
      </w:r>
      <w:r w:rsidR="00311535" w:rsidRPr="00836D59">
        <w:rPr>
          <w:rFonts w:asciiTheme="minorHAnsi" w:hAnsiTheme="minorHAnsi"/>
          <w:lang w:val="en-GB"/>
        </w:rPr>
        <w:t>,</w:t>
      </w:r>
      <w:r w:rsidR="00CC219B" w:rsidRPr="00836D59">
        <w:rPr>
          <w:rFonts w:asciiTheme="minorHAnsi" w:hAnsiTheme="minorHAnsi"/>
          <w:lang w:val="en-GB"/>
        </w:rPr>
        <w:t xml:space="preserve"> and </w:t>
      </w:r>
      <w:r w:rsidR="000C1E6D" w:rsidRPr="00836D59">
        <w:rPr>
          <w:rFonts w:asciiTheme="minorHAnsi" w:hAnsiTheme="minorHAnsi"/>
          <w:lang w:val="en-GB"/>
        </w:rPr>
        <w:t xml:space="preserve">the </w:t>
      </w:r>
      <w:r w:rsidR="00CC219B" w:rsidRPr="00836D59">
        <w:rPr>
          <w:rFonts w:asciiTheme="minorHAnsi" w:hAnsiTheme="minorHAnsi"/>
          <w:lang w:val="en-GB"/>
        </w:rPr>
        <w:t>ethics and legality of accessing personal data are not yet clearly established</w:t>
      </w:r>
      <w:r w:rsidR="00654160" w:rsidRPr="00836D59">
        <w:rPr>
          <w:rFonts w:asciiTheme="minorHAnsi" w:hAnsiTheme="minorHAnsi"/>
          <w:lang w:val="en-GB"/>
        </w:rPr>
        <w:t>.</w:t>
      </w:r>
      <w:r w:rsidR="003B3C13" w:rsidRPr="00836D59">
        <w:rPr>
          <w:rFonts w:asciiTheme="minorHAnsi" w:hAnsiTheme="minorHAnsi"/>
          <w:lang w:val="en-GB"/>
        </w:rPr>
        <w:t xml:space="preserve"> </w:t>
      </w:r>
      <w:r w:rsidR="00F748EC" w:rsidRPr="00836D59">
        <w:rPr>
          <w:rFonts w:asciiTheme="minorHAnsi" w:hAnsiTheme="minorHAnsi"/>
          <w:lang w:val="en-GB"/>
        </w:rPr>
        <w:t xml:space="preserve">The “black box” nature of </w:t>
      </w:r>
      <w:r w:rsidR="00E50CBC" w:rsidRPr="00836D59">
        <w:rPr>
          <w:rFonts w:asciiTheme="minorHAnsi" w:hAnsiTheme="minorHAnsi"/>
          <w:lang w:val="en-GB"/>
        </w:rPr>
        <w:t>the</w:t>
      </w:r>
      <w:r w:rsidR="00F748EC" w:rsidRPr="00836D59">
        <w:rPr>
          <w:rFonts w:asciiTheme="minorHAnsi" w:hAnsiTheme="minorHAnsi"/>
          <w:lang w:val="en-GB"/>
        </w:rPr>
        <w:t xml:space="preserve"> data</w:t>
      </w:r>
      <w:r w:rsidR="00E50CBC" w:rsidRPr="00836D59">
        <w:rPr>
          <w:rFonts w:asciiTheme="minorHAnsi" w:hAnsiTheme="minorHAnsi"/>
          <w:lang w:val="en-GB"/>
        </w:rPr>
        <w:t xml:space="preserve"> also presents a significant challenge.</w:t>
      </w:r>
      <w:r w:rsidR="00E50CBC" w:rsidRPr="00836D59">
        <w:rPr>
          <w:rStyle w:val="FootnoteReference"/>
          <w:rFonts w:asciiTheme="minorHAnsi" w:hAnsiTheme="minorHAnsi"/>
          <w:b/>
          <w:lang w:val="en-GB"/>
        </w:rPr>
        <w:t xml:space="preserve"> </w:t>
      </w:r>
      <w:r w:rsidR="00E50CBC" w:rsidRPr="00836D59">
        <w:rPr>
          <w:rStyle w:val="FootnoteReference"/>
          <w:rFonts w:asciiTheme="minorHAnsi" w:hAnsiTheme="minorHAnsi"/>
          <w:b/>
          <w:lang w:val="en-GB"/>
        </w:rPr>
        <w:footnoteReference w:id="1"/>
      </w:r>
      <w:r w:rsidR="00836D59" w:rsidRPr="00836D59">
        <w:rPr>
          <w:rFonts w:asciiTheme="minorHAnsi" w:hAnsiTheme="minorHAnsi"/>
          <w:lang w:val="en-GB"/>
        </w:rPr>
        <w:t xml:space="preserve"> </w:t>
      </w:r>
      <w:r w:rsidR="003B3C13" w:rsidRPr="00836D59">
        <w:rPr>
          <w:rFonts w:asciiTheme="minorHAnsi" w:hAnsiTheme="minorHAnsi"/>
          <w:lang w:val="en-GB"/>
        </w:rPr>
        <w:t xml:space="preserve">This paper builds on </w:t>
      </w:r>
      <w:r w:rsidR="00C91C47" w:rsidRPr="00836D59">
        <w:rPr>
          <w:rFonts w:asciiTheme="minorHAnsi" w:hAnsiTheme="minorHAnsi"/>
          <w:lang w:val="en-GB"/>
        </w:rPr>
        <w:t xml:space="preserve">conclusions of </w:t>
      </w:r>
      <w:r w:rsidR="003B3C13" w:rsidRPr="00836D59">
        <w:rPr>
          <w:rFonts w:asciiTheme="minorHAnsi" w:hAnsiTheme="minorHAnsi"/>
          <w:lang w:val="en-GB"/>
        </w:rPr>
        <w:t xml:space="preserve">a workshop </w:t>
      </w:r>
      <w:r w:rsidR="00E25721" w:rsidRPr="00836D59">
        <w:rPr>
          <w:rFonts w:asciiTheme="minorHAnsi" w:hAnsiTheme="minorHAnsi"/>
          <w:lang w:val="en-GB"/>
        </w:rPr>
        <w:t>at</w:t>
      </w:r>
      <w:r w:rsidR="00285733" w:rsidRPr="00836D59">
        <w:rPr>
          <w:rFonts w:asciiTheme="minorHAnsi" w:hAnsiTheme="minorHAnsi"/>
          <w:lang w:val="en-GB"/>
        </w:rPr>
        <w:t xml:space="preserve"> the WHO Region</w:t>
      </w:r>
      <w:r w:rsidR="001907F5" w:rsidRPr="00836D59">
        <w:rPr>
          <w:rFonts w:asciiTheme="minorHAnsi" w:hAnsiTheme="minorHAnsi"/>
          <w:lang w:val="en-GB"/>
        </w:rPr>
        <w:t>al Office for Europe</w:t>
      </w:r>
      <w:r w:rsidR="00285733" w:rsidRPr="00836D59">
        <w:rPr>
          <w:rFonts w:asciiTheme="minorHAnsi" w:hAnsiTheme="minorHAnsi"/>
          <w:lang w:val="en-GB"/>
        </w:rPr>
        <w:t xml:space="preserve"> </w:t>
      </w:r>
      <w:r w:rsidR="00E25721" w:rsidRPr="00836D59">
        <w:rPr>
          <w:rFonts w:asciiTheme="minorHAnsi" w:hAnsiTheme="minorHAnsi"/>
          <w:lang w:val="en-GB"/>
        </w:rPr>
        <w:t xml:space="preserve">that aimed </w:t>
      </w:r>
      <w:r w:rsidR="00271C69" w:rsidRPr="00836D59">
        <w:rPr>
          <w:rFonts w:asciiTheme="minorHAnsi" w:hAnsiTheme="minorHAnsi"/>
          <w:lang w:val="en-GB"/>
        </w:rPr>
        <w:t xml:space="preserve">to </w:t>
      </w:r>
      <w:r w:rsidR="00285733" w:rsidRPr="00836D59">
        <w:rPr>
          <w:rFonts w:asciiTheme="minorHAnsi" w:hAnsiTheme="minorHAnsi"/>
          <w:lang w:val="en-GB"/>
        </w:rPr>
        <w:t xml:space="preserve">inform policy-makers, funders, researchers and regulators </w:t>
      </w:r>
      <w:r w:rsidR="00CD5937" w:rsidRPr="00836D59">
        <w:rPr>
          <w:rFonts w:asciiTheme="minorHAnsi" w:hAnsiTheme="minorHAnsi"/>
          <w:lang w:val="en-GB"/>
        </w:rPr>
        <w:t xml:space="preserve">by </w:t>
      </w:r>
      <w:r w:rsidR="00285733" w:rsidRPr="00836D59">
        <w:rPr>
          <w:rFonts w:asciiTheme="minorHAnsi" w:hAnsiTheme="minorHAnsi"/>
          <w:lang w:val="en-GB"/>
        </w:rPr>
        <w:t>summari</w:t>
      </w:r>
      <w:r w:rsidR="00E135A6" w:rsidRPr="00836D59">
        <w:rPr>
          <w:rFonts w:asciiTheme="minorHAnsi" w:hAnsiTheme="minorHAnsi"/>
          <w:lang w:val="en-GB"/>
        </w:rPr>
        <w:t>z</w:t>
      </w:r>
      <w:r w:rsidR="00285733" w:rsidRPr="00836D59">
        <w:rPr>
          <w:rFonts w:asciiTheme="minorHAnsi" w:hAnsiTheme="minorHAnsi"/>
          <w:lang w:val="en-GB"/>
        </w:rPr>
        <w:t>ing</w:t>
      </w:r>
      <w:r w:rsidR="003B3C13" w:rsidRPr="00836D59">
        <w:rPr>
          <w:rFonts w:asciiTheme="minorHAnsi" w:hAnsiTheme="minorHAnsi"/>
          <w:lang w:val="en-GB"/>
        </w:rPr>
        <w:t xml:space="preserve"> </w:t>
      </w:r>
      <w:r w:rsidR="00CD5937" w:rsidRPr="00836D59">
        <w:rPr>
          <w:rFonts w:asciiTheme="minorHAnsi" w:hAnsiTheme="minorHAnsi"/>
          <w:lang w:val="en-GB"/>
        </w:rPr>
        <w:t xml:space="preserve">the </w:t>
      </w:r>
      <w:r w:rsidR="003B3C13" w:rsidRPr="00836D59">
        <w:rPr>
          <w:rFonts w:asciiTheme="minorHAnsi" w:hAnsiTheme="minorHAnsi"/>
          <w:lang w:val="en-GB"/>
        </w:rPr>
        <w:t xml:space="preserve">ethical and legal considerations researchers need to address in </w:t>
      </w:r>
      <w:r w:rsidR="00250DB0" w:rsidRPr="00836D59">
        <w:rPr>
          <w:rFonts w:asciiTheme="minorHAnsi" w:hAnsiTheme="minorHAnsi"/>
          <w:lang w:val="en-GB"/>
        </w:rPr>
        <w:t>study design</w:t>
      </w:r>
      <w:r w:rsidR="003B3C13" w:rsidRPr="00836D59">
        <w:rPr>
          <w:rFonts w:asciiTheme="minorHAnsi" w:hAnsiTheme="minorHAnsi"/>
          <w:lang w:val="en-GB"/>
        </w:rPr>
        <w:t>.</w:t>
      </w:r>
      <w:r w:rsidR="008B3EDD" w:rsidRPr="00836D59">
        <w:rPr>
          <w:rFonts w:asciiTheme="minorHAnsi" w:hAnsiTheme="minorHAnsi"/>
          <w:lang w:val="en-GB"/>
        </w:rPr>
        <w:t xml:space="preserve"> The workshop </w:t>
      </w:r>
      <w:r w:rsidR="00E62233" w:rsidRPr="00836D59">
        <w:rPr>
          <w:rFonts w:asciiTheme="minorHAnsi" w:hAnsiTheme="minorHAnsi"/>
          <w:lang w:val="en-GB"/>
        </w:rPr>
        <w:t>considered digital ethics guidance, E</w:t>
      </w:r>
      <w:r w:rsidR="0022341C" w:rsidRPr="00836D59">
        <w:rPr>
          <w:rFonts w:asciiTheme="minorHAnsi" w:hAnsiTheme="minorHAnsi"/>
          <w:lang w:val="en-GB"/>
        </w:rPr>
        <w:t xml:space="preserve">uropean </w:t>
      </w:r>
      <w:r w:rsidR="00E62233" w:rsidRPr="00836D59">
        <w:rPr>
          <w:rFonts w:asciiTheme="minorHAnsi" w:hAnsiTheme="minorHAnsi"/>
          <w:lang w:val="en-GB"/>
        </w:rPr>
        <w:t>U</w:t>
      </w:r>
      <w:r w:rsidR="0022341C" w:rsidRPr="00836D59">
        <w:rPr>
          <w:rFonts w:asciiTheme="minorHAnsi" w:hAnsiTheme="minorHAnsi"/>
          <w:lang w:val="en-GB"/>
        </w:rPr>
        <w:t>nion</w:t>
      </w:r>
      <w:r w:rsidR="00E62233" w:rsidRPr="00836D59">
        <w:rPr>
          <w:rFonts w:asciiTheme="minorHAnsi" w:hAnsiTheme="minorHAnsi"/>
          <w:lang w:val="en-GB"/>
        </w:rPr>
        <w:t xml:space="preserve"> law and terms and conditions of social media platforms</w:t>
      </w:r>
      <w:r w:rsidR="00CD5937" w:rsidRPr="00836D59">
        <w:rPr>
          <w:rFonts w:asciiTheme="minorHAnsi" w:hAnsiTheme="minorHAnsi"/>
          <w:lang w:val="en-GB"/>
        </w:rPr>
        <w:t>; it</w:t>
      </w:r>
      <w:r w:rsidR="00E62233" w:rsidRPr="00836D59">
        <w:rPr>
          <w:rFonts w:asciiTheme="minorHAnsi" w:hAnsiTheme="minorHAnsi"/>
          <w:lang w:val="en-GB"/>
        </w:rPr>
        <w:t xml:space="preserve"> </w:t>
      </w:r>
      <w:r w:rsidR="008B3EDD" w:rsidRPr="00836D59">
        <w:rPr>
          <w:rFonts w:asciiTheme="minorHAnsi" w:hAnsiTheme="minorHAnsi"/>
          <w:lang w:val="en-GB"/>
        </w:rPr>
        <w:t xml:space="preserve">concluded that such research can be carried out </w:t>
      </w:r>
      <w:r w:rsidR="005F276F" w:rsidRPr="00836D59">
        <w:rPr>
          <w:rFonts w:asciiTheme="minorHAnsi" w:hAnsiTheme="minorHAnsi"/>
          <w:lang w:val="en-GB"/>
        </w:rPr>
        <w:t>ethically</w:t>
      </w:r>
      <w:r w:rsidR="008B3EDD" w:rsidRPr="00836D59">
        <w:rPr>
          <w:rFonts w:asciiTheme="minorHAnsi" w:hAnsiTheme="minorHAnsi"/>
          <w:lang w:val="en-GB"/>
        </w:rPr>
        <w:t xml:space="preserve">, </w:t>
      </w:r>
      <w:r w:rsidR="00095F21" w:rsidRPr="00836D59">
        <w:rPr>
          <w:rFonts w:asciiTheme="minorHAnsi" w:hAnsiTheme="minorHAnsi"/>
          <w:lang w:val="en-GB"/>
        </w:rPr>
        <w:t>although</w:t>
      </w:r>
      <w:r w:rsidR="008B3EDD" w:rsidRPr="00836D59">
        <w:rPr>
          <w:rFonts w:asciiTheme="minorHAnsi" w:hAnsiTheme="minorHAnsi"/>
          <w:lang w:val="en-GB"/>
        </w:rPr>
        <w:t xml:space="preserve"> it is particularly important for stakeholders to make case-by-case assessments and </w:t>
      </w:r>
      <w:r w:rsidR="00B86451" w:rsidRPr="00836D59">
        <w:rPr>
          <w:rFonts w:asciiTheme="minorHAnsi" w:hAnsiTheme="minorHAnsi"/>
          <w:lang w:val="en-GB"/>
        </w:rPr>
        <w:t xml:space="preserve">to </w:t>
      </w:r>
      <w:r w:rsidR="008B3EDD" w:rsidRPr="00836D59">
        <w:rPr>
          <w:rFonts w:asciiTheme="minorHAnsi" w:hAnsiTheme="minorHAnsi"/>
          <w:lang w:val="en-GB"/>
        </w:rPr>
        <w:t>view consent as a</w:t>
      </w:r>
      <w:r w:rsidR="005F276F" w:rsidRPr="00836D59">
        <w:rPr>
          <w:rFonts w:asciiTheme="minorHAnsi" w:hAnsiTheme="minorHAnsi"/>
          <w:lang w:val="en-GB"/>
        </w:rPr>
        <w:t xml:space="preserve"> </w:t>
      </w:r>
      <w:r w:rsidR="00E70909" w:rsidRPr="00836D59">
        <w:rPr>
          <w:rFonts w:asciiTheme="minorHAnsi" w:hAnsiTheme="minorHAnsi"/>
          <w:lang w:val="en-GB"/>
        </w:rPr>
        <w:t xml:space="preserve">process. </w:t>
      </w:r>
      <w:r w:rsidR="00B86451" w:rsidRPr="00836D59">
        <w:rPr>
          <w:rFonts w:asciiTheme="minorHAnsi" w:hAnsiTheme="minorHAnsi"/>
          <w:lang w:val="en-GB"/>
        </w:rPr>
        <w:t xml:space="preserve">Nevertheless, the terms and conditions of </w:t>
      </w:r>
      <w:r w:rsidR="00E70909" w:rsidRPr="00836D59">
        <w:rPr>
          <w:rFonts w:asciiTheme="minorHAnsi" w:hAnsiTheme="minorHAnsi"/>
          <w:lang w:val="en-GB"/>
        </w:rPr>
        <w:t>digital platforms and app</w:t>
      </w:r>
      <w:r w:rsidR="00B86451" w:rsidRPr="00836D59">
        <w:rPr>
          <w:rFonts w:asciiTheme="minorHAnsi" w:hAnsiTheme="minorHAnsi"/>
          <w:lang w:val="en-GB"/>
        </w:rPr>
        <w:t>lication</w:t>
      </w:r>
      <w:r w:rsidR="00E70909" w:rsidRPr="00836D59">
        <w:rPr>
          <w:rFonts w:asciiTheme="minorHAnsi" w:hAnsiTheme="minorHAnsi"/>
          <w:lang w:val="en-GB"/>
        </w:rPr>
        <w:t>s present legal access</w:t>
      </w:r>
      <w:r w:rsidR="008B3EDD" w:rsidRPr="00836D59">
        <w:rPr>
          <w:rFonts w:asciiTheme="minorHAnsi" w:hAnsiTheme="minorHAnsi"/>
          <w:lang w:val="en-GB"/>
        </w:rPr>
        <w:t xml:space="preserve"> challenges.</w:t>
      </w:r>
    </w:p>
    <w:p w14:paraId="3D78BF9B" w14:textId="77777777" w:rsidR="006459A0" w:rsidRPr="00836D59" w:rsidRDefault="006459A0" w:rsidP="00F8080E">
      <w:pPr>
        <w:rPr>
          <w:rFonts w:asciiTheme="minorHAnsi" w:hAnsiTheme="minorHAnsi"/>
          <w:lang w:val="en-GB"/>
        </w:rPr>
      </w:pPr>
    </w:p>
    <w:p w14:paraId="079F760E" w14:textId="77777777" w:rsidR="00947625" w:rsidRPr="00836D59" w:rsidRDefault="00947625" w:rsidP="00F8080E">
      <w:pPr>
        <w:rPr>
          <w:rFonts w:asciiTheme="minorHAnsi" w:hAnsiTheme="minorHAnsi"/>
          <w:lang w:val="en-GB"/>
        </w:rPr>
      </w:pPr>
      <w:r w:rsidRPr="00836D59">
        <w:rPr>
          <w:rFonts w:asciiTheme="minorHAnsi" w:hAnsiTheme="minorHAnsi"/>
          <w:lang w:val="en-GB"/>
        </w:rPr>
        <w:br w:type="page"/>
      </w:r>
    </w:p>
    <w:p w14:paraId="01DBC45C" w14:textId="63C2C915" w:rsidR="008249F3" w:rsidRPr="00836D59" w:rsidRDefault="00912267" w:rsidP="00836D59">
      <w:pPr>
        <w:pStyle w:val="Heading1"/>
        <w:spacing w:line="360" w:lineRule="auto"/>
        <w:rPr>
          <w:rFonts w:asciiTheme="minorHAnsi" w:hAnsiTheme="minorHAnsi"/>
          <w:lang w:val="en-GB"/>
        </w:rPr>
      </w:pPr>
      <w:r w:rsidRPr="00836D59">
        <w:rPr>
          <w:rFonts w:asciiTheme="minorHAnsi" w:hAnsiTheme="minorHAnsi"/>
          <w:lang w:val="en-GB"/>
        </w:rPr>
        <w:lastRenderedPageBreak/>
        <w:t>Background</w:t>
      </w:r>
    </w:p>
    <w:p w14:paraId="3B6DA224" w14:textId="78CB3BDB" w:rsidR="00E65AF3" w:rsidRPr="00836D59" w:rsidRDefault="001D71BA" w:rsidP="00836D59">
      <w:pPr>
        <w:spacing w:line="360" w:lineRule="auto"/>
        <w:rPr>
          <w:rFonts w:asciiTheme="minorHAnsi" w:hAnsiTheme="minorHAnsi"/>
          <w:lang w:val="en-GB"/>
        </w:rPr>
      </w:pPr>
      <w:r w:rsidRPr="00836D59">
        <w:rPr>
          <w:rFonts w:asciiTheme="minorHAnsi" w:hAnsiTheme="minorHAnsi"/>
          <w:lang w:val="en-GB"/>
        </w:rPr>
        <w:t>WHO</w:t>
      </w:r>
      <w:r w:rsidR="00624F81" w:rsidRPr="00836D59">
        <w:rPr>
          <w:rFonts w:asciiTheme="minorHAnsi" w:hAnsiTheme="minorHAnsi"/>
          <w:lang w:val="en-GB"/>
        </w:rPr>
        <w:t>’</w:t>
      </w:r>
      <w:r w:rsidR="00746435" w:rsidRPr="00836D59">
        <w:rPr>
          <w:rFonts w:asciiTheme="minorHAnsi" w:hAnsiTheme="minorHAnsi"/>
          <w:lang w:val="en-GB"/>
        </w:rPr>
        <w:t xml:space="preserve">s </w:t>
      </w:r>
      <w:r w:rsidR="006459A0" w:rsidRPr="00836D59">
        <w:rPr>
          <w:rFonts w:asciiTheme="minorHAnsi" w:hAnsiTheme="minorHAnsi"/>
          <w:lang w:val="en-GB"/>
        </w:rPr>
        <w:t xml:space="preserve">Commission on Ending Childhood Obesity </w:t>
      </w:r>
      <w:r w:rsidR="00B97BDF" w:rsidRPr="00836D59">
        <w:rPr>
          <w:rFonts w:asciiTheme="minorHAnsi" w:hAnsiTheme="minorHAnsi"/>
          <w:i/>
          <w:lang w:val="en-GB"/>
        </w:rPr>
        <w:t>(</w:t>
      </w:r>
      <w:r w:rsidR="00CB7159" w:rsidRPr="00836D59">
        <w:rPr>
          <w:rFonts w:asciiTheme="minorHAnsi" w:hAnsiTheme="minorHAnsi"/>
          <w:i/>
          <w:lang w:val="en-GB"/>
        </w:rPr>
        <w:t>1)</w:t>
      </w:r>
      <w:r w:rsidR="00CB7159" w:rsidRPr="00836D59">
        <w:rPr>
          <w:rFonts w:asciiTheme="minorHAnsi" w:hAnsiTheme="minorHAnsi"/>
          <w:lang w:val="en-GB"/>
        </w:rPr>
        <w:t xml:space="preserve"> </w:t>
      </w:r>
      <w:r w:rsidR="00A14DE1" w:rsidRPr="00836D59">
        <w:rPr>
          <w:rFonts w:asciiTheme="minorHAnsi" w:hAnsiTheme="minorHAnsi"/>
          <w:lang w:val="en-GB"/>
        </w:rPr>
        <w:t>called for reductions in children</w:t>
      </w:r>
      <w:r w:rsidR="00624F81" w:rsidRPr="00836D59">
        <w:rPr>
          <w:rFonts w:asciiTheme="minorHAnsi" w:hAnsiTheme="minorHAnsi"/>
          <w:lang w:val="en-GB"/>
        </w:rPr>
        <w:t>’</w:t>
      </w:r>
      <w:r w:rsidR="00A14DE1" w:rsidRPr="00836D59">
        <w:rPr>
          <w:rFonts w:asciiTheme="minorHAnsi" w:hAnsiTheme="minorHAnsi"/>
          <w:lang w:val="en-GB"/>
        </w:rPr>
        <w:t>s exposure</w:t>
      </w:r>
      <w:r w:rsidR="00937A69" w:rsidRPr="00836D59">
        <w:rPr>
          <w:rFonts w:asciiTheme="minorHAnsi" w:hAnsiTheme="minorHAnsi"/>
          <w:lang w:val="en-GB"/>
        </w:rPr>
        <w:t xml:space="preserve"> </w:t>
      </w:r>
      <w:r w:rsidR="00A14DE1" w:rsidRPr="00836D59">
        <w:rPr>
          <w:rFonts w:asciiTheme="minorHAnsi" w:hAnsiTheme="minorHAnsi"/>
          <w:lang w:val="en-GB"/>
        </w:rPr>
        <w:t xml:space="preserve">to </w:t>
      </w:r>
      <w:r w:rsidR="00995F23" w:rsidRPr="00836D59">
        <w:rPr>
          <w:rFonts w:asciiTheme="minorHAnsi" w:hAnsiTheme="minorHAnsi"/>
          <w:lang w:val="en-GB"/>
        </w:rPr>
        <w:t>marketing of</w:t>
      </w:r>
      <w:r w:rsidR="0022341C" w:rsidRPr="00836D59">
        <w:rPr>
          <w:rFonts w:asciiTheme="minorHAnsi" w:hAnsiTheme="minorHAnsi"/>
          <w:lang w:val="en-GB"/>
        </w:rPr>
        <w:t xml:space="preserve"> foods and non-alcoholic beverages high in saturated fat, salt and/or free sugars (HFSS) </w:t>
      </w:r>
      <w:r w:rsidR="00A14DE1" w:rsidRPr="00836D59">
        <w:rPr>
          <w:rFonts w:asciiTheme="minorHAnsi" w:hAnsiTheme="minorHAnsi"/>
          <w:lang w:val="en-GB"/>
        </w:rPr>
        <w:t xml:space="preserve">in all media and </w:t>
      </w:r>
      <w:r w:rsidR="00CA2A84" w:rsidRPr="00836D59">
        <w:rPr>
          <w:rFonts w:asciiTheme="minorHAnsi" w:hAnsiTheme="minorHAnsi"/>
          <w:lang w:val="en-GB"/>
        </w:rPr>
        <w:t xml:space="preserve">for </w:t>
      </w:r>
      <w:r w:rsidR="00A14DE1" w:rsidRPr="00836D59">
        <w:rPr>
          <w:rFonts w:asciiTheme="minorHAnsi" w:hAnsiTheme="minorHAnsi"/>
          <w:lang w:val="en-GB"/>
        </w:rPr>
        <w:t xml:space="preserve">the closing of regulatory loopholes </w:t>
      </w:r>
      <w:r w:rsidR="000455CC" w:rsidRPr="00836D59">
        <w:rPr>
          <w:rFonts w:asciiTheme="minorHAnsi" w:hAnsiTheme="minorHAnsi"/>
          <w:lang w:val="en-GB"/>
        </w:rPr>
        <w:t xml:space="preserve">to fully implement </w:t>
      </w:r>
      <w:r w:rsidR="00B97BDF" w:rsidRPr="00836D59">
        <w:rPr>
          <w:rFonts w:asciiTheme="minorHAnsi" w:hAnsiTheme="minorHAnsi"/>
          <w:lang w:val="en-GB"/>
        </w:rPr>
        <w:t xml:space="preserve">the </w:t>
      </w:r>
      <w:r w:rsidR="000A4863" w:rsidRPr="00836D59">
        <w:rPr>
          <w:rFonts w:asciiTheme="minorHAnsi" w:hAnsiTheme="minorHAnsi"/>
          <w:lang w:val="en-GB"/>
        </w:rPr>
        <w:t xml:space="preserve">WHO </w:t>
      </w:r>
      <w:r w:rsidR="006506B7" w:rsidRPr="00836D59">
        <w:rPr>
          <w:rFonts w:asciiTheme="minorHAnsi" w:hAnsiTheme="minorHAnsi"/>
          <w:lang w:val="en-GB"/>
        </w:rPr>
        <w:t>r</w:t>
      </w:r>
      <w:r w:rsidR="00B97BDF" w:rsidRPr="00836D59">
        <w:rPr>
          <w:rFonts w:asciiTheme="minorHAnsi" w:hAnsiTheme="minorHAnsi"/>
          <w:lang w:val="en-GB"/>
        </w:rPr>
        <w:t xml:space="preserve">ecommendations </w:t>
      </w:r>
      <w:r w:rsidR="0027714F" w:rsidRPr="00836D59">
        <w:rPr>
          <w:rFonts w:asciiTheme="minorHAnsi" w:hAnsiTheme="minorHAnsi"/>
          <w:lang w:val="en-GB"/>
        </w:rPr>
        <w:t>on marketing</w:t>
      </w:r>
      <w:r w:rsidR="006506B7" w:rsidRPr="00836D59">
        <w:rPr>
          <w:rFonts w:asciiTheme="minorHAnsi" w:hAnsiTheme="minorHAnsi"/>
          <w:lang w:val="en-GB"/>
        </w:rPr>
        <w:t xml:space="preserve"> of</w:t>
      </w:r>
      <w:r w:rsidR="0027714F" w:rsidRPr="00836D59">
        <w:rPr>
          <w:rFonts w:asciiTheme="minorHAnsi" w:hAnsiTheme="minorHAnsi"/>
          <w:lang w:val="en-GB"/>
        </w:rPr>
        <w:t xml:space="preserve"> food and non-alcoholic beverages to children</w:t>
      </w:r>
      <w:r w:rsidR="00A43A19" w:rsidRPr="00836D59">
        <w:rPr>
          <w:rFonts w:asciiTheme="minorHAnsi" w:hAnsiTheme="minorHAnsi"/>
          <w:lang w:val="en-GB"/>
        </w:rPr>
        <w:t xml:space="preserve"> </w:t>
      </w:r>
      <w:r w:rsidR="00A43A19" w:rsidRPr="00836D59">
        <w:rPr>
          <w:rFonts w:asciiTheme="minorHAnsi" w:hAnsiTheme="minorHAnsi"/>
          <w:i/>
          <w:lang w:val="en-GB"/>
        </w:rPr>
        <w:t>(</w:t>
      </w:r>
      <w:r w:rsidR="00CB7159" w:rsidRPr="00836D59">
        <w:rPr>
          <w:rFonts w:asciiTheme="minorHAnsi" w:hAnsiTheme="minorHAnsi"/>
          <w:i/>
          <w:lang w:val="en-GB"/>
        </w:rPr>
        <w:t>2</w:t>
      </w:r>
      <w:r w:rsidR="00A43A19" w:rsidRPr="00836D59">
        <w:rPr>
          <w:rFonts w:asciiTheme="minorHAnsi" w:hAnsiTheme="minorHAnsi"/>
          <w:i/>
          <w:lang w:val="en-GB"/>
        </w:rPr>
        <w:t>)</w:t>
      </w:r>
      <w:r w:rsidR="00BE0CC9" w:rsidRPr="00836D59">
        <w:rPr>
          <w:rFonts w:asciiTheme="minorHAnsi" w:hAnsiTheme="minorHAnsi"/>
          <w:lang w:val="en-GB"/>
        </w:rPr>
        <w:t xml:space="preserve">. The Commission made this </w:t>
      </w:r>
      <w:r w:rsidR="00501CD2" w:rsidRPr="00836D59">
        <w:rPr>
          <w:rFonts w:asciiTheme="minorHAnsi" w:hAnsiTheme="minorHAnsi"/>
          <w:lang w:val="en-GB"/>
        </w:rPr>
        <w:t>call</w:t>
      </w:r>
      <w:r w:rsidR="005A5527" w:rsidRPr="00836D59">
        <w:rPr>
          <w:rFonts w:asciiTheme="minorHAnsi" w:hAnsiTheme="minorHAnsi"/>
          <w:lang w:val="en-GB"/>
        </w:rPr>
        <w:t xml:space="preserve"> </w:t>
      </w:r>
      <w:r w:rsidR="000A4863" w:rsidRPr="00836D59">
        <w:rPr>
          <w:rFonts w:asciiTheme="minorHAnsi" w:hAnsiTheme="minorHAnsi"/>
          <w:lang w:val="en-GB"/>
        </w:rPr>
        <w:t>in light of unequivocal evidence that marketing influences</w:t>
      </w:r>
      <w:r w:rsidR="000455CC" w:rsidRPr="00836D59">
        <w:rPr>
          <w:rFonts w:asciiTheme="minorHAnsi" w:hAnsiTheme="minorHAnsi"/>
          <w:lang w:val="en-GB"/>
        </w:rPr>
        <w:t xml:space="preserve"> dietary preferences, behaviours and</w:t>
      </w:r>
      <w:r w:rsidR="000A4863" w:rsidRPr="00836D59">
        <w:rPr>
          <w:rFonts w:asciiTheme="minorHAnsi" w:hAnsiTheme="minorHAnsi"/>
          <w:lang w:val="en-GB"/>
        </w:rPr>
        <w:t xml:space="preserve"> childhood obesity, with implications for children</w:t>
      </w:r>
      <w:r w:rsidR="00624F81" w:rsidRPr="00836D59">
        <w:rPr>
          <w:rFonts w:asciiTheme="minorHAnsi" w:hAnsiTheme="minorHAnsi"/>
          <w:lang w:val="en-GB"/>
        </w:rPr>
        <w:t>’</w:t>
      </w:r>
      <w:r w:rsidR="000A4863" w:rsidRPr="00836D59">
        <w:rPr>
          <w:rFonts w:asciiTheme="minorHAnsi" w:hAnsiTheme="minorHAnsi"/>
          <w:lang w:val="en-GB"/>
        </w:rPr>
        <w:t xml:space="preserve">s health and rights </w:t>
      </w:r>
      <w:r w:rsidR="000A4863" w:rsidRPr="00836D59">
        <w:rPr>
          <w:rFonts w:asciiTheme="minorHAnsi" w:hAnsiTheme="minorHAnsi"/>
          <w:i/>
          <w:lang w:val="en-GB"/>
        </w:rPr>
        <w:t>(</w:t>
      </w:r>
      <w:r w:rsidR="00CB7159" w:rsidRPr="00836D59">
        <w:rPr>
          <w:rFonts w:asciiTheme="minorHAnsi" w:hAnsiTheme="minorHAnsi"/>
          <w:i/>
          <w:lang w:val="en-GB"/>
        </w:rPr>
        <w:t>3</w:t>
      </w:r>
      <w:r w:rsidR="00D829F1" w:rsidRPr="00836D59">
        <w:rPr>
          <w:rFonts w:asciiTheme="minorHAnsi" w:hAnsiTheme="minorHAnsi"/>
          <w:i/>
          <w:lang w:val="en-GB"/>
        </w:rPr>
        <w:t>)</w:t>
      </w:r>
      <w:r w:rsidR="009239AE" w:rsidRPr="00836D59">
        <w:rPr>
          <w:rFonts w:asciiTheme="minorHAnsi" w:hAnsiTheme="minorHAnsi"/>
          <w:i/>
          <w:lang w:val="en-GB"/>
        </w:rPr>
        <w:t>.</w:t>
      </w:r>
      <w:r w:rsidR="00D829F1" w:rsidRPr="00836D59">
        <w:rPr>
          <w:rStyle w:val="FootnoteReference"/>
          <w:rFonts w:asciiTheme="minorHAnsi" w:hAnsiTheme="minorHAnsi"/>
          <w:lang w:val="en-GB"/>
        </w:rPr>
        <w:footnoteReference w:id="2"/>
      </w:r>
      <w:r w:rsidR="00965F90" w:rsidRPr="00836D59">
        <w:rPr>
          <w:rFonts w:asciiTheme="minorHAnsi" w:hAnsiTheme="minorHAnsi"/>
          <w:lang w:val="en-GB"/>
        </w:rPr>
        <w:t xml:space="preserve"> </w:t>
      </w:r>
    </w:p>
    <w:p w14:paraId="0FA7640F" w14:textId="3B4FA192" w:rsidR="004751A3" w:rsidRPr="00836D59" w:rsidRDefault="00501541" w:rsidP="00836D59">
      <w:pPr>
        <w:spacing w:line="360" w:lineRule="auto"/>
        <w:rPr>
          <w:rFonts w:asciiTheme="minorHAnsi" w:hAnsiTheme="minorHAnsi"/>
          <w:lang w:val="en-GB"/>
        </w:rPr>
      </w:pPr>
      <w:r w:rsidRPr="00836D59">
        <w:rPr>
          <w:rFonts w:asciiTheme="minorHAnsi" w:hAnsiTheme="minorHAnsi"/>
          <w:lang w:val="en-GB"/>
        </w:rPr>
        <w:t>In</w:t>
      </w:r>
      <w:r w:rsidR="000455CC" w:rsidRPr="00836D59">
        <w:rPr>
          <w:rFonts w:asciiTheme="minorHAnsi" w:hAnsiTheme="minorHAnsi"/>
          <w:lang w:val="en-GB"/>
        </w:rPr>
        <w:t xml:space="preserve"> recent years</w:t>
      </w:r>
      <w:r w:rsidR="00501CD2" w:rsidRPr="00836D59">
        <w:rPr>
          <w:rFonts w:asciiTheme="minorHAnsi" w:hAnsiTheme="minorHAnsi"/>
          <w:lang w:val="en-GB"/>
        </w:rPr>
        <w:t>,</w:t>
      </w:r>
      <w:r w:rsidRPr="00836D59">
        <w:rPr>
          <w:rFonts w:asciiTheme="minorHAnsi" w:hAnsiTheme="minorHAnsi"/>
          <w:lang w:val="en-GB"/>
        </w:rPr>
        <w:t xml:space="preserve"> </w:t>
      </w:r>
      <w:r w:rsidR="000455CC" w:rsidRPr="00836D59">
        <w:rPr>
          <w:rFonts w:asciiTheme="minorHAnsi" w:hAnsiTheme="minorHAnsi"/>
          <w:lang w:val="en-GB"/>
        </w:rPr>
        <w:t>children</w:t>
      </w:r>
      <w:r w:rsidR="00624F81" w:rsidRPr="00836D59">
        <w:rPr>
          <w:rFonts w:asciiTheme="minorHAnsi" w:hAnsiTheme="minorHAnsi"/>
          <w:lang w:val="en-GB"/>
        </w:rPr>
        <w:t>’</w:t>
      </w:r>
      <w:r w:rsidR="000455CC" w:rsidRPr="00836D59">
        <w:rPr>
          <w:rFonts w:asciiTheme="minorHAnsi" w:hAnsiTheme="minorHAnsi"/>
          <w:lang w:val="en-GB"/>
        </w:rPr>
        <w:t xml:space="preserve">s </w:t>
      </w:r>
      <w:r w:rsidRPr="00836D59">
        <w:rPr>
          <w:rFonts w:asciiTheme="minorHAnsi" w:hAnsiTheme="minorHAnsi"/>
          <w:lang w:val="en-GB"/>
        </w:rPr>
        <w:t>digital media</w:t>
      </w:r>
      <w:r w:rsidR="000455CC" w:rsidRPr="00836D59">
        <w:rPr>
          <w:rFonts w:asciiTheme="minorHAnsi" w:hAnsiTheme="minorHAnsi"/>
          <w:lang w:val="en-GB"/>
        </w:rPr>
        <w:t xml:space="preserve"> </w:t>
      </w:r>
      <w:r w:rsidR="005A5527" w:rsidRPr="00836D59">
        <w:rPr>
          <w:rFonts w:asciiTheme="minorHAnsi" w:hAnsiTheme="minorHAnsi"/>
          <w:lang w:val="en-GB"/>
        </w:rPr>
        <w:t xml:space="preserve">use </w:t>
      </w:r>
      <w:r w:rsidR="000455CC" w:rsidRPr="00836D59">
        <w:rPr>
          <w:rFonts w:asciiTheme="minorHAnsi" w:hAnsiTheme="minorHAnsi"/>
          <w:lang w:val="en-GB"/>
        </w:rPr>
        <w:t xml:space="preserve">has expanded greatly, but policies to address marketing </w:t>
      </w:r>
      <w:r w:rsidR="002D5A7C" w:rsidRPr="00836D59">
        <w:rPr>
          <w:rFonts w:asciiTheme="minorHAnsi" w:hAnsiTheme="minorHAnsi"/>
          <w:lang w:val="en-GB"/>
        </w:rPr>
        <w:t xml:space="preserve">in these media </w:t>
      </w:r>
      <w:r w:rsidR="002C6023" w:rsidRPr="00836D59">
        <w:rPr>
          <w:rFonts w:asciiTheme="minorHAnsi" w:hAnsiTheme="minorHAnsi"/>
          <w:lang w:val="en-GB"/>
        </w:rPr>
        <w:t>have</w:t>
      </w:r>
      <w:r w:rsidR="000455CC" w:rsidRPr="00836D59">
        <w:rPr>
          <w:rFonts w:asciiTheme="minorHAnsi" w:hAnsiTheme="minorHAnsi"/>
          <w:lang w:val="en-GB"/>
        </w:rPr>
        <w:t xml:space="preserve"> lagged behind those </w:t>
      </w:r>
      <w:r w:rsidR="008447C3" w:rsidRPr="00836D59">
        <w:rPr>
          <w:rFonts w:asciiTheme="minorHAnsi" w:hAnsiTheme="minorHAnsi"/>
          <w:lang w:val="en-GB"/>
        </w:rPr>
        <w:t>addressing</w:t>
      </w:r>
      <w:r w:rsidR="002D5A7C" w:rsidRPr="00836D59">
        <w:rPr>
          <w:rFonts w:asciiTheme="minorHAnsi" w:hAnsiTheme="minorHAnsi"/>
          <w:lang w:val="en-GB"/>
        </w:rPr>
        <w:t xml:space="preserve"> marketing in</w:t>
      </w:r>
      <w:r w:rsidR="000455CC" w:rsidRPr="00836D59">
        <w:rPr>
          <w:rFonts w:asciiTheme="minorHAnsi" w:hAnsiTheme="minorHAnsi"/>
          <w:lang w:val="en-GB"/>
        </w:rPr>
        <w:t xml:space="preserve"> </w:t>
      </w:r>
      <w:r w:rsidR="00624F81" w:rsidRPr="00836D59">
        <w:rPr>
          <w:rFonts w:asciiTheme="minorHAnsi" w:hAnsiTheme="minorHAnsi"/>
          <w:lang w:val="en-GB"/>
        </w:rPr>
        <w:t>“</w:t>
      </w:r>
      <w:r w:rsidR="000455CC" w:rsidRPr="00836D59">
        <w:rPr>
          <w:rFonts w:asciiTheme="minorHAnsi" w:hAnsiTheme="minorHAnsi"/>
          <w:lang w:val="en-GB"/>
        </w:rPr>
        <w:t>offline</w:t>
      </w:r>
      <w:r w:rsidR="00624F81" w:rsidRPr="00836D59">
        <w:rPr>
          <w:rFonts w:asciiTheme="minorHAnsi" w:hAnsiTheme="minorHAnsi"/>
          <w:lang w:val="en-GB"/>
        </w:rPr>
        <w:t>”</w:t>
      </w:r>
      <w:r w:rsidR="000455CC" w:rsidRPr="00836D59">
        <w:rPr>
          <w:rFonts w:asciiTheme="minorHAnsi" w:hAnsiTheme="minorHAnsi"/>
          <w:lang w:val="en-GB"/>
        </w:rPr>
        <w:t xml:space="preserve"> traditional broadcast media.</w:t>
      </w:r>
      <w:r w:rsidR="00DC4D00" w:rsidRPr="00836D59">
        <w:rPr>
          <w:rFonts w:asciiTheme="minorHAnsi" w:hAnsiTheme="minorHAnsi"/>
          <w:lang w:val="en-GB"/>
        </w:rPr>
        <w:t xml:space="preserve"> Indeed, existing policies (both regulatory and self-regulatory) have been criticized for weak controls over digital marketing</w:t>
      </w:r>
      <w:r w:rsidR="003911FC" w:rsidRPr="00836D59">
        <w:rPr>
          <w:rFonts w:asciiTheme="minorHAnsi" w:hAnsiTheme="minorHAnsi"/>
          <w:lang w:val="en-GB"/>
        </w:rPr>
        <w:t xml:space="preserve"> </w:t>
      </w:r>
      <w:r w:rsidR="003911FC" w:rsidRPr="00836D59">
        <w:rPr>
          <w:rFonts w:asciiTheme="minorHAnsi" w:hAnsiTheme="minorHAnsi"/>
          <w:i/>
          <w:lang w:val="en-GB"/>
        </w:rPr>
        <w:t>(3)</w:t>
      </w:r>
      <w:r w:rsidR="00DC4D00" w:rsidRPr="00836D59">
        <w:rPr>
          <w:rFonts w:asciiTheme="minorHAnsi" w:hAnsiTheme="minorHAnsi"/>
          <w:lang w:val="en-GB"/>
        </w:rPr>
        <w:t>.</w:t>
      </w:r>
      <w:r w:rsidRPr="00836D59">
        <w:rPr>
          <w:rFonts w:asciiTheme="minorHAnsi" w:hAnsiTheme="minorHAnsi"/>
          <w:lang w:val="en-GB"/>
        </w:rPr>
        <w:t xml:space="preserve"> Online </w:t>
      </w:r>
      <w:r w:rsidR="00501CD2" w:rsidRPr="00836D59">
        <w:rPr>
          <w:rFonts w:asciiTheme="minorHAnsi" w:hAnsiTheme="minorHAnsi"/>
          <w:lang w:val="en-GB"/>
        </w:rPr>
        <w:t>b</w:t>
      </w:r>
      <w:r w:rsidRPr="00836D59">
        <w:rPr>
          <w:rFonts w:asciiTheme="minorHAnsi" w:hAnsiTheme="minorHAnsi"/>
          <w:lang w:val="en-GB"/>
        </w:rPr>
        <w:t xml:space="preserve">ehavioural </w:t>
      </w:r>
      <w:r w:rsidR="00501CD2" w:rsidRPr="00836D59">
        <w:rPr>
          <w:rFonts w:asciiTheme="minorHAnsi" w:hAnsiTheme="minorHAnsi"/>
          <w:lang w:val="en-GB"/>
        </w:rPr>
        <w:t>a</w:t>
      </w:r>
      <w:r w:rsidRPr="00836D59">
        <w:rPr>
          <w:rFonts w:asciiTheme="minorHAnsi" w:hAnsiTheme="minorHAnsi"/>
          <w:lang w:val="en-GB"/>
        </w:rPr>
        <w:t>dvertising</w:t>
      </w:r>
      <w:r w:rsidR="00DC4D00" w:rsidRPr="00836D59">
        <w:rPr>
          <w:rFonts w:asciiTheme="minorHAnsi" w:hAnsiTheme="minorHAnsi"/>
          <w:lang w:val="en-GB"/>
        </w:rPr>
        <w:t xml:space="preserve">, which permits advertisers to target individuals more effectively, is facilitated by </w:t>
      </w:r>
      <w:r w:rsidRPr="00836D59">
        <w:rPr>
          <w:rFonts w:asciiTheme="minorHAnsi" w:hAnsiTheme="minorHAnsi"/>
          <w:lang w:val="en-GB"/>
        </w:rPr>
        <w:t>collect</w:t>
      </w:r>
      <w:r w:rsidR="00DC4D00" w:rsidRPr="00836D59">
        <w:rPr>
          <w:rFonts w:asciiTheme="minorHAnsi" w:hAnsiTheme="minorHAnsi"/>
          <w:lang w:val="en-GB"/>
        </w:rPr>
        <w:t>i</w:t>
      </w:r>
      <w:r w:rsidR="00864EB1" w:rsidRPr="00836D59">
        <w:rPr>
          <w:rFonts w:asciiTheme="minorHAnsi" w:hAnsiTheme="minorHAnsi"/>
          <w:lang w:val="en-GB"/>
        </w:rPr>
        <w:t xml:space="preserve">ng </w:t>
      </w:r>
      <w:r w:rsidRPr="00836D59">
        <w:rPr>
          <w:rFonts w:asciiTheme="minorHAnsi" w:hAnsiTheme="minorHAnsi"/>
          <w:lang w:val="en-GB"/>
        </w:rPr>
        <w:t xml:space="preserve">extensive personal data from </w:t>
      </w:r>
      <w:r w:rsidR="00501CD2" w:rsidRPr="00836D59">
        <w:rPr>
          <w:rFonts w:asciiTheme="minorHAnsi" w:hAnsiTheme="minorHAnsi"/>
          <w:lang w:val="en-GB"/>
        </w:rPr>
        <w:t>I</w:t>
      </w:r>
      <w:r w:rsidRPr="00836D59">
        <w:rPr>
          <w:rFonts w:asciiTheme="minorHAnsi" w:hAnsiTheme="minorHAnsi"/>
          <w:lang w:val="en-GB"/>
        </w:rPr>
        <w:t>nternet users</w:t>
      </w:r>
      <w:r w:rsidR="00501CD2" w:rsidRPr="00836D59">
        <w:rPr>
          <w:rFonts w:asciiTheme="minorHAnsi" w:hAnsiTheme="minorHAnsi"/>
          <w:lang w:val="en-GB"/>
        </w:rPr>
        <w:t>,</w:t>
      </w:r>
      <w:r w:rsidR="00864EB1" w:rsidRPr="00836D59">
        <w:rPr>
          <w:rFonts w:asciiTheme="minorHAnsi" w:hAnsiTheme="minorHAnsi"/>
          <w:lang w:val="en-GB"/>
        </w:rPr>
        <w:t xml:space="preserve"> with </w:t>
      </w:r>
      <w:r w:rsidRPr="00836D59">
        <w:rPr>
          <w:rFonts w:asciiTheme="minorHAnsi" w:hAnsiTheme="minorHAnsi"/>
          <w:lang w:val="en-GB"/>
        </w:rPr>
        <w:t>fine-grained analyses of</w:t>
      </w:r>
      <w:r w:rsidR="004A76A9" w:rsidRPr="00836D59">
        <w:rPr>
          <w:rFonts w:asciiTheme="minorHAnsi" w:hAnsiTheme="minorHAnsi"/>
          <w:lang w:val="en-GB"/>
        </w:rPr>
        <w:t xml:space="preserve"> </w:t>
      </w:r>
      <w:r w:rsidR="009426B7" w:rsidRPr="00836D59">
        <w:rPr>
          <w:rFonts w:asciiTheme="minorHAnsi" w:hAnsiTheme="minorHAnsi"/>
          <w:lang w:val="en-GB"/>
        </w:rPr>
        <w:t xml:space="preserve">users’ HFSS </w:t>
      </w:r>
      <w:r w:rsidR="004A76A9" w:rsidRPr="00836D59">
        <w:rPr>
          <w:rFonts w:asciiTheme="minorHAnsi" w:hAnsiTheme="minorHAnsi"/>
          <w:lang w:val="en-GB"/>
        </w:rPr>
        <w:t xml:space="preserve">exposure and responses. </w:t>
      </w:r>
      <w:r w:rsidR="00207F79" w:rsidRPr="00836D59">
        <w:rPr>
          <w:rFonts w:asciiTheme="minorHAnsi" w:hAnsiTheme="minorHAnsi"/>
          <w:lang w:val="en-GB"/>
        </w:rPr>
        <w:t>There is currently little effective regulation to protect children</w:t>
      </w:r>
      <w:r w:rsidR="004B2357" w:rsidRPr="00836D59">
        <w:rPr>
          <w:rFonts w:asciiTheme="minorHAnsi" w:hAnsiTheme="minorHAnsi"/>
          <w:lang w:val="en-GB"/>
        </w:rPr>
        <w:t xml:space="preserve"> –</w:t>
      </w:r>
      <w:r w:rsidR="00207F79" w:rsidRPr="00836D59">
        <w:rPr>
          <w:rFonts w:asciiTheme="minorHAnsi" w:hAnsiTheme="minorHAnsi"/>
          <w:lang w:val="en-GB"/>
        </w:rPr>
        <w:t xml:space="preserve"> particularly adolescents</w:t>
      </w:r>
      <w:r w:rsidR="004B2357" w:rsidRPr="00836D59">
        <w:rPr>
          <w:rFonts w:asciiTheme="minorHAnsi" w:hAnsiTheme="minorHAnsi"/>
          <w:lang w:val="en-GB"/>
        </w:rPr>
        <w:t xml:space="preserve"> –</w:t>
      </w:r>
      <w:r w:rsidR="00207F79" w:rsidRPr="00836D59">
        <w:rPr>
          <w:rFonts w:asciiTheme="minorHAnsi" w:hAnsiTheme="minorHAnsi"/>
          <w:lang w:val="en-GB"/>
        </w:rPr>
        <w:t xml:space="preserve"> fro</w:t>
      </w:r>
      <w:r w:rsidR="00EE4F20" w:rsidRPr="00836D59">
        <w:rPr>
          <w:rFonts w:asciiTheme="minorHAnsi" w:hAnsiTheme="minorHAnsi"/>
          <w:lang w:val="en-GB"/>
        </w:rPr>
        <w:t xml:space="preserve">m </w:t>
      </w:r>
      <w:r w:rsidR="009721FE" w:rsidRPr="00836D59">
        <w:rPr>
          <w:rFonts w:asciiTheme="minorHAnsi" w:hAnsiTheme="minorHAnsi"/>
          <w:lang w:val="en-GB"/>
        </w:rPr>
        <w:t xml:space="preserve">digital </w:t>
      </w:r>
      <w:r w:rsidR="00EE4F20" w:rsidRPr="00836D59">
        <w:rPr>
          <w:rFonts w:asciiTheme="minorHAnsi" w:hAnsiTheme="minorHAnsi"/>
          <w:lang w:val="en-GB"/>
        </w:rPr>
        <w:t>HFSS</w:t>
      </w:r>
      <w:r w:rsidR="00DC4D00" w:rsidRPr="00836D59">
        <w:rPr>
          <w:rFonts w:asciiTheme="minorHAnsi" w:hAnsiTheme="minorHAnsi"/>
          <w:lang w:val="en-GB"/>
        </w:rPr>
        <w:t xml:space="preserve"> </w:t>
      </w:r>
      <w:r w:rsidR="00EE4F20" w:rsidRPr="00836D59">
        <w:rPr>
          <w:rFonts w:asciiTheme="minorHAnsi" w:hAnsiTheme="minorHAnsi"/>
          <w:lang w:val="en-GB"/>
        </w:rPr>
        <w:t xml:space="preserve">behavioural advertising </w:t>
      </w:r>
      <w:r w:rsidR="00EE4F20" w:rsidRPr="00836D59">
        <w:rPr>
          <w:rFonts w:asciiTheme="minorHAnsi" w:hAnsiTheme="minorHAnsi"/>
          <w:i/>
          <w:lang w:val="en-GB"/>
        </w:rPr>
        <w:t>(</w:t>
      </w:r>
      <w:r w:rsidR="00CB7159" w:rsidRPr="00836D59">
        <w:rPr>
          <w:rFonts w:asciiTheme="minorHAnsi" w:hAnsiTheme="minorHAnsi"/>
          <w:i/>
          <w:lang w:val="en-GB"/>
        </w:rPr>
        <w:t>3</w:t>
      </w:r>
      <w:r w:rsidR="00EE4F20" w:rsidRPr="00836D59">
        <w:rPr>
          <w:rFonts w:asciiTheme="minorHAnsi" w:hAnsiTheme="minorHAnsi"/>
          <w:i/>
          <w:lang w:val="en-GB"/>
        </w:rPr>
        <w:t>)</w:t>
      </w:r>
      <w:r w:rsidR="00207F79" w:rsidRPr="00836D59">
        <w:rPr>
          <w:rFonts w:asciiTheme="minorHAnsi" w:hAnsiTheme="minorHAnsi"/>
          <w:lang w:val="en-GB"/>
        </w:rPr>
        <w:t xml:space="preserve">. </w:t>
      </w:r>
      <w:r w:rsidR="009721FE" w:rsidRPr="00836D59">
        <w:rPr>
          <w:rFonts w:asciiTheme="minorHAnsi" w:hAnsiTheme="minorHAnsi"/>
          <w:lang w:val="en-GB"/>
        </w:rPr>
        <w:t xml:space="preserve">Its </w:t>
      </w:r>
      <w:r w:rsidR="004B290A" w:rsidRPr="00836D59">
        <w:rPr>
          <w:rFonts w:asciiTheme="minorHAnsi" w:hAnsiTheme="minorHAnsi"/>
          <w:lang w:val="en-GB"/>
        </w:rPr>
        <w:t>extent</w:t>
      </w:r>
      <w:r w:rsidR="00DC4D00" w:rsidRPr="00836D59">
        <w:rPr>
          <w:rFonts w:asciiTheme="minorHAnsi" w:hAnsiTheme="minorHAnsi"/>
          <w:lang w:val="en-GB"/>
        </w:rPr>
        <w:t>, nature</w:t>
      </w:r>
      <w:r w:rsidR="004B290A" w:rsidRPr="00836D59">
        <w:rPr>
          <w:rFonts w:asciiTheme="minorHAnsi" w:hAnsiTheme="minorHAnsi"/>
          <w:lang w:val="en-GB"/>
        </w:rPr>
        <w:t xml:space="preserve"> and </w:t>
      </w:r>
      <w:r w:rsidR="007C4291" w:rsidRPr="00836D59">
        <w:rPr>
          <w:rFonts w:asciiTheme="minorHAnsi" w:hAnsiTheme="minorHAnsi"/>
          <w:lang w:val="en-GB"/>
        </w:rPr>
        <w:t>impact</w:t>
      </w:r>
      <w:r w:rsidR="009234F3" w:rsidRPr="00836D59">
        <w:rPr>
          <w:rFonts w:asciiTheme="minorHAnsi" w:hAnsiTheme="minorHAnsi"/>
          <w:lang w:val="en-GB"/>
        </w:rPr>
        <w:t xml:space="preserve"> </w:t>
      </w:r>
      <w:r w:rsidR="007C4291" w:rsidRPr="00836D59">
        <w:rPr>
          <w:rFonts w:asciiTheme="minorHAnsi" w:hAnsiTheme="minorHAnsi"/>
          <w:lang w:val="en-GB"/>
        </w:rPr>
        <w:t>on children</w:t>
      </w:r>
      <w:r w:rsidR="009234F3" w:rsidRPr="00836D59">
        <w:rPr>
          <w:rFonts w:asciiTheme="minorHAnsi" w:hAnsiTheme="minorHAnsi"/>
          <w:lang w:val="en-GB"/>
        </w:rPr>
        <w:t xml:space="preserve"> is disputed: s</w:t>
      </w:r>
      <w:r w:rsidRPr="00836D59">
        <w:rPr>
          <w:rFonts w:asciiTheme="minorHAnsi" w:hAnsiTheme="minorHAnsi"/>
          <w:lang w:val="en-GB"/>
        </w:rPr>
        <w:t xml:space="preserve">ome industry </w:t>
      </w:r>
      <w:r w:rsidR="004A76A9" w:rsidRPr="00836D59">
        <w:rPr>
          <w:rFonts w:asciiTheme="minorHAnsi" w:hAnsiTheme="minorHAnsi"/>
          <w:lang w:val="en-GB"/>
        </w:rPr>
        <w:t xml:space="preserve">players </w:t>
      </w:r>
      <w:r w:rsidR="00531A33" w:rsidRPr="00836D59">
        <w:rPr>
          <w:rFonts w:asciiTheme="minorHAnsi" w:hAnsiTheme="minorHAnsi"/>
          <w:lang w:val="en-GB"/>
        </w:rPr>
        <w:t>point to endemic online ad</w:t>
      </w:r>
      <w:r w:rsidR="004B2357" w:rsidRPr="00836D59">
        <w:rPr>
          <w:rFonts w:asciiTheme="minorHAnsi" w:hAnsiTheme="minorHAnsi"/>
          <w:lang w:val="en-GB"/>
        </w:rPr>
        <w:t>vertisement (ad)</w:t>
      </w:r>
      <w:r w:rsidR="00531A33" w:rsidRPr="00836D59">
        <w:rPr>
          <w:rFonts w:asciiTheme="minorHAnsi" w:hAnsiTheme="minorHAnsi"/>
          <w:lang w:val="en-GB"/>
        </w:rPr>
        <w:t xml:space="preserve"> fraud, in a market where automated </w:t>
      </w:r>
      <w:r w:rsidR="00E135A6" w:rsidRPr="00836D59">
        <w:rPr>
          <w:rFonts w:asciiTheme="minorHAnsi" w:hAnsiTheme="minorHAnsi"/>
          <w:lang w:val="en-GB"/>
        </w:rPr>
        <w:t>“</w:t>
      </w:r>
      <w:r w:rsidR="00531A33" w:rsidRPr="00836D59">
        <w:rPr>
          <w:rFonts w:asciiTheme="minorHAnsi" w:hAnsiTheme="minorHAnsi"/>
          <w:lang w:val="en-GB"/>
        </w:rPr>
        <w:t>bots</w:t>
      </w:r>
      <w:r w:rsidR="00E135A6" w:rsidRPr="00836D59">
        <w:rPr>
          <w:rFonts w:asciiTheme="minorHAnsi" w:hAnsiTheme="minorHAnsi"/>
          <w:lang w:val="en-GB"/>
        </w:rPr>
        <w:t>”</w:t>
      </w:r>
      <w:r w:rsidR="00531A33" w:rsidRPr="00836D59">
        <w:rPr>
          <w:rFonts w:asciiTheme="minorHAnsi" w:hAnsiTheme="minorHAnsi"/>
          <w:lang w:val="en-GB"/>
        </w:rPr>
        <w:t xml:space="preserve"> are known to inflate the number of visitors to sites to boost advertising revenue</w:t>
      </w:r>
      <w:r w:rsidR="00AC208A" w:rsidRPr="00836D59">
        <w:rPr>
          <w:rFonts w:asciiTheme="minorHAnsi" w:hAnsiTheme="minorHAnsi"/>
          <w:lang w:val="en-GB"/>
        </w:rPr>
        <w:t>,</w:t>
      </w:r>
      <w:r w:rsidR="00531A33" w:rsidRPr="00836D59">
        <w:rPr>
          <w:rFonts w:asciiTheme="minorHAnsi" w:hAnsiTheme="minorHAnsi"/>
          <w:lang w:val="en-GB"/>
        </w:rPr>
        <w:t xml:space="preserve"> and the lack of</w:t>
      </w:r>
      <w:r w:rsidRPr="00836D59">
        <w:rPr>
          <w:rFonts w:asciiTheme="minorHAnsi" w:hAnsiTheme="minorHAnsi"/>
          <w:lang w:val="en-GB"/>
        </w:rPr>
        <w:t xml:space="preserve"> accurate measures of </w:t>
      </w:r>
      <w:r w:rsidR="00EC5A58" w:rsidRPr="00836D59">
        <w:rPr>
          <w:rFonts w:asciiTheme="minorHAnsi" w:hAnsiTheme="minorHAnsi"/>
          <w:lang w:val="en-GB"/>
        </w:rPr>
        <w:t>digital advertising</w:t>
      </w:r>
      <w:r w:rsidRPr="00836D59">
        <w:rPr>
          <w:rFonts w:asciiTheme="minorHAnsi" w:hAnsiTheme="minorHAnsi"/>
          <w:lang w:val="en-GB"/>
        </w:rPr>
        <w:t xml:space="preserve"> </w:t>
      </w:r>
      <w:r w:rsidR="00E135A6" w:rsidRPr="00836D59">
        <w:rPr>
          <w:rFonts w:asciiTheme="minorHAnsi" w:hAnsiTheme="minorHAnsi"/>
          <w:lang w:val="en-GB"/>
        </w:rPr>
        <w:t>“</w:t>
      </w:r>
      <w:r w:rsidRPr="00836D59">
        <w:rPr>
          <w:rFonts w:asciiTheme="minorHAnsi" w:hAnsiTheme="minorHAnsi"/>
          <w:lang w:val="en-GB"/>
        </w:rPr>
        <w:t>reach</w:t>
      </w:r>
      <w:r w:rsidR="00E135A6" w:rsidRPr="00836D59">
        <w:rPr>
          <w:rFonts w:asciiTheme="minorHAnsi" w:hAnsiTheme="minorHAnsi"/>
          <w:lang w:val="en-GB"/>
        </w:rPr>
        <w:t>”</w:t>
      </w:r>
      <w:r w:rsidRPr="00836D59">
        <w:rPr>
          <w:rFonts w:asciiTheme="minorHAnsi" w:hAnsiTheme="minorHAnsi"/>
          <w:lang w:val="en-GB"/>
        </w:rPr>
        <w:t xml:space="preserve"> (the number of people viewing an ad</w:t>
      </w:r>
      <w:r w:rsidR="00874D72" w:rsidRPr="00836D59">
        <w:rPr>
          <w:rFonts w:asciiTheme="minorHAnsi" w:hAnsiTheme="minorHAnsi"/>
          <w:lang w:val="en-GB"/>
        </w:rPr>
        <w:t xml:space="preserve"> in digital media</w:t>
      </w:r>
      <w:r w:rsidRPr="00836D59">
        <w:rPr>
          <w:rFonts w:asciiTheme="minorHAnsi" w:hAnsiTheme="minorHAnsi"/>
          <w:lang w:val="en-GB"/>
        </w:rPr>
        <w:t>)</w:t>
      </w:r>
      <w:r w:rsidR="00F303FA" w:rsidRPr="00836D59">
        <w:rPr>
          <w:rFonts w:asciiTheme="minorHAnsi" w:hAnsiTheme="minorHAnsi"/>
          <w:lang w:val="en-GB"/>
        </w:rPr>
        <w:t xml:space="preserve"> </w:t>
      </w:r>
      <w:r w:rsidR="00A8266A" w:rsidRPr="00836D59">
        <w:rPr>
          <w:rFonts w:asciiTheme="minorHAnsi" w:hAnsiTheme="minorHAnsi"/>
          <w:i/>
          <w:lang w:val="en-GB"/>
        </w:rPr>
        <w:t>(</w:t>
      </w:r>
      <w:r w:rsidR="00CB7159" w:rsidRPr="00836D59">
        <w:rPr>
          <w:rFonts w:asciiTheme="minorHAnsi" w:hAnsiTheme="minorHAnsi"/>
          <w:i/>
          <w:lang w:val="en-GB"/>
        </w:rPr>
        <w:t>4</w:t>
      </w:r>
      <w:r w:rsidR="00A8266A" w:rsidRPr="00836D59">
        <w:rPr>
          <w:rFonts w:asciiTheme="minorHAnsi" w:hAnsiTheme="minorHAnsi"/>
          <w:i/>
          <w:lang w:val="en-GB"/>
        </w:rPr>
        <w:t>)</w:t>
      </w:r>
      <w:r w:rsidR="00EC5A58" w:rsidRPr="00836D59">
        <w:rPr>
          <w:rFonts w:asciiTheme="minorHAnsi" w:hAnsiTheme="minorHAnsi"/>
          <w:lang w:val="en-GB"/>
        </w:rPr>
        <w:t>. O</w:t>
      </w:r>
      <w:r w:rsidRPr="00836D59">
        <w:rPr>
          <w:rFonts w:asciiTheme="minorHAnsi" w:hAnsiTheme="minorHAnsi"/>
          <w:lang w:val="en-GB"/>
        </w:rPr>
        <w:t xml:space="preserve">thers claim there is no evidence that children are indeed exposed to </w:t>
      </w:r>
      <w:r w:rsidR="00EC5A58" w:rsidRPr="00836D59">
        <w:rPr>
          <w:rFonts w:asciiTheme="minorHAnsi" w:hAnsiTheme="minorHAnsi"/>
          <w:lang w:val="en-GB"/>
        </w:rPr>
        <w:t xml:space="preserve">digital </w:t>
      </w:r>
      <w:r w:rsidR="006E77EA" w:rsidRPr="00836D59">
        <w:rPr>
          <w:rFonts w:asciiTheme="minorHAnsi" w:hAnsiTheme="minorHAnsi"/>
          <w:lang w:val="en-GB"/>
        </w:rPr>
        <w:t>HFSS</w:t>
      </w:r>
      <w:r w:rsidRPr="00836D59">
        <w:rPr>
          <w:rFonts w:asciiTheme="minorHAnsi" w:hAnsiTheme="minorHAnsi"/>
          <w:lang w:val="en-GB"/>
        </w:rPr>
        <w:t xml:space="preserve"> marketing </w:t>
      </w:r>
      <w:r w:rsidR="008E0B36" w:rsidRPr="00836D59">
        <w:rPr>
          <w:rFonts w:asciiTheme="minorHAnsi" w:hAnsiTheme="minorHAnsi"/>
          <w:lang w:val="en-GB"/>
        </w:rPr>
        <w:t xml:space="preserve">at all </w:t>
      </w:r>
      <w:r w:rsidR="00B9183B" w:rsidRPr="00836D59">
        <w:rPr>
          <w:rFonts w:asciiTheme="minorHAnsi" w:hAnsiTheme="minorHAnsi"/>
          <w:i/>
          <w:lang w:val="en-GB"/>
        </w:rPr>
        <w:t>(</w:t>
      </w:r>
      <w:r w:rsidR="00CB7159" w:rsidRPr="00836D59">
        <w:rPr>
          <w:rFonts w:asciiTheme="minorHAnsi" w:hAnsiTheme="minorHAnsi"/>
          <w:i/>
          <w:lang w:val="en-GB"/>
        </w:rPr>
        <w:t>5</w:t>
      </w:r>
      <w:r w:rsidR="005C6D6B" w:rsidRPr="00836D59">
        <w:rPr>
          <w:rFonts w:asciiTheme="minorHAnsi" w:hAnsiTheme="minorHAnsi"/>
          <w:i/>
          <w:lang w:val="en-GB"/>
        </w:rPr>
        <w:t>)</w:t>
      </w:r>
      <w:r w:rsidRPr="00836D59">
        <w:rPr>
          <w:rFonts w:asciiTheme="minorHAnsi" w:hAnsiTheme="minorHAnsi"/>
          <w:lang w:val="en-GB"/>
        </w:rPr>
        <w:t xml:space="preserve">. </w:t>
      </w:r>
      <w:r w:rsidR="00F303FA" w:rsidRPr="00836D59">
        <w:rPr>
          <w:rFonts w:asciiTheme="minorHAnsi" w:hAnsiTheme="minorHAnsi"/>
          <w:lang w:val="en-GB"/>
        </w:rPr>
        <w:t>Yet</w:t>
      </w:r>
      <w:r w:rsidR="00681C2B" w:rsidRPr="00836D59">
        <w:rPr>
          <w:rFonts w:asciiTheme="minorHAnsi" w:hAnsiTheme="minorHAnsi"/>
          <w:lang w:val="en-GB"/>
        </w:rPr>
        <w:t>, at the same time,</w:t>
      </w:r>
      <w:r w:rsidRPr="00836D59">
        <w:rPr>
          <w:rFonts w:asciiTheme="minorHAnsi" w:hAnsiTheme="minorHAnsi"/>
          <w:lang w:val="en-GB"/>
        </w:rPr>
        <w:t xml:space="preserve"> b</w:t>
      </w:r>
      <w:r w:rsidR="002140DE" w:rsidRPr="00836D59">
        <w:rPr>
          <w:rFonts w:asciiTheme="minorHAnsi" w:hAnsiTheme="minorHAnsi"/>
          <w:lang w:val="en-GB"/>
        </w:rPr>
        <w:t xml:space="preserve">rands and marketers </w:t>
      </w:r>
      <w:r w:rsidR="00F303FA" w:rsidRPr="00836D59">
        <w:rPr>
          <w:rFonts w:asciiTheme="minorHAnsi" w:hAnsiTheme="minorHAnsi"/>
          <w:lang w:val="en-GB"/>
        </w:rPr>
        <w:t xml:space="preserve">consistently </w:t>
      </w:r>
      <w:r w:rsidR="002140DE" w:rsidRPr="00836D59">
        <w:rPr>
          <w:rFonts w:asciiTheme="minorHAnsi" w:hAnsiTheme="minorHAnsi"/>
          <w:lang w:val="en-GB"/>
        </w:rPr>
        <w:t xml:space="preserve">report that marketing for HFSS items amplifies traditional advertising, </w:t>
      </w:r>
      <w:r w:rsidR="00BF5452" w:rsidRPr="00836D59">
        <w:rPr>
          <w:rFonts w:asciiTheme="minorHAnsi" w:hAnsiTheme="minorHAnsi"/>
          <w:lang w:val="en-GB"/>
        </w:rPr>
        <w:t>delivering</w:t>
      </w:r>
      <w:r w:rsidR="002140DE" w:rsidRPr="00836D59">
        <w:rPr>
          <w:rFonts w:asciiTheme="minorHAnsi" w:hAnsiTheme="minorHAnsi"/>
          <w:lang w:val="en-GB"/>
        </w:rPr>
        <w:t xml:space="preserve"> </w:t>
      </w:r>
      <w:r w:rsidR="00BF5452" w:rsidRPr="00836D59">
        <w:rPr>
          <w:rFonts w:asciiTheme="minorHAnsi" w:hAnsiTheme="minorHAnsi"/>
          <w:lang w:val="en-GB"/>
        </w:rPr>
        <w:t xml:space="preserve">increases in ad attention, </w:t>
      </w:r>
      <w:r w:rsidR="002140DE" w:rsidRPr="00836D59">
        <w:rPr>
          <w:rFonts w:asciiTheme="minorHAnsi" w:hAnsiTheme="minorHAnsi"/>
          <w:lang w:val="en-GB"/>
        </w:rPr>
        <w:t xml:space="preserve">recall, </w:t>
      </w:r>
      <w:r w:rsidR="00BF5452" w:rsidRPr="00836D59">
        <w:rPr>
          <w:rFonts w:asciiTheme="minorHAnsi" w:hAnsiTheme="minorHAnsi"/>
          <w:lang w:val="en-GB"/>
        </w:rPr>
        <w:t xml:space="preserve">positive brand awareness and </w:t>
      </w:r>
      <w:r w:rsidR="002140DE" w:rsidRPr="00836D59">
        <w:rPr>
          <w:rFonts w:asciiTheme="minorHAnsi" w:hAnsiTheme="minorHAnsi"/>
          <w:lang w:val="en-GB"/>
        </w:rPr>
        <w:t>attitudes, intent to purchase and sales</w:t>
      </w:r>
      <w:r w:rsidR="00EE4F20" w:rsidRPr="00836D59">
        <w:rPr>
          <w:rFonts w:asciiTheme="minorHAnsi" w:hAnsiTheme="minorHAnsi"/>
          <w:lang w:val="en-GB"/>
        </w:rPr>
        <w:t xml:space="preserve"> </w:t>
      </w:r>
      <w:r w:rsidR="00EE4F20" w:rsidRPr="00836D59">
        <w:rPr>
          <w:rFonts w:asciiTheme="minorHAnsi" w:hAnsiTheme="minorHAnsi"/>
          <w:i/>
          <w:lang w:val="en-GB"/>
        </w:rPr>
        <w:t>(</w:t>
      </w:r>
      <w:r w:rsidR="00CB7159" w:rsidRPr="00836D59">
        <w:rPr>
          <w:rFonts w:asciiTheme="minorHAnsi" w:hAnsiTheme="minorHAnsi"/>
          <w:i/>
          <w:lang w:val="en-GB"/>
        </w:rPr>
        <w:t>3</w:t>
      </w:r>
      <w:r w:rsidR="00EE4F20" w:rsidRPr="00836D59">
        <w:rPr>
          <w:rFonts w:asciiTheme="minorHAnsi" w:hAnsiTheme="minorHAnsi"/>
          <w:i/>
          <w:lang w:val="en-GB"/>
        </w:rPr>
        <w:t>)</w:t>
      </w:r>
      <w:r w:rsidR="002140DE" w:rsidRPr="00836D59">
        <w:rPr>
          <w:rFonts w:asciiTheme="minorHAnsi" w:hAnsiTheme="minorHAnsi"/>
          <w:lang w:val="en-GB"/>
        </w:rPr>
        <w:t xml:space="preserve">. </w:t>
      </w:r>
      <w:r w:rsidR="00BF5452" w:rsidRPr="00836D59">
        <w:rPr>
          <w:rFonts w:asciiTheme="minorHAnsi" w:hAnsiTheme="minorHAnsi"/>
          <w:lang w:val="en-GB"/>
        </w:rPr>
        <w:lastRenderedPageBreak/>
        <w:t>Furthermore, s</w:t>
      </w:r>
      <w:r w:rsidR="00A12A56" w:rsidRPr="00836D59">
        <w:rPr>
          <w:rFonts w:asciiTheme="minorHAnsi" w:hAnsiTheme="minorHAnsi"/>
          <w:lang w:val="en-GB"/>
        </w:rPr>
        <w:t>ocial media advertising targeting tools</w:t>
      </w:r>
      <w:r w:rsidR="00681C2B" w:rsidRPr="00836D59">
        <w:rPr>
          <w:rFonts w:asciiTheme="minorHAnsi" w:hAnsiTheme="minorHAnsi"/>
          <w:lang w:val="en-GB"/>
        </w:rPr>
        <w:t>, using online behavioural analysis,</w:t>
      </w:r>
      <w:r w:rsidR="00A12A56" w:rsidRPr="00836D59">
        <w:rPr>
          <w:rFonts w:asciiTheme="minorHAnsi" w:hAnsiTheme="minorHAnsi"/>
          <w:lang w:val="en-GB"/>
        </w:rPr>
        <w:t xml:space="preserve"> facilitate the targeting of </w:t>
      </w:r>
      <w:r w:rsidR="007F091E" w:rsidRPr="00836D59">
        <w:rPr>
          <w:rFonts w:asciiTheme="minorHAnsi" w:hAnsiTheme="minorHAnsi"/>
          <w:lang w:val="en-GB"/>
        </w:rPr>
        <w:t>children,</w:t>
      </w:r>
      <w:r w:rsidR="00681C2B" w:rsidRPr="00836D59">
        <w:rPr>
          <w:rFonts w:asciiTheme="minorHAnsi" w:hAnsiTheme="minorHAnsi"/>
          <w:lang w:val="en-GB"/>
        </w:rPr>
        <w:t xml:space="preserve"> making </w:t>
      </w:r>
      <w:r w:rsidR="00FD0874" w:rsidRPr="00836D59">
        <w:rPr>
          <w:rFonts w:asciiTheme="minorHAnsi" w:hAnsiTheme="minorHAnsi"/>
          <w:lang w:val="en-GB"/>
        </w:rPr>
        <w:t xml:space="preserve">the ads </w:t>
      </w:r>
      <w:r w:rsidR="00681C2B" w:rsidRPr="00836D59">
        <w:rPr>
          <w:rFonts w:asciiTheme="minorHAnsi" w:hAnsiTheme="minorHAnsi"/>
          <w:lang w:val="en-GB"/>
        </w:rPr>
        <w:t>potentially far more powerful.</w:t>
      </w:r>
      <w:r w:rsidR="00BF5452" w:rsidRPr="00836D59">
        <w:rPr>
          <w:rFonts w:asciiTheme="minorHAnsi" w:hAnsiTheme="minorHAnsi"/>
          <w:lang w:val="en-GB"/>
        </w:rPr>
        <w:t xml:space="preserve"> </w:t>
      </w:r>
    </w:p>
    <w:p w14:paraId="42F0D686" w14:textId="36ABD305" w:rsidR="00E65AF3" w:rsidRPr="00836D59" w:rsidRDefault="00681C2B" w:rsidP="00836D59">
      <w:pPr>
        <w:spacing w:line="360" w:lineRule="auto"/>
        <w:rPr>
          <w:rFonts w:asciiTheme="minorHAnsi" w:hAnsiTheme="minorHAnsi"/>
          <w:lang w:val="en-GB"/>
        </w:rPr>
      </w:pPr>
      <w:r w:rsidRPr="00836D59">
        <w:rPr>
          <w:rFonts w:asciiTheme="minorHAnsi" w:hAnsiTheme="minorHAnsi"/>
          <w:lang w:val="en-GB"/>
        </w:rPr>
        <w:t xml:space="preserve">Nevertheless, </w:t>
      </w:r>
      <w:r w:rsidR="00A12A56" w:rsidRPr="00836D59">
        <w:rPr>
          <w:rFonts w:asciiTheme="minorHAnsi" w:hAnsiTheme="minorHAnsi"/>
          <w:lang w:val="en-GB"/>
        </w:rPr>
        <w:t>the extent of children</w:t>
      </w:r>
      <w:r w:rsidR="00624F81" w:rsidRPr="00836D59">
        <w:rPr>
          <w:rFonts w:asciiTheme="minorHAnsi" w:hAnsiTheme="minorHAnsi"/>
          <w:lang w:val="en-GB"/>
        </w:rPr>
        <w:t>’</w:t>
      </w:r>
      <w:r w:rsidR="00A12A56" w:rsidRPr="00836D59">
        <w:rPr>
          <w:rFonts w:asciiTheme="minorHAnsi" w:hAnsiTheme="minorHAnsi"/>
          <w:lang w:val="en-GB"/>
        </w:rPr>
        <w:t xml:space="preserve">s </w:t>
      </w:r>
      <w:r w:rsidRPr="00836D59">
        <w:rPr>
          <w:rFonts w:asciiTheme="minorHAnsi" w:hAnsiTheme="minorHAnsi"/>
          <w:lang w:val="en-GB"/>
        </w:rPr>
        <w:t xml:space="preserve">actual </w:t>
      </w:r>
      <w:r w:rsidR="00A12A56" w:rsidRPr="00836D59">
        <w:rPr>
          <w:rFonts w:asciiTheme="minorHAnsi" w:hAnsiTheme="minorHAnsi"/>
          <w:lang w:val="en-GB"/>
        </w:rPr>
        <w:t>exposure to such marketing</w:t>
      </w:r>
      <w:r w:rsidR="00DC4D00" w:rsidRPr="00836D59">
        <w:rPr>
          <w:rFonts w:asciiTheme="minorHAnsi" w:hAnsiTheme="minorHAnsi"/>
          <w:lang w:val="en-GB"/>
        </w:rPr>
        <w:t xml:space="preserve"> (and the persuasive techniques used)</w:t>
      </w:r>
      <w:r w:rsidR="00A12A56" w:rsidRPr="00836D59">
        <w:rPr>
          <w:rFonts w:asciiTheme="minorHAnsi" w:hAnsiTheme="minorHAnsi"/>
          <w:lang w:val="en-GB"/>
        </w:rPr>
        <w:t xml:space="preserve"> has not been </w:t>
      </w:r>
      <w:r w:rsidR="00162139" w:rsidRPr="00836D59">
        <w:rPr>
          <w:rFonts w:asciiTheme="minorHAnsi" w:hAnsiTheme="minorHAnsi"/>
          <w:lang w:val="en-GB"/>
        </w:rPr>
        <w:t>identified</w:t>
      </w:r>
      <w:r w:rsidR="00DC4D00" w:rsidRPr="00836D59">
        <w:rPr>
          <w:rFonts w:asciiTheme="minorHAnsi" w:hAnsiTheme="minorHAnsi"/>
          <w:lang w:val="en-GB"/>
        </w:rPr>
        <w:t xml:space="preserve"> through </w:t>
      </w:r>
      <w:r w:rsidR="00162139" w:rsidRPr="00836D59">
        <w:rPr>
          <w:rFonts w:asciiTheme="minorHAnsi" w:hAnsiTheme="minorHAnsi"/>
          <w:lang w:val="en-GB"/>
        </w:rPr>
        <w:t>publicly</w:t>
      </w:r>
      <w:r w:rsidR="004B4F16" w:rsidRPr="00836D59">
        <w:rPr>
          <w:rFonts w:asciiTheme="minorHAnsi" w:hAnsiTheme="minorHAnsi"/>
          <w:lang w:val="en-GB"/>
        </w:rPr>
        <w:t xml:space="preserve"> </w:t>
      </w:r>
      <w:r w:rsidR="00162139" w:rsidRPr="00836D59">
        <w:rPr>
          <w:rFonts w:asciiTheme="minorHAnsi" w:hAnsiTheme="minorHAnsi"/>
          <w:lang w:val="en-GB"/>
        </w:rPr>
        <w:t xml:space="preserve">available </w:t>
      </w:r>
      <w:r w:rsidR="00DC4D00" w:rsidRPr="00836D59">
        <w:rPr>
          <w:rFonts w:asciiTheme="minorHAnsi" w:hAnsiTheme="minorHAnsi"/>
          <w:lang w:val="en-GB"/>
        </w:rPr>
        <w:t>research</w:t>
      </w:r>
      <w:r w:rsidR="00A12A56" w:rsidRPr="00836D59">
        <w:rPr>
          <w:rFonts w:asciiTheme="minorHAnsi" w:hAnsiTheme="minorHAnsi"/>
          <w:lang w:val="en-GB"/>
        </w:rPr>
        <w:t>, and privately</w:t>
      </w:r>
      <w:r w:rsidR="004B4F16" w:rsidRPr="00836D59">
        <w:rPr>
          <w:rFonts w:asciiTheme="minorHAnsi" w:hAnsiTheme="minorHAnsi"/>
          <w:lang w:val="en-GB"/>
        </w:rPr>
        <w:t xml:space="preserve"> </w:t>
      </w:r>
      <w:r w:rsidR="00A12A56" w:rsidRPr="00836D59">
        <w:rPr>
          <w:rFonts w:asciiTheme="minorHAnsi" w:hAnsiTheme="minorHAnsi"/>
          <w:lang w:val="en-GB"/>
        </w:rPr>
        <w:t xml:space="preserve">owned digital media exclude external researchers from insights, reflecting inequity of access to data that is a widespread concern in this field </w:t>
      </w:r>
      <w:r w:rsidR="00A12A56" w:rsidRPr="00836D59">
        <w:rPr>
          <w:rFonts w:asciiTheme="minorHAnsi" w:hAnsiTheme="minorHAnsi"/>
          <w:i/>
          <w:lang w:val="en-GB"/>
        </w:rPr>
        <w:fldChar w:fldCharType="begin" w:fldLock="1"/>
      </w:r>
      <w:r w:rsidR="00A12A56" w:rsidRPr="00836D59">
        <w:rPr>
          <w:rFonts w:asciiTheme="minorHAnsi" w:hAnsiTheme="minorHAnsi"/>
          <w:i/>
          <w:lang w:val="en-GB"/>
        </w:rPr>
        <w:instrText>ADDIN CSL_CITATION { "citationItems" : [ { "id" : "ITEM-1", "itemData" : { "DOI" : "10.1177/2053951715611145", "ISSN" : "2053-9517", "abstract" : "New methods to analyse social media data provide a powerful way to know publics and capture what they say and do. At the same time, access to these methods is uneven, with corporations and governments tending to have best access to relevant data and analytics tools. Critics raise a number of concerns about the implications dominant uses of data mining and analytics may have for the public: they result in less privacy, more surveillance and social discrimination, and they provide new ways of controlling how publics come to be represented and so understood. In this paper, we consider if a different relationship between the public and data mining might be established, one in which publics might be said to have greater agency and reflexivity vis-a`-vis data power. Drawing on growing calls for alternative data regimes and practices, we argue that to enable this different relationship, data mining and analytics need to be democratised in three ways: they should be subject to greater public supervision and regulation, available and accessible to all, and used to create not simply known but reflexive, active and knowing publics. We therefore imagine conditions in which data mining is not just used as a way to know publics, but can become a means for publics to know themselves.", "author" : [ { "dropping-particle" : "", "family" : "Kennedy", "given" : "H.", "non-dropping-particle" : "", "parse-names" : false, "suffix" : "" }, { "dropping-particle" : "", "family" : "Moss", "given" : "G.", "non-dropping-particle" : "", "parse-names" : false, "suffix" : "" } ], "container-title" : "Big Data &amp; Society", "id" : "ITEM-1", "issue" : "December", "issued" : { "date-parts" : [ [ "2015" ] ] }, "page" : "1-11", "title" : "Known or knowing publics? Social media data mining and the question of public agency", "type" : "article-journal", "volume" : "July-Decem" }, "uris" : [ "http://www.mendeley.com/documents/?uuid=04cdc98e-e85f-488a-aaca-587dc8f9e7da" ] }, { "id" : "ITEM-2", "itemData" : { "DOI" : "10.1108/OIR-03-2015-0069", "ISBN" : "0320130088", "ISSN" : "1468-4527", "PMID" : "42012058", "abstract" : "Purpose \u2013 The purpose of this paper is to introduce a new viewpoint series, Monitoring the Media: Spotlight on Social Media Research, by providing an overview of the key challenges in social media research and some current initiatives in addressing them. Design/methodology/approach \u2013 The paper considers publication output from disciplines dealing with social media studies and summarises the key challenges as discussed in the broader research community. Findings \u2013 The paper suggests that challenges originate both from the interdisciplinary nature of social media research and from the ever-changing research landscape. It concludes that, whilst the community is addressing some challenges, others require more attention. Originality/value \u2013 The paper summarises key challenges of social media and will be of interest to researchers in different disciplines, as well as a general audience, wanting to learn about how social media data are used for research.", "author" : [ { "dropping-particle" : "", "family" : "Weller", "given" : "Katrin", "non-dropping-particle" : "", "parse-names" : false, "suffix" : "" } ], "container-title" : "Online Information Review", "id" : "ITEM-2", "issue" : "3", "issued" : { "date-parts" : [ [ "2015" ] ] }, "page" : "281-289", "title" : "Accepting the challenges of social media research", "type" : "article-journal", "volume" : "39" }, "uris" : [ "http://www.mendeley.com/documents/?uuid=20bd3c97-49ac-46a8-8f67-b1957a0d8ad5" ] }, { "id" : "ITEM-3", "itemData" : { "DOI" : "10.1080/1369118X.2012.678878", "ISBN" : "1369-118X", "ISSN" : "1369-118X", "author" : [ { "dropping-particle" : "", "family" : "boyd", "given" : "danah", "non-dropping-particle" : "", "parse-names" : false, "suffix" : "" } ], "container-title" : "Information, Communication &amp;amp; Society", "id" : "ITEM-3", "issue" : "June 2012", "issued" : { "date-parts" : [ [ "2012" ] ] }, "page" : "37-41", "title" : "Critical Questions for Big Data", "type" : "article-journal", "volume" : "4462" }, "uris" : [ "http://www.mendeley.com/documents/?uuid=3794ae81-b759-48a6-aaf9-584dc59789fe" ] } ], "mendeley" : { "formattedCitation" : "(boyd, 2012; Kennedy &amp; Moss, 2015; Weller, 2015)", "plainTextFormattedCitation" : "(boyd, 2012; Kennedy &amp; Moss, 2015; Weller, 2015)", "previouslyFormattedCitation" : "(boyd, 2012; Kennedy &amp; Moss, 2015; Weller, 2015)" }, "properties" : { "noteIndex" : 0 }, "schema" : "https://github.com/citation-style-language/schema/raw/master/csl-citation.json" }</w:instrText>
      </w:r>
      <w:r w:rsidR="00A12A56" w:rsidRPr="00836D59">
        <w:rPr>
          <w:rFonts w:asciiTheme="minorHAnsi" w:hAnsiTheme="minorHAnsi"/>
          <w:i/>
          <w:lang w:val="en-GB"/>
        </w:rPr>
        <w:fldChar w:fldCharType="separate"/>
      </w:r>
      <w:r w:rsidR="00A12A56" w:rsidRPr="00836D59">
        <w:rPr>
          <w:rFonts w:asciiTheme="minorHAnsi" w:hAnsiTheme="minorHAnsi"/>
          <w:i/>
          <w:lang w:val="en-GB"/>
        </w:rPr>
        <w:t>(</w:t>
      </w:r>
      <w:r w:rsidR="00CB7159" w:rsidRPr="00836D59">
        <w:rPr>
          <w:rFonts w:asciiTheme="minorHAnsi" w:hAnsiTheme="minorHAnsi"/>
          <w:i/>
          <w:lang w:val="en-GB"/>
        </w:rPr>
        <w:t>3</w:t>
      </w:r>
      <w:r w:rsidR="00A12A56" w:rsidRPr="00836D59">
        <w:rPr>
          <w:rFonts w:asciiTheme="minorHAnsi" w:hAnsiTheme="minorHAnsi"/>
          <w:i/>
          <w:lang w:val="en-GB"/>
        </w:rPr>
        <w:t>)</w:t>
      </w:r>
      <w:r w:rsidR="00A12A56" w:rsidRPr="00836D59">
        <w:rPr>
          <w:rFonts w:asciiTheme="minorHAnsi" w:hAnsiTheme="minorHAnsi"/>
          <w:i/>
          <w:lang w:val="en-GB"/>
        </w:rPr>
        <w:fldChar w:fldCharType="end"/>
      </w:r>
      <w:r w:rsidR="00A12A56" w:rsidRPr="00836D59">
        <w:rPr>
          <w:rFonts w:asciiTheme="minorHAnsi" w:hAnsiTheme="minorHAnsi"/>
          <w:lang w:val="en-GB"/>
        </w:rPr>
        <w:t>.</w:t>
      </w:r>
      <w:r w:rsidR="00DC4D00" w:rsidRPr="00836D59">
        <w:rPr>
          <w:rFonts w:asciiTheme="minorHAnsi" w:hAnsiTheme="minorHAnsi"/>
          <w:lang w:val="en-GB"/>
        </w:rPr>
        <w:t xml:space="preserve"> </w:t>
      </w:r>
      <w:r w:rsidR="00501541" w:rsidRPr="00836D59">
        <w:rPr>
          <w:rFonts w:asciiTheme="minorHAnsi" w:hAnsiTheme="minorHAnsi"/>
          <w:lang w:val="en-GB"/>
        </w:rPr>
        <w:t xml:space="preserve">As </w:t>
      </w:r>
      <w:r w:rsidR="00965F90" w:rsidRPr="00836D59">
        <w:rPr>
          <w:rFonts w:asciiTheme="minorHAnsi" w:hAnsiTheme="minorHAnsi"/>
          <w:lang w:val="en-GB"/>
        </w:rPr>
        <w:t>children</w:t>
      </w:r>
      <w:r w:rsidR="002140DE" w:rsidRPr="00836D59">
        <w:rPr>
          <w:rFonts w:asciiTheme="minorHAnsi" w:hAnsiTheme="minorHAnsi"/>
          <w:lang w:val="en-GB"/>
        </w:rPr>
        <w:t xml:space="preserve"> are avid users of digital media, </w:t>
      </w:r>
      <w:r w:rsidR="00501541" w:rsidRPr="00836D59">
        <w:rPr>
          <w:rFonts w:asciiTheme="minorHAnsi" w:hAnsiTheme="minorHAnsi"/>
          <w:lang w:val="en-GB"/>
        </w:rPr>
        <w:t xml:space="preserve">and </w:t>
      </w:r>
      <w:r w:rsidR="009C1A4F" w:rsidRPr="00836D59">
        <w:rPr>
          <w:rFonts w:asciiTheme="minorHAnsi" w:hAnsiTheme="minorHAnsi"/>
          <w:lang w:val="en-GB"/>
        </w:rPr>
        <w:t xml:space="preserve">meta-analysis has established </w:t>
      </w:r>
      <w:r w:rsidR="00501541" w:rsidRPr="00836D59">
        <w:rPr>
          <w:rFonts w:asciiTheme="minorHAnsi" w:hAnsiTheme="minorHAnsi"/>
          <w:lang w:val="en-GB"/>
        </w:rPr>
        <w:t>effects on their food preferences</w:t>
      </w:r>
      <w:r w:rsidR="00071A74" w:rsidRPr="00836D59">
        <w:rPr>
          <w:rFonts w:asciiTheme="minorHAnsi" w:hAnsiTheme="minorHAnsi"/>
          <w:lang w:val="en-GB"/>
        </w:rPr>
        <w:t xml:space="preserve"> and dietary behaviours</w:t>
      </w:r>
      <w:r w:rsidR="00501541" w:rsidRPr="00836D59">
        <w:rPr>
          <w:rFonts w:asciiTheme="minorHAnsi" w:hAnsiTheme="minorHAnsi"/>
          <w:lang w:val="en-GB"/>
        </w:rPr>
        <w:t xml:space="preserve"> from television adv</w:t>
      </w:r>
      <w:r w:rsidR="00512411" w:rsidRPr="00836D59">
        <w:rPr>
          <w:rFonts w:asciiTheme="minorHAnsi" w:hAnsiTheme="minorHAnsi"/>
          <w:lang w:val="en-GB"/>
        </w:rPr>
        <w:t>ertising</w:t>
      </w:r>
      <w:r w:rsidR="008E0B36" w:rsidRPr="00836D59">
        <w:rPr>
          <w:rFonts w:asciiTheme="minorHAnsi" w:hAnsiTheme="minorHAnsi"/>
          <w:lang w:val="en-GB"/>
        </w:rPr>
        <w:t xml:space="preserve"> and Internet advergames</w:t>
      </w:r>
      <w:r w:rsidR="00512411" w:rsidRPr="00836D59">
        <w:rPr>
          <w:rFonts w:asciiTheme="minorHAnsi" w:hAnsiTheme="minorHAnsi"/>
          <w:lang w:val="en-GB"/>
        </w:rPr>
        <w:t xml:space="preserve"> </w:t>
      </w:r>
      <w:r w:rsidR="00512411" w:rsidRPr="00836D59">
        <w:rPr>
          <w:rFonts w:asciiTheme="minorHAnsi" w:hAnsiTheme="minorHAnsi"/>
          <w:i/>
          <w:lang w:val="en-GB"/>
        </w:rPr>
        <w:t>(</w:t>
      </w:r>
      <w:r w:rsidR="00A54F83" w:rsidRPr="00836D59">
        <w:rPr>
          <w:rFonts w:asciiTheme="minorHAnsi" w:hAnsiTheme="minorHAnsi"/>
          <w:i/>
          <w:lang w:val="en-GB"/>
        </w:rPr>
        <w:t>6</w:t>
      </w:r>
      <w:r w:rsidR="00512411" w:rsidRPr="00836D59">
        <w:rPr>
          <w:rFonts w:asciiTheme="minorHAnsi" w:hAnsiTheme="minorHAnsi"/>
          <w:i/>
          <w:lang w:val="en-GB"/>
        </w:rPr>
        <w:t>)</w:t>
      </w:r>
      <w:r w:rsidR="00501541" w:rsidRPr="00836D59">
        <w:rPr>
          <w:rFonts w:asciiTheme="minorHAnsi" w:hAnsiTheme="minorHAnsi"/>
          <w:lang w:val="en-GB"/>
        </w:rPr>
        <w:t xml:space="preserve">, </w:t>
      </w:r>
      <w:r w:rsidR="00F90A63" w:rsidRPr="00836D59">
        <w:rPr>
          <w:rFonts w:asciiTheme="minorHAnsi" w:hAnsiTheme="minorHAnsi"/>
          <w:lang w:val="en-GB"/>
        </w:rPr>
        <w:t xml:space="preserve">specifying </w:t>
      </w:r>
      <w:r w:rsidR="00311535" w:rsidRPr="00836D59">
        <w:rPr>
          <w:rFonts w:asciiTheme="minorHAnsi" w:hAnsiTheme="minorHAnsi"/>
          <w:lang w:val="en-GB"/>
        </w:rPr>
        <w:t>children</w:t>
      </w:r>
      <w:r w:rsidR="00624F81" w:rsidRPr="00836D59">
        <w:rPr>
          <w:rFonts w:asciiTheme="minorHAnsi" w:hAnsiTheme="minorHAnsi"/>
          <w:lang w:val="en-GB"/>
        </w:rPr>
        <w:t>’</w:t>
      </w:r>
      <w:r w:rsidR="00311535" w:rsidRPr="00836D59">
        <w:rPr>
          <w:rFonts w:asciiTheme="minorHAnsi" w:hAnsiTheme="minorHAnsi"/>
          <w:lang w:val="en-GB"/>
        </w:rPr>
        <w:t>s</w:t>
      </w:r>
      <w:r w:rsidR="00632BD1" w:rsidRPr="00836D59">
        <w:rPr>
          <w:rFonts w:asciiTheme="minorHAnsi" w:hAnsiTheme="minorHAnsi"/>
          <w:lang w:val="en-GB"/>
        </w:rPr>
        <w:t xml:space="preserve"> </w:t>
      </w:r>
      <w:r w:rsidR="00DC4D00" w:rsidRPr="00836D59">
        <w:rPr>
          <w:rFonts w:asciiTheme="minorHAnsi" w:hAnsiTheme="minorHAnsi"/>
          <w:lang w:val="en-GB"/>
        </w:rPr>
        <w:t xml:space="preserve">exposure to </w:t>
      </w:r>
      <w:r w:rsidR="008E0B36" w:rsidRPr="00836D59">
        <w:rPr>
          <w:rFonts w:asciiTheme="minorHAnsi" w:hAnsiTheme="minorHAnsi"/>
          <w:lang w:val="en-GB"/>
        </w:rPr>
        <w:t xml:space="preserve">all </w:t>
      </w:r>
      <w:r w:rsidR="006F61FA" w:rsidRPr="00836D59">
        <w:rPr>
          <w:rFonts w:asciiTheme="minorHAnsi" w:hAnsiTheme="minorHAnsi"/>
          <w:lang w:val="en-GB"/>
        </w:rPr>
        <w:t xml:space="preserve">HFSS </w:t>
      </w:r>
      <w:r w:rsidR="00DC4D00" w:rsidRPr="00836D59">
        <w:rPr>
          <w:rFonts w:asciiTheme="minorHAnsi" w:hAnsiTheme="minorHAnsi"/>
          <w:lang w:val="en-GB"/>
        </w:rPr>
        <w:t>marketing</w:t>
      </w:r>
      <w:r w:rsidR="00F90A63" w:rsidRPr="00836D59">
        <w:rPr>
          <w:rFonts w:asciiTheme="minorHAnsi" w:hAnsiTheme="minorHAnsi"/>
          <w:lang w:val="en-GB"/>
        </w:rPr>
        <w:t xml:space="preserve"> in</w:t>
      </w:r>
      <w:r w:rsidR="00501541" w:rsidRPr="00836D59">
        <w:rPr>
          <w:rFonts w:asciiTheme="minorHAnsi" w:hAnsiTheme="minorHAnsi"/>
          <w:lang w:val="en-GB"/>
        </w:rPr>
        <w:t xml:space="preserve"> digital media</w:t>
      </w:r>
      <w:r w:rsidR="00DC4D00" w:rsidRPr="00836D59">
        <w:rPr>
          <w:rFonts w:asciiTheme="minorHAnsi" w:hAnsiTheme="minorHAnsi"/>
          <w:lang w:val="en-GB"/>
        </w:rPr>
        <w:t xml:space="preserve">, and </w:t>
      </w:r>
      <w:r w:rsidR="006F61FA" w:rsidRPr="00836D59">
        <w:rPr>
          <w:rFonts w:asciiTheme="minorHAnsi" w:hAnsiTheme="minorHAnsi"/>
          <w:lang w:val="en-GB"/>
        </w:rPr>
        <w:t xml:space="preserve">its </w:t>
      </w:r>
      <w:r w:rsidR="00DC4D00" w:rsidRPr="00836D59">
        <w:rPr>
          <w:rFonts w:asciiTheme="minorHAnsi" w:hAnsiTheme="minorHAnsi"/>
          <w:lang w:val="en-GB"/>
        </w:rPr>
        <w:t>power,</w:t>
      </w:r>
      <w:r w:rsidR="00501541" w:rsidRPr="00836D59">
        <w:rPr>
          <w:rFonts w:asciiTheme="minorHAnsi" w:hAnsiTheme="minorHAnsi"/>
          <w:lang w:val="en-GB"/>
        </w:rPr>
        <w:t xml:space="preserve"> </w:t>
      </w:r>
      <w:r w:rsidR="00207F79" w:rsidRPr="00836D59">
        <w:rPr>
          <w:rFonts w:asciiTheme="minorHAnsi" w:hAnsiTheme="minorHAnsi"/>
          <w:lang w:val="en-GB"/>
        </w:rPr>
        <w:t>is critical</w:t>
      </w:r>
      <w:r w:rsidR="00501541" w:rsidRPr="00836D59">
        <w:rPr>
          <w:rFonts w:asciiTheme="minorHAnsi" w:hAnsiTheme="minorHAnsi"/>
          <w:lang w:val="en-GB"/>
        </w:rPr>
        <w:t xml:space="preserve"> for </w:t>
      </w:r>
      <w:r w:rsidR="00805CAD" w:rsidRPr="00836D59">
        <w:rPr>
          <w:rFonts w:asciiTheme="minorHAnsi" w:hAnsiTheme="minorHAnsi"/>
          <w:lang w:val="en-GB"/>
        </w:rPr>
        <w:t xml:space="preserve">researchers and </w:t>
      </w:r>
      <w:r w:rsidR="00501541" w:rsidRPr="00836D59">
        <w:rPr>
          <w:rFonts w:asciiTheme="minorHAnsi" w:hAnsiTheme="minorHAnsi"/>
          <w:lang w:val="en-GB"/>
        </w:rPr>
        <w:t xml:space="preserve">regulators. </w:t>
      </w:r>
      <w:r w:rsidR="00DC4D00" w:rsidRPr="00836D59">
        <w:rPr>
          <w:rFonts w:asciiTheme="minorHAnsi" w:hAnsiTheme="minorHAnsi"/>
          <w:lang w:val="en-GB"/>
        </w:rPr>
        <w:t>Great</w:t>
      </w:r>
      <w:r w:rsidR="006E106A" w:rsidRPr="00836D59">
        <w:rPr>
          <w:rFonts w:asciiTheme="minorHAnsi" w:hAnsiTheme="minorHAnsi"/>
          <w:lang w:val="en-GB"/>
        </w:rPr>
        <w:t>er understanding of children</w:t>
      </w:r>
      <w:r w:rsidR="00624F81" w:rsidRPr="00836D59">
        <w:rPr>
          <w:rFonts w:asciiTheme="minorHAnsi" w:hAnsiTheme="minorHAnsi"/>
          <w:lang w:val="en-GB"/>
        </w:rPr>
        <w:t>’</w:t>
      </w:r>
      <w:r w:rsidR="006E106A" w:rsidRPr="00836D59">
        <w:rPr>
          <w:rFonts w:asciiTheme="minorHAnsi" w:hAnsiTheme="minorHAnsi"/>
          <w:lang w:val="en-GB"/>
        </w:rPr>
        <w:t xml:space="preserve">s exposure (how much, where, </w:t>
      </w:r>
      <w:r w:rsidR="009B2770" w:rsidRPr="00836D59">
        <w:rPr>
          <w:rFonts w:asciiTheme="minorHAnsi" w:hAnsiTheme="minorHAnsi"/>
          <w:lang w:val="en-GB"/>
        </w:rPr>
        <w:t xml:space="preserve">and to </w:t>
      </w:r>
      <w:r w:rsidR="006E106A" w:rsidRPr="00836D59">
        <w:rPr>
          <w:rFonts w:asciiTheme="minorHAnsi" w:hAnsiTheme="minorHAnsi"/>
          <w:lang w:val="en-GB"/>
        </w:rPr>
        <w:t>what) and the persuasive techniques used will enable more targeted policy discussions and identification of appropriate entry points for regulations.</w:t>
      </w:r>
      <w:r w:rsidR="00624F81" w:rsidRPr="00836D59">
        <w:rPr>
          <w:rFonts w:asciiTheme="minorHAnsi" w:hAnsiTheme="minorHAnsi"/>
          <w:lang w:val="en-GB"/>
        </w:rPr>
        <w:t xml:space="preserve"> </w:t>
      </w:r>
      <w:r w:rsidR="00A50634" w:rsidRPr="00836D59">
        <w:rPr>
          <w:rFonts w:asciiTheme="minorHAnsi" w:hAnsiTheme="minorHAnsi"/>
          <w:lang w:val="en-GB"/>
        </w:rPr>
        <w:t xml:space="preserve">Research </w:t>
      </w:r>
      <w:r w:rsidR="002879B4" w:rsidRPr="00836D59">
        <w:rPr>
          <w:rFonts w:asciiTheme="minorHAnsi" w:hAnsiTheme="minorHAnsi"/>
          <w:lang w:val="en-GB"/>
        </w:rPr>
        <w:t>identifying the</w:t>
      </w:r>
      <w:r w:rsidR="00A50634" w:rsidRPr="00836D59">
        <w:rPr>
          <w:rFonts w:asciiTheme="minorHAnsi" w:hAnsiTheme="minorHAnsi"/>
          <w:lang w:val="en-GB"/>
        </w:rPr>
        <w:t xml:space="preserve"> </w:t>
      </w:r>
      <w:r w:rsidR="00246390" w:rsidRPr="00836D59">
        <w:rPr>
          <w:rFonts w:asciiTheme="minorHAnsi" w:hAnsiTheme="minorHAnsi"/>
          <w:lang w:val="en-GB"/>
        </w:rPr>
        <w:t xml:space="preserve">extent, nature and impact of </w:t>
      </w:r>
      <w:r w:rsidR="008D21D8" w:rsidRPr="00836D59">
        <w:rPr>
          <w:rFonts w:asciiTheme="minorHAnsi" w:hAnsiTheme="minorHAnsi"/>
          <w:lang w:val="en-GB"/>
        </w:rPr>
        <w:t>HFSS advertising</w:t>
      </w:r>
      <w:r w:rsidR="00E7634E" w:rsidRPr="00836D59">
        <w:rPr>
          <w:rFonts w:asciiTheme="minorHAnsi" w:hAnsiTheme="minorHAnsi"/>
          <w:lang w:val="en-GB"/>
        </w:rPr>
        <w:t xml:space="preserve"> </w:t>
      </w:r>
      <w:r w:rsidR="00004060" w:rsidRPr="00836D59">
        <w:rPr>
          <w:rFonts w:asciiTheme="minorHAnsi" w:hAnsiTheme="minorHAnsi"/>
          <w:lang w:val="en-GB"/>
        </w:rPr>
        <w:t xml:space="preserve">in </w:t>
      </w:r>
      <w:r w:rsidR="00EF5796" w:rsidRPr="00836D59">
        <w:rPr>
          <w:rFonts w:asciiTheme="minorHAnsi" w:hAnsiTheme="minorHAnsi"/>
          <w:lang w:val="en-GB"/>
        </w:rPr>
        <w:t>digital</w:t>
      </w:r>
      <w:r w:rsidR="00004060" w:rsidRPr="00836D59">
        <w:rPr>
          <w:rFonts w:asciiTheme="minorHAnsi" w:hAnsiTheme="minorHAnsi"/>
          <w:lang w:val="en-GB"/>
        </w:rPr>
        <w:t xml:space="preserve"> media </w:t>
      </w:r>
      <w:r w:rsidR="002879B4" w:rsidRPr="00836D59">
        <w:rPr>
          <w:rFonts w:asciiTheme="minorHAnsi" w:hAnsiTheme="minorHAnsi"/>
          <w:lang w:val="en-GB"/>
        </w:rPr>
        <w:t xml:space="preserve">to which </w:t>
      </w:r>
      <w:r w:rsidR="00A50634" w:rsidRPr="00836D59">
        <w:rPr>
          <w:rFonts w:asciiTheme="minorHAnsi" w:hAnsiTheme="minorHAnsi"/>
          <w:lang w:val="en-GB"/>
        </w:rPr>
        <w:t xml:space="preserve">children </w:t>
      </w:r>
      <w:r w:rsidR="002879B4" w:rsidRPr="00836D59">
        <w:rPr>
          <w:rFonts w:asciiTheme="minorHAnsi" w:hAnsiTheme="minorHAnsi"/>
          <w:lang w:val="en-GB"/>
        </w:rPr>
        <w:t xml:space="preserve">are exposed </w:t>
      </w:r>
      <w:r w:rsidR="002140DE" w:rsidRPr="00836D59">
        <w:rPr>
          <w:rFonts w:asciiTheme="minorHAnsi" w:hAnsiTheme="minorHAnsi"/>
          <w:lang w:val="en-GB"/>
        </w:rPr>
        <w:t>is therefore vital</w:t>
      </w:r>
      <w:r w:rsidR="00EE4F20" w:rsidRPr="00836D59">
        <w:rPr>
          <w:rFonts w:asciiTheme="minorHAnsi" w:hAnsiTheme="minorHAnsi"/>
          <w:lang w:val="en-GB"/>
        </w:rPr>
        <w:t xml:space="preserve"> </w:t>
      </w:r>
      <w:r w:rsidR="00EE4F20" w:rsidRPr="00836D59">
        <w:rPr>
          <w:rFonts w:asciiTheme="minorHAnsi" w:hAnsiTheme="minorHAnsi"/>
          <w:i/>
          <w:lang w:val="en-GB"/>
        </w:rPr>
        <w:t>(</w:t>
      </w:r>
      <w:r w:rsidR="00CB7159" w:rsidRPr="00836D59">
        <w:rPr>
          <w:rFonts w:asciiTheme="minorHAnsi" w:hAnsiTheme="minorHAnsi"/>
          <w:i/>
          <w:lang w:val="en-GB"/>
        </w:rPr>
        <w:t>3</w:t>
      </w:r>
      <w:r w:rsidR="00EE4F20" w:rsidRPr="00836D59">
        <w:rPr>
          <w:rFonts w:asciiTheme="minorHAnsi" w:hAnsiTheme="minorHAnsi"/>
          <w:i/>
          <w:lang w:val="en-GB"/>
        </w:rPr>
        <w:t>)</w:t>
      </w:r>
      <w:r w:rsidR="002140DE" w:rsidRPr="00836D59">
        <w:rPr>
          <w:rFonts w:asciiTheme="minorHAnsi" w:hAnsiTheme="minorHAnsi"/>
          <w:lang w:val="en-GB"/>
        </w:rPr>
        <w:t xml:space="preserve">. </w:t>
      </w:r>
    </w:p>
    <w:p w14:paraId="2C62B92F" w14:textId="77777777" w:rsidR="00E65AF3" w:rsidRDefault="008316E0" w:rsidP="00836D59">
      <w:pPr>
        <w:spacing w:line="360" w:lineRule="auto"/>
        <w:rPr>
          <w:rFonts w:asciiTheme="minorHAnsi" w:hAnsiTheme="minorHAnsi"/>
          <w:lang w:val="en-GB"/>
        </w:rPr>
      </w:pPr>
      <w:r w:rsidRPr="00836D59">
        <w:rPr>
          <w:rFonts w:asciiTheme="minorHAnsi" w:hAnsiTheme="minorHAnsi"/>
          <w:lang w:val="en-GB"/>
        </w:rPr>
        <w:t>D</w:t>
      </w:r>
      <w:r w:rsidR="004D5CC3" w:rsidRPr="00836D59">
        <w:rPr>
          <w:rFonts w:asciiTheme="minorHAnsi" w:hAnsiTheme="minorHAnsi"/>
          <w:lang w:val="en-GB"/>
        </w:rPr>
        <w:t>igital media</w:t>
      </w:r>
      <w:r w:rsidR="00207F79" w:rsidRPr="00836D59">
        <w:rPr>
          <w:rFonts w:asciiTheme="minorHAnsi" w:hAnsiTheme="minorHAnsi"/>
          <w:lang w:val="en-GB"/>
        </w:rPr>
        <w:t xml:space="preserve"> research presents particular, novel challenges, </w:t>
      </w:r>
      <w:r w:rsidRPr="00836D59">
        <w:rPr>
          <w:rFonts w:asciiTheme="minorHAnsi" w:hAnsiTheme="minorHAnsi"/>
          <w:lang w:val="en-GB"/>
        </w:rPr>
        <w:t xml:space="preserve">however, </w:t>
      </w:r>
      <w:r w:rsidR="00207F79" w:rsidRPr="00836D59">
        <w:rPr>
          <w:rFonts w:asciiTheme="minorHAnsi" w:hAnsiTheme="minorHAnsi"/>
          <w:lang w:val="en-GB"/>
        </w:rPr>
        <w:t xml:space="preserve">as </w:t>
      </w:r>
      <w:r w:rsidR="002879B4" w:rsidRPr="00836D59">
        <w:rPr>
          <w:rFonts w:asciiTheme="minorHAnsi" w:hAnsiTheme="minorHAnsi"/>
          <w:lang w:val="en-GB"/>
        </w:rPr>
        <w:t>methods</w:t>
      </w:r>
      <w:r w:rsidR="00094BC3" w:rsidRPr="00836D59">
        <w:rPr>
          <w:rFonts w:asciiTheme="minorHAnsi" w:hAnsiTheme="minorHAnsi"/>
          <w:lang w:val="en-GB"/>
        </w:rPr>
        <w:t xml:space="preserve"> remain to be developed</w:t>
      </w:r>
      <w:r w:rsidR="00B70109" w:rsidRPr="00836D59">
        <w:rPr>
          <w:rFonts w:asciiTheme="minorHAnsi" w:hAnsiTheme="minorHAnsi"/>
          <w:lang w:val="en-GB"/>
        </w:rPr>
        <w:t>,</w:t>
      </w:r>
      <w:r w:rsidR="002140DE" w:rsidRPr="00836D59">
        <w:rPr>
          <w:rFonts w:asciiTheme="minorHAnsi" w:hAnsiTheme="minorHAnsi"/>
          <w:lang w:val="en-GB"/>
        </w:rPr>
        <w:t xml:space="preserve"> and </w:t>
      </w:r>
      <w:r w:rsidR="00071A74" w:rsidRPr="00836D59">
        <w:rPr>
          <w:rFonts w:asciiTheme="minorHAnsi" w:hAnsiTheme="minorHAnsi"/>
          <w:lang w:val="en-GB"/>
        </w:rPr>
        <w:t xml:space="preserve">accessing data from individuals and their digital devices </w:t>
      </w:r>
      <w:r w:rsidR="00624F81" w:rsidRPr="00836D59">
        <w:rPr>
          <w:rFonts w:asciiTheme="minorHAnsi" w:hAnsiTheme="minorHAnsi"/>
          <w:lang w:val="en-GB"/>
        </w:rPr>
        <w:t>“</w:t>
      </w:r>
      <w:r w:rsidR="002140DE" w:rsidRPr="00836D59">
        <w:rPr>
          <w:rFonts w:asciiTheme="minorHAnsi" w:hAnsiTheme="minorHAnsi"/>
          <w:lang w:val="en-GB"/>
        </w:rPr>
        <w:t>push[es] at the boundaries of existing research ethics guidance</w:t>
      </w:r>
      <w:r w:rsidR="00624F81" w:rsidRPr="00836D59">
        <w:rPr>
          <w:rFonts w:asciiTheme="minorHAnsi" w:hAnsiTheme="minorHAnsi"/>
          <w:lang w:val="en-GB"/>
        </w:rPr>
        <w:t>”</w:t>
      </w:r>
      <w:r w:rsidR="00AB083C" w:rsidRPr="00836D59">
        <w:rPr>
          <w:rFonts w:asciiTheme="minorHAnsi" w:hAnsiTheme="minorHAnsi"/>
          <w:lang w:val="en-GB"/>
        </w:rPr>
        <w:t xml:space="preserve"> </w:t>
      </w:r>
      <w:r w:rsidR="00AB083C" w:rsidRPr="00836D59">
        <w:rPr>
          <w:rFonts w:asciiTheme="minorHAnsi" w:hAnsiTheme="minorHAnsi"/>
          <w:i/>
          <w:lang w:val="en-GB"/>
        </w:rPr>
        <w:t>(7, p.</w:t>
      </w:r>
      <w:r w:rsidR="002F429D" w:rsidRPr="00836D59">
        <w:rPr>
          <w:rFonts w:asciiTheme="minorHAnsi" w:hAnsiTheme="minorHAnsi"/>
          <w:i/>
          <w:lang w:val="en-GB"/>
        </w:rPr>
        <w:t> </w:t>
      </w:r>
      <w:r w:rsidR="00AB083C" w:rsidRPr="00836D59">
        <w:rPr>
          <w:rFonts w:asciiTheme="minorHAnsi" w:hAnsiTheme="minorHAnsi"/>
          <w:i/>
          <w:lang w:val="en-GB"/>
        </w:rPr>
        <w:t>1909)</w:t>
      </w:r>
      <w:r w:rsidR="00071A74" w:rsidRPr="00836D59">
        <w:rPr>
          <w:rFonts w:asciiTheme="minorHAnsi" w:hAnsiTheme="minorHAnsi"/>
          <w:lang w:val="en-GB"/>
        </w:rPr>
        <w:t>. In addition, proposed methods have raised questions of legality within existing regulatory frameworks</w:t>
      </w:r>
      <w:r w:rsidR="002140DE" w:rsidRPr="00836D59">
        <w:rPr>
          <w:rFonts w:asciiTheme="minorHAnsi" w:hAnsiTheme="minorHAnsi"/>
          <w:lang w:val="en-GB"/>
        </w:rPr>
        <w:t xml:space="preserve"> </w:t>
      </w:r>
      <w:r w:rsidR="002140DE" w:rsidRPr="00836D59">
        <w:rPr>
          <w:rFonts w:asciiTheme="minorHAnsi" w:hAnsiTheme="minorHAnsi"/>
          <w:i/>
          <w:lang w:val="en-GB"/>
        </w:rPr>
        <w:fldChar w:fldCharType="begin" w:fldLock="1"/>
      </w:r>
      <w:r w:rsidR="002140DE" w:rsidRPr="00836D59">
        <w:rPr>
          <w:rFonts w:asciiTheme="minorHAnsi" w:hAnsiTheme="minorHAnsi"/>
          <w:i/>
          <w:lang w:val="en-GB"/>
        </w:rPr>
        <w:instrText>ADDIN CSL_CITATION { "citationItems" : [ { "id" : "ITEM-1", "itemData" : { "DOI" : "10.1109/HICSS.2016.242", "ISBN" : "9780769556703", "ISSN" : "15301605", "abstract" : "Defining ethical practices for research using data from digital and social media communities is an ongoing challenge. This paper reports on interviews with digital and social media researchers to investigate the challenges they experienced when collecting, managing, and analyzing online data. Analysis of the interviews reveals a diverse set of ethical challenges that push at the boundaries of existing research ethics guidance. The interview data also describes existing practices for navigating ethical quandaries, and documents resources that help researchers meet ethical challenges. The analysis of the data points to opportunities for review boards and ethics researchers as well as new debates to undertake as a community.", "author" : [ { "dropping-particle" : "", "family" : "Shilton", "given" : "Katie", "non-dropping-particle" : "", "parse-names" : false, "suffix" : "" }, { "dropping-particle" : "", "family" : "Sayles", "given" : "Sheridan", "non-dropping-particle" : "", "parse-names" : false, "suffix" : "" } ], "container-title" : "Proceedings of the Annual Hawaii International Conference on System Sciences", "id" : "ITEM-1", "issued" : { "date-parts" : [ [ "2016" ] ] }, "page" : "1909-1918", "title" : "We aren't all going to be on the same page about ethics: ethical practices and challenges in research on digital and social media", "type" : "paper-conference", "volume" : "2016-March" }, "uris" : [ "http://www.mendeley.com/documents/?uuid=ce3eeec2-dbf3-422c-ad48-6f87ea1d4cbc" ] } ], "mendeley" : { "formattedCitation" : "(Shilton &amp; Sayles, 2016)", "plainTextFormattedCitation" : "(Shilton &amp; Sayles, 2016)", "previouslyFormattedCitation" : "(Shilton &amp; Sayles, 2016)" }, "properties" : { "noteIndex" : 0 }, "schema" : "https://github.com/citation-style-language/schema/raw/master/csl-citation.json" }</w:instrText>
      </w:r>
      <w:r w:rsidR="002140DE" w:rsidRPr="00836D59">
        <w:rPr>
          <w:rFonts w:asciiTheme="minorHAnsi" w:hAnsiTheme="minorHAnsi"/>
          <w:i/>
          <w:lang w:val="en-GB"/>
        </w:rPr>
        <w:fldChar w:fldCharType="separate"/>
      </w:r>
      <w:r w:rsidR="002140DE" w:rsidRPr="00836D59">
        <w:rPr>
          <w:rFonts w:asciiTheme="minorHAnsi" w:hAnsiTheme="minorHAnsi"/>
          <w:i/>
          <w:lang w:val="en-GB"/>
        </w:rPr>
        <w:t>(</w:t>
      </w:r>
      <w:r w:rsidR="00CB7159" w:rsidRPr="00836D59">
        <w:rPr>
          <w:rFonts w:asciiTheme="minorHAnsi" w:hAnsiTheme="minorHAnsi"/>
          <w:i/>
          <w:lang w:val="en-GB"/>
        </w:rPr>
        <w:t>7,</w:t>
      </w:r>
      <w:r w:rsidR="006B0CED" w:rsidRPr="00836D59">
        <w:rPr>
          <w:rFonts w:asciiTheme="minorHAnsi" w:hAnsiTheme="minorHAnsi"/>
          <w:i/>
          <w:lang w:val="en-GB"/>
        </w:rPr>
        <w:t xml:space="preserve"> </w:t>
      </w:r>
      <w:r w:rsidR="00CB7159" w:rsidRPr="00836D59">
        <w:rPr>
          <w:rFonts w:asciiTheme="minorHAnsi" w:hAnsiTheme="minorHAnsi"/>
          <w:i/>
          <w:lang w:val="en-GB"/>
        </w:rPr>
        <w:t>8</w:t>
      </w:r>
      <w:r w:rsidR="002140DE" w:rsidRPr="00836D59">
        <w:rPr>
          <w:rFonts w:asciiTheme="minorHAnsi" w:hAnsiTheme="minorHAnsi"/>
          <w:i/>
          <w:lang w:val="en-GB"/>
        </w:rPr>
        <w:t>)</w:t>
      </w:r>
      <w:r w:rsidR="002140DE" w:rsidRPr="00836D59">
        <w:rPr>
          <w:rFonts w:asciiTheme="minorHAnsi" w:hAnsiTheme="minorHAnsi"/>
          <w:i/>
          <w:lang w:val="en-GB"/>
        </w:rPr>
        <w:fldChar w:fldCharType="end"/>
      </w:r>
      <w:r w:rsidR="00943DF5" w:rsidRPr="00836D59">
        <w:rPr>
          <w:rFonts w:asciiTheme="minorHAnsi" w:hAnsiTheme="minorHAnsi"/>
          <w:lang w:val="en-GB"/>
        </w:rPr>
        <w:t>,</w:t>
      </w:r>
      <w:r w:rsidR="00B70109" w:rsidRPr="00836D59">
        <w:rPr>
          <w:rFonts w:asciiTheme="minorHAnsi" w:hAnsiTheme="minorHAnsi"/>
          <w:lang w:val="en-GB"/>
        </w:rPr>
        <w:t xml:space="preserve"> as well as </w:t>
      </w:r>
      <w:r w:rsidR="00162139" w:rsidRPr="00836D59">
        <w:rPr>
          <w:rFonts w:asciiTheme="minorHAnsi" w:hAnsiTheme="minorHAnsi"/>
          <w:lang w:val="en-GB"/>
        </w:rPr>
        <w:t xml:space="preserve">within </w:t>
      </w:r>
      <w:r w:rsidR="00B70109" w:rsidRPr="00836D59">
        <w:rPr>
          <w:rFonts w:asciiTheme="minorHAnsi" w:hAnsiTheme="minorHAnsi"/>
          <w:lang w:val="en-GB"/>
        </w:rPr>
        <w:t>services</w:t>
      </w:r>
      <w:r w:rsidR="00624F81" w:rsidRPr="00836D59">
        <w:rPr>
          <w:rFonts w:asciiTheme="minorHAnsi" w:hAnsiTheme="minorHAnsi"/>
          <w:lang w:val="en-GB"/>
        </w:rPr>
        <w:t>’</w:t>
      </w:r>
      <w:r w:rsidR="00B70109" w:rsidRPr="00836D59">
        <w:rPr>
          <w:rFonts w:asciiTheme="minorHAnsi" w:hAnsiTheme="minorHAnsi"/>
          <w:lang w:val="en-GB"/>
        </w:rPr>
        <w:t xml:space="preserve"> terms and conditions</w:t>
      </w:r>
      <w:r w:rsidR="00086755" w:rsidRPr="00836D59">
        <w:rPr>
          <w:rFonts w:asciiTheme="minorHAnsi" w:hAnsiTheme="minorHAnsi"/>
          <w:lang w:val="en-GB"/>
        </w:rPr>
        <w:t xml:space="preserve">. </w:t>
      </w:r>
      <w:r w:rsidR="00F91049" w:rsidRPr="00836D59">
        <w:rPr>
          <w:rFonts w:asciiTheme="minorHAnsi" w:hAnsiTheme="minorHAnsi"/>
          <w:lang w:val="en-GB"/>
        </w:rPr>
        <w:t>Internet r</w:t>
      </w:r>
      <w:r w:rsidR="00A51EB9" w:rsidRPr="00836D59">
        <w:rPr>
          <w:rFonts w:asciiTheme="minorHAnsi" w:hAnsiTheme="minorHAnsi"/>
          <w:lang w:val="en-GB"/>
        </w:rPr>
        <w:t>esearchers adopt wide</w:t>
      </w:r>
      <w:r w:rsidR="00F91049" w:rsidRPr="00836D59">
        <w:rPr>
          <w:rFonts w:asciiTheme="minorHAnsi" w:hAnsiTheme="minorHAnsi"/>
          <w:lang w:val="en-GB"/>
        </w:rPr>
        <w:t>ly</w:t>
      </w:r>
      <w:r w:rsidR="00A51EB9" w:rsidRPr="00836D59">
        <w:rPr>
          <w:rFonts w:asciiTheme="minorHAnsi" w:hAnsiTheme="minorHAnsi"/>
          <w:lang w:val="en-GB"/>
        </w:rPr>
        <w:t xml:space="preserve"> var</w:t>
      </w:r>
      <w:r w:rsidR="00F91049" w:rsidRPr="00836D59">
        <w:rPr>
          <w:rFonts w:asciiTheme="minorHAnsi" w:hAnsiTheme="minorHAnsi"/>
          <w:lang w:val="en-GB"/>
        </w:rPr>
        <w:t>ying practices</w:t>
      </w:r>
      <w:r w:rsidR="00A51EB9" w:rsidRPr="00836D59">
        <w:rPr>
          <w:rFonts w:asciiTheme="minorHAnsi" w:hAnsiTheme="minorHAnsi"/>
          <w:lang w:val="en-GB"/>
        </w:rPr>
        <w:t xml:space="preserve"> in data management, sharing </w:t>
      </w:r>
      <w:r w:rsidR="00854B53" w:rsidRPr="00836D59">
        <w:rPr>
          <w:rFonts w:asciiTheme="minorHAnsi" w:hAnsiTheme="minorHAnsi"/>
          <w:lang w:val="en-GB"/>
        </w:rPr>
        <w:t xml:space="preserve">and analysis; </w:t>
      </w:r>
      <w:r w:rsidR="00A51EB9" w:rsidRPr="00836D59">
        <w:rPr>
          <w:rFonts w:asciiTheme="minorHAnsi" w:hAnsiTheme="minorHAnsi"/>
          <w:lang w:val="en-GB"/>
        </w:rPr>
        <w:t xml:space="preserve">computing, data and analytics </w:t>
      </w:r>
      <w:r w:rsidR="00854B53" w:rsidRPr="00836D59">
        <w:rPr>
          <w:rFonts w:asciiTheme="minorHAnsi" w:hAnsiTheme="minorHAnsi"/>
          <w:lang w:val="en-GB"/>
        </w:rPr>
        <w:t xml:space="preserve">researchers </w:t>
      </w:r>
      <w:r w:rsidR="00A51EB9" w:rsidRPr="00836D59">
        <w:rPr>
          <w:rFonts w:asciiTheme="minorHAnsi" w:hAnsiTheme="minorHAnsi"/>
          <w:lang w:val="en-GB"/>
        </w:rPr>
        <w:t>have a high</w:t>
      </w:r>
      <w:r w:rsidR="00A94779" w:rsidRPr="00836D59">
        <w:rPr>
          <w:rFonts w:asciiTheme="minorHAnsi" w:hAnsiTheme="minorHAnsi"/>
          <w:lang w:val="en-GB"/>
        </w:rPr>
        <w:t>er</w:t>
      </w:r>
      <w:r w:rsidR="00A51EB9" w:rsidRPr="00836D59">
        <w:rPr>
          <w:rFonts w:asciiTheme="minorHAnsi" w:hAnsiTheme="minorHAnsi"/>
          <w:lang w:val="en-GB"/>
        </w:rPr>
        <w:t xml:space="preserve"> tolerance for </w:t>
      </w:r>
      <w:r w:rsidR="00F13F01" w:rsidRPr="00836D59">
        <w:rPr>
          <w:rFonts w:asciiTheme="minorHAnsi" w:hAnsiTheme="minorHAnsi"/>
          <w:lang w:val="en-GB"/>
        </w:rPr>
        <w:t xml:space="preserve">personal </w:t>
      </w:r>
      <w:r w:rsidR="00A51EB9" w:rsidRPr="00836D59">
        <w:rPr>
          <w:rFonts w:asciiTheme="minorHAnsi" w:hAnsiTheme="minorHAnsi"/>
          <w:lang w:val="en-GB"/>
        </w:rPr>
        <w:t xml:space="preserve">data </w:t>
      </w:r>
      <w:r w:rsidR="00A94779" w:rsidRPr="00836D59">
        <w:rPr>
          <w:rFonts w:asciiTheme="minorHAnsi" w:hAnsiTheme="minorHAnsi"/>
          <w:lang w:val="en-GB"/>
        </w:rPr>
        <w:t xml:space="preserve">extraction, </w:t>
      </w:r>
      <w:r w:rsidR="00A51EB9" w:rsidRPr="00836D59">
        <w:rPr>
          <w:rFonts w:asciiTheme="minorHAnsi" w:hAnsiTheme="minorHAnsi"/>
          <w:lang w:val="en-GB"/>
        </w:rPr>
        <w:t xml:space="preserve">use and analysis </w:t>
      </w:r>
      <w:r w:rsidR="009A5DE7" w:rsidRPr="00836D59">
        <w:rPr>
          <w:rFonts w:asciiTheme="minorHAnsi" w:hAnsiTheme="minorHAnsi"/>
          <w:lang w:val="en-GB"/>
        </w:rPr>
        <w:t>than</w:t>
      </w:r>
      <w:r w:rsidR="00A51EB9" w:rsidRPr="00836D59">
        <w:rPr>
          <w:rFonts w:asciiTheme="minorHAnsi" w:hAnsiTheme="minorHAnsi"/>
          <w:lang w:val="en-GB"/>
        </w:rPr>
        <w:t xml:space="preserve"> social and behavioural sciences</w:t>
      </w:r>
      <w:r w:rsidR="00854B53" w:rsidRPr="00836D59">
        <w:rPr>
          <w:rFonts w:asciiTheme="minorHAnsi" w:hAnsiTheme="minorHAnsi"/>
          <w:lang w:val="en-GB"/>
        </w:rPr>
        <w:t xml:space="preserve"> researchers</w:t>
      </w:r>
      <w:r w:rsidR="00A51EB9" w:rsidRPr="00836D59">
        <w:rPr>
          <w:rFonts w:asciiTheme="minorHAnsi" w:hAnsiTheme="minorHAnsi"/>
          <w:lang w:val="en-GB"/>
        </w:rPr>
        <w:t xml:space="preserve">. </w:t>
      </w:r>
      <w:r w:rsidR="0058327D" w:rsidRPr="00836D59">
        <w:rPr>
          <w:rFonts w:asciiTheme="minorHAnsi" w:hAnsiTheme="minorHAnsi"/>
          <w:lang w:val="en-GB"/>
        </w:rPr>
        <w:t>T</w:t>
      </w:r>
      <w:r w:rsidR="00857CF8" w:rsidRPr="00836D59">
        <w:rPr>
          <w:rFonts w:asciiTheme="minorHAnsi" w:hAnsiTheme="minorHAnsi"/>
          <w:lang w:val="en-GB"/>
        </w:rPr>
        <w:t xml:space="preserve">here is little guidance to inform research and ethical design, and </w:t>
      </w:r>
      <w:r w:rsidR="00004060" w:rsidRPr="00836D59">
        <w:rPr>
          <w:rFonts w:asciiTheme="minorHAnsi" w:hAnsiTheme="minorHAnsi"/>
          <w:lang w:val="en-GB"/>
        </w:rPr>
        <w:t>little evidence to guide institutional research review boards</w:t>
      </w:r>
      <w:r w:rsidR="00624F81" w:rsidRPr="00836D59">
        <w:rPr>
          <w:rFonts w:asciiTheme="minorHAnsi" w:hAnsiTheme="minorHAnsi"/>
          <w:lang w:val="en-GB"/>
        </w:rPr>
        <w:t>’</w:t>
      </w:r>
      <w:r w:rsidR="000209B4" w:rsidRPr="00836D59">
        <w:rPr>
          <w:rFonts w:asciiTheme="minorHAnsi" w:hAnsiTheme="minorHAnsi"/>
          <w:lang w:val="en-GB"/>
        </w:rPr>
        <w:t xml:space="preserve"> risk identification and management</w:t>
      </w:r>
      <w:r w:rsidR="00857CF8" w:rsidRPr="00836D59">
        <w:rPr>
          <w:rFonts w:asciiTheme="minorHAnsi" w:hAnsiTheme="minorHAnsi"/>
          <w:lang w:val="en-GB"/>
        </w:rPr>
        <w:t xml:space="preserve"> </w:t>
      </w:r>
      <w:r w:rsidR="00004060" w:rsidRPr="00836D59">
        <w:rPr>
          <w:rFonts w:asciiTheme="minorHAnsi" w:hAnsiTheme="minorHAnsi"/>
          <w:i/>
          <w:lang w:val="en-GB"/>
        </w:rPr>
        <w:fldChar w:fldCharType="begin" w:fldLock="1"/>
      </w:r>
      <w:r w:rsidR="00004060" w:rsidRPr="00836D59">
        <w:rPr>
          <w:rFonts w:asciiTheme="minorHAnsi" w:hAnsiTheme="minorHAnsi"/>
          <w:i/>
          <w:lang w:val="en-GB"/>
        </w:rPr>
        <w:instrText>ADDIN CSL_CITATION { "citationItems" : [ { "id" : "ITEM-1", "itemData" : { "DOI" : "10.1109/HICSS.2016.242", "ISBN" : "9780769556703", "ISSN" : "15301605", "abstract" : "Defining ethical practices for research using data from digital and social media communities is an ongoing challenge. This paper reports on interviews with digital and social media researchers to investigate the challenges they experienced when collecting, managing, and analyzing online data. Analysis of the interviews reveals a diverse set of ethical challenges that push at the boundaries of existing research ethics guidance. The interview data also describes existing practices for navigating ethical quandaries, and documents resources that help researchers meet ethical challenges. The analysis of the data points to opportunities for review boards and ethics researchers as well as new debates to undertake as a community.", "author" : [ { "dropping-particle" : "", "family" : "Shilton", "given" : "Katie", "non-dropping-particle" : "", "parse-names" : false, "suffix" : "" }, { "dropping-particle" : "", "family" : "Sayles", "given" : "Sheridan", "non-dropping-particle" : "", "parse-names" : false, "suffix" : "" } ], "container-title" : "Proceedings of the Annual Hawaii International Conference on System Sciences", "id" : "ITEM-1", "issued" : { "date-parts" : [ [ "2016" ] ] }, "page" : "1909-1918", "title" : "We aren't all going to be on the same page about ethics: ethical practices and challenges in research on digital and social media", "type" : "paper-conference", "volume" : "2016-March" }, "uris" : [ "http://www.mendeley.com/documents/?uuid=ce3eeec2-dbf3-422c-ad48-6f87ea1d4cbc" ] }, { "id" : "ITEM-2", "itemData" : { "DOI" : "10.1007/s13142-016-0426-4", "ISBN" : "1314201604264", "ISSN" : "1869-6716", "abstract" : "Researchers utilize mobile imaging, pervasive sensing, social media, and location tracking (MISST) technologies to observe and intervene with participants in their natural environment. The use of MISST methods and tools introduces unique ethical issues due to the type and quantity of data, and produces raising new challenges around informed consent, risk assessment, and data management. Since MISST methods are relatively new in behavioral research, there is little documented evidence to guide institutional review board (IRB) risk assessment and inform appropriate risk management strategies. This study was conducted to contribute the participant perspectives when considering ethical and responsible practices. Participants (n = 82) enrolled in an observational study where they wore several MISST devices for 1 week completed an exit survey. Survey items focused on the following: 1\u2014device comfort, 2\u2014informed consent, 3\u2014privacy protections, and 4\u2014bystander engagement. The informed consent process reflected participant actual experience. Device comfort and privacy were raised as concerns to both the participants and bystanders. While the majority of the participants reported a positive experience, it is important to note that the participants were volunteers who were not mandated to wear tracking devices and that persons who are mandated may not have a similar response. Findings support strategies proposed in the Kelly et al. (2013) ethical framework, which emphasizes procedures to improve informed consent, protect privacy, manage data, and respect bystander rights when using a wearable camera.", "author" : [ { "dropping-particle" : "", "family" : "Nebeker", "given" : "Camille", "non-dropping-particle" : "", "parse-names" : false, "suffix" : "" }, { "dropping-particle" : "", "family" : "Lagare", "given" : "Tiffany", "non-dropping-particle" : "", "parse-names" : false, "suffix" : "" }, { "dropping-particle" : "", "family" : "Takemoto", "given" : "Michelle", "non-dropping-particle" : "", "parse-names" : false, "suffix" : "" }, { "dropping-particle" : "", "family" : "Lewars", "given" : "Brittany", "non-dropping-particle" : "", "parse-names" : false, "suffix" : "" }, { "dropping-particle" : "", "family" : "Crist", "given" : "Katie", "non-dropping-particle" : "", "parse-names" : false, "suffix" : "" }, { "dropping-particle" : "", "family" : "Bloss", "given" : "Cinnamon S", "non-dropping-particle" : "", "parse-names" : false, "suffix" : "" }, { "dropping-particle" : "", "family" : "Kerr", "given" : "Jacqueline", "non-dropping-particle" : "", "parse-names" : false, "suffix" : "" } ], "container-title" : "Translational Behavioral Medicine", "id" : "ITEM-2", "issued" : { "date-parts" : [ [ "2016" ] ] }, "publisher" : "Translational Behavioral Medicine", "title" : "Engaging participants to inform the ethical conduct of mobile imaging, pervasive sensing and location tracking research", "type" : "article-journal", "volume" : "online pre" }, "uris" : [ "http://www.mendeley.com/documents/?uuid=5af520b8-3419-4f0c-ac1b-432add6719e9" ] }, { "id" : "ITEM-3", "itemData" : { "ISBN" : "9781577357360", "abstract" : "This paper offers insights into social media researchers\u2019 everyday practices in dealing with constraints and challeng- es in the areas of data access, in terms of data collection and sharing, and data publication. We believe that such insights need to be taken into account when discussing methodology and epistemology of social media data to ensure that strate- gies employed to achieve validity are appropriate. A qualitative, ethnographic research approach (based on ex- pert interviews, observation and a qualitative questionnaire) is used to capture the practices and discussions of a variety of social media researchers. The paper concludes that due to the current situation in data sharing and publication oppor- tunities, both the actual research data and much of the technical knowledge in social media research remain hidden unless revealed by studying researchers\u2019 everyday practices. Such studies reveal a considerable impact of external con- straints on researchers\u2019 attempts to achieve validity and better re-search quality.", "author" : [ { "dropping-particle" : "", "family" : "Weller", "given" : "Katrin", "non-dropping-particle" : "", "parse-names" : false, "suffix" : "" }, { "dropping-particle" : "", "family" : "Kinder-Kurlanda", "given" : "Katharina E", "non-dropping-particle" : "", "parse-names" : false, "suffix" : "" } ], "container-title" : "Proceedings of the Ninth International AAAI Conference on Web and Social Media", "id" : "ITEM-3", "issued" : { "date-parts" : [ [ "2015" ] ] }, "page" : "28-37", "title" : "Uncovering the Challenges in Collection, Sharing and Documentation: The Hidden Data of Social Media Research?", "type" : "paper-conference" }, "uris" : [ "http://www.mendeley.com/documents/?uuid=65563cf9-9eb7-465b-8c06-39bc92e3a3eb" ] } ], "mendeley" : { "formattedCitation" : "(Nebeker et al., 2016; Shilton &amp; Sayles, 2016; Weller &amp; Kinder-Kurlanda, 2015)", "plainTextFormattedCitation" : "(Nebeker et al., 2016; Shilton &amp; Sayles, 2016; Weller &amp; Kinder-Kurlanda, 2015)", "previouslyFormattedCitation" : "(Nebeker et al., 2016; Shilton &amp; Sayles, 2016; Weller &amp; Kinder-Kurlanda, 2015)" }, "properties" : { "noteIndex" : 0 }, "schema" : "https://github.com/citation-style-language/schema/raw/master/csl-citation.json" }</w:instrText>
      </w:r>
      <w:r w:rsidR="00004060" w:rsidRPr="00836D59">
        <w:rPr>
          <w:rFonts w:asciiTheme="minorHAnsi" w:hAnsiTheme="minorHAnsi"/>
          <w:i/>
          <w:lang w:val="en-GB"/>
        </w:rPr>
        <w:fldChar w:fldCharType="separate"/>
      </w:r>
      <w:r w:rsidR="00D9653F" w:rsidRPr="00836D59">
        <w:rPr>
          <w:rFonts w:asciiTheme="minorHAnsi" w:hAnsiTheme="minorHAnsi"/>
          <w:i/>
          <w:lang w:val="en-GB"/>
        </w:rPr>
        <w:t>(</w:t>
      </w:r>
      <w:r w:rsidR="00CB7159" w:rsidRPr="00836D59">
        <w:rPr>
          <w:rFonts w:asciiTheme="minorHAnsi" w:hAnsiTheme="minorHAnsi"/>
          <w:i/>
          <w:lang w:val="en-GB"/>
        </w:rPr>
        <w:t>7,</w:t>
      </w:r>
      <w:r w:rsidR="006B0CED" w:rsidRPr="00836D59">
        <w:rPr>
          <w:rFonts w:asciiTheme="minorHAnsi" w:hAnsiTheme="minorHAnsi"/>
          <w:i/>
          <w:lang w:val="en-GB"/>
        </w:rPr>
        <w:t xml:space="preserve"> </w:t>
      </w:r>
      <w:r w:rsidR="00CB7159" w:rsidRPr="00836D59">
        <w:rPr>
          <w:rFonts w:asciiTheme="minorHAnsi" w:hAnsiTheme="minorHAnsi"/>
          <w:i/>
          <w:lang w:val="en-GB"/>
        </w:rPr>
        <w:t>8</w:t>
      </w:r>
      <w:r w:rsidR="00004060" w:rsidRPr="00836D59">
        <w:rPr>
          <w:rFonts w:asciiTheme="minorHAnsi" w:hAnsiTheme="minorHAnsi"/>
          <w:i/>
          <w:lang w:val="en-GB"/>
        </w:rPr>
        <w:t>)</w:t>
      </w:r>
      <w:r w:rsidR="00004060" w:rsidRPr="00836D59">
        <w:rPr>
          <w:rFonts w:asciiTheme="minorHAnsi" w:hAnsiTheme="minorHAnsi"/>
          <w:i/>
          <w:lang w:val="en-GB"/>
        </w:rPr>
        <w:fldChar w:fldCharType="end"/>
      </w:r>
      <w:r w:rsidR="00004060" w:rsidRPr="00836D59">
        <w:rPr>
          <w:rFonts w:asciiTheme="minorHAnsi" w:hAnsiTheme="minorHAnsi"/>
          <w:lang w:val="en-GB"/>
        </w:rPr>
        <w:t xml:space="preserve">. </w:t>
      </w:r>
      <w:r w:rsidR="00AE2BD4" w:rsidRPr="00836D59">
        <w:rPr>
          <w:rFonts w:asciiTheme="minorHAnsi" w:hAnsiTheme="minorHAnsi"/>
          <w:lang w:val="en-GB"/>
        </w:rPr>
        <w:t>Best practice and review processes are rarely shared publicly: researchers typically rely on informal exchanges of experience; indeed, they may experience post</w:t>
      </w:r>
      <w:r w:rsidR="009A5DE7" w:rsidRPr="00836D59">
        <w:rPr>
          <w:rFonts w:asciiTheme="minorHAnsi" w:hAnsiTheme="minorHAnsi"/>
          <w:lang w:val="en-GB"/>
        </w:rPr>
        <w:t xml:space="preserve"> </w:t>
      </w:r>
      <w:r w:rsidR="00AE2BD4" w:rsidRPr="00836D59">
        <w:rPr>
          <w:rFonts w:asciiTheme="minorHAnsi" w:hAnsiTheme="minorHAnsi"/>
          <w:lang w:val="en-GB"/>
        </w:rPr>
        <w:t xml:space="preserve">hoc ethical scrutiny in the peer-review process, which may hamper progress to publication </w:t>
      </w:r>
      <w:r w:rsidR="00AE2BD4" w:rsidRPr="00836D59">
        <w:rPr>
          <w:rFonts w:asciiTheme="minorHAnsi" w:hAnsiTheme="minorHAnsi"/>
          <w:i/>
          <w:lang w:val="en-GB"/>
        </w:rPr>
        <w:fldChar w:fldCharType="begin" w:fldLock="1"/>
      </w:r>
      <w:r w:rsidR="00AE2BD4" w:rsidRPr="00836D59">
        <w:rPr>
          <w:rFonts w:asciiTheme="minorHAnsi" w:hAnsiTheme="minorHAnsi"/>
          <w:i/>
          <w:lang w:val="en-GB"/>
        </w:rPr>
        <w:instrText>ADDIN CSL_CITATION { "citationItems" : [ { "id" : "ITEM-1", "itemData" : { "DOI" : "10.1109/HICSS.2016.242", "ISBN" : "9780769556703", "ISSN" : "15301605", "abstract" : "Defining ethical practices for research using data from digital and social media communities is an ongoing challenge. This paper reports on interviews with digital and social media researchers to investigate the challenges they experienced when collecting, managing, and analyzing online data. Analysis of the interviews reveals a diverse set of ethical challenges that push at the boundaries of existing research ethics guidance. The interview data also describes existing practices for navigating ethical quandaries, and documents resources that help researchers meet ethical challenges. The analysis of the data points to opportunities for review boards and ethics researchers as well as new debates to undertake as a community.", "author" : [ { "dropping-particle" : "", "family" : "Shilton", "given" : "Katie", "non-dropping-particle" : "", "parse-names" : false, "suffix" : "" }, { "dropping-particle" : "", "family" : "Sayles", "given" : "Sheridan", "non-dropping-particle" : "", "parse-names" : false, "suffix" : "" } ], "container-title" : "Proceedings of the Annual Hawaii International Conference on System Sciences", "id" : "ITEM-1", "issued" : { "date-parts" : [ [ "2016" ] ] }, "page" : "1909-1918", "title" : "We aren't all going to be on the same page about ethics: ethical practices and challenges in research on digital and social media", "type" : "paper-conference", "volume" : "2016-March" }, "uris" : [ "http://www.mendeley.com/documents/?uuid=ce3eeec2-dbf3-422c-ad48-6f87ea1d4cbc" ] } ], "mendeley" : { "formattedCitation" : "(Shilton &amp; Sayles, 2016)", "plainTextFormattedCitation" : "(Shilton &amp; Sayles, 2016)", "previouslyFormattedCitation" : "(Shilton &amp; Sayles, 2016)" }, "properties" : { "noteIndex" : 0 }, "schema" : "https://github.com/citation-style-language/schema/raw/master/csl-citation.json" }</w:instrText>
      </w:r>
      <w:r w:rsidR="00AE2BD4" w:rsidRPr="00836D59">
        <w:rPr>
          <w:rFonts w:asciiTheme="minorHAnsi" w:hAnsiTheme="minorHAnsi"/>
          <w:i/>
          <w:lang w:val="en-GB"/>
        </w:rPr>
        <w:fldChar w:fldCharType="separate"/>
      </w:r>
      <w:r w:rsidR="00AE2BD4" w:rsidRPr="00836D59">
        <w:rPr>
          <w:rFonts w:asciiTheme="minorHAnsi" w:hAnsiTheme="minorHAnsi"/>
          <w:i/>
          <w:lang w:val="en-GB"/>
        </w:rPr>
        <w:t>(</w:t>
      </w:r>
      <w:r w:rsidR="00CB7159" w:rsidRPr="00836D59">
        <w:rPr>
          <w:rFonts w:asciiTheme="minorHAnsi" w:hAnsiTheme="minorHAnsi"/>
          <w:i/>
          <w:lang w:val="en-GB"/>
        </w:rPr>
        <w:t>7)</w:t>
      </w:r>
      <w:r w:rsidR="00AE2BD4" w:rsidRPr="00836D59">
        <w:rPr>
          <w:rFonts w:asciiTheme="minorHAnsi" w:hAnsiTheme="minorHAnsi"/>
          <w:i/>
          <w:lang w:val="en-GB"/>
        </w:rPr>
        <w:fldChar w:fldCharType="end"/>
      </w:r>
      <w:r w:rsidR="00AE2BD4" w:rsidRPr="00836D59">
        <w:rPr>
          <w:rFonts w:asciiTheme="minorHAnsi" w:hAnsiTheme="minorHAnsi"/>
          <w:lang w:val="en-GB"/>
        </w:rPr>
        <w:t>.</w:t>
      </w:r>
      <w:r w:rsidR="0087421B" w:rsidRPr="00836D59">
        <w:rPr>
          <w:rFonts w:asciiTheme="minorHAnsi" w:hAnsiTheme="minorHAnsi"/>
          <w:lang w:val="en-GB"/>
        </w:rPr>
        <w:t xml:space="preserve"> </w:t>
      </w:r>
    </w:p>
    <w:p w14:paraId="0D193699" w14:textId="62671198" w:rsidR="00004060" w:rsidRPr="00836D59" w:rsidRDefault="00071A74" w:rsidP="00836D59">
      <w:pPr>
        <w:spacing w:line="360" w:lineRule="auto"/>
        <w:rPr>
          <w:rFonts w:asciiTheme="minorHAnsi" w:hAnsiTheme="minorHAnsi"/>
          <w:lang w:val="en-GB"/>
        </w:rPr>
      </w:pPr>
      <w:r w:rsidRPr="00836D59">
        <w:rPr>
          <w:rFonts w:asciiTheme="minorHAnsi" w:hAnsiTheme="minorHAnsi"/>
          <w:lang w:val="en-GB"/>
        </w:rPr>
        <w:t>Furthermore</w:t>
      </w:r>
      <w:r w:rsidR="0087421B" w:rsidRPr="00836D59">
        <w:rPr>
          <w:rFonts w:asciiTheme="minorHAnsi" w:hAnsiTheme="minorHAnsi"/>
          <w:lang w:val="en-GB"/>
        </w:rPr>
        <w:t xml:space="preserve">, recent </w:t>
      </w:r>
      <w:r w:rsidR="00666A3F" w:rsidRPr="00836D59">
        <w:rPr>
          <w:rFonts w:asciiTheme="minorHAnsi" w:hAnsiTheme="minorHAnsi"/>
          <w:lang w:val="en-GB"/>
        </w:rPr>
        <w:t xml:space="preserve">legal </w:t>
      </w:r>
      <w:r w:rsidR="0087421B" w:rsidRPr="00836D59">
        <w:rPr>
          <w:rFonts w:asciiTheme="minorHAnsi" w:hAnsiTheme="minorHAnsi"/>
          <w:lang w:val="en-GB"/>
        </w:rPr>
        <w:t>developments applicable to digital media research</w:t>
      </w:r>
      <w:r w:rsidR="000855A8" w:rsidRPr="00836D59">
        <w:rPr>
          <w:rFonts w:asciiTheme="minorHAnsi" w:hAnsiTheme="minorHAnsi"/>
          <w:lang w:val="en-GB"/>
        </w:rPr>
        <w:t xml:space="preserve"> (</w:t>
      </w:r>
      <w:r w:rsidR="009A5DE7" w:rsidRPr="00836D59">
        <w:rPr>
          <w:rFonts w:asciiTheme="minorHAnsi" w:hAnsiTheme="minorHAnsi"/>
          <w:lang w:val="en-GB"/>
        </w:rPr>
        <w:t xml:space="preserve">such as those </w:t>
      </w:r>
      <w:r w:rsidR="000855A8" w:rsidRPr="00836D59">
        <w:rPr>
          <w:rFonts w:asciiTheme="minorHAnsi" w:hAnsiTheme="minorHAnsi"/>
          <w:lang w:val="en-GB"/>
        </w:rPr>
        <w:t>concerning the use of personal data for research purposes)</w:t>
      </w:r>
      <w:r w:rsidR="0087421B" w:rsidRPr="00836D59">
        <w:rPr>
          <w:rFonts w:asciiTheme="minorHAnsi" w:hAnsiTheme="minorHAnsi"/>
          <w:lang w:val="en-GB"/>
        </w:rPr>
        <w:t xml:space="preserve"> </w:t>
      </w:r>
      <w:r w:rsidR="000855A8" w:rsidRPr="00836D59">
        <w:rPr>
          <w:rFonts w:asciiTheme="minorHAnsi" w:hAnsiTheme="minorHAnsi"/>
          <w:lang w:val="en-GB"/>
        </w:rPr>
        <w:t>require</w:t>
      </w:r>
      <w:r w:rsidR="00A87550" w:rsidRPr="00836D59">
        <w:rPr>
          <w:rFonts w:asciiTheme="minorHAnsi" w:hAnsiTheme="minorHAnsi"/>
          <w:lang w:val="en-GB"/>
        </w:rPr>
        <w:t xml:space="preserve"> further attention.</w:t>
      </w:r>
    </w:p>
    <w:p w14:paraId="7033F842" w14:textId="3A0B0692" w:rsidR="00004060" w:rsidRPr="00836D59" w:rsidRDefault="001D0845" w:rsidP="00836D59">
      <w:pPr>
        <w:pStyle w:val="Heading1"/>
        <w:spacing w:line="360" w:lineRule="auto"/>
        <w:rPr>
          <w:rFonts w:asciiTheme="minorHAnsi" w:hAnsiTheme="minorHAnsi"/>
          <w:lang w:val="en-GB"/>
        </w:rPr>
      </w:pPr>
      <w:r w:rsidRPr="00836D59">
        <w:rPr>
          <w:rFonts w:asciiTheme="minorHAnsi" w:hAnsiTheme="minorHAnsi"/>
          <w:lang w:val="en-GB"/>
        </w:rPr>
        <w:t xml:space="preserve">WHO workshop on </w:t>
      </w:r>
      <w:r w:rsidR="00440AB2" w:rsidRPr="00836D59">
        <w:rPr>
          <w:rFonts w:asciiTheme="minorHAnsi" w:hAnsiTheme="minorHAnsi"/>
          <w:lang w:val="en-GB"/>
        </w:rPr>
        <w:t>digital HFSS marketing to children</w:t>
      </w:r>
    </w:p>
    <w:p w14:paraId="7E5A61C7" w14:textId="74919847" w:rsidR="00BF4EA0" w:rsidRPr="00836D59" w:rsidRDefault="00854B53" w:rsidP="00836D59">
      <w:pPr>
        <w:spacing w:line="360" w:lineRule="auto"/>
        <w:rPr>
          <w:rFonts w:asciiTheme="minorHAnsi" w:hAnsiTheme="minorHAnsi"/>
          <w:lang w:val="en-GB"/>
        </w:rPr>
      </w:pPr>
      <w:r w:rsidRPr="00836D59">
        <w:rPr>
          <w:rFonts w:asciiTheme="minorHAnsi" w:hAnsiTheme="minorHAnsi"/>
          <w:lang w:val="en-GB"/>
        </w:rPr>
        <w:t>T</w:t>
      </w:r>
      <w:r w:rsidR="004D5CC3" w:rsidRPr="00836D59">
        <w:rPr>
          <w:rFonts w:asciiTheme="minorHAnsi" w:hAnsiTheme="minorHAnsi"/>
          <w:lang w:val="en-GB"/>
        </w:rPr>
        <w:t>o inform</w:t>
      </w:r>
      <w:r w:rsidR="00BE05DC" w:rsidRPr="00836D59">
        <w:rPr>
          <w:rFonts w:asciiTheme="minorHAnsi" w:hAnsiTheme="minorHAnsi"/>
          <w:lang w:val="en-GB"/>
        </w:rPr>
        <w:t xml:space="preserve"> </w:t>
      </w:r>
      <w:r w:rsidR="00416929" w:rsidRPr="00836D59">
        <w:rPr>
          <w:rFonts w:asciiTheme="minorHAnsi" w:hAnsiTheme="minorHAnsi"/>
          <w:lang w:val="en-GB"/>
        </w:rPr>
        <w:t xml:space="preserve">and support </w:t>
      </w:r>
      <w:r w:rsidR="000D0FB3" w:rsidRPr="00836D59">
        <w:rPr>
          <w:rFonts w:asciiTheme="minorHAnsi" w:hAnsiTheme="minorHAnsi"/>
          <w:lang w:val="en-GB"/>
        </w:rPr>
        <w:t>stakeholders</w:t>
      </w:r>
      <w:r w:rsidR="00416929" w:rsidRPr="00836D59">
        <w:rPr>
          <w:rFonts w:asciiTheme="minorHAnsi" w:hAnsiTheme="minorHAnsi"/>
          <w:lang w:val="en-GB"/>
        </w:rPr>
        <w:t xml:space="preserve"> in policy, research and ethics roles</w:t>
      </w:r>
      <w:r w:rsidR="00BE05DC" w:rsidRPr="00836D59">
        <w:rPr>
          <w:rFonts w:asciiTheme="minorHAnsi" w:hAnsiTheme="minorHAnsi"/>
          <w:lang w:val="en-GB"/>
        </w:rPr>
        <w:t xml:space="preserve">, </w:t>
      </w:r>
      <w:r w:rsidR="00C7186A" w:rsidRPr="00836D59">
        <w:rPr>
          <w:rFonts w:asciiTheme="minorHAnsi" w:hAnsiTheme="minorHAnsi"/>
          <w:lang w:val="en-GB"/>
        </w:rPr>
        <w:t>the aim of this</w:t>
      </w:r>
      <w:r w:rsidR="00BE05DC" w:rsidRPr="00836D59">
        <w:rPr>
          <w:rFonts w:asciiTheme="minorHAnsi" w:hAnsiTheme="minorHAnsi"/>
          <w:lang w:val="en-GB"/>
        </w:rPr>
        <w:t xml:space="preserve"> brief </w:t>
      </w:r>
      <w:r w:rsidR="00C7186A" w:rsidRPr="00836D59">
        <w:rPr>
          <w:rFonts w:asciiTheme="minorHAnsi" w:hAnsiTheme="minorHAnsi"/>
          <w:lang w:val="en-GB"/>
        </w:rPr>
        <w:t xml:space="preserve">policy and practice </w:t>
      </w:r>
      <w:r w:rsidR="00BE05DC" w:rsidRPr="00836D59">
        <w:rPr>
          <w:rFonts w:asciiTheme="minorHAnsi" w:hAnsiTheme="minorHAnsi"/>
          <w:lang w:val="en-GB"/>
        </w:rPr>
        <w:t xml:space="preserve">paper </w:t>
      </w:r>
      <w:r w:rsidR="00C7186A" w:rsidRPr="00836D59">
        <w:rPr>
          <w:rFonts w:asciiTheme="minorHAnsi" w:hAnsiTheme="minorHAnsi"/>
          <w:lang w:val="en-GB"/>
        </w:rPr>
        <w:t>is to summari</w:t>
      </w:r>
      <w:r w:rsidR="006B0CED" w:rsidRPr="00836D59">
        <w:rPr>
          <w:rFonts w:asciiTheme="minorHAnsi" w:hAnsiTheme="minorHAnsi"/>
          <w:lang w:val="en-GB"/>
        </w:rPr>
        <w:t>z</w:t>
      </w:r>
      <w:r w:rsidR="00C7186A" w:rsidRPr="00836D59">
        <w:rPr>
          <w:rFonts w:asciiTheme="minorHAnsi" w:hAnsiTheme="minorHAnsi"/>
          <w:lang w:val="en-GB"/>
        </w:rPr>
        <w:t>e</w:t>
      </w:r>
      <w:r w:rsidR="00BE05DC" w:rsidRPr="00836D59">
        <w:rPr>
          <w:rFonts w:asciiTheme="minorHAnsi" w:hAnsiTheme="minorHAnsi"/>
          <w:lang w:val="en-GB"/>
        </w:rPr>
        <w:t xml:space="preserve"> key ethical and legal issues </w:t>
      </w:r>
      <w:r w:rsidRPr="00836D59">
        <w:rPr>
          <w:rFonts w:asciiTheme="minorHAnsi" w:hAnsiTheme="minorHAnsi"/>
          <w:lang w:val="en-GB"/>
        </w:rPr>
        <w:t>when design</w:t>
      </w:r>
      <w:r w:rsidR="0017375B" w:rsidRPr="00836D59">
        <w:rPr>
          <w:rFonts w:asciiTheme="minorHAnsi" w:hAnsiTheme="minorHAnsi"/>
          <w:lang w:val="en-GB"/>
        </w:rPr>
        <w:t>ing</w:t>
      </w:r>
      <w:r w:rsidRPr="00836D59">
        <w:rPr>
          <w:rFonts w:asciiTheme="minorHAnsi" w:hAnsiTheme="minorHAnsi"/>
          <w:lang w:val="en-GB"/>
        </w:rPr>
        <w:t xml:space="preserve"> studies aiming to establish the extent, nature and impact of digital HFSS marketing to children</w:t>
      </w:r>
      <w:r w:rsidR="006459A0" w:rsidRPr="00836D59">
        <w:rPr>
          <w:rFonts w:asciiTheme="minorHAnsi" w:hAnsiTheme="minorHAnsi"/>
          <w:lang w:val="en-GB"/>
        </w:rPr>
        <w:t>.</w:t>
      </w:r>
      <w:r w:rsidR="003F5570" w:rsidRPr="00836D59">
        <w:rPr>
          <w:rFonts w:asciiTheme="minorHAnsi" w:hAnsiTheme="minorHAnsi"/>
          <w:lang w:val="en-GB"/>
        </w:rPr>
        <w:t xml:space="preserve"> </w:t>
      </w:r>
      <w:r w:rsidR="00416929" w:rsidRPr="00836D59">
        <w:rPr>
          <w:rFonts w:asciiTheme="minorHAnsi" w:hAnsiTheme="minorHAnsi"/>
          <w:lang w:val="en-GB"/>
        </w:rPr>
        <w:t>It</w:t>
      </w:r>
      <w:r w:rsidR="003F5570" w:rsidRPr="00836D59">
        <w:rPr>
          <w:rFonts w:asciiTheme="minorHAnsi" w:hAnsiTheme="minorHAnsi"/>
          <w:lang w:val="en-GB"/>
        </w:rPr>
        <w:t xml:space="preserve"> </w:t>
      </w:r>
      <w:r w:rsidR="00AE1EBB" w:rsidRPr="00836D59">
        <w:rPr>
          <w:rFonts w:asciiTheme="minorHAnsi" w:hAnsiTheme="minorHAnsi"/>
          <w:lang w:val="en-GB"/>
        </w:rPr>
        <w:t xml:space="preserve">builds </w:t>
      </w:r>
      <w:r w:rsidR="003F5570" w:rsidRPr="00836D59">
        <w:rPr>
          <w:rFonts w:asciiTheme="minorHAnsi" w:hAnsiTheme="minorHAnsi"/>
          <w:lang w:val="en-GB"/>
        </w:rPr>
        <w:t xml:space="preserve">on </w:t>
      </w:r>
      <w:r w:rsidR="00F2003D" w:rsidRPr="00836D59">
        <w:rPr>
          <w:rFonts w:asciiTheme="minorHAnsi" w:hAnsiTheme="minorHAnsi"/>
          <w:lang w:val="en-GB"/>
        </w:rPr>
        <w:t xml:space="preserve">the </w:t>
      </w:r>
      <w:r w:rsidR="00876AF8" w:rsidRPr="00836D59">
        <w:rPr>
          <w:rFonts w:asciiTheme="minorHAnsi" w:hAnsiTheme="minorHAnsi"/>
          <w:lang w:val="en-GB"/>
        </w:rPr>
        <w:t>conclusions of</w:t>
      </w:r>
      <w:r w:rsidR="003F5570" w:rsidRPr="00836D59">
        <w:rPr>
          <w:rFonts w:asciiTheme="minorHAnsi" w:hAnsiTheme="minorHAnsi"/>
          <w:lang w:val="en-GB"/>
        </w:rPr>
        <w:t xml:space="preserve"> a </w:t>
      </w:r>
      <w:r w:rsidR="0058327D" w:rsidRPr="00836D59">
        <w:rPr>
          <w:rFonts w:asciiTheme="minorHAnsi" w:hAnsiTheme="minorHAnsi"/>
          <w:lang w:val="en-GB"/>
        </w:rPr>
        <w:t>two</w:t>
      </w:r>
      <w:r w:rsidR="003F5570" w:rsidRPr="00836D59">
        <w:rPr>
          <w:rFonts w:asciiTheme="minorHAnsi" w:hAnsiTheme="minorHAnsi"/>
          <w:lang w:val="en-GB"/>
        </w:rPr>
        <w:t xml:space="preserve">-day workshop in </w:t>
      </w:r>
      <w:r w:rsidR="00857CF8" w:rsidRPr="00836D59">
        <w:rPr>
          <w:rFonts w:asciiTheme="minorHAnsi" w:hAnsiTheme="minorHAnsi"/>
          <w:lang w:val="en-GB"/>
        </w:rPr>
        <w:t>Copenhagen</w:t>
      </w:r>
      <w:r w:rsidR="00855B7D" w:rsidRPr="00836D59">
        <w:rPr>
          <w:rFonts w:asciiTheme="minorHAnsi" w:hAnsiTheme="minorHAnsi"/>
          <w:lang w:val="en-GB"/>
        </w:rPr>
        <w:t>, Denmark,</w:t>
      </w:r>
      <w:r w:rsidR="00857CF8" w:rsidRPr="00836D59">
        <w:rPr>
          <w:rFonts w:asciiTheme="minorHAnsi" w:hAnsiTheme="minorHAnsi"/>
          <w:lang w:val="en-GB"/>
        </w:rPr>
        <w:t xml:space="preserve"> in </w:t>
      </w:r>
      <w:r w:rsidR="003F5570" w:rsidRPr="00836D59">
        <w:rPr>
          <w:rFonts w:asciiTheme="minorHAnsi" w:hAnsiTheme="minorHAnsi"/>
          <w:lang w:val="en-GB"/>
        </w:rPr>
        <w:t>November 2016</w:t>
      </w:r>
      <w:r w:rsidR="00855B7D" w:rsidRPr="00836D59">
        <w:rPr>
          <w:rFonts w:asciiTheme="minorHAnsi" w:hAnsiTheme="minorHAnsi"/>
          <w:lang w:val="en-GB"/>
        </w:rPr>
        <w:t>,</w:t>
      </w:r>
      <w:r w:rsidR="003F5570" w:rsidRPr="00836D59">
        <w:rPr>
          <w:rFonts w:asciiTheme="minorHAnsi" w:hAnsiTheme="minorHAnsi"/>
          <w:lang w:val="en-GB"/>
        </w:rPr>
        <w:t xml:space="preserve"> hosted by the WHO </w:t>
      </w:r>
      <w:r w:rsidR="00F2003D" w:rsidRPr="00836D59">
        <w:rPr>
          <w:rFonts w:asciiTheme="minorHAnsi" w:hAnsiTheme="minorHAnsi"/>
          <w:lang w:val="en-GB"/>
        </w:rPr>
        <w:t>Regional Office for Europe’s</w:t>
      </w:r>
      <w:r w:rsidR="003F5570" w:rsidRPr="00836D59">
        <w:rPr>
          <w:rFonts w:asciiTheme="minorHAnsi" w:hAnsiTheme="minorHAnsi"/>
          <w:lang w:val="en-GB"/>
        </w:rPr>
        <w:t xml:space="preserve"> Division of</w:t>
      </w:r>
      <w:r w:rsidR="00B4234F" w:rsidRPr="00836D59">
        <w:rPr>
          <w:rFonts w:asciiTheme="minorHAnsi" w:hAnsiTheme="minorHAnsi"/>
          <w:lang w:val="en-GB"/>
        </w:rPr>
        <w:t xml:space="preserve"> Non</w:t>
      </w:r>
      <w:r w:rsidR="006B0CED" w:rsidRPr="00836D59">
        <w:rPr>
          <w:rFonts w:asciiTheme="minorHAnsi" w:hAnsiTheme="minorHAnsi"/>
          <w:lang w:val="en-GB"/>
        </w:rPr>
        <w:t>c</w:t>
      </w:r>
      <w:r w:rsidR="00B4234F" w:rsidRPr="00836D59">
        <w:rPr>
          <w:rFonts w:asciiTheme="minorHAnsi" w:hAnsiTheme="minorHAnsi"/>
          <w:lang w:val="en-GB"/>
        </w:rPr>
        <w:t>ommunicable Diseases</w:t>
      </w:r>
      <w:r w:rsidR="00243079" w:rsidRPr="00836D59">
        <w:rPr>
          <w:rFonts w:asciiTheme="minorHAnsi" w:hAnsiTheme="minorHAnsi"/>
        </w:rPr>
        <w:t xml:space="preserve"> </w:t>
      </w:r>
      <w:r w:rsidR="00243079" w:rsidRPr="00836D59">
        <w:rPr>
          <w:rFonts w:asciiTheme="minorHAnsi" w:hAnsiTheme="minorHAnsi"/>
          <w:lang w:val="en-GB"/>
        </w:rPr>
        <w:t>and Promoting Health through the Life-course,</w:t>
      </w:r>
      <w:r w:rsidR="00857CF8" w:rsidRPr="00836D59">
        <w:rPr>
          <w:rFonts w:asciiTheme="minorHAnsi" w:hAnsiTheme="minorHAnsi"/>
          <w:lang w:val="en-GB"/>
        </w:rPr>
        <w:t xml:space="preserve"> </w:t>
      </w:r>
      <w:r w:rsidR="00AE1EBB" w:rsidRPr="00836D59">
        <w:rPr>
          <w:rFonts w:asciiTheme="minorHAnsi" w:hAnsiTheme="minorHAnsi"/>
          <w:lang w:val="en-GB"/>
        </w:rPr>
        <w:t>with attendees</w:t>
      </w:r>
      <w:r w:rsidR="00857CF8" w:rsidRPr="00836D59">
        <w:rPr>
          <w:rFonts w:asciiTheme="minorHAnsi" w:hAnsiTheme="minorHAnsi"/>
          <w:lang w:val="en-GB"/>
        </w:rPr>
        <w:t xml:space="preserve"> </w:t>
      </w:r>
      <w:r w:rsidR="00AE1EBB" w:rsidRPr="00836D59">
        <w:rPr>
          <w:rFonts w:asciiTheme="minorHAnsi" w:hAnsiTheme="minorHAnsi"/>
          <w:lang w:val="en-GB"/>
        </w:rPr>
        <w:t xml:space="preserve">from </w:t>
      </w:r>
      <w:r w:rsidR="006B0CED" w:rsidRPr="00836D59">
        <w:rPr>
          <w:rFonts w:asciiTheme="minorHAnsi" w:hAnsiTheme="minorHAnsi"/>
          <w:lang w:val="en-GB"/>
        </w:rPr>
        <w:t xml:space="preserve">Belgium, the Russian Federation, the </w:t>
      </w:r>
      <w:r w:rsidR="00AE1EBB" w:rsidRPr="00836D59">
        <w:rPr>
          <w:rFonts w:asciiTheme="minorHAnsi" w:hAnsiTheme="minorHAnsi"/>
          <w:lang w:val="en-GB"/>
        </w:rPr>
        <w:t xml:space="preserve">United Kingdom and </w:t>
      </w:r>
      <w:r w:rsidR="006B0CED" w:rsidRPr="00836D59">
        <w:rPr>
          <w:rFonts w:asciiTheme="minorHAnsi" w:hAnsiTheme="minorHAnsi"/>
          <w:lang w:val="en-GB"/>
        </w:rPr>
        <w:t xml:space="preserve">the </w:t>
      </w:r>
      <w:r w:rsidR="00AE1EBB" w:rsidRPr="00836D59">
        <w:rPr>
          <w:rFonts w:asciiTheme="minorHAnsi" w:hAnsiTheme="minorHAnsi"/>
          <w:lang w:val="en-GB"/>
        </w:rPr>
        <w:t xml:space="preserve">WHO Regional Office for Europe including </w:t>
      </w:r>
      <w:r w:rsidR="00876AF8" w:rsidRPr="00836D59">
        <w:rPr>
          <w:rFonts w:asciiTheme="minorHAnsi" w:hAnsiTheme="minorHAnsi"/>
          <w:lang w:val="en-GB"/>
        </w:rPr>
        <w:t xml:space="preserve">the </w:t>
      </w:r>
      <w:r w:rsidR="009530A9" w:rsidRPr="00836D59">
        <w:rPr>
          <w:rFonts w:asciiTheme="minorHAnsi" w:hAnsiTheme="minorHAnsi"/>
          <w:lang w:val="en-GB"/>
        </w:rPr>
        <w:t xml:space="preserve">paper’s </w:t>
      </w:r>
      <w:r w:rsidR="00876AF8" w:rsidRPr="00836D59">
        <w:rPr>
          <w:rFonts w:asciiTheme="minorHAnsi" w:hAnsiTheme="minorHAnsi"/>
          <w:lang w:val="en-GB"/>
        </w:rPr>
        <w:t xml:space="preserve">authors: </w:t>
      </w:r>
      <w:r w:rsidR="00857CF8" w:rsidRPr="00836D59">
        <w:rPr>
          <w:rFonts w:asciiTheme="minorHAnsi" w:hAnsiTheme="minorHAnsi"/>
          <w:lang w:val="en-GB"/>
        </w:rPr>
        <w:t>researchers</w:t>
      </w:r>
      <w:r w:rsidR="00876AF8" w:rsidRPr="00836D59">
        <w:rPr>
          <w:rFonts w:asciiTheme="minorHAnsi" w:hAnsiTheme="minorHAnsi"/>
          <w:lang w:val="en-GB"/>
        </w:rPr>
        <w:t xml:space="preserve"> (MTG, VV, EB</w:t>
      </w:r>
      <w:r w:rsidR="00712C51" w:rsidRPr="00836D59">
        <w:rPr>
          <w:rFonts w:asciiTheme="minorHAnsi" w:hAnsiTheme="minorHAnsi"/>
          <w:lang w:val="en-GB"/>
        </w:rPr>
        <w:t>, JO</w:t>
      </w:r>
      <w:r w:rsidR="00876AF8" w:rsidRPr="00836D59">
        <w:rPr>
          <w:rFonts w:asciiTheme="minorHAnsi" w:hAnsiTheme="minorHAnsi"/>
          <w:lang w:val="en-GB"/>
        </w:rPr>
        <w:t xml:space="preserve">), including </w:t>
      </w:r>
      <w:r w:rsidR="0058327D" w:rsidRPr="00836D59">
        <w:rPr>
          <w:rFonts w:asciiTheme="minorHAnsi" w:hAnsiTheme="minorHAnsi"/>
          <w:lang w:val="en-GB"/>
        </w:rPr>
        <w:t xml:space="preserve">a </w:t>
      </w:r>
      <w:r w:rsidR="00876AF8" w:rsidRPr="00836D59">
        <w:rPr>
          <w:rFonts w:asciiTheme="minorHAnsi" w:hAnsiTheme="minorHAnsi"/>
          <w:lang w:val="en-GB"/>
        </w:rPr>
        <w:t xml:space="preserve">research and </w:t>
      </w:r>
      <w:r w:rsidR="00D32521" w:rsidRPr="00836D59">
        <w:rPr>
          <w:rFonts w:asciiTheme="minorHAnsi" w:hAnsiTheme="minorHAnsi"/>
          <w:lang w:val="en-GB"/>
        </w:rPr>
        <w:t>I</w:t>
      </w:r>
      <w:r w:rsidR="00876AF8" w:rsidRPr="00836D59">
        <w:rPr>
          <w:rFonts w:asciiTheme="minorHAnsi" w:hAnsiTheme="minorHAnsi"/>
          <w:lang w:val="en-GB"/>
        </w:rPr>
        <w:t xml:space="preserve">nternet ethics expert (JO) </w:t>
      </w:r>
      <w:r w:rsidR="00857CF8" w:rsidRPr="00836D59">
        <w:rPr>
          <w:rFonts w:asciiTheme="minorHAnsi" w:hAnsiTheme="minorHAnsi"/>
          <w:lang w:val="en-GB"/>
        </w:rPr>
        <w:t>and public health representatives</w:t>
      </w:r>
      <w:r w:rsidR="00876AF8" w:rsidRPr="00836D59">
        <w:rPr>
          <w:rFonts w:asciiTheme="minorHAnsi" w:hAnsiTheme="minorHAnsi"/>
          <w:lang w:val="en-GB"/>
        </w:rPr>
        <w:t xml:space="preserve"> (JJ, JB)</w:t>
      </w:r>
      <w:r w:rsidR="00565E65" w:rsidRPr="00836D59">
        <w:rPr>
          <w:rFonts w:asciiTheme="minorHAnsi" w:hAnsiTheme="minorHAnsi"/>
          <w:lang w:val="en-GB"/>
        </w:rPr>
        <w:t>.</w:t>
      </w:r>
    </w:p>
    <w:p w14:paraId="5C24B8E4" w14:textId="271AE609" w:rsidR="00512054" w:rsidRPr="00836D59" w:rsidRDefault="005666A5" w:rsidP="00836D59">
      <w:pPr>
        <w:spacing w:line="360" w:lineRule="auto"/>
        <w:rPr>
          <w:rFonts w:asciiTheme="minorHAnsi" w:hAnsiTheme="minorHAnsi"/>
          <w:lang w:val="en-GB"/>
        </w:rPr>
      </w:pPr>
      <w:r w:rsidRPr="00836D59">
        <w:rPr>
          <w:rFonts w:asciiTheme="minorHAnsi" w:hAnsiTheme="minorHAnsi"/>
          <w:lang w:val="en-GB"/>
        </w:rPr>
        <w:t xml:space="preserve">To guide </w:t>
      </w:r>
      <w:r w:rsidR="00C64653" w:rsidRPr="00836D59">
        <w:rPr>
          <w:rFonts w:asciiTheme="minorHAnsi" w:hAnsiTheme="minorHAnsi"/>
          <w:lang w:val="en-GB"/>
        </w:rPr>
        <w:t xml:space="preserve">workshop </w:t>
      </w:r>
      <w:r w:rsidRPr="00836D59">
        <w:rPr>
          <w:rFonts w:asciiTheme="minorHAnsi" w:hAnsiTheme="minorHAnsi"/>
          <w:lang w:val="en-GB"/>
        </w:rPr>
        <w:t>deliberations,</w:t>
      </w:r>
      <w:r w:rsidR="009C7D75" w:rsidRPr="00836D59">
        <w:rPr>
          <w:rFonts w:asciiTheme="minorHAnsi" w:hAnsiTheme="minorHAnsi"/>
          <w:lang w:val="en-GB"/>
        </w:rPr>
        <w:t xml:space="preserve"> the terms “marketing to children”</w:t>
      </w:r>
      <w:r w:rsidRPr="00836D59">
        <w:rPr>
          <w:rFonts w:asciiTheme="minorHAnsi" w:hAnsiTheme="minorHAnsi"/>
          <w:lang w:val="en-GB"/>
        </w:rPr>
        <w:t xml:space="preserve"> </w:t>
      </w:r>
      <w:r w:rsidR="009C7D75" w:rsidRPr="00836D59">
        <w:rPr>
          <w:rFonts w:asciiTheme="minorHAnsi" w:hAnsiTheme="minorHAnsi"/>
          <w:lang w:val="en-GB"/>
        </w:rPr>
        <w:t xml:space="preserve">and </w:t>
      </w:r>
      <w:r w:rsidR="006B0CED" w:rsidRPr="00836D59">
        <w:rPr>
          <w:rFonts w:asciiTheme="minorHAnsi" w:hAnsiTheme="minorHAnsi"/>
          <w:lang w:val="en-GB"/>
        </w:rPr>
        <w:t>“</w:t>
      </w:r>
      <w:r w:rsidR="00B4234F" w:rsidRPr="00836D59">
        <w:rPr>
          <w:rFonts w:asciiTheme="minorHAnsi" w:hAnsiTheme="minorHAnsi"/>
          <w:lang w:val="en-GB"/>
        </w:rPr>
        <w:t>marketing in digital media</w:t>
      </w:r>
      <w:r w:rsidR="006B0CED" w:rsidRPr="00836D59">
        <w:rPr>
          <w:rFonts w:asciiTheme="minorHAnsi" w:hAnsiTheme="minorHAnsi"/>
          <w:lang w:val="en-GB"/>
        </w:rPr>
        <w:t>”</w:t>
      </w:r>
      <w:r w:rsidR="00B4234F" w:rsidRPr="00836D59">
        <w:rPr>
          <w:rFonts w:asciiTheme="minorHAnsi" w:hAnsiTheme="minorHAnsi"/>
          <w:lang w:val="en-GB"/>
        </w:rPr>
        <w:t xml:space="preserve"> </w:t>
      </w:r>
      <w:r w:rsidR="00F26B8A" w:rsidRPr="00836D59">
        <w:rPr>
          <w:rFonts w:asciiTheme="minorHAnsi" w:hAnsiTheme="minorHAnsi"/>
          <w:lang w:val="en-GB"/>
        </w:rPr>
        <w:t xml:space="preserve">were </w:t>
      </w:r>
      <w:r w:rsidR="009B1AC4" w:rsidRPr="00836D59">
        <w:rPr>
          <w:rFonts w:asciiTheme="minorHAnsi" w:hAnsiTheme="minorHAnsi"/>
          <w:lang w:val="en-GB"/>
        </w:rPr>
        <w:t xml:space="preserve">first </w:t>
      </w:r>
      <w:r w:rsidR="00F26B8A" w:rsidRPr="00836D59">
        <w:rPr>
          <w:rFonts w:asciiTheme="minorHAnsi" w:hAnsiTheme="minorHAnsi"/>
          <w:lang w:val="en-GB"/>
        </w:rPr>
        <w:t xml:space="preserve">defined </w:t>
      </w:r>
      <w:r w:rsidR="00B4234F" w:rsidRPr="00836D59">
        <w:rPr>
          <w:rFonts w:asciiTheme="minorHAnsi" w:hAnsiTheme="minorHAnsi"/>
          <w:lang w:val="en-GB"/>
        </w:rPr>
        <w:t>(Table 1)</w:t>
      </w:r>
      <w:r w:rsidR="008A7DDA" w:rsidRPr="00836D59">
        <w:rPr>
          <w:rFonts w:asciiTheme="minorHAnsi" w:hAnsiTheme="minorHAnsi"/>
          <w:lang w:val="en-GB"/>
        </w:rPr>
        <w:t xml:space="preserve">. </w:t>
      </w:r>
    </w:p>
    <w:p w14:paraId="7A093A17" w14:textId="0421AF34" w:rsidR="00B4234F" w:rsidRPr="00836D59" w:rsidRDefault="00087EDA" w:rsidP="00836D59">
      <w:pPr>
        <w:pStyle w:val="Caption"/>
        <w:spacing w:line="360" w:lineRule="auto"/>
        <w:rPr>
          <w:rFonts w:asciiTheme="minorHAnsi" w:hAnsiTheme="minorHAnsi"/>
        </w:rPr>
      </w:pPr>
      <w:r w:rsidRPr="00836D59">
        <w:rPr>
          <w:rFonts w:asciiTheme="minorHAnsi" w:hAnsiTheme="minorHAnsi"/>
        </w:rPr>
        <w:t>Table 1. Definitions of marketing employed to guide workshop discussions</w:t>
      </w:r>
    </w:p>
    <w:tbl>
      <w:tblPr>
        <w:tblStyle w:val="PlainTable2"/>
        <w:tblW w:w="9288" w:type="dxa"/>
        <w:tblLook w:val="04A0" w:firstRow="1" w:lastRow="0" w:firstColumn="1" w:lastColumn="0" w:noHBand="0" w:noVBand="1"/>
      </w:tblPr>
      <w:tblGrid>
        <w:gridCol w:w="2988"/>
        <w:gridCol w:w="6300"/>
      </w:tblGrid>
      <w:tr w:rsidR="00D1709E" w:rsidRPr="00836D59" w14:paraId="3B4062A9" w14:textId="77777777" w:rsidTr="009C7D75">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14:paraId="1677C57F" w14:textId="363A39D2" w:rsidR="00D1709E" w:rsidRPr="00836D59" w:rsidRDefault="00D1709E" w:rsidP="00512054">
            <w:pPr>
              <w:spacing w:line="240" w:lineRule="auto"/>
              <w:jc w:val="center"/>
              <w:rPr>
                <w:rFonts w:asciiTheme="minorHAnsi" w:hAnsiTheme="minorHAnsi"/>
                <w:lang w:val="en-GB"/>
              </w:rPr>
            </w:pPr>
            <w:r w:rsidRPr="00836D59">
              <w:rPr>
                <w:rFonts w:asciiTheme="minorHAnsi" w:hAnsiTheme="minorHAnsi"/>
                <w:lang w:val="en-GB"/>
              </w:rPr>
              <w:t>Term</w:t>
            </w:r>
          </w:p>
        </w:tc>
        <w:tc>
          <w:tcPr>
            <w:tcW w:w="6300" w:type="dxa"/>
          </w:tcPr>
          <w:p w14:paraId="0BE0699D" w14:textId="3671DFBB" w:rsidR="00D1709E" w:rsidRPr="00836D59" w:rsidRDefault="00D1709E" w:rsidP="00512054">
            <w:pPr>
              <w:pStyle w:val="List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836D59">
              <w:rPr>
                <w:rFonts w:cs="Times New Roman"/>
                <w:sz w:val="24"/>
                <w:szCs w:val="24"/>
              </w:rPr>
              <w:t>Definition</w:t>
            </w:r>
          </w:p>
        </w:tc>
      </w:tr>
      <w:tr w:rsidR="00D1709E" w:rsidRPr="00836D59" w14:paraId="308B99AD" w14:textId="77777777" w:rsidTr="00512054">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2988" w:type="dxa"/>
          </w:tcPr>
          <w:p w14:paraId="3015B0D5" w14:textId="06215781" w:rsidR="00D1709E" w:rsidRPr="00836D59" w:rsidRDefault="00D1709E" w:rsidP="00512054">
            <w:pPr>
              <w:spacing w:line="240" w:lineRule="auto"/>
              <w:rPr>
                <w:rFonts w:asciiTheme="minorHAnsi" w:hAnsiTheme="minorHAnsi"/>
                <w:b w:val="0"/>
                <w:lang w:val="en-GB"/>
              </w:rPr>
            </w:pPr>
            <w:r w:rsidRPr="00836D59">
              <w:rPr>
                <w:rFonts w:asciiTheme="minorHAnsi" w:hAnsiTheme="minorHAnsi"/>
                <w:b w:val="0"/>
                <w:lang w:val="en-GB"/>
              </w:rPr>
              <w:t xml:space="preserve">Marketing to children </w:t>
            </w:r>
          </w:p>
        </w:tc>
        <w:tc>
          <w:tcPr>
            <w:tcW w:w="6300" w:type="dxa"/>
          </w:tcPr>
          <w:p w14:paraId="4B2DA123" w14:textId="640B66C9" w:rsidR="00D1709E" w:rsidRPr="00836D59" w:rsidRDefault="00A07B6D" w:rsidP="00512054">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836D59">
              <w:rPr>
                <w:rFonts w:asciiTheme="minorHAnsi" w:hAnsiTheme="minorHAnsi"/>
                <w:lang w:val="en-GB"/>
              </w:rPr>
              <w:t>M</w:t>
            </w:r>
            <w:r w:rsidR="00D1709E" w:rsidRPr="00836D59">
              <w:rPr>
                <w:rFonts w:asciiTheme="minorHAnsi" w:hAnsiTheme="minorHAnsi"/>
                <w:lang w:val="en-GB"/>
              </w:rPr>
              <w:t xml:space="preserve">arketing to which children are actually exposed, analyses should not be limited to media overtly “targeted at” children but should also assess children’s exposure in general media. </w:t>
            </w:r>
          </w:p>
        </w:tc>
      </w:tr>
      <w:tr w:rsidR="00394067" w:rsidRPr="00836D59" w14:paraId="0C7EAAA3" w14:textId="77777777" w:rsidTr="009C7D75">
        <w:trPr>
          <w:trHeight w:val="3342"/>
        </w:trPr>
        <w:tc>
          <w:tcPr>
            <w:cnfStyle w:val="001000000000" w:firstRow="0" w:lastRow="0" w:firstColumn="1" w:lastColumn="0" w:oddVBand="0" w:evenVBand="0" w:oddHBand="0" w:evenHBand="0" w:firstRowFirstColumn="0" w:firstRowLastColumn="0" w:lastRowFirstColumn="0" w:lastRowLastColumn="0"/>
            <w:tcW w:w="2988" w:type="dxa"/>
          </w:tcPr>
          <w:p w14:paraId="3D69A617" w14:textId="7998D431" w:rsidR="00394067" w:rsidRPr="00836D59" w:rsidRDefault="00394067" w:rsidP="00512054">
            <w:pPr>
              <w:spacing w:line="240" w:lineRule="auto"/>
              <w:rPr>
                <w:rFonts w:asciiTheme="minorHAnsi" w:hAnsiTheme="minorHAnsi"/>
                <w:lang w:val="en-GB"/>
              </w:rPr>
            </w:pPr>
            <w:r w:rsidRPr="00836D59">
              <w:rPr>
                <w:rFonts w:asciiTheme="minorHAnsi" w:hAnsiTheme="minorHAnsi"/>
                <w:b w:val="0"/>
                <w:lang w:val="en-GB"/>
              </w:rPr>
              <w:t>Marketing in digital media</w:t>
            </w:r>
            <w:r w:rsidRPr="00836D59">
              <w:rPr>
                <w:rFonts w:asciiTheme="minorHAnsi" w:hAnsiTheme="minorHAnsi"/>
                <w:lang w:val="en-GB"/>
              </w:rPr>
              <w:t xml:space="preserve"> </w:t>
            </w:r>
          </w:p>
        </w:tc>
        <w:tc>
          <w:tcPr>
            <w:tcW w:w="6300" w:type="dxa"/>
          </w:tcPr>
          <w:p w14:paraId="13F0A1B3" w14:textId="77777777" w:rsidR="00D1709E" w:rsidRPr="00836D59" w:rsidRDefault="00D1709E" w:rsidP="00512054">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36D59">
              <w:rPr>
                <w:rFonts w:cs="Times New Roman"/>
                <w:sz w:val="24"/>
                <w:szCs w:val="24"/>
              </w:rPr>
              <w:t>Digital marketing is promotional activity in digital media, maximizing impact with novel, creative and/or analytical methods, including:</w:t>
            </w:r>
          </w:p>
          <w:p w14:paraId="4C38F159" w14:textId="5C12F1B7" w:rsidR="00394067" w:rsidRPr="00836D59" w:rsidRDefault="00394067" w:rsidP="00512054">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36D59">
              <w:rPr>
                <w:rFonts w:cs="Times New Roman"/>
                <w:sz w:val="24"/>
                <w:szCs w:val="24"/>
              </w:rPr>
              <w:t>creative and social methods</w:t>
            </w:r>
            <w:r w:rsidRPr="00836D59">
              <w:rPr>
                <w:rFonts w:cs="Times New Roman"/>
                <w:i/>
                <w:sz w:val="24"/>
                <w:szCs w:val="24"/>
              </w:rPr>
              <w:t xml:space="preserve"> </w:t>
            </w:r>
            <w:r w:rsidRPr="00836D59">
              <w:rPr>
                <w:rFonts w:cs="Times New Roman"/>
                <w:sz w:val="24"/>
                <w:szCs w:val="24"/>
              </w:rPr>
              <w:t xml:space="preserve">to activate implicit emotional persuasion, including immersive narratives; entertainment/humour; augmented reality, online games and virtual environments; social network engagement (e-Word-of-Mouth); and “influencers” popular with children (such as YouTube video bloggers); </w:t>
            </w:r>
          </w:p>
          <w:p w14:paraId="3F8FAE1C" w14:textId="77777777" w:rsidR="00394067" w:rsidRPr="00836D59" w:rsidRDefault="00394067" w:rsidP="00512054">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836D59">
              <w:rPr>
                <w:rFonts w:cs="Times New Roman"/>
                <w:sz w:val="24"/>
                <w:szCs w:val="24"/>
              </w:rPr>
              <w:t>analytics</w:t>
            </w:r>
            <w:r w:rsidRPr="00836D59">
              <w:rPr>
                <w:rFonts w:cs="Times New Roman"/>
                <w:i/>
                <w:sz w:val="24"/>
                <w:szCs w:val="24"/>
              </w:rPr>
              <w:t xml:space="preserve"> </w:t>
            </w:r>
            <w:r w:rsidRPr="00836D59">
              <w:rPr>
                <w:rFonts w:cs="Times New Roman"/>
                <w:sz w:val="24"/>
                <w:szCs w:val="24"/>
              </w:rPr>
              <w:t>of online behaviours to hone marketing communications and maximize impact; and/or</w:t>
            </w:r>
          </w:p>
          <w:p w14:paraId="15698777" w14:textId="5DCFEDB1" w:rsidR="00394067" w:rsidRPr="00836D59" w:rsidRDefault="00394067" w:rsidP="00512054">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r w:rsidRPr="00836D59">
              <w:rPr>
                <w:rFonts w:cs="Times New Roman"/>
                <w:sz w:val="24"/>
                <w:szCs w:val="24"/>
              </w:rPr>
              <w:t>analytics of emotions, responses, preferences, behaviour and locations, to target specific groups, individuals and moments of vulnerability.</w:t>
            </w:r>
          </w:p>
        </w:tc>
      </w:tr>
    </w:tbl>
    <w:p w14:paraId="4DF7BDBC" w14:textId="7FBAA729" w:rsidR="00E65AF3" w:rsidRPr="00836D59" w:rsidRDefault="001C31EC" w:rsidP="00836D59">
      <w:pPr>
        <w:spacing w:line="360" w:lineRule="auto"/>
        <w:rPr>
          <w:rFonts w:asciiTheme="minorHAnsi" w:hAnsiTheme="minorHAnsi"/>
          <w:lang w:val="en-GB"/>
        </w:rPr>
      </w:pPr>
      <w:r w:rsidRPr="00836D59">
        <w:rPr>
          <w:rFonts w:asciiTheme="minorHAnsi" w:hAnsiTheme="minorHAnsi"/>
          <w:lang w:val="en-GB"/>
        </w:rPr>
        <w:t>The workshop discussed two potential approaches to such research</w:t>
      </w:r>
      <w:r w:rsidR="00251F91" w:rsidRPr="00836D59">
        <w:rPr>
          <w:rFonts w:asciiTheme="minorHAnsi" w:hAnsiTheme="minorHAnsi"/>
          <w:lang w:val="en-GB"/>
        </w:rPr>
        <w:t xml:space="preserve"> </w:t>
      </w:r>
      <w:r w:rsidR="00650AE4" w:rsidRPr="00836D59">
        <w:rPr>
          <w:rFonts w:asciiTheme="minorHAnsi" w:hAnsiTheme="minorHAnsi"/>
          <w:lang w:val="en-GB"/>
        </w:rPr>
        <w:t xml:space="preserve">that would require </w:t>
      </w:r>
      <w:r w:rsidR="00251F91" w:rsidRPr="00836D59">
        <w:rPr>
          <w:rFonts w:asciiTheme="minorHAnsi" w:hAnsiTheme="minorHAnsi"/>
          <w:lang w:val="en-GB"/>
        </w:rPr>
        <w:t>collecting minors</w:t>
      </w:r>
      <w:r w:rsidR="00624F81" w:rsidRPr="00836D59">
        <w:rPr>
          <w:rFonts w:asciiTheme="minorHAnsi" w:hAnsiTheme="minorHAnsi"/>
          <w:lang w:val="en-GB"/>
        </w:rPr>
        <w:t>’</w:t>
      </w:r>
      <w:r w:rsidR="00251F91" w:rsidRPr="00836D59">
        <w:rPr>
          <w:rFonts w:asciiTheme="minorHAnsi" w:hAnsiTheme="minorHAnsi"/>
          <w:lang w:val="en-GB"/>
        </w:rPr>
        <w:t xml:space="preserve"> social media and other online engagement</w:t>
      </w:r>
      <w:r w:rsidR="00650AE4" w:rsidRPr="00836D59">
        <w:rPr>
          <w:rFonts w:asciiTheme="minorHAnsi" w:hAnsiTheme="minorHAnsi"/>
          <w:lang w:val="en-GB"/>
        </w:rPr>
        <w:t xml:space="preserve"> data</w:t>
      </w:r>
      <w:r w:rsidR="00B8725B" w:rsidRPr="00836D59">
        <w:rPr>
          <w:rFonts w:asciiTheme="minorHAnsi" w:hAnsiTheme="minorHAnsi"/>
          <w:lang w:val="en-GB"/>
        </w:rPr>
        <w:t xml:space="preserve">. The first involves </w:t>
      </w:r>
      <w:r w:rsidRPr="00836D59">
        <w:rPr>
          <w:rFonts w:asciiTheme="minorHAnsi" w:hAnsiTheme="minorHAnsi"/>
          <w:lang w:val="en-GB"/>
        </w:rPr>
        <w:t xml:space="preserve">use of </w:t>
      </w:r>
      <w:r w:rsidR="009C7D75" w:rsidRPr="00836D59">
        <w:rPr>
          <w:rFonts w:asciiTheme="minorHAnsi" w:hAnsiTheme="minorHAnsi"/>
          <w:lang w:val="en-GB"/>
        </w:rPr>
        <w:t>c</w:t>
      </w:r>
      <w:r w:rsidRPr="00836D59">
        <w:rPr>
          <w:rFonts w:asciiTheme="minorHAnsi" w:hAnsiTheme="minorHAnsi"/>
          <w:lang w:val="en-GB"/>
        </w:rPr>
        <w:t xml:space="preserve">ompetitive </w:t>
      </w:r>
      <w:r w:rsidR="009C7D75" w:rsidRPr="00836D59">
        <w:rPr>
          <w:rFonts w:asciiTheme="minorHAnsi" w:hAnsiTheme="minorHAnsi"/>
          <w:lang w:val="en-GB"/>
        </w:rPr>
        <w:t>i</w:t>
      </w:r>
      <w:r w:rsidRPr="00836D59">
        <w:rPr>
          <w:rFonts w:asciiTheme="minorHAnsi" w:hAnsiTheme="minorHAnsi"/>
          <w:lang w:val="en-GB"/>
        </w:rPr>
        <w:t xml:space="preserve">ntelligence </w:t>
      </w:r>
      <w:r w:rsidR="009C7D75" w:rsidRPr="00836D59">
        <w:rPr>
          <w:rFonts w:asciiTheme="minorHAnsi" w:hAnsiTheme="minorHAnsi"/>
          <w:lang w:val="en-GB"/>
        </w:rPr>
        <w:t>a</w:t>
      </w:r>
      <w:r w:rsidRPr="00836D59">
        <w:rPr>
          <w:rFonts w:asciiTheme="minorHAnsi" w:hAnsiTheme="minorHAnsi"/>
          <w:lang w:val="en-GB"/>
        </w:rPr>
        <w:t xml:space="preserve">nalysis, </w:t>
      </w:r>
      <w:r w:rsidR="009B7EE8" w:rsidRPr="00836D59">
        <w:rPr>
          <w:rFonts w:asciiTheme="minorHAnsi" w:hAnsiTheme="minorHAnsi"/>
          <w:lang w:val="en-GB"/>
        </w:rPr>
        <w:t xml:space="preserve">in which </w:t>
      </w:r>
      <w:r w:rsidRPr="00836D59">
        <w:rPr>
          <w:rFonts w:asciiTheme="minorHAnsi" w:hAnsiTheme="minorHAnsi"/>
          <w:lang w:val="en-GB"/>
        </w:rPr>
        <w:t xml:space="preserve">data </w:t>
      </w:r>
      <w:r w:rsidR="00D23E5F" w:rsidRPr="00836D59">
        <w:rPr>
          <w:rFonts w:asciiTheme="minorHAnsi" w:hAnsiTheme="minorHAnsi"/>
          <w:lang w:val="en-GB"/>
        </w:rPr>
        <w:t>regarding</w:t>
      </w:r>
      <w:r w:rsidR="00C7268C" w:rsidRPr="00836D59">
        <w:rPr>
          <w:rFonts w:asciiTheme="minorHAnsi" w:hAnsiTheme="minorHAnsi"/>
          <w:lang w:val="en-GB"/>
        </w:rPr>
        <w:t xml:space="preserve"> web traffic, social media brand mentions, target keywords and online advertising are assessed to identify brand performance</w:t>
      </w:r>
      <w:r w:rsidR="00B8725B" w:rsidRPr="00836D59">
        <w:rPr>
          <w:rFonts w:asciiTheme="minorHAnsi" w:hAnsiTheme="minorHAnsi"/>
          <w:lang w:val="en-GB"/>
        </w:rPr>
        <w:t>. This widespread practice</w:t>
      </w:r>
      <w:r w:rsidR="00C7268C" w:rsidRPr="00836D59">
        <w:rPr>
          <w:rFonts w:asciiTheme="minorHAnsi" w:hAnsiTheme="minorHAnsi"/>
          <w:lang w:val="en-GB"/>
        </w:rPr>
        <w:t xml:space="preserve"> </w:t>
      </w:r>
      <w:r w:rsidR="008C0433" w:rsidRPr="00836D59">
        <w:rPr>
          <w:rFonts w:asciiTheme="minorHAnsi" w:hAnsiTheme="minorHAnsi"/>
          <w:lang w:val="en-GB"/>
        </w:rPr>
        <w:t>is standard in</w:t>
      </w:r>
      <w:r w:rsidR="00B8725B" w:rsidRPr="00836D59">
        <w:rPr>
          <w:rFonts w:asciiTheme="minorHAnsi" w:hAnsiTheme="minorHAnsi"/>
          <w:lang w:val="en-GB"/>
        </w:rPr>
        <w:t xml:space="preserve"> the marketing industry</w:t>
      </w:r>
      <w:r w:rsidR="008C0433" w:rsidRPr="00836D59">
        <w:rPr>
          <w:rFonts w:asciiTheme="minorHAnsi" w:hAnsiTheme="minorHAnsi"/>
          <w:lang w:val="en-GB"/>
        </w:rPr>
        <w:t>. It</w:t>
      </w:r>
      <w:r w:rsidR="00B8725B" w:rsidRPr="00836D59">
        <w:rPr>
          <w:rFonts w:asciiTheme="minorHAnsi" w:hAnsiTheme="minorHAnsi"/>
          <w:lang w:val="en-GB"/>
        </w:rPr>
        <w:t xml:space="preserve"> involves </w:t>
      </w:r>
      <w:r w:rsidR="00D32521" w:rsidRPr="00836D59">
        <w:rPr>
          <w:rFonts w:asciiTheme="minorHAnsi" w:hAnsiTheme="minorHAnsi"/>
          <w:lang w:val="en-GB"/>
        </w:rPr>
        <w:t>I</w:t>
      </w:r>
      <w:r w:rsidR="00E40203" w:rsidRPr="00836D59">
        <w:rPr>
          <w:rFonts w:asciiTheme="minorHAnsi" w:hAnsiTheme="minorHAnsi"/>
          <w:lang w:val="en-GB"/>
        </w:rPr>
        <w:t>nternet platforms supplying</w:t>
      </w:r>
      <w:r w:rsidR="000A042E" w:rsidRPr="00836D59">
        <w:rPr>
          <w:rFonts w:asciiTheme="minorHAnsi" w:hAnsiTheme="minorHAnsi"/>
          <w:lang w:val="en-GB"/>
        </w:rPr>
        <w:t xml:space="preserve"> –</w:t>
      </w:r>
      <w:r w:rsidR="00B8725B" w:rsidRPr="00836D59">
        <w:rPr>
          <w:rFonts w:asciiTheme="minorHAnsi" w:hAnsiTheme="minorHAnsi"/>
          <w:lang w:val="en-GB"/>
        </w:rPr>
        <w:t xml:space="preserve"> or </w:t>
      </w:r>
      <w:r w:rsidR="00E40203" w:rsidRPr="00836D59">
        <w:rPr>
          <w:rFonts w:asciiTheme="minorHAnsi" w:hAnsiTheme="minorHAnsi"/>
          <w:lang w:val="en-GB"/>
        </w:rPr>
        <w:t xml:space="preserve">analysts </w:t>
      </w:r>
      <w:r w:rsidR="006B0CED" w:rsidRPr="00836D59">
        <w:rPr>
          <w:rFonts w:asciiTheme="minorHAnsi" w:hAnsiTheme="minorHAnsi"/>
          <w:lang w:val="en-GB"/>
        </w:rPr>
        <w:t>“</w:t>
      </w:r>
      <w:r w:rsidR="00B8725B" w:rsidRPr="00836D59">
        <w:rPr>
          <w:rFonts w:asciiTheme="minorHAnsi" w:hAnsiTheme="minorHAnsi"/>
          <w:lang w:val="en-GB"/>
        </w:rPr>
        <w:t>scraping</w:t>
      </w:r>
      <w:r w:rsidR="006B0CED" w:rsidRPr="00836D59">
        <w:rPr>
          <w:rFonts w:asciiTheme="minorHAnsi" w:hAnsiTheme="minorHAnsi"/>
          <w:lang w:val="en-GB"/>
        </w:rPr>
        <w:t>”</w:t>
      </w:r>
      <w:r w:rsidR="000A042E" w:rsidRPr="00836D59">
        <w:rPr>
          <w:rFonts w:asciiTheme="minorHAnsi" w:hAnsiTheme="minorHAnsi"/>
          <w:lang w:val="en-GB"/>
        </w:rPr>
        <w:t xml:space="preserve"> –</w:t>
      </w:r>
      <w:r w:rsidR="00B8725B" w:rsidRPr="00836D59">
        <w:rPr>
          <w:rFonts w:asciiTheme="minorHAnsi" w:hAnsiTheme="minorHAnsi"/>
          <w:lang w:val="en-GB"/>
        </w:rPr>
        <w:t xml:space="preserve"> </w:t>
      </w:r>
      <w:r w:rsidR="008C0433" w:rsidRPr="00836D59">
        <w:rPr>
          <w:rFonts w:asciiTheme="minorHAnsi" w:hAnsiTheme="minorHAnsi"/>
          <w:lang w:val="en-GB"/>
        </w:rPr>
        <w:t xml:space="preserve">personal </w:t>
      </w:r>
      <w:r w:rsidR="00B8725B" w:rsidRPr="00836D59">
        <w:rPr>
          <w:rFonts w:asciiTheme="minorHAnsi" w:hAnsiTheme="minorHAnsi"/>
          <w:lang w:val="en-GB"/>
        </w:rPr>
        <w:t>data</w:t>
      </w:r>
      <w:r w:rsidR="008C0433" w:rsidRPr="00836D59">
        <w:rPr>
          <w:rFonts w:asciiTheme="minorHAnsi" w:hAnsiTheme="minorHAnsi"/>
          <w:lang w:val="en-GB"/>
        </w:rPr>
        <w:t>, including data from minors,</w:t>
      </w:r>
      <w:r w:rsidR="00B8725B" w:rsidRPr="00836D59">
        <w:rPr>
          <w:rFonts w:asciiTheme="minorHAnsi" w:hAnsiTheme="minorHAnsi"/>
          <w:lang w:val="en-GB"/>
        </w:rPr>
        <w:t xml:space="preserve"> for a purpose </w:t>
      </w:r>
      <w:r w:rsidR="00650AE4" w:rsidRPr="00836D59">
        <w:rPr>
          <w:rFonts w:asciiTheme="minorHAnsi" w:hAnsiTheme="minorHAnsi"/>
          <w:lang w:val="en-GB"/>
        </w:rPr>
        <w:t xml:space="preserve">users </w:t>
      </w:r>
      <w:r w:rsidR="00B8725B" w:rsidRPr="00836D59">
        <w:rPr>
          <w:rFonts w:asciiTheme="minorHAnsi" w:hAnsiTheme="minorHAnsi"/>
          <w:lang w:val="en-GB"/>
        </w:rPr>
        <w:t>are unlikely to have envisaged when they engage with brands</w:t>
      </w:r>
      <w:r w:rsidR="00834018" w:rsidRPr="00836D59">
        <w:rPr>
          <w:rFonts w:asciiTheme="minorHAnsi" w:hAnsiTheme="minorHAnsi"/>
          <w:lang w:val="en-GB"/>
        </w:rPr>
        <w:t xml:space="preserve">, </w:t>
      </w:r>
      <w:r w:rsidR="00B8725B" w:rsidRPr="00836D59">
        <w:rPr>
          <w:rFonts w:asciiTheme="minorHAnsi" w:hAnsiTheme="minorHAnsi"/>
          <w:lang w:val="en-GB"/>
        </w:rPr>
        <w:t xml:space="preserve">peers </w:t>
      </w:r>
      <w:r w:rsidR="00834018" w:rsidRPr="00836D59">
        <w:rPr>
          <w:rFonts w:asciiTheme="minorHAnsi" w:hAnsiTheme="minorHAnsi"/>
          <w:lang w:val="en-GB"/>
        </w:rPr>
        <w:t xml:space="preserve">or other content </w:t>
      </w:r>
      <w:r w:rsidR="00B8725B" w:rsidRPr="00836D59">
        <w:rPr>
          <w:rFonts w:asciiTheme="minorHAnsi" w:hAnsiTheme="minorHAnsi"/>
          <w:lang w:val="en-GB"/>
        </w:rPr>
        <w:t>in social media</w:t>
      </w:r>
      <w:r w:rsidR="00834018" w:rsidRPr="00836D59">
        <w:rPr>
          <w:rFonts w:asciiTheme="minorHAnsi" w:hAnsiTheme="minorHAnsi"/>
          <w:lang w:val="en-GB"/>
        </w:rPr>
        <w:t xml:space="preserve">, </w:t>
      </w:r>
      <w:r w:rsidR="00B8725B" w:rsidRPr="00836D59">
        <w:rPr>
          <w:rFonts w:asciiTheme="minorHAnsi" w:hAnsiTheme="minorHAnsi"/>
          <w:lang w:val="en-GB"/>
        </w:rPr>
        <w:t>on video</w:t>
      </w:r>
      <w:r w:rsidR="009B7EE8" w:rsidRPr="00836D59">
        <w:rPr>
          <w:rFonts w:asciiTheme="minorHAnsi" w:hAnsiTheme="minorHAnsi"/>
          <w:lang w:val="en-GB"/>
        </w:rPr>
        <w:t>-</w:t>
      </w:r>
      <w:r w:rsidR="00B8725B" w:rsidRPr="00836D59">
        <w:rPr>
          <w:rFonts w:asciiTheme="minorHAnsi" w:hAnsiTheme="minorHAnsi"/>
          <w:lang w:val="en-GB"/>
        </w:rPr>
        <w:t>sharing sites such as YouTube</w:t>
      </w:r>
      <w:r w:rsidR="00834018" w:rsidRPr="00836D59">
        <w:rPr>
          <w:rFonts w:asciiTheme="minorHAnsi" w:hAnsiTheme="minorHAnsi"/>
          <w:lang w:val="en-GB"/>
        </w:rPr>
        <w:t xml:space="preserve"> and on other </w:t>
      </w:r>
      <w:r w:rsidR="00D32521" w:rsidRPr="00836D59">
        <w:rPr>
          <w:rFonts w:asciiTheme="minorHAnsi" w:hAnsiTheme="minorHAnsi"/>
          <w:lang w:val="en-GB"/>
        </w:rPr>
        <w:t>I</w:t>
      </w:r>
      <w:r w:rsidR="00834018" w:rsidRPr="00836D59">
        <w:rPr>
          <w:rFonts w:asciiTheme="minorHAnsi" w:hAnsiTheme="minorHAnsi"/>
          <w:lang w:val="en-GB"/>
        </w:rPr>
        <w:t>nternet sites</w:t>
      </w:r>
      <w:r w:rsidR="00B8725B" w:rsidRPr="00836D59">
        <w:rPr>
          <w:rFonts w:asciiTheme="minorHAnsi" w:hAnsiTheme="minorHAnsi"/>
          <w:lang w:val="en-GB"/>
        </w:rPr>
        <w:t xml:space="preserve">. Although </w:t>
      </w:r>
      <w:r w:rsidR="009B7EE8" w:rsidRPr="00836D59">
        <w:rPr>
          <w:rFonts w:asciiTheme="minorHAnsi" w:hAnsiTheme="minorHAnsi"/>
          <w:lang w:val="en-GB"/>
        </w:rPr>
        <w:t xml:space="preserve">the </w:t>
      </w:r>
      <w:r w:rsidR="00B8725B" w:rsidRPr="00836D59">
        <w:rPr>
          <w:rFonts w:asciiTheme="minorHAnsi" w:hAnsiTheme="minorHAnsi"/>
          <w:lang w:val="en-GB"/>
        </w:rPr>
        <w:t>terms and conditions of many social media providers require users to agree to research on their d</w:t>
      </w:r>
      <w:r w:rsidR="00CF34CC" w:rsidRPr="00836D59">
        <w:rPr>
          <w:rFonts w:asciiTheme="minorHAnsi" w:hAnsiTheme="minorHAnsi"/>
          <w:lang w:val="en-GB"/>
        </w:rPr>
        <w:t>a</w:t>
      </w:r>
      <w:r w:rsidR="00B8725B" w:rsidRPr="00836D59">
        <w:rPr>
          <w:rFonts w:asciiTheme="minorHAnsi" w:hAnsiTheme="minorHAnsi"/>
          <w:lang w:val="en-GB"/>
        </w:rPr>
        <w:t>ta, it is unlikely that young users</w:t>
      </w:r>
      <w:r w:rsidR="009B7EE8" w:rsidRPr="00836D59">
        <w:rPr>
          <w:rFonts w:asciiTheme="minorHAnsi" w:hAnsiTheme="minorHAnsi"/>
          <w:lang w:val="en-GB"/>
        </w:rPr>
        <w:t>,</w:t>
      </w:r>
      <w:r w:rsidR="00B8725B" w:rsidRPr="00836D59">
        <w:rPr>
          <w:rFonts w:asciiTheme="minorHAnsi" w:hAnsiTheme="minorHAnsi"/>
          <w:lang w:val="en-GB"/>
        </w:rPr>
        <w:t xml:space="preserve"> or indeed their parents/guardians</w:t>
      </w:r>
      <w:r w:rsidR="009B7EE8" w:rsidRPr="00836D59">
        <w:rPr>
          <w:rFonts w:asciiTheme="minorHAnsi" w:hAnsiTheme="minorHAnsi"/>
          <w:lang w:val="en-GB"/>
        </w:rPr>
        <w:t>,</w:t>
      </w:r>
      <w:r w:rsidR="00B8725B" w:rsidRPr="00836D59">
        <w:rPr>
          <w:rFonts w:asciiTheme="minorHAnsi" w:hAnsiTheme="minorHAnsi"/>
          <w:lang w:val="en-GB"/>
        </w:rPr>
        <w:t xml:space="preserve"> </w:t>
      </w:r>
      <w:r w:rsidR="00CF34CC" w:rsidRPr="00836D59">
        <w:rPr>
          <w:rFonts w:asciiTheme="minorHAnsi" w:hAnsiTheme="minorHAnsi"/>
          <w:lang w:val="en-GB"/>
        </w:rPr>
        <w:t xml:space="preserve">will be aware that they have consented to such practices. </w:t>
      </w:r>
      <w:r w:rsidR="001A5776" w:rsidRPr="00836D59">
        <w:rPr>
          <w:rFonts w:asciiTheme="minorHAnsi" w:hAnsiTheme="minorHAnsi"/>
          <w:lang w:val="en-GB"/>
        </w:rPr>
        <w:t xml:space="preserve">Such data collection is </w:t>
      </w:r>
      <w:r w:rsidR="00CF34CC" w:rsidRPr="00836D59">
        <w:rPr>
          <w:rFonts w:asciiTheme="minorHAnsi" w:hAnsiTheme="minorHAnsi"/>
          <w:lang w:val="en-GB"/>
        </w:rPr>
        <w:t xml:space="preserve">widespread in the commercial field </w:t>
      </w:r>
      <w:r w:rsidR="001A5776" w:rsidRPr="00836D59">
        <w:rPr>
          <w:rFonts w:asciiTheme="minorHAnsi" w:hAnsiTheme="minorHAnsi"/>
          <w:lang w:val="en-GB"/>
        </w:rPr>
        <w:t>but</w:t>
      </w:r>
      <w:r w:rsidR="00CF34CC" w:rsidRPr="00836D59">
        <w:rPr>
          <w:rFonts w:asciiTheme="minorHAnsi" w:hAnsiTheme="minorHAnsi"/>
          <w:lang w:val="en-GB"/>
        </w:rPr>
        <w:t xml:space="preserve"> fall</w:t>
      </w:r>
      <w:r w:rsidR="001A5776" w:rsidRPr="00836D59">
        <w:rPr>
          <w:rFonts w:asciiTheme="minorHAnsi" w:hAnsiTheme="minorHAnsi"/>
          <w:lang w:val="en-GB"/>
        </w:rPr>
        <w:t>s</w:t>
      </w:r>
      <w:r w:rsidR="00CF34CC" w:rsidRPr="00836D59">
        <w:rPr>
          <w:rFonts w:asciiTheme="minorHAnsi" w:hAnsiTheme="minorHAnsi"/>
          <w:lang w:val="en-GB"/>
        </w:rPr>
        <w:t xml:space="preserve"> outside modes </w:t>
      </w:r>
      <w:r w:rsidR="001C3F67" w:rsidRPr="00836D59">
        <w:rPr>
          <w:rFonts w:asciiTheme="minorHAnsi" w:hAnsiTheme="minorHAnsi"/>
          <w:lang w:val="en-GB"/>
        </w:rPr>
        <w:t xml:space="preserve">that research ethics review </w:t>
      </w:r>
      <w:r w:rsidR="008C0433" w:rsidRPr="00836D59">
        <w:rPr>
          <w:rFonts w:asciiTheme="minorHAnsi" w:hAnsiTheme="minorHAnsi"/>
          <w:lang w:val="en-GB"/>
        </w:rPr>
        <w:t>boards</w:t>
      </w:r>
      <w:r w:rsidR="001C3F67" w:rsidRPr="00836D59">
        <w:rPr>
          <w:rFonts w:asciiTheme="minorHAnsi" w:hAnsiTheme="minorHAnsi"/>
          <w:lang w:val="en-GB"/>
        </w:rPr>
        <w:t xml:space="preserve"> typically deal with</w:t>
      </w:r>
      <w:r w:rsidR="00CF34CC" w:rsidRPr="00836D59">
        <w:rPr>
          <w:rFonts w:asciiTheme="minorHAnsi" w:hAnsiTheme="minorHAnsi"/>
          <w:lang w:val="en-GB"/>
        </w:rPr>
        <w:t xml:space="preserve">. </w:t>
      </w:r>
    </w:p>
    <w:p w14:paraId="3436C6AA" w14:textId="17C87199" w:rsidR="00E65AF3" w:rsidRPr="00836D59" w:rsidRDefault="00CF34CC" w:rsidP="00836D59">
      <w:pPr>
        <w:spacing w:line="360" w:lineRule="auto"/>
        <w:rPr>
          <w:rFonts w:asciiTheme="minorHAnsi" w:hAnsiTheme="minorHAnsi"/>
          <w:lang w:val="en-GB"/>
        </w:rPr>
      </w:pPr>
      <w:r w:rsidRPr="00836D59">
        <w:rPr>
          <w:rFonts w:asciiTheme="minorHAnsi" w:hAnsiTheme="minorHAnsi"/>
          <w:lang w:val="en-GB"/>
        </w:rPr>
        <w:t xml:space="preserve">The second option </w:t>
      </w:r>
      <w:r w:rsidR="00C32F6E" w:rsidRPr="00836D59">
        <w:rPr>
          <w:rFonts w:asciiTheme="minorHAnsi" w:hAnsiTheme="minorHAnsi"/>
          <w:lang w:val="en-GB"/>
        </w:rPr>
        <w:t>explored</w:t>
      </w:r>
      <w:r w:rsidRPr="00836D59">
        <w:rPr>
          <w:rFonts w:asciiTheme="minorHAnsi" w:hAnsiTheme="minorHAnsi"/>
          <w:lang w:val="en-GB"/>
        </w:rPr>
        <w:t xml:space="preserve"> </w:t>
      </w:r>
      <w:r w:rsidR="00C32F6E" w:rsidRPr="00836D59">
        <w:rPr>
          <w:rFonts w:asciiTheme="minorHAnsi" w:hAnsiTheme="minorHAnsi"/>
          <w:lang w:val="en-GB"/>
        </w:rPr>
        <w:t xml:space="preserve">was </w:t>
      </w:r>
      <w:r w:rsidR="001C31EC" w:rsidRPr="00836D59">
        <w:rPr>
          <w:rFonts w:asciiTheme="minorHAnsi" w:hAnsiTheme="minorHAnsi"/>
          <w:lang w:val="en-GB"/>
        </w:rPr>
        <w:t xml:space="preserve">a </w:t>
      </w:r>
      <w:r w:rsidR="00C3745D" w:rsidRPr="00836D59">
        <w:rPr>
          <w:rFonts w:asciiTheme="minorHAnsi" w:hAnsiTheme="minorHAnsi"/>
          <w:lang w:val="en-GB"/>
        </w:rPr>
        <w:t>technology solution</w:t>
      </w:r>
      <w:r w:rsidR="00593DCA" w:rsidRPr="00836D59">
        <w:rPr>
          <w:rFonts w:asciiTheme="minorHAnsi" w:hAnsiTheme="minorHAnsi"/>
          <w:lang w:val="en-GB"/>
        </w:rPr>
        <w:t xml:space="preserve">, </w:t>
      </w:r>
      <w:r w:rsidRPr="00836D59">
        <w:rPr>
          <w:rFonts w:asciiTheme="minorHAnsi" w:hAnsiTheme="minorHAnsi"/>
          <w:lang w:val="en-GB"/>
        </w:rPr>
        <w:t xml:space="preserve">an </w:t>
      </w:r>
      <w:r w:rsidR="001C31EC" w:rsidRPr="00836D59">
        <w:rPr>
          <w:rFonts w:asciiTheme="minorHAnsi" w:hAnsiTheme="minorHAnsi"/>
          <w:lang w:val="en-GB"/>
        </w:rPr>
        <w:t xml:space="preserve">application </w:t>
      </w:r>
      <w:r w:rsidR="009D64BC" w:rsidRPr="00836D59">
        <w:rPr>
          <w:rFonts w:asciiTheme="minorHAnsi" w:hAnsiTheme="minorHAnsi"/>
          <w:lang w:val="en-GB"/>
        </w:rPr>
        <w:t>(</w:t>
      </w:r>
      <w:r w:rsidR="00542936" w:rsidRPr="00836D59">
        <w:rPr>
          <w:rFonts w:asciiTheme="minorHAnsi" w:hAnsiTheme="minorHAnsi"/>
          <w:lang w:val="en-GB"/>
        </w:rPr>
        <w:t>app</w:t>
      </w:r>
      <w:r w:rsidR="009D64BC" w:rsidRPr="00836D59">
        <w:rPr>
          <w:rFonts w:asciiTheme="minorHAnsi" w:hAnsiTheme="minorHAnsi"/>
          <w:lang w:val="en-GB"/>
        </w:rPr>
        <w:t>)</w:t>
      </w:r>
      <w:r w:rsidR="00542936" w:rsidRPr="00836D59">
        <w:rPr>
          <w:rFonts w:asciiTheme="minorHAnsi" w:hAnsiTheme="minorHAnsi"/>
          <w:lang w:val="en-GB"/>
        </w:rPr>
        <w:t xml:space="preserve"> </w:t>
      </w:r>
      <w:r w:rsidR="001C31EC" w:rsidRPr="00836D59">
        <w:rPr>
          <w:rFonts w:asciiTheme="minorHAnsi" w:hAnsiTheme="minorHAnsi"/>
          <w:lang w:val="en-GB"/>
        </w:rPr>
        <w:t xml:space="preserve">or virtual private network through which </w:t>
      </w:r>
      <w:r w:rsidR="00247249" w:rsidRPr="00836D59">
        <w:rPr>
          <w:rFonts w:asciiTheme="minorHAnsi" w:hAnsiTheme="minorHAnsi"/>
          <w:lang w:val="en-GB"/>
        </w:rPr>
        <w:t>children</w:t>
      </w:r>
      <w:r w:rsidR="00624F81" w:rsidRPr="00836D59">
        <w:rPr>
          <w:rFonts w:asciiTheme="minorHAnsi" w:hAnsiTheme="minorHAnsi"/>
          <w:lang w:val="en-GB"/>
        </w:rPr>
        <w:t>’</w:t>
      </w:r>
      <w:r w:rsidR="00247249" w:rsidRPr="00836D59">
        <w:rPr>
          <w:rFonts w:asciiTheme="minorHAnsi" w:hAnsiTheme="minorHAnsi"/>
          <w:lang w:val="en-GB"/>
        </w:rPr>
        <w:t>s</w:t>
      </w:r>
      <w:r w:rsidR="001C31EC" w:rsidRPr="00836D59">
        <w:rPr>
          <w:rFonts w:asciiTheme="minorHAnsi" w:hAnsiTheme="minorHAnsi"/>
          <w:lang w:val="en-GB"/>
        </w:rPr>
        <w:t xml:space="preserve"> </w:t>
      </w:r>
      <w:r w:rsidR="00D32521" w:rsidRPr="00836D59">
        <w:rPr>
          <w:rFonts w:asciiTheme="minorHAnsi" w:hAnsiTheme="minorHAnsi"/>
          <w:lang w:val="en-GB"/>
        </w:rPr>
        <w:t>I</w:t>
      </w:r>
      <w:r w:rsidR="001C31EC" w:rsidRPr="00836D59">
        <w:rPr>
          <w:rFonts w:asciiTheme="minorHAnsi" w:hAnsiTheme="minorHAnsi"/>
          <w:lang w:val="en-GB"/>
        </w:rPr>
        <w:t xml:space="preserve">nternet </w:t>
      </w:r>
      <w:r w:rsidR="007629AC" w:rsidRPr="00836D59">
        <w:rPr>
          <w:rFonts w:asciiTheme="minorHAnsi" w:hAnsiTheme="minorHAnsi"/>
          <w:lang w:val="en-GB"/>
        </w:rPr>
        <w:t xml:space="preserve">use </w:t>
      </w:r>
      <w:r w:rsidR="00CB75E5" w:rsidRPr="00836D59">
        <w:rPr>
          <w:rFonts w:asciiTheme="minorHAnsi" w:hAnsiTheme="minorHAnsi"/>
          <w:lang w:val="en-GB"/>
        </w:rPr>
        <w:t xml:space="preserve">can </w:t>
      </w:r>
      <w:r w:rsidR="001C31EC" w:rsidRPr="00836D59">
        <w:rPr>
          <w:rFonts w:asciiTheme="minorHAnsi" w:hAnsiTheme="minorHAnsi"/>
          <w:lang w:val="en-GB"/>
        </w:rPr>
        <w:t xml:space="preserve">be recorded, with </w:t>
      </w:r>
      <w:r w:rsidR="00247249" w:rsidRPr="00836D59">
        <w:rPr>
          <w:rFonts w:asciiTheme="minorHAnsi" w:hAnsiTheme="minorHAnsi"/>
          <w:lang w:val="en-GB"/>
        </w:rPr>
        <w:t xml:space="preserve">their and (where relevant) </w:t>
      </w:r>
      <w:r w:rsidR="00CF22A5" w:rsidRPr="00836D59">
        <w:rPr>
          <w:rFonts w:asciiTheme="minorHAnsi" w:hAnsiTheme="minorHAnsi"/>
          <w:lang w:val="en-GB"/>
        </w:rPr>
        <w:t xml:space="preserve">their </w:t>
      </w:r>
      <w:r w:rsidR="00C32F6E" w:rsidRPr="00836D59">
        <w:rPr>
          <w:rFonts w:asciiTheme="minorHAnsi" w:hAnsiTheme="minorHAnsi"/>
          <w:lang w:val="en-GB"/>
        </w:rPr>
        <w:t>parents</w:t>
      </w:r>
      <w:r w:rsidR="00624F81" w:rsidRPr="00836D59">
        <w:rPr>
          <w:rFonts w:asciiTheme="minorHAnsi" w:hAnsiTheme="minorHAnsi"/>
          <w:lang w:val="en-GB"/>
        </w:rPr>
        <w:t>’</w:t>
      </w:r>
      <w:r w:rsidR="00CF22A5" w:rsidRPr="00836D59">
        <w:rPr>
          <w:rFonts w:asciiTheme="minorHAnsi" w:hAnsiTheme="minorHAnsi"/>
          <w:lang w:val="en-GB"/>
        </w:rPr>
        <w:t xml:space="preserve"> or guardians’</w:t>
      </w:r>
      <w:r w:rsidR="00C32F6E" w:rsidRPr="00836D59">
        <w:rPr>
          <w:rFonts w:asciiTheme="minorHAnsi" w:hAnsiTheme="minorHAnsi"/>
          <w:lang w:val="en-GB"/>
        </w:rPr>
        <w:t xml:space="preserve"> </w:t>
      </w:r>
      <w:r w:rsidR="001C31EC" w:rsidRPr="00836D59">
        <w:rPr>
          <w:rFonts w:asciiTheme="minorHAnsi" w:hAnsiTheme="minorHAnsi"/>
          <w:lang w:val="en-GB"/>
        </w:rPr>
        <w:t>consent</w:t>
      </w:r>
      <w:r w:rsidR="00650AE4" w:rsidRPr="00836D59">
        <w:rPr>
          <w:rFonts w:asciiTheme="minorHAnsi" w:hAnsiTheme="minorHAnsi"/>
          <w:lang w:val="en-GB"/>
        </w:rPr>
        <w:t>, with the aim of identifying their advertising exposure</w:t>
      </w:r>
      <w:r w:rsidR="001229E1" w:rsidRPr="00836D59">
        <w:rPr>
          <w:rFonts w:asciiTheme="minorHAnsi" w:hAnsiTheme="minorHAnsi"/>
          <w:lang w:val="en-GB"/>
        </w:rPr>
        <w:t xml:space="preserve"> in the context of individuals</w:t>
      </w:r>
      <w:r w:rsidR="00624F81" w:rsidRPr="00836D59">
        <w:rPr>
          <w:rFonts w:asciiTheme="minorHAnsi" w:hAnsiTheme="minorHAnsi"/>
          <w:lang w:val="en-GB"/>
        </w:rPr>
        <w:t>’</w:t>
      </w:r>
      <w:r w:rsidR="001229E1" w:rsidRPr="00836D59">
        <w:rPr>
          <w:rFonts w:asciiTheme="minorHAnsi" w:hAnsiTheme="minorHAnsi"/>
          <w:lang w:val="en-GB"/>
        </w:rPr>
        <w:t xml:space="preserve"> overall </w:t>
      </w:r>
      <w:r w:rsidR="00D32521" w:rsidRPr="00836D59">
        <w:rPr>
          <w:rFonts w:asciiTheme="minorHAnsi" w:hAnsiTheme="minorHAnsi"/>
          <w:lang w:val="en-GB"/>
        </w:rPr>
        <w:t>I</w:t>
      </w:r>
      <w:r w:rsidR="001229E1" w:rsidRPr="00836D59">
        <w:rPr>
          <w:rFonts w:asciiTheme="minorHAnsi" w:hAnsiTheme="minorHAnsi"/>
          <w:lang w:val="en-GB"/>
        </w:rPr>
        <w:t>nternet use</w:t>
      </w:r>
      <w:r w:rsidR="001C31EC" w:rsidRPr="00836D59">
        <w:rPr>
          <w:rFonts w:asciiTheme="minorHAnsi" w:hAnsiTheme="minorHAnsi"/>
          <w:lang w:val="en-GB"/>
        </w:rPr>
        <w:t xml:space="preserve">. </w:t>
      </w:r>
      <w:r w:rsidR="00C32F6E" w:rsidRPr="00836D59">
        <w:rPr>
          <w:rFonts w:asciiTheme="minorHAnsi" w:hAnsiTheme="minorHAnsi"/>
          <w:lang w:val="en-GB"/>
        </w:rPr>
        <w:t xml:space="preserve">Here, </w:t>
      </w:r>
      <w:r w:rsidR="00247249" w:rsidRPr="00836D59">
        <w:rPr>
          <w:rFonts w:asciiTheme="minorHAnsi" w:hAnsiTheme="minorHAnsi"/>
          <w:lang w:val="en-GB"/>
        </w:rPr>
        <w:t>personal</w:t>
      </w:r>
      <w:r w:rsidR="00C32F6E" w:rsidRPr="00836D59">
        <w:rPr>
          <w:rFonts w:asciiTheme="minorHAnsi" w:hAnsiTheme="minorHAnsi"/>
          <w:lang w:val="en-GB"/>
        </w:rPr>
        <w:t xml:space="preserve"> data</w:t>
      </w:r>
      <w:r w:rsidR="00A640A7" w:rsidRPr="00836D59">
        <w:rPr>
          <w:rFonts w:asciiTheme="minorHAnsi" w:hAnsiTheme="minorHAnsi"/>
          <w:lang w:val="en-GB"/>
        </w:rPr>
        <w:t xml:space="preserve"> (all traffic through their laptop</w:t>
      </w:r>
      <w:r w:rsidR="00CF22A5" w:rsidRPr="00836D59">
        <w:rPr>
          <w:rFonts w:asciiTheme="minorHAnsi" w:hAnsiTheme="minorHAnsi"/>
          <w:lang w:val="en-GB"/>
        </w:rPr>
        <w:t>s</w:t>
      </w:r>
      <w:r w:rsidR="00A640A7" w:rsidRPr="00836D59">
        <w:rPr>
          <w:rFonts w:asciiTheme="minorHAnsi" w:hAnsiTheme="minorHAnsi"/>
          <w:lang w:val="en-GB"/>
        </w:rPr>
        <w:t xml:space="preserve"> or mobile devices)</w:t>
      </w:r>
      <w:r w:rsidR="00C32F6E" w:rsidRPr="00836D59">
        <w:rPr>
          <w:rFonts w:asciiTheme="minorHAnsi" w:hAnsiTheme="minorHAnsi"/>
          <w:lang w:val="en-GB"/>
        </w:rPr>
        <w:t xml:space="preserve"> </w:t>
      </w:r>
      <w:r w:rsidR="00CB75E5" w:rsidRPr="00836D59">
        <w:rPr>
          <w:rFonts w:asciiTheme="minorHAnsi" w:hAnsiTheme="minorHAnsi"/>
          <w:lang w:val="en-GB"/>
        </w:rPr>
        <w:t>are</w:t>
      </w:r>
      <w:r w:rsidR="00C32F6E" w:rsidRPr="00836D59">
        <w:rPr>
          <w:rFonts w:asciiTheme="minorHAnsi" w:hAnsiTheme="minorHAnsi"/>
          <w:lang w:val="en-GB"/>
        </w:rPr>
        <w:t xml:space="preserve"> accessed</w:t>
      </w:r>
      <w:r w:rsidR="00CF22A5" w:rsidRPr="00836D59">
        <w:rPr>
          <w:rFonts w:asciiTheme="minorHAnsi" w:hAnsiTheme="minorHAnsi"/>
          <w:lang w:val="en-GB"/>
        </w:rPr>
        <w:t xml:space="preserve"> and</w:t>
      </w:r>
      <w:r w:rsidR="00A9291C" w:rsidRPr="00836D59">
        <w:rPr>
          <w:rFonts w:asciiTheme="minorHAnsi" w:hAnsiTheme="minorHAnsi"/>
          <w:lang w:val="en-GB"/>
        </w:rPr>
        <w:t xml:space="preserve"> </w:t>
      </w:r>
      <w:r w:rsidR="00A640A7" w:rsidRPr="00836D59">
        <w:rPr>
          <w:rFonts w:asciiTheme="minorHAnsi" w:hAnsiTheme="minorHAnsi"/>
          <w:lang w:val="en-GB"/>
        </w:rPr>
        <w:t>uploaded to a secure site</w:t>
      </w:r>
      <w:r w:rsidR="00CF22A5" w:rsidRPr="00836D59">
        <w:rPr>
          <w:rFonts w:asciiTheme="minorHAnsi" w:hAnsiTheme="minorHAnsi"/>
          <w:lang w:val="en-GB"/>
        </w:rPr>
        <w:t>;</w:t>
      </w:r>
      <w:r w:rsidR="00A640A7" w:rsidRPr="00836D59">
        <w:rPr>
          <w:rFonts w:asciiTheme="minorHAnsi" w:hAnsiTheme="minorHAnsi"/>
          <w:lang w:val="en-GB"/>
        </w:rPr>
        <w:t xml:space="preserve"> </w:t>
      </w:r>
      <w:r w:rsidR="00A9291C" w:rsidRPr="00836D59">
        <w:rPr>
          <w:rFonts w:asciiTheme="minorHAnsi" w:hAnsiTheme="minorHAnsi"/>
          <w:lang w:val="en-GB"/>
        </w:rPr>
        <w:t xml:space="preserve">relevant content </w:t>
      </w:r>
      <w:r w:rsidR="00CB75E5" w:rsidRPr="00836D59">
        <w:rPr>
          <w:rFonts w:asciiTheme="minorHAnsi" w:hAnsiTheme="minorHAnsi"/>
          <w:lang w:val="en-GB"/>
        </w:rPr>
        <w:t>is</w:t>
      </w:r>
      <w:r w:rsidR="00CF22A5" w:rsidRPr="00836D59">
        <w:rPr>
          <w:rFonts w:asciiTheme="minorHAnsi" w:hAnsiTheme="minorHAnsi"/>
          <w:lang w:val="en-GB"/>
        </w:rPr>
        <w:t xml:space="preserve"> </w:t>
      </w:r>
      <w:r w:rsidR="00A9291C" w:rsidRPr="00836D59">
        <w:rPr>
          <w:rFonts w:asciiTheme="minorHAnsi" w:hAnsiTheme="minorHAnsi"/>
          <w:lang w:val="en-GB"/>
        </w:rPr>
        <w:t>retained</w:t>
      </w:r>
      <w:r w:rsidR="000C0B0F" w:rsidRPr="00836D59">
        <w:rPr>
          <w:rFonts w:asciiTheme="minorHAnsi" w:hAnsiTheme="minorHAnsi"/>
          <w:lang w:val="en-GB"/>
        </w:rPr>
        <w:t xml:space="preserve"> for analysis</w:t>
      </w:r>
      <w:r w:rsidR="00A9291C" w:rsidRPr="00836D59">
        <w:rPr>
          <w:rFonts w:asciiTheme="minorHAnsi" w:hAnsiTheme="minorHAnsi"/>
          <w:lang w:val="en-GB"/>
        </w:rPr>
        <w:t xml:space="preserve"> and</w:t>
      </w:r>
      <w:r w:rsidR="00A640A7" w:rsidRPr="00836D59">
        <w:rPr>
          <w:rFonts w:asciiTheme="minorHAnsi" w:hAnsiTheme="minorHAnsi"/>
          <w:lang w:val="en-GB"/>
        </w:rPr>
        <w:t xml:space="preserve"> non-relevant content discarded.</w:t>
      </w:r>
      <w:r w:rsidR="00624F81" w:rsidRPr="00836D59">
        <w:rPr>
          <w:rFonts w:asciiTheme="minorHAnsi" w:hAnsiTheme="minorHAnsi"/>
          <w:lang w:val="en-GB"/>
        </w:rPr>
        <w:t xml:space="preserve">  </w:t>
      </w:r>
    </w:p>
    <w:p w14:paraId="07D5D8D9" w14:textId="1AF3D894" w:rsidR="00512054" w:rsidRDefault="007629AC" w:rsidP="006A464F">
      <w:pPr>
        <w:spacing w:line="360" w:lineRule="auto"/>
        <w:rPr>
          <w:rFonts w:asciiTheme="minorHAnsi" w:hAnsiTheme="minorHAnsi"/>
          <w:lang w:val="en-GB"/>
        </w:rPr>
      </w:pPr>
      <w:r w:rsidRPr="00836D59">
        <w:rPr>
          <w:rFonts w:asciiTheme="minorHAnsi" w:hAnsiTheme="minorHAnsi"/>
          <w:lang w:val="en-GB"/>
        </w:rPr>
        <w:t>Both instances involve</w:t>
      </w:r>
      <w:r w:rsidR="0050762A" w:rsidRPr="00836D59">
        <w:rPr>
          <w:rFonts w:asciiTheme="minorHAnsi" w:hAnsiTheme="minorHAnsi"/>
          <w:lang w:val="en-GB"/>
        </w:rPr>
        <w:t xml:space="preserve"> </w:t>
      </w:r>
      <w:r w:rsidR="00E0453D" w:rsidRPr="00836D59">
        <w:rPr>
          <w:rFonts w:asciiTheme="minorHAnsi" w:hAnsiTheme="minorHAnsi"/>
          <w:lang w:val="en-GB"/>
        </w:rPr>
        <w:t xml:space="preserve">engaging with </w:t>
      </w:r>
      <w:r w:rsidR="00433A16" w:rsidRPr="00836D59">
        <w:rPr>
          <w:rFonts w:asciiTheme="minorHAnsi" w:hAnsiTheme="minorHAnsi"/>
          <w:lang w:val="en-GB"/>
        </w:rPr>
        <w:t>minors</w:t>
      </w:r>
      <w:r w:rsidR="00624F81" w:rsidRPr="00836D59">
        <w:rPr>
          <w:rFonts w:asciiTheme="minorHAnsi" w:hAnsiTheme="minorHAnsi"/>
          <w:lang w:val="en-GB"/>
        </w:rPr>
        <w:t>’</w:t>
      </w:r>
      <w:r w:rsidR="00433A16" w:rsidRPr="00836D59">
        <w:rPr>
          <w:rFonts w:asciiTheme="minorHAnsi" w:hAnsiTheme="minorHAnsi"/>
          <w:lang w:val="en-GB"/>
        </w:rPr>
        <w:t xml:space="preserve"> </w:t>
      </w:r>
      <w:r w:rsidR="00D32521" w:rsidRPr="00836D59">
        <w:rPr>
          <w:rFonts w:asciiTheme="minorHAnsi" w:hAnsiTheme="minorHAnsi"/>
          <w:lang w:val="en-GB"/>
        </w:rPr>
        <w:t>I</w:t>
      </w:r>
      <w:r w:rsidR="0050762A" w:rsidRPr="00836D59">
        <w:rPr>
          <w:rFonts w:asciiTheme="minorHAnsi" w:hAnsiTheme="minorHAnsi"/>
          <w:lang w:val="en-GB"/>
        </w:rPr>
        <w:t>nternet data</w:t>
      </w:r>
      <w:r w:rsidR="00A9291C" w:rsidRPr="00836D59">
        <w:rPr>
          <w:rFonts w:asciiTheme="minorHAnsi" w:hAnsiTheme="minorHAnsi"/>
          <w:lang w:val="en-GB"/>
        </w:rPr>
        <w:t xml:space="preserve"> </w:t>
      </w:r>
      <w:r w:rsidR="00702CC1" w:rsidRPr="00836D59">
        <w:rPr>
          <w:rFonts w:asciiTheme="minorHAnsi" w:hAnsiTheme="minorHAnsi"/>
          <w:lang w:val="en-GB"/>
        </w:rPr>
        <w:t>and</w:t>
      </w:r>
      <w:r w:rsidR="001229E1" w:rsidRPr="00836D59">
        <w:rPr>
          <w:rFonts w:asciiTheme="minorHAnsi" w:hAnsiTheme="minorHAnsi"/>
          <w:lang w:val="en-GB"/>
        </w:rPr>
        <w:t>, although focused on advertising exposure, may also extract information that is</w:t>
      </w:r>
      <w:r w:rsidR="00E13BEE" w:rsidRPr="00836D59">
        <w:rPr>
          <w:rFonts w:asciiTheme="minorHAnsi" w:hAnsiTheme="minorHAnsi"/>
          <w:lang w:val="en-GB"/>
        </w:rPr>
        <w:t xml:space="preserve"> </w:t>
      </w:r>
      <w:r w:rsidR="00623A7F" w:rsidRPr="00836D59">
        <w:rPr>
          <w:rFonts w:asciiTheme="minorHAnsi" w:hAnsiTheme="minorHAnsi"/>
          <w:lang w:val="en-GB"/>
        </w:rPr>
        <w:t xml:space="preserve">potentially </w:t>
      </w:r>
      <w:r w:rsidR="0050762A" w:rsidRPr="00836D59">
        <w:rPr>
          <w:rFonts w:asciiTheme="minorHAnsi" w:hAnsiTheme="minorHAnsi"/>
          <w:lang w:val="en-GB"/>
        </w:rPr>
        <w:t>sensitive</w:t>
      </w:r>
      <w:r w:rsidR="00E0453D" w:rsidRPr="00836D59">
        <w:rPr>
          <w:rFonts w:asciiTheme="minorHAnsi" w:hAnsiTheme="minorHAnsi"/>
          <w:lang w:val="en-GB"/>
        </w:rPr>
        <w:t xml:space="preserve"> </w:t>
      </w:r>
      <w:r w:rsidR="00E13BEE" w:rsidRPr="00836D59">
        <w:rPr>
          <w:rFonts w:asciiTheme="minorHAnsi" w:hAnsiTheme="minorHAnsi"/>
          <w:lang w:val="en-GB"/>
        </w:rPr>
        <w:t>and/or data from</w:t>
      </w:r>
      <w:r w:rsidR="00453C6C" w:rsidRPr="00836D59">
        <w:rPr>
          <w:rFonts w:asciiTheme="minorHAnsi" w:hAnsiTheme="minorHAnsi"/>
          <w:lang w:val="en-GB"/>
        </w:rPr>
        <w:t xml:space="preserve"> others </w:t>
      </w:r>
      <w:r w:rsidR="00E13BEE" w:rsidRPr="00836D59">
        <w:rPr>
          <w:rFonts w:asciiTheme="minorHAnsi" w:hAnsiTheme="minorHAnsi"/>
          <w:lang w:val="en-GB"/>
        </w:rPr>
        <w:t>in users</w:t>
      </w:r>
      <w:r w:rsidR="00624F81" w:rsidRPr="00836D59">
        <w:rPr>
          <w:rFonts w:asciiTheme="minorHAnsi" w:hAnsiTheme="minorHAnsi"/>
          <w:lang w:val="en-GB"/>
        </w:rPr>
        <w:t>’</w:t>
      </w:r>
      <w:r w:rsidR="00E13BEE" w:rsidRPr="00836D59">
        <w:rPr>
          <w:rFonts w:asciiTheme="minorHAnsi" w:hAnsiTheme="minorHAnsi"/>
          <w:lang w:val="en-GB"/>
        </w:rPr>
        <w:t xml:space="preserve"> networks </w:t>
      </w:r>
      <w:r w:rsidR="00453C6C" w:rsidRPr="00836D59">
        <w:rPr>
          <w:rFonts w:asciiTheme="minorHAnsi" w:hAnsiTheme="minorHAnsi"/>
          <w:lang w:val="en-GB"/>
        </w:rPr>
        <w:t>who h</w:t>
      </w:r>
      <w:r w:rsidR="00623A7F" w:rsidRPr="00836D59">
        <w:rPr>
          <w:rFonts w:asciiTheme="minorHAnsi" w:hAnsiTheme="minorHAnsi"/>
          <w:lang w:val="en-GB"/>
        </w:rPr>
        <w:t>ave not consented to take part</w:t>
      </w:r>
      <w:r w:rsidR="00B62448" w:rsidRPr="00836D59">
        <w:rPr>
          <w:rFonts w:asciiTheme="minorHAnsi" w:hAnsiTheme="minorHAnsi"/>
          <w:lang w:val="en-GB"/>
        </w:rPr>
        <w:t>, even if these were not the target data sought</w:t>
      </w:r>
      <w:r w:rsidR="00623A7F" w:rsidRPr="00836D59">
        <w:rPr>
          <w:rFonts w:asciiTheme="minorHAnsi" w:hAnsiTheme="minorHAnsi"/>
          <w:lang w:val="en-GB"/>
        </w:rPr>
        <w:t>. The workshop</w:t>
      </w:r>
      <w:r w:rsidR="00E13BEE" w:rsidRPr="00836D59">
        <w:rPr>
          <w:rFonts w:asciiTheme="minorHAnsi" w:hAnsiTheme="minorHAnsi"/>
          <w:lang w:val="en-GB"/>
        </w:rPr>
        <w:t xml:space="preserve"> </w:t>
      </w:r>
      <w:r w:rsidR="00F74B3B" w:rsidRPr="00836D59">
        <w:rPr>
          <w:rFonts w:asciiTheme="minorHAnsi" w:hAnsiTheme="minorHAnsi"/>
          <w:lang w:val="en-GB"/>
        </w:rPr>
        <w:t>addressed</w:t>
      </w:r>
      <w:r w:rsidR="00E13BEE" w:rsidRPr="00836D59">
        <w:rPr>
          <w:rFonts w:asciiTheme="minorHAnsi" w:hAnsiTheme="minorHAnsi"/>
          <w:lang w:val="en-GB"/>
        </w:rPr>
        <w:t xml:space="preserve"> these and other </w:t>
      </w:r>
      <w:r w:rsidR="00F74B3B" w:rsidRPr="00836D59">
        <w:rPr>
          <w:rFonts w:asciiTheme="minorHAnsi" w:hAnsiTheme="minorHAnsi"/>
          <w:lang w:val="en-GB"/>
        </w:rPr>
        <w:t>challenges</w:t>
      </w:r>
      <w:r w:rsidR="001229E1" w:rsidRPr="00836D59">
        <w:rPr>
          <w:rFonts w:asciiTheme="minorHAnsi" w:hAnsiTheme="minorHAnsi"/>
          <w:lang w:val="en-GB"/>
        </w:rPr>
        <w:t xml:space="preserve"> in the context of digital ethics guidance, </w:t>
      </w:r>
      <w:r w:rsidR="00B756AA" w:rsidRPr="00836D59">
        <w:rPr>
          <w:rFonts w:asciiTheme="minorHAnsi" w:hAnsiTheme="minorHAnsi"/>
          <w:lang w:val="en-GB"/>
        </w:rPr>
        <w:t>European Union (</w:t>
      </w:r>
      <w:r w:rsidR="001229E1" w:rsidRPr="00836D59">
        <w:rPr>
          <w:rFonts w:asciiTheme="minorHAnsi" w:hAnsiTheme="minorHAnsi"/>
          <w:lang w:val="en-GB"/>
        </w:rPr>
        <w:t>EU</w:t>
      </w:r>
      <w:r w:rsidR="00B756AA" w:rsidRPr="00836D59">
        <w:rPr>
          <w:rFonts w:asciiTheme="minorHAnsi" w:hAnsiTheme="minorHAnsi"/>
          <w:lang w:val="en-GB"/>
        </w:rPr>
        <w:t>)</w:t>
      </w:r>
      <w:r w:rsidR="001229E1" w:rsidRPr="00836D59">
        <w:rPr>
          <w:rFonts w:asciiTheme="minorHAnsi" w:hAnsiTheme="minorHAnsi"/>
          <w:lang w:val="en-GB"/>
        </w:rPr>
        <w:t xml:space="preserve"> law and terms and conditions of social media platforms</w:t>
      </w:r>
      <w:r w:rsidR="00E13BEE" w:rsidRPr="00836D59">
        <w:rPr>
          <w:rFonts w:asciiTheme="minorHAnsi" w:hAnsiTheme="minorHAnsi"/>
          <w:lang w:val="en-GB"/>
        </w:rPr>
        <w:t>.</w:t>
      </w:r>
    </w:p>
    <w:p w14:paraId="2B296263" w14:textId="77777777" w:rsidR="008D5DC9" w:rsidRDefault="008D5DC9" w:rsidP="006A464F">
      <w:pPr>
        <w:spacing w:line="360" w:lineRule="auto"/>
        <w:rPr>
          <w:rFonts w:asciiTheme="minorHAnsi" w:hAnsiTheme="minorHAnsi"/>
          <w:lang w:val="en-GB"/>
        </w:rPr>
      </w:pPr>
    </w:p>
    <w:p w14:paraId="589C6989" w14:textId="69F68C7C" w:rsidR="00435FC4" w:rsidRPr="00836D59" w:rsidRDefault="009530A9" w:rsidP="00836D59">
      <w:pPr>
        <w:pStyle w:val="Heading2"/>
        <w:spacing w:line="360" w:lineRule="auto"/>
        <w:rPr>
          <w:rFonts w:asciiTheme="minorHAnsi" w:hAnsiTheme="minorHAnsi"/>
          <w:lang w:val="en-GB"/>
        </w:rPr>
      </w:pPr>
      <w:r w:rsidRPr="00836D59">
        <w:rPr>
          <w:rFonts w:asciiTheme="minorHAnsi" w:hAnsiTheme="minorHAnsi"/>
          <w:lang w:val="en-GB"/>
        </w:rPr>
        <w:t>Ethical principles and the law</w:t>
      </w:r>
    </w:p>
    <w:p w14:paraId="31ECC464" w14:textId="508BC806" w:rsidR="00512054" w:rsidRDefault="00E0453D" w:rsidP="00836D59">
      <w:pPr>
        <w:spacing w:line="360" w:lineRule="auto"/>
        <w:rPr>
          <w:rFonts w:asciiTheme="minorHAnsi" w:hAnsiTheme="minorHAnsi"/>
          <w:lang w:val="en-GB"/>
        </w:rPr>
      </w:pPr>
      <w:r w:rsidRPr="00836D59">
        <w:rPr>
          <w:rFonts w:asciiTheme="minorHAnsi" w:hAnsiTheme="minorHAnsi"/>
          <w:lang w:val="en-GB"/>
        </w:rPr>
        <w:t xml:space="preserve">Four </w:t>
      </w:r>
      <w:r w:rsidR="00F61B9D" w:rsidRPr="00836D59">
        <w:rPr>
          <w:rFonts w:asciiTheme="minorHAnsi" w:hAnsiTheme="minorHAnsi"/>
          <w:lang w:val="en-GB"/>
        </w:rPr>
        <w:t xml:space="preserve">documents </w:t>
      </w:r>
      <w:r w:rsidR="002E2B91" w:rsidRPr="00836D59">
        <w:rPr>
          <w:rFonts w:asciiTheme="minorHAnsi" w:hAnsiTheme="minorHAnsi"/>
          <w:lang w:val="en-GB"/>
        </w:rPr>
        <w:t>support</w:t>
      </w:r>
      <w:r w:rsidRPr="00836D59">
        <w:rPr>
          <w:rFonts w:asciiTheme="minorHAnsi" w:hAnsiTheme="minorHAnsi"/>
          <w:lang w:val="en-GB"/>
        </w:rPr>
        <w:t>ed</w:t>
      </w:r>
      <w:r w:rsidR="00E277F8" w:rsidRPr="00836D59">
        <w:rPr>
          <w:rFonts w:asciiTheme="minorHAnsi" w:hAnsiTheme="minorHAnsi"/>
          <w:lang w:val="en-GB"/>
        </w:rPr>
        <w:t xml:space="preserve"> workshop deliberations</w:t>
      </w:r>
      <w:r w:rsidRPr="00836D59">
        <w:rPr>
          <w:rFonts w:asciiTheme="minorHAnsi" w:hAnsiTheme="minorHAnsi"/>
          <w:lang w:val="en-GB"/>
        </w:rPr>
        <w:t xml:space="preserve">: </w:t>
      </w:r>
      <w:r w:rsidR="00F61B9D" w:rsidRPr="00836D59">
        <w:rPr>
          <w:rFonts w:asciiTheme="minorHAnsi" w:hAnsiTheme="minorHAnsi"/>
          <w:lang w:val="en-GB"/>
        </w:rPr>
        <w:t xml:space="preserve">the </w:t>
      </w:r>
      <w:r w:rsidR="00C65C58" w:rsidRPr="00836D59">
        <w:rPr>
          <w:rFonts w:asciiTheme="minorHAnsi" w:hAnsiTheme="minorHAnsi"/>
          <w:lang w:val="en-GB"/>
        </w:rPr>
        <w:t xml:space="preserve">recommendations of the ethics working committee of the </w:t>
      </w:r>
      <w:r w:rsidR="00F61B9D" w:rsidRPr="00836D59">
        <w:rPr>
          <w:rFonts w:asciiTheme="minorHAnsi" w:hAnsiTheme="minorHAnsi"/>
          <w:lang w:val="en-GB"/>
        </w:rPr>
        <w:t xml:space="preserve">Association of Internet Researchers (AoIR) </w:t>
      </w:r>
      <w:r w:rsidR="00F61B9D" w:rsidRPr="00836D59">
        <w:rPr>
          <w:rFonts w:asciiTheme="minorHAnsi" w:hAnsiTheme="minorHAnsi"/>
          <w:i/>
          <w:lang w:val="en-GB"/>
        </w:rPr>
        <w:fldChar w:fldCharType="begin" w:fldLock="1"/>
      </w:r>
      <w:r w:rsidR="00F61B9D" w:rsidRPr="00836D59">
        <w:rPr>
          <w:rFonts w:asciiTheme="minorHAnsi" w:hAnsiTheme="minorHAnsi"/>
          <w:i/>
          <w:lang w:val="en-GB"/>
        </w:rPr>
        <w:instrText>ADDIN CSL_CITATION { "citationItems" : [ { "id" : "ITEM-1", "itemData" : { "ISBN" : "9780874216561", "ISSN" : "1467-954X", "abstract" : "AOIR has an ongoing commitment to ensuring that research on and about the Internet is conducted in an ethical and professional manner. The Ethics Committee, as composed of ethicists and researchers from various different countries, has produced two major reports to assist researchers in making ethical decisions in their research: 2012: Ethical decision-making and Internet research 2.0: Recommendations from the aoir ethics working committee.", "author" : [ { "dropping-particle" : "", "family" : "Association of Internet Researchers", "given" : "", "non-dropping-particle" : "", "parse-names" : false, "suffix" : "" } ], "container-title" : "Recommendations from the AoIR Ethics Working Committee (Version 2.0)", "id" : "ITEM-1", "issued" : { "date-parts" : [ [ "2012" ] ] }, "number-of-pages" : "19", "title" : "Ethical Decision-Making and Internet Research Recommendations from the AoIR Ethics Working Committee", "type" : "report" }, "uris" : [ "http://www.mendeley.com/documents/?uuid=56f8f2f3-8967-441e-a62e-d22224359365" ] } ], "mendeley" : { "formattedCitation" : "(Association of Internet Researchers, 2012)", "plainTextFormattedCitation" : "(Association of Internet Researchers, 2012)", "previouslyFormattedCitation" : "(Association of Internet Researchers, 2012)" }, "properties" : { "noteIndex" : 0 }, "schema" : "https://github.com/citation-style-language/schema/raw/master/csl-citation.json" }</w:instrText>
      </w:r>
      <w:r w:rsidR="00F61B9D" w:rsidRPr="00836D59">
        <w:rPr>
          <w:rFonts w:asciiTheme="minorHAnsi" w:hAnsiTheme="minorHAnsi"/>
          <w:i/>
          <w:lang w:val="en-GB"/>
        </w:rPr>
        <w:fldChar w:fldCharType="separate"/>
      </w:r>
      <w:r w:rsidR="00F61B9D" w:rsidRPr="00836D59">
        <w:rPr>
          <w:rFonts w:asciiTheme="minorHAnsi" w:hAnsiTheme="minorHAnsi"/>
          <w:i/>
          <w:lang w:val="en-GB"/>
        </w:rPr>
        <w:t>(</w:t>
      </w:r>
      <w:r w:rsidR="00D321D5" w:rsidRPr="00836D59">
        <w:rPr>
          <w:rFonts w:asciiTheme="minorHAnsi" w:hAnsiTheme="minorHAnsi"/>
          <w:i/>
          <w:lang w:val="en-GB"/>
        </w:rPr>
        <w:t>9</w:t>
      </w:r>
      <w:r w:rsidR="00F61B9D" w:rsidRPr="00836D59">
        <w:rPr>
          <w:rFonts w:asciiTheme="minorHAnsi" w:hAnsiTheme="minorHAnsi"/>
          <w:i/>
          <w:lang w:val="en-GB"/>
        </w:rPr>
        <w:t>)</w:t>
      </w:r>
      <w:r w:rsidR="00F61B9D" w:rsidRPr="00836D59">
        <w:rPr>
          <w:rFonts w:asciiTheme="minorHAnsi" w:hAnsiTheme="minorHAnsi"/>
          <w:i/>
          <w:lang w:val="en-GB"/>
        </w:rPr>
        <w:fldChar w:fldCharType="end"/>
      </w:r>
      <w:r w:rsidR="00F61B9D" w:rsidRPr="00836D59">
        <w:rPr>
          <w:rFonts w:asciiTheme="minorHAnsi" w:hAnsiTheme="minorHAnsi"/>
          <w:lang w:val="en-GB"/>
        </w:rPr>
        <w:t>; the European Dat</w:t>
      </w:r>
      <w:r w:rsidR="00A23F98" w:rsidRPr="00836D59">
        <w:rPr>
          <w:rFonts w:asciiTheme="minorHAnsi" w:hAnsiTheme="minorHAnsi"/>
          <w:lang w:val="en-GB"/>
        </w:rPr>
        <w:t>a Protection Supervisor</w:t>
      </w:r>
      <w:r w:rsidR="00624F81" w:rsidRPr="00836D59">
        <w:rPr>
          <w:rFonts w:asciiTheme="minorHAnsi" w:hAnsiTheme="minorHAnsi"/>
          <w:lang w:val="en-GB"/>
        </w:rPr>
        <w:t>’</w:t>
      </w:r>
      <w:r w:rsidR="00A23F98" w:rsidRPr="00836D59">
        <w:rPr>
          <w:rFonts w:asciiTheme="minorHAnsi" w:hAnsiTheme="minorHAnsi"/>
          <w:lang w:val="en-GB"/>
        </w:rPr>
        <w:t>s</w:t>
      </w:r>
      <w:r w:rsidR="00F61B9D" w:rsidRPr="00836D59">
        <w:rPr>
          <w:rFonts w:asciiTheme="minorHAnsi" w:hAnsiTheme="minorHAnsi"/>
          <w:lang w:val="en-GB"/>
        </w:rPr>
        <w:t xml:space="preserve"> Opinion 4/2015 </w:t>
      </w:r>
      <w:r w:rsidR="00F61B9D" w:rsidRPr="00836D59">
        <w:rPr>
          <w:rFonts w:asciiTheme="minorHAnsi" w:hAnsiTheme="minorHAnsi"/>
          <w:i/>
          <w:lang w:val="en-GB"/>
        </w:rPr>
        <w:t>Towards a new digital ethics</w:t>
      </w:r>
      <w:r w:rsidR="005B4632" w:rsidRPr="00836D59">
        <w:rPr>
          <w:rFonts w:asciiTheme="minorHAnsi" w:hAnsiTheme="minorHAnsi"/>
          <w:i/>
          <w:lang w:val="en-GB"/>
        </w:rPr>
        <w:t xml:space="preserve"> (</w:t>
      </w:r>
      <w:r w:rsidR="00D321D5" w:rsidRPr="00836D59">
        <w:rPr>
          <w:rFonts w:asciiTheme="minorHAnsi" w:hAnsiTheme="minorHAnsi"/>
          <w:i/>
          <w:lang w:val="en-GB"/>
        </w:rPr>
        <w:t>10</w:t>
      </w:r>
      <w:r w:rsidR="005B4632" w:rsidRPr="00836D59">
        <w:rPr>
          <w:rFonts w:asciiTheme="minorHAnsi" w:hAnsiTheme="minorHAnsi"/>
          <w:i/>
          <w:lang w:val="en-GB"/>
        </w:rPr>
        <w:t>)</w:t>
      </w:r>
      <w:r w:rsidR="00F61B9D" w:rsidRPr="00836D59">
        <w:rPr>
          <w:rFonts w:asciiTheme="minorHAnsi" w:hAnsiTheme="minorHAnsi"/>
          <w:lang w:val="en-GB"/>
        </w:rPr>
        <w:t>; the European Federation of Psychologis</w:t>
      </w:r>
      <w:r w:rsidR="00A23F98" w:rsidRPr="00836D59">
        <w:rPr>
          <w:rFonts w:asciiTheme="minorHAnsi" w:hAnsiTheme="minorHAnsi"/>
          <w:lang w:val="en-GB"/>
        </w:rPr>
        <w:t>ts</w:t>
      </w:r>
      <w:r w:rsidR="00624F81" w:rsidRPr="00836D59">
        <w:rPr>
          <w:rFonts w:asciiTheme="minorHAnsi" w:hAnsiTheme="minorHAnsi"/>
          <w:lang w:val="en-GB"/>
        </w:rPr>
        <w:t>’</w:t>
      </w:r>
      <w:r w:rsidR="00A23F98" w:rsidRPr="00836D59">
        <w:rPr>
          <w:rFonts w:asciiTheme="minorHAnsi" w:hAnsiTheme="minorHAnsi"/>
          <w:lang w:val="en-GB"/>
        </w:rPr>
        <w:t xml:space="preserve"> Associations</w:t>
      </w:r>
      <w:r w:rsidR="00F61B9D" w:rsidRPr="00836D59">
        <w:rPr>
          <w:rFonts w:asciiTheme="minorHAnsi" w:hAnsiTheme="minorHAnsi"/>
          <w:lang w:val="en-GB"/>
        </w:rPr>
        <w:t xml:space="preserve"> Meta-</w:t>
      </w:r>
      <w:r w:rsidR="001C4EED" w:rsidRPr="00836D59">
        <w:rPr>
          <w:rFonts w:asciiTheme="minorHAnsi" w:hAnsiTheme="minorHAnsi"/>
          <w:lang w:val="en-GB"/>
        </w:rPr>
        <w:t>c</w:t>
      </w:r>
      <w:r w:rsidR="00F61B9D" w:rsidRPr="00836D59">
        <w:rPr>
          <w:rFonts w:asciiTheme="minorHAnsi" w:hAnsiTheme="minorHAnsi"/>
          <w:lang w:val="en-GB"/>
        </w:rPr>
        <w:t xml:space="preserve">ode of Ethics </w:t>
      </w:r>
      <w:r w:rsidR="002E2B91" w:rsidRPr="00836D59">
        <w:rPr>
          <w:rFonts w:asciiTheme="minorHAnsi" w:hAnsiTheme="minorHAnsi"/>
          <w:i/>
          <w:lang w:val="en-GB"/>
        </w:rPr>
        <w:t>(</w:t>
      </w:r>
      <w:r w:rsidR="00F61B9D" w:rsidRPr="00836D59">
        <w:rPr>
          <w:rFonts w:asciiTheme="minorHAnsi" w:hAnsiTheme="minorHAnsi"/>
          <w:i/>
          <w:lang w:val="en-GB"/>
        </w:rPr>
        <w:fldChar w:fldCharType="begin" w:fldLock="1"/>
      </w:r>
      <w:r w:rsidR="00F61B9D" w:rsidRPr="00836D59">
        <w:rPr>
          <w:rFonts w:asciiTheme="minorHAnsi" w:hAnsiTheme="minorHAnsi"/>
          <w:i/>
          <w:lang w:val="en-GB"/>
        </w:rPr>
        <w:instrText>ADDIN CSL_CITATION { "citationItems" : [ { "id" : "ITEM-1", "itemData" : { "abstract" : "Psychologists develop a valid and reliable body of knowledge based on research and apply that knowledge to psychological processes and human behaviour in a variety of contexts. In doing so they perform many roles, within such fields as research, education, assessment, therapy, consultancy, and as expert witness to name a few. They also strive to help the public in developing informed judgements and choices regarding human behaviour, and aspire to use their privileged knowledge to improve the condition of both the individual and society. The European Federation of Psychologists Associations has a responsibility to ensure that the ethical codes of its member associations are in accord with the following fundamental principles which are intended to provide a general philosophy and guidance to cover all situations encountered by professional psychologists. National Associations should require their members to continue to develop their awareness of ethical issues, and promote training to ensure this occurs. National Associations should provide consultation and support to members on ethical issues. The EFPA provides the following guidance for the content of the Ethical Codes of its member Associations. An Association's ethical code should cover all aspects of the professional behaviour of its members. The guidance on Content of Ethical Codes should be read in conjunction with the Ethical Principles. The Ethical Codes of member Associations should be based upon - and certainly not in conflict with - the Ethical Principles specified below. National Associations should have procedures to investigate and decide upon complaints against members, and mediation, corrective and disciplinary procedures to determine the action necessary taking into account the nature and seriousness of the complaint.", "author" : [ { "dropping-particle" : "", "family" : "European Federation of Psychologists' Associations", "given" : "", "non-dropping-particle" : "", "parse-names" : false, "suffix" : "" } ], "id" : "ITEM-1", "issue" : "July", "issued" : { "date-parts" : [ [ "2005" ] ] }, "number-of-pages" : "1-6", "title" : "Meta-Code of Ethics", "type" : "report" }, "uris" : [ "http://www.mendeley.com/documents/?uuid=1fc3f963-5eb3-4a06-a529-084bb7aa6611" ] } ], "mendeley" : { "formattedCitation" : "(European Federation of Psychologists\u2019 Associations, 2005)", "plainTextFormattedCitation" : "(European Federation of Psychologists\u2019 Associations, 2005)", "previouslyFormattedCitation" : "(European Federation of Psychologists\u2019 Associations, 2005)" }, "properties" : { "noteIndex" : 0 }, "schema" : "https://github.com/citation-style-language/schema/raw/master/csl-citation.json" }</w:instrText>
      </w:r>
      <w:r w:rsidR="00F61B9D" w:rsidRPr="00836D59">
        <w:rPr>
          <w:rFonts w:asciiTheme="minorHAnsi" w:hAnsiTheme="minorHAnsi"/>
          <w:i/>
          <w:lang w:val="en-GB"/>
        </w:rPr>
        <w:fldChar w:fldCharType="separate"/>
      </w:r>
      <w:r w:rsidR="00D321D5" w:rsidRPr="00836D59">
        <w:rPr>
          <w:rFonts w:asciiTheme="minorHAnsi" w:hAnsiTheme="minorHAnsi"/>
          <w:i/>
          <w:lang w:val="en-GB"/>
        </w:rPr>
        <w:t>11</w:t>
      </w:r>
      <w:r w:rsidR="00F61B9D" w:rsidRPr="00836D59">
        <w:rPr>
          <w:rFonts w:asciiTheme="minorHAnsi" w:hAnsiTheme="minorHAnsi"/>
          <w:i/>
          <w:lang w:val="en-GB"/>
        </w:rPr>
        <w:t>)</w:t>
      </w:r>
      <w:r w:rsidR="00F61B9D" w:rsidRPr="00836D59">
        <w:rPr>
          <w:rFonts w:asciiTheme="minorHAnsi" w:hAnsiTheme="minorHAnsi"/>
          <w:i/>
          <w:lang w:val="en-GB"/>
        </w:rPr>
        <w:fldChar w:fldCharType="end"/>
      </w:r>
      <w:r w:rsidR="00F61B9D" w:rsidRPr="00836D59">
        <w:rPr>
          <w:rFonts w:asciiTheme="minorHAnsi" w:hAnsiTheme="minorHAnsi"/>
          <w:lang w:val="en-GB"/>
        </w:rPr>
        <w:t>; and the British Psychological Society</w:t>
      </w:r>
      <w:r w:rsidR="00D84F69" w:rsidRPr="00836D59">
        <w:rPr>
          <w:rFonts w:asciiTheme="minorHAnsi" w:hAnsiTheme="minorHAnsi"/>
          <w:lang w:val="en-GB"/>
        </w:rPr>
        <w:t>’s</w:t>
      </w:r>
      <w:r w:rsidR="00F61B9D" w:rsidRPr="00836D59">
        <w:rPr>
          <w:rFonts w:asciiTheme="minorHAnsi" w:hAnsiTheme="minorHAnsi"/>
          <w:lang w:val="en-GB"/>
        </w:rPr>
        <w:t xml:space="preserve"> </w:t>
      </w:r>
      <w:r w:rsidR="00D84F69" w:rsidRPr="00836D59">
        <w:rPr>
          <w:rFonts w:asciiTheme="minorHAnsi" w:hAnsiTheme="minorHAnsi"/>
          <w:lang w:val="en-GB"/>
        </w:rPr>
        <w:t xml:space="preserve">ethics guidelines </w:t>
      </w:r>
      <w:r w:rsidR="00F61B9D" w:rsidRPr="00836D59">
        <w:rPr>
          <w:rFonts w:asciiTheme="minorHAnsi" w:hAnsiTheme="minorHAnsi"/>
          <w:lang w:val="en-GB"/>
        </w:rPr>
        <w:t xml:space="preserve">for Internet-mediated </w:t>
      </w:r>
      <w:r w:rsidR="00D84F69" w:rsidRPr="00836D59">
        <w:rPr>
          <w:rFonts w:asciiTheme="minorHAnsi" w:hAnsiTheme="minorHAnsi"/>
          <w:lang w:val="en-GB"/>
        </w:rPr>
        <w:t>research</w:t>
      </w:r>
      <w:r w:rsidR="00D84F69" w:rsidRPr="00836D59">
        <w:rPr>
          <w:rFonts w:asciiTheme="minorHAnsi" w:hAnsiTheme="minorHAnsi"/>
          <w:i/>
          <w:lang w:val="en-GB"/>
        </w:rPr>
        <w:t xml:space="preserve"> </w:t>
      </w:r>
      <w:r w:rsidR="00F61B9D" w:rsidRPr="00836D59">
        <w:rPr>
          <w:rFonts w:asciiTheme="minorHAnsi" w:hAnsiTheme="minorHAnsi"/>
          <w:i/>
          <w:lang w:val="en-GB"/>
        </w:rPr>
        <w:fldChar w:fldCharType="begin" w:fldLock="1"/>
      </w:r>
      <w:r w:rsidR="00F61B9D" w:rsidRPr="00836D59">
        <w:rPr>
          <w:rFonts w:asciiTheme="minorHAnsi" w:hAnsiTheme="minorHAnsi"/>
          <w:i/>
          <w:lang w:val="en-GB"/>
        </w:rPr>
        <w:instrText>ADDIN CSL_CITATION { "citationItems" : [ { "id" : "ITEM-1", "itemData" : { "DOI" : "INF206/1.2013", "abstract" : "Internet-mediated research (IMR) can raise particular, sometimes non-obvious, challenges in adhering to existing ethics principles. In this document we outline some of the key ethics issues which researchers and research ethics committees (RECs) are advised to keep in mind when considering implementing or evaluating an IMR study. Considering each of the four main ethics principles as outlined in the Society's Code of Human Research Ethics, we highlight issues which may need special consideration in an IMR context, using illustrative examples to explain why. These issues include: the public-private domain distinction online; confidentiality and security of online data; procedures for obtaining valid consent; procedures for ensuring withdrawal rights and debriefing; levels of researcher control; and implications for scientific value and potential harm. Emphasis throughout is on offering advice on how to think about and apply existing ethics principles in an IMR context, while recognising that issues need to be assessed and decisions made within the context of a particular piece of research. British Psychological Society (2013). Ethics Guidelines for Internet-mediated Research. INF206/1.2013. Leicester: Author. Available from: www.bps.org.uk/publications/policy-and- guidelines/research-guidelines-policy- documents/research-guidelines-poli Authors: Hewson, Claire; Buchanan, Tom; Brown, Ian; Coulson, Neil; Hagger-Johnson, Gareth; Joinson, Adam; Krotoski, Aleks; Oates, John", "author" : [ { "dropping-particle" : "", "family" : "British Psychological Society", "given" : "", "non-dropping-particle" : "", "parse-names" : false, "suffix" : "" } ], "container-title" : "British Psychological Society", "id" : "ITEM-1", "issued" : { "date-parts" : [ [ "2013" ] ] }, "number-of-pages" : "28", "title" : "Ethics Guidelines for Internet-mediated Research", "type" : "report" }, "uris" : [ "http://www.mendeley.com/documents/?uuid=fea933a9-b1da-4f1f-81eb-dcd254e29ce5" ] } ], "mendeley" : { "formattedCitation" : "(British Psychological Society, 2013)", "plainTextFormattedCitation" : "(British Psychological Society, 2013)", "previouslyFormattedCitation" : "(British Psychological Society, 2013)" }, "properties" : { "noteIndex" : 0 }, "schema" : "https://github.com/citation-style-language/schema/raw/master/csl-citation.json" }</w:instrText>
      </w:r>
      <w:r w:rsidR="00F61B9D" w:rsidRPr="00836D59">
        <w:rPr>
          <w:rFonts w:asciiTheme="minorHAnsi" w:hAnsiTheme="minorHAnsi"/>
          <w:i/>
          <w:lang w:val="en-GB"/>
        </w:rPr>
        <w:fldChar w:fldCharType="separate"/>
      </w:r>
      <w:r w:rsidR="00F61B9D" w:rsidRPr="00836D59">
        <w:rPr>
          <w:rFonts w:asciiTheme="minorHAnsi" w:hAnsiTheme="minorHAnsi"/>
          <w:i/>
          <w:lang w:val="en-GB"/>
        </w:rPr>
        <w:t>(</w:t>
      </w:r>
      <w:r w:rsidR="00D321D5" w:rsidRPr="00836D59">
        <w:rPr>
          <w:rFonts w:asciiTheme="minorHAnsi" w:hAnsiTheme="minorHAnsi"/>
          <w:i/>
          <w:lang w:val="en-GB"/>
        </w:rPr>
        <w:t>12</w:t>
      </w:r>
      <w:r w:rsidR="00F61B9D" w:rsidRPr="00836D59">
        <w:rPr>
          <w:rFonts w:asciiTheme="minorHAnsi" w:hAnsiTheme="minorHAnsi"/>
          <w:i/>
          <w:lang w:val="en-GB"/>
        </w:rPr>
        <w:t>)</w:t>
      </w:r>
      <w:r w:rsidR="00F61B9D" w:rsidRPr="00836D59">
        <w:rPr>
          <w:rFonts w:asciiTheme="minorHAnsi" w:hAnsiTheme="minorHAnsi"/>
          <w:i/>
          <w:lang w:val="en-GB"/>
        </w:rPr>
        <w:fldChar w:fldCharType="end"/>
      </w:r>
      <w:r w:rsidR="00D84F69" w:rsidRPr="00836D59">
        <w:rPr>
          <w:rFonts w:asciiTheme="minorHAnsi" w:hAnsiTheme="minorHAnsi"/>
          <w:lang w:val="en-GB"/>
        </w:rPr>
        <w:t xml:space="preserve"> –</w:t>
      </w:r>
      <w:r w:rsidR="00A95414" w:rsidRPr="00836D59">
        <w:rPr>
          <w:rFonts w:asciiTheme="minorHAnsi" w:hAnsiTheme="minorHAnsi"/>
          <w:lang w:val="en-GB"/>
        </w:rPr>
        <w:t xml:space="preserve"> one of the few examples of </w:t>
      </w:r>
      <w:r w:rsidR="00D32521" w:rsidRPr="00836D59">
        <w:rPr>
          <w:rFonts w:asciiTheme="minorHAnsi" w:hAnsiTheme="minorHAnsi"/>
          <w:lang w:val="en-GB"/>
        </w:rPr>
        <w:t>I</w:t>
      </w:r>
      <w:r w:rsidR="00A95414" w:rsidRPr="00836D59">
        <w:rPr>
          <w:rFonts w:asciiTheme="minorHAnsi" w:hAnsiTheme="minorHAnsi"/>
          <w:lang w:val="en-GB"/>
        </w:rPr>
        <w:t>nternet-specific research guidance from a professional association</w:t>
      </w:r>
      <w:r w:rsidR="00F61B9D" w:rsidRPr="00836D59">
        <w:rPr>
          <w:rFonts w:asciiTheme="minorHAnsi" w:hAnsiTheme="minorHAnsi"/>
          <w:lang w:val="en-GB"/>
        </w:rPr>
        <w:t xml:space="preserve">. These reiterate </w:t>
      </w:r>
      <w:r w:rsidR="003D0132" w:rsidRPr="00836D59">
        <w:rPr>
          <w:rFonts w:asciiTheme="minorHAnsi" w:hAnsiTheme="minorHAnsi"/>
          <w:lang w:val="en-GB"/>
        </w:rPr>
        <w:t>research ethics principles</w:t>
      </w:r>
      <w:r w:rsidR="00E277F8" w:rsidRPr="00836D59">
        <w:rPr>
          <w:rFonts w:asciiTheme="minorHAnsi" w:hAnsiTheme="minorHAnsi"/>
          <w:lang w:val="en-GB"/>
        </w:rPr>
        <w:t xml:space="preserve"> </w:t>
      </w:r>
      <w:r w:rsidR="00C0689F" w:rsidRPr="00836D59">
        <w:rPr>
          <w:rFonts w:asciiTheme="minorHAnsi" w:hAnsiTheme="minorHAnsi"/>
          <w:lang w:val="en-GB"/>
        </w:rPr>
        <w:t>articulated in i</w:t>
      </w:r>
      <w:r w:rsidR="00337448" w:rsidRPr="00836D59">
        <w:rPr>
          <w:rFonts w:asciiTheme="minorHAnsi" w:hAnsiTheme="minorHAnsi"/>
          <w:lang w:val="en-GB"/>
        </w:rPr>
        <w:t xml:space="preserve">nternational policies </w:t>
      </w:r>
      <w:r w:rsidR="00E277F8" w:rsidRPr="00836D59">
        <w:rPr>
          <w:rFonts w:asciiTheme="minorHAnsi" w:hAnsiTheme="minorHAnsi"/>
          <w:lang w:val="en-GB"/>
        </w:rPr>
        <w:t>(</w:t>
      </w:r>
      <w:r w:rsidR="00337448" w:rsidRPr="00836D59">
        <w:rPr>
          <w:rFonts w:asciiTheme="minorHAnsi" w:hAnsiTheme="minorHAnsi"/>
          <w:lang w:val="en-GB"/>
        </w:rPr>
        <w:t xml:space="preserve">the </w:t>
      </w:r>
      <w:r w:rsidR="00624F81" w:rsidRPr="00836D59">
        <w:rPr>
          <w:rFonts w:asciiTheme="minorHAnsi" w:hAnsiTheme="minorHAnsi"/>
          <w:lang w:val="en-GB"/>
        </w:rPr>
        <w:t>United Nations</w:t>
      </w:r>
      <w:r w:rsidR="00337448" w:rsidRPr="00836D59">
        <w:rPr>
          <w:rFonts w:asciiTheme="minorHAnsi" w:hAnsiTheme="minorHAnsi"/>
          <w:lang w:val="en-GB"/>
        </w:rPr>
        <w:t xml:space="preserve"> Declaration of Human Rights, Nuremberg Code, Declaration of H</w:t>
      </w:r>
      <w:r w:rsidR="00F61B9D" w:rsidRPr="00836D59">
        <w:rPr>
          <w:rFonts w:asciiTheme="minorHAnsi" w:hAnsiTheme="minorHAnsi"/>
          <w:lang w:val="en-GB"/>
        </w:rPr>
        <w:t>elsinki and Belmont Report</w:t>
      </w:r>
      <w:r w:rsidR="00E277F8" w:rsidRPr="00836D59">
        <w:rPr>
          <w:rFonts w:asciiTheme="minorHAnsi" w:hAnsiTheme="minorHAnsi"/>
          <w:lang w:val="en-GB"/>
        </w:rPr>
        <w:t>): respect for the fundamental rights of human dignity, autonomy, protection and safety, and the maximi</w:t>
      </w:r>
      <w:r w:rsidR="000A042E" w:rsidRPr="00836D59">
        <w:rPr>
          <w:rFonts w:asciiTheme="minorHAnsi" w:hAnsiTheme="minorHAnsi"/>
          <w:lang w:val="en-GB"/>
        </w:rPr>
        <w:t>z</w:t>
      </w:r>
      <w:r w:rsidR="00E277F8" w:rsidRPr="00836D59">
        <w:rPr>
          <w:rFonts w:asciiTheme="minorHAnsi" w:hAnsiTheme="minorHAnsi"/>
          <w:lang w:val="en-GB"/>
        </w:rPr>
        <w:t>ation of benefits and minimi</w:t>
      </w:r>
      <w:r w:rsidR="000A042E" w:rsidRPr="00836D59">
        <w:rPr>
          <w:rFonts w:asciiTheme="minorHAnsi" w:hAnsiTheme="minorHAnsi"/>
          <w:lang w:val="en-GB"/>
        </w:rPr>
        <w:t>z</w:t>
      </w:r>
      <w:r w:rsidR="00E277F8" w:rsidRPr="00836D59">
        <w:rPr>
          <w:rFonts w:asciiTheme="minorHAnsi" w:hAnsiTheme="minorHAnsi"/>
          <w:lang w:val="en-GB"/>
        </w:rPr>
        <w:t>ation of harms</w:t>
      </w:r>
      <w:r w:rsidR="00F61B9D" w:rsidRPr="00836D59">
        <w:rPr>
          <w:rFonts w:asciiTheme="minorHAnsi" w:hAnsiTheme="minorHAnsi"/>
          <w:lang w:val="en-GB"/>
        </w:rPr>
        <w:t>.</w:t>
      </w:r>
      <w:r w:rsidR="00CB25F0" w:rsidRPr="00836D59">
        <w:rPr>
          <w:rFonts w:asciiTheme="minorHAnsi" w:hAnsiTheme="minorHAnsi"/>
          <w:lang w:val="en-GB"/>
        </w:rPr>
        <w:t xml:space="preserve"> </w:t>
      </w:r>
      <w:r w:rsidR="00150DED" w:rsidRPr="00836D59">
        <w:rPr>
          <w:rFonts w:asciiTheme="minorHAnsi" w:hAnsiTheme="minorHAnsi"/>
          <w:color w:val="000000"/>
          <w:lang w:val="en-GB"/>
        </w:rPr>
        <w:t>They</w:t>
      </w:r>
      <w:r w:rsidR="00AB31EE" w:rsidRPr="00836D59">
        <w:rPr>
          <w:rFonts w:asciiTheme="minorHAnsi" w:hAnsiTheme="minorHAnsi"/>
          <w:color w:val="000000"/>
          <w:lang w:val="en-GB"/>
        </w:rPr>
        <w:t xml:space="preserve"> have a significant impact by shaping the actions of researchers, imposing limitations and offering guidance for </w:t>
      </w:r>
      <w:r w:rsidR="00887724" w:rsidRPr="00836D59">
        <w:rPr>
          <w:rFonts w:asciiTheme="minorHAnsi" w:hAnsiTheme="minorHAnsi"/>
          <w:color w:val="000000"/>
          <w:lang w:val="en-GB"/>
        </w:rPr>
        <w:t>research</w:t>
      </w:r>
      <w:r w:rsidR="00AB31EE" w:rsidRPr="00836D59">
        <w:rPr>
          <w:rFonts w:asciiTheme="minorHAnsi" w:hAnsiTheme="minorHAnsi"/>
          <w:color w:val="000000"/>
          <w:lang w:val="en-GB"/>
        </w:rPr>
        <w:t xml:space="preserve"> development and design</w:t>
      </w:r>
      <w:r w:rsidR="00C3745D" w:rsidRPr="00836D59">
        <w:rPr>
          <w:rFonts w:asciiTheme="minorHAnsi" w:hAnsiTheme="minorHAnsi"/>
          <w:color w:val="000000"/>
          <w:lang w:val="en-GB"/>
        </w:rPr>
        <w:t xml:space="preserve">. </w:t>
      </w:r>
      <w:r w:rsidR="00C35279" w:rsidRPr="00836D59">
        <w:rPr>
          <w:rFonts w:asciiTheme="minorHAnsi" w:hAnsiTheme="minorHAnsi"/>
          <w:color w:val="000000"/>
          <w:lang w:val="en-GB"/>
        </w:rPr>
        <w:t xml:space="preserve">They </w:t>
      </w:r>
      <w:r w:rsidR="00C3745D" w:rsidRPr="00836D59">
        <w:rPr>
          <w:rFonts w:asciiTheme="minorHAnsi" w:hAnsiTheme="minorHAnsi"/>
          <w:color w:val="000000"/>
          <w:lang w:val="en-GB"/>
        </w:rPr>
        <w:t xml:space="preserve">also </w:t>
      </w:r>
      <w:r w:rsidR="00C35279" w:rsidRPr="00836D59">
        <w:rPr>
          <w:rFonts w:asciiTheme="minorHAnsi" w:hAnsiTheme="minorHAnsi"/>
          <w:color w:val="000000"/>
          <w:lang w:val="en-GB"/>
        </w:rPr>
        <w:t>provide</w:t>
      </w:r>
      <w:r w:rsidR="00C3745D" w:rsidRPr="00836D59">
        <w:rPr>
          <w:rFonts w:asciiTheme="minorHAnsi" w:hAnsiTheme="minorHAnsi"/>
          <w:color w:val="000000"/>
          <w:lang w:val="en-GB"/>
        </w:rPr>
        <w:t xml:space="preserve"> the basis for relevant legislation and normative guidance </w:t>
      </w:r>
      <w:r w:rsidR="000710A2" w:rsidRPr="00836D59">
        <w:rPr>
          <w:rFonts w:asciiTheme="minorHAnsi" w:hAnsiTheme="minorHAnsi"/>
          <w:color w:val="000000"/>
          <w:lang w:val="en-GB"/>
        </w:rPr>
        <w:t>in its</w:t>
      </w:r>
      <w:r w:rsidR="00C3745D" w:rsidRPr="00836D59">
        <w:rPr>
          <w:rFonts w:asciiTheme="minorHAnsi" w:hAnsiTheme="minorHAnsi"/>
          <w:color w:val="000000"/>
          <w:lang w:val="en-GB"/>
        </w:rPr>
        <w:t xml:space="preserve"> interpret</w:t>
      </w:r>
      <w:r w:rsidR="000710A2" w:rsidRPr="00836D59">
        <w:rPr>
          <w:rFonts w:asciiTheme="minorHAnsi" w:hAnsiTheme="minorHAnsi"/>
          <w:color w:val="000000"/>
          <w:lang w:val="en-GB"/>
        </w:rPr>
        <w:t>ation</w:t>
      </w:r>
      <w:r w:rsidR="00C3745D" w:rsidRPr="00836D59">
        <w:rPr>
          <w:rFonts w:asciiTheme="minorHAnsi" w:hAnsiTheme="minorHAnsi"/>
          <w:color w:val="000000"/>
          <w:lang w:val="en-GB"/>
        </w:rPr>
        <w:t xml:space="preserve">. </w:t>
      </w:r>
    </w:p>
    <w:p w14:paraId="6F5ABF14" w14:textId="3EDA7FBC" w:rsidR="008012AD" w:rsidRPr="00836D59" w:rsidRDefault="00E0453D" w:rsidP="00836D59">
      <w:pPr>
        <w:spacing w:line="360" w:lineRule="auto"/>
        <w:rPr>
          <w:rFonts w:asciiTheme="minorHAnsi" w:hAnsiTheme="minorHAnsi"/>
          <w:lang w:val="en-GB"/>
        </w:rPr>
      </w:pPr>
      <w:r w:rsidRPr="00836D59">
        <w:rPr>
          <w:rFonts w:asciiTheme="minorHAnsi" w:hAnsiTheme="minorHAnsi"/>
          <w:lang w:val="en-GB"/>
        </w:rPr>
        <w:t>E</w:t>
      </w:r>
      <w:r w:rsidR="008012AD" w:rsidRPr="00836D59">
        <w:rPr>
          <w:rFonts w:asciiTheme="minorHAnsi" w:hAnsiTheme="minorHAnsi"/>
          <w:lang w:val="en-GB"/>
        </w:rPr>
        <w:t xml:space="preserve">thics </w:t>
      </w:r>
      <w:r w:rsidRPr="00836D59">
        <w:rPr>
          <w:rFonts w:asciiTheme="minorHAnsi" w:hAnsiTheme="minorHAnsi"/>
          <w:lang w:val="en-GB"/>
        </w:rPr>
        <w:t xml:space="preserve">and the law </w:t>
      </w:r>
      <w:r w:rsidR="008012AD" w:rsidRPr="00836D59">
        <w:rPr>
          <w:rFonts w:asciiTheme="minorHAnsi" w:hAnsiTheme="minorHAnsi"/>
          <w:lang w:val="en-GB"/>
        </w:rPr>
        <w:t xml:space="preserve">share common ground to the extent that both are concerned with the nature of and maintenance of standards of human behaviour. However, not only do the law and ethics differ in important respects, they </w:t>
      </w:r>
      <w:r w:rsidR="00FC75AF" w:rsidRPr="00836D59">
        <w:rPr>
          <w:rFonts w:asciiTheme="minorHAnsi" w:hAnsiTheme="minorHAnsi"/>
          <w:lang w:val="en-GB"/>
        </w:rPr>
        <w:t xml:space="preserve">may </w:t>
      </w:r>
      <w:r w:rsidR="008012AD" w:rsidRPr="00836D59">
        <w:rPr>
          <w:rFonts w:asciiTheme="minorHAnsi" w:hAnsiTheme="minorHAnsi"/>
          <w:lang w:val="en-GB"/>
        </w:rPr>
        <w:t xml:space="preserve">also at times come into conflict. Whereas laws generally consist of a body of rules seeking to clearly define actions that are illegal and hence subject to prosecution, ethics </w:t>
      </w:r>
      <w:r w:rsidR="00FC75AF" w:rsidRPr="00836D59">
        <w:rPr>
          <w:rFonts w:asciiTheme="minorHAnsi" w:hAnsiTheme="minorHAnsi"/>
          <w:lang w:val="en-GB"/>
        </w:rPr>
        <w:t xml:space="preserve">generally </w:t>
      </w:r>
      <w:r w:rsidR="008012AD" w:rsidRPr="00836D59">
        <w:rPr>
          <w:rFonts w:asciiTheme="minorHAnsi" w:hAnsiTheme="minorHAnsi"/>
          <w:lang w:val="en-GB"/>
        </w:rPr>
        <w:t xml:space="preserve">consist </w:t>
      </w:r>
      <w:r w:rsidRPr="00836D59">
        <w:rPr>
          <w:rFonts w:asciiTheme="minorHAnsi" w:hAnsiTheme="minorHAnsi"/>
          <w:lang w:val="en-GB"/>
        </w:rPr>
        <w:t xml:space="preserve">of </w:t>
      </w:r>
      <w:r w:rsidR="008012AD" w:rsidRPr="00836D59">
        <w:rPr>
          <w:rFonts w:asciiTheme="minorHAnsi" w:hAnsiTheme="minorHAnsi"/>
          <w:lang w:val="en-GB"/>
        </w:rPr>
        <w:t xml:space="preserve">a set of moral principles, commonly understood as cohering around beneficence (benefit others) and non-malfeasance (do no harm). In human research, </w:t>
      </w:r>
      <w:r w:rsidRPr="00836D59">
        <w:rPr>
          <w:rFonts w:asciiTheme="minorHAnsi" w:hAnsiTheme="minorHAnsi"/>
          <w:lang w:val="en-GB"/>
        </w:rPr>
        <w:t xml:space="preserve">ethical </w:t>
      </w:r>
      <w:r w:rsidR="008012AD" w:rsidRPr="00836D59">
        <w:rPr>
          <w:rFonts w:asciiTheme="minorHAnsi" w:hAnsiTheme="minorHAnsi"/>
          <w:lang w:val="en-GB"/>
        </w:rPr>
        <w:t xml:space="preserve">principles may, occasionally, motivate researchers towards actions that contravene a law. For example, a law </w:t>
      </w:r>
      <w:r w:rsidRPr="00836D59">
        <w:rPr>
          <w:rFonts w:asciiTheme="minorHAnsi" w:hAnsiTheme="minorHAnsi"/>
          <w:lang w:val="en-GB"/>
        </w:rPr>
        <w:t xml:space="preserve">requiring </w:t>
      </w:r>
      <w:r w:rsidR="008012AD" w:rsidRPr="00836D59">
        <w:rPr>
          <w:rFonts w:asciiTheme="minorHAnsi" w:hAnsiTheme="minorHAnsi"/>
          <w:lang w:val="en-GB"/>
        </w:rPr>
        <w:t xml:space="preserve">freedom of information may </w:t>
      </w:r>
      <w:r w:rsidR="00552DF0" w:rsidRPr="00836D59">
        <w:rPr>
          <w:rFonts w:asciiTheme="minorHAnsi" w:hAnsiTheme="minorHAnsi"/>
          <w:lang w:val="en-GB"/>
        </w:rPr>
        <w:t>cause problems for</w:t>
      </w:r>
      <w:r w:rsidR="008012AD" w:rsidRPr="00836D59">
        <w:rPr>
          <w:rFonts w:asciiTheme="minorHAnsi" w:hAnsiTheme="minorHAnsi"/>
          <w:lang w:val="en-GB"/>
        </w:rPr>
        <w:t xml:space="preserve"> a researcher </w:t>
      </w:r>
      <w:r w:rsidR="00552DF0" w:rsidRPr="00836D59">
        <w:rPr>
          <w:rFonts w:asciiTheme="minorHAnsi" w:hAnsiTheme="minorHAnsi"/>
          <w:lang w:val="en-GB"/>
        </w:rPr>
        <w:t>who has established</w:t>
      </w:r>
      <w:r w:rsidRPr="00836D59">
        <w:rPr>
          <w:rFonts w:asciiTheme="minorHAnsi" w:hAnsiTheme="minorHAnsi"/>
          <w:lang w:val="en-GB"/>
        </w:rPr>
        <w:t xml:space="preserve"> information</w:t>
      </w:r>
      <w:r w:rsidR="008012AD" w:rsidRPr="00836D59">
        <w:rPr>
          <w:rFonts w:asciiTheme="minorHAnsi" w:hAnsiTheme="minorHAnsi"/>
          <w:lang w:val="en-GB"/>
        </w:rPr>
        <w:t xml:space="preserve"> about a participant that has clear potential for harm if disclosed. </w:t>
      </w:r>
      <w:r w:rsidRPr="00836D59">
        <w:rPr>
          <w:rFonts w:asciiTheme="minorHAnsi" w:hAnsiTheme="minorHAnsi"/>
          <w:lang w:val="en-GB"/>
        </w:rPr>
        <w:t>In contrast, a</w:t>
      </w:r>
      <w:r w:rsidR="008012AD" w:rsidRPr="00836D59">
        <w:rPr>
          <w:rFonts w:asciiTheme="minorHAnsi" w:hAnsiTheme="minorHAnsi"/>
          <w:lang w:val="en-GB"/>
        </w:rPr>
        <w:t xml:space="preserve">cts that might be judged unethical, </w:t>
      </w:r>
      <w:r w:rsidRPr="00836D59">
        <w:rPr>
          <w:rFonts w:asciiTheme="minorHAnsi" w:hAnsiTheme="minorHAnsi"/>
          <w:lang w:val="en-GB"/>
        </w:rPr>
        <w:t>such as</w:t>
      </w:r>
      <w:r w:rsidR="008012AD" w:rsidRPr="00836D59">
        <w:rPr>
          <w:rFonts w:asciiTheme="minorHAnsi" w:hAnsiTheme="minorHAnsi"/>
          <w:lang w:val="en-GB"/>
        </w:rPr>
        <w:t xml:space="preserve"> scraping extensive personal data from social media accounts where the media user has ticked </w:t>
      </w:r>
      <w:r w:rsidR="00AB75E1" w:rsidRPr="00836D59">
        <w:rPr>
          <w:rFonts w:asciiTheme="minorHAnsi" w:hAnsiTheme="minorHAnsi"/>
          <w:lang w:val="en-GB"/>
        </w:rPr>
        <w:t xml:space="preserve">to </w:t>
      </w:r>
      <w:r w:rsidR="002F429D" w:rsidRPr="00836D59">
        <w:rPr>
          <w:rFonts w:asciiTheme="minorHAnsi" w:hAnsiTheme="minorHAnsi"/>
          <w:lang w:val="en-GB"/>
        </w:rPr>
        <w:t>“</w:t>
      </w:r>
      <w:r w:rsidR="008012AD" w:rsidRPr="00836D59">
        <w:rPr>
          <w:rFonts w:asciiTheme="minorHAnsi" w:hAnsiTheme="minorHAnsi"/>
          <w:lang w:val="en-GB"/>
        </w:rPr>
        <w:t>accept</w:t>
      </w:r>
      <w:r w:rsidR="002F429D" w:rsidRPr="00836D59">
        <w:rPr>
          <w:rFonts w:asciiTheme="minorHAnsi" w:hAnsiTheme="minorHAnsi"/>
          <w:lang w:val="en-GB"/>
        </w:rPr>
        <w:t>”</w:t>
      </w:r>
      <w:r w:rsidR="008012AD" w:rsidRPr="00836D59">
        <w:rPr>
          <w:rFonts w:asciiTheme="minorHAnsi" w:hAnsiTheme="minorHAnsi"/>
          <w:lang w:val="en-GB"/>
        </w:rPr>
        <w:t xml:space="preserve"> a multipage set of conditions without reading them</w:t>
      </w:r>
      <w:r w:rsidR="00877CC8" w:rsidRPr="00836D59">
        <w:rPr>
          <w:rFonts w:asciiTheme="minorHAnsi" w:hAnsiTheme="minorHAnsi"/>
          <w:lang w:val="en-GB"/>
        </w:rPr>
        <w:t>, may nevertheless be lawful</w:t>
      </w:r>
      <w:r w:rsidR="008012AD" w:rsidRPr="00836D59">
        <w:rPr>
          <w:rFonts w:asciiTheme="minorHAnsi" w:hAnsiTheme="minorHAnsi"/>
          <w:lang w:val="en-GB"/>
        </w:rPr>
        <w:t xml:space="preserve">. </w:t>
      </w:r>
      <w:r w:rsidRPr="00836D59">
        <w:rPr>
          <w:rFonts w:asciiTheme="minorHAnsi" w:hAnsiTheme="minorHAnsi"/>
          <w:lang w:val="en-GB"/>
        </w:rPr>
        <w:t>Furthermore</w:t>
      </w:r>
      <w:r w:rsidR="00A2283E" w:rsidRPr="00836D59">
        <w:rPr>
          <w:rFonts w:asciiTheme="minorHAnsi" w:hAnsiTheme="minorHAnsi"/>
          <w:lang w:val="en-GB"/>
        </w:rPr>
        <w:t>, an act that may be unlawful, such as</w:t>
      </w:r>
      <w:r w:rsidR="008012AD" w:rsidRPr="00836D59">
        <w:rPr>
          <w:rFonts w:asciiTheme="minorHAnsi" w:hAnsiTheme="minorHAnsi"/>
          <w:lang w:val="en-GB"/>
        </w:rPr>
        <w:t xml:space="preserve"> engaging in research that contravenes aspects of social media </w:t>
      </w:r>
      <w:r w:rsidR="00A2283E" w:rsidRPr="00836D59">
        <w:rPr>
          <w:rFonts w:asciiTheme="minorHAnsi" w:hAnsiTheme="minorHAnsi"/>
          <w:lang w:val="en-GB"/>
        </w:rPr>
        <w:t>services</w:t>
      </w:r>
      <w:r w:rsidR="00624F81" w:rsidRPr="00836D59">
        <w:rPr>
          <w:rFonts w:asciiTheme="minorHAnsi" w:hAnsiTheme="minorHAnsi"/>
          <w:lang w:val="en-GB"/>
        </w:rPr>
        <w:t>’</w:t>
      </w:r>
      <w:r w:rsidR="00A2283E" w:rsidRPr="00836D59">
        <w:rPr>
          <w:rFonts w:asciiTheme="minorHAnsi" w:hAnsiTheme="minorHAnsi"/>
          <w:lang w:val="en-GB"/>
        </w:rPr>
        <w:t xml:space="preserve"> terms and conditions,</w:t>
      </w:r>
      <w:r w:rsidR="008012AD" w:rsidRPr="00836D59">
        <w:rPr>
          <w:rFonts w:asciiTheme="minorHAnsi" w:hAnsiTheme="minorHAnsi"/>
          <w:lang w:val="en-GB"/>
        </w:rPr>
        <w:t xml:space="preserve"> may nevertheless be ethical, as it </w:t>
      </w:r>
      <w:r w:rsidR="00A2283E" w:rsidRPr="00836D59">
        <w:rPr>
          <w:rFonts w:asciiTheme="minorHAnsi" w:hAnsiTheme="minorHAnsi"/>
          <w:lang w:val="en-GB"/>
        </w:rPr>
        <w:t>could</w:t>
      </w:r>
      <w:r w:rsidR="008012AD" w:rsidRPr="00836D59">
        <w:rPr>
          <w:rFonts w:asciiTheme="minorHAnsi" w:hAnsiTheme="minorHAnsi"/>
          <w:lang w:val="en-GB"/>
        </w:rPr>
        <w:t xml:space="preserve"> generate information that may contribute to well-being.</w:t>
      </w:r>
      <w:r w:rsidR="007361E6" w:rsidRPr="00836D59">
        <w:rPr>
          <w:rFonts w:asciiTheme="minorHAnsi" w:hAnsiTheme="minorHAnsi"/>
          <w:lang w:val="en-GB"/>
        </w:rPr>
        <w:t xml:space="preserve"> </w:t>
      </w:r>
      <w:r w:rsidR="007361E6" w:rsidRPr="00836D59">
        <w:rPr>
          <w:rFonts w:asciiTheme="minorHAnsi" w:hAnsiTheme="minorHAnsi"/>
          <w:color w:val="000000"/>
          <w:lang w:val="en-GB"/>
        </w:rPr>
        <w:t xml:space="preserve">However, the formal regulatory setting for carrying out research activities is provided by existing law, and therefore ethics, the law and their interaction must </w:t>
      </w:r>
      <w:r w:rsidR="00863F22" w:rsidRPr="00836D59">
        <w:rPr>
          <w:rFonts w:asciiTheme="minorHAnsi" w:hAnsiTheme="minorHAnsi"/>
          <w:color w:val="000000"/>
          <w:lang w:val="en-GB"/>
        </w:rPr>
        <w:t xml:space="preserve">all </w:t>
      </w:r>
      <w:r w:rsidR="007361E6" w:rsidRPr="00836D59">
        <w:rPr>
          <w:rFonts w:asciiTheme="minorHAnsi" w:hAnsiTheme="minorHAnsi"/>
          <w:color w:val="000000"/>
          <w:lang w:val="en-GB"/>
        </w:rPr>
        <w:t>be considered in</w:t>
      </w:r>
      <w:r w:rsidR="00863F22" w:rsidRPr="00836D59">
        <w:rPr>
          <w:rFonts w:asciiTheme="minorHAnsi" w:hAnsiTheme="minorHAnsi"/>
          <w:color w:val="000000"/>
          <w:lang w:val="en-GB"/>
        </w:rPr>
        <w:t xml:space="preserve"> the</w:t>
      </w:r>
      <w:r w:rsidR="007361E6" w:rsidRPr="00836D59">
        <w:rPr>
          <w:rFonts w:asciiTheme="minorHAnsi" w:hAnsiTheme="minorHAnsi"/>
          <w:color w:val="000000"/>
          <w:lang w:val="en-GB"/>
        </w:rPr>
        <w:t xml:space="preserve"> design</w:t>
      </w:r>
      <w:r w:rsidR="00863F22" w:rsidRPr="00836D59">
        <w:rPr>
          <w:rFonts w:asciiTheme="minorHAnsi" w:hAnsiTheme="minorHAnsi"/>
          <w:color w:val="000000"/>
          <w:lang w:val="en-GB"/>
        </w:rPr>
        <w:t xml:space="preserve"> of</w:t>
      </w:r>
      <w:r w:rsidR="007361E6" w:rsidRPr="00836D59">
        <w:rPr>
          <w:rFonts w:asciiTheme="minorHAnsi" w:hAnsiTheme="minorHAnsi"/>
          <w:color w:val="000000"/>
          <w:lang w:val="en-GB"/>
        </w:rPr>
        <w:t xml:space="preserve"> new methods.</w:t>
      </w:r>
    </w:p>
    <w:p w14:paraId="6336F5B6" w14:textId="34703AC8" w:rsidR="00512054" w:rsidRDefault="00102F12" w:rsidP="00836D59">
      <w:pPr>
        <w:spacing w:line="360" w:lineRule="auto"/>
        <w:rPr>
          <w:rFonts w:asciiTheme="minorHAnsi" w:hAnsiTheme="minorHAnsi"/>
          <w:lang w:val="en-GB"/>
        </w:rPr>
      </w:pPr>
      <w:r w:rsidRPr="00836D59">
        <w:rPr>
          <w:rFonts w:asciiTheme="minorHAnsi" w:hAnsiTheme="minorHAnsi"/>
          <w:lang w:val="en-GB"/>
        </w:rPr>
        <w:t xml:space="preserve">The AoIR </w:t>
      </w:r>
      <w:r w:rsidR="00413554" w:rsidRPr="00836D59">
        <w:rPr>
          <w:rFonts w:asciiTheme="minorHAnsi" w:hAnsiTheme="minorHAnsi"/>
          <w:lang w:val="en-GB"/>
        </w:rPr>
        <w:t>r</w:t>
      </w:r>
      <w:r w:rsidRPr="00836D59">
        <w:rPr>
          <w:rFonts w:asciiTheme="minorHAnsi" w:hAnsiTheme="minorHAnsi"/>
          <w:lang w:val="en-GB"/>
        </w:rPr>
        <w:t xml:space="preserve">ecommendations </w:t>
      </w:r>
      <w:r w:rsidRPr="00836D59">
        <w:rPr>
          <w:rFonts w:asciiTheme="minorHAnsi" w:hAnsiTheme="minorHAnsi"/>
          <w:i/>
          <w:lang w:val="en-GB"/>
        </w:rPr>
        <w:t>(9)</w:t>
      </w:r>
      <w:r w:rsidRPr="00836D59">
        <w:rPr>
          <w:rFonts w:asciiTheme="minorHAnsi" w:hAnsiTheme="minorHAnsi"/>
          <w:lang w:val="en-GB"/>
        </w:rPr>
        <w:t xml:space="preserve"> argue that </w:t>
      </w:r>
      <w:r w:rsidR="00624F81" w:rsidRPr="00836D59">
        <w:rPr>
          <w:rFonts w:asciiTheme="minorHAnsi" w:hAnsiTheme="minorHAnsi"/>
          <w:lang w:val="en-GB"/>
        </w:rPr>
        <w:t>“</w:t>
      </w:r>
      <w:r w:rsidRPr="00836D59">
        <w:rPr>
          <w:rFonts w:asciiTheme="minorHAnsi" w:hAnsiTheme="minorHAnsi"/>
          <w:lang w:val="en-GB"/>
        </w:rPr>
        <w:t>all digital information at some point involves individuals</w:t>
      </w:r>
      <w:r w:rsidR="00624F81" w:rsidRPr="00836D59">
        <w:rPr>
          <w:rFonts w:asciiTheme="minorHAnsi" w:hAnsiTheme="minorHAnsi"/>
          <w:lang w:val="en-GB"/>
        </w:rPr>
        <w:t>”</w:t>
      </w:r>
      <w:r w:rsidR="00370521" w:rsidRPr="00836D59">
        <w:rPr>
          <w:rFonts w:asciiTheme="minorHAnsi" w:hAnsiTheme="minorHAnsi"/>
          <w:lang w:val="en-GB"/>
        </w:rPr>
        <w:t>;</w:t>
      </w:r>
      <w:r w:rsidRPr="00836D59">
        <w:rPr>
          <w:rFonts w:asciiTheme="minorHAnsi" w:hAnsiTheme="minorHAnsi"/>
          <w:lang w:val="en-GB"/>
        </w:rPr>
        <w:t xml:space="preserve"> therefore, </w:t>
      </w:r>
      <w:r w:rsidR="00624F81" w:rsidRPr="00836D59">
        <w:rPr>
          <w:rFonts w:asciiTheme="minorHAnsi" w:hAnsiTheme="minorHAnsi"/>
          <w:lang w:val="en-GB"/>
        </w:rPr>
        <w:t>“</w:t>
      </w:r>
      <w:r w:rsidRPr="00836D59">
        <w:rPr>
          <w:rFonts w:asciiTheme="minorHAnsi" w:hAnsiTheme="minorHAnsi"/>
          <w:lang w:val="en-GB"/>
        </w:rPr>
        <w:t>even if it is not immediately apparent how and where persons are involved</w:t>
      </w:r>
      <w:r w:rsidR="00624F81" w:rsidRPr="00836D59">
        <w:rPr>
          <w:rFonts w:asciiTheme="minorHAnsi" w:hAnsiTheme="minorHAnsi"/>
          <w:lang w:val="en-GB"/>
        </w:rPr>
        <w:t>”</w:t>
      </w:r>
      <w:r w:rsidRPr="00836D59">
        <w:rPr>
          <w:rFonts w:asciiTheme="minorHAnsi" w:hAnsiTheme="minorHAnsi"/>
          <w:lang w:val="en-GB"/>
        </w:rPr>
        <w:t xml:space="preserve">, it is likely that human subjects research principles must be considered. Critically, in this new and emergent field, </w:t>
      </w:r>
      <w:r w:rsidR="00D32521" w:rsidRPr="00836D59">
        <w:rPr>
          <w:rFonts w:asciiTheme="minorHAnsi" w:hAnsiTheme="minorHAnsi"/>
          <w:lang w:val="en-GB"/>
        </w:rPr>
        <w:t>I</w:t>
      </w:r>
      <w:r w:rsidRPr="00836D59">
        <w:rPr>
          <w:rFonts w:asciiTheme="minorHAnsi" w:hAnsiTheme="minorHAnsi"/>
          <w:lang w:val="en-GB"/>
        </w:rPr>
        <w:t xml:space="preserve">nternet researchers are recommended by multiple guidelines to design </w:t>
      </w:r>
      <w:r w:rsidR="00311E86" w:rsidRPr="00836D59">
        <w:rPr>
          <w:rFonts w:asciiTheme="minorHAnsi" w:hAnsiTheme="minorHAnsi"/>
          <w:lang w:val="en-GB"/>
        </w:rPr>
        <w:t>studies for ethical compliance</w:t>
      </w:r>
      <w:r w:rsidRPr="00836D59">
        <w:rPr>
          <w:rFonts w:asciiTheme="minorHAnsi" w:hAnsiTheme="minorHAnsi"/>
          <w:lang w:val="en-GB"/>
        </w:rPr>
        <w:t xml:space="preserve"> from</w:t>
      </w:r>
      <w:r w:rsidR="00311E86" w:rsidRPr="00836D59">
        <w:rPr>
          <w:rFonts w:asciiTheme="minorHAnsi" w:hAnsiTheme="minorHAnsi"/>
          <w:lang w:val="en-GB"/>
        </w:rPr>
        <w:t xml:space="preserve"> ethical</w:t>
      </w:r>
      <w:r w:rsidRPr="00836D59">
        <w:rPr>
          <w:rFonts w:asciiTheme="minorHAnsi" w:hAnsiTheme="minorHAnsi"/>
          <w:lang w:val="en-GB"/>
        </w:rPr>
        <w:t xml:space="preserve"> first principles and on a case-by case basis. Similarly, AoIR argues that in this new territory a </w:t>
      </w:r>
      <w:r w:rsidR="00624F81" w:rsidRPr="00836D59">
        <w:rPr>
          <w:rFonts w:asciiTheme="minorHAnsi" w:hAnsiTheme="minorHAnsi"/>
          <w:lang w:val="en-GB"/>
        </w:rPr>
        <w:t>“</w:t>
      </w:r>
      <w:r w:rsidRPr="00836D59">
        <w:rPr>
          <w:rFonts w:asciiTheme="minorHAnsi" w:hAnsiTheme="minorHAnsi"/>
          <w:lang w:val="en-GB"/>
        </w:rPr>
        <w:t>dialogic, case-based, inductive, and process approach</w:t>
      </w:r>
      <w:r w:rsidR="00624F81" w:rsidRPr="00836D59">
        <w:rPr>
          <w:rFonts w:asciiTheme="minorHAnsi" w:hAnsiTheme="minorHAnsi"/>
          <w:lang w:val="en-GB"/>
        </w:rPr>
        <w:t>”</w:t>
      </w:r>
      <w:r w:rsidRPr="00836D59">
        <w:rPr>
          <w:rFonts w:asciiTheme="minorHAnsi" w:hAnsiTheme="minorHAnsi"/>
          <w:lang w:val="en-GB"/>
        </w:rPr>
        <w:t xml:space="preserve">, grounded in concepts such as harm, vulnerability, respect for persons and beneficence, is required </w:t>
      </w:r>
      <w:r w:rsidRPr="00836D59">
        <w:rPr>
          <w:rFonts w:asciiTheme="minorHAnsi" w:hAnsiTheme="minorHAnsi"/>
          <w:i/>
          <w:lang w:val="en-GB"/>
        </w:rPr>
        <w:t>(</w:t>
      </w:r>
      <w:r w:rsidRPr="00836D59">
        <w:rPr>
          <w:rFonts w:asciiTheme="minorHAnsi" w:hAnsiTheme="minorHAnsi"/>
          <w:i/>
          <w:lang w:val="en-GB"/>
        </w:rPr>
        <w:fldChar w:fldCharType="begin" w:fldLock="1"/>
      </w:r>
      <w:r w:rsidRPr="00836D59">
        <w:rPr>
          <w:rFonts w:asciiTheme="minorHAnsi" w:hAnsiTheme="minorHAnsi"/>
          <w:i/>
          <w:lang w:val="en-GB"/>
        </w:rPr>
        <w:instrText>ADDIN CSL_CITATION { "citationItems" : [ { "id" : "ITEM-1", "itemData" : { "ISBN" : "9780874216561", "ISSN" : "1467-954X", "abstract" : "AOIR has an ongoing commitment to ensuring that research on and about the Internet is conducted in an ethical and professional manner. The Ethics Committee, as composed of ethicists and researchers from various different countries, has produced two major reports to assist researchers in making ethical decisions in their research: 2012: Ethical decision-making and Internet research 2.0: Recommendations from the aoir ethics working committee.", "author" : [ { "dropping-particle" : "", "family" : "Association of Internet Researchers", "given" : "", "non-dropping-particle" : "", "parse-names" : false, "suffix" : "" } ], "container-title" : "Recommendations from the AoIR Ethics Working Committee (Version 2.0)", "id" : "ITEM-1", "issued" : { "date-parts" : [ [ "2012" ] ] }, "number-of-pages" : "19", "title" : "Ethical Decision-Making and Internet Research Recommendations from the AoIR Ethics Working Committee", "type" : "report" }, "uris" : [ "http://www.mendeley.com/documents/?uuid=56f8f2f3-8967-441e-a62e-d22224359365" ] } ], "mendeley" : { "formattedCitation" : "(Association of Internet Researchers, 2012)", "manualFormatting" : "(Association of Internet Researchers, 2012, p.5)", "plainTextFormattedCitation" : "(Association of Internet Researchers, 2012)", "previouslyFormattedCitation" : "(Association of Internet Researchers, 2012)" }, "properties" : { "noteIndex" : 0 }, "schema" : "https://github.com/citation-style-language/schema/raw/master/csl-citation.json" }</w:instrText>
      </w:r>
      <w:r w:rsidRPr="00836D59">
        <w:rPr>
          <w:rFonts w:asciiTheme="minorHAnsi" w:hAnsiTheme="minorHAnsi"/>
          <w:i/>
          <w:lang w:val="en-GB"/>
        </w:rPr>
        <w:fldChar w:fldCharType="separate"/>
      </w:r>
      <w:r w:rsidRPr="00836D59">
        <w:rPr>
          <w:rFonts w:asciiTheme="minorHAnsi" w:hAnsiTheme="minorHAnsi"/>
          <w:i/>
          <w:lang w:val="en-GB"/>
        </w:rPr>
        <w:t>9, p.</w:t>
      </w:r>
      <w:r w:rsidR="002F429D" w:rsidRPr="00836D59">
        <w:rPr>
          <w:rFonts w:asciiTheme="minorHAnsi" w:hAnsiTheme="minorHAnsi"/>
          <w:i/>
          <w:lang w:val="en-GB"/>
        </w:rPr>
        <w:t> </w:t>
      </w:r>
      <w:r w:rsidRPr="00836D59">
        <w:rPr>
          <w:rFonts w:asciiTheme="minorHAnsi" w:hAnsiTheme="minorHAnsi"/>
          <w:i/>
          <w:lang w:val="en-GB"/>
        </w:rPr>
        <w:t>5)</w:t>
      </w:r>
      <w:r w:rsidRPr="00836D59">
        <w:rPr>
          <w:rFonts w:asciiTheme="minorHAnsi" w:hAnsiTheme="minorHAnsi"/>
          <w:i/>
          <w:lang w:val="en-GB"/>
        </w:rPr>
        <w:fldChar w:fldCharType="end"/>
      </w:r>
      <w:r w:rsidRPr="00836D59">
        <w:rPr>
          <w:rFonts w:asciiTheme="minorHAnsi" w:hAnsiTheme="minorHAnsi"/>
          <w:lang w:val="en-GB"/>
        </w:rPr>
        <w:t xml:space="preserve">, cautioning that </w:t>
      </w:r>
      <w:r w:rsidR="00624F81" w:rsidRPr="00836D59">
        <w:rPr>
          <w:rFonts w:asciiTheme="minorHAnsi" w:hAnsiTheme="minorHAnsi"/>
          <w:lang w:val="en-GB"/>
        </w:rPr>
        <w:t>“</w:t>
      </w:r>
      <w:r w:rsidRPr="00836D59">
        <w:rPr>
          <w:rFonts w:asciiTheme="minorHAnsi" w:hAnsiTheme="minorHAnsi"/>
          <w:lang w:val="en-GB"/>
        </w:rPr>
        <w:t>ambiguity and uncertainty are part of the process</w:t>
      </w:r>
      <w:r w:rsidR="00624F81" w:rsidRPr="00836D59">
        <w:rPr>
          <w:rFonts w:asciiTheme="minorHAnsi" w:hAnsiTheme="minorHAnsi"/>
          <w:lang w:val="en-GB"/>
        </w:rPr>
        <w:t>”</w:t>
      </w:r>
      <w:r w:rsidRPr="00836D59">
        <w:rPr>
          <w:rFonts w:asciiTheme="minorHAnsi" w:hAnsiTheme="minorHAnsi"/>
          <w:lang w:val="en-GB"/>
        </w:rPr>
        <w:t>.</w:t>
      </w:r>
      <w:r w:rsidR="00624F81" w:rsidRPr="00836D59">
        <w:rPr>
          <w:rFonts w:asciiTheme="minorHAnsi" w:hAnsiTheme="minorHAnsi"/>
          <w:lang w:val="en-GB"/>
        </w:rPr>
        <w:t xml:space="preserve"> </w:t>
      </w:r>
    </w:p>
    <w:p w14:paraId="4E7D2899" w14:textId="1D855EF4" w:rsidR="00512054" w:rsidRDefault="009F687C" w:rsidP="00836D59">
      <w:pPr>
        <w:spacing w:line="360" w:lineRule="auto"/>
        <w:rPr>
          <w:rFonts w:asciiTheme="minorHAnsi" w:hAnsiTheme="minorHAnsi"/>
          <w:lang w:val="en-GB"/>
        </w:rPr>
      </w:pPr>
      <w:r w:rsidRPr="00836D59">
        <w:rPr>
          <w:rFonts w:asciiTheme="minorHAnsi" w:hAnsiTheme="minorHAnsi"/>
          <w:lang w:val="en-GB"/>
        </w:rPr>
        <w:t>From a legal perspective,</w:t>
      </w:r>
      <w:r w:rsidR="002842B3" w:rsidRPr="00836D59">
        <w:rPr>
          <w:rFonts w:asciiTheme="minorHAnsi" w:hAnsiTheme="minorHAnsi"/>
          <w:lang w:val="en-GB"/>
        </w:rPr>
        <w:t xml:space="preserve"> research </w:t>
      </w:r>
      <w:r w:rsidR="004718C8" w:rsidRPr="00836D59">
        <w:rPr>
          <w:rFonts w:asciiTheme="minorHAnsi" w:hAnsiTheme="minorHAnsi"/>
          <w:lang w:val="en-GB"/>
        </w:rPr>
        <w:t xml:space="preserve">employing personal data </w:t>
      </w:r>
      <w:r w:rsidR="006F4FCD" w:rsidRPr="00836D59">
        <w:rPr>
          <w:rFonts w:asciiTheme="minorHAnsi" w:hAnsiTheme="minorHAnsi"/>
          <w:lang w:val="en-GB"/>
        </w:rPr>
        <w:t xml:space="preserve">of EU citizens </w:t>
      </w:r>
      <w:r w:rsidR="002842B3" w:rsidRPr="00836D59">
        <w:rPr>
          <w:rFonts w:asciiTheme="minorHAnsi" w:hAnsiTheme="minorHAnsi"/>
          <w:lang w:val="en-GB"/>
        </w:rPr>
        <w:t xml:space="preserve">will need to meet requirements of the EU General Data Protection Regulation (GDPR) </w:t>
      </w:r>
      <w:r w:rsidR="00355C1F" w:rsidRPr="00836D59">
        <w:rPr>
          <w:rFonts w:asciiTheme="minorHAnsi" w:hAnsiTheme="minorHAnsi"/>
          <w:lang w:val="en-GB"/>
        </w:rPr>
        <w:t>from</w:t>
      </w:r>
      <w:r w:rsidR="00FA707E" w:rsidRPr="00836D59">
        <w:rPr>
          <w:rFonts w:asciiTheme="minorHAnsi" w:hAnsiTheme="minorHAnsi"/>
          <w:lang w:val="en-GB"/>
        </w:rPr>
        <w:t xml:space="preserve"> 25</w:t>
      </w:r>
      <w:r w:rsidR="002842B3" w:rsidRPr="00836D59">
        <w:rPr>
          <w:rFonts w:asciiTheme="minorHAnsi" w:hAnsiTheme="minorHAnsi"/>
          <w:lang w:val="en-GB"/>
        </w:rPr>
        <w:t xml:space="preserve"> May 2018, </w:t>
      </w:r>
      <w:r w:rsidRPr="00836D59">
        <w:rPr>
          <w:rFonts w:asciiTheme="minorHAnsi" w:hAnsiTheme="minorHAnsi"/>
          <w:lang w:val="en-GB"/>
        </w:rPr>
        <w:t>including,</w:t>
      </w:r>
      <w:r w:rsidR="002842B3" w:rsidRPr="00836D59">
        <w:rPr>
          <w:rFonts w:asciiTheme="minorHAnsi" w:hAnsiTheme="minorHAnsi"/>
          <w:lang w:val="en-GB"/>
        </w:rPr>
        <w:t xml:space="preserve"> where required, legal requirements regarding cross-border transfer of data.</w:t>
      </w:r>
      <w:r w:rsidR="00843068" w:rsidRPr="00836D59">
        <w:rPr>
          <w:rFonts w:asciiTheme="minorHAnsi" w:hAnsiTheme="minorHAnsi"/>
          <w:lang w:val="en-GB"/>
        </w:rPr>
        <w:t xml:space="preserve"> </w:t>
      </w:r>
      <w:r w:rsidR="008663A9" w:rsidRPr="00836D59">
        <w:rPr>
          <w:rFonts w:asciiTheme="minorHAnsi" w:hAnsiTheme="minorHAnsi"/>
          <w:lang w:val="en-GB"/>
        </w:rPr>
        <w:t>The GDPR</w:t>
      </w:r>
      <w:r w:rsidR="00FA707E" w:rsidRPr="00836D59">
        <w:rPr>
          <w:rFonts w:asciiTheme="minorHAnsi" w:hAnsiTheme="minorHAnsi"/>
          <w:lang w:val="en-GB"/>
        </w:rPr>
        <w:t xml:space="preserve"> </w:t>
      </w:r>
      <w:r w:rsidR="008663A9" w:rsidRPr="00836D59">
        <w:rPr>
          <w:rFonts w:asciiTheme="minorHAnsi" w:hAnsiTheme="minorHAnsi"/>
          <w:lang w:val="en-GB"/>
        </w:rPr>
        <w:t>includes provisions to better inform and protect users regarding personal data collection; procedures apply to all scientific research that employs personal data (</w:t>
      </w:r>
      <w:r w:rsidR="000254C9" w:rsidRPr="00836D59">
        <w:rPr>
          <w:rFonts w:asciiTheme="minorHAnsi" w:hAnsiTheme="minorHAnsi"/>
          <w:lang w:val="en-GB"/>
        </w:rPr>
        <w:t>such as</w:t>
      </w:r>
      <w:r w:rsidR="008663A9" w:rsidRPr="00836D59">
        <w:rPr>
          <w:rFonts w:asciiTheme="minorHAnsi" w:hAnsiTheme="minorHAnsi"/>
          <w:lang w:val="en-GB"/>
        </w:rPr>
        <w:t xml:space="preserve"> epidemiology, clinical trials, public he</w:t>
      </w:r>
      <w:r w:rsidR="008D5551" w:rsidRPr="00836D59">
        <w:rPr>
          <w:rFonts w:asciiTheme="minorHAnsi" w:hAnsiTheme="minorHAnsi"/>
          <w:lang w:val="en-GB"/>
        </w:rPr>
        <w:t xml:space="preserve">alth and the social sciences). </w:t>
      </w:r>
      <w:r w:rsidR="00D851F6" w:rsidRPr="00836D59">
        <w:rPr>
          <w:rFonts w:asciiTheme="minorHAnsi" w:hAnsiTheme="minorHAnsi"/>
          <w:lang w:val="en-GB"/>
        </w:rPr>
        <w:t>It</w:t>
      </w:r>
      <w:r w:rsidR="008D5551" w:rsidRPr="00836D59">
        <w:rPr>
          <w:rFonts w:asciiTheme="minorHAnsi" w:hAnsiTheme="minorHAnsi"/>
          <w:lang w:val="en-GB"/>
        </w:rPr>
        <w:t xml:space="preserve"> recogni</w:t>
      </w:r>
      <w:r w:rsidR="002F429D" w:rsidRPr="00836D59">
        <w:rPr>
          <w:rFonts w:asciiTheme="minorHAnsi" w:hAnsiTheme="minorHAnsi"/>
          <w:lang w:val="en-GB"/>
        </w:rPr>
        <w:t>z</w:t>
      </w:r>
      <w:r w:rsidR="008D5551" w:rsidRPr="00836D59">
        <w:rPr>
          <w:rFonts w:asciiTheme="minorHAnsi" w:hAnsiTheme="minorHAnsi"/>
          <w:lang w:val="en-GB"/>
        </w:rPr>
        <w:t>es</w:t>
      </w:r>
      <w:r w:rsidR="008663A9" w:rsidRPr="00836D59">
        <w:rPr>
          <w:rFonts w:asciiTheme="minorHAnsi" w:hAnsiTheme="minorHAnsi"/>
          <w:lang w:val="en-GB"/>
        </w:rPr>
        <w:t xml:space="preserve"> scientific research as a specific personal da</w:t>
      </w:r>
      <w:r w:rsidR="008D5551" w:rsidRPr="00836D59">
        <w:rPr>
          <w:rFonts w:asciiTheme="minorHAnsi" w:hAnsiTheme="minorHAnsi"/>
          <w:lang w:val="en-GB"/>
        </w:rPr>
        <w:t>ta</w:t>
      </w:r>
      <w:r w:rsidR="000254C9" w:rsidRPr="00836D59">
        <w:rPr>
          <w:rFonts w:asciiTheme="minorHAnsi" w:hAnsiTheme="minorHAnsi"/>
          <w:lang w:val="en-GB"/>
        </w:rPr>
        <w:t>-</w:t>
      </w:r>
      <w:r w:rsidR="008D5551" w:rsidRPr="00836D59">
        <w:rPr>
          <w:rFonts w:asciiTheme="minorHAnsi" w:hAnsiTheme="minorHAnsi"/>
          <w:lang w:val="en-GB"/>
        </w:rPr>
        <w:t>processing context requiring</w:t>
      </w:r>
      <w:r w:rsidR="008663A9" w:rsidRPr="00836D59">
        <w:rPr>
          <w:rFonts w:asciiTheme="minorHAnsi" w:hAnsiTheme="minorHAnsi"/>
          <w:lang w:val="en-GB"/>
        </w:rPr>
        <w:t xml:space="preserve"> a balance between appropriate protection of individuals and information sharing in pursuit of the public interest </w:t>
      </w:r>
      <w:r w:rsidR="008663A9" w:rsidRPr="00836D59">
        <w:rPr>
          <w:rFonts w:asciiTheme="minorHAnsi" w:hAnsiTheme="minorHAnsi"/>
          <w:i/>
          <w:lang w:val="en-GB"/>
        </w:rPr>
        <w:t>(</w:t>
      </w:r>
      <w:r w:rsidR="00A54F83" w:rsidRPr="00836D59">
        <w:rPr>
          <w:rFonts w:asciiTheme="minorHAnsi" w:hAnsiTheme="minorHAnsi"/>
          <w:i/>
          <w:lang w:val="en-GB"/>
        </w:rPr>
        <w:t>13</w:t>
      </w:r>
      <w:r w:rsidR="008663A9" w:rsidRPr="00836D59">
        <w:rPr>
          <w:rFonts w:asciiTheme="minorHAnsi" w:hAnsiTheme="minorHAnsi"/>
          <w:i/>
          <w:lang w:val="en-GB"/>
        </w:rPr>
        <w:t>)</w:t>
      </w:r>
      <w:r w:rsidR="008663A9" w:rsidRPr="00836D59">
        <w:rPr>
          <w:rFonts w:asciiTheme="minorHAnsi" w:hAnsiTheme="minorHAnsi"/>
          <w:lang w:val="en-GB"/>
        </w:rPr>
        <w:t xml:space="preserve">, </w:t>
      </w:r>
      <w:r w:rsidR="008D5551" w:rsidRPr="00836D59">
        <w:rPr>
          <w:rFonts w:asciiTheme="minorHAnsi" w:hAnsiTheme="minorHAnsi"/>
          <w:lang w:val="en-GB"/>
        </w:rPr>
        <w:t xml:space="preserve">and thus </w:t>
      </w:r>
      <w:r w:rsidR="008663A9" w:rsidRPr="00836D59">
        <w:rPr>
          <w:rFonts w:asciiTheme="minorHAnsi" w:hAnsiTheme="minorHAnsi"/>
          <w:lang w:val="en-GB"/>
        </w:rPr>
        <w:t>adopts a new risk-based approach, with a case-by-case identification of data protection issues</w:t>
      </w:r>
      <w:r w:rsidR="00102F12" w:rsidRPr="00836D59">
        <w:rPr>
          <w:rFonts w:asciiTheme="minorHAnsi" w:hAnsiTheme="minorHAnsi"/>
          <w:lang w:val="en-GB"/>
        </w:rPr>
        <w:t xml:space="preserve"> – in line with the AoIR recommendations</w:t>
      </w:r>
      <w:r w:rsidR="008663A9" w:rsidRPr="00836D59">
        <w:rPr>
          <w:rFonts w:asciiTheme="minorHAnsi" w:hAnsiTheme="minorHAnsi"/>
          <w:lang w:val="en-GB"/>
        </w:rPr>
        <w:t>.</w:t>
      </w:r>
      <w:r w:rsidR="002A3188" w:rsidRPr="00836D59">
        <w:rPr>
          <w:rFonts w:asciiTheme="minorHAnsi" w:hAnsiTheme="minorHAnsi"/>
          <w:lang w:val="en-GB"/>
        </w:rPr>
        <w:t xml:space="preserve"> </w:t>
      </w:r>
      <w:r w:rsidR="006A6D0D" w:rsidRPr="00836D59">
        <w:rPr>
          <w:rFonts w:asciiTheme="minorHAnsi" w:hAnsiTheme="minorHAnsi"/>
          <w:lang w:val="en-GB"/>
        </w:rPr>
        <w:t>Importantly, t</w:t>
      </w:r>
      <w:r w:rsidR="000D6145" w:rsidRPr="00836D59">
        <w:rPr>
          <w:rFonts w:asciiTheme="minorHAnsi" w:hAnsiTheme="minorHAnsi"/>
          <w:lang w:val="en-GB"/>
        </w:rPr>
        <w:t>he European Data Protection Supervisor</w:t>
      </w:r>
      <w:r w:rsidR="00624F81" w:rsidRPr="00836D59">
        <w:rPr>
          <w:rFonts w:asciiTheme="minorHAnsi" w:hAnsiTheme="minorHAnsi"/>
          <w:lang w:val="en-GB"/>
        </w:rPr>
        <w:t>’</w:t>
      </w:r>
      <w:r w:rsidR="000D6145" w:rsidRPr="00836D59">
        <w:rPr>
          <w:rFonts w:asciiTheme="minorHAnsi" w:hAnsiTheme="minorHAnsi"/>
          <w:lang w:val="en-GB"/>
        </w:rPr>
        <w:t xml:space="preserve">s Opinion 4/2015 </w:t>
      </w:r>
      <w:r w:rsidR="002A3188" w:rsidRPr="00836D59">
        <w:rPr>
          <w:rFonts w:asciiTheme="minorHAnsi" w:hAnsiTheme="minorHAnsi"/>
          <w:lang w:val="en-GB"/>
        </w:rPr>
        <w:t xml:space="preserve">further </w:t>
      </w:r>
      <w:r w:rsidR="000D6145" w:rsidRPr="00836D59">
        <w:rPr>
          <w:rFonts w:asciiTheme="minorHAnsi" w:hAnsiTheme="minorHAnsi"/>
          <w:lang w:val="en-GB"/>
        </w:rPr>
        <w:t xml:space="preserve">notes that legal adherence is not sufficient – ethical dimensions of data processing must also be addressed, including fundamental rights to privacy and to the protection of personal data enshrined in EU </w:t>
      </w:r>
      <w:r w:rsidR="005702ED" w:rsidRPr="00836D59">
        <w:rPr>
          <w:rFonts w:asciiTheme="minorHAnsi" w:hAnsiTheme="minorHAnsi"/>
          <w:lang w:val="en-GB"/>
        </w:rPr>
        <w:t>t</w:t>
      </w:r>
      <w:r w:rsidR="000D6145" w:rsidRPr="00836D59">
        <w:rPr>
          <w:rFonts w:asciiTheme="minorHAnsi" w:hAnsiTheme="minorHAnsi"/>
          <w:lang w:val="en-GB"/>
        </w:rPr>
        <w:t>reaties, the EU Charter of Fundamental Rights and the Chart</w:t>
      </w:r>
      <w:r w:rsidR="00434A22" w:rsidRPr="00836D59">
        <w:rPr>
          <w:rFonts w:asciiTheme="minorHAnsi" w:hAnsiTheme="minorHAnsi"/>
          <w:lang w:val="en-GB"/>
        </w:rPr>
        <w:t>er</w:t>
      </w:r>
      <w:r w:rsidR="00624F81" w:rsidRPr="00836D59">
        <w:rPr>
          <w:rFonts w:asciiTheme="minorHAnsi" w:hAnsiTheme="minorHAnsi"/>
          <w:lang w:val="en-GB"/>
        </w:rPr>
        <w:t>’</w:t>
      </w:r>
      <w:r w:rsidR="00434A22" w:rsidRPr="00836D59">
        <w:rPr>
          <w:rFonts w:asciiTheme="minorHAnsi" w:hAnsiTheme="minorHAnsi"/>
          <w:lang w:val="en-GB"/>
        </w:rPr>
        <w:t>s data protection principles. Key principles of</w:t>
      </w:r>
      <w:r w:rsidR="000D6145" w:rsidRPr="00836D59">
        <w:rPr>
          <w:rFonts w:asciiTheme="minorHAnsi" w:hAnsiTheme="minorHAnsi"/>
          <w:lang w:val="en-GB"/>
        </w:rPr>
        <w:t xml:space="preserve"> </w:t>
      </w:r>
      <w:r w:rsidR="00624F81" w:rsidRPr="00836D59">
        <w:rPr>
          <w:rFonts w:asciiTheme="minorHAnsi" w:hAnsiTheme="minorHAnsi"/>
          <w:lang w:val="en-GB"/>
        </w:rPr>
        <w:t>“</w:t>
      </w:r>
      <w:r w:rsidR="000D6145" w:rsidRPr="00836D59">
        <w:rPr>
          <w:rFonts w:asciiTheme="minorHAnsi" w:hAnsiTheme="minorHAnsi"/>
          <w:lang w:val="en-GB"/>
        </w:rPr>
        <w:t>necessity, proportionality, fairness, data minimi</w:t>
      </w:r>
      <w:r w:rsidR="00C46C63" w:rsidRPr="00836D59">
        <w:rPr>
          <w:rFonts w:asciiTheme="minorHAnsi" w:hAnsiTheme="minorHAnsi"/>
          <w:lang w:val="en-GB"/>
        </w:rPr>
        <w:t>zation</w:t>
      </w:r>
      <w:r w:rsidR="000D6145" w:rsidRPr="00836D59">
        <w:rPr>
          <w:rFonts w:asciiTheme="minorHAnsi" w:hAnsiTheme="minorHAnsi"/>
          <w:lang w:val="en-GB"/>
        </w:rPr>
        <w:t>, purpose limitation, consent and transparency</w:t>
      </w:r>
      <w:r w:rsidR="00624F81" w:rsidRPr="00836D59">
        <w:rPr>
          <w:rFonts w:asciiTheme="minorHAnsi" w:hAnsiTheme="minorHAnsi"/>
          <w:lang w:val="en-GB"/>
        </w:rPr>
        <w:t>”</w:t>
      </w:r>
      <w:r w:rsidR="000D6145" w:rsidRPr="00836D59">
        <w:rPr>
          <w:rFonts w:asciiTheme="minorHAnsi" w:hAnsiTheme="minorHAnsi"/>
          <w:lang w:val="en-GB"/>
        </w:rPr>
        <w:t xml:space="preserve"> apply to all data collection and use </w:t>
      </w:r>
      <w:r w:rsidR="000D6145" w:rsidRPr="00836D59">
        <w:rPr>
          <w:rFonts w:asciiTheme="minorHAnsi" w:hAnsiTheme="minorHAnsi"/>
          <w:i/>
          <w:lang w:val="en-GB"/>
        </w:rPr>
        <w:fldChar w:fldCharType="begin" w:fldLock="1"/>
      </w:r>
      <w:r w:rsidR="000D6145" w:rsidRPr="00836D59">
        <w:rPr>
          <w:rFonts w:asciiTheme="minorHAnsi" w:hAnsiTheme="minorHAnsi"/>
          <w:i/>
          <w:lang w:val="en-GB"/>
        </w:rPr>
        <w:instrText>ADDIN CSL_CITATION { "citationItems" : [ { "id" : "ITEM-1", "itemData" : { "abstract" : "This Opinion follows on from the EDPS\u2019s previous Opinion on the General Data Protection Regulation which aimed to assist the main institutions of the EU in reaching the right consensus on workable, future-oriented set of rules which bolsters the rights and freedoms of the individual. Like the Opinion on Mobile Health in early 2015, it addresses the challenge of data protection to \u2018go digital\u2019 - the third objective of the EDPS Strategy \u2013 \u2018customising existing data protection principles to fit the global digital arena', also in the light of the EU\u2018s plans for the Digital Single Market. It is consistent with the approach of the Article 29 Working Party on data protection aspects of the use of new technologies, such as the \u00b4Internet of Things\u00b4, to which the EDPS contributed as a full member of the group", "author" : [ { "dropping-particle" : "", "family" : "European Data Protection Supervisor", "given" : "", "non-dropping-particle" : "", "parse-names" : false, "suffix" : "" } ], "id" : "ITEM-1", "issue" : "September", "issued" : { "date-parts" : [ [ "2015" ] ] }, "title" : "Opinion 4 / 2015 Towards a new digital ethics. Data, dignity and technology", "type" : "report" }, "uris" : [ "http://www.mendeley.com/documents/?uuid=fb9e60b4-e28c-4bca-a21a-752d5fb7164e" ] } ], "mendeley" : { "formattedCitation" : "(European Data Protection Supervisor, 2015)", "plainTextFormattedCitation" : "(European Data Protection Supervisor, 2015)", "previouslyFormattedCitation" : "(European Data Protection Supervisor, 2015)" }, "properties" : { "noteIndex" : 0 }, "schema" : "https://github.com/citation-style-language/schema/raw/master/csl-citation.json" }</w:instrText>
      </w:r>
      <w:r w:rsidR="000D6145" w:rsidRPr="00836D59">
        <w:rPr>
          <w:rFonts w:asciiTheme="minorHAnsi" w:hAnsiTheme="minorHAnsi"/>
          <w:i/>
          <w:lang w:val="en-GB"/>
        </w:rPr>
        <w:fldChar w:fldCharType="separate"/>
      </w:r>
      <w:r w:rsidR="000D6145" w:rsidRPr="00836D59">
        <w:rPr>
          <w:rFonts w:asciiTheme="minorHAnsi" w:hAnsiTheme="minorHAnsi"/>
          <w:i/>
          <w:lang w:val="en-GB"/>
        </w:rPr>
        <w:t>(</w:t>
      </w:r>
      <w:r w:rsidR="007B2FF5" w:rsidRPr="00836D59">
        <w:rPr>
          <w:rFonts w:asciiTheme="minorHAnsi" w:hAnsiTheme="minorHAnsi"/>
          <w:i/>
          <w:lang w:val="en-GB"/>
        </w:rPr>
        <w:t>10</w:t>
      </w:r>
      <w:r w:rsidR="000D6145" w:rsidRPr="00836D59">
        <w:rPr>
          <w:rFonts w:asciiTheme="minorHAnsi" w:hAnsiTheme="minorHAnsi"/>
          <w:i/>
          <w:lang w:val="en-GB"/>
        </w:rPr>
        <w:t>)</w:t>
      </w:r>
      <w:r w:rsidR="000D6145" w:rsidRPr="00836D59">
        <w:rPr>
          <w:rFonts w:asciiTheme="minorHAnsi" w:hAnsiTheme="minorHAnsi"/>
          <w:i/>
          <w:lang w:val="en-GB"/>
        </w:rPr>
        <w:fldChar w:fldCharType="end"/>
      </w:r>
      <w:r w:rsidR="00314DE7" w:rsidRPr="00836D59">
        <w:rPr>
          <w:rFonts w:asciiTheme="minorHAnsi" w:hAnsiTheme="minorHAnsi"/>
          <w:lang w:val="en-GB"/>
        </w:rPr>
        <w:t>. H</w:t>
      </w:r>
      <w:r w:rsidR="007E2FD6" w:rsidRPr="00836D59">
        <w:rPr>
          <w:rFonts w:asciiTheme="minorHAnsi" w:hAnsiTheme="minorHAnsi"/>
          <w:lang w:val="en-GB"/>
        </w:rPr>
        <w:t xml:space="preserve">ow these </w:t>
      </w:r>
      <w:r w:rsidR="00314DE7" w:rsidRPr="00836D59">
        <w:rPr>
          <w:rFonts w:asciiTheme="minorHAnsi" w:hAnsiTheme="minorHAnsi"/>
          <w:lang w:val="en-GB"/>
        </w:rPr>
        <w:t xml:space="preserve">principles </w:t>
      </w:r>
      <w:r w:rsidR="007E2FD6" w:rsidRPr="00836D59">
        <w:rPr>
          <w:rFonts w:asciiTheme="minorHAnsi" w:hAnsiTheme="minorHAnsi"/>
          <w:lang w:val="en-GB"/>
        </w:rPr>
        <w:t xml:space="preserve">are to be applied in the context of </w:t>
      </w:r>
      <w:r w:rsidR="00D32521" w:rsidRPr="00836D59">
        <w:rPr>
          <w:rFonts w:asciiTheme="minorHAnsi" w:hAnsiTheme="minorHAnsi"/>
          <w:lang w:val="en-GB"/>
        </w:rPr>
        <w:t>I</w:t>
      </w:r>
      <w:r w:rsidR="007E2FD6" w:rsidRPr="00836D59">
        <w:rPr>
          <w:rFonts w:asciiTheme="minorHAnsi" w:hAnsiTheme="minorHAnsi"/>
          <w:lang w:val="en-GB"/>
        </w:rPr>
        <w:t>nternet research</w:t>
      </w:r>
      <w:r w:rsidR="005702ED" w:rsidRPr="00836D59">
        <w:rPr>
          <w:rFonts w:asciiTheme="minorHAnsi" w:hAnsiTheme="minorHAnsi"/>
          <w:lang w:val="en-GB"/>
        </w:rPr>
        <w:t>,</w:t>
      </w:r>
      <w:r w:rsidR="007E2FD6" w:rsidRPr="00836D59">
        <w:rPr>
          <w:rFonts w:asciiTheme="minorHAnsi" w:hAnsiTheme="minorHAnsi"/>
          <w:lang w:val="en-GB"/>
        </w:rPr>
        <w:t xml:space="preserve"> and particularly </w:t>
      </w:r>
      <w:r w:rsidR="00355C1F" w:rsidRPr="00836D59">
        <w:rPr>
          <w:rFonts w:asciiTheme="minorHAnsi" w:hAnsiTheme="minorHAnsi"/>
          <w:lang w:val="en-GB"/>
        </w:rPr>
        <w:t>when it involves</w:t>
      </w:r>
      <w:r w:rsidR="007E2FD6" w:rsidRPr="00836D59">
        <w:rPr>
          <w:rFonts w:asciiTheme="minorHAnsi" w:hAnsiTheme="minorHAnsi"/>
          <w:lang w:val="en-GB"/>
        </w:rPr>
        <w:t xml:space="preserve"> minors</w:t>
      </w:r>
      <w:r w:rsidR="00624F81" w:rsidRPr="00836D59">
        <w:rPr>
          <w:rFonts w:asciiTheme="minorHAnsi" w:hAnsiTheme="minorHAnsi"/>
          <w:lang w:val="en-GB"/>
        </w:rPr>
        <w:t>’</w:t>
      </w:r>
      <w:r w:rsidR="007E2FD6" w:rsidRPr="00836D59">
        <w:rPr>
          <w:rFonts w:asciiTheme="minorHAnsi" w:hAnsiTheme="minorHAnsi"/>
          <w:lang w:val="en-GB"/>
        </w:rPr>
        <w:t xml:space="preserve"> data</w:t>
      </w:r>
      <w:r w:rsidR="005702ED" w:rsidRPr="00836D59">
        <w:rPr>
          <w:rFonts w:asciiTheme="minorHAnsi" w:hAnsiTheme="minorHAnsi"/>
          <w:lang w:val="en-GB"/>
        </w:rPr>
        <w:t>,</w:t>
      </w:r>
      <w:r w:rsidR="007E2FD6" w:rsidRPr="00836D59">
        <w:rPr>
          <w:rFonts w:asciiTheme="minorHAnsi" w:hAnsiTheme="minorHAnsi"/>
          <w:lang w:val="en-GB"/>
        </w:rPr>
        <w:t xml:space="preserve"> remains to be clearly articulated.</w:t>
      </w:r>
    </w:p>
    <w:p w14:paraId="213FE463" w14:textId="48C08E5B" w:rsidR="008D5DC9" w:rsidRPr="004603BC" w:rsidRDefault="00E84C05" w:rsidP="004603BC">
      <w:pPr>
        <w:spacing w:line="360" w:lineRule="auto"/>
        <w:rPr>
          <w:rFonts w:asciiTheme="minorHAnsi" w:hAnsiTheme="minorHAnsi"/>
          <w:lang w:val="en-GB"/>
        </w:rPr>
      </w:pPr>
      <w:r w:rsidRPr="00836D59">
        <w:rPr>
          <w:rFonts w:asciiTheme="minorHAnsi" w:hAnsiTheme="minorHAnsi"/>
          <w:lang w:val="en-GB"/>
        </w:rPr>
        <w:t>As a first indication of the key pr</w:t>
      </w:r>
      <w:r w:rsidR="00167C20" w:rsidRPr="00836D59">
        <w:rPr>
          <w:rFonts w:asciiTheme="minorHAnsi" w:hAnsiTheme="minorHAnsi"/>
          <w:lang w:val="en-GB"/>
        </w:rPr>
        <w:t>inciples</w:t>
      </w:r>
      <w:r w:rsidR="00434A22" w:rsidRPr="00836D59">
        <w:rPr>
          <w:rFonts w:asciiTheme="minorHAnsi" w:hAnsiTheme="minorHAnsi"/>
          <w:lang w:val="en-GB"/>
        </w:rPr>
        <w:t xml:space="preserve"> </w:t>
      </w:r>
      <w:r w:rsidRPr="00836D59">
        <w:rPr>
          <w:rFonts w:asciiTheme="minorHAnsi" w:hAnsiTheme="minorHAnsi"/>
          <w:lang w:val="en-GB"/>
        </w:rPr>
        <w:t xml:space="preserve">for </w:t>
      </w:r>
      <w:r w:rsidR="00D32521" w:rsidRPr="00836D59">
        <w:rPr>
          <w:rFonts w:asciiTheme="minorHAnsi" w:hAnsiTheme="minorHAnsi"/>
          <w:lang w:val="en-GB"/>
        </w:rPr>
        <w:t>I</w:t>
      </w:r>
      <w:r w:rsidRPr="00836D59">
        <w:rPr>
          <w:rFonts w:asciiTheme="minorHAnsi" w:hAnsiTheme="minorHAnsi"/>
          <w:lang w:val="en-GB"/>
        </w:rPr>
        <w:t xml:space="preserve">nternet research, Table 2 shows those </w:t>
      </w:r>
      <w:r w:rsidR="000C383D" w:rsidRPr="00836D59">
        <w:rPr>
          <w:rFonts w:asciiTheme="minorHAnsi" w:hAnsiTheme="minorHAnsi"/>
          <w:lang w:val="en-GB"/>
        </w:rPr>
        <w:t>articulate</w:t>
      </w:r>
      <w:r w:rsidRPr="00836D59">
        <w:rPr>
          <w:rFonts w:asciiTheme="minorHAnsi" w:hAnsiTheme="minorHAnsi"/>
          <w:lang w:val="en-GB"/>
        </w:rPr>
        <w:t>d</w:t>
      </w:r>
      <w:r w:rsidR="000C383D" w:rsidRPr="00836D59">
        <w:rPr>
          <w:rFonts w:asciiTheme="minorHAnsi" w:hAnsiTheme="minorHAnsi"/>
          <w:lang w:val="en-GB"/>
        </w:rPr>
        <w:t xml:space="preserve"> in</w:t>
      </w:r>
      <w:r w:rsidR="00434A22" w:rsidRPr="00836D59">
        <w:rPr>
          <w:rFonts w:asciiTheme="minorHAnsi" w:hAnsiTheme="minorHAnsi"/>
          <w:lang w:val="en-GB"/>
        </w:rPr>
        <w:t xml:space="preserve"> the </w:t>
      </w:r>
      <w:r w:rsidR="003844C8" w:rsidRPr="00836D59">
        <w:rPr>
          <w:rFonts w:asciiTheme="minorHAnsi" w:hAnsiTheme="minorHAnsi"/>
          <w:lang w:val="en-GB"/>
        </w:rPr>
        <w:t>British Psychological Society</w:t>
      </w:r>
      <w:r w:rsidR="00167BE8" w:rsidRPr="00836D59">
        <w:rPr>
          <w:rFonts w:asciiTheme="minorHAnsi" w:hAnsiTheme="minorHAnsi"/>
          <w:lang w:val="en-GB"/>
        </w:rPr>
        <w:t>’s</w:t>
      </w:r>
      <w:r w:rsidR="003844C8" w:rsidRPr="00836D59" w:rsidDel="003844C8">
        <w:rPr>
          <w:rFonts w:asciiTheme="minorHAnsi" w:hAnsiTheme="minorHAnsi"/>
          <w:lang w:val="en-GB"/>
        </w:rPr>
        <w:t xml:space="preserve"> </w:t>
      </w:r>
      <w:r w:rsidR="007B2FF5" w:rsidRPr="00836D59">
        <w:rPr>
          <w:rFonts w:asciiTheme="minorHAnsi" w:hAnsiTheme="minorHAnsi"/>
          <w:lang w:val="en-GB"/>
        </w:rPr>
        <w:t xml:space="preserve">guidelines </w:t>
      </w:r>
      <w:r w:rsidR="00434A22" w:rsidRPr="00836D59">
        <w:rPr>
          <w:rFonts w:asciiTheme="minorHAnsi" w:hAnsiTheme="minorHAnsi"/>
          <w:i/>
          <w:lang w:val="en-GB"/>
        </w:rPr>
        <w:t>(</w:t>
      </w:r>
      <w:r w:rsidR="007B2FF5" w:rsidRPr="00836D59">
        <w:rPr>
          <w:rFonts w:asciiTheme="minorHAnsi" w:hAnsiTheme="minorHAnsi"/>
          <w:i/>
          <w:lang w:val="en-GB"/>
        </w:rPr>
        <w:t>12</w:t>
      </w:r>
      <w:r w:rsidR="00434A22" w:rsidRPr="00836D59">
        <w:rPr>
          <w:rFonts w:asciiTheme="minorHAnsi" w:hAnsiTheme="minorHAnsi"/>
          <w:i/>
          <w:lang w:val="en-GB"/>
        </w:rPr>
        <w:t xml:space="preserve">) </w:t>
      </w:r>
      <w:r w:rsidR="00434A22" w:rsidRPr="00836D59">
        <w:rPr>
          <w:rFonts w:asciiTheme="minorHAnsi" w:hAnsiTheme="minorHAnsi"/>
          <w:lang w:val="en-GB"/>
        </w:rPr>
        <w:t xml:space="preserve">and </w:t>
      </w:r>
      <w:r w:rsidR="00987D43" w:rsidRPr="00836D59">
        <w:rPr>
          <w:rFonts w:asciiTheme="minorHAnsi" w:hAnsiTheme="minorHAnsi"/>
          <w:lang w:val="en-GB"/>
        </w:rPr>
        <w:t xml:space="preserve">the </w:t>
      </w:r>
      <w:r w:rsidR="00434A22" w:rsidRPr="00836D59">
        <w:rPr>
          <w:rFonts w:asciiTheme="minorHAnsi" w:hAnsiTheme="minorHAnsi"/>
          <w:lang w:val="en-GB"/>
        </w:rPr>
        <w:t xml:space="preserve">considerations associated with them. </w:t>
      </w:r>
      <w:r w:rsidR="00792748" w:rsidRPr="00836D59">
        <w:rPr>
          <w:rFonts w:asciiTheme="minorHAnsi" w:hAnsiTheme="minorHAnsi"/>
          <w:lang w:val="en-GB"/>
        </w:rPr>
        <w:t xml:space="preserve">For reasons of space in this short </w:t>
      </w:r>
      <w:r w:rsidR="00F1721F" w:rsidRPr="00836D59">
        <w:rPr>
          <w:rFonts w:asciiTheme="minorHAnsi" w:hAnsiTheme="minorHAnsi"/>
          <w:lang w:val="en-GB"/>
        </w:rPr>
        <w:t xml:space="preserve">policy </w:t>
      </w:r>
      <w:r w:rsidR="00792748" w:rsidRPr="00836D59">
        <w:rPr>
          <w:rFonts w:asciiTheme="minorHAnsi" w:hAnsiTheme="minorHAnsi"/>
          <w:lang w:val="en-GB"/>
        </w:rPr>
        <w:t xml:space="preserve">report </w:t>
      </w:r>
      <w:r w:rsidR="00167BE8" w:rsidRPr="00836D59">
        <w:rPr>
          <w:rFonts w:asciiTheme="minorHAnsi" w:hAnsiTheme="minorHAnsi"/>
          <w:lang w:val="en-GB"/>
        </w:rPr>
        <w:t xml:space="preserve">the authors </w:t>
      </w:r>
      <w:r w:rsidR="00792748" w:rsidRPr="00836D59">
        <w:rPr>
          <w:rFonts w:asciiTheme="minorHAnsi" w:hAnsiTheme="minorHAnsi"/>
          <w:lang w:val="en-GB"/>
        </w:rPr>
        <w:t>do not expand on these further here but refer researchers to the guideline</w:t>
      </w:r>
      <w:r w:rsidR="00167BE8" w:rsidRPr="00836D59">
        <w:rPr>
          <w:rFonts w:asciiTheme="minorHAnsi" w:hAnsiTheme="minorHAnsi"/>
          <w:lang w:val="en-GB"/>
        </w:rPr>
        <w:t>s</w:t>
      </w:r>
      <w:r w:rsidR="00792748" w:rsidRPr="00836D59">
        <w:rPr>
          <w:rFonts w:asciiTheme="minorHAnsi" w:hAnsiTheme="minorHAnsi"/>
          <w:lang w:val="en-GB"/>
        </w:rPr>
        <w:t xml:space="preserve"> </w:t>
      </w:r>
      <w:r w:rsidR="00167BE8" w:rsidRPr="00836D59">
        <w:rPr>
          <w:rFonts w:asciiTheme="minorHAnsi" w:hAnsiTheme="minorHAnsi"/>
          <w:lang w:val="en-GB"/>
        </w:rPr>
        <w:t>and</w:t>
      </w:r>
      <w:r w:rsidR="00792748" w:rsidRPr="00836D59">
        <w:rPr>
          <w:rFonts w:asciiTheme="minorHAnsi" w:hAnsiTheme="minorHAnsi"/>
          <w:lang w:val="en-GB"/>
        </w:rPr>
        <w:t xml:space="preserve"> to the increasing body of commentary in the field (see, </w:t>
      </w:r>
      <w:r w:rsidR="00167BE8" w:rsidRPr="00836D59">
        <w:rPr>
          <w:rFonts w:asciiTheme="minorHAnsi" w:hAnsiTheme="minorHAnsi"/>
          <w:lang w:val="en-GB"/>
        </w:rPr>
        <w:t>for example</w:t>
      </w:r>
      <w:r w:rsidR="00792748" w:rsidRPr="00836D59">
        <w:rPr>
          <w:rFonts w:asciiTheme="minorHAnsi" w:hAnsiTheme="minorHAnsi"/>
          <w:lang w:val="en-GB"/>
        </w:rPr>
        <w:t xml:space="preserve">, </w:t>
      </w:r>
      <w:r w:rsidR="006211C7" w:rsidRPr="00836D59">
        <w:rPr>
          <w:rFonts w:asciiTheme="minorHAnsi" w:hAnsiTheme="minorHAnsi"/>
          <w:lang w:val="en-GB"/>
        </w:rPr>
        <w:t xml:space="preserve">Samuel </w:t>
      </w:r>
      <w:r w:rsidR="007B5FC9" w:rsidRPr="00836D59">
        <w:rPr>
          <w:rFonts w:asciiTheme="minorHAnsi" w:hAnsiTheme="minorHAnsi"/>
          <w:i/>
          <w:lang w:val="en-GB"/>
        </w:rPr>
        <w:t>(</w:t>
      </w:r>
      <w:r w:rsidR="00F1721F" w:rsidRPr="00836D59">
        <w:rPr>
          <w:rFonts w:asciiTheme="minorHAnsi" w:hAnsiTheme="minorHAnsi"/>
          <w:i/>
          <w:lang w:val="en-GB"/>
        </w:rPr>
        <w:t>1</w:t>
      </w:r>
      <w:r w:rsidR="008468DA" w:rsidRPr="00836D59">
        <w:rPr>
          <w:rFonts w:asciiTheme="minorHAnsi" w:hAnsiTheme="minorHAnsi"/>
          <w:i/>
          <w:lang w:val="en-GB"/>
        </w:rPr>
        <w:t>4</w:t>
      </w:r>
      <w:r w:rsidR="007B5FC9" w:rsidRPr="00836D59">
        <w:rPr>
          <w:rFonts w:asciiTheme="minorHAnsi" w:hAnsiTheme="minorHAnsi"/>
          <w:i/>
          <w:lang w:val="en-GB"/>
        </w:rPr>
        <w:t>)</w:t>
      </w:r>
      <w:r w:rsidR="00792748" w:rsidRPr="00836D59">
        <w:rPr>
          <w:rFonts w:asciiTheme="minorHAnsi" w:hAnsiTheme="minorHAnsi"/>
          <w:i/>
          <w:lang w:val="en-GB"/>
        </w:rPr>
        <w:t xml:space="preserve"> </w:t>
      </w:r>
      <w:r w:rsidR="00792748" w:rsidRPr="00836D59">
        <w:rPr>
          <w:rFonts w:asciiTheme="minorHAnsi" w:hAnsiTheme="minorHAnsi"/>
          <w:lang w:val="en-GB"/>
        </w:rPr>
        <w:t>and</w:t>
      </w:r>
      <w:r w:rsidR="006211C7" w:rsidRPr="00836D59">
        <w:rPr>
          <w:rFonts w:asciiTheme="minorHAnsi" w:hAnsiTheme="minorHAnsi"/>
          <w:lang w:val="en-GB"/>
        </w:rPr>
        <w:t xml:space="preserve"> Gelinas et al.</w:t>
      </w:r>
      <w:r w:rsidR="00792748" w:rsidRPr="00836D59">
        <w:rPr>
          <w:rFonts w:asciiTheme="minorHAnsi" w:hAnsiTheme="minorHAnsi"/>
          <w:lang w:val="en-GB"/>
        </w:rPr>
        <w:t xml:space="preserve"> </w:t>
      </w:r>
      <w:r w:rsidR="007B5FC9" w:rsidRPr="00836D59">
        <w:rPr>
          <w:rFonts w:asciiTheme="minorHAnsi" w:hAnsiTheme="minorHAnsi"/>
          <w:i/>
          <w:lang w:val="en-GB"/>
        </w:rPr>
        <w:t>(1</w:t>
      </w:r>
      <w:r w:rsidR="008468DA" w:rsidRPr="00836D59">
        <w:rPr>
          <w:rFonts w:asciiTheme="minorHAnsi" w:hAnsiTheme="minorHAnsi"/>
          <w:i/>
          <w:lang w:val="en-GB"/>
        </w:rPr>
        <w:t>5</w:t>
      </w:r>
      <w:r w:rsidR="007B5FC9" w:rsidRPr="00836D59">
        <w:rPr>
          <w:rFonts w:asciiTheme="minorHAnsi" w:hAnsiTheme="minorHAnsi"/>
          <w:i/>
          <w:lang w:val="en-GB"/>
        </w:rPr>
        <w:t>)</w:t>
      </w:r>
      <w:r w:rsidR="00792748" w:rsidRPr="00836D59">
        <w:rPr>
          <w:rFonts w:asciiTheme="minorHAnsi" w:hAnsiTheme="minorHAnsi"/>
          <w:lang w:val="en-GB"/>
        </w:rPr>
        <w:t>)</w:t>
      </w:r>
      <w:r w:rsidR="009A6147" w:rsidRPr="00836D59">
        <w:rPr>
          <w:rFonts w:asciiTheme="minorHAnsi" w:hAnsiTheme="minorHAnsi"/>
          <w:lang w:val="en-GB"/>
        </w:rPr>
        <w:t xml:space="preserve">. The principles and considerations </w:t>
      </w:r>
      <w:r w:rsidR="00A93B94" w:rsidRPr="00836D59">
        <w:rPr>
          <w:rFonts w:asciiTheme="minorHAnsi" w:hAnsiTheme="minorHAnsi"/>
          <w:lang w:val="en-GB"/>
        </w:rPr>
        <w:t xml:space="preserve">summarised here </w:t>
      </w:r>
      <w:r w:rsidR="009A6147" w:rsidRPr="00836D59">
        <w:rPr>
          <w:rFonts w:asciiTheme="minorHAnsi" w:hAnsiTheme="minorHAnsi"/>
          <w:lang w:val="en-GB"/>
        </w:rPr>
        <w:t>guided the workshop discussion.</w:t>
      </w:r>
    </w:p>
    <w:p w14:paraId="2047EFA1" w14:textId="7FF35738" w:rsidR="005F69C8" w:rsidRPr="00836D59" w:rsidRDefault="00757185" w:rsidP="00836D59">
      <w:pPr>
        <w:pStyle w:val="Caption"/>
        <w:spacing w:line="360" w:lineRule="auto"/>
        <w:rPr>
          <w:rFonts w:asciiTheme="minorHAnsi" w:hAnsiTheme="minorHAnsi"/>
        </w:rPr>
      </w:pPr>
      <w:r w:rsidRPr="00836D59">
        <w:rPr>
          <w:rFonts w:asciiTheme="minorHAnsi" w:hAnsiTheme="minorHAnsi"/>
        </w:rPr>
        <w:t>Table 2</w:t>
      </w:r>
      <w:r w:rsidR="005702ED" w:rsidRPr="00836D59">
        <w:rPr>
          <w:rFonts w:asciiTheme="minorHAnsi" w:hAnsiTheme="minorHAnsi"/>
        </w:rPr>
        <w:t>.</w:t>
      </w:r>
      <w:r w:rsidR="00C57F00" w:rsidRPr="00836D59">
        <w:rPr>
          <w:rFonts w:asciiTheme="minorHAnsi" w:hAnsiTheme="minorHAnsi"/>
        </w:rPr>
        <w:t xml:space="preserve"> </w:t>
      </w:r>
      <w:r w:rsidR="00355CEB" w:rsidRPr="00836D59">
        <w:rPr>
          <w:rFonts w:asciiTheme="minorHAnsi" w:hAnsiTheme="minorHAnsi"/>
        </w:rPr>
        <w:t xml:space="preserve">Ethical </w:t>
      </w:r>
      <w:r w:rsidR="005702ED" w:rsidRPr="00836D59">
        <w:rPr>
          <w:rFonts w:asciiTheme="minorHAnsi" w:hAnsiTheme="minorHAnsi"/>
        </w:rPr>
        <w:t>p</w:t>
      </w:r>
      <w:r w:rsidR="00355CEB" w:rsidRPr="00836D59">
        <w:rPr>
          <w:rFonts w:asciiTheme="minorHAnsi" w:hAnsiTheme="minorHAnsi"/>
        </w:rPr>
        <w:t xml:space="preserve">rinciples and key considerations outlined in the </w:t>
      </w:r>
      <w:r w:rsidR="002B56C8" w:rsidRPr="00836D59">
        <w:rPr>
          <w:rFonts w:asciiTheme="minorHAnsi" w:hAnsiTheme="minorHAnsi"/>
        </w:rPr>
        <w:t>British Psychological Society</w:t>
      </w:r>
      <w:r w:rsidR="005702ED" w:rsidRPr="00836D59">
        <w:rPr>
          <w:rFonts w:asciiTheme="minorHAnsi" w:hAnsiTheme="minorHAnsi"/>
        </w:rPr>
        <w:t>’s</w:t>
      </w:r>
      <w:r w:rsidR="002B56C8" w:rsidRPr="00836D59">
        <w:rPr>
          <w:rFonts w:asciiTheme="minorHAnsi" w:hAnsiTheme="minorHAnsi"/>
        </w:rPr>
        <w:t xml:space="preserve"> </w:t>
      </w:r>
      <w:r w:rsidR="005702ED" w:rsidRPr="00836D59">
        <w:rPr>
          <w:rFonts w:asciiTheme="minorHAnsi" w:hAnsiTheme="minorHAnsi"/>
        </w:rPr>
        <w:t>g</w:t>
      </w:r>
      <w:r w:rsidR="002B56C8" w:rsidRPr="00836D59">
        <w:rPr>
          <w:rFonts w:asciiTheme="minorHAnsi" w:hAnsiTheme="minorHAnsi"/>
        </w:rPr>
        <w:t xml:space="preserve">uidelines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508"/>
        <w:gridCol w:w="4508"/>
      </w:tblGrid>
      <w:tr w:rsidR="005F69C8" w:rsidRPr="00836D59" w14:paraId="5C610E0B" w14:textId="77777777" w:rsidTr="004603BC">
        <w:tc>
          <w:tcPr>
            <w:tcW w:w="4508" w:type="dxa"/>
            <w:tcBorders>
              <w:right w:val="nil"/>
            </w:tcBorders>
          </w:tcPr>
          <w:p w14:paraId="6CE8419D" w14:textId="315038EE" w:rsidR="005F69C8" w:rsidRPr="00836D59" w:rsidRDefault="005F69C8" w:rsidP="00512054">
            <w:pPr>
              <w:spacing w:line="240" w:lineRule="auto"/>
              <w:jc w:val="center"/>
              <w:rPr>
                <w:rFonts w:asciiTheme="minorHAnsi" w:hAnsiTheme="minorHAnsi"/>
                <w:b/>
                <w:lang w:val="en-GB"/>
              </w:rPr>
            </w:pPr>
            <w:r w:rsidRPr="00836D59">
              <w:rPr>
                <w:rFonts w:asciiTheme="minorHAnsi" w:hAnsiTheme="minorHAnsi"/>
                <w:b/>
                <w:lang w:val="en-GB"/>
              </w:rPr>
              <w:t>Principle</w:t>
            </w:r>
          </w:p>
        </w:tc>
        <w:tc>
          <w:tcPr>
            <w:tcW w:w="4508" w:type="dxa"/>
            <w:tcBorders>
              <w:left w:val="nil"/>
            </w:tcBorders>
          </w:tcPr>
          <w:p w14:paraId="252A21D7" w14:textId="6DA4C2D2" w:rsidR="005F69C8" w:rsidRPr="00836D59" w:rsidRDefault="005F69C8" w:rsidP="00512054">
            <w:pPr>
              <w:spacing w:line="240" w:lineRule="auto"/>
              <w:jc w:val="center"/>
              <w:rPr>
                <w:rFonts w:asciiTheme="minorHAnsi" w:hAnsiTheme="minorHAnsi"/>
                <w:b/>
                <w:lang w:val="en-GB"/>
              </w:rPr>
            </w:pPr>
            <w:r w:rsidRPr="00836D59">
              <w:rPr>
                <w:rFonts w:asciiTheme="minorHAnsi" w:hAnsiTheme="minorHAnsi"/>
                <w:b/>
                <w:lang w:val="en-GB"/>
              </w:rPr>
              <w:t>Considerations</w:t>
            </w:r>
          </w:p>
        </w:tc>
      </w:tr>
      <w:tr w:rsidR="005F69C8" w:rsidRPr="00836D59" w14:paraId="79A1D3E4" w14:textId="77777777" w:rsidTr="004603BC">
        <w:tc>
          <w:tcPr>
            <w:tcW w:w="4508" w:type="dxa"/>
            <w:tcBorders>
              <w:right w:val="nil"/>
            </w:tcBorders>
          </w:tcPr>
          <w:p w14:paraId="1264AD24" w14:textId="02C0AA7D" w:rsidR="005F69C8" w:rsidRPr="00836D59" w:rsidRDefault="005F69C8" w:rsidP="00512054">
            <w:pPr>
              <w:spacing w:line="240" w:lineRule="auto"/>
              <w:rPr>
                <w:rFonts w:asciiTheme="minorHAnsi" w:hAnsiTheme="minorHAnsi"/>
                <w:lang w:val="en-GB"/>
              </w:rPr>
            </w:pPr>
            <w:r w:rsidRPr="00836D59">
              <w:rPr>
                <w:rFonts w:asciiTheme="minorHAnsi" w:hAnsiTheme="minorHAnsi"/>
                <w:lang w:val="en-GB"/>
              </w:rPr>
              <w:t>Respect for the autonomy, privacy and dignity of individuals and communities</w:t>
            </w:r>
          </w:p>
        </w:tc>
        <w:tc>
          <w:tcPr>
            <w:tcW w:w="4508" w:type="dxa"/>
            <w:tcBorders>
              <w:left w:val="nil"/>
            </w:tcBorders>
          </w:tcPr>
          <w:p w14:paraId="17F27BE1" w14:textId="227A0D18" w:rsidR="005F69C8" w:rsidRPr="00836D59" w:rsidRDefault="005F69C8" w:rsidP="00512054">
            <w:pPr>
              <w:spacing w:line="240" w:lineRule="auto"/>
              <w:rPr>
                <w:rFonts w:asciiTheme="minorHAnsi" w:hAnsiTheme="minorHAnsi"/>
                <w:lang w:val="en-GB"/>
              </w:rPr>
            </w:pPr>
            <w:r w:rsidRPr="00836D59">
              <w:rPr>
                <w:rFonts w:asciiTheme="minorHAnsi" w:hAnsiTheme="minorHAnsi"/>
                <w:lang w:val="en-GB"/>
              </w:rPr>
              <w:t xml:space="preserve">Public/private distinction – </w:t>
            </w:r>
            <w:r w:rsidR="00987D43" w:rsidRPr="00836D59">
              <w:rPr>
                <w:rFonts w:asciiTheme="minorHAnsi" w:hAnsiTheme="minorHAnsi"/>
                <w:lang w:val="en-GB"/>
              </w:rPr>
              <w:t>t</w:t>
            </w:r>
            <w:r w:rsidRPr="00836D59">
              <w:rPr>
                <w:rFonts w:asciiTheme="minorHAnsi" w:hAnsiTheme="minorHAnsi"/>
                <w:lang w:val="en-GB"/>
              </w:rPr>
              <w:t>he extent to which potential data derived from online sources should be considered in the public or private domain</w:t>
            </w:r>
          </w:p>
          <w:p w14:paraId="604C83A1" w14:textId="35F7C411" w:rsidR="005F69C8" w:rsidRPr="00836D59" w:rsidRDefault="005F69C8" w:rsidP="00512054">
            <w:pPr>
              <w:spacing w:line="240" w:lineRule="auto"/>
              <w:rPr>
                <w:rFonts w:asciiTheme="minorHAnsi" w:hAnsiTheme="minorHAnsi"/>
                <w:lang w:val="en-GB"/>
              </w:rPr>
            </w:pPr>
            <w:r w:rsidRPr="00836D59">
              <w:rPr>
                <w:rFonts w:asciiTheme="minorHAnsi" w:hAnsiTheme="minorHAnsi"/>
                <w:lang w:val="en-GB"/>
              </w:rPr>
              <w:t xml:space="preserve">Confidentiality – </w:t>
            </w:r>
            <w:r w:rsidR="00987D43" w:rsidRPr="00836D59">
              <w:rPr>
                <w:rFonts w:asciiTheme="minorHAnsi" w:hAnsiTheme="minorHAnsi"/>
                <w:lang w:val="en-GB"/>
              </w:rPr>
              <w:t>l</w:t>
            </w:r>
            <w:r w:rsidRPr="00836D59">
              <w:rPr>
                <w:rFonts w:asciiTheme="minorHAnsi" w:hAnsiTheme="minorHAnsi"/>
                <w:lang w:val="en-GB"/>
              </w:rPr>
              <w:t>evels of risk to the confidentiality of participants</w:t>
            </w:r>
            <w:r w:rsidR="00624F81" w:rsidRPr="00836D59">
              <w:rPr>
                <w:rFonts w:asciiTheme="minorHAnsi" w:hAnsiTheme="minorHAnsi"/>
                <w:lang w:val="en-GB"/>
              </w:rPr>
              <w:t>’</w:t>
            </w:r>
            <w:r w:rsidRPr="00836D59">
              <w:rPr>
                <w:rFonts w:asciiTheme="minorHAnsi" w:hAnsiTheme="minorHAnsi"/>
                <w:lang w:val="en-GB"/>
              </w:rPr>
              <w:t xml:space="preserve"> data, and how to minimi</w:t>
            </w:r>
            <w:r w:rsidR="00987D43" w:rsidRPr="00836D59">
              <w:rPr>
                <w:rFonts w:asciiTheme="minorHAnsi" w:hAnsiTheme="minorHAnsi"/>
                <w:lang w:val="en-GB"/>
              </w:rPr>
              <w:t>z</w:t>
            </w:r>
            <w:r w:rsidRPr="00836D59">
              <w:rPr>
                <w:rFonts w:asciiTheme="minorHAnsi" w:hAnsiTheme="minorHAnsi"/>
                <w:lang w:val="en-GB"/>
              </w:rPr>
              <w:t>e and/or inform participants of these risks, particularly where they may potentially lead to harm</w:t>
            </w:r>
          </w:p>
          <w:p w14:paraId="366CFCB2" w14:textId="4011DC9C" w:rsidR="005F69C8" w:rsidRPr="00836D59" w:rsidRDefault="005F69C8" w:rsidP="00512054">
            <w:pPr>
              <w:spacing w:line="240" w:lineRule="auto"/>
              <w:rPr>
                <w:rFonts w:asciiTheme="minorHAnsi" w:hAnsiTheme="minorHAnsi"/>
                <w:lang w:val="en-GB"/>
              </w:rPr>
            </w:pPr>
            <w:r w:rsidRPr="00836D59">
              <w:rPr>
                <w:rFonts w:asciiTheme="minorHAnsi" w:hAnsiTheme="minorHAnsi"/>
                <w:lang w:val="en-GB"/>
              </w:rPr>
              <w:t xml:space="preserve">Copyright – </w:t>
            </w:r>
            <w:r w:rsidR="005504BB" w:rsidRPr="00836D59">
              <w:rPr>
                <w:rFonts w:asciiTheme="minorHAnsi" w:hAnsiTheme="minorHAnsi"/>
                <w:lang w:val="en-GB"/>
              </w:rPr>
              <w:t>c</w:t>
            </w:r>
            <w:r w:rsidRPr="00836D59">
              <w:rPr>
                <w:rFonts w:asciiTheme="minorHAnsi" w:hAnsiTheme="minorHAnsi"/>
                <w:lang w:val="en-GB"/>
              </w:rPr>
              <w:t>opyright issues and data ownership, and when permission should be sought to use potential data sources</w:t>
            </w:r>
          </w:p>
          <w:p w14:paraId="4700C9FA" w14:textId="76D35E3A" w:rsidR="005F69C8" w:rsidRPr="00836D59" w:rsidRDefault="005F69C8" w:rsidP="00512054">
            <w:pPr>
              <w:spacing w:line="240" w:lineRule="auto"/>
              <w:rPr>
                <w:rFonts w:asciiTheme="minorHAnsi" w:hAnsiTheme="minorHAnsi"/>
                <w:lang w:val="en-GB"/>
              </w:rPr>
            </w:pPr>
            <w:r w:rsidRPr="00836D59">
              <w:rPr>
                <w:rFonts w:asciiTheme="minorHAnsi" w:hAnsiTheme="minorHAnsi"/>
                <w:lang w:val="en-GB"/>
              </w:rPr>
              <w:t xml:space="preserve">Valid consent – </w:t>
            </w:r>
            <w:r w:rsidR="005504BB" w:rsidRPr="00836D59">
              <w:rPr>
                <w:rFonts w:asciiTheme="minorHAnsi" w:hAnsiTheme="minorHAnsi"/>
                <w:lang w:val="en-GB"/>
              </w:rPr>
              <w:t>h</w:t>
            </w:r>
            <w:r w:rsidRPr="00836D59">
              <w:rPr>
                <w:rFonts w:asciiTheme="minorHAnsi" w:hAnsiTheme="minorHAnsi"/>
                <w:lang w:val="en-GB"/>
              </w:rPr>
              <w:t>ow to implement robust, traceable valid consent procedures</w:t>
            </w:r>
          </w:p>
          <w:p w14:paraId="62FD8C1F" w14:textId="25D2D939" w:rsidR="005F69C8" w:rsidRPr="00836D59" w:rsidRDefault="005F69C8" w:rsidP="00512054">
            <w:pPr>
              <w:spacing w:line="240" w:lineRule="auto"/>
              <w:rPr>
                <w:rFonts w:asciiTheme="minorHAnsi" w:hAnsiTheme="minorHAnsi"/>
                <w:lang w:val="en-GB"/>
              </w:rPr>
            </w:pPr>
            <w:r w:rsidRPr="00836D59">
              <w:rPr>
                <w:rFonts w:asciiTheme="minorHAnsi" w:hAnsiTheme="minorHAnsi"/>
                <w:lang w:val="en-GB"/>
              </w:rPr>
              <w:t>Withdrawal – how to implement robust procedures which allow participants to act on their rights to withdraw data</w:t>
            </w:r>
          </w:p>
          <w:p w14:paraId="3B52FC32" w14:textId="5FB1E1DC" w:rsidR="005F69C8" w:rsidRPr="00836D59" w:rsidRDefault="005F69C8" w:rsidP="00512054">
            <w:pPr>
              <w:spacing w:line="240" w:lineRule="auto"/>
              <w:rPr>
                <w:rFonts w:asciiTheme="minorHAnsi" w:hAnsiTheme="minorHAnsi"/>
                <w:lang w:val="en-GB"/>
              </w:rPr>
            </w:pPr>
            <w:r w:rsidRPr="00836D59">
              <w:rPr>
                <w:rFonts w:asciiTheme="minorHAnsi" w:hAnsiTheme="minorHAnsi"/>
                <w:lang w:val="en-GB"/>
              </w:rPr>
              <w:t xml:space="preserve">Debriefing – </w:t>
            </w:r>
            <w:r w:rsidR="005504BB" w:rsidRPr="00836D59">
              <w:rPr>
                <w:rFonts w:asciiTheme="minorHAnsi" w:hAnsiTheme="minorHAnsi"/>
                <w:lang w:val="en-GB"/>
              </w:rPr>
              <w:t>h</w:t>
            </w:r>
            <w:r w:rsidRPr="00836D59">
              <w:rPr>
                <w:rFonts w:asciiTheme="minorHAnsi" w:hAnsiTheme="minorHAnsi"/>
                <w:lang w:val="en-GB"/>
              </w:rPr>
              <w:t>ow to implement robust procedures which maximi</w:t>
            </w:r>
            <w:r w:rsidR="00AF4A1F" w:rsidRPr="00836D59">
              <w:rPr>
                <w:rFonts w:asciiTheme="minorHAnsi" w:hAnsiTheme="minorHAnsi"/>
                <w:lang w:val="en-GB"/>
              </w:rPr>
              <w:t>z</w:t>
            </w:r>
            <w:r w:rsidRPr="00836D59">
              <w:rPr>
                <w:rFonts w:asciiTheme="minorHAnsi" w:hAnsiTheme="minorHAnsi"/>
                <w:lang w:val="en-GB"/>
              </w:rPr>
              <w:t>e the likelihood of participants receiving appropriate debrief information</w:t>
            </w:r>
          </w:p>
        </w:tc>
      </w:tr>
      <w:tr w:rsidR="005F69C8" w:rsidRPr="00836D59" w14:paraId="6435FBE5" w14:textId="77777777" w:rsidTr="004603BC">
        <w:tc>
          <w:tcPr>
            <w:tcW w:w="4508" w:type="dxa"/>
            <w:tcBorders>
              <w:right w:val="nil"/>
            </w:tcBorders>
          </w:tcPr>
          <w:p w14:paraId="504AC7D7" w14:textId="471989C7" w:rsidR="005F69C8" w:rsidRPr="00836D59" w:rsidRDefault="005F69C8" w:rsidP="00512054">
            <w:pPr>
              <w:spacing w:line="240" w:lineRule="auto"/>
              <w:rPr>
                <w:rFonts w:asciiTheme="minorHAnsi" w:hAnsiTheme="minorHAnsi"/>
                <w:lang w:val="en-GB"/>
              </w:rPr>
            </w:pPr>
            <w:r w:rsidRPr="00836D59">
              <w:rPr>
                <w:rFonts w:asciiTheme="minorHAnsi" w:hAnsiTheme="minorHAnsi"/>
                <w:lang w:val="en-GB"/>
              </w:rPr>
              <w:t>Scientific integrity</w:t>
            </w:r>
          </w:p>
        </w:tc>
        <w:tc>
          <w:tcPr>
            <w:tcW w:w="4508" w:type="dxa"/>
            <w:tcBorders>
              <w:left w:val="nil"/>
            </w:tcBorders>
          </w:tcPr>
          <w:p w14:paraId="5FE1603D" w14:textId="303C4BBF" w:rsidR="005F69C8" w:rsidRPr="00836D59" w:rsidRDefault="005F69C8" w:rsidP="00512054">
            <w:pPr>
              <w:spacing w:line="240" w:lineRule="auto"/>
              <w:rPr>
                <w:rFonts w:asciiTheme="minorHAnsi" w:hAnsiTheme="minorHAnsi"/>
                <w:lang w:val="en-GB"/>
              </w:rPr>
            </w:pPr>
            <w:r w:rsidRPr="00836D59">
              <w:rPr>
                <w:rFonts w:asciiTheme="minorHAnsi" w:hAnsiTheme="minorHAnsi"/>
                <w:lang w:val="en-GB"/>
              </w:rPr>
              <w:t xml:space="preserve">Levels of control – </w:t>
            </w:r>
            <w:r w:rsidR="005504BB" w:rsidRPr="00836D59">
              <w:rPr>
                <w:rFonts w:asciiTheme="minorHAnsi" w:hAnsiTheme="minorHAnsi"/>
                <w:lang w:val="en-GB"/>
              </w:rPr>
              <w:t>h</w:t>
            </w:r>
            <w:r w:rsidRPr="00836D59">
              <w:rPr>
                <w:rFonts w:asciiTheme="minorHAnsi" w:hAnsiTheme="minorHAnsi"/>
                <w:lang w:val="en-GB"/>
              </w:rPr>
              <w:t xml:space="preserve">ow reduced levels of control may </w:t>
            </w:r>
            <w:r w:rsidR="005504BB" w:rsidRPr="00836D59">
              <w:rPr>
                <w:rFonts w:asciiTheme="minorHAnsi" w:hAnsiTheme="minorHAnsi"/>
                <w:lang w:val="en-GB"/>
              </w:rPr>
              <w:t>affect</w:t>
            </w:r>
            <w:r w:rsidRPr="00836D59">
              <w:rPr>
                <w:rFonts w:asciiTheme="minorHAnsi" w:hAnsiTheme="minorHAnsi"/>
                <w:lang w:val="en-GB"/>
              </w:rPr>
              <w:t xml:space="preserve"> the scientific value of a study, and how best to maximi</w:t>
            </w:r>
            <w:r w:rsidR="00AF4A1F" w:rsidRPr="00836D59">
              <w:rPr>
                <w:rFonts w:asciiTheme="minorHAnsi" w:hAnsiTheme="minorHAnsi"/>
                <w:lang w:val="en-GB"/>
              </w:rPr>
              <w:t>z</w:t>
            </w:r>
            <w:r w:rsidRPr="00836D59">
              <w:rPr>
                <w:rFonts w:asciiTheme="minorHAnsi" w:hAnsiTheme="minorHAnsi"/>
                <w:lang w:val="en-GB"/>
              </w:rPr>
              <w:t>e levels of control where possible</w:t>
            </w:r>
          </w:p>
        </w:tc>
      </w:tr>
      <w:tr w:rsidR="005F69C8" w:rsidRPr="00836D59" w14:paraId="7E9B9280" w14:textId="77777777" w:rsidTr="004603BC">
        <w:tc>
          <w:tcPr>
            <w:tcW w:w="4508" w:type="dxa"/>
            <w:tcBorders>
              <w:right w:val="nil"/>
            </w:tcBorders>
          </w:tcPr>
          <w:p w14:paraId="060D6413" w14:textId="59960174" w:rsidR="005F69C8" w:rsidRPr="00836D59" w:rsidRDefault="001A5F0A" w:rsidP="00512054">
            <w:pPr>
              <w:spacing w:line="240" w:lineRule="auto"/>
              <w:rPr>
                <w:rFonts w:asciiTheme="minorHAnsi" w:hAnsiTheme="minorHAnsi"/>
                <w:lang w:val="en-GB"/>
              </w:rPr>
            </w:pPr>
            <w:r w:rsidRPr="00836D59">
              <w:rPr>
                <w:rFonts w:asciiTheme="minorHAnsi" w:hAnsiTheme="minorHAnsi"/>
                <w:lang w:val="en-GB"/>
              </w:rPr>
              <w:t>Social responsibility</w:t>
            </w:r>
          </w:p>
        </w:tc>
        <w:tc>
          <w:tcPr>
            <w:tcW w:w="4508" w:type="dxa"/>
            <w:tcBorders>
              <w:left w:val="nil"/>
            </w:tcBorders>
          </w:tcPr>
          <w:p w14:paraId="4AC4E540" w14:textId="1432B502" w:rsidR="005F69C8" w:rsidRPr="00836D59" w:rsidRDefault="001A5F0A" w:rsidP="00512054">
            <w:pPr>
              <w:spacing w:line="240" w:lineRule="auto"/>
              <w:rPr>
                <w:rFonts w:asciiTheme="minorHAnsi" w:hAnsiTheme="minorHAnsi"/>
                <w:lang w:val="en-GB"/>
              </w:rPr>
            </w:pPr>
            <w:r w:rsidRPr="00836D59">
              <w:rPr>
                <w:rFonts w:asciiTheme="minorHAnsi" w:hAnsiTheme="minorHAnsi"/>
                <w:lang w:val="en-GB"/>
              </w:rPr>
              <w:t xml:space="preserve">Disruption of social structures – </w:t>
            </w:r>
            <w:r w:rsidR="005504BB" w:rsidRPr="00836D59">
              <w:rPr>
                <w:rFonts w:asciiTheme="minorHAnsi" w:hAnsiTheme="minorHAnsi"/>
                <w:lang w:val="en-GB"/>
              </w:rPr>
              <w:t>t</w:t>
            </w:r>
            <w:r w:rsidRPr="00836D59">
              <w:rPr>
                <w:rFonts w:asciiTheme="minorHAnsi" w:hAnsiTheme="minorHAnsi"/>
                <w:lang w:val="en-GB"/>
              </w:rPr>
              <w:t>he extent to which proposed research study procedures and dissemination might disrupt/ harm social groups</w:t>
            </w:r>
          </w:p>
        </w:tc>
      </w:tr>
      <w:tr w:rsidR="00197300" w:rsidRPr="00836D59" w14:paraId="53064EE1" w14:textId="77777777" w:rsidTr="004603BC">
        <w:tc>
          <w:tcPr>
            <w:tcW w:w="4508" w:type="dxa"/>
            <w:tcBorders>
              <w:right w:val="nil"/>
            </w:tcBorders>
          </w:tcPr>
          <w:p w14:paraId="524BF20B" w14:textId="331C3B1E" w:rsidR="00197300" w:rsidRPr="00836D59" w:rsidRDefault="00197300" w:rsidP="00512054">
            <w:pPr>
              <w:spacing w:line="240" w:lineRule="auto"/>
              <w:rPr>
                <w:rFonts w:asciiTheme="minorHAnsi" w:hAnsiTheme="minorHAnsi"/>
                <w:lang w:val="en-GB"/>
              </w:rPr>
            </w:pPr>
            <w:r w:rsidRPr="00836D59">
              <w:rPr>
                <w:rFonts w:asciiTheme="minorHAnsi" w:hAnsiTheme="minorHAnsi"/>
                <w:lang w:val="en-GB"/>
              </w:rPr>
              <w:t>Maximi</w:t>
            </w:r>
            <w:r w:rsidR="00AF4A1F" w:rsidRPr="00836D59">
              <w:rPr>
                <w:rFonts w:asciiTheme="minorHAnsi" w:hAnsiTheme="minorHAnsi"/>
                <w:lang w:val="en-GB"/>
              </w:rPr>
              <w:t>z</w:t>
            </w:r>
            <w:r w:rsidRPr="00836D59">
              <w:rPr>
                <w:rFonts w:asciiTheme="minorHAnsi" w:hAnsiTheme="minorHAnsi"/>
                <w:lang w:val="en-GB"/>
              </w:rPr>
              <w:t>ing benefits and minimi</w:t>
            </w:r>
            <w:r w:rsidR="00AF4A1F" w:rsidRPr="00836D59">
              <w:rPr>
                <w:rFonts w:asciiTheme="minorHAnsi" w:hAnsiTheme="minorHAnsi"/>
                <w:lang w:val="en-GB"/>
              </w:rPr>
              <w:t>z</w:t>
            </w:r>
            <w:r w:rsidRPr="00836D59">
              <w:rPr>
                <w:rFonts w:asciiTheme="minorHAnsi" w:hAnsiTheme="minorHAnsi"/>
                <w:lang w:val="en-GB"/>
              </w:rPr>
              <w:t>ing harm</w:t>
            </w:r>
          </w:p>
        </w:tc>
        <w:tc>
          <w:tcPr>
            <w:tcW w:w="4508" w:type="dxa"/>
            <w:tcBorders>
              <w:left w:val="nil"/>
            </w:tcBorders>
          </w:tcPr>
          <w:p w14:paraId="77585252" w14:textId="1A16B166" w:rsidR="00197300" w:rsidRPr="00836D59" w:rsidRDefault="00197300" w:rsidP="00512054">
            <w:pPr>
              <w:spacing w:line="240" w:lineRule="auto"/>
              <w:rPr>
                <w:rFonts w:asciiTheme="minorHAnsi" w:hAnsiTheme="minorHAnsi"/>
                <w:lang w:val="en-GB"/>
              </w:rPr>
            </w:pPr>
            <w:r w:rsidRPr="00836D59">
              <w:rPr>
                <w:rFonts w:asciiTheme="minorHAnsi" w:hAnsiTheme="minorHAnsi"/>
                <w:lang w:val="en-GB"/>
              </w:rPr>
              <w:t>Maximi</w:t>
            </w:r>
            <w:r w:rsidR="00AF4A1F" w:rsidRPr="00836D59">
              <w:rPr>
                <w:rFonts w:asciiTheme="minorHAnsi" w:hAnsiTheme="minorHAnsi"/>
                <w:lang w:val="en-GB"/>
              </w:rPr>
              <w:t>z</w:t>
            </w:r>
            <w:r w:rsidRPr="00836D59">
              <w:rPr>
                <w:rFonts w:asciiTheme="minorHAnsi" w:hAnsiTheme="minorHAnsi"/>
                <w:lang w:val="en-GB"/>
              </w:rPr>
              <w:t xml:space="preserve">ing benefits – </w:t>
            </w:r>
            <w:r w:rsidR="005504BB" w:rsidRPr="00836D59">
              <w:rPr>
                <w:rFonts w:asciiTheme="minorHAnsi" w:hAnsiTheme="minorHAnsi"/>
                <w:lang w:val="en-GB"/>
              </w:rPr>
              <w:t>h</w:t>
            </w:r>
            <w:r w:rsidRPr="00836D59">
              <w:rPr>
                <w:rFonts w:asciiTheme="minorHAnsi" w:hAnsiTheme="minorHAnsi"/>
                <w:lang w:val="en-GB"/>
              </w:rPr>
              <w:t>ow each of the issues mentioned above might act to reduce the benefits of a piece of research, and the best procedures for maximi</w:t>
            </w:r>
            <w:r w:rsidR="00AF4A1F" w:rsidRPr="00836D59">
              <w:rPr>
                <w:rFonts w:asciiTheme="minorHAnsi" w:hAnsiTheme="minorHAnsi"/>
                <w:lang w:val="en-GB"/>
              </w:rPr>
              <w:t>z</w:t>
            </w:r>
            <w:r w:rsidRPr="00836D59">
              <w:rPr>
                <w:rFonts w:asciiTheme="minorHAnsi" w:hAnsiTheme="minorHAnsi"/>
                <w:lang w:val="en-GB"/>
              </w:rPr>
              <w:t xml:space="preserve">ing </w:t>
            </w:r>
            <w:r w:rsidR="00A93B94" w:rsidRPr="00836D59">
              <w:rPr>
                <w:rFonts w:asciiTheme="minorHAnsi" w:hAnsiTheme="minorHAnsi"/>
                <w:lang w:val="en-GB"/>
              </w:rPr>
              <w:t xml:space="preserve">benefits </w:t>
            </w:r>
          </w:p>
          <w:p w14:paraId="46916617" w14:textId="1F8D6B2D" w:rsidR="00197300" w:rsidRPr="00836D59" w:rsidRDefault="00197300" w:rsidP="00512054">
            <w:pPr>
              <w:spacing w:line="240" w:lineRule="auto"/>
              <w:rPr>
                <w:rFonts w:asciiTheme="minorHAnsi" w:hAnsiTheme="minorHAnsi"/>
                <w:lang w:val="en-GB"/>
              </w:rPr>
            </w:pPr>
            <w:r w:rsidRPr="00836D59">
              <w:rPr>
                <w:rFonts w:asciiTheme="minorHAnsi" w:hAnsiTheme="minorHAnsi"/>
                <w:lang w:val="en-GB"/>
              </w:rPr>
              <w:t>Minimi</w:t>
            </w:r>
            <w:r w:rsidR="00AF4A1F" w:rsidRPr="00836D59">
              <w:rPr>
                <w:rFonts w:asciiTheme="minorHAnsi" w:hAnsiTheme="minorHAnsi"/>
                <w:lang w:val="en-GB"/>
              </w:rPr>
              <w:t>z</w:t>
            </w:r>
            <w:r w:rsidRPr="00836D59">
              <w:rPr>
                <w:rFonts w:asciiTheme="minorHAnsi" w:hAnsiTheme="minorHAnsi"/>
                <w:lang w:val="en-GB"/>
              </w:rPr>
              <w:t xml:space="preserve">ing harm – </w:t>
            </w:r>
            <w:r w:rsidR="005504BB" w:rsidRPr="00836D59">
              <w:rPr>
                <w:rFonts w:asciiTheme="minorHAnsi" w:hAnsiTheme="minorHAnsi"/>
                <w:lang w:val="en-GB"/>
              </w:rPr>
              <w:t>h</w:t>
            </w:r>
            <w:r w:rsidRPr="00836D59">
              <w:rPr>
                <w:rFonts w:asciiTheme="minorHAnsi" w:hAnsiTheme="minorHAnsi"/>
                <w:lang w:val="en-GB"/>
              </w:rPr>
              <w:t>ow each of the issues mentioned above might lead to potential harm, and the best procedures for minimi</w:t>
            </w:r>
            <w:r w:rsidR="005504BB" w:rsidRPr="00836D59">
              <w:rPr>
                <w:rFonts w:asciiTheme="minorHAnsi" w:hAnsiTheme="minorHAnsi"/>
                <w:lang w:val="en-GB"/>
              </w:rPr>
              <w:t>z</w:t>
            </w:r>
            <w:r w:rsidRPr="00836D59">
              <w:rPr>
                <w:rFonts w:asciiTheme="minorHAnsi" w:hAnsiTheme="minorHAnsi"/>
                <w:lang w:val="en-GB"/>
              </w:rPr>
              <w:t xml:space="preserve">ing </w:t>
            </w:r>
            <w:r w:rsidR="004E00AC" w:rsidRPr="00836D59">
              <w:rPr>
                <w:rFonts w:asciiTheme="minorHAnsi" w:hAnsiTheme="minorHAnsi"/>
                <w:lang w:val="en-GB"/>
              </w:rPr>
              <w:t>it</w:t>
            </w:r>
          </w:p>
        </w:tc>
      </w:tr>
    </w:tbl>
    <w:p w14:paraId="0E0E86DB" w14:textId="0F557158" w:rsidR="00461C05" w:rsidRPr="00836D59" w:rsidRDefault="008468DA" w:rsidP="00836D59">
      <w:pPr>
        <w:spacing w:line="360" w:lineRule="auto"/>
        <w:rPr>
          <w:rFonts w:asciiTheme="minorHAnsi" w:hAnsiTheme="minorHAnsi"/>
          <w:lang w:val="en-GB"/>
        </w:rPr>
      </w:pPr>
      <w:r w:rsidRPr="00836D59">
        <w:rPr>
          <w:rFonts w:asciiTheme="minorHAnsi" w:hAnsiTheme="minorHAnsi"/>
          <w:i/>
          <w:sz w:val="20"/>
          <w:szCs w:val="20"/>
          <w:lang w:val="en-GB"/>
        </w:rPr>
        <w:t>Source</w:t>
      </w:r>
      <w:r w:rsidRPr="00836D59">
        <w:rPr>
          <w:rFonts w:asciiTheme="minorHAnsi" w:hAnsiTheme="minorHAnsi"/>
          <w:sz w:val="20"/>
          <w:szCs w:val="20"/>
          <w:lang w:val="en-GB"/>
        </w:rPr>
        <w:t xml:space="preserve">: British Psychological Society </w:t>
      </w:r>
      <w:r w:rsidRPr="00836D59">
        <w:rPr>
          <w:rFonts w:asciiTheme="minorHAnsi" w:hAnsiTheme="minorHAnsi"/>
          <w:i/>
          <w:sz w:val="20"/>
          <w:szCs w:val="20"/>
          <w:lang w:val="en-GB"/>
        </w:rPr>
        <w:t>(12).</w:t>
      </w:r>
    </w:p>
    <w:p w14:paraId="16B53D12" w14:textId="77777777" w:rsidR="00512054" w:rsidRDefault="00512054" w:rsidP="00836D59">
      <w:pPr>
        <w:spacing w:line="360" w:lineRule="auto"/>
        <w:rPr>
          <w:rFonts w:asciiTheme="minorHAnsi" w:hAnsiTheme="minorHAnsi"/>
          <w:lang w:val="en-GB"/>
        </w:rPr>
      </w:pPr>
    </w:p>
    <w:p w14:paraId="27417F16" w14:textId="16D1DD08" w:rsidR="00512054" w:rsidRPr="00836D59" w:rsidRDefault="00434A22" w:rsidP="00836D59">
      <w:pPr>
        <w:spacing w:line="360" w:lineRule="auto"/>
        <w:rPr>
          <w:rFonts w:asciiTheme="minorHAnsi" w:hAnsiTheme="minorHAnsi"/>
          <w:lang w:val="en-GB"/>
        </w:rPr>
      </w:pPr>
      <w:r w:rsidRPr="00836D59">
        <w:rPr>
          <w:rFonts w:asciiTheme="minorHAnsi" w:hAnsiTheme="minorHAnsi"/>
          <w:lang w:val="en-GB"/>
        </w:rPr>
        <w:t xml:space="preserve">It is important to bear in mind that </w:t>
      </w:r>
      <w:r w:rsidR="007D546F" w:rsidRPr="00836D59">
        <w:rPr>
          <w:rFonts w:asciiTheme="minorHAnsi" w:hAnsiTheme="minorHAnsi"/>
          <w:lang w:val="en-GB"/>
        </w:rPr>
        <w:t xml:space="preserve">despite the stringent privacy protections of the GDPR, </w:t>
      </w:r>
      <w:r w:rsidRPr="00836D59">
        <w:rPr>
          <w:rFonts w:asciiTheme="minorHAnsi" w:hAnsiTheme="minorHAnsi"/>
          <w:lang w:val="en-GB"/>
        </w:rPr>
        <w:t>research participants</w:t>
      </w:r>
      <w:r w:rsidR="00624F81" w:rsidRPr="00836D59">
        <w:rPr>
          <w:rFonts w:asciiTheme="minorHAnsi" w:hAnsiTheme="minorHAnsi"/>
          <w:lang w:val="en-GB"/>
        </w:rPr>
        <w:t>’</w:t>
      </w:r>
      <w:r w:rsidRPr="00836D59">
        <w:rPr>
          <w:rFonts w:asciiTheme="minorHAnsi" w:hAnsiTheme="minorHAnsi"/>
          <w:lang w:val="en-GB"/>
        </w:rPr>
        <w:t xml:space="preserve"> rights are not absolute – they are balanced with the risks and benefits of proposed research studies, requiring qualitative judgements to be made, in an ongoing process</w:t>
      </w:r>
      <w:r w:rsidR="00461C05" w:rsidRPr="00836D59">
        <w:rPr>
          <w:rFonts w:asciiTheme="minorHAnsi" w:hAnsiTheme="minorHAnsi"/>
          <w:lang w:val="en-GB"/>
        </w:rPr>
        <w:t xml:space="preserve">. Thus, ethics should not be addressed as a </w:t>
      </w:r>
      <w:r w:rsidR="00AF4A1F" w:rsidRPr="00836D59">
        <w:rPr>
          <w:rFonts w:asciiTheme="minorHAnsi" w:hAnsiTheme="minorHAnsi"/>
          <w:lang w:val="en-GB"/>
        </w:rPr>
        <w:t>“</w:t>
      </w:r>
      <w:r w:rsidR="00461C05" w:rsidRPr="00836D59">
        <w:rPr>
          <w:rFonts w:asciiTheme="minorHAnsi" w:hAnsiTheme="minorHAnsi"/>
          <w:lang w:val="en-GB"/>
        </w:rPr>
        <w:t>regulatory hurdle</w:t>
      </w:r>
      <w:r w:rsidR="00AF4A1F" w:rsidRPr="00836D59">
        <w:rPr>
          <w:rFonts w:asciiTheme="minorHAnsi" w:hAnsiTheme="minorHAnsi"/>
          <w:lang w:val="en-GB"/>
        </w:rPr>
        <w:t>”</w:t>
      </w:r>
      <w:r w:rsidR="004E00AC" w:rsidRPr="00836D59">
        <w:rPr>
          <w:rFonts w:asciiTheme="minorHAnsi" w:hAnsiTheme="minorHAnsi"/>
          <w:lang w:val="en-GB"/>
        </w:rPr>
        <w:t>;</w:t>
      </w:r>
      <w:r w:rsidR="00461C05" w:rsidRPr="00836D59">
        <w:rPr>
          <w:rFonts w:asciiTheme="minorHAnsi" w:hAnsiTheme="minorHAnsi"/>
          <w:lang w:val="en-GB"/>
        </w:rPr>
        <w:t xml:space="preserve"> rather, ethical </w:t>
      </w:r>
      <w:r w:rsidR="00C46C63" w:rsidRPr="00836D59">
        <w:rPr>
          <w:rFonts w:asciiTheme="minorHAnsi" w:hAnsiTheme="minorHAnsi"/>
          <w:lang w:val="en-GB"/>
        </w:rPr>
        <w:t>e</w:t>
      </w:r>
      <w:r w:rsidR="00461C05" w:rsidRPr="00836D59">
        <w:rPr>
          <w:rFonts w:asciiTheme="minorHAnsi" w:hAnsiTheme="minorHAnsi"/>
          <w:lang w:val="en-GB"/>
        </w:rPr>
        <w:t>nquiry requires</w:t>
      </w:r>
      <w:r w:rsidR="00D44F9C" w:rsidRPr="00836D59">
        <w:rPr>
          <w:rFonts w:asciiTheme="minorHAnsi" w:hAnsiTheme="minorHAnsi"/>
          <w:lang w:val="en-GB"/>
        </w:rPr>
        <w:t xml:space="preserve"> ongoing deliberation</w:t>
      </w:r>
      <w:r w:rsidR="00461C05" w:rsidRPr="00836D59">
        <w:rPr>
          <w:rFonts w:asciiTheme="minorHAnsi" w:hAnsiTheme="minorHAnsi"/>
          <w:lang w:val="en-GB"/>
        </w:rPr>
        <w:t xml:space="preserve"> </w:t>
      </w:r>
      <w:r w:rsidR="00461C05" w:rsidRPr="00836D59">
        <w:rPr>
          <w:rFonts w:asciiTheme="minorHAnsi" w:hAnsiTheme="minorHAnsi"/>
          <w:i/>
          <w:lang w:val="en-GB"/>
        </w:rPr>
        <w:t>(</w:t>
      </w:r>
      <w:r w:rsidR="007B2FF5" w:rsidRPr="00836D59">
        <w:rPr>
          <w:rFonts w:asciiTheme="minorHAnsi" w:hAnsiTheme="minorHAnsi"/>
          <w:i/>
          <w:lang w:val="en-GB"/>
        </w:rPr>
        <w:t>9)</w:t>
      </w:r>
      <w:r w:rsidR="007B2FF5" w:rsidRPr="00836D59">
        <w:rPr>
          <w:rFonts w:asciiTheme="minorHAnsi" w:hAnsiTheme="minorHAnsi"/>
          <w:lang w:val="en-GB"/>
        </w:rPr>
        <w:t xml:space="preserve">. </w:t>
      </w:r>
    </w:p>
    <w:p w14:paraId="41F4995B" w14:textId="0C19432B" w:rsidR="00512054" w:rsidRDefault="007B2FF5" w:rsidP="00836D59">
      <w:pPr>
        <w:spacing w:line="360" w:lineRule="auto"/>
        <w:rPr>
          <w:rFonts w:asciiTheme="minorHAnsi" w:hAnsiTheme="minorHAnsi"/>
          <w:lang w:val="en-GB"/>
        </w:rPr>
      </w:pPr>
      <w:r w:rsidRPr="00836D59">
        <w:rPr>
          <w:rFonts w:asciiTheme="minorHAnsi" w:hAnsiTheme="minorHAnsi"/>
          <w:lang w:val="en-GB"/>
        </w:rPr>
        <w:t>Key f</w:t>
      </w:r>
      <w:r w:rsidR="00461C05" w:rsidRPr="00836D59">
        <w:rPr>
          <w:rFonts w:asciiTheme="minorHAnsi" w:hAnsiTheme="minorHAnsi"/>
          <w:lang w:val="en-GB"/>
        </w:rPr>
        <w:t>actors to consider</w:t>
      </w:r>
      <w:r w:rsidR="009B5D39" w:rsidRPr="00836D59">
        <w:rPr>
          <w:rFonts w:asciiTheme="minorHAnsi" w:hAnsiTheme="minorHAnsi"/>
          <w:lang w:val="en-GB"/>
        </w:rPr>
        <w:t xml:space="preserve"> regarding this process and </w:t>
      </w:r>
      <w:r w:rsidR="004E00AC" w:rsidRPr="00836D59">
        <w:rPr>
          <w:rFonts w:asciiTheme="minorHAnsi" w:hAnsiTheme="minorHAnsi"/>
          <w:lang w:val="en-GB"/>
        </w:rPr>
        <w:t xml:space="preserve">the </w:t>
      </w:r>
      <w:r w:rsidR="009B5D39" w:rsidRPr="00836D59">
        <w:rPr>
          <w:rFonts w:asciiTheme="minorHAnsi" w:hAnsiTheme="minorHAnsi"/>
          <w:lang w:val="en-GB"/>
        </w:rPr>
        <w:t>case-by-case approach to ethics governance</w:t>
      </w:r>
      <w:r w:rsidR="00461C05" w:rsidRPr="00836D59">
        <w:rPr>
          <w:rFonts w:asciiTheme="minorHAnsi" w:hAnsiTheme="minorHAnsi"/>
          <w:lang w:val="en-GB"/>
        </w:rPr>
        <w:t xml:space="preserve">, </w:t>
      </w:r>
      <w:r w:rsidR="009B5D39" w:rsidRPr="00836D59">
        <w:rPr>
          <w:rFonts w:asciiTheme="minorHAnsi" w:hAnsiTheme="minorHAnsi"/>
          <w:lang w:val="en-GB"/>
        </w:rPr>
        <w:t>summari</w:t>
      </w:r>
      <w:r w:rsidR="00AF4A1F" w:rsidRPr="00836D59">
        <w:rPr>
          <w:rFonts w:asciiTheme="minorHAnsi" w:hAnsiTheme="minorHAnsi"/>
          <w:lang w:val="en-GB"/>
        </w:rPr>
        <w:t>z</w:t>
      </w:r>
      <w:r w:rsidR="009B5D39" w:rsidRPr="00836D59">
        <w:rPr>
          <w:rFonts w:asciiTheme="minorHAnsi" w:hAnsiTheme="minorHAnsi"/>
          <w:lang w:val="en-GB"/>
        </w:rPr>
        <w:t xml:space="preserve">ed </w:t>
      </w:r>
      <w:r w:rsidR="00461C05" w:rsidRPr="00836D59">
        <w:rPr>
          <w:rFonts w:asciiTheme="minorHAnsi" w:hAnsiTheme="minorHAnsi"/>
          <w:lang w:val="en-GB"/>
        </w:rPr>
        <w:t>from the AoIR</w:t>
      </w:r>
      <w:r w:rsidR="004E00AC" w:rsidRPr="00836D59">
        <w:rPr>
          <w:rFonts w:asciiTheme="minorHAnsi" w:hAnsiTheme="minorHAnsi"/>
          <w:lang w:val="en-GB"/>
        </w:rPr>
        <w:t xml:space="preserve"> guidelines</w:t>
      </w:r>
      <w:r w:rsidR="00461C05" w:rsidRPr="00836D59">
        <w:rPr>
          <w:rFonts w:asciiTheme="minorHAnsi" w:hAnsiTheme="minorHAnsi"/>
          <w:lang w:val="en-GB"/>
        </w:rPr>
        <w:t xml:space="preserve">, are presented in </w:t>
      </w:r>
      <w:r w:rsidR="002E3290" w:rsidRPr="00836D59">
        <w:rPr>
          <w:rFonts w:asciiTheme="minorHAnsi" w:hAnsiTheme="minorHAnsi"/>
          <w:lang w:val="en-GB"/>
        </w:rPr>
        <w:t>Table 3</w:t>
      </w:r>
      <w:r w:rsidR="00434A22" w:rsidRPr="00836D59">
        <w:rPr>
          <w:rFonts w:asciiTheme="minorHAnsi" w:hAnsiTheme="minorHAnsi"/>
          <w:lang w:val="en-GB"/>
        </w:rPr>
        <w:t xml:space="preserve">. </w:t>
      </w:r>
      <w:r w:rsidR="009A6147" w:rsidRPr="00836D59">
        <w:rPr>
          <w:rFonts w:asciiTheme="minorHAnsi" w:hAnsiTheme="minorHAnsi"/>
          <w:lang w:val="en-GB"/>
        </w:rPr>
        <w:t xml:space="preserve">Again, this short commentary does not allow further </w:t>
      </w:r>
      <w:r w:rsidR="004E00AC" w:rsidRPr="00836D59">
        <w:rPr>
          <w:rFonts w:asciiTheme="minorHAnsi" w:hAnsiTheme="minorHAnsi"/>
          <w:lang w:val="en-GB"/>
        </w:rPr>
        <w:t xml:space="preserve">expansion </w:t>
      </w:r>
      <w:r w:rsidR="009A6147" w:rsidRPr="00836D59">
        <w:rPr>
          <w:rFonts w:asciiTheme="minorHAnsi" w:hAnsiTheme="minorHAnsi"/>
          <w:lang w:val="en-GB"/>
        </w:rPr>
        <w:t xml:space="preserve">on these, but the interested reader is referred to the background discussion in the AoIR guidelines </w:t>
      </w:r>
      <w:r w:rsidR="009A6147" w:rsidRPr="00836D59">
        <w:rPr>
          <w:rFonts w:asciiTheme="minorHAnsi" w:hAnsiTheme="minorHAnsi"/>
          <w:i/>
          <w:lang w:val="en-GB"/>
        </w:rPr>
        <w:t>(9)</w:t>
      </w:r>
      <w:r w:rsidR="009A6147" w:rsidRPr="00836D59">
        <w:rPr>
          <w:rFonts w:asciiTheme="minorHAnsi" w:hAnsiTheme="minorHAnsi"/>
          <w:lang w:val="en-GB"/>
        </w:rPr>
        <w:t>.</w:t>
      </w:r>
    </w:p>
    <w:p w14:paraId="799E4B6D" w14:textId="77777777" w:rsidR="004603BC" w:rsidRPr="00836D59" w:rsidRDefault="004603BC" w:rsidP="00836D59">
      <w:pPr>
        <w:spacing w:line="360" w:lineRule="auto"/>
        <w:rPr>
          <w:rFonts w:asciiTheme="minorHAnsi" w:hAnsiTheme="minorHAnsi"/>
          <w:lang w:val="en-GB"/>
        </w:rPr>
      </w:pPr>
    </w:p>
    <w:p w14:paraId="03E2E08E" w14:textId="75AD1DA3" w:rsidR="00434A22" w:rsidRPr="00836D59" w:rsidRDefault="0050762A" w:rsidP="00836D59">
      <w:pPr>
        <w:pStyle w:val="Caption"/>
        <w:spacing w:line="360" w:lineRule="auto"/>
        <w:rPr>
          <w:rFonts w:asciiTheme="minorHAnsi" w:hAnsiTheme="minorHAnsi"/>
        </w:rPr>
      </w:pPr>
      <w:r w:rsidRPr="00836D59">
        <w:rPr>
          <w:rFonts w:asciiTheme="minorHAnsi" w:hAnsiTheme="minorHAnsi"/>
        </w:rPr>
        <w:t>Table 3</w:t>
      </w:r>
      <w:r w:rsidR="00DD2B75" w:rsidRPr="00836D59">
        <w:rPr>
          <w:rFonts w:asciiTheme="minorHAnsi" w:hAnsiTheme="minorHAnsi"/>
        </w:rPr>
        <w:t>.</w:t>
      </w:r>
      <w:r w:rsidRPr="00836D59">
        <w:rPr>
          <w:rFonts w:asciiTheme="minorHAnsi" w:hAnsiTheme="minorHAnsi"/>
        </w:rPr>
        <w:t xml:space="preserve"> K</w:t>
      </w:r>
      <w:r w:rsidR="00434A22" w:rsidRPr="00836D59">
        <w:rPr>
          <w:rFonts w:asciiTheme="minorHAnsi" w:hAnsiTheme="minorHAnsi"/>
        </w:rPr>
        <w:t xml:space="preserve">ey factors to consider, drawn from </w:t>
      </w:r>
      <w:r w:rsidR="00DD2B75" w:rsidRPr="00836D59">
        <w:rPr>
          <w:rFonts w:asciiTheme="minorHAnsi" w:hAnsiTheme="minorHAnsi"/>
        </w:rPr>
        <w:t xml:space="preserve">the </w:t>
      </w:r>
      <w:r w:rsidR="00B756AA" w:rsidRPr="00836D59">
        <w:rPr>
          <w:rFonts w:asciiTheme="minorHAnsi" w:hAnsiTheme="minorHAnsi"/>
        </w:rPr>
        <w:t>AoIR</w:t>
      </w:r>
      <w:r w:rsidR="00DD2B75" w:rsidRPr="00836D59">
        <w:rPr>
          <w:rFonts w:asciiTheme="minorHAnsi" w:hAnsiTheme="minorHAnsi"/>
        </w:rPr>
        <w:t xml:space="preserve"> guidelines</w:t>
      </w:r>
      <w:r w:rsidR="00B756AA" w:rsidRPr="00836D59" w:rsidDel="00B756AA">
        <w:rPr>
          <w:rFonts w:asciiTheme="minorHAnsi" w:hAnsiTheme="minorHAnsi"/>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789"/>
        <w:gridCol w:w="6237"/>
      </w:tblGrid>
      <w:tr w:rsidR="002119A8" w:rsidRPr="00836D59" w14:paraId="7E223F9F" w14:textId="77777777" w:rsidTr="004603BC">
        <w:trPr>
          <w:trHeight w:val="548"/>
        </w:trPr>
        <w:tc>
          <w:tcPr>
            <w:tcW w:w="2808" w:type="dxa"/>
            <w:tcBorders>
              <w:right w:val="nil"/>
            </w:tcBorders>
          </w:tcPr>
          <w:p w14:paraId="03ACCC2D" w14:textId="7C4255C0" w:rsidR="002119A8" w:rsidRPr="00836D59" w:rsidDel="008468DA" w:rsidRDefault="002119A8" w:rsidP="00512054">
            <w:pPr>
              <w:spacing w:line="240" w:lineRule="auto"/>
              <w:jc w:val="center"/>
              <w:rPr>
                <w:rFonts w:asciiTheme="minorHAnsi" w:hAnsiTheme="minorHAnsi"/>
                <w:b/>
                <w:lang w:val="en-GB"/>
              </w:rPr>
            </w:pPr>
            <w:r w:rsidRPr="00836D59">
              <w:rPr>
                <w:rFonts w:asciiTheme="minorHAnsi" w:hAnsiTheme="minorHAnsi"/>
                <w:b/>
                <w:lang w:val="en-GB"/>
              </w:rPr>
              <w:t>Factor</w:t>
            </w:r>
          </w:p>
        </w:tc>
        <w:tc>
          <w:tcPr>
            <w:tcW w:w="6300" w:type="dxa"/>
            <w:tcBorders>
              <w:left w:val="nil"/>
            </w:tcBorders>
          </w:tcPr>
          <w:p w14:paraId="17219372" w14:textId="0D56FA04" w:rsidR="002119A8" w:rsidRPr="00836D59" w:rsidDel="008468DA" w:rsidRDefault="00C91C47" w:rsidP="00512054">
            <w:pPr>
              <w:spacing w:line="240" w:lineRule="auto"/>
              <w:jc w:val="center"/>
              <w:rPr>
                <w:rFonts w:asciiTheme="minorHAnsi" w:hAnsiTheme="minorHAnsi"/>
                <w:b/>
                <w:lang w:val="en-GB"/>
              </w:rPr>
            </w:pPr>
            <w:r w:rsidRPr="00836D59">
              <w:rPr>
                <w:rFonts w:asciiTheme="minorHAnsi" w:hAnsiTheme="minorHAnsi"/>
                <w:b/>
                <w:lang w:val="en-GB"/>
              </w:rPr>
              <w:t>Considerations</w:t>
            </w:r>
          </w:p>
        </w:tc>
      </w:tr>
      <w:tr w:rsidR="004E00AC" w:rsidRPr="00836D59" w14:paraId="02B967B4" w14:textId="77777777" w:rsidTr="004603BC">
        <w:trPr>
          <w:trHeight w:val="1408"/>
        </w:trPr>
        <w:tc>
          <w:tcPr>
            <w:tcW w:w="2808" w:type="dxa"/>
            <w:tcBorders>
              <w:right w:val="nil"/>
            </w:tcBorders>
          </w:tcPr>
          <w:p w14:paraId="4DE5185F" w14:textId="5DA818ED" w:rsidR="004E00AC" w:rsidRPr="00836D59" w:rsidRDefault="00207A16" w:rsidP="00512054">
            <w:pPr>
              <w:spacing w:line="240" w:lineRule="auto"/>
              <w:rPr>
                <w:rFonts w:asciiTheme="minorHAnsi" w:hAnsiTheme="minorHAnsi"/>
                <w:lang w:val="en-GB"/>
              </w:rPr>
            </w:pPr>
            <w:r w:rsidRPr="00836D59">
              <w:rPr>
                <w:rFonts w:asciiTheme="minorHAnsi" w:hAnsiTheme="minorHAnsi"/>
                <w:lang w:val="en-GB"/>
              </w:rPr>
              <w:t>Consult and deliberate</w:t>
            </w:r>
          </w:p>
          <w:p w14:paraId="08C9998B" w14:textId="603A01C5" w:rsidR="004E00AC" w:rsidRPr="00836D59" w:rsidRDefault="004E00AC" w:rsidP="00512054">
            <w:pPr>
              <w:spacing w:line="240" w:lineRule="auto"/>
              <w:rPr>
                <w:rFonts w:asciiTheme="minorHAnsi" w:hAnsiTheme="minorHAnsi"/>
                <w:lang w:val="en-GB"/>
              </w:rPr>
            </w:pPr>
          </w:p>
        </w:tc>
        <w:tc>
          <w:tcPr>
            <w:tcW w:w="6300" w:type="dxa"/>
            <w:tcBorders>
              <w:left w:val="nil"/>
            </w:tcBorders>
          </w:tcPr>
          <w:p w14:paraId="625219EC" w14:textId="342A1751" w:rsidR="004E00AC" w:rsidRPr="00836D59" w:rsidRDefault="002119A8" w:rsidP="00512054">
            <w:pPr>
              <w:spacing w:line="240" w:lineRule="auto"/>
              <w:rPr>
                <w:rFonts w:asciiTheme="minorHAnsi" w:hAnsiTheme="minorHAnsi"/>
                <w:i/>
                <w:sz w:val="20"/>
                <w:szCs w:val="20"/>
                <w:lang w:val="en-GB"/>
              </w:rPr>
            </w:pPr>
            <w:r w:rsidRPr="00836D59">
              <w:rPr>
                <w:rFonts w:asciiTheme="minorHAnsi" w:hAnsiTheme="minorHAnsi"/>
                <w:lang w:val="en-GB"/>
              </w:rPr>
              <w:t>Ethical decision-making is a deliberative process. Researchers should consult widely, including researchers, people familiar with contexts/sites being studied, research review/ethics boards, guidelines, published scholarship in various disciplines and, where applicable, legal precedent</w:t>
            </w:r>
            <w:r w:rsidR="00F441AB" w:rsidRPr="00836D59">
              <w:rPr>
                <w:rFonts w:asciiTheme="minorHAnsi" w:hAnsiTheme="minorHAnsi"/>
                <w:lang w:val="en-GB"/>
              </w:rPr>
              <w:t>.</w:t>
            </w:r>
          </w:p>
        </w:tc>
      </w:tr>
      <w:tr w:rsidR="004E00AC" w:rsidRPr="00836D59" w14:paraId="5451A060" w14:textId="77777777" w:rsidTr="004603BC">
        <w:trPr>
          <w:trHeight w:val="1408"/>
        </w:trPr>
        <w:tc>
          <w:tcPr>
            <w:tcW w:w="2808" w:type="dxa"/>
            <w:tcBorders>
              <w:right w:val="nil"/>
            </w:tcBorders>
          </w:tcPr>
          <w:p w14:paraId="5FEADB39" w14:textId="04D8565D" w:rsidR="004E00AC" w:rsidRPr="00836D59" w:rsidRDefault="004E00AC" w:rsidP="00512054">
            <w:pPr>
              <w:spacing w:line="240" w:lineRule="auto"/>
              <w:rPr>
                <w:rFonts w:asciiTheme="minorHAnsi" w:hAnsiTheme="minorHAnsi"/>
                <w:lang w:val="en-GB"/>
              </w:rPr>
            </w:pPr>
            <w:r w:rsidRPr="00836D59">
              <w:rPr>
                <w:rFonts w:asciiTheme="minorHAnsi" w:hAnsiTheme="minorHAnsi"/>
                <w:lang w:val="en-GB"/>
              </w:rPr>
              <w:t>A bal</w:t>
            </w:r>
            <w:r w:rsidR="00207A16" w:rsidRPr="00836D59">
              <w:rPr>
                <w:rFonts w:asciiTheme="minorHAnsi" w:hAnsiTheme="minorHAnsi"/>
                <w:lang w:val="en-GB"/>
              </w:rPr>
              <w:t>ance of rights</w:t>
            </w:r>
          </w:p>
          <w:p w14:paraId="4F39997B" w14:textId="77777777" w:rsidR="004E00AC" w:rsidRPr="00836D59" w:rsidDel="008468DA" w:rsidRDefault="004E00AC" w:rsidP="00512054">
            <w:pPr>
              <w:spacing w:line="240" w:lineRule="auto"/>
              <w:rPr>
                <w:rFonts w:asciiTheme="minorHAnsi" w:hAnsiTheme="minorHAnsi"/>
                <w:lang w:val="en-GB"/>
              </w:rPr>
            </w:pPr>
          </w:p>
        </w:tc>
        <w:tc>
          <w:tcPr>
            <w:tcW w:w="6300" w:type="dxa"/>
            <w:tcBorders>
              <w:left w:val="nil"/>
            </w:tcBorders>
          </w:tcPr>
          <w:p w14:paraId="64A2CAF9" w14:textId="317D890C" w:rsidR="004E00AC" w:rsidRPr="00836D59" w:rsidDel="008468DA" w:rsidRDefault="004E00AC" w:rsidP="00512054">
            <w:pPr>
              <w:spacing w:line="240" w:lineRule="auto"/>
              <w:rPr>
                <w:rFonts w:asciiTheme="minorHAnsi" w:hAnsiTheme="minorHAnsi"/>
                <w:b/>
                <w:lang w:val="en-GB"/>
              </w:rPr>
            </w:pPr>
            <w:r w:rsidRPr="00836D59">
              <w:rPr>
                <w:rFonts w:asciiTheme="minorHAnsi" w:hAnsiTheme="minorHAnsi"/>
                <w:lang w:val="en-GB"/>
              </w:rPr>
              <w:t>Researchers must balance their rights to conduct research and its social b</w:t>
            </w:r>
            <w:r w:rsidR="00207A16" w:rsidRPr="00836D59">
              <w:rPr>
                <w:rFonts w:asciiTheme="minorHAnsi" w:hAnsiTheme="minorHAnsi"/>
                <w:lang w:val="en-GB"/>
              </w:rPr>
              <w:t>enefits with rights of authors/</w:t>
            </w:r>
            <w:r w:rsidRPr="00836D59">
              <w:rPr>
                <w:rFonts w:asciiTheme="minorHAnsi" w:hAnsiTheme="minorHAnsi"/>
                <w:lang w:val="en-GB"/>
              </w:rPr>
              <w:t>research participants. Participants’ rights may outweigh research benefits</w:t>
            </w:r>
            <w:r w:rsidR="00207A16" w:rsidRPr="00836D59">
              <w:rPr>
                <w:rFonts w:asciiTheme="minorHAnsi" w:hAnsiTheme="minorHAnsi"/>
                <w:lang w:val="en-GB"/>
              </w:rPr>
              <w:t>.</w:t>
            </w:r>
          </w:p>
        </w:tc>
      </w:tr>
      <w:tr w:rsidR="002119A8" w:rsidRPr="00836D59" w14:paraId="291C8CA5" w14:textId="77777777" w:rsidTr="004603BC">
        <w:trPr>
          <w:trHeight w:val="1408"/>
        </w:trPr>
        <w:tc>
          <w:tcPr>
            <w:tcW w:w="2808" w:type="dxa"/>
            <w:tcBorders>
              <w:right w:val="nil"/>
            </w:tcBorders>
          </w:tcPr>
          <w:p w14:paraId="0ED4320A" w14:textId="1130CBEE" w:rsidR="002119A8" w:rsidRPr="00836D59" w:rsidRDefault="002119A8" w:rsidP="00512054">
            <w:pPr>
              <w:spacing w:line="240" w:lineRule="auto"/>
              <w:rPr>
                <w:rFonts w:asciiTheme="minorHAnsi" w:hAnsiTheme="minorHAnsi"/>
                <w:lang w:val="en-GB"/>
              </w:rPr>
            </w:pPr>
            <w:r w:rsidRPr="00836D59">
              <w:rPr>
                <w:rFonts w:asciiTheme="minorHAnsi" w:hAnsiTheme="minorHAnsi"/>
                <w:lang w:val="en-GB"/>
              </w:rPr>
              <w:t>Vulnerability</w:t>
            </w:r>
          </w:p>
        </w:tc>
        <w:tc>
          <w:tcPr>
            <w:tcW w:w="6300" w:type="dxa"/>
            <w:tcBorders>
              <w:left w:val="nil"/>
            </w:tcBorders>
          </w:tcPr>
          <w:p w14:paraId="7D906FC3" w14:textId="35300223" w:rsidR="002119A8" w:rsidRPr="00836D59" w:rsidRDefault="002119A8" w:rsidP="00512054">
            <w:pPr>
              <w:spacing w:line="240" w:lineRule="auto"/>
              <w:rPr>
                <w:rFonts w:asciiTheme="minorHAnsi" w:hAnsiTheme="minorHAnsi"/>
                <w:lang w:val="en-GB"/>
              </w:rPr>
            </w:pPr>
            <w:r w:rsidRPr="00836D59">
              <w:rPr>
                <w:rFonts w:asciiTheme="minorHAnsi" w:hAnsiTheme="minorHAnsi"/>
                <w:lang w:val="en-GB"/>
              </w:rPr>
              <w:t>The greater the vulnerability of the community</w:t>
            </w:r>
            <w:r w:rsidR="00E27F5A" w:rsidRPr="00836D59">
              <w:rPr>
                <w:rFonts w:asciiTheme="minorHAnsi" w:hAnsiTheme="minorHAnsi"/>
                <w:lang w:val="en-GB"/>
              </w:rPr>
              <w:t xml:space="preserve">, </w:t>
            </w:r>
            <w:r w:rsidRPr="00836D59">
              <w:rPr>
                <w:rFonts w:asciiTheme="minorHAnsi" w:hAnsiTheme="minorHAnsi"/>
                <w:lang w:val="en-GB"/>
              </w:rPr>
              <w:t>author</w:t>
            </w:r>
            <w:r w:rsidR="00E27F5A" w:rsidRPr="00836D59">
              <w:rPr>
                <w:rFonts w:asciiTheme="minorHAnsi" w:hAnsiTheme="minorHAnsi"/>
                <w:lang w:val="en-GB"/>
              </w:rPr>
              <w:t xml:space="preserve"> or </w:t>
            </w:r>
            <w:r w:rsidRPr="00836D59">
              <w:rPr>
                <w:rFonts w:asciiTheme="minorHAnsi" w:hAnsiTheme="minorHAnsi"/>
                <w:lang w:val="en-GB"/>
              </w:rPr>
              <w:t>participant, the greater the researcher’s obligation to protect them</w:t>
            </w:r>
            <w:r w:rsidR="00207A16" w:rsidRPr="00836D59">
              <w:rPr>
                <w:rFonts w:asciiTheme="minorHAnsi" w:hAnsiTheme="minorHAnsi"/>
                <w:lang w:val="en-GB"/>
              </w:rPr>
              <w:t>.</w:t>
            </w:r>
          </w:p>
        </w:tc>
      </w:tr>
      <w:tr w:rsidR="002119A8" w:rsidRPr="00836D59" w14:paraId="58DAAB3E" w14:textId="77777777" w:rsidTr="004603BC">
        <w:trPr>
          <w:trHeight w:val="1408"/>
        </w:trPr>
        <w:tc>
          <w:tcPr>
            <w:tcW w:w="2808" w:type="dxa"/>
            <w:tcBorders>
              <w:right w:val="nil"/>
            </w:tcBorders>
          </w:tcPr>
          <w:p w14:paraId="3FE0BFBC" w14:textId="4DCD3AF8" w:rsidR="002119A8" w:rsidRPr="00836D59" w:rsidRDefault="002119A8" w:rsidP="00512054">
            <w:pPr>
              <w:spacing w:line="240" w:lineRule="auto"/>
              <w:rPr>
                <w:rFonts w:asciiTheme="minorHAnsi" w:hAnsiTheme="minorHAnsi"/>
                <w:lang w:val="en-GB"/>
              </w:rPr>
            </w:pPr>
            <w:r w:rsidRPr="00836D59">
              <w:rPr>
                <w:rFonts w:asciiTheme="minorHAnsi" w:hAnsiTheme="minorHAnsi"/>
                <w:lang w:val="en-GB"/>
              </w:rPr>
              <w:t>Harm</w:t>
            </w:r>
          </w:p>
          <w:p w14:paraId="780E5935" w14:textId="77777777" w:rsidR="002119A8" w:rsidRPr="00836D59" w:rsidDel="008468DA" w:rsidRDefault="002119A8" w:rsidP="00512054">
            <w:pPr>
              <w:spacing w:line="240" w:lineRule="auto"/>
              <w:rPr>
                <w:rFonts w:asciiTheme="minorHAnsi" w:hAnsiTheme="minorHAnsi"/>
                <w:lang w:val="en-GB"/>
              </w:rPr>
            </w:pPr>
          </w:p>
        </w:tc>
        <w:tc>
          <w:tcPr>
            <w:tcW w:w="6300" w:type="dxa"/>
            <w:tcBorders>
              <w:left w:val="nil"/>
            </w:tcBorders>
          </w:tcPr>
          <w:p w14:paraId="5A826E9F" w14:textId="2EA295A6" w:rsidR="002119A8" w:rsidRPr="00836D59" w:rsidDel="008468DA" w:rsidRDefault="002119A8" w:rsidP="00512054">
            <w:pPr>
              <w:spacing w:line="240" w:lineRule="auto"/>
              <w:rPr>
                <w:rFonts w:asciiTheme="minorHAnsi" w:hAnsiTheme="minorHAnsi"/>
                <w:b/>
                <w:lang w:val="en-GB"/>
              </w:rPr>
            </w:pPr>
            <w:r w:rsidRPr="00836D59">
              <w:rPr>
                <w:rFonts w:asciiTheme="minorHAnsi" w:hAnsiTheme="minorHAnsi"/>
                <w:lang w:val="en-GB"/>
              </w:rPr>
              <w:t>“Harm” is defined contextually. Ethical principles are more likely to be applied inductively than universally</w:t>
            </w:r>
            <w:r w:rsidR="00207A16" w:rsidRPr="00836D59">
              <w:rPr>
                <w:rFonts w:asciiTheme="minorHAnsi" w:hAnsiTheme="minorHAnsi"/>
                <w:lang w:val="en-GB"/>
              </w:rPr>
              <w:t>,</w:t>
            </w:r>
            <w:r w:rsidRPr="00836D59">
              <w:rPr>
                <w:rFonts w:asciiTheme="minorHAnsi" w:hAnsiTheme="minorHAnsi"/>
                <w:lang w:val="en-GB"/>
              </w:rPr>
              <w:t xml:space="preserve"> and ethical decision-making is best achieved with practical, context-sensitive judg</w:t>
            </w:r>
            <w:r w:rsidR="00C46C63" w:rsidRPr="00836D59">
              <w:rPr>
                <w:rFonts w:asciiTheme="minorHAnsi" w:hAnsiTheme="minorHAnsi"/>
                <w:lang w:val="en-GB"/>
              </w:rPr>
              <w:t>ement</w:t>
            </w:r>
            <w:r w:rsidR="00207A16" w:rsidRPr="00836D59">
              <w:rPr>
                <w:rFonts w:asciiTheme="minorHAnsi" w:hAnsiTheme="minorHAnsi"/>
                <w:lang w:val="en-GB"/>
              </w:rPr>
              <w:t>.</w:t>
            </w:r>
          </w:p>
        </w:tc>
      </w:tr>
      <w:tr w:rsidR="002119A8" w:rsidRPr="00836D59" w14:paraId="063BE3A4" w14:textId="77777777" w:rsidTr="004603BC">
        <w:trPr>
          <w:trHeight w:val="1408"/>
        </w:trPr>
        <w:tc>
          <w:tcPr>
            <w:tcW w:w="2808" w:type="dxa"/>
            <w:tcBorders>
              <w:right w:val="nil"/>
            </w:tcBorders>
          </w:tcPr>
          <w:p w14:paraId="3C255B13" w14:textId="2B3A6A7F" w:rsidR="002119A8" w:rsidRPr="00836D59" w:rsidDel="008468DA" w:rsidRDefault="002119A8" w:rsidP="00512054">
            <w:pPr>
              <w:spacing w:line="240" w:lineRule="auto"/>
              <w:rPr>
                <w:rFonts w:asciiTheme="minorHAnsi" w:hAnsiTheme="minorHAnsi"/>
                <w:lang w:val="en-GB"/>
              </w:rPr>
            </w:pPr>
            <w:r w:rsidRPr="00836D59">
              <w:rPr>
                <w:rFonts w:asciiTheme="minorHAnsi" w:hAnsiTheme="minorHAnsi"/>
                <w:lang w:val="en-GB"/>
              </w:rPr>
              <w:t>Not a one-off moment</w:t>
            </w:r>
          </w:p>
        </w:tc>
        <w:tc>
          <w:tcPr>
            <w:tcW w:w="6300" w:type="dxa"/>
            <w:tcBorders>
              <w:left w:val="nil"/>
            </w:tcBorders>
          </w:tcPr>
          <w:p w14:paraId="57E84F6D" w14:textId="7B144A0C" w:rsidR="002119A8" w:rsidRPr="00836D59" w:rsidDel="008468DA" w:rsidRDefault="002119A8" w:rsidP="00512054">
            <w:pPr>
              <w:spacing w:line="240" w:lineRule="auto"/>
              <w:rPr>
                <w:rFonts w:asciiTheme="minorHAnsi" w:hAnsiTheme="minorHAnsi"/>
                <w:b/>
                <w:lang w:val="en-GB"/>
              </w:rPr>
            </w:pPr>
            <w:r w:rsidRPr="00836D59">
              <w:rPr>
                <w:rFonts w:asciiTheme="minorHAnsi" w:hAnsiTheme="minorHAnsi"/>
                <w:lang w:val="en-GB"/>
              </w:rPr>
              <w:t>Ethical issues need to be addressed at all steps of the research process: planning, research conduct, publication and dissemination.</w:t>
            </w:r>
          </w:p>
        </w:tc>
      </w:tr>
    </w:tbl>
    <w:p w14:paraId="26E3AABC" w14:textId="75017FFE" w:rsidR="005657F5" w:rsidRPr="00836D59" w:rsidRDefault="008468DA" w:rsidP="00836D59">
      <w:pPr>
        <w:spacing w:line="360" w:lineRule="auto"/>
        <w:rPr>
          <w:rFonts w:asciiTheme="minorHAnsi" w:hAnsiTheme="minorHAnsi"/>
          <w:lang w:val="en-GB"/>
        </w:rPr>
      </w:pPr>
      <w:r w:rsidRPr="00836D59">
        <w:rPr>
          <w:rFonts w:asciiTheme="minorHAnsi" w:hAnsiTheme="minorHAnsi"/>
          <w:i/>
          <w:sz w:val="20"/>
          <w:szCs w:val="20"/>
          <w:lang w:val="en-GB"/>
        </w:rPr>
        <w:t>Source</w:t>
      </w:r>
      <w:r w:rsidRPr="00836D59">
        <w:rPr>
          <w:rFonts w:asciiTheme="minorHAnsi" w:hAnsiTheme="minorHAnsi"/>
          <w:sz w:val="20"/>
          <w:szCs w:val="20"/>
          <w:lang w:val="en-GB"/>
        </w:rPr>
        <w:t>: AoIR</w:t>
      </w:r>
      <w:r w:rsidRPr="00836D59">
        <w:rPr>
          <w:rFonts w:asciiTheme="minorHAnsi" w:hAnsiTheme="minorHAnsi"/>
          <w:i/>
          <w:sz w:val="20"/>
          <w:szCs w:val="20"/>
          <w:lang w:val="en-GB"/>
        </w:rPr>
        <w:t xml:space="preserve"> (9).</w:t>
      </w:r>
    </w:p>
    <w:p w14:paraId="5FAC0C47" w14:textId="77777777" w:rsidR="00512054" w:rsidRDefault="00512054" w:rsidP="00836D59">
      <w:pPr>
        <w:pStyle w:val="Heading2"/>
        <w:spacing w:line="360" w:lineRule="auto"/>
        <w:rPr>
          <w:rFonts w:asciiTheme="minorHAnsi" w:hAnsiTheme="minorHAnsi"/>
          <w:lang w:val="en-GB"/>
        </w:rPr>
      </w:pPr>
    </w:p>
    <w:p w14:paraId="44958BB5" w14:textId="26AE0E2B" w:rsidR="00D42A55" w:rsidRPr="00836D59" w:rsidRDefault="008468DA" w:rsidP="00836D59">
      <w:pPr>
        <w:pStyle w:val="Heading2"/>
        <w:spacing w:line="360" w:lineRule="auto"/>
        <w:rPr>
          <w:rFonts w:asciiTheme="minorHAnsi" w:hAnsiTheme="minorHAnsi"/>
          <w:lang w:val="en-GB"/>
        </w:rPr>
      </w:pPr>
      <w:r w:rsidRPr="00836D59">
        <w:rPr>
          <w:rFonts w:asciiTheme="minorHAnsi" w:hAnsiTheme="minorHAnsi"/>
          <w:lang w:val="en-GB"/>
        </w:rPr>
        <w:t xml:space="preserve">Key ethical and legal issues to consider </w:t>
      </w:r>
    </w:p>
    <w:p w14:paraId="665FDFED" w14:textId="40327222" w:rsidR="00512054" w:rsidRPr="00836D59" w:rsidRDefault="00290D1D" w:rsidP="00836D59">
      <w:pPr>
        <w:spacing w:line="360" w:lineRule="auto"/>
        <w:rPr>
          <w:rFonts w:asciiTheme="minorHAnsi" w:hAnsiTheme="minorHAnsi"/>
          <w:lang w:val="en-GB"/>
        </w:rPr>
      </w:pPr>
      <w:r w:rsidRPr="00836D59">
        <w:rPr>
          <w:rFonts w:asciiTheme="minorHAnsi" w:hAnsiTheme="minorHAnsi"/>
          <w:lang w:val="en-GB"/>
        </w:rPr>
        <w:t>T</w:t>
      </w:r>
      <w:r w:rsidR="00DC69F0" w:rsidRPr="00836D59">
        <w:rPr>
          <w:rFonts w:asciiTheme="minorHAnsi" w:hAnsiTheme="minorHAnsi"/>
          <w:lang w:val="en-GB"/>
        </w:rPr>
        <w:t>he workshop</w:t>
      </w:r>
      <w:r w:rsidRPr="00836D59">
        <w:rPr>
          <w:rFonts w:asciiTheme="minorHAnsi" w:hAnsiTheme="minorHAnsi"/>
          <w:lang w:val="en-GB"/>
        </w:rPr>
        <w:t xml:space="preserve"> drew</w:t>
      </w:r>
      <w:r w:rsidR="007E2FD6" w:rsidRPr="00836D59">
        <w:rPr>
          <w:rFonts w:asciiTheme="minorHAnsi" w:hAnsiTheme="minorHAnsi"/>
          <w:lang w:val="en-GB"/>
        </w:rPr>
        <w:t xml:space="preserve"> conclusions</w:t>
      </w:r>
      <w:r w:rsidRPr="00836D59">
        <w:rPr>
          <w:rFonts w:asciiTheme="minorHAnsi" w:hAnsiTheme="minorHAnsi"/>
          <w:lang w:val="en-GB"/>
        </w:rPr>
        <w:t xml:space="preserve"> regarding</w:t>
      </w:r>
      <w:r w:rsidR="00DC69F0" w:rsidRPr="00836D59">
        <w:rPr>
          <w:rFonts w:asciiTheme="minorHAnsi" w:hAnsiTheme="minorHAnsi"/>
          <w:lang w:val="en-GB"/>
        </w:rPr>
        <w:t xml:space="preserve"> k</w:t>
      </w:r>
      <w:r w:rsidR="00D42A55" w:rsidRPr="00836D59">
        <w:rPr>
          <w:rFonts w:asciiTheme="minorHAnsi" w:hAnsiTheme="minorHAnsi"/>
          <w:lang w:val="en-GB"/>
        </w:rPr>
        <w:t xml:space="preserve">ey </w:t>
      </w:r>
      <w:r w:rsidR="00E1647F" w:rsidRPr="00836D59">
        <w:rPr>
          <w:rFonts w:asciiTheme="minorHAnsi" w:hAnsiTheme="minorHAnsi"/>
          <w:lang w:val="en-GB"/>
        </w:rPr>
        <w:t xml:space="preserve">legal </w:t>
      </w:r>
      <w:r w:rsidR="002279AC" w:rsidRPr="00836D59">
        <w:rPr>
          <w:rFonts w:asciiTheme="minorHAnsi" w:hAnsiTheme="minorHAnsi"/>
          <w:lang w:val="en-GB"/>
        </w:rPr>
        <w:t xml:space="preserve">and ethical </w:t>
      </w:r>
      <w:r w:rsidR="00D42A55" w:rsidRPr="00836D59">
        <w:rPr>
          <w:rFonts w:asciiTheme="minorHAnsi" w:hAnsiTheme="minorHAnsi"/>
          <w:lang w:val="en-GB"/>
        </w:rPr>
        <w:t xml:space="preserve">issues </w:t>
      </w:r>
      <w:r w:rsidR="00DE1747" w:rsidRPr="00836D59">
        <w:rPr>
          <w:rFonts w:asciiTheme="minorHAnsi" w:hAnsiTheme="minorHAnsi"/>
          <w:lang w:val="en-GB"/>
        </w:rPr>
        <w:t xml:space="preserve">to </w:t>
      </w:r>
      <w:r w:rsidR="00442F4C" w:rsidRPr="00836D59">
        <w:rPr>
          <w:rFonts w:asciiTheme="minorHAnsi" w:hAnsiTheme="minorHAnsi"/>
          <w:lang w:val="en-GB"/>
        </w:rPr>
        <w:t xml:space="preserve">be addressed </w:t>
      </w:r>
      <w:r w:rsidR="00DE5EA1" w:rsidRPr="00836D59">
        <w:rPr>
          <w:rFonts w:asciiTheme="minorHAnsi" w:hAnsiTheme="minorHAnsi"/>
          <w:lang w:val="en-GB"/>
        </w:rPr>
        <w:t xml:space="preserve">when designing </w:t>
      </w:r>
      <w:r w:rsidR="001C4FC0" w:rsidRPr="00836D59">
        <w:rPr>
          <w:rFonts w:asciiTheme="minorHAnsi" w:hAnsiTheme="minorHAnsi"/>
          <w:lang w:val="en-GB"/>
        </w:rPr>
        <w:t xml:space="preserve">digital </w:t>
      </w:r>
      <w:r w:rsidR="0040720D" w:rsidRPr="00836D59">
        <w:rPr>
          <w:rFonts w:asciiTheme="minorHAnsi" w:hAnsiTheme="minorHAnsi"/>
          <w:lang w:val="en-GB"/>
        </w:rPr>
        <w:t xml:space="preserve">media </w:t>
      </w:r>
      <w:r w:rsidR="00442F4C" w:rsidRPr="00836D59">
        <w:rPr>
          <w:rFonts w:asciiTheme="minorHAnsi" w:hAnsiTheme="minorHAnsi"/>
          <w:lang w:val="en-GB"/>
        </w:rPr>
        <w:t>studies</w:t>
      </w:r>
      <w:r w:rsidR="001C4FC0" w:rsidRPr="00836D59">
        <w:rPr>
          <w:rFonts w:asciiTheme="minorHAnsi" w:hAnsiTheme="minorHAnsi"/>
          <w:lang w:val="en-GB"/>
        </w:rPr>
        <w:t xml:space="preserve"> involving data </w:t>
      </w:r>
      <w:r w:rsidR="00DE1747" w:rsidRPr="00836D59">
        <w:rPr>
          <w:rFonts w:asciiTheme="minorHAnsi" w:hAnsiTheme="minorHAnsi"/>
          <w:lang w:val="en-GB"/>
        </w:rPr>
        <w:t xml:space="preserve">from </w:t>
      </w:r>
      <w:r w:rsidR="001C4FC0" w:rsidRPr="00836D59">
        <w:rPr>
          <w:rFonts w:asciiTheme="minorHAnsi" w:hAnsiTheme="minorHAnsi"/>
          <w:lang w:val="en-GB"/>
        </w:rPr>
        <w:t>those under 18</w:t>
      </w:r>
      <w:r w:rsidR="00442F4C" w:rsidRPr="00836D59">
        <w:rPr>
          <w:rFonts w:asciiTheme="minorHAnsi" w:hAnsiTheme="minorHAnsi"/>
          <w:lang w:val="en-GB"/>
        </w:rPr>
        <w:t xml:space="preserve"> </w:t>
      </w:r>
      <w:r w:rsidR="0040720D" w:rsidRPr="00836D59">
        <w:rPr>
          <w:rFonts w:asciiTheme="minorHAnsi" w:hAnsiTheme="minorHAnsi"/>
          <w:lang w:val="en-GB"/>
        </w:rPr>
        <w:t>years</w:t>
      </w:r>
      <w:r w:rsidR="00DE1747" w:rsidRPr="00836D59">
        <w:rPr>
          <w:rFonts w:asciiTheme="minorHAnsi" w:hAnsiTheme="minorHAnsi"/>
          <w:lang w:val="en-GB"/>
        </w:rPr>
        <w:t xml:space="preserve">; </w:t>
      </w:r>
      <w:r w:rsidR="00DF7B52" w:rsidRPr="00836D59">
        <w:rPr>
          <w:rFonts w:asciiTheme="minorHAnsi" w:hAnsiTheme="minorHAnsi"/>
          <w:lang w:val="en-GB"/>
        </w:rPr>
        <w:t xml:space="preserve">these are </w:t>
      </w:r>
      <w:r w:rsidRPr="00836D59">
        <w:rPr>
          <w:rFonts w:asciiTheme="minorHAnsi" w:hAnsiTheme="minorHAnsi"/>
          <w:lang w:val="en-GB"/>
        </w:rPr>
        <w:t>summari</w:t>
      </w:r>
      <w:r w:rsidR="00AF4A1F" w:rsidRPr="00836D59">
        <w:rPr>
          <w:rFonts w:asciiTheme="minorHAnsi" w:hAnsiTheme="minorHAnsi"/>
          <w:lang w:val="en-GB"/>
        </w:rPr>
        <w:t>z</w:t>
      </w:r>
      <w:r w:rsidRPr="00836D59">
        <w:rPr>
          <w:rFonts w:asciiTheme="minorHAnsi" w:hAnsiTheme="minorHAnsi"/>
          <w:lang w:val="en-GB"/>
        </w:rPr>
        <w:t>e</w:t>
      </w:r>
      <w:r w:rsidR="00DF7B52" w:rsidRPr="00836D59">
        <w:rPr>
          <w:rFonts w:asciiTheme="minorHAnsi" w:hAnsiTheme="minorHAnsi"/>
          <w:lang w:val="en-GB"/>
        </w:rPr>
        <w:t>d below</w:t>
      </w:r>
      <w:r w:rsidRPr="00836D59">
        <w:rPr>
          <w:rFonts w:asciiTheme="minorHAnsi" w:hAnsiTheme="minorHAnsi"/>
          <w:lang w:val="en-GB"/>
        </w:rPr>
        <w:t>.</w:t>
      </w:r>
    </w:p>
    <w:p w14:paraId="124646FB" w14:textId="77777777" w:rsidR="001F734E" w:rsidRPr="00836D59" w:rsidRDefault="001F734E" w:rsidP="00836D59">
      <w:pPr>
        <w:pStyle w:val="Heading4"/>
        <w:spacing w:line="360" w:lineRule="auto"/>
        <w:rPr>
          <w:rFonts w:asciiTheme="minorHAnsi" w:hAnsiTheme="minorHAnsi"/>
          <w:lang w:val="en-GB"/>
        </w:rPr>
      </w:pPr>
      <w:r w:rsidRPr="00836D59">
        <w:rPr>
          <w:rFonts w:asciiTheme="minorHAnsi" w:hAnsiTheme="minorHAnsi"/>
          <w:lang w:val="en-GB"/>
        </w:rPr>
        <w:t>Lawfulness of processing</w:t>
      </w:r>
    </w:p>
    <w:p w14:paraId="071E62AA" w14:textId="6A514DF4" w:rsidR="00512054" w:rsidRPr="00836D59" w:rsidRDefault="006F5E4E" w:rsidP="00836D59">
      <w:pPr>
        <w:spacing w:line="360" w:lineRule="auto"/>
        <w:rPr>
          <w:rFonts w:asciiTheme="minorHAnsi" w:hAnsiTheme="minorHAnsi"/>
          <w:lang w:val="en-GB"/>
        </w:rPr>
      </w:pPr>
      <w:r w:rsidRPr="00836D59">
        <w:rPr>
          <w:rFonts w:asciiTheme="minorHAnsi" w:hAnsiTheme="minorHAnsi"/>
          <w:lang w:val="en-GB"/>
        </w:rPr>
        <w:t>Research organi</w:t>
      </w:r>
      <w:r w:rsidR="00AF4A1F" w:rsidRPr="00836D59">
        <w:rPr>
          <w:rFonts w:asciiTheme="minorHAnsi" w:hAnsiTheme="minorHAnsi"/>
          <w:lang w:val="en-GB"/>
        </w:rPr>
        <w:t>z</w:t>
      </w:r>
      <w:r w:rsidRPr="00836D59">
        <w:rPr>
          <w:rFonts w:asciiTheme="minorHAnsi" w:hAnsiTheme="minorHAnsi"/>
          <w:lang w:val="en-GB"/>
        </w:rPr>
        <w:t xml:space="preserve">ations in and outside the EU that deal with data of EU individuals must follow </w:t>
      </w:r>
      <w:r w:rsidR="00FA485A" w:rsidRPr="00836D59">
        <w:rPr>
          <w:rFonts w:asciiTheme="minorHAnsi" w:hAnsiTheme="minorHAnsi"/>
          <w:lang w:val="en-GB"/>
        </w:rPr>
        <w:t>GDPR requirements</w:t>
      </w:r>
      <w:r w:rsidR="00D83B43" w:rsidRPr="00836D59">
        <w:rPr>
          <w:rFonts w:asciiTheme="minorHAnsi" w:hAnsiTheme="minorHAnsi"/>
          <w:lang w:val="en-GB"/>
        </w:rPr>
        <w:t xml:space="preserve"> set out in its </w:t>
      </w:r>
      <w:r w:rsidR="00C32A33" w:rsidRPr="00836D59">
        <w:rPr>
          <w:rFonts w:asciiTheme="minorHAnsi" w:hAnsiTheme="minorHAnsi"/>
          <w:lang w:val="en-GB"/>
        </w:rPr>
        <w:t>artic</w:t>
      </w:r>
      <w:r w:rsidR="00D83B43" w:rsidRPr="00836D59">
        <w:rPr>
          <w:rFonts w:asciiTheme="minorHAnsi" w:hAnsiTheme="minorHAnsi"/>
          <w:lang w:val="en-GB"/>
        </w:rPr>
        <w:t>les and recitals</w:t>
      </w:r>
      <w:r w:rsidR="00FA485A" w:rsidRPr="00836D59">
        <w:rPr>
          <w:rFonts w:asciiTheme="minorHAnsi" w:hAnsiTheme="minorHAnsi"/>
          <w:lang w:val="en-GB"/>
        </w:rPr>
        <w:t xml:space="preserve">. </w:t>
      </w:r>
      <w:r w:rsidR="001F734E" w:rsidRPr="00836D59">
        <w:rPr>
          <w:rFonts w:asciiTheme="minorHAnsi" w:hAnsiTheme="minorHAnsi"/>
          <w:lang w:val="en-GB"/>
        </w:rPr>
        <w:t>For any personal data</w:t>
      </w:r>
      <w:r w:rsidR="005848C4" w:rsidRPr="00836D59">
        <w:rPr>
          <w:rFonts w:asciiTheme="minorHAnsi" w:hAnsiTheme="minorHAnsi"/>
          <w:lang w:val="en-GB"/>
        </w:rPr>
        <w:t xml:space="preserve"> processing</w:t>
      </w:r>
      <w:r w:rsidR="001F734E" w:rsidRPr="00836D59">
        <w:rPr>
          <w:rFonts w:asciiTheme="minorHAnsi" w:hAnsiTheme="minorHAnsi"/>
          <w:lang w:val="en-GB"/>
        </w:rPr>
        <w:t xml:space="preserve">, the </w:t>
      </w:r>
      <w:r w:rsidR="00221F62" w:rsidRPr="00836D59">
        <w:rPr>
          <w:rFonts w:asciiTheme="minorHAnsi" w:hAnsiTheme="minorHAnsi"/>
          <w:lang w:val="en-GB"/>
        </w:rPr>
        <w:t xml:space="preserve">Regulation </w:t>
      </w:r>
      <w:r w:rsidR="001F734E" w:rsidRPr="00836D59">
        <w:rPr>
          <w:rFonts w:asciiTheme="minorHAnsi" w:hAnsiTheme="minorHAnsi"/>
          <w:lang w:val="en-GB"/>
        </w:rPr>
        <w:t>requires legitimate ground</w:t>
      </w:r>
      <w:r w:rsidR="002E5B9D" w:rsidRPr="00836D59">
        <w:rPr>
          <w:rFonts w:asciiTheme="minorHAnsi" w:hAnsiTheme="minorHAnsi"/>
          <w:lang w:val="en-GB"/>
        </w:rPr>
        <w:t>s</w:t>
      </w:r>
      <w:r w:rsidR="001F734E" w:rsidRPr="00836D59">
        <w:rPr>
          <w:rFonts w:asciiTheme="minorHAnsi" w:hAnsiTheme="minorHAnsi"/>
          <w:lang w:val="en-GB"/>
        </w:rPr>
        <w:t xml:space="preserve">. If research </w:t>
      </w:r>
      <w:r w:rsidR="008F562E" w:rsidRPr="00836D59">
        <w:rPr>
          <w:rFonts w:asciiTheme="minorHAnsi" w:hAnsiTheme="minorHAnsi"/>
          <w:lang w:val="en-GB"/>
        </w:rPr>
        <w:t>i</w:t>
      </w:r>
      <w:r w:rsidR="00D70217" w:rsidRPr="00836D59">
        <w:rPr>
          <w:rFonts w:asciiTheme="minorHAnsi" w:hAnsiTheme="minorHAnsi"/>
          <w:lang w:val="en-GB"/>
        </w:rPr>
        <w:t>s</w:t>
      </w:r>
      <w:r w:rsidR="008F562E" w:rsidRPr="00836D59">
        <w:rPr>
          <w:rFonts w:asciiTheme="minorHAnsi" w:hAnsiTheme="minorHAnsi"/>
          <w:lang w:val="en-GB"/>
        </w:rPr>
        <w:t xml:space="preserve"> </w:t>
      </w:r>
      <w:r w:rsidR="001F734E" w:rsidRPr="00836D59">
        <w:rPr>
          <w:rFonts w:asciiTheme="minorHAnsi" w:hAnsiTheme="minorHAnsi"/>
          <w:lang w:val="en-GB"/>
        </w:rPr>
        <w:t xml:space="preserve">the primary purpose </w:t>
      </w:r>
      <w:r w:rsidR="002162A6" w:rsidRPr="00836D59">
        <w:rPr>
          <w:rFonts w:asciiTheme="minorHAnsi" w:hAnsiTheme="minorHAnsi"/>
          <w:lang w:val="en-GB"/>
        </w:rPr>
        <w:t xml:space="preserve">of the </w:t>
      </w:r>
      <w:r w:rsidR="001F734E" w:rsidRPr="00836D59">
        <w:rPr>
          <w:rFonts w:asciiTheme="minorHAnsi" w:hAnsiTheme="minorHAnsi"/>
          <w:lang w:val="en-GB"/>
        </w:rPr>
        <w:t xml:space="preserve">personal data collection, three grounds for processing might be relied upon </w:t>
      </w:r>
      <w:r w:rsidR="001F734E" w:rsidRPr="00836D59">
        <w:rPr>
          <w:rFonts w:asciiTheme="minorHAnsi" w:hAnsiTheme="minorHAnsi"/>
          <w:i/>
          <w:lang w:val="en-GB"/>
        </w:rPr>
        <w:t>(1</w:t>
      </w:r>
      <w:r w:rsidR="00DF7B52" w:rsidRPr="00836D59">
        <w:rPr>
          <w:rFonts w:asciiTheme="minorHAnsi" w:hAnsiTheme="minorHAnsi"/>
          <w:i/>
          <w:lang w:val="en-GB"/>
        </w:rPr>
        <w:t>6</w:t>
      </w:r>
      <w:r w:rsidR="001F734E" w:rsidRPr="00836D59">
        <w:rPr>
          <w:rFonts w:asciiTheme="minorHAnsi" w:hAnsiTheme="minorHAnsi"/>
          <w:i/>
          <w:lang w:val="en-GB"/>
        </w:rPr>
        <w:t>)</w:t>
      </w:r>
      <w:r w:rsidR="008F562E" w:rsidRPr="00836D59">
        <w:rPr>
          <w:rFonts w:asciiTheme="minorHAnsi" w:hAnsiTheme="minorHAnsi"/>
          <w:lang w:val="en-GB"/>
        </w:rPr>
        <w:t>:</w:t>
      </w:r>
      <w:r w:rsidR="001F734E" w:rsidRPr="00836D59">
        <w:rPr>
          <w:rFonts w:asciiTheme="minorHAnsi" w:hAnsiTheme="minorHAnsi"/>
          <w:lang w:val="en-GB"/>
        </w:rPr>
        <w:t xml:space="preserve"> </w:t>
      </w:r>
      <w:r w:rsidR="002162A6" w:rsidRPr="00836D59">
        <w:rPr>
          <w:rFonts w:asciiTheme="minorHAnsi" w:hAnsiTheme="minorHAnsi"/>
          <w:lang w:val="en-GB"/>
        </w:rPr>
        <w:t xml:space="preserve">the </w:t>
      </w:r>
      <w:r w:rsidR="001F734E" w:rsidRPr="00836D59">
        <w:rPr>
          <w:rFonts w:asciiTheme="minorHAnsi" w:hAnsiTheme="minorHAnsi"/>
          <w:lang w:val="en-GB"/>
        </w:rPr>
        <w:t>data subject</w:t>
      </w:r>
      <w:r w:rsidR="00624F81" w:rsidRPr="00836D59">
        <w:rPr>
          <w:rFonts w:asciiTheme="minorHAnsi" w:hAnsiTheme="minorHAnsi"/>
          <w:lang w:val="en-GB"/>
        </w:rPr>
        <w:t>’</w:t>
      </w:r>
      <w:r w:rsidR="001F734E" w:rsidRPr="00836D59">
        <w:rPr>
          <w:rFonts w:asciiTheme="minorHAnsi" w:hAnsiTheme="minorHAnsi"/>
          <w:lang w:val="en-GB"/>
        </w:rPr>
        <w:t>s consent</w:t>
      </w:r>
      <w:r w:rsidR="008F562E" w:rsidRPr="00836D59">
        <w:rPr>
          <w:rFonts w:asciiTheme="minorHAnsi" w:hAnsiTheme="minorHAnsi"/>
          <w:lang w:val="en-GB"/>
        </w:rPr>
        <w:t>,</w:t>
      </w:r>
      <w:r w:rsidR="001F734E" w:rsidRPr="00836D59">
        <w:rPr>
          <w:rFonts w:asciiTheme="minorHAnsi" w:hAnsiTheme="minorHAnsi"/>
          <w:lang w:val="en-GB"/>
        </w:rPr>
        <w:t xml:space="preserve"> public interest and the legitimate interest of the controller (unless the controller is a public body). If research is not the primary purpose </w:t>
      </w:r>
      <w:r w:rsidR="002162A6" w:rsidRPr="00836D59">
        <w:rPr>
          <w:rFonts w:asciiTheme="minorHAnsi" w:hAnsiTheme="minorHAnsi"/>
          <w:lang w:val="en-GB"/>
        </w:rPr>
        <w:t xml:space="preserve">of </w:t>
      </w:r>
      <w:r w:rsidR="001F734E" w:rsidRPr="00836D59">
        <w:rPr>
          <w:rFonts w:asciiTheme="minorHAnsi" w:hAnsiTheme="minorHAnsi"/>
          <w:lang w:val="en-GB"/>
        </w:rPr>
        <w:t xml:space="preserve">the </w:t>
      </w:r>
      <w:r w:rsidR="002162A6" w:rsidRPr="00836D59">
        <w:rPr>
          <w:rFonts w:asciiTheme="minorHAnsi" w:hAnsiTheme="minorHAnsi"/>
          <w:lang w:val="en-GB"/>
        </w:rPr>
        <w:t xml:space="preserve">personal data </w:t>
      </w:r>
      <w:r w:rsidR="001F734E" w:rsidRPr="00836D59">
        <w:rPr>
          <w:rFonts w:asciiTheme="minorHAnsi" w:hAnsiTheme="minorHAnsi"/>
          <w:lang w:val="en-GB"/>
        </w:rPr>
        <w:t>collection</w:t>
      </w:r>
      <w:r w:rsidR="002162A6" w:rsidRPr="00836D59">
        <w:rPr>
          <w:rFonts w:asciiTheme="minorHAnsi" w:hAnsiTheme="minorHAnsi"/>
          <w:lang w:val="en-GB"/>
        </w:rPr>
        <w:t xml:space="preserve"> – for example</w:t>
      </w:r>
      <w:r w:rsidR="008F562E" w:rsidRPr="00836D59">
        <w:rPr>
          <w:rFonts w:asciiTheme="minorHAnsi" w:hAnsiTheme="minorHAnsi"/>
          <w:lang w:val="en-GB"/>
        </w:rPr>
        <w:t xml:space="preserve">, </w:t>
      </w:r>
      <w:r w:rsidR="001F734E" w:rsidRPr="00836D59">
        <w:rPr>
          <w:rFonts w:asciiTheme="minorHAnsi" w:hAnsiTheme="minorHAnsi"/>
          <w:lang w:val="en-GB"/>
        </w:rPr>
        <w:t xml:space="preserve">if </w:t>
      </w:r>
      <w:r w:rsidR="00D70217" w:rsidRPr="00836D59">
        <w:rPr>
          <w:rFonts w:asciiTheme="minorHAnsi" w:hAnsiTheme="minorHAnsi"/>
          <w:lang w:val="en-GB"/>
        </w:rPr>
        <w:t>they</w:t>
      </w:r>
      <w:r w:rsidR="001F734E" w:rsidRPr="00836D59">
        <w:rPr>
          <w:rFonts w:asciiTheme="minorHAnsi" w:hAnsiTheme="minorHAnsi"/>
          <w:lang w:val="en-GB"/>
        </w:rPr>
        <w:t xml:space="preserve"> </w:t>
      </w:r>
      <w:r w:rsidR="008F562E" w:rsidRPr="00836D59">
        <w:rPr>
          <w:rFonts w:asciiTheme="minorHAnsi" w:hAnsiTheme="minorHAnsi"/>
          <w:lang w:val="en-GB"/>
        </w:rPr>
        <w:t xml:space="preserve">were </w:t>
      </w:r>
      <w:r w:rsidR="001F734E" w:rsidRPr="00836D59">
        <w:rPr>
          <w:rFonts w:asciiTheme="minorHAnsi" w:hAnsiTheme="minorHAnsi"/>
          <w:lang w:val="en-GB"/>
        </w:rPr>
        <w:t xml:space="preserve">collected for another purpose but </w:t>
      </w:r>
      <w:r w:rsidR="008F562E" w:rsidRPr="00836D59">
        <w:rPr>
          <w:rFonts w:asciiTheme="minorHAnsi" w:hAnsiTheme="minorHAnsi"/>
          <w:lang w:val="en-GB"/>
        </w:rPr>
        <w:t xml:space="preserve">are </w:t>
      </w:r>
      <w:r w:rsidR="001F734E" w:rsidRPr="00836D59">
        <w:rPr>
          <w:rFonts w:asciiTheme="minorHAnsi" w:hAnsiTheme="minorHAnsi"/>
          <w:lang w:val="en-GB"/>
        </w:rPr>
        <w:t>now further processed for research purposes</w:t>
      </w:r>
      <w:r w:rsidR="002162A6" w:rsidRPr="00836D59">
        <w:rPr>
          <w:rFonts w:asciiTheme="minorHAnsi" w:hAnsiTheme="minorHAnsi"/>
          <w:lang w:val="en-GB"/>
        </w:rPr>
        <w:t xml:space="preserve"> –</w:t>
      </w:r>
      <w:r w:rsidR="001F734E" w:rsidRPr="00836D59">
        <w:rPr>
          <w:rFonts w:asciiTheme="minorHAnsi" w:hAnsiTheme="minorHAnsi"/>
          <w:lang w:val="en-GB"/>
        </w:rPr>
        <w:t xml:space="preserve"> this should be considered </w:t>
      </w:r>
      <w:r w:rsidR="00CE250F" w:rsidRPr="00836D59">
        <w:rPr>
          <w:rFonts w:asciiTheme="minorHAnsi" w:hAnsiTheme="minorHAnsi"/>
          <w:lang w:val="en-GB"/>
        </w:rPr>
        <w:t>“</w:t>
      </w:r>
      <w:r w:rsidR="001F734E" w:rsidRPr="00836D59">
        <w:rPr>
          <w:rFonts w:asciiTheme="minorHAnsi" w:hAnsiTheme="minorHAnsi"/>
          <w:lang w:val="en-GB"/>
        </w:rPr>
        <w:t>compatible reuse</w:t>
      </w:r>
      <w:r w:rsidR="00CE250F" w:rsidRPr="00836D59">
        <w:rPr>
          <w:rFonts w:asciiTheme="minorHAnsi" w:hAnsiTheme="minorHAnsi"/>
          <w:lang w:val="en-GB"/>
        </w:rPr>
        <w:t>”</w:t>
      </w:r>
      <w:r w:rsidR="001F734E" w:rsidRPr="00836D59">
        <w:rPr>
          <w:rFonts w:asciiTheme="minorHAnsi" w:hAnsiTheme="minorHAnsi"/>
          <w:lang w:val="en-GB"/>
        </w:rPr>
        <w:t xml:space="preserve"> of personal data</w:t>
      </w:r>
      <w:r w:rsidR="008F562E" w:rsidRPr="00836D59">
        <w:rPr>
          <w:rFonts w:asciiTheme="minorHAnsi" w:hAnsiTheme="minorHAnsi"/>
          <w:lang w:val="en-GB"/>
        </w:rPr>
        <w:t xml:space="preserve">, </w:t>
      </w:r>
      <w:r w:rsidR="001F734E" w:rsidRPr="00836D59">
        <w:rPr>
          <w:rFonts w:asciiTheme="minorHAnsi" w:hAnsiTheme="minorHAnsi"/>
          <w:lang w:val="en-GB"/>
        </w:rPr>
        <w:t>impl</w:t>
      </w:r>
      <w:r w:rsidR="008F562E" w:rsidRPr="00836D59">
        <w:rPr>
          <w:rFonts w:asciiTheme="minorHAnsi" w:hAnsiTheme="minorHAnsi"/>
          <w:lang w:val="en-GB"/>
        </w:rPr>
        <w:t>ying</w:t>
      </w:r>
      <w:r w:rsidR="001F734E" w:rsidRPr="00836D59">
        <w:rPr>
          <w:rFonts w:asciiTheme="minorHAnsi" w:hAnsiTheme="minorHAnsi"/>
          <w:lang w:val="en-GB"/>
        </w:rPr>
        <w:t xml:space="preserve"> that the same legal ground for processing can be used as </w:t>
      </w:r>
      <w:r w:rsidR="008F562E" w:rsidRPr="00836D59">
        <w:rPr>
          <w:rFonts w:asciiTheme="minorHAnsi" w:hAnsiTheme="minorHAnsi"/>
          <w:lang w:val="en-GB"/>
        </w:rPr>
        <w:t xml:space="preserve">for </w:t>
      </w:r>
      <w:r w:rsidR="001F734E" w:rsidRPr="00836D59">
        <w:rPr>
          <w:rFonts w:asciiTheme="minorHAnsi" w:hAnsiTheme="minorHAnsi"/>
          <w:lang w:val="en-GB"/>
        </w:rPr>
        <w:t>the initial processing (Recital 50). In this regard, appropriate safeguards should be in place, including pseudonymi</w:t>
      </w:r>
      <w:r w:rsidR="00CE250F" w:rsidRPr="00836D59">
        <w:rPr>
          <w:rFonts w:asciiTheme="minorHAnsi" w:hAnsiTheme="minorHAnsi"/>
          <w:lang w:val="en-GB"/>
        </w:rPr>
        <w:t>z</w:t>
      </w:r>
      <w:r w:rsidR="001F734E" w:rsidRPr="00836D59">
        <w:rPr>
          <w:rFonts w:asciiTheme="minorHAnsi" w:hAnsiTheme="minorHAnsi"/>
          <w:lang w:val="en-GB"/>
        </w:rPr>
        <w:t>ation (Article 89).</w:t>
      </w:r>
      <w:r w:rsidR="00FA485A" w:rsidRPr="00836D59">
        <w:rPr>
          <w:rFonts w:asciiTheme="minorHAnsi" w:hAnsiTheme="minorHAnsi"/>
          <w:lang w:val="en-GB"/>
        </w:rPr>
        <w:t xml:space="preserve"> Anonymity and confidentiality are key requirements, including effectiveness of de-identification and </w:t>
      </w:r>
      <w:r w:rsidR="00D767B0" w:rsidRPr="00836D59">
        <w:rPr>
          <w:rFonts w:asciiTheme="minorHAnsi" w:hAnsiTheme="minorHAnsi"/>
          <w:lang w:val="en-GB"/>
        </w:rPr>
        <w:t xml:space="preserve">protection against </w:t>
      </w:r>
      <w:r w:rsidR="00FA485A" w:rsidRPr="00836D59">
        <w:rPr>
          <w:rFonts w:asciiTheme="minorHAnsi" w:hAnsiTheme="minorHAnsi"/>
          <w:lang w:val="en-GB"/>
        </w:rPr>
        <w:t>capacity for re-identification.</w:t>
      </w:r>
    </w:p>
    <w:p w14:paraId="2A120EEE" w14:textId="2737EE1D" w:rsidR="00A275D1" w:rsidRPr="00836D59" w:rsidRDefault="00A275D1" w:rsidP="00836D59">
      <w:pPr>
        <w:pStyle w:val="Heading4"/>
        <w:spacing w:line="360" w:lineRule="auto"/>
        <w:rPr>
          <w:rFonts w:asciiTheme="minorHAnsi" w:hAnsiTheme="minorHAnsi"/>
          <w:lang w:val="en-GB"/>
        </w:rPr>
      </w:pPr>
      <w:r w:rsidRPr="00836D59">
        <w:rPr>
          <w:rFonts w:asciiTheme="minorHAnsi" w:hAnsiTheme="minorHAnsi"/>
          <w:lang w:val="en-GB"/>
        </w:rPr>
        <w:t>Data subjects’ rights in the research context</w:t>
      </w:r>
    </w:p>
    <w:p w14:paraId="33BBC5E3" w14:textId="4C286E0B" w:rsidR="00512054" w:rsidRPr="00836D59" w:rsidRDefault="00A275D1" w:rsidP="00836D59">
      <w:pPr>
        <w:spacing w:line="360" w:lineRule="auto"/>
        <w:rPr>
          <w:rFonts w:asciiTheme="minorHAnsi" w:hAnsiTheme="minorHAnsi"/>
          <w:lang w:val="en-GB"/>
        </w:rPr>
      </w:pPr>
      <w:r w:rsidRPr="00836D59">
        <w:rPr>
          <w:rFonts w:asciiTheme="minorHAnsi" w:hAnsiTheme="minorHAnsi"/>
          <w:lang w:val="en-GB"/>
        </w:rPr>
        <w:t>Under the GDPR, data subjects</w:t>
      </w:r>
      <w:r w:rsidR="00624F81" w:rsidRPr="00836D59">
        <w:rPr>
          <w:rFonts w:asciiTheme="minorHAnsi" w:hAnsiTheme="minorHAnsi"/>
          <w:lang w:val="en-GB"/>
        </w:rPr>
        <w:t>’</w:t>
      </w:r>
      <w:r w:rsidRPr="00836D59">
        <w:rPr>
          <w:rFonts w:asciiTheme="minorHAnsi" w:hAnsiTheme="minorHAnsi"/>
          <w:lang w:val="en-GB"/>
        </w:rPr>
        <w:t xml:space="preserve"> rights may present additional challenges: </w:t>
      </w:r>
      <w:r w:rsidR="00016E8D" w:rsidRPr="00836D59">
        <w:rPr>
          <w:rFonts w:asciiTheme="minorHAnsi" w:hAnsiTheme="minorHAnsi"/>
          <w:lang w:val="en-GB"/>
        </w:rPr>
        <w:t xml:space="preserve">participants </w:t>
      </w:r>
      <w:r w:rsidRPr="00836D59">
        <w:rPr>
          <w:rFonts w:asciiTheme="minorHAnsi" w:hAnsiTheme="minorHAnsi"/>
          <w:lang w:val="en-GB"/>
        </w:rPr>
        <w:t xml:space="preserve">have a right to be informed and the </w:t>
      </w:r>
      <w:r w:rsidR="00221F62" w:rsidRPr="00836D59">
        <w:rPr>
          <w:rFonts w:asciiTheme="minorHAnsi" w:hAnsiTheme="minorHAnsi"/>
          <w:lang w:val="en-GB"/>
        </w:rPr>
        <w:t xml:space="preserve">Regulation </w:t>
      </w:r>
      <w:r w:rsidRPr="00836D59">
        <w:rPr>
          <w:rFonts w:asciiTheme="minorHAnsi" w:hAnsiTheme="minorHAnsi"/>
          <w:lang w:val="en-GB"/>
        </w:rPr>
        <w:t xml:space="preserve">contains notice requirements for the processing of personal data. </w:t>
      </w:r>
      <w:r w:rsidR="00F32FB5" w:rsidRPr="00836D59">
        <w:rPr>
          <w:rFonts w:asciiTheme="minorHAnsi" w:hAnsiTheme="minorHAnsi"/>
          <w:lang w:val="en-GB"/>
        </w:rPr>
        <w:t>F</w:t>
      </w:r>
      <w:r w:rsidR="008F562E" w:rsidRPr="00836D59">
        <w:rPr>
          <w:rFonts w:asciiTheme="minorHAnsi" w:hAnsiTheme="minorHAnsi"/>
          <w:lang w:val="en-GB"/>
        </w:rPr>
        <w:t>or research-related processing</w:t>
      </w:r>
      <w:r w:rsidR="00F32FB5" w:rsidRPr="00836D59">
        <w:rPr>
          <w:rFonts w:asciiTheme="minorHAnsi" w:hAnsiTheme="minorHAnsi"/>
          <w:lang w:val="en-GB"/>
        </w:rPr>
        <w:t>,</w:t>
      </w:r>
      <w:r w:rsidR="008F562E" w:rsidRPr="00836D59">
        <w:rPr>
          <w:rFonts w:asciiTheme="minorHAnsi" w:hAnsiTheme="minorHAnsi"/>
          <w:lang w:val="en-GB"/>
        </w:rPr>
        <w:t xml:space="preserve"> </w:t>
      </w:r>
      <w:r w:rsidR="00F32FB5" w:rsidRPr="00836D59">
        <w:rPr>
          <w:rFonts w:asciiTheme="minorHAnsi" w:hAnsiTheme="minorHAnsi"/>
          <w:lang w:val="en-GB"/>
        </w:rPr>
        <w:t xml:space="preserve">however, </w:t>
      </w:r>
      <w:r w:rsidRPr="00836D59">
        <w:rPr>
          <w:rFonts w:asciiTheme="minorHAnsi" w:hAnsiTheme="minorHAnsi"/>
          <w:lang w:val="en-GB"/>
        </w:rPr>
        <w:t xml:space="preserve">the GDPR relaxes the specificity </w:t>
      </w:r>
      <w:r w:rsidR="002279AC" w:rsidRPr="00836D59">
        <w:rPr>
          <w:rFonts w:asciiTheme="minorHAnsi" w:hAnsiTheme="minorHAnsi"/>
          <w:lang w:val="en-GB"/>
        </w:rPr>
        <w:t>of</w:t>
      </w:r>
      <w:r w:rsidRPr="00836D59">
        <w:rPr>
          <w:rFonts w:asciiTheme="minorHAnsi" w:hAnsiTheme="minorHAnsi"/>
          <w:lang w:val="en-GB"/>
        </w:rPr>
        <w:t xml:space="preserve"> notice required</w:t>
      </w:r>
      <w:r w:rsidR="00382916" w:rsidRPr="00836D59">
        <w:rPr>
          <w:rFonts w:asciiTheme="minorHAnsi" w:hAnsiTheme="minorHAnsi"/>
          <w:lang w:val="en-GB"/>
        </w:rPr>
        <w:t xml:space="preserve"> – for example</w:t>
      </w:r>
      <w:r w:rsidR="00531207" w:rsidRPr="00836D59">
        <w:rPr>
          <w:rFonts w:asciiTheme="minorHAnsi" w:hAnsiTheme="minorHAnsi"/>
          <w:lang w:val="en-GB"/>
        </w:rPr>
        <w:t xml:space="preserve">, </w:t>
      </w:r>
      <w:r w:rsidR="00382916" w:rsidRPr="00836D59">
        <w:rPr>
          <w:rFonts w:asciiTheme="minorHAnsi" w:hAnsiTheme="minorHAnsi"/>
          <w:lang w:val="en-GB"/>
        </w:rPr>
        <w:t xml:space="preserve">requiring </w:t>
      </w:r>
      <w:r w:rsidRPr="00836D59">
        <w:rPr>
          <w:rFonts w:asciiTheme="minorHAnsi" w:hAnsiTheme="minorHAnsi"/>
          <w:lang w:val="en-GB"/>
        </w:rPr>
        <w:t xml:space="preserve">consent only </w:t>
      </w:r>
      <w:r w:rsidR="00382916" w:rsidRPr="00836D59">
        <w:rPr>
          <w:rFonts w:asciiTheme="minorHAnsi" w:hAnsiTheme="minorHAnsi"/>
          <w:lang w:val="en-GB"/>
        </w:rPr>
        <w:t xml:space="preserve">for </w:t>
      </w:r>
      <w:r w:rsidRPr="00836D59">
        <w:rPr>
          <w:rFonts w:asciiTheme="minorHAnsi" w:hAnsiTheme="minorHAnsi"/>
          <w:lang w:val="en-GB"/>
        </w:rPr>
        <w:t xml:space="preserve">certain areas or parts of research projects (Recital 33). No notice is required for processing publicly available data, if provision of information would be impossible or would require a disproportionate effort, or if notice would render the research objective impossible or seriously impair it (Article 14 (5) (b)). </w:t>
      </w:r>
      <w:r w:rsidR="009B202D" w:rsidRPr="00836D59">
        <w:rPr>
          <w:rFonts w:asciiTheme="minorHAnsi" w:hAnsiTheme="minorHAnsi"/>
          <w:lang w:val="en-GB"/>
        </w:rPr>
        <w:t>However</w:t>
      </w:r>
      <w:r w:rsidRPr="00836D59">
        <w:rPr>
          <w:rFonts w:asciiTheme="minorHAnsi" w:hAnsiTheme="minorHAnsi"/>
          <w:lang w:val="en-GB"/>
        </w:rPr>
        <w:t xml:space="preserve">, it should be </w:t>
      </w:r>
      <w:r w:rsidR="00D70217" w:rsidRPr="00836D59">
        <w:rPr>
          <w:rFonts w:asciiTheme="minorHAnsi" w:hAnsiTheme="minorHAnsi"/>
          <w:lang w:val="en-GB"/>
        </w:rPr>
        <w:t>noted</w:t>
      </w:r>
      <w:r w:rsidRPr="00836D59">
        <w:rPr>
          <w:rFonts w:asciiTheme="minorHAnsi" w:hAnsiTheme="minorHAnsi"/>
          <w:lang w:val="en-GB"/>
        </w:rPr>
        <w:t xml:space="preserve"> that </w:t>
      </w:r>
      <w:r w:rsidR="00CE250F" w:rsidRPr="00836D59">
        <w:rPr>
          <w:rFonts w:asciiTheme="minorHAnsi" w:hAnsiTheme="minorHAnsi"/>
          <w:lang w:val="en-GB"/>
        </w:rPr>
        <w:t>“</w:t>
      </w:r>
      <w:r w:rsidR="00531207" w:rsidRPr="00836D59">
        <w:rPr>
          <w:rFonts w:asciiTheme="minorHAnsi" w:hAnsiTheme="minorHAnsi"/>
          <w:lang w:val="en-GB"/>
        </w:rPr>
        <w:t>disproportionate effort</w:t>
      </w:r>
      <w:r w:rsidR="00CE250F" w:rsidRPr="00836D59">
        <w:rPr>
          <w:rFonts w:asciiTheme="minorHAnsi" w:hAnsiTheme="minorHAnsi"/>
          <w:lang w:val="en-GB"/>
        </w:rPr>
        <w:t>”</w:t>
      </w:r>
      <w:r w:rsidR="00531207" w:rsidRPr="00836D59">
        <w:rPr>
          <w:rFonts w:asciiTheme="minorHAnsi" w:hAnsiTheme="minorHAnsi"/>
          <w:lang w:val="en-GB"/>
        </w:rPr>
        <w:t xml:space="preserve"> </w:t>
      </w:r>
      <w:r w:rsidR="000061FD" w:rsidRPr="00836D59">
        <w:rPr>
          <w:rFonts w:asciiTheme="minorHAnsi" w:hAnsiTheme="minorHAnsi"/>
          <w:lang w:val="en-GB"/>
        </w:rPr>
        <w:t>remains to be</w:t>
      </w:r>
      <w:r w:rsidR="00531207" w:rsidRPr="00836D59">
        <w:rPr>
          <w:rFonts w:asciiTheme="minorHAnsi" w:hAnsiTheme="minorHAnsi"/>
          <w:lang w:val="en-GB"/>
        </w:rPr>
        <w:t xml:space="preserve"> defined and that </w:t>
      </w:r>
      <w:r w:rsidRPr="00836D59">
        <w:rPr>
          <w:rFonts w:asciiTheme="minorHAnsi" w:hAnsiTheme="minorHAnsi"/>
          <w:lang w:val="en-GB"/>
        </w:rPr>
        <w:t xml:space="preserve">data subjects have a right to object to any personal data processing for research purposes, on grounds relating to </w:t>
      </w:r>
      <w:r w:rsidR="00221F62" w:rsidRPr="00836D59">
        <w:rPr>
          <w:rFonts w:asciiTheme="minorHAnsi" w:hAnsiTheme="minorHAnsi"/>
          <w:lang w:val="en-GB"/>
        </w:rPr>
        <w:t>their</w:t>
      </w:r>
      <w:r w:rsidRPr="00836D59">
        <w:rPr>
          <w:rFonts w:asciiTheme="minorHAnsi" w:hAnsiTheme="minorHAnsi"/>
          <w:lang w:val="en-GB"/>
        </w:rPr>
        <w:t xml:space="preserve"> particular situation (Article 21 (6)). Finally, with regard to data subjects</w:t>
      </w:r>
      <w:r w:rsidR="00624F81" w:rsidRPr="00836D59">
        <w:rPr>
          <w:rFonts w:asciiTheme="minorHAnsi" w:hAnsiTheme="minorHAnsi"/>
          <w:lang w:val="en-GB"/>
        </w:rPr>
        <w:t>’</w:t>
      </w:r>
      <w:r w:rsidRPr="00836D59">
        <w:rPr>
          <w:rFonts w:asciiTheme="minorHAnsi" w:hAnsiTheme="minorHAnsi"/>
          <w:lang w:val="en-GB"/>
        </w:rPr>
        <w:t xml:space="preserve"> right to erasure, the GDPR allows exemptions for research under certain conditions (Article 17 (3)). </w:t>
      </w:r>
      <w:r w:rsidR="00531207" w:rsidRPr="00836D59">
        <w:rPr>
          <w:rFonts w:asciiTheme="minorHAnsi" w:hAnsiTheme="minorHAnsi"/>
          <w:lang w:val="en-GB"/>
        </w:rPr>
        <w:t xml:space="preserve">Overall, therefore, </w:t>
      </w:r>
      <w:r w:rsidR="00221F62" w:rsidRPr="00836D59">
        <w:rPr>
          <w:rFonts w:asciiTheme="minorHAnsi" w:hAnsiTheme="minorHAnsi"/>
          <w:lang w:val="en-GB"/>
        </w:rPr>
        <w:t>it</w:t>
      </w:r>
      <w:r w:rsidR="00531207" w:rsidRPr="00836D59">
        <w:rPr>
          <w:rFonts w:asciiTheme="minorHAnsi" w:hAnsiTheme="minorHAnsi"/>
          <w:lang w:val="en-GB"/>
        </w:rPr>
        <w:t xml:space="preserve"> makes considerable allowance for research-related data processing.</w:t>
      </w:r>
    </w:p>
    <w:p w14:paraId="1A3840E9" w14:textId="11DA17EE" w:rsidR="00D81A62" w:rsidRPr="00836D59" w:rsidRDefault="008D3EC4" w:rsidP="00836D59">
      <w:pPr>
        <w:pStyle w:val="Heading4"/>
        <w:spacing w:line="360" w:lineRule="auto"/>
        <w:rPr>
          <w:rFonts w:asciiTheme="minorHAnsi" w:hAnsiTheme="minorHAnsi"/>
          <w:lang w:val="en-GB"/>
        </w:rPr>
      </w:pPr>
      <w:r w:rsidRPr="00836D59">
        <w:rPr>
          <w:rFonts w:asciiTheme="minorHAnsi" w:hAnsiTheme="minorHAnsi"/>
          <w:lang w:val="en-GB"/>
        </w:rPr>
        <w:t>P</w:t>
      </w:r>
      <w:r w:rsidR="005D6114" w:rsidRPr="00836D59">
        <w:rPr>
          <w:rFonts w:asciiTheme="minorHAnsi" w:hAnsiTheme="minorHAnsi"/>
          <w:lang w:val="en-GB"/>
        </w:rPr>
        <w:t>ersonal</w:t>
      </w:r>
      <w:r w:rsidR="002B1CC9" w:rsidRPr="00836D59">
        <w:rPr>
          <w:rFonts w:asciiTheme="minorHAnsi" w:hAnsiTheme="minorHAnsi"/>
          <w:lang w:val="en-GB"/>
        </w:rPr>
        <w:t xml:space="preserve"> or public data</w:t>
      </w:r>
    </w:p>
    <w:p w14:paraId="45A35CCC" w14:textId="4612851F" w:rsidR="00512054" w:rsidRPr="00836D59" w:rsidRDefault="002279AC" w:rsidP="00836D59">
      <w:pPr>
        <w:spacing w:line="360" w:lineRule="auto"/>
        <w:rPr>
          <w:rFonts w:asciiTheme="minorHAnsi" w:hAnsiTheme="minorHAnsi"/>
          <w:lang w:val="en-GB"/>
        </w:rPr>
      </w:pPr>
      <w:r w:rsidRPr="00836D59">
        <w:rPr>
          <w:rFonts w:asciiTheme="minorHAnsi" w:hAnsiTheme="minorHAnsi"/>
          <w:lang w:val="en-GB"/>
        </w:rPr>
        <w:t xml:space="preserve">One of the most challenging </w:t>
      </w:r>
      <w:r w:rsidR="004E6CDF" w:rsidRPr="00836D59">
        <w:rPr>
          <w:rFonts w:asciiTheme="minorHAnsi" w:hAnsiTheme="minorHAnsi"/>
          <w:lang w:val="en-GB"/>
        </w:rPr>
        <w:t>issues,</w:t>
      </w:r>
      <w:r w:rsidRPr="00836D59">
        <w:rPr>
          <w:rFonts w:asciiTheme="minorHAnsi" w:hAnsiTheme="minorHAnsi"/>
          <w:lang w:val="en-GB"/>
        </w:rPr>
        <w:t xml:space="preserve"> which remains </w:t>
      </w:r>
      <w:r w:rsidR="0013752D" w:rsidRPr="00836D59">
        <w:rPr>
          <w:rFonts w:asciiTheme="minorHAnsi" w:hAnsiTheme="minorHAnsi"/>
          <w:lang w:val="en-GB"/>
        </w:rPr>
        <w:t>under discussion</w:t>
      </w:r>
      <w:r w:rsidRPr="00836D59">
        <w:rPr>
          <w:rFonts w:asciiTheme="minorHAnsi" w:hAnsiTheme="minorHAnsi"/>
          <w:lang w:val="en-GB"/>
        </w:rPr>
        <w:t xml:space="preserve"> </w:t>
      </w:r>
      <w:r w:rsidRPr="00836D59">
        <w:rPr>
          <w:rFonts w:asciiTheme="minorHAnsi" w:hAnsiTheme="minorHAnsi"/>
          <w:i/>
          <w:lang w:val="en-GB"/>
        </w:rPr>
        <w:t>(</w:t>
      </w:r>
      <w:r w:rsidR="00D70217" w:rsidRPr="00836D59">
        <w:rPr>
          <w:rFonts w:asciiTheme="minorHAnsi" w:hAnsiTheme="minorHAnsi"/>
          <w:i/>
          <w:lang w:val="en-GB"/>
        </w:rPr>
        <w:t>1</w:t>
      </w:r>
      <w:r w:rsidR="00221F62" w:rsidRPr="00836D59">
        <w:rPr>
          <w:rFonts w:asciiTheme="minorHAnsi" w:hAnsiTheme="minorHAnsi"/>
          <w:i/>
          <w:lang w:val="en-GB"/>
        </w:rPr>
        <w:t>7</w:t>
      </w:r>
      <w:r w:rsidRPr="00836D59">
        <w:rPr>
          <w:rFonts w:asciiTheme="minorHAnsi" w:hAnsiTheme="minorHAnsi"/>
          <w:i/>
          <w:lang w:val="en-GB"/>
        </w:rPr>
        <w:t>)</w:t>
      </w:r>
      <w:r w:rsidRPr="00836D59">
        <w:rPr>
          <w:rFonts w:asciiTheme="minorHAnsi" w:hAnsiTheme="minorHAnsi"/>
          <w:lang w:val="en-GB"/>
        </w:rPr>
        <w:t xml:space="preserve">, is the question of when </w:t>
      </w:r>
      <w:r w:rsidR="00D32521" w:rsidRPr="00836D59">
        <w:rPr>
          <w:rFonts w:asciiTheme="minorHAnsi" w:hAnsiTheme="minorHAnsi"/>
          <w:lang w:val="en-GB"/>
        </w:rPr>
        <w:t>I</w:t>
      </w:r>
      <w:r w:rsidRPr="00836D59">
        <w:rPr>
          <w:rFonts w:asciiTheme="minorHAnsi" w:hAnsiTheme="minorHAnsi"/>
          <w:lang w:val="en-GB"/>
        </w:rPr>
        <w:t xml:space="preserve">nternet data </w:t>
      </w:r>
      <w:r w:rsidR="0013752D" w:rsidRPr="00836D59">
        <w:rPr>
          <w:rFonts w:asciiTheme="minorHAnsi" w:hAnsiTheme="minorHAnsi"/>
          <w:lang w:val="en-GB"/>
        </w:rPr>
        <w:t>may</w:t>
      </w:r>
      <w:r w:rsidRPr="00836D59">
        <w:rPr>
          <w:rFonts w:asciiTheme="minorHAnsi" w:hAnsiTheme="minorHAnsi"/>
          <w:lang w:val="en-GB"/>
        </w:rPr>
        <w:t xml:space="preserve"> be considered</w:t>
      </w:r>
      <w:r w:rsidR="001F734E" w:rsidRPr="00836D59">
        <w:rPr>
          <w:rFonts w:asciiTheme="minorHAnsi" w:hAnsiTheme="minorHAnsi"/>
          <w:lang w:val="en-GB"/>
        </w:rPr>
        <w:t xml:space="preserve"> public</w:t>
      </w:r>
      <w:r w:rsidRPr="00836D59">
        <w:rPr>
          <w:rFonts w:asciiTheme="minorHAnsi" w:hAnsiTheme="minorHAnsi"/>
          <w:lang w:val="en-GB"/>
        </w:rPr>
        <w:t xml:space="preserve"> </w:t>
      </w:r>
      <w:r w:rsidR="0013752D" w:rsidRPr="00836D59">
        <w:rPr>
          <w:rFonts w:asciiTheme="minorHAnsi" w:hAnsiTheme="minorHAnsi"/>
          <w:lang w:val="en-GB"/>
        </w:rPr>
        <w:t>(</w:t>
      </w:r>
      <w:r w:rsidRPr="00836D59">
        <w:rPr>
          <w:rFonts w:asciiTheme="minorHAnsi" w:hAnsiTheme="minorHAnsi"/>
          <w:lang w:val="en-GB"/>
        </w:rPr>
        <w:t>rather than private</w:t>
      </w:r>
      <w:r w:rsidR="0013752D" w:rsidRPr="00836D59">
        <w:rPr>
          <w:rFonts w:asciiTheme="minorHAnsi" w:hAnsiTheme="minorHAnsi"/>
          <w:lang w:val="en-GB"/>
        </w:rPr>
        <w:t>)</w:t>
      </w:r>
      <w:r w:rsidR="001F734E" w:rsidRPr="00836D59">
        <w:rPr>
          <w:rFonts w:asciiTheme="minorHAnsi" w:hAnsiTheme="minorHAnsi"/>
          <w:lang w:val="en-GB"/>
        </w:rPr>
        <w:t xml:space="preserve"> and therefore reasonably </w:t>
      </w:r>
      <w:r w:rsidR="00D70217" w:rsidRPr="00836D59">
        <w:rPr>
          <w:rFonts w:asciiTheme="minorHAnsi" w:hAnsiTheme="minorHAnsi"/>
          <w:lang w:val="en-GB"/>
        </w:rPr>
        <w:t xml:space="preserve">processed </w:t>
      </w:r>
      <w:r w:rsidR="001F734E" w:rsidRPr="00836D59">
        <w:rPr>
          <w:rFonts w:asciiTheme="minorHAnsi" w:hAnsiTheme="minorHAnsi"/>
          <w:lang w:val="en-GB"/>
        </w:rPr>
        <w:t>without users</w:t>
      </w:r>
      <w:r w:rsidR="00624F81" w:rsidRPr="00836D59">
        <w:rPr>
          <w:rFonts w:asciiTheme="minorHAnsi" w:hAnsiTheme="minorHAnsi"/>
          <w:lang w:val="en-GB"/>
        </w:rPr>
        <w:t>’</w:t>
      </w:r>
      <w:r w:rsidR="001F734E" w:rsidRPr="00836D59">
        <w:rPr>
          <w:rFonts w:asciiTheme="minorHAnsi" w:hAnsiTheme="minorHAnsi"/>
          <w:lang w:val="en-GB"/>
        </w:rPr>
        <w:t xml:space="preserve"> awareness or consent</w:t>
      </w:r>
      <w:r w:rsidRPr="00836D59">
        <w:rPr>
          <w:rFonts w:asciiTheme="minorHAnsi" w:hAnsiTheme="minorHAnsi"/>
          <w:lang w:val="en-GB"/>
        </w:rPr>
        <w:t xml:space="preserve">. </w:t>
      </w:r>
      <w:r w:rsidR="003853B3" w:rsidRPr="00836D59">
        <w:rPr>
          <w:rFonts w:asciiTheme="minorHAnsi" w:hAnsiTheme="minorHAnsi"/>
          <w:lang w:val="en-GB"/>
        </w:rPr>
        <w:t xml:space="preserve">It is important to note that even if social media data are legally public according to the terms of </w:t>
      </w:r>
      <w:r w:rsidR="00D32521" w:rsidRPr="00836D59">
        <w:rPr>
          <w:rFonts w:asciiTheme="minorHAnsi" w:hAnsiTheme="minorHAnsi"/>
          <w:lang w:val="en-GB"/>
        </w:rPr>
        <w:t>I</w:t>
      </w:r>
      <w:r w:rsidR="003853B3" w:rsidRPr="00836D59">
        <w:rPr>
          <w:rFonts w:asciiTheme="minorHAnsi" w:hAnsiTheme="minorHAnsi"/>
          <w:lang w:val="en-GB"/>
        </w:rPr>
        <w:t xml:space="preserve">nternet platforms, people may have reasonable expectations of privacy. </w:t>
      </w:r>
      <w:r w:rsidRPr="00836D59">
        <w:rPr>
          <w:rFonts w:asciiTheme="minorHAnsi" w:hAnsiTheme="minorHAnsi"/>
          <w:lang w:val="en-GB"/>
        </w:rPr>
        <w:t xml:space="preserve">Gelinas and colleagues propose that </w:t>
      </w:r>
      <w:r w:rsidR="00BC1C56" w:rsidRPr="00836D59">
        <w:rPr>
          <w:rFonts w:asciiTheme="minorHAnsi" w:hAnsiTheme="minorHAnsi"/>
          <w:lang w:val="en-GB"/>
        </w:rPr>
        <w:t>data are private when</w:t>
      </w:r>
      <w:r w:rsidRPr="00836D59">
        <w:rPr>
          <w:rFonts w:asciiTheme="minorHAnsi" w:hAnsiTheme="minorHAnsi"/>
          <w:lang w:val="en-GB"/>
        </w:rPr>
        <w:t xml:space="preserve"> users require a user name and password </w:t>
      </w:r>
      <w:r w:rsidRPr="00836D59">
        <w:rPr>
          <w:rFonts w:asciiTheme="minorHAnsi" w:hAnsiTheme="minorHAnsi"/>
          <w:i/>
          <w:lang w:val="en-GB"/>
        </w:rPr>
        <w:t>(</w:t>
      </w:r>
      <w:r w:rsidR="00D70217" w:rsidRPr="00836D59">
        <w:rPr>
          <w:rFonts w:asciiTheme="minorHAnsi" w:hAnsiTheme="minorHAnsi"/>
          <w:i/>
          <w:lang w:val="en-GB"/>
        </w:rPr>
        <w:t>1</w:t>
      </w:r>
      <w:r w:rsidR="0089653D" w:rsidRPr="00836D59">
        <w:rPr>
          <w:rFonts w:asciiTheme="minorHAnsi" w:hAnsiTheme="minorHAnsi"/>
          <w:i/>
          <w:lang w:val="en-GB"/>
        </w:rPr>
        <w:t>5</w:t>
      </w:r>
      <w:r w:rsidRPr="00836D59">
        <w:rPr>
          <w:rFonts w:asciiTheme="minorHAnsi" w:hAnsiTheme="minorHAnsi"/>
          <w:i/>
          <w:lang w:val="en-GB"/>
        </w:rPr>
        <w:t>)</w:t>
      </w:r>
      <w:r w:rsidRPr="00836D59">
        <w:rPr>
          <w:rFonts w:asciiTheme="minorHAnsi" w:hAnsiTheme="minorHAnsi"/>
          <w:lang w:val="en-GB"/>
        </w:rPr>
        <w:t xml:space="preserve">, yet research ethics committees have diverse views on this issue </w:t>
      </w:r>
      <w:r w:rsidRPr="00836D59">
        <w:rPr>
          <w:rFonts w:asciiTheme="minorHAnsi" w:hAnsiTheme="minorHAnsi"/>
          <w:i/>
          <w:lang w:val="en-GB"/>
        </w:rPr>
        <w:t>(</w:t>
      </w:r>
      <w:r w:rsidR="00D70217" w:rsidRPr="00836D59">
        <w:rPr>
          <w:rFonts w:asciiTheme="minorHAnsi" w:hAnsiTheme="minorHAnsi"/>
          <w:i/>
          <w:lang w:val="en-GB"/>
        </w:rPr>
        <w:t>1</w:t>
      </w:r>
      <w:r w:rsidR="0089653D" w:rsidRPr="00836D59">
        <w:rPr>
          <w:rFonts w:asciiTheme="minorHAnsi" w:hAnsiTheme="minorHAnsi"/>
          <w:i/>
          <w:lang w:val="en-GB"/>
        </w:rPr>
        <w:t>4</w:t>
      </w:r>
      <w:r w:rsidRPr="00836D59">
        <w:rPr>
          <w:rFonts w:asciiTheme="minorHAnsi" w:hAnsiTheme="minorHAnsi"/>
          <w:i/>
          <w:lang w:val="en-GB"/>
        </w:rPr>
        <w:t>)</w:t>
      </w:r>
      <w:r w:rsidRPr="00836D59">
        <w:rPr>
          <w:rFonts w:asciiTheme="minorHAnsi" w:hAnsiTheme="minorHAnsi"/>
          <w:lang w:val="en-GB"/>
        </w:rPr>
        <w:t xml:space="preserve"> and many social media platforms that require sign-in may generate publicly accessible data. </w:t>
      </w:r>
      <w:r w:rsidR="00ED76C8" w:rsidRPr="00836D59">
        <w:rPr>
          <w:rFonts w:asciiTheme="minorHAnsi" w:hAnsiTheme="minorHAnsi"/>
          <w:lang w:val="en-GB"/>
        </w:rPr>
        <w:t>For</w:t>
      </w:r>
      <w:r w:rsidR="00D12330" w:rsidRPr="00836D59">
        <w:rPr>
          <w:rFonts w:asciiTheme="minorHAnsi" w:hAnsiTheme="minorHAnsi"/>
          <w:lang w:val="en-GB"/>
        </w:rPr>
        <w:t xml:space="preserve"> </w:t>
      </w:r>
      <w:r w:rsidR="00CE250F" w:rsidRPr="00836D59">
        <w:rPr>
          <w:rFonts w:asciiTheme="minorHAnsi" w:hAnsiTheme="minorHAnsi"/>
          <w:lang w:val="en-GB"/>
        </w:rPr>
        <w:t>“</w:t>
      </w:r>
      <w:r w:rsidR="00D12330" w:rsidRPr="00836D59">
        <w:rPr>
          <w:rFonts w:asciiTheme="minorHAnsi" w:hAnsiTheme="minorHAnsi"/>
          <w:lang w:val="en-GB"/>
        </w:rPr>
        <w:t>big data</w:t>
      </w:r>
      <w:r w:rsidR="00CE250F" w:rsidRPr="00836D59">
        <w:rPr>
          <w:rFonts w:asciiTheme="minorHAnsi" w:hAnsiTheme="minorHAnsi"/>
          <w:lang w:val="en-GB"/>
        </w:rPr>
        <w:t>”</w:t>
      </w:r>
      <w:r w:rsidR="00D12330" w:rsidRPr="00836D59">
        <w:rPr>
          <w:rFonts w:asciiTheme="minorHAnsi" w:hAnsiTheme="minorHAnsi"/>
          <w:lang w:val="en-GB"/>
        </w:rPr>
        <w:t xml:space="preserve"> analyses, </w:t>
      </w:r>
      <w:r w:rsidR="00D36202" w:rsidRPr="00836D59">
        <w:rPr>
          <w:rFonts w:asciiTheme="minorHAnsi" w:hAnsiTheme="minorHAnsi"/>
          <w:lang w:val="en-GB"/>
        </w:rPr>
        <w:t>Nissenbaum has proposed</w:t>
      </w:r>
      <w:r w:rsidR="00ED76C8" w:rsidRPr="00836D59">
        <w:rPr>
          <w:rFonts w:asciiTheme="minorHAnsi" w:hAnsiTheme="minorHAnsi"/>
          <w:lang w:val="en-GB"/>
        </w:rPr>
        <w:t xml:space="preserve"> the</w:t>
      </w:r>
      <w:r w:rsidR="00D12330" w:rsidRPr="00836D59">
        <w:rPr>
          <w:rFonts w:asciiTheme="minorHAnsi" w:hAnsiTheme="minorHAnsi"/>
          <w:lang w:val="en-GB"/>
        </w:rPr>
        <w:t xml:space="preserve"> concept of </w:t>
      </w:r>
      <w:r w:rsidR="00CE250F" w:rsidRPr="00836D59">
        <w:rPr>
          <w:rFonts w:asciiTheme="minorHAnsi" w:hAnsiTheme="minorHAnsi"/>
          <w:lang w:val="en-GB"/>
        </w:rPr>
        <w:t>“</w:t>
      </w:r>
      <w:r w:rsidR="00D12330" w:rsidRPr="00836D59">
        <w:rPr>
          <w:rFonts w:asciiTheme="minorHAnsi" w:hAnsiTheme="minorHAnsi"/>
          <w:lang w:val="en-GB"/>
        </w:rPr>
        <w:t>contextual integrity</w:t>
      </w:r>
      <w:r w:rsidR="00CE250F" w:rsidRPr="00836D59">
        <w:rPr>
          <w:rFonts w:asciiTheme="minorHAnsi" w:hAnsiTheme="minorHAnsi"/>
          <w:lang w:val="en-GB"/>
        </w:rPr>
        <w:t>”</w:t>
      </w:r>
      <w:r w:rsidR="00D12330" w:rsidRPr="00836D59">
        <w:rPr>
          <w:rFonts w:asciiTheme="minorHAnsi" w:hAnsiTheme="minorHAnsi"/>
          <w:lang w:val="en-GB"/>
        </w:rPr>
        <w:t xml:space="preserve"> </w:t>
      </w:r>
      <w:r w:rsidR="00241EB0" w:rsidRPr="00836D59">
        <w:rPr>
          <w:rFonts w:asciiTheme="minorHAnsi" w:hAnsiTheme="minorHAnsi"/>
          <w:i/>
          <w:lang w:val="en-GB"/>
        </w:rPr>
        <w:t>(</w:t>
      </w:r>
      <w:r w:rsidR="00D12330" w:rsidRPr="00836D59">
        <w:rPr>
          <w:rFonts w:asciiTheme="minorHAnsi" w:hAnsiTheme="minorHAnsi"/>
          <w:i/>
          <w:lang w:val="en-GB"/>
        </w:rPr>
        <w:fldChar w:fldCharType="begin" w:fldLock="1"/>
      </w:r>
      <w:r w:rsidR="00D12330" w:rsidRPr="00836D59">
        <w:rPr>
          <w:rFonts w:asciiTheme="minorHAnsi" w:hAnsiTheme="minorHAnsi"/>
          <w:i/>
          <w:lang w:val="en-GB"/>
        </w:rPr>
        <w:instrText>ADDIN CSL_CITATION { "citationItems" : [ { "id" : "ITEM-1", "itemData" : { "author" : [ { "dropping-particle" : "", "family" : "Nissenbaum", "given" : "Helen", "non-dropping-particle" : "", "parse-names" : false, "suffix" : "" } ], "id" : "ITEM-1", "issued" : { "date-parts" : [ [ "2010" ] ] }, "publisher" : "Stanford University Press", "publisher-place" : "Stanford, CA", "title" : "Privacy in Context:Technology, Policy, and the Integrity of Social Life", "type" : "book" }, "uris" : [ "http://www.mendeley.com/documents/?uuid=d944402f-dcf9-4502-9916-275ca349c741" ] } ], "mendeley" : { "formattedCitation" : "(Nissenbaum, 2010)", "plainTextFormattedCitation" : "(Nissenbaum, 2010)", "previouslyFormattedCitation" : "(Nissenbaum, 2010)" }, "properties" : { "noteIndex" : 0 }, "schema" : "https://github.com/citation-style-language/schema/raw/master/csl-citation.json" }</w:instrText>
      </w:r>
      <w:r w:rsidR="00D12330" w:rsidRPr="00836D59">
        <w:rPr>
          <w:rFonts w:asciiTheme="minorHAnsi" w:hAnsiTheme="minorHAnsi"/>
          <w:i/>
          <w:lang w:val="en-GB"/>
        </w:rPr>
        <w:fldChar w:fldCharType="separate"/>
      </w:r>
      <w:r w:rsidR="00241EB0" w:rsidRPr="00836D59">
        <w:rPr>
          <w:rFonts w:asciiTheme="minorHAnsi" w:hAnsiTheme="minorHAnsi"/>
          <w:i/>
          <w:lang w:val="en-GB"/>
        </w:rPr>
        <w:t>1</w:t>
      </w:r>
      <w:r w:rsidR="00D36202" w:rsidRPr="00836D59">
        <w:rPr>
          <w:rFonts w:asciiTheme="minorHAnsi" w:hAnsiTheme="minorHAnsi"/>
          <w:i/>
          <w:lang w:val="en-GB"/>
        </w:rPr>
        <w:t>7</w:t>
      </w:r>
      <w:r w:rsidR="00D12330" w:rsidRPr="00836D59">
        <w:rPr>
          <w:rFonts w:asciiTheme="minorHAnsi" w:hAnsiTheme="minorHAnsi"/>
          <w:i/>
          <w:lang w:val="en-GB"/>
        </w:rPr>
        <w:t>)</w:t>
      </w:r>
      <w:r w:rsidR="00D12330" w:rsidRPr="00836D59">
        <w:rPr>
          <w:rFonts w:asciiTheme="minorHAnsi" w:hAnsiTheme="minorHAnsi"/>
          <w:i/>
          <w:lang w:val="en-GB"/>
        </w:rPr>
        <w:fldChar w:fldCharType="end"/>
      </w:r>
      <w:r w:rsidR="00ED76C8" w:rsidRPr="00836D59">
        <w:rPr>
          <w:rFonts w:asciiTheme="minorHAnsi" w:hAnsiTheme="minorHAnsi"/>
          <w:lang w:val="en-GB"/>
        </w:rPr>
        <w:t xml:space="preserve">, arguing </w:t>
      </w:r>
      <w:r w:rsidR="00D12330" w:rsidRPr="00836D59">
        <w:rPr>
          <w:rFonts w:asciiTheme="minorHAnsi" w:hAnsiTheme="minorHAnsi"/>
          <w:lang w:val="en-GB"/>
        </w:rPr>
        <w:t xml:space="preserve">that </w:t>
      </w:r>
      <w:r w:rsidR="00A97736" w:rsidRPr="00836D59">
        <w:rPr>
          <w:rFonts w:asciiTheme="minorHAnsi" w:hAnsiTheme="minorHAnsi"/>
          <w:lang w:val="en-GB"/>
        </w:rPr>
        <w:t xml:space="preserve">all social norms, including </w:t>
      </w:r>
      <w:r w:rsidR="00D12330" w:rsidRPr="00836D59">
        <w:rPr>
          <w:rFonts w:asciiTheme="minorHAnsi" w:hAnsiTheme="minorHAnsi"/>
          <w:lang w:val="en-GB"/>
        </w:rPr>
        <w:t>information norms</w:t>
      </w:r>
      <w:r w:rsidR="00A97736" w:rsidRPr="00836D59">
        <w:rPr>
          <w:rFonts w:asciiTheme="minorHAnsi" w:hAnsiTheme="minorHAnsi"/>
          <w:lang w:val="en-GB"/>
        </w:rPr>
        <w:t>,</w:t>
      </w:r>
      <w:r w:rsidR="00D12330" w:rsidRPr="00836D59">
        <w:rPr>
          <w:rFonts w:asciiTheme="minorHAnsi" w:hAnsiTheme="minorHAnsi"/>
          <w:lang w:val="en-GB"/>
        </w:rPr>
        <w:t xml:space="preserve"> are contextual </w:t>
      </w:r>
      <w:r w:rsidR="00306A17" w:rsidRPr="00836D59">
        <w:rPr>
          <w:rFonts w:asciiTheme="minorHAnsi" w:hAnsiTheme="minorHAnsi"/>
          <w:lang w:val="en-GB"/>
        </w:rPr>
        <w:t xml:space="preserve">and </w:t>
      </w:r>
      <w:r w:rsidR="00E312C2" w:rsidRPr="00836D59">
        <w:rPr>
          <w:rFonts w:asciiTheme="minorHAnsi" w:hAnsiTheme="minorHAnsi"/>
          <w:lang w:val="en-GB"/>
        </w:rPr>
        <w:t>chang</w:t>
      </w:r>
      <w:r w:rsidR="00306A17" w:rsidRPr="00836D59">
        <w:rPr>
          <w:rFonts w:asciiTheme="minorHAnsi" w:hAnsiTheme="minorHAnsi"/>
          <w:lang w:val="en-GB"/>
        </w:rPr>
        <w:t>e</w:t>
      </w:r>
      <w:r w:rsidR="00D12330" w:rsidRPr="00836D59">
        <w:rPr>
          <w:rFonts w:asciiTheme="minorHAnsi" w:hAnsiTheme="minorHAnsi"/>
          <w:lang w:val="en-GB"/>
        </w:rPr>
        <w:t xml:space="preserve"> over time and </w:t>
      </w:r>
      <w:r w:rsidR="00E312C2" w:rsidRPr="00836D59">
        <w:rPr>
          <w:rFonts w:asciiTheme="minorHAnsi" w:hAnsiTheme="minorHAnsi"/>
          <w:lang w:val="en-GB"/>
        </w:rPr>
        <w:t>location</w:t>
      </w:r>
      <w:r w:rsidR="00D12330" w:rsidRPr="00836D59">
        <w:rPr>
          <w:rFonts w:asciiTheme="minorHAnsi" w:hAnsiTheme="minorHAnsi"/>
          <w:lang w:val="en-GB"/>
        </w:rPr>
        <w:t xml:space="preserve"> </w:t>
      </w:r>
      <w:r w:rsidR="00D12330" w:rsidRPr="00836D59">
        <w:rPr>
          <w:rFonts w:asciiTheme="minorHAnsi" w:hAnsiTheme="minorHAnsi"/>
          <w:i/>
          <w:lang w:val="en-GB"/>
        </w:rPr>
        <w:t>(</w:t>
      </w:r>
      <w:r w:rsidR="00D12330" w:rsidRPr="00836D59">
        <w:rPr>
          <w:rFonts w:asciiTheme="minorHAnsi" w:hAnsiTheme="minorHAnsi"/>
          <w:i/>
          <w:lang w:val="en-GB"/>
        </w:rPr>
        <w:fldChar w:fldCharType="begin" w:fldLock="1"/>
      </w:r>
      <w:r w:rsidR="00D12330" w:rsidRPr="00836D59">
        <w:rPr>
          <w:rFonts w:asciiTheme="minorHAnsi" w:hAnsiTheme="minorHAnsi"/>
          <w:i/>
          <w:lang w:val="en-GB"/>
        </w:rPr>
        <w:instrText>ADDIN CSL_CITATION { "citationItems" : [ { "id" : "ITEM-1", "itemData" : { "DOI" : "http://dx.doi.org/10.1017/CBO9781107590205", "ISBN" : "9781107590205", "author" : [ { "dropping-particle" : "", "family" : "Barocas", "given" : "Solon", "non-dropping-particle" : "", "parse-names" : false, "suffix" : "" }, { "dropping-particle" : "", "family" : "Nissenbaum", "given" : "Helen", "non-dropping-particle" : "", "parse-names" : false, "suffix" : "" } ], "chapter-number" : "2", "container-title" : "Privacy, Big Data and the Public Good", "editor" : [ { "dropping-particle" : "", "family" : "Lane", "given" : "Julia", "non-dropping-particle" : "", "parse-names" : false, "suffix" : "" }, { "dropping-particle" : "", "family" : "Stodden", "given" : "Victoria", "non-dropping-particle" : "", "parse-names" : false, "suffix" : "" }, { "dropping-particle" : "", "family" : "Bender", "given" : "Stefan", "non-dropping-particle" : "", "parse-names" : false, "suffix" : "" }, { "dropping-particle" : "", "family" : "Nissenbaum", "given" : "Helena", "non-dropping-particle" : "", "parse-names" : false, "suffix" : "" } ], "id" : "ITEM-1", "issued" : { "date-parts" : [ [ "2014" ] ] }, "page" : "44-75", "publisher" : "Cambridge University Press", "publisher-place" : "Cambridge", "title" : "Big Data\u2019s End Run around Anonymity and Consent", "type" : "chapter" }, "uris" : [ "http://www.mendeley.com/documents/?uuid=530822c8-1590-4350-bc3b-5e832cd8a6ef" ] }, { "id" : "ITEM-2", "itemData" : { "ISBN" : "9780874216561", "ISSN" : "1467-954X", "abstract" : "AOIR has an ongoing commitment to ensuring that research on and about the Internet is conducted in an ethical and professional manner. The Ethics Committee, as composed of ethicists and researchers from various different countries, has produced two major reports to assist researchers in making ethical decisions in their research: 2012: Ethical decision-making and Internet research 2.0: Recommendations from the aoir ethics working committee.", "author" : [ { "dropping-particle" : "", "family" : "Association of Internet Researchers", "given" : "", "non-dropping-particle" : "", "parse-names" : false, "suffix" : "" } ], "container-title" : "Recommendations from the AoIR Ethics Working Committee (Version 2.0)", "id" : "ITEM-2", "issued" : { "date-parts" : [ [ "2012" ] ] }, "number-of-pages" : "19", "title" : "Ethical Decision-Making and Internet Research Recommendations from the AoIR Ethics Working Committee", "type" : "report" }, "uris" : [ "http://www.mendeley.com/documents/?uuid=56f8f2f3-8967-441e-a62e-d22224359365" ] } ], "mendeley" : { "formattedCitation" : "(Association of Internet Researchers, 2012; Barocas &amp; Nissenbaum, 2014)", "plainTextFormattedCitation" : "(Association of Internet Researchers, 2012; Barocas &amp; Nissenbaum, 2014)", "previouslyFormattedCitation" : "(Association of Internet Researchers, 2012; Barocas &amp; Nissenbaum, 2014)" }, "properties" : { "noteIndex" : 0 }, "schema" : "https://github.com/citation-style-language/schema/raw/master/csl-citation.json" }</w:instrText>
      </w:r>
      <w:r w:rsidR="00D12330" w:rsidRPr="00836D59">
        <w:rPr>
          <w:rFonts w:asciiTheme="minorHAnsi" w:hAnsiTheme="minorHAnsi"/>
          <w:i/>
          <w:lang w:val="en-GB"/>
        </w:rPr>
        <w:fldChar w:fldCharType="separate"/>
      </w:r>
      <w:r w:rsidR="00241EB0" w:rsidRPr="00836D59">
        <w:rPr>
          <w:rFonts w:asciiTheme="minorHAnsi" w:hAnsiTheme="minorHAnsi"/>
          <w:i/>
          <w:lang w:val="en-GB"/>
        </w:rPr>
        <w:t>9, 1</w:t>
      </w:r>
      <w:r w:rsidR="00D36202" w:rsidRPr="00836D59">
        <w:rPr>
          <w:rFonts w:asciiTheme="minorHAnsi" w:hAnsiTheme="minorHAnsi"/>
          <w:i/>
          <w:lang w:val="en-GB"/>
        </w:rPr>
        <w:t>7</w:t>
      </w:r>
      <w:r w:rsidR="00D12330" w:rsidRPr="00836D59">
        <w:rPr>
          <w:rFonts w:asciiTheme="minorHAnsi" w:hAnsiTheme="minorHAnsi"/>
          <w:i/>
          <w:lang w:val="en-GB"/>
        </w:rPr>
        <w:t>)</w:t>
      </w:r>
      <w:r w:rsidR="00D12330" w:rsidRPr="00836D59">
        <w:rPr>
          <w:rFonts w:asciiTheme="minorHAnsi" w:hAnsiTheme="minorHAnsi"/>
          <w:i/>
          <w:lang w:val="en-GB"/>
        </w:rPr>
        <w:fldChar w:fldCharType="end"/>
      </w:r>
      <w:r w:rsidR="00B85409" w:rsidRPr="00836D59">
        <w:rPr>
          <w:rFonts w:asciiTheme="minorHAnsi" w:hAnsiTheme="minorHAnsi"/>
          <w:lang w:val="en-GB"/>
        </w:rPr>
        <w:t>. However, contextual</w:t>
      </w:r>
      <w:r w:rsidR="00D12330" w:rsidRPr="00836D59">
        <w:rPr>
          <w:rFonts w:asciiTheme="minorHAnsi" w:hAnsiTheme="minorHAnsi"/>
          <w:lang w:val="en-GB"/>
        </w:rPr>
        <w:t xml:space="preserve"> integrity in the context of </w:t>
      </w:r>
      <w:r w:rsidR="00D12330" w:rsidRPr="00836D59">
        <w:rPr>
          <w:rFonts w:asciiTheme="minorHAnsi" w:hAnsiTheme="minorHAnsi"/>
          <w:i/>
          <w:lang w:val="en-GB"/>
        </w:rPr>
        <w:t>children</w:t>
      </w:r>
      <w:r w:rsidR="00624F81" w:rsidRPr="00836D59">
        <w:rPr>
          <w:rFonts w:asciiTheme="minorHAnsi" w:hAnsiTheme="minorHAnsi"/>
          <w:i/>
          <w:lang w:val="en-GB"/>
        </w:rPr>
        <w:t>’</w:t>
      </w:r>
      <w:r w:rsidR="00D12330" w:rsidRPr="00836D59">
        <w:rPr>
          <w:rFonts w:asciiTheme="minorHAnsi" w:hAnsiTheme="minorHAnsi"/>
          <w:i/>
          <w:lang w:val="en-GB"/>
        </w:rPr>
        <w:t>s</w:t>
      </w:r>
      <w:r w:rsidR="00D12330" w:rsidRPr="00836D59">
        <w:rPr>
          <w:rFonts w:asciiTheme="minorHAnsi" w:hAnsiTheme="minorHAnsi"/>
          <w:lang w:val="en-GB"/>
        </w:rPr>
        <w:t xml:space="preserve"> </w:t>
      </w:r>
      <w:r w:rsidR="00935CD7" w:rsidRPr="00836D59">
        <w:rPr>
          <w:rFonts w:asciiTheme="minorHAnsi" w:hAnsiTheme="minorHAnsi"/>
          <w:lang w:val="en-GB"/>
        </w:rPr>
        <w:t xml:space="preserve">use of </w:t>
      </w:r>
      <w:r w:rsidR="00D12330" w:rsidRPr="00836D59">
        <w:rPr>
          <w:rFonts w:asciiTheme="minorHAnsi" w:hAnsiTheme="minorHAnsi"/>
          <w:lang w:val="en-GB"/>
        </w:rPr>
        <w:t xml:space="preserve">social media </w:t>
      </w:r>
      <w:r w:rsidR="00321868" w:rsidRPr="00836D59">
        <w:rPr>
          <w:rFonts w:asciiTheme="minorHAnsi" w:hAnsiTheme="minorHAnsi"/>
          <w:lang w:val="en-GB"/>
        </w:rPr>
        <w:t xml:space="preserve">has </w:t>
      </w:r>
      <w:r w:rsidR="00D12330" w:rsidRPr="00836D59">
        <w:rPr>
          <w:rFonts w:asciiTheme="minorHAnsi" w:hAnsiTheme="minorHAnsi"/>
          <w:lang w:val="en-GB"/>
        </w:rPr>
        <w:t xml:space="preserve">not been </w:t>
      </w:r>
      <w:r w:rsidR="00321868" w:rsidRPr="00836D59">
        <w:rPr>
          <w:rFonts w:asciiTheme="minorHAnsi" w:hAnsiTheme="minorHAnsi"/>
          <w:lang w:val="en-GB"/>
        </w:rPr>
        <w:t>defined</w:t>
      </w:r>
      <w:r w:rsidR="00D12330" w:rsidRPr="00836D59">
        <w:rPr>
          <w:rFonts w:asciiTheme="minorHAnsi" w:hAnsiTheme="minorHAnsi"/>
          <w:lang w:val="en-GB"/>
        </w:rPr>
        <w:t xml:space="preserve">, to </w:t>
      </w:r>
      <w:r w:rsidR="00D0396A" w:rsidRPr="00836D59">
        <w:rPr>
          <w:rFonts w:asciiTheme="minorHAnsi" w:hAnsiTheme="minorHAnsi"/>
          <w:lang w:val="en-GB"/>
        </w:rPr>
        <w:t xml:space="preserve">the authors’ </w:t>
      </w:r>
      <w:r w:rsidR="00D12330" w:rsidRPr="00836D59">
        <w:rPr>
          <w:rFonts w:asciiTheme="minorHAnsi" w:hAnsiTheme="minorHAnsi"/>
          <w:lang w:val="en-GB"/>
        </w:rPr>
        <w:t xml:space="preserve">knowledge. </w:t>
      </w:r>
      <w:r w:rsidR="00B85409" w:rsidRPr="00836D59">
        <w:rPr>
          <w:rFonts w:asciiTheme="minorHAnsi" w:hAnsiTheme="minorHAnsi"/>
          <w:lang w:val="en-GB"/>
        </w:rPr>
        <w:t>A</w:t>
      </w:r>
      <w:r w:rsidR="00406B40" w:rsidRPr="00836D59">
        <w:rPr>
          <w:rFonts w:asciiTheme="minorHAnsi" w:hAnsiTheme="minorHAnsi"/>
          <w:lang w:val="en-GB"/>
        </w:rPr>
        <w:t>lthough a</w:t>
      </w:r>
      <w:r w:rsidR="00B85409" w:rsidRPr="00836D59">
        <w:rPr>
          <w:rFonts w:asciiTheme="minorHAnsi" w:hAnsiTheme="minorHAnsi"/>
          <w:lang w:val="en-GB"/>
        </w:rPr>
        <w:t xml:space="preserve">rguments </w:t>
      </w:r>
      <w:r w:rsidR="00C4532F" w:rsidRPr="00836D59">
        <w:rPr>
          <w:rFonts w:asciiTheme="minorHAnsi" w:hAnsiTheme="minorHAnsi"/>
          <w:lang w:val="en-GB"/>
        </w:rPr>
        <w:t>are regularly</w:t>
      </w:r>
      <w:r w:rsidR="00406B40" w:rsidRPr="00836D59">
        <w:rPr>
          <w:rFonts w:asciiTheme="minorHAnsi" w:hAnsiTheme="minorHAnsi"/>
          <w:lang w:val="en-GB"/>
        </w:rPr>
        <w:t xml:space="preserve"> made</w:t>
      </w:r>
      <w:r w:rsidR="00167F31" w:rsidRPr="00836D59">
        <w:rPr>
          <w:rFonts w:asciiTheme="minorHAnsi" w:hAnsiTheme="minorHAnsi"/>
          <w:lang w:val="en-GB"/>
        </w:rPr>
        <w:t xml:space="preserve"> by </w:t>
      </w:r>
      <w:r w:rsidR="00501CD2" w:rsidRPr="00836D59">
        <w:rPr>
          <w:rFonts w:asciiTheme="minorHAnsi" w:hAnsiTheme="minorHAnsi"/>
          <w:lang w:val="en-GB"/>
        </w:rPr>
        <w:t>I</w:t>
      </w:r>
      <w:r w:rsidR="00167F31" w:rsidRPr="00836D59">
        <w:rPr>
          <w:rFonts w:asciiTheme="minorHAnsi" w:hAnsiTheme="minorHAnsi"/>
          <w:lang w:val="en-GB"/>
        </w:rPr>
        <w:t>nternet and social media platforms</w:t>
      </w:r>
      <w:r w:rsidR="00406B40" w:rsidRPr="00836D59">
        <w:rPr>
          <w:rFonts w:asciiTheme="minorHAnsi" w:hAnsiTheme="minorHAnsi"/>
          <w:lang w:val="en-GB"/>
        </w:rPr>
        <w:t xml:space="preserve"> </w:t>
      </w:r>
      <w:r w:rsidR="00B85409" w:rsidRPr="00836D59">
        <w:rPr>
          <w:rFonts w:asciiTheme="minorHAnsi" w:hAnsiTheme="minorHAnsi"/>
          <w:lang w:val="en-GB"/>
        </w:rPr>
        <w:t>that young</w:t>
      </w:r>
      <w:r w:rsidR="00167F31" w:rsidRPr="00836D59">
        <w:rPr>
          <w:rFonts w:asciiTheme="minorHAnsi" w:hAnsiTheme="minorHAnsi"/>
          <w:lang w:val="en-GB"/>
        </w:rPr>
        <w:t>er</w:t>
      </w:r>
      <w:r w:rsidR="00B85409" w:rsidRPr="00836D59">
        <w:rPr>
          <w:rFonts w:asciiTheme="minorHAnsi" w:hAnsiTheme="minorHAnsi"/>
          <w:lang w:val="en-GB"/>
        </w:rPr>
        <w:t xml:space="preserve"> people are n</w:t>
      </w:r>
      <w:r w:rsidR="00C4532F" w:rsidRPr="00836D59">
        <w:rPr>
          <w:rFonts w:asciiTheme="minorHAnsi" w:hAnsiTheme="minorHAnsi"/>
          <w:lang w:val="en-GB"/>
        </w:rPr>
        <w:t>o longer interested in privacy</w:t>
      </w:r>
      <w:r w:rsidR="00B85409" w:rsidRPr="00836D59">
        <w:rPr>
          <w:rFonts w:asciiTheme="minorHAnsi" w:hAnsiTheme="minorHAnsi"/>
          <w:lang w:val="en-GB"/>
        </w:rPr>
        <w:t xml:space="preserve">, </w:t>
      </w:r>
      <w:r w:rsidR="00A51AFE" w:rsidRPr="00836D59">
        <w:rPr>
          <w:rFonts w:asciiTheme="minorHAnsi" w:hAnsiTheme="minorHAnsi"/>
          <w:lang w:val="en-GB"/>
        </w:rPr>
        <w:t xml:space="preserve">the evidence shows that </w:t>
      </w:r>
      <w:r w:rsidR="00DB13B5" w:rsidRPr="00836D59">
        <w:rPr>
          <w:rFonts w:asciiTheme="minorHAnsi" w:hAnsiTheme="minorHAnsi"/>
          <w:lang w:val="en-GB"/>
        </w:rPr>
        <w:t xml:space="preserve">children </w:t>
      </w:r>
      <w:r w:rsidR="00A51AFE" w:rsidRPr="00836D59">
        <w:rPr>
          <w:rFonts w:asciiTheme="minorHAnsi" w:hAnsiTheme="minorHAnsi"/>
          <w:lang w:val="en-GB"/>
        </w:rPr>
        <w:t xml:space="preserve">are not familiar with the contents of privacy policies and struggle to understand them </w:t>
      </w:r>
      <w:r w:rsidR="00A51AFE" w:rsidRPr="00836D59">
        <w:rPr>
          <w:rFonts w:asciiTheme="minorHAnsi" w:hAnsiTheme="minorHAnsi"/>
          <w:i/>
          <w:lang w:val="en-GB"/>
        </w:rPr>
        <w:t>(1</w:t>
      </w:r>
      <w:r w:rsidR="00D70217" w:rsidRPr="00836D59">
        <w:rPr>
          <w:rFonts w:asciiTheme="minorHAnsi" w:hAnsiTheme="minorHAnsi"/>
          <w:i/>
          <w:lang w:val="en-GB"/>
        </w:rPr>
        <w:t>8</w:t>
      </w:r>
      <w:r w:rsidR="00A51AFE" w:rsidRPr="00836D59">
        <w:rPr>
          <w:rFonts w:asciiTheme="minorHAnsi" w:hAnsiTheme="minorHAnsi"/>
          <w:i/>
          <w:lang w:val="en-GB"/>
        </w:rPr>
        <w:t>)</w:t>
      </w:r>
      <w:r w:rsidR="00DB13B5" w:rsidRPr="00836D59">
        <w:rPr>
          <w:rFonts w:asciiTheme="minorHAnsi" w:hAnsiTheme="minorHAnsi"/>
          <w:lang w:val="en-GB"/>
        </w:rPr>
        <w:t>. A</w:t>
      </w:r>
      <w:r w:rsidR="00481EE7" w:rsidRPr="00836D59">
        <w:rPr>
          <w:rFonts w:asciiTheme="minorHAnsi" w:hAnsiTheme="minorHAnsi"/>
          <w:lang w:val="en-GB"/>
        </w:rPr>
        <w:t xml:space="preserve"> more persuasive argument emerging from research in Europe and the United States of America is that adolescents </w:t>
      </w:r>
      <w:r w:rsidR="00A51AFE" w:rsidRPr="00836D59">
        <w:rPr>
          <w:rFonts w:asciiTheme="minorHAnsi" w:hAnsiTheme="minorHAnsi"/>
          <w:lang w:val="en-GB"/>
        </w:rPr>
        <w:t>accept that data sharing is a precondition to participation in their peer networks</w:t>
      </w:r>
      <w:r w:rsidR="00066900" w:rsidRPr="00836D59">
        <w:rPr>
          <w:rFonts w:asciiTheme="minorHAnsi" w:hAnsiTheme="minorHAnsi"/>
          <w:lang w:val="en-GB"/>
        </w:rPr>
        <w:t>,</w:t>
      </w:r>
      <w:r w:rsidR="00A51AFE" w:rsidRPr="00836D59">
        <w:rPr>
          <w:rFonts w:asciiTheme="minorHAnsi" w:hAnsiTheme="minorHAnsi"/>
          <w:lang w:val="en-GB"/>
        </w:rPr>
        <w:t xml:space="preserve"> but </w:t>
      </w:r>
      <w:r w:rsidR="00481EE7" w:rsidRPr="00836D59">
        <w:rPr>
          <w:rFonts w:asciiTheme="minorHAnsi" w:hAnsiTheme="minorHAnsi"/>
          <w:lang w:val="en-GB"/>
        </w:rPr>
        <w:t>carefully manage their online identities and social repu</w:t>
      </w:r>
      <w:r w:rsidR="00A51AFE" w:rsidRPr="00836D59">
        <w:rPr>
          <w:rFonts w:asciiTheme="minorHAnsi" w:hAnsiTheme="minorHAnsi"/>
          <w:lang w:val="en-GB"/>
        </w:rPr>
        <w:t xml:space="preserve">tations </w:t>
      </w:r>
      <w:r w:rsidR="00481EE7" w:rsidRPr="00836D59">
        <w:rPr>
          <w:rFonts w:asciiTheme="minorHAnsi" w:hAnsiTheme="minorHAnsi"/>
          <w:i/>
          <w:lang w:val="en-GB"/>
        </w:rPr>
        <w:t>(</w:t>
      </w:r>
      <w:r w:rsidR="00A54F83" w:rsidRPr="00836D59">
        <w:rPr>
          <w:rFonts w:asciiTheme="minorHAnsi" w:hAnsiTheme="minorHAnsi"/>
          <w:i/>
          <w:lang w:val="en-GB"/>
        </w:rPr>
        <w:t>3</w:t>
      </w:r>
      <w:r w:rsidR="00A51AFE" w:rsidRPr="00836D59">
        <w:rPr>
          <w:rFonts w:asciiTheme="minorHAnsi" w:hAnsiTheme="minorHAnsi"/>
          <w:i/>
          <w:lang w:val="en-GB"/>
        </w:rPr>
        <w:t>)</w:t>
      </w:r>
      <w:r w:rsidR="00A51AFE" w:rsidRPr="00836D59">
        <w:rPr>
          <w:rFonts w:asciiTheme="minorHAnsi" w:hAnsiTheme="minorHAnsi"/>
          <w:lang w:val="en-GB"/>
        </w:rPr>
        <w:t>. Therefore</w:t>
      </w:r>
      <w:r w:rsidR="00066900" w:rsidRPr="00836D59">
        <w:rPr>
          <w:rFonts w:asciiTheme="minorHAnsi" w:hAnsiTheme="minorHAnsi"/>
          <w:lang w:val="en-GB"/>
        </w:rPr>
        <w:t>,</w:t>
      </w:r>
      <w:r w:rsidR="00A51AFE" w:rsidRPr="00836D59">
        <w:rPr>
          <w:rFonts w:asciiTheme="minorHAnsi" w:hAnsiTheme="minorHAnsi"/>
          <w:lang w:val="en-GB"/>
        </w:rPr>
        <w:t xml:space="preserve"> these factors require consideration</w:t>
      </w:r>
      <w:r w:rsidR="00DB13B5" w:rsidRPr="00836D59">
        <w:rPr>
          <w:rFonts w:asciiTheme="minorHAnsi" w:hAnsiTheme="minorHAnsi"/>
          <w:lang w:val="en-GB"/>
        </w:rPr>
        <w:t xml:space="preserve"> as part of ethical practice and the avoidance of harm</w:t>
      </w:r>
      <w:r w:rsidR="00A51AFE" w:rsidRPr="00836D59">
        <w:rPr>
          <w:rFonts w:asciiTheme="minorHAnsi" w:hAnsiTheme="minorHAnsi"/>
          <w:lang w:val="en-GB"/>
        </w:rPr>
        <w:t xml:space="preserve">. Finally, </w:t>
      </w:r>
      <w:r w:rsidR="00B85409" w:rsidRPr="00836D59">
        <w:rPr>
          <w:rFonts w:asciiTheme="minorHAnsi" w:hAnsiTheme="minorHAnsi"/>
          <w:lang w:val="en-GB"/>
        </w:rPr>
        <w:t>data from others in the networks of</w:t>
      </w:r>
      <w:r w:rsidR="00296784" w:rsidRPr="00836D59">
        <w:rPr>
          <w:rFonts w:asciiTheme="minorHAnsi" w:hAnsiTheme="minorHAnsi"/>
          <w:lang w:val="en-GB"/>
        </w:rPr>
        <w:t xml:space="preserve"> those who have consented to research participation</w:t>
      </w:r>
      <w:r w:rsidR="00066900" w:rsidRPr="00836D59">
        <w:rPr>
          <w:rFonts w:asciiTheme="minorHAnsi" w:hAnsiTheme="minorHAnsi"/>
          <w:lang w:val="en-GB"/>
        </w:rPr>
        <w:t xml:space="preserve"> –</w:t>
      </w:r>
      <w:r w:rsidR="00D70217" w:rsidRPr="00836D59">
        <w:rPr>
          <w:rFonts w:asciiTheme="minorHAnsi" w:hAnsiTheme="minorHAnsi"/>
          <w:lang w:val="en-GB"/>
        </w:rPr>
        <w:t xml:space="preserve"> i.e. </w:t>
      </w:r>
      <w:r w:rsidR="00CE250F" w:rsidRPr="00836D59">
        <w:rPr>
          <w:rFonts w:asciiTheme="minorHAnsi" w:hAnsiTheme="minorHAnsi"/>
          <w:lang w:val="en-GB"/>
        </w:rPr>
        <w:t>“</w:t>
      </w:r>
      <w:r w:rsidR="00D70217" w:rsidRPr="00836D59">
        <w:rPr>
          <w:rFonts w:asciiTheme="minorHAnsi" w:hAnsiTheme="minorHAnsi"/>
          <w:lang w:val="en-GB"/>
        </w:rPr>
        <w:t>bystander</w:t>
      </w:r>
      <w:r w:rsidR="00CE250F" w:rsidRPr="00836D59">
        <w:rPr>
          <w:rFonts w:asciiTheme="minorHAnsi" w:hAnsiTheme="minorHAnsi"/>
          <w:lang w:val="en-GB"/>
        </w:rPr>
        <w:t>”</w:t>
      </w:r>
      <w:r w:rsidR="00D70217" w:rsidRPr="00836D59">
        <w:rPr>
          <w:rFonts w:asciiTheme="minorHAnsi" w:hAnsiTheme="minorHAnsi"/>
          <w:lang w:val="en-GB"/>
        </w:rPr>
        <w:t xml:space="preserve"> data</w:t>
      </w:r>
      <w:r w:rsidR="00066900" w:rsidRPr="00836D59">
        <w:rPr>
          <w:rFonts w:asciiTheme="minorHAnsi" w:hAnsiTheme="minorHAnsi"/>
          <w:lang w:val="en-GB"/>
        </w:rPr>
        <w:t xml:space="preserve"> –</w:t>
      </w:r>
      <w:r w:rsidR="00D70217" w:rsidRPr="00836D59">
        <w:rPr>
          <w:rFonts w:asciiTheme="minorHAnsi" w:hAnsiTheme="minorHAnsi"/>
          <w:lang w:val="en-GB"/>
        </w:rPr>
        <w:t xml:space="preserve"> should be accounted for and procedures articulated</w:t>
      </w:r>
      <w:r w:rsidR="001561E1" w:rsidRPr="00836D59">
        <w:rPr>
          <w:rFonts w:asciiTheme="minorHAnsi" w:hAnsiTheme="minorHAnsi"/>
          <w:lang w:val="en-GB"/>
        </w:rPr>
        <w:t>.</w:t>
      </w:r>
    </w:p>
    <w:p w14:paraId="53708F77" w14:textId="083EED02" w:rsidR="005D18DE" w:rsidRPr="00836D59" w:rsidRDefault="006C4AEC" w:rsidP="00836D59">
      <w:pPr>
        <w:pStyle w:val="Heading4"/>
        <w:spacing w:line="360" w:lineRule="auto"/>
        <w:rPr>
          <w:rFonts w:asciiTheme="minorHAnsi" w:hAnsiTheme="minorHAnsi"/>
          <w:lang w:val="en-GB"/>
        </w:rPr>
      </w:pPr>
      <w:r w:rsidRPr="00836D59">
        <w:rPr>
          <w:rFonts w:asciiTheme="minorHAnsi" w:hAnsiTheme="minorHAnsi"/>
          <w:lang w:val="en-GB"/>
        </w:rPr>
        <w:t>Sensitive information</w:t>
      </w:r>
      <w:r w:rsidR="00743141" w:rsidRPr="00836D59">
        <w:rPr>
          <w:rFonts w:asciiTheme="minorHAnsi" w:hAnsiTheme="minorHAnsi"/>
          <w:lang w:val="en-GB"/>
        </w:rPr>
        <w:t xml:space="preserve"> </w:t>
      </w:r>
    </w:p>
    <w:p w14:paraId="272BD4F4" w14:textId="4F89CA08" w:rsidR="00512054" w:rsidRPr="00836D59" w:rsidRDefault="00183E55" w:rsidP="00836D59">
      <w:pPr>
        <w:spacing w:line="360" w:lineRule="auto"/>
        <w:rPr>
          <w:rFonts w:asciiTheme="minorHAnsi" w:hAnsiTheme="minorHAnsi"/>
          <w:lang w:val="en-GB"/>
        </w:rPr>
      </w:pPr>
      <w:r w:rsidRPr="00836D59">
        <w:rPr>
          <w:rFonts w:asciiTheme="minorHAnsi" w:hAnsiTheme="minorHAnsi"/>
          <w:lang w:val="en-GB"/>
        </w:rPr>
        <w:t xml:space="preserve">Information extracted may prove reputationally </w:t>
      </w:r>
      <w:r w:rsidR="00663573" w:rsidRPr="00836D59">
        <w:rPr>
          <w:rFonts w:asciiTheme="minorHAnsi" w:hAnsiTheme="minorHAnsi"/>
          <w:lang w:val="en-GB"/>
        </w:rPr>
        <w:t>damaging</w:t>
      </w:r>
      <w:r w:rsidRPr="00836D59">
        <w:rPr>
          <w:rFonts w:asciiTheme="minorHAnsi" w:hAnsiTheme="minorHAnsi"/>
          <w:lang w:val="en-GB"/>
        </w:rPr>
        <w:t xml:space="preserve"> </w:t>
      </w:r>
      <w:r w:rsidR="00D70217" w:rsidRPr="00836D59">
        <w:rPr>
          <w:rFonts w:asciiTheme="minorHAnsi" w:hAnsiTheme="minorHAnsi"/>
          <w:lang w:val="en-GB"/>
        </w:rPr>
        <w:t>if, for instance,</w:t>
      </w:r>
      <w:r w:rsidR="006C4AEC" w:rsidRPr="00836D59">
        <w:rPr>
          <w:rFonts w:asciiTheme="minorHAnsi" w:hAnsiTheme="minorHAnsi"/>
          <w:lang w:val="en-GB"/>
        </w:rPr>
        <w:t xml:space="preserve"> </w:t>
      </w:r>
      <w:r w:rsidR="00663573" w:rsidRPr="00836D59">
        <w:rPr>
          <w:rFonts w:asciiTheme="minorHAnsi" w:hAnsiTheme="minorHAnsi"/>
          <w:lang w:val="en-GB"/>
        </w:rPr>
        <w:t>it</w:t>
      </w:r>
      <w:r w:rsidR="006C4AEC" w:rsidRPr="00836D59">
        <w:rPr>
          <w:rFonts w:asciiTheme="minorHAnsi" w:hAnsiTheme="minorHAnsi"/>
          <w:lang w:val="en-GB"/>
        </w:rPr>
        <w:t xml:space="preserve"> </w:t>
      </w:r>
      <w:r w:rsidR="00B61C50" w:rsidRPr="00836D59">
        <w:rPr>
          <w:rFonts w:asciiTheme="minorHAnsi" w:hAnsiTheme="minorHAnsi"/>
          <w:lang w:val="en-GB"/>
        </w:rPr>
        <w:t xml:space="preserve">might be </w:t>
      </w:r>
      <w:r w:rsidR="006C4AEC" w:rsidRPr="00836D59">
        <w:rPr>
          <w:rFonts w:asciiTheme="minorHAnsi" w:hAnsiTheme="minorHAnsi"/>
          <w:lang w:val="en-GB"/>
        </w:rPr>
        <w:t xml:space="preserve">used to analyse </w:t>
      </w:r>
      <w:r w:rsidRPr="00836D59">
        <w:rPr>
          <w:rFonts w:asciiTheme="minorHAnsi" w:hAnsiTheme="minorHAnsi"/>
          <w:lang w:val="en-GB"/>
        </w:rPr>
        <w:t>children</w:t>
      </w:r>
      <w:r w:rsidR="00624F81" w:rsidRPr="00836D59">
        <w:rPr>
          <w:rFonts w:asciiTheme="minorHAnsi" w:hAnsiTheme="minorHAnsi"/>
          <w:lang w:val="en-GB"/>
        </w:rPr>
        <w:t>’</w:t>
      </w:r>
      <w:r w:rsidRPr="00836D59">
        <w:rPr>
          <w:rFonts w:asciiTheme="minorHAnsi" w:hAnsiTheme="minorHAnsi"/>
          <w:lang w:val="en-GB"/>
        </w:rPr>
        <w:t xml:space="preserve">s engagement with </w:t>
      </w:r>
      <w:r w:rsidR="006C4AEC" w:rsidRPr="00836D59">
        <w:rPr>
          <w:rFonts w:asciiTheme="minorHAnsi" w:hAnsiTheme="minorHAnsi"/>
          <w:lang w:val="en-GB"/>
        </w:rPr>
        <w:t>alc</w:t>
      </w:r>
      <w:r w:rsidR="005D18DE" w:rsidRPr="00836D59">
        <w:rPr>
          <w:rFonts w:asciiTheme="minorHAnsi" w:hAnsiTheme="minorHAnsi"/>
          <w:lang w:val="en-GB"/>
        </w:rPr>
        <w:t>ohol advertising</w:t>
      </w:r>
      <w:r w:rsidR="00B61C50" w:rsidRPr="00836D59">
        <w:rPr>
          <w:rFonts w:asciiTheme="minorHAnsi" w:hAnsiTheme="minorHAnsi"/>
          <w:lang w:val="en-GB"/>
        </w:rPr>
        <w:t>,</w:t>
      </w:r>
      <w:r w:rsidR="00C16846" w:rsidRPr="00836D59">
        <w:rPr>
          <w:rFonts w:asciiTheme="minorHAnsi" w:hAnsiTheme="minorHAnsi"/>
          <w:lang w:val="en-GB"/>
        </w:rPr>
        <w:t xml:space="preserve"> or </w:t>
      </w:r>
      <w:r w:rsidR="00D70217" w:rsidRPr="00836D59">
        <w:rPr>
          <w:rFonts w:asciiTheme="minorHAnsi" w:hAnsiTheme="minorHAnsi"/>
          <w:lang w:val="en-GB"/>
        </w:rPr>
        <w:t xml:space="preserve">might </w:t>
      </w:r>
      <w:r w:rsidR="00591890" w:rsidRPr="00836D59">
        <w:rPr>
          <w:rFonts w:asciiTheme="minorHAnsi" w:hAnsiTheme="minorHAnsi"/>
          <w:lang w:val="en-GB"/>
        </w:rPr>
        <w:t xml:space="preserve">yield data regarding </w:t>
      </w:r>
      <w:r w:rsidR="00C16846" w:rsidRPr="00836D59">
        <w:rPr>
          <w:rFonts w:asciiTheme="minorHAnsi" w:hAnsiTheme="minorHAnsi"/>
          <w:lang w:val="en-GB"/>
        </w:rPr>
        <w:t>other sensitive topics</w:t>
      </w:r>
      <w:r w:rsidR="00B61C50" w:rsidRPr="00836D59">
        <w:rPr>
          <w:rFonts w:asciiTheme="minorHAnsi" w:hAnsiTheme="minorHAnsi"/>
          <w:lang w:val="en-GB"/>
        </w:rPr>
        <w:t>. T</w:t>
      </w:r>
      <w:r w:rsidR="000F104B" w:rsidRPr="00836D59">
        <w:rPr>
          <w:rFonts w:asciiTheme="minorHAnsi" w:hAnsiTheme="minorHAnsi"/>
          <w:lang w:val="en-GB"/>
        </w:rPr>
        <w:t xml:space="preserve">he risk/harm balance should be carefully considered. </w:t>
      </w:r>
      <w:r w:rsidR="009E6CB5" w:rsidRPr="00836D59">
        <w:rPr>
          <w:rFonts w:asciiTheme="minorHAnsi" w:hAnsiTheme="minorHAnsi"/>
          <w:lang w:val="en-GB"/>
        </w:rPr>
        <w:t xml:space="preserve">From a </w:t>
      </w:r>
      <w:r w:rsidR="005D6114" w:rsidRPr="00836D59">
        <w:rPr>
          <w:rFonts w:asciiTheme="minorHAnsi" w:hAnsiTheme="minorHAnsi"/>
          <w:lang w:val="en-GB"/>
        </w:rPr>
        <w:t>legal p</w:t>
      </w:r>
      <w:r w:rsidR="00F20F5A" w:rsidRPr="00836D59">
        <w:rPr>
          <w:rFonts w:asciiTheme="minorHAnsi" w:hAnsiTheme="minorHAnsi"/>
          <w:lang w:val="en-GB"/>
        </w:rPr>
        <w:t>erspective, sensitive data form</w:t>
      </w:r>
      <w:r w:rsidR="005D6114" w:rsidRPr="00836D59">
        <w:rPr>
          <w:rFonts w:asciiTheme="minorHAnsi" w:hAnsiTheme="minorHAnsi"/>
          <w:lang w:val="en-GB"/>
        </w:rPr>
        <w:t xml:space="preserve"> a subcategory of personal data (</w:t>
      </w:r>
      <w:r w:rsidR="00066900" w:rsidRPr="00836D59">
        <w:rPr>
          <w:rFonts w:asciiTheme="minorHAnsi" w:hAnsiTheme="minorHAnsi"/>
          <w:lang w:val="en-GB"/>
        </w:rPr>
        <w:t>such as</w:t>
      </w:r>
      <w:r w:rsidR="005D6114" w:rsidRPr="00836D59">
        <w:rPr>
          <w:rFonts w:asciiTheme="minorHAnsi" w:hAnsiTheme="minorHAnsi"/>
          <w:lang w:val="en-GB"/>
        </w:rPr>
        <w:t xml:space="preserve"> racial or ethnic origin, religious preference, genetic data</w:t>
      </w:r>
      <w:r w:rsidR="00066900" w:rsidRPr="00836D59">
        <w:rPr>
          <w:rFonts w:asciiTheme="minorHAnsi" w:hAnsiTheme="minorHAnsi"/>
          <w:lang w:val="en-GB"/>
        </w:rPr>
        <w:t xml:space="preserve"> and so on</w:t>
      </w:r>
      <w:r w:rsidR="005D6114" w:rsidRPr="00836D59">
        <w:rPr>
          <w:rFonts w:asciiTheme="minorHAnsi" w:hAnsiTheme="minorHAnsi"/>
          <w:lang w:val="en-GB"/>
        </w:rPr>
        <w:t>)</w:t>
      </w:r>
      <w:r w:rsidR="00066900" w:rsidRPr="00836D59">
        <w:rPr>
          <w:rFonts w:asciiTheme="minorHAnsi" w:hAnsiTheme="minorHAnsi"/>
          <w:lang w:val="en-GB"/>
        </w:rPr>
        <w:t>,</w:t>
      </w:r>
      <w:r w:rsidR="005D6114" w:rsidRPr="00836D59">
        <w:rPr>
          <w:rFonts w:asciiTheme="minorHAnsi" w:hAnsiTheme="minorHAnsi"/>
          <w:lang w:val="en-GB"/>
        </w:rPr>
        <w:t xml:space="preserve"> which can be processed lawfully for research purposes, if appropriate safeguards are in place (Article 9 (2)(j)).</w:t>
      </w:r>
      <w:r w:rsidR="00743141" w:rsidRPr="00836D59">
        <w:rPr>
          <w:rFonts w:asciiTheme="minorHAnsi" w:hAnsiTheme="minorHAnsi"/>
          <w:lang w:val="en-GB"/>
        </w:rPr>
        <w:t xml:space="preserve"> </w:t>
      </w:r>
    </w:p>
    <w:p w14:paraId="719D3598" w14:textId="77777777" w:rsidR="00EB33BA" w:rsidRPr="00836D59" w:rsidRDefault="00EB33BA" w:rsidP="00836D59">
      <w:pPr>
        <w:pStyle w:val="Heading4"/>
        <w:spacing w:line="360" w:lineRule="auto"/>
        <w:rPr>
          <w:rFonts w:asciiTheme="minorHAnsi" w:hAnsiTheme="minorHAnsi"/>
        </w:rPr>
      </w:pPr>
      <w:r w:rsidRPr="00836D59">
        <w:rPr>
          <w:rFonts w:asciiTheme="minorHAnsi" w:hAnsiTheme="minorHAnsi"/>
        </w:rPr>
        <w:t>Safeguarding</w:t>
      </w:r>
    </w:p>
    <w:p w14:paraId="57955C1F" w14:textId="74187197" w:rsidR="00512054" w:rsidRPr="00836D59" w:rsidRDefault="00EB33BA" w:rsidP="00836D59">
      <w:pPr>
        <w:spacing w:line="360" w:lineRule="auto"/>
        <w:rPr>
          <w:rFonts w:asciiTheme="minorHAnsi" w:hAnsiTheme="minorHAnsi"/>
        </w:rPr>
      </w:pPr>
      <w:r w:rsidRPr="00836D59">
        <w:rPr>
          <w:rFonts w:asciiTheme="minorHAnsi" w:hAnsiTheme="minorHAnsi"/>
        </w:rPr>
        <w:t>Researchers exploring social media data, especially those generated by minors or other vulnerable people, need to have in place protocols for managing risks of uncovering evidence of criminal or other harmful activity that may, depending on local legal frameworks, impel them to take actions that would breach generic confidentiality conditions, such as informing police, health or other relevant authorities. For example</w:t>
      </w:r>
      <w:r w:rsidR="00413026" w:rsidRPr="00836D59">
        <w:rPr>
          <w:rFonts w:asciiTheme="minorHAnsi" w:hAnsiTheme="minorHAnsi"/>
        </w:rPr>
        <w:t>,</w:t>
      </w:r>
      <w:r w:rsidRPr="00836D59">
        <w:rPr>
          <w:rFonts w:asciiTheme="minorHAnsi" w:hAnsiTheme="minorHAnsi"/>
        </w:rPr>
        <w:t xml:space="preserve"> risks can include evidence of physical or sexual abuse, serious mental health issues, or radicalization for terrorism.</w:t>
      </w:r>
    </w:p>
    <w:p w14:paraId="6D14A7A3" w14:textId="05A24082" w:rsidR="006C4AEC" w:rsidRPr="00836D59" w:rsidRDefault="006C4AEC" w:rsidP="00836D59">
      <w:pPr>
        <w:pStyle w:val="Heading4"/>
        <w:spacing w:line="360" w:lineRule="auto"/>
        <w:rPr>
          <w:rFonts w:asciiTheme="minorHAnsi" w:hAnsiTheme="minorHAnsi"/>
          <w:lang w:val="en-GB"/>
        </w:rPr>
      </w:pPr>
      <w:r w:rsidRPr="00836D59">
        <w:rPr>
          <w:rFonts w:asciiTheme="minorHAnsi" w:hAnsiTheme="minorHAnsi"/>
          <w:lang w:val="en-GB"/>
        </w:rPr>
        <w:t>Security in data processing (storage, classification, management)</w:t>
      </w:r>
      <w:r w:rsidR="000F104B" w:rsidRPr="00836D59">
        <w:rPr>
          <w:rFonts w:asciiTheme="minorHAnsi" w:hAnsiTheme="minorHAnsi"/>
          <w:lang w:val="en-GB"/>
        </w:rPr>
        <w:t>;</w:t>
      </w:r>
      <w:r w:rsidR="00413026" w:rsidRPr="00836D59">
        <w:rPr>
          <w:rFonts w:asciiTheme="minorHAnsi" w:hAnsiTheme="minorHAnsi"/>
          <w:lang w:val="en-GB"/>
        </w:rPr>
        <w:t xml:space="preserve"> </w:t>
      </w:r>
      <w:r w:rsidR="00066900" w:rsidRPr="00836D59">
        <w:rPr>
          <w:rFonts w:asciiTheme="minorHAnsi" w:hAnsiTheme="minorHAnsi"/>
          <w:lang w:val="en-GB"/>
        </w:rPr>
        <w:t>d</w:t>
      </w:r>
      <w:r w:rsidR="000F104B" w:rsidRPr="00836D59">
        <w:rPr>
          <w:rFonts w:asciiTheme="minorHAnsi" w:hAnsiTheme="minorHAnsi"/>
          <w:lang w:val="en-GB"/>
        </w:rPr>
        <w:t>ata sharing (including cross-border)</w:t>
      </w:r>
    </w:p>
    <w:p w14:paraId="17FBF60B" w14:textId="68CAA224" w:rsidR="00512054" w:rsidRPr="00836D59" w:rsidRDefault="00BD3A11" w:rsidP="00836D59">
      <w:pPr>
        <w:spacing w:line="360" w:lineRule="auto"/>
        <w:rPr>
          <w:rFonts w:asciiTheme="minorHAnsi" w:hAnsiTheme="minorHAnsi"/>
          <w:lang w:val="en-GB"/>
        </w:rPr>
      </w:pPr>
      <w:r w:rsidRPr="00836D59">
        <w:rPr>
          <w:rFonts w:asciiTheme="minorHAnsi" w:hAnsiTheme="minorHAnsi"/>
          <w:lang w:val="en-GB"/>
        </w:rPr>
        <w:t>A</w:t>
      </w:r>
      <w:r w:rsidR="008E3E90" w:rsidRPr="00836D59">
        <w:rPr>
          <w:rFonts w:asciiTheme="minorHAnsi" w:hAnsiTheme="minorHAnsi"/>
          <w:lang w:val="en-GB"/>
        </w:rPr>
        <w:t xml:space="preserve"> level of security appropriate to the risk (Article 24) </w:t>
      </w:r>
      <w:r w:rsidRPr="00836D59">
        <w:rPr>
          <w:rFonts w:asciiTheme="minorHAnsi" w:hAnsiTheme="minorHAnsi"/>
          <w:lang w:val="en-GB"/>
        </w:rPr>
        <w:t>should be ensured</w:t>
      </w:r>
      <w:r w:rsidR="00A10533" w:rsidRPr="00836D59">
        <w:rPr>
          <w:rFonts w:asciiTheme="minorHAnsi" w:hAnsiTheme="minorHAnsi"/>
          <w:lang w:val="en-GB"/>
        </w:rPr>
        <w:t>,</w:t>
      </w:r>
      <w:r w:rsidRPr="00836D59">
        <w:rPr>
          <w:rFonts w:asciiTheme="minorHAnsi" w:hAnsiTheme="minorHAnsi"/>
          <w:lang w:val="en-GB"/>
        </w:rPr>
        <w:t xml:space="preserve"> </w:t>
      </w:r>
      <w:r w:rsidR="008E3E90" w:rsidRPr="00836D59">
        <w:rPr>
          <w:rFonts w:asciiTheme="minorHAnsi" w:hAnsiTheme="minorHAnsi"/>
          <w:lang w:val="en-GB"/>
        </w:rPr>
        <w:t xml:space="preserve">and </w:t>
      </w:r>
      <w:r w:rsidRPr="00836D59">
        <w:rPr>
          <w:rFonts w:asciiTheme="minorHAnsi" w:hAnsiTheme="minorHAnsi"/>
          <w:lang w:val="en-GB"/>
        </w:rPr>
        <w:t xml:space="preserve">data </w:t>
      </w:r>
      <w:r w:rsidR="008E3E90" w:rsidRPr="00836D59">
        <w:rPr>
          <w:rFonts w:asciiTheme="minorHAnsi" w:hAnsiTheme="minorHAnsi"/>
          <w:lang w:val="en-GB"/>
        </w:rPr>
        <w:t>only store</w:t>
      </w:r>
      <w:r w:rsidRPr="00836D59">
        <w:rPr>
          <w:rFonts w:asciiTheme="minorHAnsi" w:hAnsiTheme="minorHAnsi"/>
          <w:lang w:val="en-GB"/>
        </w:rPr>
        <w:t>d</w:t>
      </w:r>
      <w:r w:rsidR="008E3E90" w:rsidRPr="00836D59">
        <w:rPr>
          <w:rFonts w:asciiTheme="minorHAnsi" w:hAnsiTheme="minorHAnsi"/>
          <w:lang w:val="en-GB"/>
        </w:rPr>
        <w:t xml:space="preserve"> in a form which permits identification for </w:t>
      </w:r>
      <w:r w:rsidRPr="00836D59">
        <w:rPr>
          <w:rFonts w:asciiTheme="minorHAnsi" w:hAnsiTheme="minorHAnsi"/>
          <w:lang w:val="en-GB"/>
        </w:rPr>
        <w:t>as long as</w:t>
      </w:r>
      <w:r w:rsidR="008E3E90" w:rsidRPr="00836D59">
        <w:rPr>
          <w:rFonts w:asciiTheme="minorHAnsi" w:hAnsiTheme="minorHAnsi"/>
          <w:lang w:val="en-GB"/>
        </w:rPr>
        <w:t xml:space="preserve"> necessary (Article 5 (c)).</w:t>
      </w:r>
      <w:r w:rsidRPr="00836D59">
        <w:rPr>
          <w:rFonts w:asciiTheme="minorHAnsi" w:hAnsiTheme="minorHAnsi"/>
          <w:lang w:val="en-GB"/>
        </w:rPr>
        <w:t xml:space="preserve"> Transfers of personal data to third countries or international organi</w:t>
      </w:r>
      <w:r w:rsidR="00CE250F" w:rsidRPr="00836D59">
        <w:rPr>
          <w:rFonts w:asciiTheme="minorHAnsi" w:hAnsiTheme="minorHAnsi"/>
          <w:lang w:val="en-GB"/>
        </w:rPr>
        <w:t>z</w:t>
      </w:r>
      <w:r w:rsidRPr="00836D59">
        <w:rPr>
          <w:rFonts w:asciiTheme="minorHAnsi" w:hAnsiTheme="minorHAnsi"/>
          <w:lang w:val="en-GB"/>
        </w:rPr>
        <w:t>ations must c</w:t>
      </w:r>
      <w:r w:rsidR="008E3E90" w:rsidRPr="00836D59">
        <w:rPr>
          <w:rFonts w:asciiTheme="minorHAnsi" w:hAnsiTheme="minorHAnsi"/>
          <w:lang w:val="en-GB"/>
        </w:rPr>
        <w:t xml:space="preserve">omply with </w:t>
      </w:r>
      <w:r w:rsidRPr="00836D59">
        <w:rPr>
          <w:rFonts w:asciiTheme="minorHAnsi" w:hAnsiTheme="minorHAnsi"/>
          <w:lang w:val="en-GB"/>
        </w:rPr>
        <w:t>GDPR requirements.</w:t>
      </w:r>
    </w:p>
    <w:p w14:paraId="2707DCE1" w14:textId="39FCF0B3" w:rsidR="002279AC" w:rsidRPr="00836D59" w:rsidRDefault="002279AC" w:rsidP="00836D59">
      <w:pPr>
        <w:pStyle w:val="Heading4"/>
        <w:spacing w:line="360" w:lineRule="auto"/>
        <w:rPr>
          <w:rFonts w:asciiTheme="minorHAnsi" w:hAnsiTheme="minorHAnsi"/>
          <w:lang w:val="en-GB"/>
        </w:rPr>
      </w:pPr>
      <w:r w:rsidRPr="00836D59">
        <w:rPr>
          <w:rFonts w:asciiTheme="minorHAnsi" w:hAnsiTheme="minorHAnsi"/>
          <w:lang w:val="en-GB"/>
        </w:rPr>
        <w:t>Participation</w:t>
      </w:r>
      <w:r w:rsidR="009F3DAB" w:rsidRPr="00836D59">
        <w:rPr>
          <w:rFonts w:asciiTheme="minorHAnsi" w:hAnsiTheme="minorHAnsi"/>
          <w:lang w:val="en-GB"/>
        </w:rPr>
        <w:t xml:space="preserve">: </w:t>
      </w:r>
      <w:r w:rsidR="008A0FD6" w:rsidRPr="00836D59">
        <w:rPr>
          <w:rFonts w:asciiTheme="minorHAnsi" w:hAnsiTheme="minorHAnsi"/>
          <w:lang w:val="en-GB"/>
        </w:rPr>
        <w:t>a</w:t>
      </w:r>
      <w:r w:rsidR="009F3DAB" w:rsidRPr="00836D59">
        <w:rPr>
          <w:rFonts w:asciiTheme="minorHAnsi" w:hAnsiTheme="minorHAnsi"/>
          <w:lang w:val="en-GB"/>
        </w:rPr>
        <w:t>ge of consent</w:t>
      </w:r>
    </w:p>
    <w:p w14:paraId="381AC33D" w14:textId="40BB3BAF" w:rsidR="00512054" w:rsidRPr="00836D59" w:rsidRDefault="002279AC" w:rsidP="00836D59">
      <w:pPr>
        <w:spacing w:line="360" w:lineRule="auto"/>
        <w:rPr>
          <w:rFonts w:asciiTheme="minorHAnsi" w:hAnsiTheme="minorHAnsi"/>
          <w:lang w:val="en-GB"/>
        </w:rPr>
      </w:pPr>
      <w:r w:rsidRPr="00836D59">
        <w:rPr>
          <w:rFonts w:asciiTheme="minorHAnsi" w:hAnsiTheme="minorHAnsi"/>
          <w:lang w:val="en-GB"/>
        </w:rPr>
        <w:t>The age at which children/young people may legally consent to taking part in research on their own behalf varies across jurisdictions.</w:t>
      </w:r>
    </w:p>
    <w:p w14:paraId="1D571C4B" w14:textId="6405033F" w:rsidR="008468DA" w:rsidRPr="00836D59" w:rsidRDefault="003024EA" w:rsidP="00836D59">
      <w:pPr>
        <w:pStyle w:val="Heading4"/>
        <w:spacing w:line="360" w:lineRule="auto"/>
        <w:rPr>
          <w:rFonts w:asciiTheme="minorHAnsi" w:hAnsiTheme="minorHAnsi"/>
          <w:lang w:val="en-GB"/>
        </w:rPr>
      </w:pPr>
      <w:r w:rsidRPr="00836D59">
        <w:rPr>
          <w:rFonts w:asciiTheme="minorHAnsi" w:hAnsiTheme="minorHAnsi"/>
          <w:lang w:val="en-GB"/>
        </w:rPr>
        <w:t xml:space="preserve">Consent </w:t>
      </w:r>
      <w:r w:rsidR="00FA2D69" w:rsidRPr="00836D59">
        <w:rPr>
          <w:rFonts w:asciiTheme="minorHAnsi" w:hAnsiTheme="minorHAnsi"/>
          <w:lang w:val="en-GB"/>
        </w:rPr>
        <w:t>to participate</w:t>
      </w:r>
      <w:r w:rsidR="00624F81" w:rsidRPr="00836D59">
        <w:rPr>
          <w:rFonts w:asciiTheme="minorHAnsi" w:hAnsiTheme="minorHAnsi"/>
          <w:lang w:val="en-GB"/>
        </w:rPr>
        <w:t xml:space="preserve"> </w:t>
      </w:r>
      <w:r w:rsidRPr="00836D59">
        <w:rPr>
          <w:rFonts w:asciiTheme="minorHAnsi" w:hAnsiTheme="minorHAnsi"/>
          <w:lang w:val="en-GB"/>
        </w:rPr>
        <w:t xml:space="preserve">and withdrawal procedures, including </w:t>
      </w:r>
      <w:r w:rsidR="00D3176B" w:rsidRPr="00836D59">
        <w:rPr>
          <w:rFonts w:asciiTheme="minorHAnsi" w:hAnsiTheme="minorHAnsi"/>
          <w:lang w:val="en-GB"/>
        </w:rPr>
        <w:t>“</w:t>
      </w:r>
      <w:r w:rsidRPr="00836D59">
        <w:rPr>
          <w:rFonts w:asciiTheme="minorHAnsi" w:hAnsiTheme="minorHAnsi"/>
          <w:lang w:val="en-GB"/>
        </w:rPr>
        <w:t>i</w:t>
      </w:r>
      <w:r w:rsidR="002279AC" w:rsidRPr="00836D59">
        <w:rPr>
          <w:rFonts w:asciiTheme="minorHAnsi" w:hAnsiTheme="minorHAnsi"/>
          <w:lang w:val="en-GB"/>
        </w:rPr>
        <w:t>nformed</w:t>
      </w:r>
      <w:r w:rsidR="00D3176B" w:rsidRPr="00836D59">
        <w:rPr>
          <w:rFonts w:asciiTheme="minorHAnsi" w:hAnsiTheme="minorHAnsi"/>
          <w:lang w:val="en-GB"/>
        </w:rPr>
        <w:t>”</w:t>
      </w:r>
      <w:r w:rsidR="002279AC" w:rsidRPr="00836D59">
        <w:rPr>
          <w:rFonts w:asciiTheme="minorHAnsi" w:hAnsiTheme="minorHAnsi"/>
          <w:lang w:val="en-GB"/>
        </w:rPr>
        <w:t xml:space="preserve"> </w:t>
      </w:r>
      <w:r w:rsidRPr="00836D59">
        <w:rPr>
          <w:rFonts w:asciiTheme="minorHAnsi" w:hAnsiTheme="minorHAnsi"/>
          <w:lang w:val="en-GB"/>
        </w:rPr>
        <w:t>v</w:t>
      </w:r>
      <w:r w:rsidR="00A10533" w:rsidRPr="00836D59">
        <w:rPr>
          <w:rFonts w:asciiTheme="minorHAnsi" w:hAnsiTheme="minorHAnsi"/>
          <w:lang w:val="en-GB"/>
        </w:rPr>
        <w:t>ersu</w:t>
      </w:r>
      <w:r w:rsidRPr="00836D59">
        <w:rPr>
          <w:rFonts w:asciiTheme="minorHAnsi" w:hAnsiTheme="minorHAnsi"/>
          <w:lang w:val="en-GB"/>
        </w:rPr>
        <w:t>s</w:t>
      </w:r>
      <w:r w:rsidR="002279AC" w:rsidRPr="00836D59">
        <w:rPr>
          <w:rFonts w:asciiTheme="minorHAnsi" w:hAnsiTheme="minorHAnsi"/>
          <w:lang w:val="en-GB"/>
        </w:rPr>
        <w:t xml:space="preserve"> </w:t>
      </w:r>
      <w:r w:rsidR="00D3176B" w:rsidRPr="00836D59">
        <w:rPr>
          <w:rFonts w:asciiTheme="minorHAnsi" w:hAnsiTheme="minorHAnsi"/>
          <w:lang w:val="en-GB"/>
        </w:rPr>
        <w:t>“</w:t>
      </w:r>
      <w:r w:rsidR="002279AC" w:rsidRPr="00836D59">
        <w:rPr>
          <w:rFonts w:asciiTheme="minorHAnsi" w:hAnsiTheme="minorHAnsi"/>
          <w:lang w:val="en-GB"/>
        </w:rPr>
        <w:t>valid</w:t>
      </w:r>
      <w:r w:rsidR="00D3176B" w:rsidRPr="00836D59">
        <w:rPr>
          <w:rFonts w:asciiTheme="minorHAnsi" w:hAnsiTheme="minorHAnsi"/>
          <w:lang w:val="en-GB"/>
        </w:rPr>
        <w:t>”</w:t>
      </w:r>
      <w:r w:rsidR="002279AC" w:rsidRPr="00836D59">
        <w:rPr>
          <w:rFonts w:asciiTheme="minorHAnsi" w:hAnsiTheme="minorHAnsi"/>
          <w:lang w:val="en-GB"/>
        </w:rPr>
        <w:t xml:space="preserve"> consent</w:t>
      </w:r>
    </w:p>
    <w:p w14:paraId="75C0BA52" w14:textId="69ED8509" w:rsidR="00512054" w:rsidRPr="00836D59" w:rsidRDefault="002279AC" w:rsidP="00836D59">
      <w:pPr>
        <w:spacing w:line="360" w:lineRule="auto"/>
        <w:rPr>
          <w:rFonts w:asciiTheme="minorHAnsi" w:hAnsiTheme="minorHAnsi"/>
          <w:lang w:val="en-GB"/>
        </w:rPr>
      </w:pPr>
      <w:r w:rsidRPr="00836D59">
        <w:rPr>
          <w:rFonts w:asciiTheme="minorHAnsi" w:hAnsiTheme="minorHAnsi"/>
          <w:lang w:val="en-GB"/>
        </w:rPr>
        <w:t>Where data from minors are concerned, the imperative to act transparently and minimize harm is sharpened</w:t>
      </w:r>
      <w:r w:rsidR="009E5BFE" w:rsidRPr="00836D59">
        <w:rPr>
          <w:rFonts w:asciiTheme="minorHAnsi" w:hAnsiTheme="minorHAnsi"/>
          <w:lang w:val="en-GB"/>
        </w:rPr>
        <w:t>.</w:t>
      </w:r>
      <w:r w:rsidRPr="00836D59">
        <w:rPr>
          <w:rFonts w:asciiTheme="minorHAnsi" w:hAnsiTheme="minorHAnsi"/>
          <w:lang w:val="en-GB"/>
        </w:rPr>
        <w:t xml:space="preserve"> </w:t>
      </w:r>
      <w:r w:rsidR="009E5BFE" w:rsidRPr="00836D59">
        <w:rPr>
          <w:rFonts w:asciiTheme="minorHAnsi" w:hAnsiTheme="minorHAnsi"/>
          <w:lang w:val="en-GB"/>
        </w:rPr>
        <w:t>A</w:t>
      </w:r>
      <w:r w:rsidRPr="00836D59">
        <w:rPr>
          <w:rFonts w:asciiTheme="minorHAnsi" w:hAnsiTheme="minorHAnsi"/>
          <w:lang w:val="en-GB"/>
        </w:rPr>
        <w:t>lthough there may be instances where gaining consent is challenging, it is preferable to do so where possible. Verbal</w:t>
      </w:r>
      <w:r w:rsidR="00D024E9" w:rsidRPr="00836D59">
        <w:rPr>
          <w:rFonts w:asciiTheme="minorHAnsi" w:hAnsiTheme="minorHAnsi"/>
          <w:lang w:val="en-GB"/>
        </w:rPr>
        <w:t xml:space="preserve"> and written</w:t>
      </w:r>
      <w:r w:rsidRPr="00836D59">
        <w:rPr>
          <w:rFonts w:asciiTheme="minorHAnsi" w:hAnsiTheme="minorHAnsi"/>
          <w:lang w:val="en-GB"/>
        </w:rPr>
        <w:t xml:space="preserve"> descriptions of consent conditions need to be carefully tailored to</w:t>
      </w:r>
      <w:r w:rsidR="00A10533" w:rsidRPr="00836D59">
        <w:rPr>
          <w:rFonts w:asciiTheme="minorHAnsi" w:hAnsiTheme="minorHAnsi"/>
          <w:lang w:val="en-GB"/>
        </w:rPr>
        <w:t xml:space="preserve"> the</w:t>
      </w:r>
      <w:r w:rsidRPr="00836D59">
        <w:rPr>
          <w:rFonts w:asciiTheme="minorHAnsi" w:hAnsiTheme="minorHAnsi"/>
          <w:lang w:val="en-GB"/>
        </w:rPr>
        <w:t xml:space="preserve"> literacy and cognitive levels of child participants. Procedures for withdrawal from a study need to be clearly articulated, including the implications for data removal on request. It is especially important to ensure that children do not feel implicit coercion to participate </w:t>
      </w:r>
      <w:r w:rsidR="009E5BFE" w:rsidRPr="00836D59">
        <w:rPr>
          <w:rFonts w:asciiTheme="minorHAnsi" w:hAnsiTheme="minorHAnsi"/>
          <w:lang w:val="en-GB"/>
        </w:rPr>
        <w:t xml:space="preserve">in a study, </w:t>
      </w:r>
      <w:r w:rsidRPr="00836D59">
        <w:rPr>
          <w:rFonts w:asciiTheme="minorHAnsi" w:hAnsiTheme="minorHAnsi"/>
          <w:lang w:val="en-GB"/>
        </w:rPr>
        <w:t xml:space="preserve">or to continue </w:t>
      </w:r>
      <w:r w:rsidR="009E5BFE" w:rsidRPr="00836D59">
        <w:rPr>
          <w:rFonts w:asciiTheme="minorHAnsi" w:hAnsiTheme="minorHAnsi"/>
          <w:lang w:val="en-GB"/>
        </w:rPr>
        <w:t>to participate when</w:t>
      </w:r>
      <w:r w:rsidRPr="00836D59">
        <w:rPr>
          <w:rFonts w:asciiTheme="minorHAnsi" w:hAnsiTheme="minorHAnsi"/>
          <w:lang w:val="en-GB"/>
        </w:rPr>
        <w:t xml:space="preserve"> they no longer wish to. </w:t>
      </w:r>
      <w:r w:rsidR="00D024E9" w:rsidRPr="00836D59">
        <w:rPr>
          <w:rFonts w:asciiTheme="minorHAnsi" w:hAnsiTheme="minorHAnsi"/>
          <w:lang w:val="en-GB"/>
        </w:rPr>
        <w:t>It should be noted that w</w:t>
      </w:r>
      <w:r w:rsidR="00813882" w:rsidRPr="00836D59">
        <w:rPr>
          <w:rFonts w:asciiTheme="minorHAnsi" w:hAnsiTheme="minorHAnsi"/>
          <w:lang w:val="en-GB"/>
        </w:rPr>
        <w:t xml:space="preserve">hereas consent is often framed as </w:t>
      </w:r>
      <w:r w:rsidR="00D3176B" w:rsidRPr="00836D59">
        <w:rPr>
          <w:rFonts w:asciiTheme="minorHAnsi" w:hAnsiTheme="minorHAnsi"/>
          <w:lang w:val="en-GB"/>
        </w:rPr>
        <w:t>“</w:t>
      </w:r>
      <w:r w:rsidR="00813882" w:rsidRPr="00836D59">
        <w:rPr>
          <w:rFonts w:asciiTheme="minorHAnsi" w:hAnsiTheme="minorHAnsi"/>
          <w:lang w:val="en-GB"/>
        </w:rPr>
        <w:t>informed</w:t>
      </w:r>
      <w:r w:rsidR="00D3176B" w:rsidRPr="00836D59">
        <w:rPr>
          <w:rFonts w:asciiTheme="minorHAnsi" w:hAnsiTheme="minorHAnsi"/>
          <w:lang w:val="en-GB"/>
        </w:rPr>
        <w:t>”</w:t>
      </w:r>
      <w:r w:rsidR="00813882" w:rsidRPr="00836D59">
        <w:rPr>
          <w:rFonts w:asciiTheme="minorHAnsi" w:hAnsiTheme="minorHAnsi"/>
          <w:lang w:val="en-GB"/>
        </w:rPr>
        <w:t xml:space="preserve">, increasingly the term </w:t>
      </w:r>
      <w:r w:rsidR="00D3176B" w:rsidRPr="00836D59">
        <w:rPr>
          <w:rFonts w:asciiTheme="minorHAnsi" w:hAnsiTheme="minorHAnsi"/>
          <w:lang w:val="en-GB"/>
        </w:rPr>
        <w:t>“</w:t>
      </w:r>
      <w:r w:rsidR="00813882" w:rsidRPr="00836D59">
        <w:rPr>
          <w:rFonts w:asciiTheme="minorHAnsi" w:hAnsiTheme="minorHAnsi"/>
          <w:lang w:val="en-GB"/>
        </w:rPr>
        <w:t>valid</w:t>
      </w:r>
      <w:r w:rsidR="00D3176B" w:rsidRPr="00836D59">
        <w:rPr>
          <w:rFonts w:asciiTheme="minorHAnsi" w:hAnsiTheme="minorHAnsi"/>
          <w:lang w:val="en-GB"/>
        </w:rPr>
        <w:t>”</w:t>
      </w:r>
      <w:r w:rsidR="00813882" w:rsidRPr="00836D59">
        <w:rPr>
          <w:rFonts w:asciiTheme="minorHAnsi" w:hAnsiTheme="minorHAnsi"/>
          <w:lang w:val="en-GB"/>
        </w:rPr>
        <w:t xml:space="preserve"> is considered more appropriate </w:t>
      </w:r>
      <w:r w:rsidR="00813882" w:rsidRPr="00836D59">
        <w:rPr>
          <w:rFonts w:asciiTheme="minorHAnsi" w:hAnsiTheme="minorHAnsi"/>
          <w:i/>
          <w:lang w:val="en-GB"/>
        </w:rPr>
        <w:t>(12)</w:t>
      </w:r>
      <w:r w:rsidR="00813882" w:rsidRPr="00836D59">
        <w:rPr>
          <w:rFonts w:asciiTheme="minorHAnsi" w:hAnsiTheme="minorHAnsi"/>
          <w:lang w:val="en-GB"/>
        </w:rPr>
        <w:t>, because fully</w:t>
      </w:r>
      <w:r w:rsidR="00A10533" w:rsidRPr="00836D59">
        <w:rPr>
          <w:rFonts w:asciiTheme="minorHAnsi" w:hAnsiTheme="minorHAnsi"/>
          <w:lang w:val="en-GB"/>
        </w:rPr>
        <w:t xml:space="preserve"> </w:t>
      </w:r>
      <w:r w:rsidR="00813882" w:rsidRPr="00836D59">
        <w:rPr>
          <w:rFonts w:asciiTheme="minorHAnsi" w:hAnsiTheme="minorHAnsi"/>
          <w:lang w:val="en-GB"/>
        </w:rPr>
        <w:t>informed consent at the start of involvement in a study is rarely feasible</w:t>
      </w:r>
      <w:r w:rsidR="007E686F" w:rsidRPr="00836D59">
        <w:rPr>
          <w:rFonts w:asciiTheme="minorHAnsi" w:hAnsiTheme="minorHAnsi"/>
          <w:lang w:val="en-GB"/>
        </w:rPr>
        <w:t xml:space="preserve"> </w:t>
      </w:r>
      <w:r w:rsidR="00543B40" w:rsidRPr="00836D59">
        <w:rPr>
          <w:rFonts w:asciiTheme="minorHAnsi" w:hAnsiTheme="minorHAnsi"/>
          <w:lang w:val="en-GB"/>
        </w:rPr>
        <w:t>not only</w:t>
      </w:r>
      <w:r w:rsidR="007E686F" w:rsidRPr="00836D59">
        <w:rPr>
          <w:rFonts w:asciiTheme="minorHAnsi" w:hAnsiTheme="minorHAnsi"/>
          <w:lang w:val="en-GB"/>
        </w:rPr>
        <w:t xml:space="preserve"> for children</w:t>
      </w:r>
      <w:r w:rsidR="00543B40" w:rsidRPr="00836D59">
        <w:rPr>
          <w:rFonts w:asciiTheme="minorHAnsi" w:hAnsiTheme="minorHAnsi"/>
          <w:lang w:val="en-GB"/>
        </w:rPr>
        <w:t xml:space="preserve"> but indeed also for adults</w:t>
      </w:r>
      <w:r w:rsidR="00813882" w:rsidRPr="00836D59">
        <w:rPr>
          <w:rFonts w:asciiTheme="minorHAnsi" w:hAnsiTheme="minorHAnsi"/>
          <w:lang w:val="en-GB"/>
        </w:rPr>
        <w:t>. As with the ongoing ethical process itself, consent should be also viewed as ongoing: children</w:t>
      </w:r>
      <w:r w:rsidR="00624F81" w:rsidRPr="00836D59">
        <w:rPr>
          <w:rFonts w:asciiTheme="minorHAnsi" w:hAnsiTheme="minorHAnsi"/>
          <w:lang w:val="en-GB"/>
        </w:rPr>
        <w:t>’</w:t>
      </w:r>
      <w:r w:rsidR="00813882" w:rsidRPr="00836D59">
        <w:rPr>
          <w:rFonts w:asciiTheme="minorHAnsi" w:hAnsiTheme="minorHAnsi"/>
          <w:lang w:val="en-GB"/>
        </w:rPr>
        <w:t xml:space="preserve">s attitudes </w:t>
      </w:r>
      <w:r w:rsidR="009110DB" w:rsidRPr="00836D59">
        <w:rPr>
          <w:rFonts w:asciiTheme="minorHAnsi" w:hAnsiTheme="minorHAnsi"/>
          <w:lang w:val="en-GB"/>
        </w:rPr>
        <w:t xml:space="preserve">to data being collected from them </w:t>
      </w:r>
      <w:r w:rsidR="00813882" w:rsidRPr="00836D59">
        <w:rPr>
          <w:rFonts w:asciiTheme="minorHAnsi" w:hAnsiTheme="minorHAnsi"/>
          <w:lang w:val="en-GB"/>
        </w:rPr>
        <w:t xml:space="preserve">may change as they find out more </w:t>
      </w:r>
      <w:r w:rsidR="00A10533" w:rsidRPr="00836D59">
        <w:rPr>
          <w:rFonts w:asciiTheme="minorHAnsi" w:hAnsiTheme="minorHAnsi"/>
          <w:lang w:val="en-GB"/>
        </w:rPr>
        <w:t xml:space="preserve">by </w:t>
      </w:r>
      <w:r w:rsidR="00813882" w:rsidRPr="00836D59">
        <w:rPr>
          <w:rFonts w:asciiTheme="minorHAnsi" w:hAnsiTheme="minorHAnsi"/>
          <w:lang w:val="en-GB"/>
        </w:rPr>
        <w:t xml:space="preserve">participating in a research study. </w:t>
      </w:r>
    </w:p>
    <w:p w14:paraId="64B43CFA" w14:textId="77777777" w:rsidR="00F2690B" w:rsidRPr="00836D59" w:rsidRDefault="003024EA" w:rsidP="00836D59">
      <w:pPr>
        <w:pStyle w:val="Heading4"/>
        <w:spacing w:line="360" w:lineRule="auto"/>
        <w:rPr>
          <w:rFonts w:asciiTheme="minorHAnsi" w:hAnsiTheme="minorHAnsi"/>
          <w:lang w:val="en-GB"/>
        </w:rPr>
      </w:pPr>
      <w:r w:rsidRPr="00836D59">
        <w:rPr>
          <w:rFonts w:asciiTheme="minorHAnsi" w:hAnsiTheme="minorHAnsi"/>
          <w:lang w:val="en-GB"/>
        </w:rPr>
        <w:t>Accuracy/justice in participant selection</w:t>
      </w:r>
    </w:p>
    <w:p w14:paraId="7DB8E0B5" w14:textId="581589A7" w:rsidR="00512054" w:rsidRPr="00E65AF3" w:rsidRDefault="009110DB" w:rsidP="00836D59">
      <w:pPr>
        <w:spacing w:line="360" w:lineRule="auto"/>
        <w:rPr>
          <w:rFonts w:asciiTheme="minorHAnsi" w:hAnsiTheme="minorHAnsi"/>
          <w:lang w:val="en-GB"/>
        </w:rPr>
      </w:pPr>
      <w:r w:rsidRPr="00836D59">
        <w:rPr>
          <w:rFonts w:asciiTheme="minorHAnsi" w:hAnsiTheme="minorHAnsi"/>
          <w:lang w:val="en-GB"/>
        </w:rPr>
        <w:t>Ethical issues of justice regarding representation of less advantaged communities</w:t>
      </w:r>
      <w:r w:rsidRPr="00836D59" w:rsidDel="009110DB">
        <w:rPr>
          <w:rFonts w:asciiTheme="minorHAnsi" w:hAnsiTheme="minorHAnsi"/>
          <w:lang w:val="en-GB"/>
        </w:rPr>
        <w:t xml:space="preserve"> </w:t>
      </w:r>
      <w:r w:rsidRPr="00836D59">
        <w:rPr>
          <w:rFonts w:asciiTheme="minorHAnsi" w:hAnsiTheme="minorHAnsi"/>
          <w:lang w:val="en-GB"/>
        </w:rPr>
        <w:t>may arise due to s</w:t>
      </w:r>
      <w:r w:rsidR="003024EA" w:rsidRPr="00836D59">
        <w:rPr>
          <w:rFonts w:asciiTheme="minorHAnsi" w:hAnsiTheme="minorHAnsi"/>
          <w:lang w:val="en-GB"/>
        </w:rPr>
        <w:t xml:space="preserve">ampling biases inherent in some digital and </w:t>
      </w:r>
      <w:r w:rsidR="00501CD2" w:rsidRPr="00836D59">
        <w:rPr>
          <w:rFonts w:asciiTheme="minorHAnsi" w:hAnsiTheme="minorHAnsi"/>
          <w:lang w:val="en-GB"/>
        </w:rPr>
        <w:t>I</w:t>
      </w:r>
      <w:r w:rsidR="003024EA" w:rsidRPr="00836D59">
        <w:rPr>
          <w:rFonts w:asciiTheme="minorHAnsi" w:hAnsiTheme="minorHAnsi"/>
          <w:lang w:val="en-GB"/>
        </w:rPr>
        <w:t xml:space="preserve">nternet research </w:t>
      </w:r>
      <w:r w:rsidR="003024EA" w:rsidRPr="00836D59">
        <w:rPr>
          <w:rFonts w:asciiTheme="minorHAnsi" w:hAnsiTheme="minorHAnsi"/>
          <w:i/>
          <w:lang w:val="en-GB"/>
        </w:rPr>
        <w:t>(</w:t>
      </w:r>
      <w:r w:rsidR="00003C2F" w:rsidRPr="00836D59">
        <w:rPr>
          <w:rFonts w:asciiTheme="minorHAnsi" w:hAnsiTheme="minorHAnsi"/>
          <w:i/>
          <w:lang w:val="en-GB"/>
        </w:rPr>
        <w:t>20</w:t>
      </w:r>
      <w:r w:rsidR="003024EA" w:rsidRPr="00836D59">
        <w:rPr>
          <w:rFonts w:asciiTheme="minorHAnsi" w:hAnsiTheme="minorHAnsi"/>
          <w:i/>
          <w:lang w:val="en-GB"/>
        </w:rPr>
        <w:t>, 7)</w:t>
      </w:r>
      <w:r w:rsidR="003024EA" w:rsidRPr="00836D59">
        <w:rPr>
          <w:rFonts w:asciiTheme="minorHAnsi" w:hAnsiTheme="minorHAnsi"/>
          <w:lang w:val="en-GB"/>
        </w:rPr>
        <w:t>. For example, children may not have their own digital device</w:t>
      </w:r>
      <w:r w:rsidR="00B4341C" w:rsidRPr="00836D59">
        <w:rPr>
          <w:rFonts w:asciiTheme="minorHAnsi" w:hAnsiTheme="minorHAnsi"/>
          <w:lang w:val="en-GB"/>
        </w:rPr>
        <w:t>s</w:t>
      </w:r>
      <w:r w:rsidR="003024EA" w:rsidRPr="00836D59">
        <w:rPr>
          <w:rFonts w:asciiTheme="minorHAnsi" w:hAnsiTheme="minorHAnsi"/>
          <w:lang w:val="en-GB"/>
        </w:rPr>
        <w:t xml:space="preserve"> such as smartphone or tablet (they may share access to one within the family)</w:t>
      </w:r>
      <w:r w:rsidRPr="00836D59">
        <w:rPr>
          <w:rFonts w:asciiTheme="minorHAnsi" w:hAnsiTheme="minorHAnsi"/>
          <w:lang w:val="en-GB"/>
        </w:rPr>
        <w:t xml:space="preserve"> and the</w:t>
      </w:r>
      <w:r w:rsidR="003024EA" w:rsidRPr="00836D59">
        <w:rPr>
          <w:rFonts w:asciiTheme="minorHAnsi" w:hAnsiTheme="minorHAnsi"/>
          <w:lang w:val="en-GB"/>
        </w:rPr>
        <w:t xml:space="preserve"> data-</w:t>
      </w:r>
      <w:r w:rsidRPr="00836D59">
        <w:rPr>
          <w:rFonts w:asciiTheme="minorHAnsi" w:hAnsiTheme="minorHAnsi"/>
          <w:lang w:val="en-GB"/>
        </w:rPr>
        <w:t xml:space="preserve"> a</w:t>
      </w:r>
      <w:r w:rsidR="00C33EB5" w:rsidRPr="00836D59">
        <w:rPr>
          <w:rFonts w:asciiTheme="minorHAnsi" w:hAnsiTheme="minorHAnsi"/>
          <w:lang w:val="en-GB"/>
        </w:rPr>
        <w:t>nd generalisa</w:t>
      </w:r>
      <w:r w:rsidRPr="00836D59">
        <w:rPr>
          <w:rFonts w:asciiTheme="minorHAnsi" w:hAnsiTheme="minorHAnsi"/>
          <w:lang w:val="en-GB"/>
        </w:rPr>
        <w:t xml:space="preserve">bility-related </w:t>
      </w:r>
      <w:r w:rsidR="003024EA" w:rsidRPr="00836D59">
        <w:rPr>
          <w:rFonts w:asciiTheme="minorHAnsi" w:hAnsiTheme="minorHAnsi"/>
          <w:lang w:val="en-GB"/>
        </w:rPr>
        <w:t>implications should be factored in.</w:t>
      </w:r>
    </w:p>
    <w:p w14:paraId="1189E006" w14:textId="267E3020" w:rsidR="001558BB" w:rsidRPr="00836D59" w:rsidRDefault="00944875" w:rsidP="00836D59">
      <w:pPr>
        <w:pStyle w:val="Heading4"/>
        <w:spacing w:line="360" w:lineRule="auto"/>
        <w:rPr>
          <w:rFonts w:asciiTheme="minorHAnsi" w:hAnsiTheme="minorHAnsi"/>
          <w:lang w:val="en-GB"/>
        </w:rPr>
      </w:pPr>
      <w:r w:rsidRPr="00836D59">
        <w:rPr>
          <w:rFonts w:asciiTheme="minorHAnsi" w:hAnsiTheme="minorHAnsi"/>
          <w:lang w:val="en-GB"/>
        </w:rPr>
        <w:t>Social networks</w:t>
      </w:r>
      <w:r w:rsidR="00E21004" w:rsidRPr="00836D59">
        <w:rPr>
          <w:rFonts w:asciiTheme="minorHAnsi" w:hAnsiTheme="minorHAnsi"/>
          <w:lang w:val="en-GB"/>
        </w:rPr>
        <w:t xml:space="preserve"> and </w:t>
      </w:r>
      <w:r w:rsidR="001D71BA" w:rsidRPr="00836D59">
        <w:rPr>
          <w:rFonts w:asciiTheme="minorHAnsi" w:hAnsiTheme="minorHAnsi"/>
          <w:lang w:val="en-GB"/>
        </w:rPr>
        <w:t>a</w:t>
      </w:r>
      <w:r w:rsidR="00E21004" w:rsidRPr="00836D59">
        <w:rPr>
          <w:rFonts w:asciiTheme="minorHAnsi" w:hAnsiTheme="minorHAnsi"/>
          <w:lang w:val="en-GB"/>
        </w:rPr>
        <w:t>pp stores</w:t>
      </w:r>
      <w:r w:rsidRPr="00836D59">
        <w:rPr>
          <w:rFonts w:asciiTheme="minorHAnsi" w:hAnsiTheme="minorHAnsi"/>
          <w:lang w:val="en-GB"/>
        </w:rPr>
        <w:t>:</w:t>
      </w:r>
      <w:r w:rsidR="00524129" w:rsidRPr="00836D59">
        <w:rPr>
          <w:rFonts w:asciiTheme="minorHAnsi" w:hAnsiTheme="minorHAnsi"/>
          <w:lang w:val="en-GB"/>
        </w:rPr>
        <w:t xml:space="preserve"> </w:t>
      </w:r>
      <w:r w:rsidR="001D71BA" w:rsidRPr="00836D59">
        <w:rPr>
          <w:rFonts w:asciiTheme="minorHAnsi" w:hAnsiTheme="minorHAnsi"/>
          <w:lang w:val="en-GB"/>
        </w:rPr>
        <w:t>t</w:t>
      </w:r>
      <w:r w:rsidR="001558BB" w:rsidRPr="00836D59">
        <w:rPr>
          <w:rFonts w:asciiTheme="minorHAnsi" w:hAnsiTheme="minorHAnsi"/>
          <w:lang w:val="en-GB"/>
        </w:rPr>
        <w:t xml:space="preserve">erms and conditions </w:t>
      </w:r>
    </w:p>
    <w:p w14:paraId="389188F3" w14:textId="4D4EAE46" w:rsidR="00512054" w:rsidRPr="00836D59" w:rsidRDefault="008B1203" w:rsidP="00836D59">
      <w:pPr>
        <w:spacing w:line="360" w:lineRule="auto"/>
        <w:rPr>
          <w:rFonts w:asciiTheme="minorHAnsi" w:hAnsiTheme="minorHAnsi"/>
          <w:lang w:val="en-GB"/>
        </w:rPr>
      </w:pPr>
      <w:r w:rsidRPr="00836D59">
        <w:rPr>
          <w:rFonts w:asciiTheme="minorHAnsi" w:hAnsiTheme="minorHAnsi"/>
          <w:lang w:val="en-GB"/>
        </w:rPr>
        <w:t>The w</w:t>
      </w:r>
      <w:r w:rsidR="00B9183B" w:rsidRPr="00836D59">
        <w:rPr>
          <w:rFonts w:asciiTheme="minorHAnsi" w:hAnsiTheme="minorHAnsi"/>
          <w:lang w:val="en-GB"/>
        </w:rPr>
        <w:t>orkshop</w:t>
      </w:r>
      <w:r w:rsidR="00624F81" w:rsidRPr="00836D59">
        <w:rPr>
          <w:rFonts w:asciiTheme="minorHAnsi" w:hAnsiTheme="minorHAnsi"/>
          <w:lang w:val="en-GB"/>
        </w:rPr>
        <w:t>’</w:t>
      </w:r>
      <w:r w:rsidRPr="00836D59">
        <w:rPr>
          <w:rFonts w:asciiTheme="minorHAnsi" w:hAnsiTheme="minorHAnsi"/>
          <w:lang w:val="en-GB"/>
        </w:rPr>
        <w:t>s</w:t>
      </w:r>
      <w:r w:rsidR="00B9183B" w:rsidRPr="00836D59">
        <w:rPr>
          <w:rFonts w:asciiTheme="minorHAnsi" w:hAnsiTheme="minorHAnsi"/>
          <w:lang w:val="en-GB"/>
        </w:rPr>
        <w:t xml:space="preserve"> conclu</w:t>
      </w:r>
      <w:r w:rsidR="00B818B8" w:rsidRPr="00836D59">
        <w:rPr>
          <w:rFonts w:asciiTheme="minorHAnsi" w:hAnsiTheme="minorHAnsi"/>
          <w:lang w:val="en-GB"/>
        </w:rPr>
        <w:t>sions</w:t>
      </w:r>
      <w:r w:rsidR="00B9183B" w:rsidRPr="00836D59">
        <w:rPr>
          <w:rFonts w:asciiTheme="minorHAnsi" w:hAnsiTheme="minorHAnsi"/>
          <w:lang w:val="en-GB"/>
        </w:rPr>
        <w:t xml:space="preserve"> </w:t>
      </w:r>
      <w:r w:rsidR="00B818B8" w:rsidRPr="00836D59">
        <w:rPr>
          <w:rFonts w:asciiTheme="minorHAnsi" w:hAnsiTheme="minorHAnsi"/>
          <w:lang w:val="en-GB"/>
        </w:rPr>
        <w:t>also summari</w:t>
      </w:r>
      <w:r w:rsidR="00D3176B" w:rsidRPr="00836D59">
        <w:rPr>
          <w:rFonts w:asciiTheme="minorHAnsi" w:hAnsiTheme="minorHAnsi"/>
          <w:lang w:val="en-GB"/>
        </w:rPr>
        <w:t>z</w:t>
      </w:r>
      <w:r w:rsidR="00B818B8" w:rsidRPr="00836D59">
        <w:rPr>
          <w:rFonts w:asciiTheme="minorHAnsi" w:hAnsiTheme="minorHAnsi"/>
          <w:lang w:val="en-GB"/>
        </w:rPr>
        <w:t>ed</w:t>
      </w:r>
      <w:r w:rsidR="00B9183B" w:rsidRPr="00836D59">
        <w:rPr>
          <w:rFonts w:asciiTheme="minorHAnsi" w:hAnsiTheme="minorHAnsi"/>
          <w:lang w:val="en-GB"/>
        </w:rPr>
        <w:t xml:space="preserve"> the</w:t>
      </w:r>
      <w:r w:rsidR="007141F8" w:rsidRPr="00836D59">
        <w:rPr>
          <w:rFonts w:asciiTheme="minorHAnsi" w:hAnsiTheme="minorHAnsi"/>
          <w:lang w:val="en-GB"/>
        </w:rPr>
        <w:t xml:space="preserve"> </w:t>
      </w:r>
      <w:r w:rsidR="00CD7D6D" w:rsidRPr="00836D59">
        <w:rPr>
          <w:rFonts w:asciiTheme="minorHAnsi" w:hAnsiTheme="minorHAnsi"/>
          <w:lang w:val="en-GB"/>
        </w:rPr>
        <w:t>multiple</w:t>
      </w:r>
      <w:r w:rsidR="00AF45BA" w:rsidRPr="00836D59">
        <w:rPr>
          <w:rFonts w:asciiTheme="minorHAnsi" w:hAnsiTheme="minorHAnsi"/>
          <w:lang w:val="en-GB"/>
        </w:rPr>
        <w:t xml:space="preserve"> layers of legal requirements </w:t>
      </w:r>
      <w:r w:rsidRPr="00836D59">
        <w:rPr>
          <w:rFonts w:asciiTheme="minorHAnsi" w:hAnsiTheme="minorHAnsi"/>
          <w:lang w:val="en-GB"/>
        </w:rPr>
        <w:t xml:space="preserve">involved </w:t>
      </w:r>
      <w:r w:rsidR="009402E6" w:rsidRPr="00836D59">
        <w:rPr>
          <w:rFonts w:asciiTheme="minorHAnsi" w:hAnsiTheme="minorHAnsi"/>
          <w:lang w:val="en-GB"/>
        </w:rPr>
        <w:t xml:space="preserve">if aiming </w:t>
      </w:r>
      <w:r w:rsidR="001558BB" w:rsidRPr="00836D59">
        <w:rPr>
          <w:rFonts w:asciiTheme="minorHAnsi" w:hAnsiTheme="minorHAnsi"/>
          <w:lang w:val="en-GB"/>
        </w:rPr>
        <w:t>to access and use content or features of a</w:t>
      </w:r>
      <w:r w:rsidR="009402E6" w:rsidRPr="00836D59">
        <w:rPr>
          <w:rFonts w:asciiTheme="minorHAnsi" w:hAnsiTheme="minorHAnsi"/>
          <w:lang w:val="en-GB"/>
        </w:rPr>
        <w:t xml:space="preserve"> social network platform. </w:t>
      </w:r>
      <w:r w:rsidR="001A39AD" w:rsidRPr="00836D59">
        <w:rPr>
          <w:rFonts w:asciiTheme="minorHAnsi" w:hAnsiTheme="minorHAnsi"/>
          <w:lang w:val="en-GB"/>
        </w:rPr>
        <w:t xml:space="preserve">Researchers </w:t>
      </w:r>
      <w:r w:rsidR="006C4AEC" w:rsidRPr="00836D59">
        <w:rPr>
          <w:rFonts w:asciiTheme="minorHAnsi" w:hAnsiTheme="minorHAnsi"/>
          <w:lang w:val="en-GB"/>
        </w:rPr>
        <w:t>developing an app to access</w:t>
      </w:r>
      <w:r w:rsidR="00C37E2E" w:rsidRPr="00836D59">
        <w:rPr>
          <w:rFonts w:asciiTheme="minorHAnsi" w:hAnsiTheme="minorHAnsi"/>
          <w:lang w:val="en-GB"/>
        </w:rPr>
        <w:t xml:space="preserve"> </w:t>
      </w:r>
      <w:r w:rsidR="001A39AD" w:rsidRPr="00836D59">
        <w:rPr>
          <w:rFonts w:asciiTheme="minorHAnsi" w:hAnsiTheme="minorHAnsi"/>
          <w:lang w:val="en-GB"/>
        </w:rPr>
        <w:t xml:space="preserve">a </w:t>
      </w:r>
      <w:r w:rsidR="00C37E2E" w:rsidRPr="00836D59">
        <w:rPr>
          <w:rFonts w:asciiTheme="minorHAnsi" w:hAnsiTheme="minorHAnsi"/>
          <w:lang w:val="en-GB"/>
        </w:rPr>
        <w:t>platform</w:t>
      </w:r>
      <w:r w:rsidR="00624F81" w:rsidRPr="00836D59">
        <w:rPr>
          <w:rFonts w:asciiTheme="minorHAnsi" w:hAnsiTheme="minorHAnsi"/>
          <w:lang w:val="en-GB"/>
        </w:rPr>
        <w:t>’</w:t>
      </w:r>
      <w:r w:rsidR="00AF45BA" w:rsidRPr="00836D59">
        <w:rPr>
          <w:rFonts w:asciiTheme="minorHAnsi" w:hAnsiTheme="minorHAnsi"/>
          <w:lang w:val="en-GB"/>
        </w:rPr>
        <w:t>s</w:t>
      </w:r>
      <w:r w:rsidR="00C37E2E" w:rsidRPr="00836D59">
        <w:rPr>
          <w:rFonts w:asciiTheme="minorHAnsi" w:hAnsiTheme="minorHAnsi"/>
          <w:lang w:val="en-GB"/>
        </w:rPr>
        <w:t xml:space="preserve"> content through the </w:t>
      </w:r>
      <w:r w:rsidR="006F2367" w:rsidRPr="00836D59">
        <w:rPr>
          <w:rFonts w:asciiTheme="minorHAnsi" w:hAnsiTheme="minorHAnsi"/>
          <w:lang w:val="en-GB"/>
        </w:rPr>
        <w:t>a</w:t>
      </w:r>
      <w:r w:rsidR="001558BB" w:rsidRPr="00836D59">
        <w:rPr>
          <w:rFonts w:asciiTheme="minorHAnsi" w:hAnsiTheme="minorHAnsi"/>
          <w:lang w:val="en-GB"/>
        </w:rPr>
        <w:t xml:space="preserve">pp </w:t>
      </w:r>
      <w:r w:rsidR="006F2367" w:rsidRPr="00836D59">
        <w:rPr>
          <w:rFonts w:asciiTheme="minorHAnsi" w:hAnsiTheme="minorHAnsi"/>
          <w:lang w:val="en-GB"/>
        </w:rPr>
        <w:t>p</w:t>
      </w:r>
      <w:r w:rsidR="006C4AEC" w:rsidRPr="00836D59">
        <w:rPr>
          <w:rFonts w:asciiTheme="minorHAnsi" w:hAnsiTheme="minorHAnsi"/>
          <w:lang w:val="en-GB"/>
        </w:rPr>
        <w:t xml:space="preserve">rogramming </w:t>
      </w:r>
      <w:r w:rsidR="006F2367" w:rsidRPr="00836D59">
        <w:rPr>
          <w:rFonts w:asciiTheme="minorHAnsi" w:hAnsiTheme="minorHAnsi"/>
          <w:lang w:val="en-GB"/>
        </w:rPr>
        <w:t>i</w:t>
      </w:r>
      <w:r w:rsidR="006C4AEC" w:rsidRPr="00836D59">
        <w:rPr>
          <w:rFonts w:asciiTheme="minorHAnsi" w:hAnsiTheme="minorHAnsi"/>
          <w:lang w:val="en-GB"/>
        </w:rPr>
        <w:t xml:space="preserve">nterface (API: </w:t>
      </w:r>
      <w:r w:rsidR="001558BB" w:rsidRPr="00836D59">
        <w:rPr>
          <w:rFonts w:asciiTheme="minorHAnsi" w:hAnsiTheme="minorHAnsi"/>
          <w:lang w:val="en-GB"/>
        </w:rPr>
        <w:t>a set of functions and procedures designed to allow such access</w:t>
      </w:r>
      <w:r w:rsidR="006C4AEC" w:rsidRPr="00836D59">
        <w:rPr>
          <w:rFonts w:asciiTheme="minorHAnsi" w:hAnsiTheme="minorHAnsi"/>
          <w:lang w:val="en-GB"/>
        </w:rPr>
        <w:t>)</w:t>
      </w:r>
      <w:r w:rsidR="0040456D" w:rsidRPr="00836D59">
        <w:rPr>
          <w:rFonts w:asciiTheme="minorHAnsi" w:hAnsiTheme="minorHAnsi"/>
          <w:lang w:val="en-GB"/>
        </w:rPr>
        <w:t xml:space="preserve"> </w:t>
      </w:r>
      <w:r w:rsidR="00C37E2E" w:rsidRPr="00836D59">
        <w:rPr>
          <w:rFonts w:asciiTheme="minorHAnsi" w:hAnsiTheme="minorHAnsi"/>
          <w:lang w:val="en-GB"/>
        </w:rPr>
        <w:t xml:space="preserve">must abide by </w:t>
      </w:r>
      <w:r w:rsidR="00AF45BA" w:rsidRPr="00836D59">
        <w:rPr>
          <w:rFonts w:asciiTheme="minorHAnsi" w:hAnsiTheme="minorHAnsi"/>
          <w:lang w:val="en-GB"/>
        </w:rPr>
        <w:t>the platform</w:t>
      </w:r>
      <w:r w:rsidR="00624F81" w:rsidRPr="00836D59">
        <w:rPr>
          <w:rFonts w:asciiTheme="minorHAnsi" w:hAnsiTheme="minorHAnsi"/>
          <w:lang w:val="en-GB"/>
        </w:rPr>
        <w:t>’</w:t>
      </w:r>
      <w:r w:rsidR="00AF45BA" w:rsidRPr="00836D59">
        <w:rPr>
          <w:rFonts w:asciiTheme="minorHAnsi" w:hAnsiTheme="minorHAnsi"/>
          <w:lang w:val="en-GB"/>
        </w:rPr>
        <w:t>s</w:t>
      </w:r>
      <w:r w:rsidR="00C37E2E" w:rsidRPr="00836D59">
        <w:rPr>
          <w:rFonts w:asciiTheme="minorHAnsi" w:hAnsiTheme="minorHAnsi"/>
          <w:lang w:val="en-GB"/>
        </w:rPr>
        <w:t xml:space="preserve"> terms and conditions</w:t>
      </w:r>
      <w:r w:rsidR="00AF45BA" w:rsidRPr="00836D59">
        <w:rPr>
          <w:rFonts w:asciiTheme="minorHAnsi" w:hAnsiTheme="minorHAnsi"/>
          <w:lang w:val="en-GB"/>
        </w:rPr>
        <w:t xml:space="preserve">, </w:t>
      </w:r>
      <w:r w:rsidR="001558BB" w:rsidRPr="00836D59">
        <w:rPr>
          <w:rFonts w:asciiTheme="minorHAnsi" w:hAnsiTheme="minorHAnsi"/>
          <w:lang w:val="en-GB"/>
        </w:rPr>
        <w:t>a legal contract defining</w:t>
      </w:r>
      <w:r w:rsidR="00F16D66" w:rsidRPr="00836D59">
        <w:rPr>
          <w:rFonts w:asciiTheme="minorHAnsi" w:hAnsiTheme="minorHAnsi"/>
          <w:lang w:val="en-GB"/>
        </w:rPr>
        <w:t>,</w:t>
      </w:r>
      <w:r w:rsidR="001558BB" w:rsidRPr="00836D59">
        <w:rPr>
          <w:rFonts w:asciiTheme="minorHAnsi" w:hAnsiTheme="minorHAnsi"/>
          <w:lang w:val="en-GB"/>
        </w:rPr>
        <w:t xml:space="preserve"> </w:t>
      </w:r>
      <w:r w:rsidR="001558BB" w:rsidRPr="00836D59">
        <w:rPr>
          <w:rFonts w:asciiTheme="minorHAnsi" w:hAnsiTheme="minorHAnsi"/>
          <w:i/>
          <w:lang w:val="en-GB"/>
        </w:rPr>
        <w:t>inter alia</w:t>
      </w:r>
      <w:r w:rsidR="00F16D66" w:rsidRPr="00836D59">
        <w:rPr>
          <w:rFonts w:asciiTheme="minorHAnsi" w:hAnsiTheme="minorHAnsi"/>
          <w:lang w:val="en-GB"/>
        </w:rPr>
        <w:t>,</w:t>
      </w:r>
      <w:r w:rsidR="001558BB" w:rsidRPr="00836D59">
        <w:rPr>
          <w:rFonts w:asciiTheme="minorHAnsi" w:hAnsiTheme="minorHAnsi"/>
          <w:i/>
          <w:lang w:val="en-GB"/>
        </w:rPr>
        <w:t xml:space="preserve"> </w:t>
      </w:r>
      <w:r w:rsidR="00FE0296" w:rsidRPr="00836D59">
        <w:rPr>
          <w:rFonts w:asciiTheme="minorHAnsi" w:hAnsiTheme="minorHAnsi"/>
          <w:lang w:val="en-GB"/>
        </w:rPr>
        <w:t>obligations, restrictions</w:t>
      </w:r>
      <w:r w:rsidR="001558BB" w:rsidRPr="00836D59">
        <w:rPr>
          <w:rFonts w:asciiTheme="minorHAnsi" w:hAnsiTheme="minorHAnsi"/>
          <w:lang w:val="en-GB"/>
        </w:rPr>
        <w:t xml:space="preserve"> </w:t>
      </w:r>
      <w:r w:rsidR="00693334" w:rsidRPr="00836D59">
        <w:rPr>
          <w:rFonts w:asciiTheme="minorHAnsi" w:hAnsiTheme="minorHAnsi"/>
          <w:lang w:val="en-GB"/>
        </w:rPr>
        <w:t>(</w:t>
      </w:r>
      <w:r w:rsidR="00F16D66" w:rsidRPr="00836D59">
        <w:rPr>
          <w:rFonts w:asciiTheme="minorHAnsi" w:hAnsiTheme="minorHAnsi"/>
          <w:lang w:val="en-GB"/>
        </w:rPr>
        <w:t>for example</w:t>
      </w:r>
      <w:r w:rsidR="00693334" w:rsidRPr="00836D59">
        <w:rPr>
          <w:rFonts w:asciiTheme="minorHAnsi" w:hAnsiTheme="minorHAnsi"/>
          <w:lang w:val="en-GB"/>
        </w:rPr>
        <w:t>,</w:t>
      </w:r>
      <w:r w:rsidR="00FE0296" w:rsidRPr="00836D59">
        <w:rPr>
          <w:rFonts w:asciiTheme="minorHAnsi" w:hAnsiTheme="minorHAnsi"/>
          <w:lang w:val="en-GB"/>
        </w:rPr>
        <w:t xml:space="preserve"> </w:t>
      </w:r>
      <w:r w:rsidR="00693334" w:rsidRPr="00836D59">
        <w:rPr>
          <w:rFonts w:asciiTheme="minorHAnsi" w:hAnsiTheme="minorHAnsi"/>
          <w:lang w:val="en-GB"/>
        </w:rPr>
        <w:t xml:space="preserve">most stipulate that data obtained may not be sold for commercial purposes), </w:t>
      </w:r>
      <w:r w:rsidR="001558BB" w:rsidRPr="00836D59">
        <w:rPr>
          <w:rFonts w:asciiTheme="minorHAnsi" w:hAnsiTheme="minorHAnsi"/>
          <w:lang w:val="en-GB"/>
        </w:rPr>
        <w:t xml:space="preserve">requirements for user protection and warranty disclaimers. </w:t>
      </w:r>
      <w:r w:rsidR="007B06E9" w:rsidRPr="00836D59">
        <w:rPr>
          <w:rFonts w:asciiTheme="minorHAnsi" w:hAnsiTheme="minorHAnsi"/>
          <w:lang w:val="en-GB"/>
        </w:rPr>
        <w:t>Terms of use are generally non-negotiable</w:t>
      </w:r>
      <w:r w:rsidR="00C9116F" w:rsidRPr="00836D59">
        <w:rPr>
          <w:rFonts w:asciiTheme="minorHAnsi" w:hAnsiTheme="minorHAnsi"/>
          <w:lang w:val="en-GB"/>
        </w:rPr>
        <w:t>,</w:t>
      </w:r>
      <w:r w:rsidR="007B06E9" w:rsidRPr="00836D59">
        <w:rPr>
          <w:rFonts w:asciiTheme="minorHAnsi" w:hAnsiTheme="minorHAnsi"/>
          <w:lang w:val="en-GB"/>
        </w:rPr>
        <w:t xml:space="preserve"> and developers enter into the contract by accession (by using the platform</w:t>
      </w:r>
      <w:r w:rsidR="00624F81" w:rsidRPr="00836D59">
        <w:rPr>
          <w:rFonts w:asciiTheme="minorHAnsi" w:hAnsiTheme="minorHAnsi"/>
          <w:lang w:val="en-GB"/>
        </w:rPr>
        <w:t>’</w:t>
      </w:r>
      <w:r w:rsidR="007B06E9" w:rsidRPr="00836D59">
        <w:rPr>
          <w:rFonts w:asciiTheme="minorHAnsi" w:hAnsiTheme="minorHAnsi"/>
          <w:lang w:val="en-GB"/>
        </w:rPr>
        <w:t>s content or features); best intentions to comply might not always be sufficient, as terms and conditions are often vague</w:t>
      </w:r>
      <w:r w:rsidR="00FE367D" w:rsidRPr="00836D59">
        <w:rPr>
          <w:rFonts w:asciiTheme="minorHAnsi" w:hAnsiTheme="minorHAnsi"/>
          <w:lang w:val="en-GB"/>
        </w:rPr>
        <w:t xml:space="preserve"> </w:t>
      </w:r>
      <w:r w:rsidR="00FE367D" w:rsidRPr="00836D59">
        <w:rPr>
          <w:rFonts w:asciiTheme="minorHAnsi" w:hAnsiTheme="minorHAnsi"/>
          <w:i/>
          <w:lang w:val="en-GB"/>
        </w:rPr>
        <w:t>(</w:t>
      </w:r>
      <w:r w:rsidR="00003C2F" w:rsidRPr="00836D59">
        <w:rPr>
          <w:rFonts w:asciiTheme="minorHAnsi" w:hAnsiTheme="minorHAnsi"/>
          <w:i/>
          <w:lang w:val="en-GB"/>
        </w:rPr>
        <w:t>19</w:t>
      </w:r>
      <w:r w:rsidR="00FE367D" w:rsidRPr="00836D59">
        <w:rPr>
          <w:rFonts w:asciiTheme="minorHAnsi" w:hAnsiTheme="minorHAnsi"/>
          <w:i/>
          <w:lang w:val="en-GB"/>
        </w:rPr>
        <w:t>)</w:t>
      </w:r>
      <w:r w:rsidR="007B06E9" w:rsidRPr="00836D59">
        <w:rPr>
          <w:rFonts w:asciiTheme="minorHAnsi" w:hAnsiTheme="minorHAnsi"/>
          <w:lang w:val="en-GB"/>
        </w:rPr>
        <w:t>, allowing platform providers to interpret any ambiguities to their own advantage if legal conflicts arise. Furthermore, social media platforms usually reserve the right to modify API terms and conditions unilaterally, sometimes without informing developers – whose continued use of platforms</w:t>
      </w:r>
      <w:r w:rsidR="00624F81" w:rsidRPr="00836D59">
        <w:rPr>
          <w:rFonts w:asciiTheme="minorHAnsi" w:hAnsiTheme="minorHAnsi"/>
          <w:lang w:val="en-GB"/>
        </w:rPr>
        <w:t>’</w:t>
      </w:r>
      <w:r w:rsidR="007B06E9" w:rsidRPr="00836D59">
        <w:rPr>
          <w:rFonts w:asciiTheme="minorHAnsi" w:hAnsiTheme="minorHAnsi"/>
          <w:lang w:val="en-GB"/>
        </w:rPr>
        <w:t xml:space="preserve"> content and features indicates they agree with any changes. If the </w:t>
      </w:r>
      <w:r w:rsidR="005B2D5A" w:rsidRPr="00836D59">
        <w:rPr>
          <w:rFonts w:asciiTheme="minorHAnsi" w:hAnsiTheme="minorHAnsi"/>
          <w:lang w:val="en-GB"/>
        </w:rPr>
        <w:t>platform</w:t>
      </w:r>
      <w:r w:rsidR="007B06E9" w:rsidRPr="00836D59">
        <w:rPr>
          <w:rFonts w:asciiTheme="minorHAnsi" w:hAnsiTheme="minorHAnsi"/>
          <w:lang w:val="en-GB"/>
        </w:rPr>
        <w:t xml:space="preserve"> suspects any breaches of terms and conditions, access to the API will be cut</w:t>
      </w:r>
      <w:r w:rsidR="00FE367D" w:rsidRPr="00836D59">
        <w:rPr>
          <w:rFonts w:asciiTheme="minorHAnsi" w:hAnsiTheme="minorHAnsi"/>
          <w:lang w:val="en-GB"/>
        </w:rPr>
        <w:t>, although</w:t>
      </w:r>
      <w:r w:rsidR="00374E86" w:rsidRPr="00836D59">
        <w:rPr>
          <w:rFonts w:asciiTheme="minorHAnsi" w:hAnsiTheme="minorHAnsi"/>
          <w:lang w:val="en-GB"/>
        </w:rPr>
        <w:t xml:space="preserve"> recently</w:t>
      </w:r>
      <w:r w:rsidR="00FE367D" w:rsidRPr="00836D59">
        <w:rPr>
          <w:rFonts w:asciiTheme="minorHAnsi" w:hAnsiTheme="minorHAnsi"/>
          <w:lang w:val="en-GB"/>
        </w:rPr>
        <w:t xml:space="preserve"> </w:t>
      </w:r>
      <w:r w:rsidR="00374E86" w:rsidRPr="00836D59">
        <w:rPr>
          <w:rFonts w:asciiTheme="minorHAnsi" w:hAnsiTheme="minorHAnsi"/>
          <w:lang w:val="en-GB"/>
        </w:rPr>
        <w:t>the European Commission recogni</w:t>
      </w:r>
      <w:r w:rsidR="00D3176B" w:rsidRPr="00836D59">
        <w:rPr>
          <w:rFonts w:asciiTheme="minorHAnsi" w:hAnsiTheme="minorHAnsi"/>
          <w:lang w:val="en-GB"/>
        </w:rPr>
        <w:t>z</w:t>
      </w:r>
      <w:r w:rsidR="00374E86" w:rsidRPr="00836D59">
        <w:rPr>
          <w:rFonts w:asciiTheme="minorHAnsi" w:hAnsiTheme="minorHAnsi"/>
          <w:lang w:val="en-GB"/>
        </w:rPr>
        <w:t xml:space="preserve">ed that this may constitute an unfair trading practice </w:t>
      </w:r>
      <w:r w:rsidR="00374E86" w:rsidRPr="00836D59">
        <w:rPr>
          <w:rFonts w:asciiTheme="minorHAnsi" w:hAnsiTheme="minorHAnsi"/>
          <w:i/>
          <w:lang w:val="en-GB"/>
        </w:rPr>
        <w:t>(</w:t>
      </w:r>
      <w:r w:rsidR="00632005" w:rsidRPr="00836D59">
        <w:rPr>
          <w:rFonts w:asciiTheme="minorHAnsi" w:hAnsiTheme="minorHAnsi"/>
          <w:i/>
          <w:lang w:val="en-GB"/>
        </w:rPr>
        <w:t>2</w:t>
      </w:r>
      <w:r w:rsidR="00003C2F" w:rsidRPr="00836D59">
        <w:rPr>
          <w:rFonts w:asciiTheme="minorHAnsi" w:hAnsiTheme="minorHAnsi"/>
          <w:i/>
          <w:lang w:val="en-GB"/>
        </w:rPr>
        <w:t>1</w:t>
      </w:r>
      <w:r w:rsidR="00374E86" w:rsidRPr="00836D59">
        <w:rPr>
          <w:rFonts w:asciiTheme="minorHAnsi" w:hAnsiTheme="minorHAnsi"/>
          <w:i/>
          <w:lang w:val="en-GB"/>
        </w:rPr>
        <w:t>)</w:t>
      </w:r>
      <w:r w:rsidR="007B06E9" w:rsidRPr="00836D59">
        <w:rPr>
          <w:rFonts w:asciiTheme="minorHAnsi" w:hAnsiTheme="minorHAnsi"/>
          <w:lang w:val="en-GB"/>
        </w:rPr>
        <w:t>.</w:t>
      </w:r>
      <w:r w:rsidR="00FE367D" w:rsidRPr="00836D59">
        <w:rPr>
          <w:rFonts w:asciiTheme="minorHAnsi" w:hAnsiTheme="minorHAnsi"/>
          <w:lang w:val="en-GB"/>
        </w:rPr>
        <w:t xml:space="preserve"> </w:t>
      </w:r>
      <w:r w:rsidR="007B06E9" w:rsidRPr="00836D59">
        <w:rPr>
          <w:rFonts w:asciiTheme="minorHAnsi" w:hAnsiTheme="minorHAnsi"/>
          <w:lang w:val="en-GB"/>
        </w:rPr>
        <w:t>Developers therefore need to follow up continuously on compliance with API terms and conditions. Notably, there is currently no exception to these rules for research purposes</w:t>
      </w:r>
      <w:r w:rsidR="00FE367D" w:rsidRPr="00836D59">
        <w:rPr>
          <w:rFonts w:asciiTheme="minorHAnsi" w:hAnsiTheme="minorHAnsi"/>
          <w:lang w:val="en-GB"/>
        </w:rPr>
        <w:t xml:space="preserve"> </w:t>
      </w:r>
      <w:r w:rsidR="00FE367D" w:rsidRPr="00836D59">
        <w:rPr>
          <w:rFonts w:asciiTheme="minorHAnsi" w:hAnsiTheme="minorHAnsi"/>
          <w:i/>
          <w:lang w:val="en-GB"/>
        </w:rPr>
        <w:t>(</w:t>
      </w:r>
      <w:r w:rsidR="00003C2F" w:rsidRPr="00836D59">
        <w:rPr>
          <w:rFonts w:asciiTheme="minorHAnsi" w:hAnsiTheme="minorHAnsi"/>
          <w:i/>
          <w:lang w:val="en-GB"/>
        </w:rPr>
        <w:t>19</w:t>
      </w:r>
      <w:r w:rsidR="00FE367D" w:rsidRPr="00836D59">
        <w:rPr>
          <w:rFonts w:asciiTheme="minorHAnsi" w:hAnsiTheme="minorHAnsi"/>
          <w:i/>
          <w:lang w:val="en-GB"/>
        </w:rPr>
        <w:t>)</w:t>
      </w:r>
      <w:r w:rsidR="007B06E9" w:rsidRPr="00836D59">
        <w:rPr>
          <w:rFonts w:asciiTheme="minorHAnsi" w:hAnsiTheme="minorHAnsi"/>
          <w:lang w:val="en-GB"/>
        </w:rPr>
        <w:t>.</w:t>
      </w:r>
    </w:p>
    <w:p w14:paraId="7B841706" w14:textId="162F9103" w:rsidR="00A54F83" w:rsidRDefault="005A666E" w:rsidP="00836D59">
      <w:pPr>
        <w:spacing w:line="360" w:lineRule="auto"/>
        <w:rPr>
          <w:rFonts w:asciiTheme="minorHAnsi" w:hAnsiTheme="minorHAnsi"/>
          <w:lang w:val="en-GB"/>
        </w:rPr>
      </w:pPr>
      <w:r w:rsidRPr="00836D59">
        <w:rPr>
          <w:rFonts w:asciiTheme="minorHAnsi" w:hAnsiTheme="minorHAnsi"/>
          <w:lang w:val="en-GB"/>
        </w:rPr>
        <w:t>S</w:t>
      </w:r>
      <w:r w:rsidR="001558BB" w:rsidRPr="00836D59">
        <w:rPr>
          <w:rFonts w:asciiTheme="minorHAnsi" w:hAnsiTheme="minorHAnsi"/>
          <w:lang w:val="en-GB"/>
        </w:rPr>
        <w:t>martphone</w:t>
      </w:r>
      <w:r w:rsidR="00ED65F7" w:rsidRPr="00836D59">
        <w:rPr>
          <w:rFonts w:asciiTheme="minorHAnsi" w:hAnsiTheme="minorHAnsi"/>
          <w:lang w:val="en-GB"/>
        </w:rPr>
        <w:t>s</w:t>
      </w:r>
      <w:r w:rsidR="001558BB" w:rsidRPr="00836D59">
        <w:rPr>
          <w:rFonts w:asciiTheme="minorHAnsi" w:hAnsiTheme="minorHAnsi"/>
          <w:lang w:val="en-GB"/>
        </w:rPr>
        <w:t xml:space="preserve"> or tablet</w:t>
      </w:r>
      <w:r w:rsidR="00ED65F7" w:rsidRPr="00836D59">
        <w:rPr>
          <w:rFonts w:asciiTheme="minorHAnsi" w:hAnsiTheme="minorHAnsi"/>
          <w:lang w:val="en-GB"/>
        </w:rPr>
        <w:t>s</w:t>
      </w:r>
      <w:r w:rsidR="001558BB" w:rsidRPr="00836D59">
        <w:rPr>
          <w:rFonts w:asciiTheme="minorHAnsi" w:hAnsiTheme="minorHAnsi"/>
          <w:lang w:val="en-GB"/>
        </w:rPr>
        <w:t xml:space="preserve"> </w:t>
      </w:r>
      <w:r w:rsidR="00ED65F7" w:rsidRPr="00836D59">
        <w:rPr>
          <w:rFonts w:asciiTheme="minorHAnsi" w:hAnsiTheme="minorHAnsi"/>
          <w:lang w:val="en-GB"/>
        </w:rPr>
        <w:t>use</w:t>
      </w:r>
      <w:r w:rsidR="001558BB" w:rsidRPr="00836D59">
        <w:rPr>
          <w:rFonts w:asciiTheme="minorHAnsi" w:hAnsiTheme="minorHAnsi"/>
          <w:lang w:val="en-GB"/>
        </w:rPr>
        <w:t xml:space="preserve"> </w:t>
      </w:r>
      <w:r w:rsidR="008A06F4" w:rsidRPr="00836D59">
        <w:rPr>
          <w:rFonts w:asciiTheme="minorHAnsi" w:hAnsiTheme="minorHAnsi"/>
          <w:lang w:val="en-GB"/>
        </w:rPr>
        <w:t>specific</w:t>
      </w:r>
      <w:r w:rsidR="001558BB" w:rsidRPr="00836D59">
        <w:rPr>
          <w:rFonts w:asciiTheme="minorHAnsi" w:hAnsiTheme="minorHAnsi"/>
          <w:lang w:val="en-GB"/>
        </w:rPr>
        <w:t xml:space="preserve"> operating system</w:t>
      </w:r>
      <w:r w:rsidR="002D02EA" w:rsidRPr="00836D59">
        <w:rPr>
          <w:rFonts w:asciiTheme="minorHAnsi" w:hAnsiTheme="minorHAnsi"/>
          <w:lang w:val="en-GB"/>
        </w:rPr>
        <w:t>s</w:t>
      </w:r>
      <w:r w:rsidR="008A06F4" w:rsidRPr="00836D59">
        <w:rPr>
          <w:rFonts w:asciiTheme="minorHAnsi" w:hAnsiTheme="minorHAnsi"/>
          <w:lang w:val="en-GB"/>
        </w:rPr>
        <w:t xml:space="preserve"> requiring </w:t>
      </w:r>
      <w:r w:rsidR="00F61BBD" w:rsidRPr="00836D59">
        <w:rPr>
          <w:rFonts w:asciiTheme="minorHAnsi" w:hAnsiTheme="minorHAnsi"/>
          <w:lang w:val="en-GB"/>
        </w:rPr>
        <w:t xml:space="preserve">download </w:t>
      </w:r>
      <w:r w:rsidR="00D90EE4" w:rsidRPr="00836D59">
        <w:rPr>
          <w:rFonts w:asciiTheme="minorHAnsi" w:hAnsiTheme="minorHAnsi"/>
          <w:lang w:val="en-GB"/>
        </w:rPr>
        <w:t xml:space="preserve">of apps </w:t>
      </w:r>
      <w:r w:rsidR="00F61BBD" w:rsidRPr="00836D59">
        <w:rPr>
          <w:rFonts w:asciiTheme="minorHAnsi" w:hAnsiTheme="minorHAnsi"/>
          <w:lang w:val="en-GB"/>
        </w:rPr>
        <w:t>through</w:t>
      </w:r>
      <w:r w:rsidR="001558BB" w:rsidRPr="00836D59">
        <w:rPr>
          <w:rFonts w:asciiTheme="minorHAnsi" w:hAnsiTheme="minorHAnsi"/>
          <w:lang w:val="en-GB"/>
        </w:rPr>
        <w:t xml:space="preserve"> stores online (</w:t>
      </w:r>
      <w:r w:rsidR="00D90EE4" w:rsidRPr="00836D59">
        <w:rPr>
          <w:rFonts w:asciiTheme="minorHAnsi" w:hAnsiTheme="minorHAnsi"/>
          <w:lang w:val="en-GB"/>
        </w:rPr>
        <w:t>such as the</w:t>
      </w:r>
      <w:r w:rsidR="001558BB" w:rsidRPr="00836D59">
        <w:rPr>
          <w:rFonts w:asciiTheme="minorHAnsi" w:hAnsiTheme="minorHAnsi"/>
          <w:lang w:val="en-GB"/>
        </w:rPr>
        <w:t xml:space="preserve"> Apple</w:t>
      </w:r>
      <w:r w:rsidR="00284C5A" w:rsidRPr="00836D59">
        <w:rPr>
          <w:rFonts w:asciiTheme="minorHAnsi" w:hAnsiTheme="minorHAnsi"/>
          <w:lang w:val="en-GB"/>
        </w:rPr>
        <w:t xml:space="preserve"> or </w:t>
      </w:r>
      <w:r w:rsidR="001558BB" w:rsidRPr="00836D59">
        <w:rPr>
          <w:rFonts w:asciiTheme="minorHAnsi" w:hAnsiTheme="minorHAnsi"/>
          <w:lang w:val="en-GB"/>
        </w:rPr>
        <w:t>Google Play store</w:t>
      </w:r>
      <w:r w:rsidR="00284C5A" w:rsidRPr="00836D59">
        <w:rPr>
          <w:rFonts w:asciiTheme="minorHAnsi" w:hAnsiTheme="minorHAnsi"/>
          <w:lang w:val="en-GB"/>
        </w:rPr>
        <w:t>s</w:t>
      </w:r>
      <w:r w:rsidR="007E7EA2" w:rsidRPr="00836D59">
        <w:rPr>
          <w:rFonts w:asciiTheme="minorHAnsi" w:hAnsiTheme="minorHAnsi"/>
          <w:lang w:val="en-GB"/>
        </w:rPr>
        <w:t xml:space="preserve"> for Apple and Android devices</w:t>
      </w:r>
      <w:r w:rsidR="00D90EE4" w:rsidRPr="00836D59">
        <w:rPr>
          <w:rFonts w:asciiTheme="minorHAnsi" w:hAnsiTheme="minorHAnsi"/>
          <w:lang w:val="en-GB"/>
        </w:rPr>
        <w:t>,</w:t>
      </w:r>
      <w:r w:rsidR="007E7EA2" w:rsidRPr="00836D59">
        <w:rPr>
          <w:rFonts w:asciiTheme="minorHAnsi" w:hAnsiTheme="minorHAnsi"/>
          <w:lang w:val="en-GB"/>
        </w:rPr>
        <w:t xml:space="preserve"> respectively</w:t>
      </w:r>
      <w:r w:rsidR="008A06F4" w:rsidRPr="00836D59">
        <w:rPr>
          <w:rFonts w:asciiTheme="minorHAnsi" w:hAnsiTheme="minorHAnsi"/>
          <w:lang w:val="en-GB"/>
        </w:rPr>
        <w:t>)</w:t>
      </w:r>
      <w:r w:rsidR="00D90EE4" w:rsidRPr="00836D59">
        <w:rPr>
          <w:rFonts w:asciiTheme="minorHAnsi" w:hAnsiTheme="minorHAnsi"/>
          <w:lang w:val="en-GB"/>
        </w:rPr>
        <w:t>,</w:t>
      </w:r>
      <w:r w:rsidR="008A06F4" w:rsidRPr="00836D59">
        <w:rPr>
          <w:rFonts w:asciiTheme="minorHAnsi" w:hAnsiTheme="minorHAnsi"/>
          <w:lang w:val="en-GB"/>
        </w:rPr>
        <w:t xml:space="preserve"> which </w:t>
      </w:r>
      <w:r w:rsidR="001558BB" w:rsidRPr="00836D59">
        <w:rPr>
          <w:rFonts w:asciiTheme="minorHAnsi" w:hAnsiTheme="minorHAnsi"/>
          <w:lang w:val="en-GB"/>
        </w:rPr>
        <w:t>have their own terms and conditions</w:t>
      </w:r>
      <w:r w:rsidR="008A06F4" w:rsidRPr="00836D59">
        <w:rPr>
          <w:rFonts w:asciiTheme="minorHAnsi" w:hAnsiTheme="minorHAnsi"/>
          <w:lang w:val="en-GB"/>
        </w:rPr>
        <w:t>. D</w:t>
      </w:r>
      <w:r w:rsidR="007E7EA2" w:rsidRPr="00836D59">
        <w:rPr>
          <w:rFonts w:asciiTheme="minorHAnsi" w:hAnsiTheme="minorHAnsi"/>
          <w:lang w:val="en-GB"/>
        </w:rPr>
        <w:t>evelopers need to submit apps for review</w:t>
      </w:r>
      <w:r w:rsidR="008A06F4" w:rsidRPr="00836D59">
        <w:rPr>
          <w:rFonts w:asciiTheme="minorHAnsi" w:hAnsiTheme="minorHAnsi"/>
          <w:lang w:val="en-GB"/>
        </w:rPr>
        <w:t xml:space="preserve"> </w:t>
      </w:r>
      <w:r w:rsidR="00DA5359" w:rsidRPr="00836D59">
        <w:rPr>
          <w:rFonts w:asciiTheme="minorHAnsi" w:hAnsiTheme="minorHAnsi"/>
          <w:lang w:val="en-GB"/>
        </w:rPr>
        <w:t>having</w:t>
      </w:r>
      <w:r w:rsidR="008A06F4" w:rsidRPr="00836D59">
        <w:rPr>
          <w:rFonts w:asciiTheme="minorHAnsi" w:hAnsiTheme="minorHAnsi"/>
          <w:lang w:val="en-GB"/>
        </w:rPr>
        <w:t xml:space="preserve"> address</w:t>
      </w:r>
      <w:r w:rsidR="00DA5359" w:rsidRPr="00836D59">
        <w:rPr>
          <w:rFonts w:asciiTheme="minorHAnsi" w:hAnsiTheme="minorHAnsi"/>
          <w:lang w:val="en-GB"/>
        </w:rPr>
        <w:t>ed</w:t>
      </w:r>
      <w:r w:rsidR="008A06F4" w:rsidRPr="00836D59">
        <w:rPr>
          <w:rFonts w:asciiTheme="minorHAnsi" w:hAnsiTheme="minorHAnsi"/>
          <w:lang w:val="en-GB"/>
        </w:rPr>
        <w:t xml:space="preserve"> </w:t>
      </w:r>
      <w:r w:rsidR="00C77144" w:rsidRPr="00836D59">
        <w:rPr>
          <w:rFonts w:asciiTheme="minorHAnsi" w:hAnsiTheme="minorHAnsi"/>
          <w:lang w:val="en-GB"/>
        </w:rPr>
        <w:t>app stores</w:t>
      </w:r>
      <w:r w:rsidR="00624F81" w:rsidRPr="00836D59">
        <w:rPr>
          <w:rFonts w:asciiTheme="minorHAnsi" w:hAnsiTheme="minorHAnsi"/>
          <w:lang w:val="en-GB"/>
        </w:rPr>
        <w:t>’</w:t>
      </w:r>
      <w:r w:rsidR="00C77144" w:rsidRPr="00836D59">
        <w:rPr>
          <w:rFonts w:asciiTheme="minorHAnsi" w:hAnsiTheme="minorHAnsi"/>
          <w:lang w:val="en-GB"/>
        </w:rPr>
        <w:t xml:space="preserve"> </w:t>
      </w:r>
      <w:r w:rsidR="001558BB" w:rsidRPr="00836D59">
        <w:rPr>
          <w:rFonts w:asciiTheme="minorHAnsi" w:hAnsiTheme="minorHAnsi"/>
          <w:lang w:val="en-GB"/>
        </w:rPr>
        <w:t xml:space="preserve">technical content and design criteria. </w:t>
      </w:r>
      <w:r w:rsidR="00C77144" w:rsidRPr="00836D59">
        <w:rPr>
          <w:rFonts w:asciiTheme="minorHAnsi" w:hAnsiTheme="minorHAnsi"/>
          <w:lang w:val="en-GB"/>
        </w:rPr>
        <w:t>L</w:t>
      </w:r>
      <w:r w:rsidR="001558BB" w:rsidRPr="00836D59">
        <w:rPr>
          <w:rFonts w:asciiTheme="minorHAnsi" w:hAnsiTheme="minorHAnsi"/>
          <w:lang w:val="en-GB"/>
        </w:rPr>
        <w:t xml:space="preserve">egal requirements relate mostly to customer privacy and </w:t>
      </w:r>
      <w:r w:rsidR="008A5E6A" w:rsidRPr="00836D59">
        <w:rPr>
          <w:rFonts w:asciiTheme="minorHAnsi" w:hAnsiTheme="minorHAnsi"/>
          <w:lang w:val="en-GB"/>
        </w:rPr>
        <w:t>personal data</w:t>
      </w:r>
      <w:r w:rsidR="001558BB" w:rsidRPr="00836D59">
        <w:rPr>
          <w:rFonts w:asciiTheme="minorHAnsi" w:hAnsiTheme="minorHAnsi"/>
          <w:lang w:val="en-GB"/>
        </w:rPr>
        <w:t xml:space="preserve"> protection (</w:t>
      </w:r>
      <w:r w:rsidR="00D90EE4" w:rsidRPr="00836D59">
        <w:rPr>
          <w:rFonts w:asciiTheme="minorHAnsi" w:hAnsiTheme="minorHAnsi"/>
          <w:lang w:val="en-GB"/>
        </w:rPr>
        <w:t>such as</w:t>
      </w:r>
      <w:r w:rsidR="001558BB" w:rsidRPr="00836D59">
        <w:rPr>
          <w:rFonts w:asciiTheme="minorHAnsi" w:hAnsiTheme="minorHAnsi"/>
          <w:lang w:val="en-GB"/>
        </w:rPr>
        <w:t xml:space="preserve"> data storage, data use and s</w:t>
      </w:r>
      <w:r w:rsidR="00DA5359" w:rsidRPr="00836D59">
        <w:rPr>
          <w:rFonts w:asciiTheme="minorHAnsi" w:hAnsiTheme="minorHAnsi"/>
          <w:lang w:val="en-GB"/>
        </w:rPr>
        <w:t>haring</w:t>
      </w:r>
      <w:r w:rsidR="00D90EE4" w:rsidRPr="00836D59">
        <w:rPr>
          <w:rFonts w:asciiTheme="minorHAnsi" w:hAnsiTheme="minorHAnsi"/>
          <w:lang w:val="en-GB"/>
        </w:rPr>
        <w:t xml:space="preserve"> and</w:t>
      </w:r>
      <w:r w:rsidR="00DA5359" w:rsidRPr="00836D59">
        <w:rPr>
          <w:rFonts w:asciiTheme="minorHAnsi" w:hAnsiTheme="minorHAnsi"/>
          <w:lang w:val="en-GB"/>
        </w:rPr>
        <w:t xml:space="preserve"> children</w:t>
      </w:r>
      <w:r w:rsidR="00624F81" w:rsidRPr="00836D59">
        <w:rPr>
          <w:rFonts w:asciiTheme="minorHAnsi" w:hAnsiTheme="minorHAnsi"/>
          <w:lang w:val="en-GB"/>
        </w:rPr>
        <w:t>’</w:t>
      </w:r>
      <w:r w:rsidR="00DA5359" w:rsidRPr="00836D59">
        <w:rPr>
          <w:rFonts w:asciiTheme="minorHAnsi" w:hAnsiTheme="minorHAnsi"/>
          <w:lang w:val="en-GB"/>
        </w:rPr>
        <w:t>s data) and compliance</w:t>
      </w:r>
      <w:r w:rsidR="001558BB" w:rsidRPr="00836D59">
        <w:rPr>
          <w:rFonts w:asciiTheme="minorHAnsi" w:hAnsiTheme="minorHAnsi"/>
          <w:lang w:val="en-GB"/>
        </w:rPr>
        <w:t xml:space="preserve"> with national intellectual property leg</w:t>
      </w:r>
      <w:r w:rsidR="008A5E6A" w:rsidRPr="00836D59">
        <w:rPr>
          <w:rFonts w:asciiTheme="minorHAnsi" w:hAnsiTheme="minorHAnsi"/>
          <w:lang w:val="en-GB"/>
        </w:rPr>
        <w:t xml:space="preserve">islation, ensuring </w:t>
      </w:r>
      <w:r w:rsidR="001558BB" w:rsidRPr="00836D59">
        <w:rPr>
          <w:rFonts w:asciiTheme="minorHAnsi" w:hAnsiTheme="minorHAnsi"/>
          <w:lang w:val="en-GB"/>
        </w:rPr>
        <w:t xml:space="preserve">apps only include </w:t>
      </w:r>
      <w:r w:rsidR="00DA5359" w:rsidRPr="00836D59">
        <w:rPr>
          <w:rFonts w:asciiTheme="minorHAnsi" w:hAnsiTheme="minorHAnsi"/>
          <w:lang w:val="en-GB"/>
        </w:rPr>
        <w:t xml:space="preserve">original or licensed </w:t>
      </w:r>
      <w:r w:rsidR="001558BB" w:rsidRPr="00836D59">
        <w:rPr>
          <w:rFonts w:asciiTheme="minorHAnsi" w:hAnsiTheme="minorHAnsi"/>
          <w:lang w:val="en-GB"/>
        </w:rPr>
        <w:t>content</w:t>
      </w:r>
      <w:r w:rsidR="008A5E6A" w:rsidRPr="00836D59">
        <w:rPr>
          <w:rFonts w:asciiTheme="minorHAnsi" w:hAnsiTheme="minorHAnsi"/>
          <w:lang w:val="en-GB"/>
        </w:rPr>
        <w:t>. A</w:t>
      </w:r>
      <w:r w:rsidR="001558BB" w:rsidRPr="00836D59">
        <w:rPr>
          <w:rFonts w:asciiTheme="minorHAnsi" w:hAnsiTheme="minorHAnsi"/>
          <w:lang w:val="en-GB"/>
        </w:rPr>
        <w:t xml:space="preserve">pps using content without permission </w:t>
      </w:r>
      <w:r w:rsidR="00D90EE4" w:rsidRPr="00836D59">
        <w:rPr>
          <w:rFonts w:asciiTheme="minorHAnsi" w:hAnsiTheme="minorHAnsi"/>
          <w:lang w:val="en-GB"/>
        </w:rPr>
        <w:t xml:space="preserve">are </w:t>
      </w:r>
      <w:r w:rsidR="001558BB" w:rsidRPr="00836D59">
        <w:rPr>
          <w:rFonts w:asciiTheme="minorHAnsi" w:hAnsiTheme="minorHAnsi"/>
          <w:lang w:val="en-GB"/>
        </w:rPr>
        <w:t>usually removed by the app store.</w:t>
      </w:r>
      <w:r w:rsidR="009F54F0" w:rsidRPr="00836D59">
        <w:rPr>
          <w:rFonts w:asciiTheme="minorHAnsi" w:hAnsiTheme="minorHAnsi"/>
          <w:lang w:val="en-GB"/>
        </w:rPr>
        <w:t xml:space="preserve"> </w:t>
      </w:r>
    </w:p>
    <w:p w14:paraId="5E808EC4" w14:textId="77777777" w:rsidR="00E65AF3" w:rsidRPr="00836D59" w:rsidRDefault="00E65AF3" w:rsidP="00836D59">
      <w:pPr>
        <w:spacing w:line="360" w:lineRule="auto"/>
        <w:rPr>
          <w:rFonts w:asciiTheme="minorHAnsi" w:hAnsiTheme="minorHAnsi"/>
          <w:lang w:val="en-GB"/>
        </w:rPr>
      </w:pPr>
    </w:p>
    <w:p w14:paraId="6FC99A26" w14:textId="242BA6B5" w:rsidR="008C6BB9" w:rsidRPr="00836D59" w:rsidRDefault="008C6BB9" w:rsidP="00836D59">
      <w:pPr>
        <w:pStyle w:val="Heading1"/>
        <w:spacing w:line="360" w:lineRule="auto"/>
        <w:rPr>
          <w:rFonts w:asciiTheme="minorHAnsi" w:hAnsiTheme="minorHAnsi"/>
          <w:lang w:val="en-GB"/>
        </w:rPr>
      </w:pPr>
      <w:r w:rsidRPr="00836D59">
        <w:rPr>
          <w:rFonts w:asciiTheme="minorHAnsi" w:hAnsiTheme="minorHAnsi"/>
          <w:lang w:val="en-GB"/>
        </w:rPr>
        <w:t>Conclusion</w:t>
      </w:r>
    </w:p>
    <w:p w14:paraId="423F9C3B" w14:textId="04F1DF28" w:rsidR="00512054" w:rsidRPr="00836D59" w:rsidRDefault="00A54F83" w:rsidP="00836D59">
      <w:pPr>
        <w:spacing w:line="360" w:lineRule="auto"/>
        <w:rPr>
          <w:rFonts w:asciiTheme="minorHAnsi" w:hAnsiTheme="minorHAnsi"/>
          <w:lang w:val="en-GB"/>
        </w:rPr>
      </w:pPr>
      <w:r w:rsidRPr="00836D59">
        <w:rPr>
          <w:rFonts w:asciiTheme="minorHAnsi" w:hAnsiTheme="minorHAnsi"/>
          <w:lang w:val="en-GB"/>
        </w:rPr>
        <w:t>In sum, the requirements of ethical research procedures</w:t>
      </w:r>
      <w:r w:rsidR="002C1386" w:rsidRPr="00836D59">
        <w:rPr>
          <w:rFonts w:asciiTheme="minorHAnsi" w:hAnsiTheme="minorHAnsi"/>
          <w:lang w:val="en-GB"/>
        </w:rPr>
        <w:t>,</w:t>
      </w:r>
      <w:r w:rsidRPr="00836D59">
        <w:rPr>
          <w:rFonts w:asciiTheme="minorHAnsi" w:hAnsiTheme="minorHAnsi"/>
          <w:lang w:val="en-GB"/>
        </w:rPr>
        <w:t xml:space="preserve"> as well as of the </w:t>
      </w:r>
      <w:r w:rsidR="00065301" w:rsidRPr="00836D59">
        <w:rPr>
          <w:rFonts w:asciiTheme="minorHAnsi" w:hAnsiTheme="minorHAnsi"/>
          <w:lang w:val="en-GB"/>
        </w:rPr>
        <w:t xml:space="preserve">formal legal requirements of the </w:t>
      </w:r>
      <w:r w:rsidRPr="00836D59">
        <w:rPr>
          <w:rFonts w:asciiTheme="minorHAnsi" w:hAnsiTheme="minorHAnsi"/>
          <w:lang w:val="en-GB"/>
        </w:rPr>
        <w:t>GDPR</w:t>
      </w:r>
      <w:r w:rsidR="00D90EE4" w:rsidRPr="00836D59">
        <w:rPr>
          <w:rFonts w:asciiTheme="minorHAnsi" w:hAnsiTheme="minorHAnsi"/>
          <w:lang w:val="en-GB"/>
        </w:rPr>
        <w:t>,</w:t>
      </w:r>
      <w:r w:rsidRPr="00836D59">
        <w:rPr>
          <w:rFonts w:asciiTheme="minorHAnsi" w:hAnsiTheme="minorHAnsi"/>
          <w:lang w:val="en-GB"/>
        </w:rPr>
        <w:t xml:space="preserve"> necessitate a nuanced, case-by-case consideration of the balance of harms and benefits that research provides. </w:t>
      </w:r>
      <w:r w:rsidR="007F5D9F" w:rsidRPr="00836D59">
        <w:rPr>
          <w:rFonts w:asciiTheme="minorHAnsi" w:hAnsiTheme="minorHAnsi"/>
          <w:lang w:val="en-GB"/>
        </w:rPr>
        <w:t>As t</w:t>
      </w:r>
      <w:r w:rsidRPr="00836D59">
        <w:rPr>
          <w:rFonts w:asciiTheme="minorHAnsi" w:hAnsiTheme="minorHAnsi"/>
          <w:lang w:val="en-GB"/>
        </w:rPr>
        <w:t xml:space="preserve">he GDPR </w:t>
      </w:r>
      <w:r w:rsidR="00D31A3E" w:rsidRPr="00836D59">
        <w:rPr>
          <w:rFonts w:asciiTheme="minorHAnsi" w:hAnsiTheme="minorHAnsi"/>
          <w:lang w:val="en-GB"/>
        </w:rPr>
        <w:t xml:space="preserve">articulates </w:t>
      </w:r>
      <w:r w:rsidRPr="00836D59">
        <w:rPr>
          <w:rFonts w:asciiTheme="minorHAnsi" w:hAnsiTheme="minorHAnsi"/>
          <w:lang w:val="en-GB"/>
        </w:rPr>
        <w:t xml:space="preserve">stringent requirements regarding </w:t>
      </w:r>
      <w:r w:rsidR="00065301" w:rsidRPr="00836D59">
        <w:rPr>
          <w:rFonts w:asciiTheme="minorHAnsi" w:hAnsiTheme="minorHAnsi"/>
          <w:lang w:val="en-GB"/>
        </w:rPr>
        <w:t xml:space="preserve">the protection of personal data </w:t>
      </w:r>
      <w:r w:rsidRPr="00836D59">
        <w:rPr>
          <w:rFonts w:asciiTheme="minorHAnsi" w:hAnsiTheme="minorHAnsi"/>
          <w:lang w:val="en-GB"/>
        </w:rPr>
        <w:t>yet also recogni</w:t>
      </w:r>
      <w:r w:rsidR="00D3176B" w:rsidRPr="00836D59">
        <w:rPr>
          <w:rFonts w:asciiTheme="minorHAnsi" w:hAnsiTheme="minorHAnsi"/>
          <w:lang w:val="en-GB"/>
        </w:rPr>
        <w:t>z</w:t>
      </w:r>
      <w:r w:rsidRPr="00836D59">
        <w:rPr>
          <w:rFonts w:asciiTheme="minorHAnsi" w:hAnsiTheme="minorHAnsi"/>
          <w:lang w:val="en-GB"/>
        </w:rPr>
        <w:t>es the needs of researchers and benefits to society of meaningful research, each research case will need to be considered on its merits</w:t>
      </w:r>
      <w:r w:rsidR="00EB41AD" w:rsidRPr="00836D59">
        <w:rPr>
          <w:rFonts w:asciiTheme="minorHAnsi" w:hAnsiTheme="minorHAnsi"/>
          <w:lang w:val="en-GB"/>
        </w:rPr>
        <w:t>.</w:t>
      </w:r>
      <w:r w:rsidR="00C75C11" w:rsidRPr="00836D59">
        <w:rPr>
          <w:rFonts w:asciiTheme="minorHAnsi" w:hAnsiTheme="minorHAnsi"/>
          <w:lang w:val="en-GB"/>
        </w:rPr>
        <w:t xml:space="preserve"> The</w:t>
      </w:r>
      <w:r w:rsidR="00EB41AD" w:rsidRPr="00836D59">
        <w:rPr>
          <w:rFonts w:asciiTheme="minorHAnsi" w:hAnsiTheme="minorHAnsi"/>
          <w:lang w:val="en-GB"/>
        </w:rPr>
        <w:t xml:space="preserve"> issue of consent </w:t>
      </w:r>
      <w:r w:rsidR="00C75C11" w:rsidRPr="00836D59">
        <w:rPr>
          <w:rFonts w:asciiTheme="minorHAnsi" w:hAnsiTheme="minorHAnsi"/>
          <w:lang w:val="en-GB"/>
        </w:rPr>
        <w:t xml:space="preserve">raises specific </w:t>
      </w:r>
      <w:r w:rsidR="00EB41AD" w:rsidRPr="00836D59">
        <w:rPr>
          <w:rFonts w:asciiTheme="minorHAnsi" w:hAnsiTheme="minorHAnsi"/>
          <w:lang w:val="en-GB"/>
        </w:rPr>
        <w:t>ethical and legal issues</w:t>
      </w:r>
      <w:r w:rsidR="00506484" w:rsidRPr="00836D59">
        <w:rPr>
          <w:rFonts w:asciiTheme="minorHAnsi" w:hAnsiTheme="minorHAnsi"/>
          <w:lang w:val="en-GB"/>
        </w:rPr>
        <w:t xml:space="preserve"> (</w:t>
      </w:r>
      <w:r w:rsidR="00D07585" w:rsidRPr="00836D59">
        <w:rPr>
          <w:rFonts w:asciiTheme="minorHAnsi" w:hAnsiTheme="minorHAnsi"/>
          <w:lang w:val="en-GB"/>
        </w:rPr>
        <w:t xml:space="preserve">including </w:t>
      </w:r>
      <w:r w:rsidR="00506484" w:rsidRPr="00836D59">
        <w:rPr>
          <w:rFonts w:asciiTheme="minorHAnsi" w:hAnsiTheme="minorHAnsi"/>
          <w:lang w:val="en-GB"/>
        </w:rPr>
        <w:t>consent to participation in research, legal age of consent</w:t>
      </w:r>
      <w:r w:rsidR="00D07585" w:rsidRPr="00836D59">
        <w:rPr>
          <w:rFonts w:asciiTheme="minorHAnsi" w:hAnsiTheme="minorHAnsi"/>
          <w:lang w:val="en-GB"/>
        </w:rPr>
        <w:t xml:space="preserve"> and</w:t>
      </w:r>
      <w:r w:rsidR="00506484" w:rsidRPr="00836D59">
        <w:rPr>
          <w:rFonts w:asciiTheme="minorHAnsi" w:hAnsiTheme="minorHAnsi"/>
          <w:lang w:val="en-GB"/>
        </w:rPr>
        <w:t xml:space="preserve"> consent as a potential ground legitimi</w:t>
      </w:r>
      <w:r w:rsidR="00D07585" w:rsidRPr="00836D59">
        <w:rPr>
          <w:rFonts w:asciiTheme="minorHAnsi" w:hAnsiTheme="minorHAnsi"/>
          <w:lang w:val="en-GB"/>
        </w:rPr>
        <w:t>z</w:t>
      </w:r>
      <w:r w:rsidR="00506484" w:rsidRPr="00836D59">
        <w:rPr>
          <w:rFonts w:asciiTheme="minorHAnsi" w:hAnsiTheme="minorHAnsi"/>
          <w:lang w:val="en-GB"/>
        </w:rPr>
        <w:t>ing the</w:t>
      </w:r>
      <w:r w:rsidR="00EB41AD" w:rsidRPr="00836D59">
        <w:rPr>
          <w:rFonts w:asciiTheme="minorHAnsi" w:hAnsiTheme="minorHAnsi"/>
          <w:lang w:val="en-GB"/>
        </w:rPr>
        <w:t xml:space="preserve"> processing</w:t>
      </w:r>
      <w:r w:rsidR="00506484" w:rsidRPr="00836D59">
        <w:rPr>
          <w:rFonts w:asciiTheme="minorHAnsi" w:hAnsiTheme="minorHAnsi"/>
          <w:lang w:val="en-GB"/>
        </w:rPr>
        <w:t xml:space="preserve"> of</w:t>
      </w:r>
      <w:r w:rsidR="00EB41AD" w:rsidRPr="00836D59">
        <w:rPr>
          <w:rFonts w:asciiTheme="minorHAnsi" w:hAnsiTheme="minorHAnsi"/>
          <w:lang w:val="en-GB"/>
        </w:rPr>
        <w:t xml:space="preserve"> per</w:t>
      </w:r>
      <w:r w:rsidR="00506484" w:rsidRPr="00836D59">
        <w:rPr>
          <w:rFonts w:asciiTheme="minorHAnsi" w:hAnsiTheme="minorHAnsi"/>
          <w:lang w:val="en-GB"/>
        </w:rPr>
        <w:t xml:space="preserve">sonal data). Wherever possible, consent should be incorporated </w:t>
      </w:r>
      <w:r w:rsidRPr="00836D59">
        <w:rPr>
          <w:rFonts w:asciiTheme="minorHAnsi" w:hAnsiTheme="minorHAnsi"/>
          <w:lang w:val="en-GB"/>
        </w:rPr>
        <w:t xml:space="preserve">not as a one-off event but as </w:t>
      </w:r>
      <w:r w:rsidR="00D07585" w:rsidRPr="00836D59">
        <w:rPr>
          <w:rFonts w:asciiTheme="minorHAnsi" w:hAnsiTheme="minorHAnsi"/>
          <w:lang w:val="en-GB"/>
        </w:rPr>
        <w:t xml:space="preserve">a </w:t>
      </w:r>
      <w:r w:rsidRPr="00836D59">
        <w:rPr>
          <w:rFonts w:asciiTheme="minorHAnsi" w:hAnsiTheme="minorHAnsi"/>
          <w:lang w:val="en-GB"/>
        </w:rPr>
        <w:t xml:space="preserve">process. </w:t>
      </w:r>
      <w:r w:rsidR="00F41F5A" w:rsidRPr="00836D59">
        <w:rPr>
          <w:rFonts w:asciiTheme="minorHAnsi" w:hAnsiTheme="minorHAnsi"/>
          <w:lang w:val="en-GB"/>
        </w:rPr>
        <w:t>D</w:t>
      </w:r>
      <w:r w:rsidR="006E106A" w:rsidRPr="00836D59">
        <w:rPr>
          <w:rFonts w:asciiTheme="minorHAnsi" w:hAnsiTheme="minorHAnsi"/>
          <w:lang w:val="en-GB"/>
        </w:rPr>
        <w:t>espite these important considerations,</w:t>
      </w:r>
      <w:r w:rsidR="00633C7D" w:rsidRPr="00836D59">
        <w:rPr>
          <w:rFonts w:asciiTheme="minorHAnsi" w:hAnsiTheme="minorHAnsi"/>
          <w:lang w:val="en-GB"/>
        </w:rPr>
        <w:t xml:space="preserve"> t</w:t>
      </w:r>
      <w:r w:rsidRPr="00836D59">
        <w:rPr>
          <w:rFonts w:asciiTheme="minorHAnsi" w:hAnsiTheme="minorHAnsi"/>
          <w:lang w:val="en-GB"/>
        </w:rPr>
        <w:t xml:space="preserve">he workshop panel concluded that research projects such as those indicated above satisfied the conditions of benefit to society, and that </w:t>
      </w:r>
      <w:r w:rsidR="00BF7AA4" w:rsidRPr="00836D59">
        <w:rPr>
          <w:rFonts w:asciiTheme="minorHAnsi" w:hAnsiTheme="minorHAnsi"/>
          <w:lang w:val="en-GB"/>
        </w:rPr>
        <w:t xml:space="preserve">therefore </w:t>
      </w:r>
      <w:r w:rsidRPr="00836D59">
        <w:rPr>
          <w:rFonts w:asciiTheme="minorHAnsi" w:hAnsiTheme="minorHAnsi"/>
          <w:lang w:val="en-GB"/>
        </w:rPr>
        <w:t xml:space="preserve">invoking ethical principles to block such research would itself be unethical. </w:t>
      </w:r>
    </w:p>
    <w:p w14:paraId="1D5967FD" w14:textId="4E0AAEDD" w:rsidR="00512054" w:rsidRPr="00836D59" w:rsidRDefault="00A677BE" w:rsidP="00836D59">
      <w:pPr>
        <w:spacing w:line="360" w:lineRule="auto"/>
        <w:rPr>
          <w:rFonts w:asciiTheme="minorHAnsi" w:hAnsiTheme="minorHAnsi"/>
          <w:lang w:val="en-GB"/>
        </w:rPr>
      </w:pPr>
      <w:r w:rsidRPr="00836D59">
        <w:rPr>
          <w:rFonts w:asciiTheme="minorHAnsi" w:hAnsiTheme="minorHAnsi"/>
          <w:lang w:val="en-GB"/>
        </w:rPr>
        <w:t>Nevertheless,</w:t>
      </w:r>
      <w:r w:rsidR="00A54F83" w:rsidRPr="00836D59">
        <w:rPr>
          <w:rFonts w:asciiTheme="minorHAnsi" w:hAnsiTheme="minorHAnsi"/>
          <w:lang w:val="en-GB"/>
        </w:rPr>
        <w:t xml:space="preserve"> </w:t>
      </w:r>
      <w:r w:rsidRPr="00836D59">
        <w:rPr>
          <w:rFonts w:asciiTheme="minorHAnsi" w:hAnsiTheme="minorHAnsi"/>
          <w:lang w:val="en-GB"/>
        </w:rPr>
        <w:t xml:space="preserve">it is </w:t>
      </w:r>
      <w:r w:rsidR="00126633" w:rsidRPr="00836D59">
        <w:rPr>
          <w:rFonts w:asciiTheme="minorHAnsi" w:hAnsiTheme="minorHAnsi"/>
          <w:lang w:val="en-GB"/>
        </w:rPr>
        <w:t xml:space="preserve">of note </w:t>
      </w:r>
      <w:r w:rsidR="00A54F83" w:rsidRPr="00836D59">
        <w:rPr>
          <w:rFonts w:asciiTheme="minorHAnsi" w:hAnsiTheme="minorHAnsi"/>
          <w:lang w:val="en-GB"/>
        </w:rPr>
        <w:t xml:space="preserve">that </w:t>
      </w:r>
      <w:r w:rsidR="009F54F0" w:rsidRPr="00836D59">
        <w:rPr>
          <w:rFonts w:asciiTheme="minorHAnsi" w:hAnsiTheme="minorHAnsi"/>
          <w:lang w:val="en-GB"/>
        </w:rPr>
        <w:t xml:space="preserve">complex legal conditions </w:t>
      </w:r>
      <w:r w:rsidR="00F41F5A" w:rsidRPr="00836D59">
        <w:rPr>
          <w:rFonts w:asciiTheme="minorHAnsi" w:hAnsiTheme="minorHAnsi"/>
          <w:lang w:val="en-GB"/>
        </w:rPr>
        <w:t xml:space="preserve">are </w:t>
      </w:r>
      <w:r w:rsidR="009F54F0" w:rsidRPr="00836D59">
        <w:rPr>
          <w:rFonts w:asciiTheme="minorHAnsi" w:hAnsiTheme="minorHAnsi"/>
          <w:lang w:val="en-GB"/>
        </w:rPr>
        <w:t>set by digital platforms themselves –</w:t>
      </w:r>
      <w:r w:rsidRPr="00836D59">
        <w:rPr>
          <w:rFonts w:asciiTheme="minorHAnsi" w:hAnsiTheme="minorHAnsi"/>
          <w:lang w:val="en-GB"/>
        </w:rPr>
        <w:t xml:space="preserve"> </w:t>
      </w:r>
      <w:r w:rsidR="00A54F83" w:rsidRPr="00836D59">
        <w:rPr>
          <w:rFonts w:asciiTheme="minorHAnsi" w:hAnsiTheme="minorHAnsi"/>
          <w:lang w:val="en-GB"/>
        </w:rPr>
        <w:t>which</w:t>
      </w:r>
      <w:r w:rsidRPr="00836D59">
        <w:rPr>
          <w:rFonts w:asciiTheme="minorHAnsi" w:hAnsiTheme="minorHAnsi"/>
          <w:lang w:val="en-GB"/>
        </w:rPr>
        <w:t>,</w:t>
      </w:r>
      <w:r w:rsidR="00A54F83" w:rsidRPr="00836D59">
        <w:rPr>
          <w:rFonts w:asciiTheme="minorHAnsi" w:hAnsiTheme="minorHAnsi"/>
          <w:lang w:val="en-GB"/>
        </w:rPr>
        <w:t xml:space="preserve"> </w:t>
      </w:r>
      <w:r w:rsidR="00BF7AA4" w:rsidRPr="00836D59">
        <w:rPr>
          <w:rFonts w:asciiTheme="minorHAnsi" w:hAnsiTheme="minorHAnsi"/>
          <w:lang w:val="en-GB"/>
        </w:rPr>
        <w:t>unlike the GDPR</w:t>
      </w:r>
      <w:r w:rsidRPr="00836D59">
        <w:rPr>
          <w:rFonts w:asciiTheme="minorHAnsi" w:hAnsiTheme="minorHAnsi"/>
          <w:lang w:val="en-GB"/>
        </w:rPr>
        <w:t>,</w:t>
      </w:r>
      <w:r w:rsidR="00BF7AA4" w:rsidRPr="00836D59">
        <w:rPr>
          <w:rFonts w:asciiTheme="minorHAnsi" w:hAnsiTheme="minorHAnsi"/>
          <w:lang w:val="en-GB"/>
        </w:rPr>
        <w:t xml:space="preserve"> </w:t>
      </w:r>
      <w:r w:rsidR="00065301" w:rsidRPr="00836D59">
        <w:rPr>
          <w:rFonts w:asciiTheme="minorHAnsi" w:hAnsiTheme="minorHAnsi"/>
          <w:lang w:val="en-GB"/>
        </w:rPr>
        <w:t>do not contain a research exception</w:t>
      </w:r>
      <w:r w:rsidR="00F41F5A" w:rsidRPr="00836D59">
        <w:rPr>
          <w:rFonts w:asciiTheme="minorHAnsi" w:hAnsiTheme="minorHAnsi"/>
          <w:lang w:val="en-GB"/>
        </w:rPr>
        <w:t xml:space="preserve"> for purposes other than internal research</w:t>
      </w:r>
      <w:r w:rsidR="00BF7AA4" w:rsidRPr="00836D59">
        <w:rPr>
          <w:rFonts w:asciiTheme="minorHAnsi" w:hAnsiTheme="minorHAnsi"/>
          <w:lang w:val="en-GB"/>
        </w:rPr>
        <w:t>. This</w:t>
      </w:r>
      <w:r w:rsidR="00A54F83" w:rsidRPr="00836D59">
        <w:rPr>
          <w:rFonts w:asciiTheme="minorHAnsi" w:hAnsiTheme="minorHAnsi"/>
          <w:lang w:val="en-GB"/>
        </w:rPr>
        <w:t xml:space="preserve"> </w:t>
      </w:r>
      <w:r w:rsidR="009F54F0" w:rsidRPr="00836D59">
        <w:rPr>
          <w:rFonts w:asciiTheme="minorHAnsi" w:hAnsiTheme="minorHAnsi"/>
          <w:lang w:val="en-GB"/>
        </w:rPr>
        <w:t>add</w:t>
      </w:r>
      <w:r w:rsidR="00BF7AA4" w:rsidRPr="00836D59">
        <w:rPr>
          <w:rFonts w:asciiTheme="minorHAnsi" w:hAnsiTheme="minorHAnsi"/>
          <w:lang w:val="en-GB"/>
        </w:rPr>
        <w:t>s</w:t>
      </w:r>
      <w:r w:rsidR="009F54F0" w:rsidRPr="00836D59">
        <w:rPr>
          <w:rFonts w:asciiTheme="minorHAnsi" w:hAnsiTheme="minorHAnsi"/>
          <w:lang w:val="en-GB"/>
        </w:rPr>
        <w:t xml:space="preserve"> to the </w:t>
      </w:r>
      <w:r w:rsidR="00FC7F83" w:rsidRPr="00836D59">
        <w:rPr>
          <w:rFonts w:asciiTheme="minorHAnsi" w:hAnsiTheme="minorHAnsi"/>
          <w:lang w:val="en-GB"/>
        </w:rPr>
        <w:t>ethical</w:t>
      </w:r>
      <w:r w:rsidRPr="00836D59">
        <w:rPr>
          <w:rFonts w:asciiTheme="minorHAnsi" w:hAnsiTheme="minorHAnsi"/>
          <w:lang w:val="en-GB"/>
        </w:rPr>
        <w:t>–</w:t>
      </w:r>
      <w:r w:rsidR="00BF7AA4" w:rsidRPr="00836D59">
        <w:rPr>
          <w:rFonts w:asciiTheme="minorHAnsi" w:hAnsiTheme="minorHAnsi"/>
          <w:lang w:val="en-GB"/>
        </w:rPr>
        <w:t>legal hurdles</w:t>
      </w:r>
      <w:r w:rsidR="009F54F0" w:rsidRPr="00836D59">
        <w:rPr>
          <w:rFonts w:asciiTheme="minorHAnsi" w:hAnsiTheme="minorHAnsi"/>
          <w:lang w:val="en-GB"/>
        </w:rPr>
        <w:t xml:space="preserve"> faced by researchers seeking to identify solutions to this pressing public health </w:t>
      </w:r>
      <w:r w:rsidR="00F4196D" w:rsidRPr="00836D59">
        <w:rPr>
          <w:rFonts w:asciiTheme="minorHAnsi" w:hAnsiTheme="minorHAnsi"/>
          <w:lang w:val="en-GB"/>
        </w:rPr>
        <w:t>concern</w:t>
      </w:r>
      <w:r w:rsidR="009F54F0" w:rsidRPr="00836D59">
        <w:rPr>
          <w:rFonts w:asciiTheme="minorHAnsi" w:hAnsiTheme="minorHAnsi"/>
          <w:lang w:val="en-GB"/>
        </w:rPr>
        <w:t>.</w:t>
      </w:r>
      <w:r w:rsidR="00BF7AA4" w:rsidRPr="00836D59">
        <w:rPr>
          <w:rFonts w:asciiTheme="minorHAnsi" w:hAnsiTheme="minorHAnsi"/>
          <w:lang w:val="en-GB"/>
        </w:rPr>
        <w:t xml:space="preserve"> </w:t>
      </w:r>
      <w:r w:rsidRPr="00836D59">
        <w:rPr>
          <w:rFonts w:asciiTheme="minorHAnsi" w:hAnsiTheme="minorHAnsi"/>
          <w:lang w:val="en-GB"/>
        </w:rPr>
        <w:t xml:space="preserve">The authors </w:t>
      </w:r>
      <w:r w:rsidR="00954964" w:rsidRPr="00836D59">
        <w:rPr>
          <w:rFonts w:asciiTheme="minorHAnsi" w:hAnsiTheme="minorHAnsi"/>
          <w:lang w:val="en-GB"/>
        </w:rPr>
        <w:t>are aware of</w:t>
      </w:r>
      <w:r w:rsidR="00BF7AA4" w:rsidRPr="00836D59">
        <w:rPr>
          <w:rFonts w:asciiTheme="minorHAnsi" w:hAnsiTheme="minorHAnsi"/>
          <w:lang w:val="en-GB"/>
        </w:rPr>
        <w:t xml:space="preserve"> </w:t>
      </w:r>
      <w:r w:rsidR="00416C2C" w:rsidRPr="00836D59">
        <w:rPr>
          <w:rFonts w:asciiTheme="minorHAnsi" w:hAnsiTheme="minorHAnsi"/>
          <w:lang w:val="en-GB"/>
        </w:rPr>
        <w:t xml:space="preserve">instances in which </w:t>
      </w:r>
      <w:r w:rsidR="00BF7AA4" w:rsidRPr="00836D59">
        <w:rPr>
          <w:rFonts w:asciiTheme="minorHAnsi" w:hAnsiTheme="minorHAnsi"/>
          <w:lang w:val="en-GB"/>
        </w:rPr>
        <w:t xml:space="preserve">research ethics committees </w:t>
      </w:r>
      <w:r w:rsidR="00954964" w:rsidRPr="00836D59">
        <w:rPr>
          <w:rFonts w:asciiTheme="minorHAnsi" w:hAnsiTheme="minorHAnsi"/>
          <w:lang w:val="en-GB"/>
        </w:rPr>
        <w:t>have</w:t>
      </w:r>
      <w:r w:rsidR="00BF7AA4" w:rsidRPr="00836D59">
        <w:rPr>
          <w:rFonts w:asciiTheme="minorHAnsi" w:hAnsiTheme="minorHAnsi"/>
          <w:lang w:val="en-GB"/>
        </w:rPr>
        <w:t xml:space="preserve"> </w:t>
      </w:r>
      <w:r w:rsidR="00954964" w:rsidRPr="00836D59">
        <w:rPr>
          <w:rFonts w:asciiTheme="minorHAnsi" w:hAnsiTheme="minorHAnsi"/>
          <w:lang w:val="en-GB"/>
        </w:rPr>
        <w:t>chosen</w:t>
      </w:r>
      <w:r w:rsidR="00BF7AA4" w:rsidRPr="00836D59">
        <w:rPr>
          <w:rFonts w:asciiTheme="minorHAnsi" w:hAnsiTheme="minorHAnsi"/>
          <w:lang w:val="en-GB"/>
        </w:rPr>
        <w:t xml:space="preserve"> to </w:t>
      </w:r>
      <w:r w:rsidR="00F4196D" w:rsidRPr="00836D59">
        <w:rPr>
          <w:rFonts w:asciiTheme="minorHAnsi" w:hAnsiTheme="minorHAnsi"/>
          <w:lang w:val="en-GB"/>
        </w:rPr>
        <w:t xml:space="preserve">recommend </w:t>
      </w:r>
      <w:r w:rsidR="00954964" w:rsidRPr="00836D59">
        <w:rPr>
          <w:rFonts w:asciiTheme="minorHAnsi" w:hAnsiTheme="minorHAnsi"/>
          <w:lang w:val="en-GB"/>
        </w:rPr>
        <w:t>that</w:t>
      </w:r>
      <w:r w:rsidR="00F4196D" w:rsidRPr="00836D59">
        <w:rPr>
          <w:rFonts w:asciiTheme="minorHAnsi" w:hAnsiTheme="minorHAnsi"/>
          <w:lang w:val="en-GB"/>
        </w:rPr>
        <w:t xml:space="preserve"> institutions </w:t>
      </w:r>
      <w:r w:rsidR="003B2C36" w:rsidRPr="00836D59">
        <w:rPr>
          <w:rFonts w:asciiTheme="minorHAnsi" w:hAnsiTheme="minorHAnsi"/>
          <w:lang w:val="en-GB"/>
        </w:rPr>
        <w:t>support</w:t>
      </w:r>
      <w:r w:rsidR="008E36BD" w:rsidRPr="00836D59">
        <w:rPr>
          <w:rFonts w:asciiTheme="minorHAnsi" w:hAnsiTheme="minorHAnsi"/>
          <w:lang w:val="en-GB"/>
        </w:rPr>
        <w:t xml:space="preserve"> </w:t>
      </w:r>
      <w:r w:rsidR="009F3DAB" w:rsidRPr="00836D59">
        <w:rPr>
          <w:rFonts w:asciiTheme="minorHAnsi" w:hAnsiTheme="minorHAnsi"/>
          <w:lang w:val="en-GB"/>
        </w:rPr>
        <w:t xml:space="preserve">studies that breach social media platforms’ terms and conditions and </w:t>
      </w:r>
      <w:r w:rsidR="00F464FC" w:rsidRPr="00836D59">
        <w:rPr>
          <w:rFonts w:asciiTheme="minorHAnsi" w:hAnsiTheme="minorHAnsi"/>
          <w:lang w:val="en-GB"/>
        </w:rPr>
        <w:t xml:space="preserve">to </w:t>
      </w:r>
      <w:r w:rsidR="00416C2C" w:rsidRPr="00836D59">
        <w:rPr>
          <w:rFonts w:asciiTheme="minorHAnsi" w:hAnsiTheme="minorHAnsi"/>
          <w:lang w:val="en-GB"/>
        </w:rPr>
        <w:t>indemnify</w:t>
      </w:r>
      <w:r w:rsidR="00BF7AA4" w:rsidRPr="00836D59">
        <w:rPr>
          <w:rFonts w:asciiTheme="minorHAnsi" w:hAnsiTheme="minorHAnsi"/>
          <w:lang w:val="en-GB"/>
        </w:rPr>
        <w:t xml:space="preserve"> researchers </w:t>
      </w:r>
      <w:r w:rsidR="003B2C36" w:rsidRPr="00836D59">
        <w:rPr>
          <w:rFonts w:asciiTheme="minorHAnsi" w:hAnsiTheme="minorHAnsi"/>
          <w:lang w:val="en-GB"/>
        </w:rPr>
        <w:t>carrying out these studies</w:t>
      </w:r>
      <w:r w:rsidR="008E36BD" w:rsidRPr="00836D59">
        <w:rPr>
          <w:rFonts w:asciiTheme="minorHAnsi" w:hAnsiTheme="minorHAnsi"/>
          <w:lang w:val="en-GB"/>
        </w:rPr>
        <w:t>. This is</w:t>
      </w:r>
      <w:r w:rsidR="00FC7F83" w:rsidRPr="00836D59">
        <w:rPr>
          <w:rFonts w:asciiTheme="minorHAnsi" w:hAnsiTheme="minorHAnsi"/>
          <w:lang w:val="en-GB"/>
        </w:rPr>
        <w:t xml:space="preserve"> under the assumption that </w:t>
      </w:r>
      <w:r w:rsidR="009F3DAB" w:rsidRPr="00836D59">
        <w:rPr>
          <w:rFonts w:asciiTheme="minorHAnsi" w:hAnsiTheme="minorHAnsi"/>
          <w:lang w:val="en-GB"/>
        </w:rPr>
        <w:t>the risk to the institution is low</w:t>
      </w:r>
      <w:r w:rsidR="00292F35" w:rsidRPr="00836D59">
        <w:rPr>
          <w:rFonts w:asciiTheme="minorHAnsi" w:hAnsiTheme="minorHAnsi"/>
          <w:lang w:val="en-GB"/>
        </w:rPr>
        <w:t>,</w:t>
      </w:r>
      <w:r w:rsidR="009F3DAB" w:rsidRPr="00836D59">
        <w:rPr>
          <w:rFonts w:asciiTheme="minorHAnsi" w:hAnsiTheme="minorHAnsi"/>
          <w:lang w:val="en-GB"/>
        </w:rPr>
        <w:t xml:space="preserve"> </w:t>
      </w:r>
      <w:r w:rsidR="00292F35" w:rsidRPr="00836D59">
        <w:rPr>
          <w:rFonts w:asciiTheme="minorHAnsi" w:hAnsiTheme="minorHAnsi"/>
          <w:lang w:val="en-GB"/>
        </w:rPr>
        <w:t>as</w:t>
      </w:r>
      <w:r w:rsidR="009F3DAB" w:rsidRPr="00836D59">
        <w:rPr>
          <w:rFonts w:asciiTheme="minorHAnsi" w:hAnsiTheme="minorHAnsi"/>
          <w:lang w:val="en-GB"/>
        </w:rPr>
        <w:t xml:space="preserve"> </w:t>
      </w:r>
      <w:r w:rsidR="00FC7F83" w:rsidRPr="00836D59">
        <w:rPr>
          <w:rFonts w:asciiTheme="minorHAnsi" w:hAnsiTheme="minorHAnsi"/>
          <w:lang w:val="en-GB"/>
        </w:rPr>
        <w:t xml:space="preserve">it is unlikely that powerful </w:t>
      </w:r>
      <w:r w:rsidR="00501CD2" w:rsidRPr="00836D59">
        <w:rPr>
          <w:rFonts w:asciiTheme="minorHAnsi" w:hAnsiTheme="minorHAnsi"/>
          <w:lang w:val="en-GB"/>
        </w:rPr>
        <w:t>I</w:t>
      </w:r>
      <w:r w:rsidR="00FC7F83" w:rsidRPr="00836D59">
        <w:rPr>
          <w:rFonts w:asciiTheme="minorHAnsi" w:hAnsiTheme="minorHAnsi"/>
          <w:lang w:val="en-GB"/>
        </w:rPr>
        <w:t>nternet stakeholders such as social media providers</w:t>
      </w:r>
      <w:r w:rsidR="00BF7AA4" w:rsidRPr="00836D59">
        <w:rPr>
          <w:rFonts w:asciiTheme="minorHAnsi" w:hAnsiTheme="minorHAnsi"/>
          <w:lang w:val="en-GB"/>
        </w:rPr>
        <w:t xml:space="preserve"> </w:t>
      </w:r>
      <w:r w:rsidR="008B2DE2" w:rsidRPr="00836D59">
        <w:rPr>
          <w:rFonts w:asciiTheme="minorHAnsi" w:hAnsiTheme="minorHAnsi"/>
          <w:lang w:val="en-GB"/>
        </w:rPr>
        <w:t xml:space="preserve">would </w:t>
      </w:r>
      <w:r w:rsidR="00954964" w:rsidRPr="00836D59">
        <w:rPr>
          <w:rFonts w:asciiTheme="minorHAnsi" w:hAnsiTheme="minorHAnsi"/>
          <w:lang w:val="en-GB"/>
        </w:rPr>
        <w:t>seek to pursue public health researchers who contravene these conditions</w:t>
      </w:r>
      <w:r w:rsidRPr="00836D59">
        <w:rPr>
          <w:rFonts w:asciiTheme="minorHAnsi" w:hAnsiTheme="minorHAnsi"/>
          <w:lang w:val="en-GB"/>
        </w:rPr>
        <w:t>,</w:t>
      </w:r>
      <w:r w:rsidR="00C468E2" w:rsidRPr="00836D59">
        <w:rPr>
          <w:rFonts w:asciiTheme="minorHAnsi" w:hAnsiTheme="minorHAnsi"/>
          <w:lang w:val="en-GB"/>
        </w:rPr>
        <w:t xml:space="preserve"> </w:t>
      </w:r>
      <w:r w:rsidR="009F3DAB" w:rsidRPr="00836D59">
        <w:rPr>
          <w:rFonts w:asciiTheme="minorHAnsi" w:hAnsiTheme="minorHAnsi"/>
          <w:lang w:val="en-GB"/>
        </w:rPr>
        <w:t>as</w:t>
      </w:r>
      <w:r w:rsidR="00C468E2" w:rsidRPr="00836D59">
        <w:rPr>
          <w:rFonts w:asciiTheme="minorHAnsi" w:hAnsiTheme="minorHAnsi"/>
          <w:lang w:val="en-GB"/>
        </w:rPr>
        <w:t xml:space="preserve"> </w:t>
      </w:r>
      <w:r w:rsidR="00510131" w:rsidRPr="00836D59">
        <w:rPr>
          <w:rFonts w:asciiTheme="minorHAnsi" w:hAnsiTheme="minorHAnsi"/>
          <w:lang w:val="en-GB"/>
        </w:rPr>
        <w:t xml:space="preserve">substantial adverse publicity could be expected given that </w:t>
      </w:r>
      <w:r w:rsidR="00C468E2" w:rsidRPr="00836D59">
        <w:rPr>
          <w:rFonts w:asciiTheme="minorHAnsi" w:hAnsiTheme="minorHAnsi"/>
          <w:lang w:val="en-GB"/>
        </w:rPr>
        <w:t>genuine social benefit would accrue from such research.</w:t>
      </w:r>
    </w:p>
    <w:p w14:paraId="211B22F4" w14:textId="4D16C3F8" w:rsidR="00DC4D00" w:rsidRPr="00836D59" w:rsidRDefault="00F53A3F" w:rsidP="00836D59">
      <w:pPr>
        <w:spacing w:line="360" w:lineRule="auto"/>
        <w:rPr>
          <w:rFonts w:asciiTheme="minorHAnsi" w:hAnsiTheme="minorHAnsi"/>
          <w:lang w:val="en-GB"/>
        </w:rPr>
      </w:pPr>
      <w:r w:rsidRPr="00836D59">
        <w:rPr>
          <w:rFonts w:asciiTheme="minorHAnsi" w:hAnsiTheme="minorHAnsi"/>
          <w:lang w:val="en-GB"/>
        </w:rPr>
        <w:t>Research providing</w:t>
      </w:r>
      <w:r w:rsidR="00DC4D00" w:rsidRPr="00836D59">
        <w:rPr>
          <w:rFonts w:asciiTheme="minorHAnsi" w:hAnsiTheme="minorHAnsi"/>
          <w:lang w:val="en-GB"/>
        </w:rPr>
        <w:t xml:space="preserve"> objective data on children</w:t>
      </w:r>
      <w:r w:rsidR="00624F81" w:rsidRPr="00836D59">
        <w:rPr>
          <w:rFonts w:asciiTheme="minorHAnsi" w:hAnsiTheme="minorHAnsi"/>
          <w:lang w:val="en-GB"/>
        </w:rPr>
        <w:t>’</w:t>
      </w:r>
      <w:r w:rsidR="00DC4D00" w:rsidRPr="00836D59">
        <w:rPr>
          <w:rFonts w:asciiTheme="minorHAnsi" w:hAnsiTheme="minorHAnsi"/>
          <w:lang w:val="en-GB"/>
        </w:rPr>
        <w:t>s actual exposure to digital marketing</w:t>
      </w:r>
      <w:r w:rsidR="00884355" w:rsidRPr="00836D59">
        <w:rPr>
          <w:rFonts w:asciiTheme="minorHAnsi" w:hAnsiTheme="minorHAnsi"/>
          <w:lang w:val="en-GB"/>
        </w:rPr>
        <w:t>,</w:t>
      </w:r>
      <w:r w:rsidR="00DC4D00" w:rsidRPr="00836D59">
        <w:rPr>
          <w:rFonts w:asciiTheme="minorHAnsi" w:hAnsiTheme="minorHAnsi"/>
          <w:lang w:val="en-GB"/>
        </w:rPr>
        <w:t xml:space="preserve"> and essential information about</w:t>
      </w:r>
      <w:r w:rsidR="006E106A" w:rsidRPr="00836D59">
        <w:rPr>
          <w:rFonts w:asciiTheme="minorHAnsi" w:hAnsiTheme="minorHAnsi"/>
          <w:lang w:val="en-GB"/>
        </w:rPr>
        <w:t xml:space="preserve"> the persuasive techniques used</w:t>
      </w:r>
      <w:r w:rsidR="00884355" w:rsidRPr="00836D59">
        <w:rPr>
          <w:rFonts w:asciiTheme="minorHAnsi" w:hAnsiTheme="minorHAnsi"/>
          <w:lang w:val="en-GB"/>
        </w:rPr>
        <w:t>,</w:t>
      </w:r>
      <w:r w:rsidR="006E106A" w:rsidRPr="00836D59">
        <w:rPr>
          <w:rFonts w:asciiTheme="minorHAnsi" w:hAnsiTheme="minorHAnsi"/>
          <w:lang w:val="en-GB"/>
        </w:rPr>
        <w:t xml:space="preserve"> will </w:t>
      </w:r>
      <w:r w:rsidRPr="00836D59">
        <w:rPr>
          <w:rFonts w:asciiTheme="minorHAnsi" w:hAnsiTheme="minorHAnsi"/>
          <w:lang w:val="en-GB"/>
        </w:rPr>
        <w:t xml:space="preserve">clarify what types of marketing children see and where, and provide more concrete evidence of the </w:t>
      </w:r>
      <w:r w:rsidR="006E106A" w:rsidRPr="00836D59">
        <w:rPr>
          <w:rFonts w:asciiTheme="minorHAnsi" w:hAnsiTheme="minorHAnsi"/>
          <w:lang w:val="en-GB"/>
        </w:rPr>
        <w:t>problem. This will be important for regulatory agencies in designing regulatory interventions (</w:t>
      </w:r>
      <w:r w:rsidR="008F5A32" w:rsidRPr="00836D59">
        <w:rPr>
          <w:rFonts w:asciiTheme="minorHAnsi" w:hAnsiTheme="minorHAnsi"/>
          <w:lang w:val="en-GB"/>
        </w:rPr>
        <w:t>choosing</w:t>
      </w:r>
      <w:r w:rsidR="006E106A" w:rsidRPr="00836D59">
        <w:rPr>
          <w:rFonts w:asciiTheme="minorHAnsi" w:hAnsiTheme="minorHAnsi"/>
          <w:lang w:val="en-GB"/>
        </w:rPr>
        <w:t xml:space="preserve"> what to specify in the rules) and identifying the most appropriate regulatory entry point (</w:t>
      </w:r>
      <w:r w:rsidR="008F5A32" w:rsidRPr="00836D59">
        <w:rPr>
          <w:rFonts w:asciiTheme="minorHAnsi" w:hAnsiTheme="minorHAnsi"/>
          <w:lang w:val="en-GB"/>
        </w:rPr>
        <w:t>recommending</w:t>
      </w:r>
      <w:r w:rsidR="006E106A" w:rsidRPr="00836D59">
        <w:rPr>
          <w:rFonts w:asciiTheme="minorHAnsi" w:hAnsiTheme="minorHAnsi"/>
          <w:lang w:val="en-GB"/>
        </w:rPr>
        <w:t xml:space="preserve"> which agency or authority is best placed to develop, oversee and enforce the rules).</w:t>
      </w:r>
      <w:r w:rsidR="00A028F2" w:rsidRPr="00836D59">
        <w:rPr>
          <w:rFonts w:asciiTheme="minorHAnsi" w:hAnsiTheme="minorHAnsi"/>
          <w:lang w:val="en-GB"/>
        </w:rPr>
        <w:t xml:space="preserve"> It would therefore contribute hugely to the richness of policy discussions and should be prioritized as a research goal.</w:t>
      </w:r>
    </w:p>
    <w:p w14:paraId="10522C11" w14:textId="77777777" w:rsidR="00836D59" w:rsidRDefault="00836D59" w:rsidP="006E1CA6">
      <w:pPr>
        <w:pStyle w:val="NormalWeb"/>
        <w:rPr>
          <w:rFonts w:asciiTheme="minorHAnsi" w:hAnsiTheme="minorHAnsi"/>
          <w:b/>
          <w:bCs/>
          <w:lang w:val="en-GB"/>
        </w:rPr>
      </w:pPr>
    </w:p>
    <w:p w14:paraId="7D2D87DA" w14:textId="77777777" w:rsidR="006B7908" w:rsidRDefault="006B7908" w:rsidP="00836D59">
      <w:pPr>
        <w:pStyle w:val="NormalWeb"/>
        <w:spacing w:before="120" w:beforeAutospacing="0" w:after="120" w:afterAutospacing="0" w:line="240" w:lineRule="auto"/>
        <w:rPr>
          <w:rFonts w:asciiTheme="minorHAnsi" w:hAnsiTheme="minorHAnsi"/>
          <w:b/>
          <w:bCs/>
          <w:lang w:val="en-GB"/>
        </w:rPr>
      </w:pPr>
    </w:p>
    <w:p w14:paraId="25DF295E" w14:textId="2D4CCBA6" w:rsidR="006E1CA6" w:rsidRPr="00836D59" w:rsidRDefault="006E1CA6" w:rsidP="00836D59">
      <w:pPr>
        <w:pStyle w:val="NormalWeb"/>
        <w:spacing w:before="120" w:beforeAutospacing="0" w:after="120" w:afterAutospacing="0" w:line="240" w:lineRule="auto"/>
        <w:rPr>
          <w:rFonts w:asciiTheme="minorHAnsi" w:hAnsiTheme="minorHAnsi"/>
          <w:lang w:val="en-GB"/>
        </w:rPr>
      </w:pPr>
      <w:r w:rsidRPr="00836D59">
        <w:rPr>
          <w:rFonts w:asciiTheme="minorHAnsi" w:hAnsiTheme="minorHAnsi"/>
          <w:b/>
          <w:bCs/>
          <w:lang w:val="en-GB"/>
        </w:rPr>
        <w:t>Acknowledgements:</w:t>
      </w:r>
      <w:r w:rsidR="00624F81" w:rsidRPr="00836D59">
        <w:rPr>
          <w:rFonts w:asciiTheme="minorHAnsi" w:hAnsiTheme="minorHAnsi"/>
          <w:lang w:val="en-GB"/>
        </w:rPr>
        <w:t xml:space="preserve"> </w:t>
      </w:r>
      <w:r w:rsidRPr="00836D59">
        <w:rPr>
          <w:rFonts w:asciiTheme="minorHAnsi" w:hAnsiTheme="minorHAnsi"/>
          <w:lang w:val="en-GB"/>
        </w:rPr>
        <w:t>None declared.</w:t>
      </w:r>
    </w:p>
    <w:p w14:paraId="7D42CDCA" w14:textId="522EEDE9" w:rsidR="006E1CA6" w:rsidRPr="00836D59" w:rsidRDefault="006E1CA6" w:rsidP="00836D59">
      <w:pPr>
        <w:pStyle w:val="NormalWeb"/>
        <w:spacing w:before="120" w:beforeAutospacing="0" w:after="120" w:afterAutospacing="0" w:line="240" w:lineRule="auto"/>
        <w:rPr>
          <w:rFonts w:asciiTheme="minorHAnsi" w:hAnsiTheme="minorHAnsi"/>
          <w:lang w:val="nl-NL"/>
        </w:rPr>
      </w:pPr>
      <w:r w:rsidRPr="00836D59">
        <w:rPr>
          <w:rFonts w:asciiTheme="minorHAnsi" w:hAnsiTheme="minorHAnsi"/>
          <w:b/>
          <w:bCs/>
          <w:lang w:val="en-GB"/>
        </w:rPr>
        <w:t>Sources of funding:</w:t>
      </w:r>
      <w:r w:rsidR="00624F81" w:rsidRPr="00836D59">
        <w:rPr>
          <w:rFonts w:asciiTheme="minorHAnsi" w:hAnsiTheme="minorHAnsi"/>
          <w:lang w:val="en-GB"/>
        </w:rPr>
        <w:t xml:space="preserve"> </w:t>
      </w:r>
      <w:r w:rsidR="00BE2838" w:rsidRPr="00836D59">
        <w:rPr>
          <w:rFonts w:asciiTheme="minorHAnsi" w:hAnsiTheme="minorHAnsi"/>
          <w:lang w:val="nl-NL"/>
        </w:rPr>
        <w:t>Valerie Verdoodt’s contribution for this article was funded and created in the context of the AdLit Project, Research Fund Flanders. No other sources of funding were declared.</w:t>
      </w:r>
    </w:p>
    <w:p w14:paraId="06DDCC00" w14:textId="77777777" w:rsidR="006E1CA6" w:rsidRPr="00836D59" w:rsidRDefault="006E1CA6" w:rsidP="00836D59">
      <w:pPr>
        <w:pStyle w:val="NormalWeb"/>
        <w:spacing w:before="120" w:beforeAutospacing="0" w:after="120" w:afterAutospacing="0" w:line="240" w:lineRule="auto"/>
        <w:rPr>
          <w:rFonts w:asciiTheme="minorHAnsi" w:hAnsiTheme="minorHAnsi"/>
          <w:lang w:val="en-GB"/>
        </w:rPr>
      </w:pPr>
      <w:r w:rsidRPr="00836D59">
        <w:rPr>
          <w:rFonts w:asciiTheme="minorHAnsi" w:hAnsiTheme="minorHAnsi"/>
          <w:b/>
          <w:bCs/>
          <w:lang w:val="en-GB"/>
        </w:rPr>
        <w:t>Conflicts of interest</w:t>
      </w:r>
      <w:r w:rsidRPr="00836D59">
        <w:rPr>
          <w:rFonts w:asciiTheme="minorHAnsi" w:hAnsiTheme="minorHAnsi"/>
          <w:lang w:val="en-GB"/>
        </w:rPr>
        <w:t xml:space="preserve">: None declared. </w:t>
      </w:r>
    </w:p>
    <w:p w14:paraId="2B6AFB0E" w14:textId="3CA7C97B" w:rsidR="003127D8" w:rsidRDefault="006E1CA6" w:rsidP="00836D59">
      <w:pPr>
        <w:spacing w:line="240" w:lineRule="auto"/>
        <w:rPr>
          <w:rFonts w:asciiTheme="minorHAnsi" w:hAnsiTheme="minorHAnsi"/>
          <w:lang w:val="en-GB"/>
        </w:rPr>
      </w:pPr>
      <w:r w:rsidRPr="00836D59">
        <w:rPr>
          <w:rFonts w:asciiTheme="minorHAnsi" w:hAnsiTheme="minorHAnsi"/>
          <w:b/>
          <w:bCs/>
          <w:lang w:val="en-GB"/>
        </w:rPr>
        <w:t>Disclaimer</w:t>
      </w:r>
      <w:r w:rsidRPr="00836D59">
        <w:rPr>
          <w:rFonts w:asciiTheme="minorHAnsi" w:hAnsiTheme="minorHAnsi"/>
          <w:lang w:val="en-GB"/>
        </w:rPr>
        <w:t>: The authors alone are responsible for the views expressed in this publication and they do not necessarily represent the decisions or policies of the World Health Organization</w:t>
      </w:r>
    </w:p>
    <w:p w14:paraId="0BE940A3" w14:textId="77777777" w:rsidR="003127D8" w:rsidRDefault="003127D8">
      <w:pPr>
        <w:spacing w:before="0" w:after="0" w:line="240" w:lineRule="auto"/>
        <w:rPr>
          <w:rFonts w:asciiTheme="minorHAnsi" w:hAnsiTheme="minorHAnsi"/>
          <w:lang w:val="en-GB"/>
        </w:rPr>
      </w:pPr>
      <w:r>
        <w:rPr>
          <w:rFonts w:asciiTheme="minorHAnsi" w:hAnsiTheme="minorHAnsi"/>
          <w:lang w:val="en-GB"/>
        </w:rPr>
        <w:br w:type="page"/>
      </w:r>
    </w:p>
    <w:p w14:paraId="6ACFB035" w14:textId="77777777" w:rsidR="005C1454" w:rsidRPr="00836D59" w:rsidRDefault="005C1454" w:rsidP="00836D59">
      <w:pPr>
        <w:spacing w:line="240" w:lineRule="auto"/>
        <w:rPr>
          <w:rFonts w:asciiTheme="minorHAnsi" w:hAnsiTheme="minorHAnsi"/>
          <w:lang w:val="en-GB"/>
        </w:rPr>
      </w:pPr>
    </w:p>
    <w:p w14:paraId="1BE628BA" w14:textId="0C012733" w:rsidR="005C1454" w:rsidRPr="00836D59" w:rsidRDefault="005C1454" w:rsidP="00836D59">
      <w:pPr>
        <w:pStyle w:val="Heading1"/>
        <w:spacing w:line="240" w:lineRule="auto"/>
        <w:rPr>
          <w:rFonts w:asciiTheme="minorHAnsi" w:hAnsiTheme="minorHAnsi"/>
          <w:lang w:val="en-GB"/>
        </w:rPr>
      </w:pPr>
      <w:r w:rsidRPr="00836D59">
        <w:rPr>
          <w:rFonts w:asciiTheme="minorHAnsi" w:hAnsiTheme="minorHAnsi"/>
          <w:lang w:val="en-GB"/>
        </w:rPr>
        <w:t>References</w:t>
      </w:r>
    </w:p>
    <w:p w14:paraId="78DF48BF" w14:textId="39480425" w:rsidR="00C3663C" w:rsidRPr="00836D59" w:rsidRDefault="00C3663C" w:rsidP="00836D59">
      <w:pPr>
        <w:spacing w:line="240" w:lineRule="auto"/>
        <w:ind w:left="360" w:hanging="360"/>
        <w:rPr>
          <w:rFonts w:asciiTheme="minorHAnsi" w:hAnsiTheme="minorHAnsi"/>
          <w:lang w:val="en-GB"/>
        </w:rPr>
      </w:pPr>
      <w:r w:rsidRPr="00836D59">
        <w:rPr>
          <w:rFonts w:asciiTheme="minorHAnsi" w:hAnsiTheme="minorHAnsi"/>
          <w:lang w:val="en-GB"/>
        </w:rPr>
        <w:t xml:space="preserve">1 </w:t>
      </w:r>
      <w:r w:rsidR="00995F23" w:rsidRPr="00836D59">
        <w:rPr>
          <w:rFonts w:asciiTheme="minorHAnsi" w:hAnsiTheme="minorHAnsi"/>
          <w:lang w:val="en-GB"/>
        </w:rPr>
        <w:t>Commission on Ending Childhood Obesity.</w:t>
      </w:r>
      <w:r w:rsidR="00995F23" w:rsidRPr="00836D59" w:rsidDel="00995F23">
        <w:rPr>
          <w:rFonts w:asciiTheme="minorHAnsi" w:hAnsiTheme="minorHAnsi"/>
          <w:lang w:val="en-GB"/>
        </w:rPr>
        <w:t xml:space="preserve"> </w:t>
      </w:r>
      <w:r w:rsidRPr="00836D59">
        <w:rPr>
          <w:rFonts w:asciiTheme="minorHAnsi" w:hAnsiTheme="minorHAnsi"/>
          <w:lang w:val="en-GB"/>
        </w:rPr>
        <w:t>Report of the Commission on Ending Childhood Obesity. Geneva: World Health Organization</w:t>
      </w:r>
      <w:r w:rsidR="00995F23" w:rsidRPr="00836D59">
        <w:rPr>
          <w:rFonts w:asciiTheme="minorHAnsi" w:hAnsiTheme="minorHAnsi"/>
          <w:lang w:val="en-GB"/>
        </w:rPr>
        <w:t>; 2016 (http://www.who.int/end-childhood-obesity/publications/echo-report/en/, accessed 20 November 2017).</w:t>
      </w:r>
    </w:p>
    <w:p w14:paraId="28F6BE86" w14:textId="4AF93F5A" w:rsidR="00C3663C" w:rsidRPr="00836D59" w:rsidRDefault="00C3663C" w:rsidP="00836D59">
      <w:pPr>
        <w:spacing w:line="240" w:lineRule="auto"/>
        <w:ind w:left="360" w:hanging="360"/>
        <w:rPr>
          <w:rFonts w:asciiTheme="minorHAnsi" w:hAnsiTheme="minorHAnsi"/>
          <w:lang w:val="en-GB"/>
        </w:rPr>
      </w:pPr>
      <w:r w:rsidRPr="00836D59">
        <w:rPr>
          <w:rFonts w:asciiTheme="minorHAnsi" w:hAnsiTheme="minorHAnsi"/>
          <w:lang w:val="en-GB"/>
        </w:rPr>
        <w:t xml:space="preserve">2 Set of </w:t>
      </w:r>
      <w:r w:rsidR="00CA2A84" w:rsidRPr="00836D59">
        <w:rPr>
          <w:rFonts w:asciiTheme="minorHAnsi" w:hAnsiTheme="minorHAnsi"/>
          <w:lang w:val="en-GB"/>
        </w:rPr>
        <w:t>r</w:t>
      </w:r>
      <w:r w:rsidRPr="00836D59">
        <w:rPr>
          <w:rFonts w:asciiTheme="minorHAnsi" w:hAnsiTheme="minorHAnsi"/>
          <w:lang w:val="en-GB"/>
        </w:rPr>
        <w:t>ecommendations on the marketing of food and non-alcoholic beverages to children. Geneva: World Health Organization</w:t>
      </w:r>
      <w:r w:rsidR="00CA2A84" w:rsidRPr="00836D59">
        <w:rPr>
          <w:rFonts w:asciiTheme="minorHAnsi" w:hAnsiTheme="minorHAnsi"/>
          <w:lang w:val="en-GB"/>
        </w:rPr>
        <w:t>; 2010</w:t>
      </w:r>
      <w:r w:rsidRPr="00836D59">
        <w:rPr>
          <w:rFonts w:asciiTheme="minorHAnsi" w:hAnsiTheme="minorHAnsi"/>
          <w:lang w:val="en-GB"/>
        </w:rPr>
        <w:t xml:space="preserve"> </w:t>
      </w:r>
      <w:r w:rsidR="00CA2A84" w:rsidRPr="00836D59">
        <w:rPr>
          <w:rFonts w:asciiTheme="minorHAnsi" w:hAnsiTheme="minorHAnsi"/>
          <w:lang w:val="en-GB"/>
        </w:rPr>
        <w:t>(http://www.who.int/dietphysicalactivity/publications/recsmarketing/en/, accessed 20 November 2017).</w:t>
      </w:r>
    </w:p>
    <w:p w14:paraId="1CF7ED54" w14:textId="57002AC6" w:rsidR="00C3663C" w:rsidRPr="00836D59" w:rsidRDefault="00C3663C" w:rsidP="00836D59">
      <w:pPr>
        <w:spacing w:line="240" w:lineRule="auto"/>
        <w:ind w:left="360" w:hanging="360"/>
        <w:rPr>
          <w:rFonts w:asciiTheme="minorHAnsi" w:hAnsiTheme="minorHAnsi"/>
          <w:lang w:val="en-GB"/>
        </w:rPr>
      </w:pPr>
      <w:r w:rsidRPr="00836D59">
        <w:rPr>
          <w:rFonts w:asciiTheme="minorHAnsi" w:hAnsiTheme="minorHAnsi"/>
          <w:lang w:val="en-GB"/>
        </w:rPr>
        <w:t xml:space="preserve">3 </w:t>
      </w:r>
      <w:r w:rsidRPr="00836D59">
        <w:rPr>
          <w:rFonts w:asciiTheme="minorHAnsi" w:hAnsiTheme="minorHAnsi"/>
          <w:bCs/>
          <w:lang w:val="en-GB"/>
        </w:rPr>
        <w:t>Tackling food marketing to children in a digital world: trans-disciplinary perspectives</w:t>
      </w:r>
      <w:r w:rsidRPr="00836D59">
        <w:rPr>
          <w:rFonts w:asciiTheme="minorHAnsi" w:hAnsiTheme="minorHAnsi"/>
          <w:lang w:val="en-GB"/>
        </w:rPr>
        <w:t>. Children</w:t>
      </w:r>
      <w:r w:rsidR="00624F81" w:rsidRPr="00836D59">
        <w:rPr>
          <w:rFonts w:asciiTheme="minorHAnsi" w:hAnsiTheme="minorHAnsi"/>
          <w:lang w:val="en-GB"/>
        </w:rPr>
        <w:t>’</w:t>
      </w:r>
      <w:r w:rsidRPr="00836D59">
        <w:rPr>
          <w:rFonts w:asciiTheme="minorHAnsi" w:hAnsiTheme="minorHAnsi"/>
          <w:lang w:val="en-GB"/>
        </w:rPr>
        <w:t>s rights, evidence of impact, methodological challenges, regulatory options and policy implications for the WHO European Region. Geneva: World Health Organization</w:t>
      </w:r>
      <w:r w:rsidR="006506B7" w:rsidRPr="00836D59">
        <w:rPr>
          <w:rFonts w:asciiTheme="minorHAnsi" w:hAnsiTheme="minorHAnsi"/>
          <w:lang w:val="en-GB"/>
        </w:rPr>
        <w:t>; 2016</w:t>
      </w:r>
      <w:r w:rsidR="002E62A7" w:rsidRPr="00836D59">
        <w:rPr>
          <w:rFonts w:asciiTheme="minorHAnsi" w:hAnsiTheme="minorHAnsi"/>
          <w:lang w:val="en-GB"/>
        </w:rPr>
        <w:t xml:space="preserve"> (http://www.euro.who.int/en/health-topics/disease-prevention/nutrition/publications/2016/tackling-food-marketing-to-children-in-a-digital-world-trans-disciplinary-perspectives.-childrens-rights,-evidence-of-impact,-methodological-challenges,-regulatory-options-and-policy-implications-for-the-who-european-region-2016, accessed 20 November 2017).</w:t>
      </w:r>
    </w:p>
    <w:p w14:paraId="70E24CF0" w14:textId="1C251F4E" w:rsidR="008F2FD9" w:rsidRPr="00836D59" w:rsidRDefault="00CB7159" w:rsidP="00836D59">
      <w:pPr>
        <w:spacing w:line="240" w:lineRule="auto"/>
        <w:ind w:left="360" w:hanging="360"/>
        <w:rPr>
          <w:rFonts w:asciiTheme="minorHAnsi" w:hAnsiTheme="minorHAnsi"/>
          <w:lang w:val="en-GB"/>
        </w:rPr>
      </w:pPr>
      <w:r w:rsidRPr="00836D59">
        <w:rPr>
          <w:rFonts w:asciiTheme="minorHAnsi" w:hAnsiTheme="minorHAnsi"/>
          <w:lang w:val="en-GB"/>
        </w:rPr>
        <w:t xml:space="preserve">4 </w:t>
      </w:r>
      <w:r w:rsidR="00ED391F" w:rsidRPr="00836D59">
        <w:rPr>
          <w:rFonts w:asciiTheme="minorHAnsi" w:hAnsiTheme="minorHAnsi"/>
        </w:rPr>
        <w:t xml:space="preserve">Cookson </w:t>
      </w:r>
      <w:r w:rsidR="00AE0883" w:rsidRPr="00836D59">
        <w:rPr>
          <w:rFonts w:asciiTheme="minorHAnsi" w:hAnsiTheme="minorHAnsi"/>
        </w:rPr>
        <w:t xml:space="preserve">R. Digital advertising: </w:t>
      </w:r>
      <w:r w:rsidR="00614638" w:rsidRPr="00836D59">
        <w:rPr>
          <w:rFonts w:asciiTheme="minorHAnsi" w:hAnsiTheme="minorHAnsi"/>
        </w:rPr>
        <w:t>b</w:t>
      </w:r>
      <w:r w:rsidR="00AE0883" w:rsidRPr="00836D59">
        <w:rPr>
          <w:rFonts w:asciiTheme="minorHAnsi" w:hAnsiTheme="minorHAnsi"/>
        </w:rPr>
        <w:t>rands versus bots. Financial Times</w:t>
      </w:r>
      <w:r w:rsidR="00A14EE8" w:rsidRPr="00836D59">
        <w:rPr>
          <w:rFonts w:asciiTheme="minorHAnsi" w:hAnsiTheme="minorHAnsi"/>
        </w:rPr>
        <w:t>.</w:t>
      </w:r>
      <w:r w:rsidR="00AE0883" w:rsidRPr="00836D59">
        <w:rPr>
          <w:rFonts w:asciiTheme="minorHAnsi" w:hAnsiTheme="minorHAnsi"/>
        </w:rPr>
        <w:t xml:space="preserve"> </w:t>
      </w:r>
      <w:r w:rsidR="00A14EE8" w:rsidRPr="00836D59">
        <w:rPr>
          <w:rFonts w:asciiTheme="minorHAnsi" w:hAnsiTheme="minorHAnsi"/>
        </w:rPr>
        <w:t>2016;</w:t>
      </w:r>
      <w:r w:rsidR="00AE0883" w:rsidRPr="00836D59">
        <w:rPr>
          <w:rFonts w:asciiTheme="minorHAnsi" w:hAnsiTheme="minorHAnsi"/>
        </w:rPr>
        <w:t>18 July</w:t>
      </w:r>
      <w:r w:rsidR="00A14EE8" w:rsidRPr="00836D59">
        <w:rPr>
          <w:rFonts w:asciiTheme="minorHAnsi" w:hAnsiTheme="minorHAnsi"/>
        </w:rPr>
        <w:t xml:space="preserve"> (</w:t>
      </w:r>
      <w:hyperlink r:id="rId13" w:history="1">
        <w:r w:rsidR="00AE0883" w:rsidRPr="00836D59">
          <w:rPr>
            <w:rFonts w:asciiTheme="minorHAnsi" w:hAnsiTheme="minorHAnsi"/>
          </w:rPr>
          <w:t>https://www.ft.com/content/fb66c818-49a4-11e6-b387-64ab0a67014c</w:t>
        </w:r>
      </w:hyperlink>
      <w:r w:rsidR="00614638" w:rsidRPr="00836D59">
        <w:rPr>
          <w:rFonts w:asciiTheme="minorHAnsi" w:hAnsiTheme="minorHAnsi"/>
        </w:rPr>
        <w:t>, accessed 20 November 2017).</w:t>
      </w:r>
    </w:p>
    <w:p w14:paraId="51DD04CC" w14:textId="56DBD2C3" w:rsidR="00C3663C" w:rsidRPr="00836D59" w:rsidRDefault="00C3663C" w:rsidP="00836D59">
      <w:pPr>
        <w:spacing w:line="240" w:lineRule="auto"/>
        <w:ind w:left="360" w:hanging="360"/>
        <w:rPr>
          <w:rStyle w:val="apple-converted-space"/>
          <w:rFonts w:asciiTheme="minorHAnsi" w:hAnsiTheme="minorHAnsi"/>
          <w:lang w:val="en-GB"/>
        </w:rPr>
      </w:pPr>
      <w:r w:rsidRPr="00836D59">
        <w:rPr>
          <w:rStyle w:val="s1"/>
          <w:rFonts w:asciiTheme="minorHAnsi" w:hAnsiTheme="minorHAnsi"/>
          <w:sz w:val="24"/>
          <w:szCs w:val="24"/>
          <w:lang w:val="en-GB"/>
        </w:rPr>
        <w:t xml:space="preserve">5 Clarke B, Svanaes S. Literature review of research on online food and beverage marketing to children. Produced for the Committee of Advertising Practice. London: Family </w:t>
      </w:r>
      <w:r w:rsidRPr="00836D59">
        <w:rPr>
          <w:rFonts w:asciiTheme="minorHAnsi" w:hAnsiTheme="minorHAnsi"/>
          <w:lang w:val="en-GB"/>
        </w:rPr>
        <w:t>Kids &amp; Youth Market Research and Consultancy</w:t>
      </w:r>
      <w:r w:rsidR="00112BE6" w:rsidRPr="00836D59">
        <w:rPr>
          <w:rFonts w:asciiTheme="minorHAnsi" w:hAnsiTheme="minorHAnsi"/>
          <w:lang w:val="en-GB"/>
        </w:rPr>
        <w:t>; 2014</w:t>
      </w:r>
      <w:r w:rsidRPr="00836D59">
        <w:rPr>
          <w:rFonts w:asciiTheme="minorHAnsi" w:hAnsiTheme="minorHAnsi"/>
          <w:lang w:val="en-GB"/>
        </w:rPr>
        <w:t xml:space="preserve"> </w:t>
      </w:r>
      <w:r w:rsidR="00112BE6" w:rsidRPr="00836D59">
        <w:rPr>
          <w:rFonts w:asciiTheme="minorHAnsi" w:hAnsiTheme="minorHAnsi"/>
          <w:lang w:val="en-GB"/>
        </w:rPr>
        <w:t>(https://www.asa.org.uk/resource/CAP-response-to-the-Family-Kids-&amp;-Youth-Review.html, accessed 20 November 2017).</w:t>
      </w:r>
    </w:p>
    <w:p w14:paraId="05CE5303" w14:textId="66C82253" w:rsidR="00C3663C" w:rsidRPr="00836D59" w:rsidRDefault="00C3663C" w:rsidP="00836D59">
      <w:pPr>
        <w:spacing w:line="240" w:lineRule="auto"/>
        <w:ind w:left="360" w:hanging="360"/>
        <w:rPr>
          <w:rFonts w:asciiTheme="minorHAnsi" w:hAnsiTheme="minorHAnsi"/>
          <w:lang w:val="en-GB"/>
        </w:rPr>
      </w:pPr>
      <w:r w:rsidRPr="00836D59">
        <w:rPr>
          <w:rFonts w:asciiTheme="minorHAnsi" w:hAnsiTheme="minorHAnsi"/>
          <w:lang w:val="en-GB"/>
        </w:rPr>
        <w:t>6 Boyland EJ, Nolan S, Kelly B, Tudur-Smith C, Jones A, Halford JC et al</w:t>
      </w:r>
      <w:r w:rsidR="004B4F16" w:rsidRPr="00836D59">
        <w:rPr>
          <w:rFonts w:asciiTheme="minorHAnsi" w:hAnsiTheme="minorHAnsi"/>
          <w:lang w:val="en-GB"/>
        </w:rPr>
        <w:t>.</w:t>
      </w:r>
      <w:r w:rsidRPr="00836D59">
        <w:rPr>
          <w:rFonts w:asciiTheme="minorHAnsi" w:hAnsiTheme="minorHAnsi"/>
          <w:lang w:val="en-GB"/>
        </w:rPr>
        <w:t xml:space="preserve"> Advertising as a cue to consume: a systematic review and meta-analysis of the effects of acute exposure to unhealthy food and nonalcoholic beverage advertising on intake in children and adults. Am J Clin Nutr</w:t>
      </w:r>
      <w:r w:rsidR="004B4F16" w:rsidRPr="00836D59">
        <w:rPr>
          <w:rFonts w:asciiTheme="minorHAnsi" w:hAnsiTheme="minorHAnsi"/>
          <w:lang w:val="en-GB"/>
        </w:rPr>
        <w:t>. 2016</w:t>
      </w:r>
      <w:r w:rsidR="00347AAF" w:rsidRPr="00836D59">
        <w:rPr>
          <w:rFonts w:asciiTheme="minorHAnsi" w:hAnsiTheme="minorHAnsi"/>
          <w:lang w:val="en-GB"/>
        </w:rPr>
        <w:t>;103(2):519–33.</w:t>
      </w:r>
      <w:r w:rsidRPr="00836D59">
        <w:rPr>
          <w:rFonts w:asciiTheme="minorHAnsi" w:hAnsiTheme="minorHAnsi"/>
          <w:lang w:val="en-GB"/>
        </w:rPr>
        <w:t xml:space="preserve"> doi:10.3945/ajcn.115.120022.</w:t>
      </w:r>
    </w:p>
    <w:p w14:paraId="5EEF20E9" w14:textId="6EA1A5FE" w:rsidR="00C3663C" w:rsidRPr="00836D59" w:rsidRDefault="00C3663C" w:rsidP="00836D59">
      <w:pPr>
        <w:spacing w:line="240" w:lineRule="auto"/>
        <w:ind w:left="360" w:hanging="360"/>
        <w:rPr>
          <w:rFonts w:asciiTheme="minorHAnsi" w:hAnsiTheme="minorHAnsi"/>
          <w:lang w:val="en-GB"/>
        </w:rPr>
      </w:pPr>
      <w:r w:rsidRPr="00836D59">
        <w:rPr>
          <w:rFonts w:asciiTheme="minorHAnsi" w:hAnsiTheme="minorHAnsi"/>
          <w:lang w:val="en-GB"/>
        </w:rPr>
        <w:t>7 Shilton K</w:t>
      </w:r>
      <w:r w:rsidR="00943DF5" w:rsidRPr="00836D59">
        <w:rPr>
          <w:rFonts w:asciiTheme="minorHAnsi" w:hAnsiTheme="minorHAnsi"/>
          <w:lang w:val="en-GB"/>
        </w:rPr>
        <w:t>,</w:t>
      </w:r>
      <w:r w:rsidRPr="00836D59">
        <w:rPr>
          <w:rFonts w:asciiTheme="minorHAnsi" w:hAnsiTheme="minorHAnsi"/>
          <w:lang w:val="en-GB"/>
        </w:rPr>
        <w:t xml:space="preserve"> Sayles S</w:t>
      </w:r>
      <w:r w:rsidR="00F025A4" w:rsidRPr="00836D59">
        <w:rPr>
          <w:rFonts w:asciiTheme="minorHAnsi" w:hAnsiTheme="minorHAnsi"/>
          <w:lang w:val="en-GB"/>
        </w:rPr>
        <w:t>.</w:t>
      </w:r>
      <w:r w:rsidRPr="00836D59">
        <w:rPr>
          <w:rFonts w:asciiTheme="minorHAnsi" w:hAnsiTheme="minorHAnsi"/>
          <w:lang w:val="en-GB"/>
        </w:rPr>
        <w:t xml:space="preserve"> </w:t>
      </w:r>
      <w:r w:rsidR="00624F81" w:rsidRPr="00836D59">
        <w:rPr>
          <w:rFonts w:asciiTheme="minorHAnsi" w:hAnsiTheme="minorHAnsi"/>
          <w:lang w:val="en-GB"/>
        </w:rPr>
        <w:t>“</w:t>
      </w:r>
      <w:r w:rsidRPr="00836D59">
        <w:rPr>
          <w:rFonts w:asciiTheme="minorHAnsi" w:hAnsiTheme="minorHAnsi"/>
          <w:lang w:val="en-GB"/>
        </w:rPr>
        <w:t xml:space="preserve">We </w:t>
      </w:r>
      <w:r w:rsidR="00F025A4" w:rsidRPr="00836D59">
        <w:rPr>
          <w:rFonts w:asciiTheme="minorHAnsi" w:hAnsiTheme="minorHAnsi"/>
          <w:lang w:val="en-GB"/>
        </w:rPr>
        <w:t>aren’t all going to be on the same page about ethics</w:t>
      </w:r>
      <w:r w:rsidR="00624F81" w:rsidRPr="00836D59">
        <w:rPr>
          <w:rFonts w:asciiTheme="minorHAnsi" w:hAnsiTheme="minorHAnsi"/>
          <w:lang w:val="en-GB"/>
        </w:rPr>
        <w:t>”</w:t>
      </w:r>
      <w:r w:rsidRPr="00836D59">
        <w:rPr>
          <w:rFonts w:asciiTheme="minorHAnsi" w:hAnsiTheme="minorHAnsi"/>
          <w:lang w:val="en-GB"/>
        </w:rPr>
        <w:t xml:space="preserve">: </w:t>
      </w:r>
      <w:r w:rsidR="00F025A4" w:rsidRPr="00836D59">
        <w:rPr>
          <w:rFonts w:asciiTheme="minorHAnsi" w:hAnsiTheme="minorHAnsi"/>
          <w:lang w:val="en-GB"/>
        </w:rPr>
        <w:t>ethical practices and challenges in research on digital and social media</w:t>
      </w:r>
      <w:r w:rsidRPr="00836D59">
        <w:rPr>
          <w:rFonts w:asciiTheme="minorHAnsi" w:hAnsiTheme="minorHAnsi"/>
          <w:lang w:val="en-GB"/>
        </w:rPr>
        <w:t>. 49th Hawaii International Conference on System Sciences</w:t>
      </w:r>
      <w:r w:rsidR="000E0FB3" w:rsidRPr="00836D59">
        <w:rPr>
          <w:rFonts w:asciiTheme="minorHAnsi" w:hAnsiTheme="minorHAnsi"/>
          <w:lang w:val="en-GB"/>
        </w:rPr>
        <w:t>,</w:t>
      </w:r>
      <w:r w:rsidR="00F760BB" w:rsidRPr="00836D59">
        <w:rPr>
          <w:rFonts w:asciiTheme="minorHAnsi" w:hAnsiTheme="minorHAnsi"/>
        </w:rPr>
        <w:t xml:space="preserve"> </w:t>
      </w:r>
      <w:r w:rsidR="00F760BB" w:rsidRPr="00836D59">
        <w:rPr>
          <w:rFonts w:asciiTheme="minorHAnsi" w:hAnsiTheme="minorHAnsi"/>
          <w:lang w:val="en-GB"/>
        </w:rPr>
        <w:t>Kauai, Hawaii,</w:t>
      </w:r>
      <w:r w:rsidR="000E0FB3" w:rsidRPr="00836D59">
        <w:rPr>
          <w:rFonts w:asciiTheme="minorHAnsi" w:hAnsiTheme="minorHAnsi"/>
          <w:lang w:val="en-GB"/>
        </w:rPr>
        <w:t xml:space="preserve"> </w:t>
      </w:r>
      <w:r w:rsidR="00F760BB" w:rsidRPr="00836D59">
        <w:rPr>
          <w:rFonts w:asciiTheme="minorHAnsi" w:hAnsiTheme="minorHAnsi"/>
          <w:lang w:val="en-GB"/>
        </w:rPr>
        <w:t xml:space="preserve">5–8 January 2016. Piscataway, NJ: </w:t>
      </w:r>
      <w:r w:rsidR="00A026D0" w:rsidRPr="00836D59">
        <w:rPr>
          <w:rFonts w:asciiTheme="minorHAnsi" w:hAnsiTheme="minorHAnsi"/>
          <w:lang w:val="en-GB"/>
        </w:rPr>
        <w:t xml:space="preserve">Institute of Electrical and Electronics Engineers; </w:t>
      </w:r>
      <w:r w:rsidR="00F025A4" w:rsidRPr="00836D59">
        <w:rPr>
          <w:rFonts w:asciiTheme="minorHAnsi" w:hAnsiTheme="minorHAnsi"/>
          <w:lang w:val="en-GB"/>
        </w:rPr>
        <w:t>2016:</w:t>
      </w:r>
      <w:r w:rsidR="000E0FB3" w:rsidRPr="00836D59">
        <w:rPr>
          <w:rFonts w:asciiTheme="minorHAnsi" w:hAnsiTheme="minorHAnsi"/>
          <w:lang w:val="en-GB"/>
        </w:rPr>
        <w:t>1909</w:t>
      </w:r>
      <w:r w:rsidR="00540FF6" w:rsidRPr="00836D59">
        <w:rPr>
          <w:rFonts w:asciiTheme="minorHAnsi" w:hAnsiTheme="minorHAnsi"/>
          <w:lang w:val="en-GB"/>
        </w:rPr>
        <w:t>–</w:t>
      </w:r>
      <w:r w:rsidR="00AB083C" w:rsidRPr="00836D59">
        <w:rPr>
          <w:rFonts w:asciiTheme="minorHAnsi" w:hAnsiTheme="minorHAnsi"/>
          <w:lang w:val="en-GB"/>
        </w:rPr>
        <w:t>18</w:t>
      </w:r>
      <w:r w:rsidR="00540FF6" w:rsidRPr="00836D59">
        <w:rPr>
          <w:rFonts w:asciiTheme="minorHAnsi" w:hAnsiTheme="minorHAnsi"/>
          <w:lang w:val="en-GB"/>
        </w:rPr>
        <w:t>.</w:t>
      </w:r>
    </w:p>
    <w:p w14:paraId="16CE8468" w14:textId="2F4E4DD4" w:rsidR="00C3663C" w:rsidRPr="00836D59" w:rsidRDefault="00C3663C" w:rsidP="00836D59">
      <w:pPr>
        <w:spacing w:line="240" w:lineRule="auto"/>
        <w:ind w:left="360" w:hanging="360"/>
        <w:rPr>
          <w:rFonts w:asciiTheme="minorHAnsi" w:hAnsiTheme="minorHAnsi"/>
          <w:lang w:val="en-GB"/>
        </w:rPr>
      </w:pPr>
      <w:r w:rsidRPr="00836D59">
        <w:rPr>
          <w:rFonts w:asciiTheme="minorHAnsi" w:hAnsiTheme="minorHAnsi"/>
          <w:lang w:val="en-GB"/>
        </w:rPr>
        <w:t>8 Weller K</w:t>
      </w:r>
      <w:r w:rsidR="00540FF6" w:rsidRPr="00836D59">
        <w:rPr>
          <w:rFonts w:asciiTheme="minorHAnsi" w:hAnsiTheme="minorHAnsi"/>
          <w:lang w:val="en-GB"/>
        </w:rPr>
        <w:t>,</w:t>
      </w:r>
      <w:r w:rsidRPr="00836D59">
        <w:rPr>
          <w:rFonts w:asciiTheme="minorHAnsi" w:hAnsiTheme="minorHAnsi"/>
          <w:lang w:val="en-GB"/>
        </w:rPr>
        <w:t xml:space="preserve"> Kinder-Kurlanda KE. Uncovering the challenges in collection, sharing and documentation: the hidden data of social media research? In: </w:t>
      </w:r>
      <w:r w:rsidR="009D4939" w:rsidRPr="00836D59">
        <w:rPr>
          <w:rFonts w:asciiTheme="minorHAnsi" w:hAnsiTheme="minorHAnsi"/>
          <w:lang w:val="en-GB"/>
        </w:rPr>
        <w:t xml:space="preserve">Proceedings. </w:t>
      </w:r>
      <w:r w:rsidRPr="00836D59">
        <w:rPr>
          <w:rFonts w:asciiTheme="minorHAnsi" w:hAnsiTheme="minorHAnsi"/>
          <w:lang w:val="en-GB"/>
        </w:rPr>
        <w:t xml:space="preserve">Standards and practices in large-scale social media research. </w:t>
      </w:r>
      <w:r w:rsidR="009D4939" w:rsidRPr="00836D59">
        <w:rPr>
          <w:rFonts w:asciiTheme="minorHAnsi" w:hAnsiTheme="minorHAnsi"/>
          <w:lang w:val="en-GB"/>
        </w:rPr>
        <w:t xml:space="preserve">Ninth </w:t>
      </w:r>
      <w:r w:rsidRPr="00836D59">
        <w:rPr>
          <w:rFonts w:asciiTheme="minorHAnsi" w:hAnsiTheme="minorHAnsi"/>
          <w:lang w:val="en-GB"/>
        </w:rPr>
        <w:t xml:space="preserve">International </w:t>
      </w:r>
      <w:r w:rsidR="009D4939" w:rsidRPr="00836D59">
        <w:rPr>
          <w:rFonts w:asciiTheme="minorHAnsi" w:hAnsiTheme="minorHAnsi"/>
          <w:lang w:val="en-GB"/>
        </w:rPr>
        <w:t xml:space="preserve">AAAI </w:t>
      </w:r>
      <w:r w:rsidRPr="00836D59">
        <w:rPr>
          <w:rFonts w:asciiTheme="minorHAnsi" w:hAnsiTheme="minorHAnsi"/>
          <w:lang w:val="en-GB"/>
        </w:rPr>
        <w:t>Conference on Web and Social Media</w:t>
      </w:r>
      <w:r w:rsidR="00540FF6" w:rsidRPr="00836D59">
        <w:rPr>
          <w:rFonts w:asciiTheme="minorHAnsi" w:hAnsiTheme="minorHAnsi"/>
          <w:lang w:val="en-GB"/>
        </w:rPr>
        <w:t xml:space="preserve">, </w:t>
      </w:r>
      <w:r w:rsidR="00CC3D0F" w:rsidRPr="00836D59">
        <w:rPr>
          <w:rFonts w:asciiTheme="minorHAnsi" w:hAnsiTheme="minorHAnsi"/>
          <w:lang w:val="en-GB"/>
        </w:rPr>
        <w:t xml:space="preserve">Oxford, United Kingdom, </w:t>
      </w:r>
      <w:r w:rsidR="00DB5595" w:rsidRPr="00836D59">
        <w:rPr>
          <w:rFonts w:asciiTheme="minorHAnsi" w:hAnsiTheme="minorHAnsi"/>
          <w:lang w:val="en-GB"/>
        </w:rPr>
        <w:t xml:space="preserve">26–29 May </w:t>
      </w:r>
      <w:r w:rsidR="00540FF6" w:rsidRPr="00836D59">
        <w:rPr>
          <w:rFonts w:asciiTheme="minorHAnsi" w:hAnsiTheme="minorHAnsi"/>
          <w:lang w:val="en-GB"/>
        </w:rPr>
        <w:t>2015</w:t>
      </w:r>
      <w:r w:rsidRPr="00836D59">
        <w:rPr>
          <w:rFonts w:asciiTheme="minorHAnsi" w:hAnsiTheme="minorHAnsi"/>
          <w:lang w:val="en-GB"/>
        </w:rPr>
        <w:t>.</w:t>
      </w:r>
      <w:r w:rsidR="001678A6" w:rsidRPr="00836D59">
        <w:rPr>
          <w:rFonts w:asciiTheme="minorHAnsi" w:hAnsiTheme="minorHAnsi"/>
          <w:lang w:val="en-GB"/>
        </w:rPr>
        <w:t xml:space="preserve"> Palo Alto, CA:</w:t>
      </w:r>
      <w:r w:rsidR="001678A6" w:rsidRPr="00836D59">
        <w:rPr>
          <w:rFonts w:asciiTheme="minorHAnsi" w:hAnsiTheme="minorHAnsi"/>
        </w:rPr>
        <w:t xml:space="preserve"> </w:t>
      </w:r>
      <w:r w:rsidR="001678A6" w:rsidRPr="00836D59">
        <w:rPr>
          <w:rFonts w:asciiTheme="minorHAnsi" w:hAnsiTheme="minorHAnsi"/>
          <w:lang w:val="en-GB"/>
        </w:rPr>
        <w:t>Association for the Advancement of Artificial Intelligence</w:t>
      </w:r>
      <w:r w:rsidR="00DB5595" w:rsidRPr="00836D59">
        <w:rPr>
          <w:rFonts w:asciiTheme="minorHAnsi" w:hAnsiTheme="minorHAnsi"/>
          <w:lang w:val="en-GB"/>
        </w:rPr>
        <w:t>; 2015</w:t>
      </w:r>
      <w:r w:rsidR="00A026D0" w:rsidRPr="00836D59">
        <w:rPr>
          <w:rFonts w:asciiTheme="minorHAnsi" w:hAnsiTheme="minorHAnsi"/>
          <w:lang w:val="en-GB"/>
        </w:rPr>
        <w:t>: 28–37</w:t>
      </w:r>
      <w:r w:rsidR="00DB5595" w:rsidRPr="00836D59">
        <w:rPr>
          <w:rFonts w:asciiTheme="minorHAnsi" w:hAnsiTheme="minorHAnsi"/>
          <w:lang w:val="en-GB"/>
        </w:rPr>
        <w:t>.</w:t>
      </w:r>
      <w:r w:rsidR="001678A6" w:rsidRPr="00836D59">
        <w:rPr>
          <w:rFonts w:asciiTheme="minorHAnsi" w:hAnsiTheme="minorHAnsi"/>
          <w:lang w:val="en-GB"/>
        </w:rPr>
        <w:t xml:space="preserve"> </w:t>
      </w:r>
    </w:p>
    <w:p w14:paraId="2DF99769" w14:textId="348BF764" w:rsidR="00BC6977" w:rsidRPr="00836D59" w:rsidRDefault="00BC6977" w:rsidP="00836D59">
      <w:pPr>
        <w:spacing w:line="240" w:lineRule="auto"/>
        <w:ind w:left="360" w:hanging="360"/>
        <w:rPr>
          <w:rFonts w:asciiTheme="minorHAnsi" w:hAnsiTheme="minorHAnsi"/>
          <w:lang w:val="en-GB"/>
        </w:rPr>
      </w:pPr>
      <w:r w:rsidRPr="00836D59">
        <w:rPr>
          <w:rFonts w:asciiTheme="minorHAnsi" w:hAnsiTheme="minorHAnsi"/>
          <w:lang w:val="en-GB"/>
        </w:rPr>
        <w:t xml:space="preserve">9 Ethical </w:t>
      </w:r>
      <w:r w:rsidR="00730303" w:rsidRPr="00836D59">
        <w:rPr>
          <w:rFonts w:asciiTheme="minorHAnsi" w:hAnsiTheme="minorHAnsi"/>
          <w:lang w:val="en-GB"/>
        </w:rPr>
        <w:t xml:space="preserve">decision-making </w:t>
      </w:r>
      <w:r w:rsidRPr="00836D59">
        <w:rPr>
          <w:rFonts w:asciiTheme="minorHAnsi" w:hAnsiTheme="minorHAnsi"/>
          <w:lang w:val="en-GB"/>
        </w:rPr>
        <w:t xml:space="preserve">and Internet </w:t>
      </w:r>
      <w:r w:rsidR="00730303" w:rsidRPr="00836D59">
        <w:rPr>
          <w:rFonts w:asciiTheme="minorHAnsi" w:hAnsiTheme="minorHAnsi"/>
          <w:lang w:val="en-GB"/>
        </w:rPr>
        <w:t>research</w:t>
      </w:r>
      <w:r w:rsidR="00FD2B98" w:rsidRPr="00836D59">
        <w:rPr>
          <w:rFonts w:asciiTheme="minorHAnsi" w:hAnsiTheme="minorHAnsi"/>
          <w:lang w:val="en-GB"/>
        </w:rPr>
        <w:t>: recommendations from the AoIR ethics working committee</w:t>
      </w:r>
      <w:r w:rsidR="00730303" w:rsidRPr="00836D59">
        <w:rPr>
          <w:rFonts w:asciiTheme="minorHAnsi" w:hAnsiTheme="minorHAnsi"/>
          <w:lang w:val="en-GB"/>
        </w:rPr>
        <w:t xml:space="preserve">. Chicago, IL: </w:t>
      </w:r>
      <w:r w:rsidR="00DD2B75" w:rsidRPr="00836D59">
        <w:rPr>
          <w:rFonts w:asciiTheme="minorHAnsi" w:hAnsiTheme="minorHAnsi"/>
          <w:lang w:val="en-GB"/>
        </w:rPr>
        <w:t>Association of Internet Researchers; 2012</w:t>
      </w:r>
      <w:r w:rsidR="00730303" w:rsidRPr="00836D59">
        <w:rPr>
          <w:rFonts w:asciiTheme="minorHAnsi" w:hAnsiTheme="minorHAnsi"/>
          <w:lang w:val="en-GB"/>
        </w:rPr>
        <w:t xml:space="preserve"> (</w:t>
      </w:r>
      <w:r w:rsidR="00FD2B98" w:rsidRPr="00836D59">
        <w:rPr>
          <w:rFonts w:asciiTheme="minorHAnsi" w:hAnsiTheme="minorHAnsi"/>
          <w:lang w:val="en-GB"/>
        </w:rPr>
        <w:t>https://aoir.org/ethics/, accessed 20 November 2017).</w:t>
      </w:r>
    </w:p>
    <w:p w14:paraId="25E78867" w14:textId="00D31F0D" w:rsidR="00C3663C" w:rsidRPr="00836D59" w:rsidRDefault="00C3663C" w:rsidP="00836D59">
      <w:pPr>
        <w:spacing w:line="240" w:lineRule="auto"/>
        <w:ind w:left="360" w:hanging="360"/>
        <w:rPr>
          <w:rFonts w:asciiTheme="minorHAnsi" w:hAnsiTheme="minorHAnsi"/>
          <w:lang w:val="en-GB"/>
        </w:rPr>
      </w:pPr>
      <w:r w:rsidRPr="00836D59">
        <w:rPr>
          <w:rFonts w:asciiTheme="minorHAnsi" w:hAnsiTheme="minorHAnsi"/>
          <w:lang w:val="en-GB"/>
        </w:rPr>
        <w:t>10 Towards a new digital ethics</w:t>
      </w:r>
      <w:r w:rsidR="00BA32F7" w:rsidRPr="00836D59">
        <w:rPr>
          <w:rFonts w:asciiTheme="minorHAnsi" w:hAnsiTheme="minorHAnsi"/>
          <w:lang w:val="en-GB"/>
        </w:rPr>
        <w:t>: data, dignity and technology</w:t>
      </w:r>
      <w:r w:rsidRPr="00836D59">
        <w:rPr>
          <w:rFonts w:asciiTheme="minorHAnsi" w:hAnsiTheme="minorHAnsi"/>
          <w:lang w:val="en-GB"/>
        </w:rPr>
        <w:t xml:space="preserve">. </w:t>
      </w:r>
      <w:r w:rsidR="00A20819" w:rsidRPr="00836D59">
        <w:rPr>
          <w:rFonts w:asciiTheme="minorHAnsi" w:hAnsiTheme="minorHAnsi"/>
          <w:lang w:val="en-GB"/>
        </w:rPr>
        <w:t>Brussels: European Data Protection Supervisor; 2015 (Opinion 4/2015; https://edps.europa.eu/data-protection/our-work/publications/opinions/towards-new-digital-ethics-data-dignity-and_en, accessed 20 November 2017).</w:t>
      </w:r>
      <w:r w:rsidR="00A20819" w:rsidRPr="00836D59" w:rsidDel="00A20819">
        <w:rPr>
          <w:rFonts w:asciiTheme="minorHAnsi" w:hAnsiTheme="minorHAnsi"/>
          <w:lang w:val="en-GB"/>
        </w:rPr>
        <w:t xml:space="preserve"> </w:t>
      </w:r>
    </w:p>
    <w:p w14:paraId="3E689F20" w14:textId="105482CB" w:rsidR="00C3663C" w:rsidRPr="00836D59" w:rsidRDefault="00C3663C" w:rsidP="00836D59">
      <w:pPr>
        <w:spacing w:line="240" w:lineRule="auto"/>
        <w:ind w:left="360" w:hanging="360"/>
        <w:rPr>
          <w:rFonts w:asciiTheme="minorHAnsi" w:hAnsiTheme="minorHAnsi"/>
          <w:lang w:val="en-GB"/>
        </w:rPr>
      </w:pPr>
      <w:r w:rsidRPr="00836D59">
        <w:rPr>
          <w:rFonts w:asciiTheme="minorHAnsi" w:hAnsiTheme="minorHAnsi"/>
          <w:lang w:val="en-GB"/>
        </w:rPr>
        <w:t xml:space="preserve">11 </w:t>
      </w:r>
      <w:r w:rsidR="00B36304" w:rsidRPr="00836D59">
        <w:rPr>
          <w:rFonts w:asciiTheme="minorHAnsi" w:hAnsiTheme="minorHAnsi"/>
          <w:lang w:val="en-GB"/>
        </w:rPr>
        <w:t xml:space="preserve">Meta-code of Ethics. Brussels: </w:t>
      </w:r>
      <w:r w:rsidRPr="00836D59">
        <w:rPr>
          <w:rFonts w:asciiTheme="minorHAnsi" w:hAnsiTheme="minorHAnsi"/>
          <w:lang w:val="en-GB"/>
        </w:rPr>
        <w:t>European Federation of Psychologists</w:t>
      </w:r>
      <w:r w:rsidR="00624F81" w:rsidRPr="00836D59">
        <w:rPr>
          <w:rFonts w:asciiTheme="minorHAnsi" w:hAnsiTheme="minorHAnsi"/>
          <w:lang w:val="en-GB"/>
        </w:rPr>
        <w:t>’</w:t>
      </w:r>
      <w:r w:rsidRPr="00836D59">
        <w:rPr>
          <w:rFonts w:asciiTheme="minorHAnsi" w:hAnsiTheme="minorHAnsi"/>
          <w:lang w:val="en-GB"/>
        </w:rPr>
        <w:t xml:space="preserve"> Associations</w:t>
      </w:r>
      <w:r w:rsidR="001C4EED" w:rsidRPr="00836D59">
        <w:rPr>
          <w:rFonts w:asciiTheme="minorHAnsi" w:hAnsiTheme="minorHAnsi"/>
          <w:lang w:val="en-GB"/>
        </w:rPr>
        <w:t>;</w:t>
      </w:r>
      <w:r w:rsidRPr="00836D59">
        <w:rPr>
          <w:rFonts w:asciiTheme="minorHAnsi" w:hAnsiTheme="minorHAnsi"/>
          <w:lang w:val="en-GB"/>
        </w:rPr>
        <w:t xml:space="preserve"> 2005 </w:t>
      </w:r>
      <w:r w:rsidR="00B36304" w:rsidRPr="00836D59">
        <w:rPr>
          <w:rFonts w:asciiTheme="minorHAnsi" w:hAnsiTheme="minorHAnsi"/>
          <w:lang w:val="en-GB"/>
        </w:rPr>
        <w:t>(</w:t>
      </w:r>
      <w:r w:rsidR="00F464FC" w:rsidRPr="00836D59">
        <w:rPr>
          <w:rFonts w:asciiTheme="minorHAnsi" w:hAnsiTheme="minorHAnsi"/>
        </w:rPr>
        <w:t>http://www.bdp-verband.org/bdp/verband/clips/efpa_metacode_en.pdf, accessed 27 November 2017</w:t>
      </w:r>
      <w:r w:rsidR="001C4EED" w:rsidRPr="00836D59">
        <w:rPr>
          <w:rFonts w:asciiTheme="minorHAnsi" w:hAnsiTheme="minorHAnsi"/>
        </w:rPr>
        <w:t>).</w:t>
      </w:r>
      <w:r w:rsidR="00DB71AD" w:rsidRPr="00836D59">
        <w:rPr>
          <w:rStyle w:val="Hyperlink"/>
          <w:rFonts w:asciiTheme="minorHAnsi" w:hAnsiTheme="minorHAnsi"/>
          <w:lang w:val="en-GB"/>
        </w:rPr>
        <w:t xml:space="preserve"> </w:t>
      </w:r>
    </w:p>
    <w:p w14:paraId="4C0DAE75" w14:textId="0191907B" w:rsidR="00BC6977" w:rsidRPr="00836D59" w:rsidRDefault="00BC6977" w:rsidP="00836D59">
      <w:pPr>
        <w:spacing w:line="240" w:lineRule="auto"/>
        <w:ind w:left="360" w:hanging="360"/>
        <w:rPr>
          <w:rFonts w:asciiTheme="minorHAnsi" w:hAnsiTheme="minorHAnsi"/>
          <w:lang w:val="en-GB"/>
        </w:rPr>
      </w:pPr>
      <w:r w:rsidRPr="00836D59">
        <w:rPr>
          <w:rFonts w:asciiTheme="minorHAnsi" w:hAnsiTheme="minorHAnsi"/>
          <w:lang w:val="en-GB"/>
        </w:rPr>
        <w:t xml:space="preserve">12 Ethics </w:t>
      </w:r>
      <w:r w:rsidR="003844C8" w:rsidRPr="00836D59">
        <w:rPr>
          <w:rFonts w:asciiTheme="minorHAnsi" w:hAnsiTheme="minorHAnsi"/>
          <w:lang w:val="en-GB"/>
        </w:rPr>
        <w:t xml:space="preserve">guidelines </w:t>
      </w:r>
      <w:r w:rsidRPr="00836D59">
        <w:rPr>
          <w:rFonts w:asciiTheme="minorHAnsi" w:hAnsiTheme="minorHAnsi"/>
          <w:lang w:val="en-GB"/>
        </w:rPr>
        <w:t xml:space="preserve">for </w:t>
      </w:r>
      <w:r w:rsidRPr="00836D59">
        <w:rPr>
          <w:rFonts w:asciiTheme="minorHAnsi" w:hAnsiTheme="minorHAnsi"/>
        </w:rPr>
        <w:t xml:space="preserve">Internet-mediated </w:t>
      </w:r>
      <w:r w:rsidR="003844C8" w:rsidRPr="00836D59">
        <w:rPr>
          <w:rFonts w:asciiTheme="minorHAnsi" w:hAnsiTheme="minorHAnsi"/>
        </w:rPr>
        <w:t>research</w:t>
      </w:r>
      <w:r w:rsidRPr="00836D59">
        <w:rPr>
          <w:rFonts w:asciiTheme="minorHAnsi" w:hAnsiTheme="minorHAnsi"/>
        </w:rPr>
        <w:t xml:space="preserve">. Leicester: </w:t>
      </w:r>
      <w:r w:rsidR="003844C8" w:rsidRPr="00836D59">
        <w:rPr>
          <w:rFonts w:asciiTheme="minorHAnsi" w:hAnsiTheme="minorHAnsi"/>
        </w:rPr>
        <w:t xml:space="preserve">British Psychological Society; 2017 (INF206/04.2017; </w:t>
      </w:r>
      <w:hyperlink r:id="rId14" w:history="1">
        <w:r w:rsidRPr="00836D59">
          <w:rPr>
            <w:rFonts w:asciiTheme="minorHAnsi" w:hAnsiTheme="minorHAnsi"/>
          </w:rPr>
          <w:t>https://beta.bps.org.uk/news-and-policy/ethics-guidelines-internet-mediated-research-2017</w:t>
        </w:r>
      </w:hyperlink>
      <w:r w:rsidR="003844C8" w:rsidRPr="00836D59">
        <w:rPr>
          <w:rFonts w:asciiTheme="minorHAnsi" w:hAnsiTheme="minorHAnsi"/>
        </w:rPr>
        <w:t>, accessed 20 November 2017).</w:t>
      </w:r>
    </w:p>
    <w:p w14:paraId="43EA9A71" w14:textId="1700E528" w:rsidR="00BC6977" w:rsidRPr="00836D59" w:rsidRDefault="00BC6977" w:rsidP="00836D59">
      <w:pPr>
        <w:spacing w:line="240" w:lineRule="auto"/>
        <w:ind w:left="360" w:hanging="360"/>
        <w:rPr>
          <w:rFonts w:asciiTheme="minorHAnsi" w:hAnsiTheme="minorHAnsi"/>
          <w:lang w:val="en-GB"/>
        </w:rPr>
      </w:pPr>
      <w:r w:rsidRPr="00836D59">
        <w:rPr>
          <w:rFonts w:asciiTheme="minorHAnsi" w:hAnsiTheme="minorHAnsi"/>
          <w:lang w:val="en-GB"/>
        </w:rPr>
        <w:t>13 Chassang G. The impact of the EU general data protection regulation on scientific research. Ecancermedicalscience</w:t>
      </w:r>
      <w:r w:rsidR="000254C9" w:rsidRPr="00836D59">
        <w:rPr>
          <w:rFonts w:asciiTheme="minorHAnsi" w:hAnsiTheme="minorHAnsi"/>
          <w:lang w:val="en-GB"/>
        </w:rPr>
        <w:t>.</w:t>
      </w:r>
      <w:r w:rsidRPr="00836D59">
        <w:rPr>
          <w:rFonts w:asciiTheme="minorHAnsi" w:hAnsiTheme="minorHAnsi"/>
          <w:lang w:val="en-GB"/>
        </w:rPr>
        <w:t xml:space="preserve"> </w:t>
      </w:r>
      <w:r w:rsidR="000254C9" w:rsidRPr="00836D59">
        <w:rPr>
          <w:rFonts w:asciiTheme="minorHAnsi" w:hAnsiTheme="minorHAnsi"/>
          <w:lang w:val="en-GB"/>
        </w:rPr>
        <w:t>2017;</w:t>
      </w:r>
      <w:r w:rsidRPr="00836D59">
        <w:rPr>
          <w:rFonts w:asciiTheme="minorHAnsi" w:hAnsiTheme="minorHAnsi"/>
          <w:lang w:val="en-GB"/>
        </w:rPr>
        <w:t>11</w:t>
      </w:r>
      <w:r w:rsidR="000254C9" w:rsidRPr="00836D59">
        <w:rPr>
          <w:rFonts w:asciiTheme="minorHAnsi" w:hAnsiTheme="minorHAnsi"/>
          <w:lang w:val="en-GB"/>
        </w:rPr>
        <w:t>:</w:t>
      </w:r>
      <w:r w:rsidRPr="00836D59">
        <w:rPr>
          <w:rFonts w:asciiTheme="minorHAnsi" w:hAnsiTheme="minorHAnsi"/>
          <w:lang w:val="en-GB"/>
        </w:rPr>
        <w:t>709</w:t>
      </w:r>
      <w:r w:rsidR="000254C9" w:rsidRPr="00836D59">
        <w:rPr>
          <w:rFonts w:asciiTheme="minorHAnsi" w:hAnsiTheme="minorHAnsi"/>
          <w:lang w:val="en-GB"/>
        </w:rPr>
        <w:t>.</w:t>
      </w:r>
      <w:r w:rsidR="000254C9" w:rsidRPr="00836D59">
        <w:rPr>
          <w:rFonts w:asciiTheme="minorHAnsi" w:hAnsiTheme="minorHAnsi"/>
        </w:rPr>
        <w:t xml:space="preserve"> </w:t>
      </w:r>
      <w:r w:rsidR="000254C9" w:rsidRPr="00836D59">
        <w:rPr>
          <w:rFonts w:asciiTheme="minorHAnsi" w:hAnsiTheme="minorHAnsi"/>
          <w:lang w:val="en-GB"/>
        </w:rPr>
        <w:t>doi:10.3332/ecancer.2017.709.</w:t>
      </w:r>
    </w:p>
    <w:p w14:paraId="73DE06FC" w14:textId="73662C2B" w:rsidR="00C33EB5" w:rsidRPr="00836D59" w:rsidRDefault="00C33EB5" w:rsidP="00836D59">
      <w:pPr>
        <w:spacing w:line="240" w:lineRule="auto"/>
        <w:ind w:left="360" w:hanging="360"/>
        <w:rPr>
          <w:rStyle w:val="apple-converted-space"/>
          <w:rFonts w:asciiTheme="minorHAnsi" w:hAnsiTheme="minorHAnsi"/>
          <w:lang w:val="en-GB"/>
        </w:rPr>
      </w:pPr>
      <w:r w:rsidRPr="00836D59">
        <w:rPr>
          <w:rStyle w:val="apple-converted-space"/>
          <w:rFonts w:asciiTheme="minorHAnsi" w:hAnsiTheme="minorHAnsi"/>
          <w:lang w:val="en-GB"/>
        </w:rPr>
        <w:t>1</w:t>
      </w:r>
      <w:r w:rsidR="008468DA" w:rsidRPr="00836D59">
        <w:rPr>
          <w:rStyle w:val="apple-converted-space"/>
          <w:rFonts w:asciiTheme="minorHAnsi" w:hAnsiTheme="minorHAnsi"/>
          <w:lang w:val="en-GB"/>
        </w:rPr>
        <w:t>4</w:t>
      </w:r>
      <w:r w:rsidRPr="00836D59">
        <w:rPr>
          <w:rStyle w:val="apple-converted-space"/>
          <w:rFonts w:asciiTheme="minorHAnsi" w:hAnsiTheme="minorHAnsi"/>
          <w:lang w:val="en-GB"/>
        </w:rPr>
        <w:t xml:space="preserve"> Samuel G.</w:t>
      </w:r>
      <w:r w:rsidR="00033CAE" w:rsidRPr="00836D59">
        <w:rPr>
          <w:rStyle w:val="apple-converted-space"/>
          <w:rFonts w:asciiTheme="minorHAnsi" w:hAnsiTheme="minorHAnsi"/>
          <w:lang w:val="en-GB"/>
        </w:rPr>
        <w:t xml:space="preserve"> </w:t>
      </w:r>
      <w:r w:rsidR="00624F81" w:rsidRPr="00836D59">
        <w:rPr>
          <w:rFonts w:asciiTheme="minorHAnsi" w:hAnsiTheme="minorHAnsi"/>
          <w:lang w:val="en-GB"/>
        </w:rPr>
        <w:t>“</w:t>
      </w:r>
      <w:r w:rsidR="00033CAE" w:rsidRPr="00836D59">
        <w:rPr>
          <w:rFonts w:asciiTheme="minorHAnsi" w:hAnsiTheme="minorHAnsi"/>
          <w:lang w:val="en-GB"/>
        </w:rPr>
        <w:t xml:space="preserve">The </w:t>
      </w:r>
      <w:r w:rsidR="00201086" w:rsidRPr="00836D59">
        <w:rPr>
          <w:rFonts w:asciiTheme="minorHAnsi" w:hAnsiTheme="minorHAnsi"/>
          <w:lang w:val="en-GB"/>
        </w:rPr>
        <w:t>danger of lurking”: different conceptualizations of “user awareness” in social media research</w:t>
      </w:r>
      <w:r w:rsidR="00033CAE" w:rsidRPr="00836D59">
        <w:rPr>
          <w:rFonts w:asciiTheme="minorHAnsi" w:hAnsiTheme="minorHAnsi"/>
          <w:lang w:val="en-GB"/>
        </w:rPr>
        <w:t xml:space="preserve">. </w:t>
      </w:r>
      <w:r w:rsidR="00201086" w:rsidRPr="00836D59">
        <w:rPr>
          <w:rFonts w:asciiTheme="minorHAnsi" w:hAnsiTheme="minorHAnsi"/>
          <w:lang w:val="en-GB"/>
        </w:rPr>
        <w:t>Am J Bioeth.</w:t>
      </w:r>
      <w:r w:rsidR="00033CAE" w:rsidRPr="00836D59">
        <w:rPr>
          <w:rFonts w:asciiTheme="minorHAnsi" w:hAnsiTheme="minorHAnsi"/>
          <w:lang w:val="en-GB"/>
        </w:rPr>
        <w:t xml:space="preserve"> </w:t>
      </w:r>
      <w:r w:rsidR="00201086" w:rsidRPr="00836D59">
        <w:rPr>
          <w:rStyle w:val="apple-converted-space"/>
          <w:rFonts w:asciiTheme="minorHAnsi" w:hAnsiTheme="minorHAnsi"/>
          <w:lang w:val="en-GB"/>
        </w:rPr>
        <w:t>2017;</w:t>
      </w:r>
      <w:r w:rsidR="00033CAE" w:rsidRPr="00836D59">
        <w:rPr>
          <w:rFonts w:asciiTheme="minorHAnsi" w:hAnsiTheme="minorHAnsi"/>
          <w:lang w:val="en-GB"/>
        </w:rPr>
        <w:t>17(3)</w:t>
      </w:r>
      <w:r w:rsidR="00201086" w:rsidRPr="00836D59">
        <w:rPr>
          <w:rFonts w:asciiTheme="minorHAnsi" w:hAnsiTheme="minorHAnsi"/>
          <w:lang w:val="en-GB"/>
        </w:rPr>
        <w:t>:</w:t>
      </w:r>
      <w:r w:rsidR="00033CAE" w:rsidRPr="00836D59">
        <w:rPr>
          <w:rFonts w:asciiTheme="minorHAnsi" w:hAnsiTheme="minorHAnsi"/>
          <w:lang w:val="en-GB"/>
        </w:rPr>
        <w:t>25</w:t>
      </w:r>
      <w:r w:rsidR="00201086" w:rsidRPr="00836D59">
        <w:rPr>
          <w:rFonts w:asciiTheme="minorHAnsi" w:hAnsiTheme="minorHAnsi"/>
          <w:lang w:val="en-GB"/>
        </w:rPr>
        <w:t>–</w:t>
      </w:r>
      <w:r w:rsidR="00033CAE" w:rsidRPr="00836D59">
        <w:rPr>
          <w:rFonts w:asciiTheme="minorHAnsi" w:hAnsiTheme="minorHAnsi"/>
          <w:lang w:val="en-GB"/>
        </w:rPr>
        <w:t>6.</w:t>
      </w:r>
    </w:p>
    <w:p w14:paraId="27BEE9A9" w14:textId="48204346" w:rsidR="00C33EB5" w:rsidRPr="00836D59" w:rsidRDefault="00C33EB5" w:rsidP="00836D59">
      <w:pPr>
        <w:spacing w:line="240" w:lineRule="auto"/>
        <w:ind w:left="360" w:hanging="360"/>
        <w:rPr>
          <w:rFonts w:asciiTheme="minorHAnsi" w:hAnsiTheme="minorHAnsi"/>
          <w:lang w:val="en-GB"/>
        </w:rPr>
      </w:pPr>
      <w:r w:rsidRPr="00836D59">
        <w:rPr>
          <w:rStyle w:val="apple-converted-space"/>
          <w:rFonts w:asciiTheme="minorHAnsi" w:hAnsiTheme="minorHAnsi"/>
          <w:lang w:val="en-GB"/>
        </w:rPr>
        <w:t>1</w:t>
      </w:r>
      <w:r w:rsidR="00201086" w:rsidRPr="00836D59">
        <w:rPr>
          <w:rStyle w:val="apple-converted-space"/>
          <w:rFonts w:asciiTheme="minorHAnsi" w:hAnsiTheme="minorHAnsi"/>
          <w:lang w:val="en-GB"/>
        </w:rPr>
        <w:t>5</w:t>
      </w:r>
      <w:r w:rsidRPr="00836D59">
        <w:rPr>
          <w:rStyle w:val="apple-converted-space"/>
          <w:rFonts w:asciiTheme="minorHAnsi" w:hAnsiTheme="minorHAnsi"/>
          <w:lang w:val="en-GB"/>
        </w:rPr>
        <w:t xml:space="preserve"> </w:t>
      </w:r>
      <w:r w:rsidR="00033CAE" w:rsidRPr="00836D59">
        <w:rPr>
          <w:rFonts w:asciiTheme="minorHAnsi" w:hAnsiTheme="minorHAnsi"/>
          <w:lang w:val="en-GB"/>
        </w:rPr>
        <w:t>Gelinas L, Pierce</w:t>
      </w:r>
      <w:r w:rsidR="00201086" w:rsidRPr="00836D59">
        <w:rPr>
          <w:rFonts w:asciiTheme="minorHAnsi" w:hAnsiTheme="minorHAnsi"/>
          <w:lang w:val="en-GB"/>
        </w:rPr>
        <w:t xml:space="preserve"> R</w:t>
      </w:r>
      <w:r w:rsidR="00033CAE" w:rsidRPr="00836D59">
        <w:rPr>
          <w:rFonts w:asciiTheme="minorHAnsi" w:hAnsiTheme="minorHAnsi"/>
          <w:lang w:val="en-GB"/>
        </w:rPr>
        <w:t>, Winkler</w:t>
      </w:r>
      <w:r w:rsidR="00201086" w:rsidRPr="00836D59">
        <w:rPr>
          <w:rFonts w:asciiTheme="minorHAnsi" w:hAnsiTheme="minorHAnsi"/>
          <w:lang w:val="en-GB"/>
        </w:rPr>
        <w:t xml:space="preserve"> S</w:t>
      </w:r>
      <w:r w:rsidR="00033CAE" w:rsidRPr="00836D59">
        <w:rPr>
          <w:rFonts w:asciiTheme="minorHAnsi" w:hAnsiTheme="minorHAnsi"/>
          <w:lang w:val="en-GB"/>
        </w:rPr>
        <w:t>, Cohen</w:t>
      </w:r>
      <w:r w:rsidR="00201086" w:rsidRPr="00836D59">
        <w:rPr>
          <w:rFonts w:asciiTheme="minorHAnsi" w:hAnsiTheme="minorHAnsi"/>
          <w:lang w:val="en-GB"/>
        </w:rPr>
        <w:t xml:space="preserve"> IG</w:t>
      </w:r>
      <w:r w:rsidR="00033CAE" w:rsidRPr="00836D59">
        <w:rPr>
          <w:rFonts w:asciiTheme="minorHAnsi" w:hAnsiTheme="minorHAnsi"/>
          <w:lang w:val="en-GB"/>
        </w:rPr>
        <w:t>, Lynch</w:t>
      </w:r>
      <w:r w:rsidR="00201086" w:rsidRPr="00836D59">
        <w:rPr>
          <w:rFonts w:asciiTheme="minorHAnsi" w:hAnsiTheme="minorHAnsi"/>
          <w:lang w:val="en-GB"/>
        </w:rPr>
        <w:t xml:space="preserve"> HF</w:t>
      </w:r>
      <w:r w:rsidR="00033CAE" w:rsidRPr="00836D59">
        <w:rPr>
          <w:rFonts w:asciiTheme="minorHAnsi" w:hAnsiTheme="minorHAnsi"/>
          <w:lang w:val="en-GB"/>
        </w:rPr>
        <w:t>, Bierer</w:t>
      </w:r>
      <w:r w:rsidR="00201086" w:rsidRPr="00836D59">
        <w:rPr>
          <w:rFonts w:asciiTheme="minorHAnsi" w:hAnsiTheme="minorHAnsi"/>
          <w:lang w:val="en-GB"/>
        </w:rPr>
        <w:t xml:space="preserve"> BE</w:t>
      </w:r>
      <w:r w:rsidR="00033CAE" w:rsidRPr="00836D59">
        <w:rPr>
          <w:rFonts w:asciiTheme="minorHAnsi" w:hAnsiTheme="minorHAnsi"/>
          <w:lang w:val="en-GB"/>
        </w:rPr>
        <w:t>. Using social media as a research</w:t>
      </w:r>
      <w:r w:rsidR="006211C7" w:rsidRPr="00836D59">
        <w:rPr>
          <w:rFonts w:asciiTheme="minorHAnsi" w:hAnsiTheme="minorHAnsi"/>
          <w:lang w:val="en-GB"/>
        </w:rPr>
        <w:t xml:space="preserve"> recruitment</w:t>
      </w:r>
      <w:r w:rsidR="00033CAE" w:rsidRPr="00836D59">
        <w:rPr>
          <w:rFonts w:asciiTheme="minorHAnsi" w:hAnsiTheme="minorHAnsi"/>
          <w:lang w:val="en-GB"/>
        </w:rPr>
        <w:t xml:space="preserve"> tool: </w:t>
      </w:r>
      <w:r w:rsidR="00201086" w:rsidRPr="00836D59">
        <w:rPr>
          <w:rFonts w:asciiTheme="minorHAnsi" w:hAnsiTheme="minorHAnsi"/>
          <w:lang w:val="en-GB"/>
        </w:rPr>
        <w:t>e</w:t>
      </w:r>
      <w:r w:rsidR="00033CAE" w:rsidRPr="00836D59">
        <w:rPr>
          <w:rFonts w:asciiTheme="minorHAnsi" w:hAnsiTheme="minorHAnsi"/>
          <w:lang w:val="en-GB"/>
        </w:rPr>
        <w:t xml:space="preserve">thical issues and recommendations. </w:t>
      </w:r>
      <w:r w:rsidR="00201086" w:rsidRPr="00836D59">
        <w:rPr>
          <w:rFonts w:asciiTheme="minorHAnsi" w:hAnsiTheme="minorHAnsi"/>
          <w:lang w:val="en-GB"/>
        </w:rPr>
        <w:t>Am J Bioeth.</w:t>
      </w:r>
      <w:r w:rsidR="00033CAE" w:rsidRPr="00836D59">
        <w:rPr>
          <w:rFonts w:asciiTheme="minorHAnsi" w:hAnsiTheme="minorHAnsi"/>
          <w:lang w:val="en-GB"/>
        </w:rPr>
        <w:t xml:space="preserve"> </w:t>
      </w:r>
      <w:r w:rsidR="00201086" w:rsidRPr="00836D59">
        <w:rPr>
          <w:rFonts w:asciiTheme="minorHAnsi" w:hAnsiTheme="minorHAnsi"/>
          <w:lang w:val="en-GB"/>
        </w:rPr>
        <w:t>2017;</w:t>
      </w:r>
      <w:r w:rsidR="00033CAE" w:rsidRPr="00836D59">
        <w:rPr>
          <w:rFonts w:asciiTheme="minorHAnsi" w:hAnsiTheme="minorHAnsi"/>
          <w:lang w:val="en-GB"/>
        </w:rPr>
        <w:t>17(3):3–14.</w:t>
      </w:r>
    </w:p>
    <w:p w14:paraId="36DAFF18" w14:textId="31788776" w:rsidR="00577453" w:rsidRPr="00836D59" w:rsidRDefault="00577453" w:rsidP="00836D59">
      <w:pPr>
        <w:spacing w:line="240" w:lineRule="auto"/>
        <w:ind w:left="360" w:hanging="360"/>
        <w:rPr>
          <w:rFonts w:asciiTheme="minorHAnsi" w:hAnsiTheme="minorHAnsi"/>
          <w:lang w:val="en-GB"/>
        </w:rPr>
      </w:pPr>
      <w:r w:rsidRPr="00836D59">
        <w:rPr>
          <w:rFonts w:asciiTheme="minorHAnsi" w:hAnsiTheme="minorHAnsi"/>
          <w:lang w:val="en-GB"/>
        </w:rPr>
        <w:t xml:space="preserve">16 </w:t>
      </w:r>
      <w:r w:rsidR="00D7544C" w:rsidRPr="00836D59">
        <w:rPr>
          <w:rFonts w:asciiTheme="minorHAnsi" w:hAnsiTheme="minorHAnsi"/>
          <w:lang w:val="en-GB"/>
        </w:rPr>
        <w:t>Bird &amp; Bird, Taylor M</w:t>
      </w:r>
      <w:r w:rsidRPr="00836D59">
        <w:rPr>
          <w:rFonts w:asciiTheme="minorHAnsi" w:hAnsiTheme="minorHAnsi"/>
          <w:lang w:val="en-GB"/>
        </w:rPr>
        <w:t xml:space="preserve">. Analysis: </w:t>
      </w:r>
      <w:r w:rsidR="00D7544C" w:rsidRPr="00836D59">
        <w:rPr>
          <w:rFonts w:asciiTheme="minorHAnsi" w:hAnsiTheme="minorHAnsi"/>
          <w:lang w:val="en-GB"/>
        </w:rPr>
        <w:t xml:space="preserve">research </w:t>
      </w:r>
      <w:r w:rsidRPr="00836D59">
        <w:rPr>
          <w:rFonts w:asciiTheme="minorHAnsi" w:hAnsiTheme="minorHAnsi"/>
          <w:lang w:val="en-GB"/>
        </w:rPr>
        <w:t xml:space="preserve">and the General Data Protection Regulation – 2012/0011(COD). </w:t>
      </w:r>
      <w:r w:rsidR="00D7544C" w:rsidRPr="00836D59">
        <w:rPr>
          <w:rFonts w:asciiTheme="minorHAnsi" w:hAnsiTheme="minorHAnsi"/>
          <w:lang w:val="en-GB"/>
        </w:rPr>
        <w:t>Edinburgh: University of Edinburgh; 2016 (http://www.research.ed.ac.uk/portal/en/publications/analysis-research-and-the-general-data-protection-regulation--20120011cod(1ad0efb6-55bb-4af3-b37a-fb1e1c8642d2).html, accessed 20 November 2017).</w:t>
      </w:r>
    </w:p>
    <w:p w14:paraId="250D592D" w14:textId="210DC05B" w:rsidR="00BC6977" w:rsidRPr="00836D59" w:rsidRDefault="00BC6977" w:rsidP="00836D59">
      <w:pPr>
        <w:spacing w:line="240" w:lineRule="auto"/>
        <w:ind w:left="360" w:hanging="360"/>
        <w:rPr>
          <w:rFonts w:asciiTheme="minorHAnsi" w:hAnsiTheme="minorHAnsi"/>
          <w:b/>
          <w:bCs/>
          <w:lang w:val="en-GB"/>
        </w:rPr>
      </w:pPr>
      <w:r w:rsidRPr="00836D59">
        <w:rPr>
          <w:rFonts w:asciiTheme="minorHAnsi" w:hAnsiTheme="minorHAnsi"/>
          <w:lang w:val="en-GB"/>
        </w:rPr>
        <w:t>1</w:t>
      </w:r>
      <w:r w:rsidR="0089653D" w:rsidRPr="00836D59">
        <w:rPr>
          <w:rFonts w:asciiTheme="minorHAnsi" w:hAnsiTheme="minorHAnsi"/>
          <w:lang w:val="en-GB"/>
        </w:rPr>
        <w:t>7</w:t>
      </w:r>
      <w:r w:rsidRPr="00836D59">
        <w:rPr>
          <w:rFonts w:asciiTheme="minorHAnsi" w:hAnsiTheme="minorHAnsi"/>
          <w:lang w:val="en-GB"/>
        </w:rPr>
        <w:t xml:space="preserve"> Nissenbaum H. </w:t>
      </w:r>
      <w:r w:rsidRPr="00836D59">
        <w:rPr>
          <w:rFonts w:asciiTheme="minorHAnsi" w:hAnsiTheme="minorHAnsi"/>
          <w:bCs/>
          <w:lang w:val="en-GB"/>
        </w:rPr>
        <w:t xml:space="preserve">Privacy in </w:t>
      </w:r>
      <w:r w:rsidR="007703B7" w:rsidRPr="00836D59">
        <w:rPr>
          <w:rFonts w:asciiTheme="minorHAnsi" w:hAnsiTheme="minorHAnsi"/>
          <w:bCs/>
          <w:lang w:val="en-GB"/>
        </w:rPr>
        <w:t xml:space="preserve">context: </w:t>
      </w:r>
      <w:r w:rsidR="007703B7" w:rsidRPr="00836D59">
        <w:rPr>
          <w:rFonts w:asciiTheme="minorHAnsi" w:hAnsiTheme="minorHAnsi"/>
          <w:lang w:val="en-GB"/>
        </w:rPr>
        <w:t>technology, policy, and the integrity of social life</w:t>
      </w:r>
      <w:r w:rsidRPr="00836D59">
        <w:rPr>
          <w:rFonts w:asciiTheme="minorHAnsi" w:hAnsiTheme="minorHAnsi"/>
          <w:lang w:val="en-GB"/>
        </w:rPr>
        <w:t>. Stanford, CA: Stanford University Press</w:t>
      </w:r>
      <w:r w:rsidR="007703B7" w:rsidRPr="00836D59">
        <w:rPr>
          <w:rFonts w:asciiTheme="minorHAnsi" w:hAnsiTheme="minorHAnsi"/>
          <w:lang w:val="en-GB"/>
        </w:rPr>
        <w:t>; 2010</w:t>
      </w:r>
      <w:r w:rsidRPr="00836D59">
        <w:rPr>
          <w:rFonts w:asciiTheme="minorHAnsi" w:hAnsiTheme="minorHAnsi"/>
          <w:lang w:val="en-GB"/>
        </w:rPr>
        <w:t>.</w:t>
      </w:r>
    </w:p>
    <w:p w14:paraId="52762FC4" w14:textId="6C724E6C" w:rsidR="00D36202" w:rsidRPr="00836D59" w:rsidRDefault="00D36202" w:rsidP="00836D59">
      <w:pPr>
        <w:spacing w:line="240" w:lineRule="auto"/>
        <w:ind w:left="360" w:hanging="360"/>
        <w:rPr>
          <w:rStyle w:val="Hyperlink"/>
          <w:rFonts w:asciiTheme="minorHAnsi" w:hAnsiTheme="minorHAnsi"/>
          <w:lang w:val="en-GB"/>
        </w:rPr>
      </w:pPr>
      <w:r w:rsidRPr="00836D59">
        <w:rPr>
          <w:rFonts w:asciiTheme="minorHAnsi" w:hAnsiTheme="minorHAnsi"/>
          <w:lang w:val="en-GB"/>
        </w:rPr>
        <w:t xml:space="preserve">18 </w:t>
      </w:r>
      <w:r w:rsidRPr="00836D59">
        <w:rPr>
          <w:rFonts w:asciiTheme="minorHAnsi" w:hAnsiTheme="minorHAnsi"/>
        </w:rPr>
        <w:t>Growing up digital: a report of the Growing Up Digital Taskforce. London: Children’s Commissioner for England; 2016 (</w:t>
      </w:r>
      <w:hyperlink r:id="rId15" w:history="1">
        <w:r w:rsidRPr="00836D59">
          <w:rPr>
            <w:rFonts w:asciiTheme="minorHAnsi" w:hAnsiTheme="minorHAnsi"/>
          </w:rPr>
          <w:t>https://www.childrenscommissioner.gov.uk/publication/growing-up-digital/, accessed 20 November 2017).</w:t>
        </w:r>
        <w:r w:rsidRPr="00836D59" w:rsidDel="00225C54">
          <w:rPr>
            <w:rStyle w:val="Hyperlink"/>
            <w:rFonts w:asciiTheme="minorHAnsi" w:hAnsiTheme="minorHAnsi"/>
            <w:lang w:val="en-GB"/>
          </w:rPr>
          <w:t xml:space="preserve"> </w:t>
        </w:r>
      </w:hyperlink>
    </w:p>
    <w:p w14:paraId="10F49311" w14:textId="0D9B5602" w:rsidR="00D0396A" w:rsidRPr="00836D59" w:rsidRDefault="00D0396A" w:rsidP="00836D59">
      <w:pPr>
        <w:spacing w:line="240" w:lineRule="auto"/>
        <w:ind w:left="360" w:hanging="360"/>
        <w:rPr>
          <w:rFonts w:asciiTheme="minorHAnsi" w:hAnsiTheme="minorHAnsi"/>
          <w:lang w:val="en-GB"/>
        </w:rPr>
      </w:pPr>
      <w:r w:rsidRPr="00836D59">
        <w:rPr>
          <w:rFonts w:asciiTheme="minorHAnsi" w:hAnsiTheme="minorHAnsi"/>
          <w:lang w:val="en-GB"/>
        </w:rPr>
        <w:t>1</w:t>
      </w:r>
      <w:r w:rsidR="00D36202" w:rsidRPr="00836D59">
        <w:rPr>
          <w:rFonts w:asciiTheme="minorHAnsi" w:hAnsiTheme="minorHAnsi"/>
          <w:lang w:val="en-GB"/>
        </w:rPr>
        <w:t>9</w:t>
      </w:r>
      <w:r w:rsidRPr="00836D59">
        <w:rPr>
          <w:rFonts w:asciiTheme="minorHAnsi" w:hAnsiTheme="minorHAnsi"/>
          <w:lang w:val="en-GB"/>
        </w:rPr>
        <w:t xml:space="preserve"> Kuczerawy A. The perils of app development – compliance with API terms &amp; conditions </w:t>
      </w:r>
      <w:r w:rsidRPr="00836D59">
        <w:rPr>
          <w:rFonts w:asciiTheme="minorHAnsi" w:hAnsiTheme="minorHAnsi"/>
        </w:rPr>
        <w:t>[blog post]. Leuven: CiTiP Blog (KU Leuven); 2016 (</w:t>
      </w:r>
      <w:hyperlink r:id="rId16" w:history="1">
        <w:r w:rsidRPr="00836D59">
          <w:rPr>
            <w:rFonts w:asciiTheme="minorHAnsi" w:hAnsiTheme="minorHAnsi"/>
          </w:rPr>
          <w:t>https://www.law.kuleuven.be/citip/blog/the-perils-of-app-development-compliance-with-api-terms-conditions/</w:t>
        </w:r>
      </w:hyperlink>
      <w:r w:rsidRPr="00836D59">
        <w:rPr>
          <w:rFonts w:asciiTheme="minorHAnsi" w:hAnsiTheme="minorHAnsi"/>
        </w:rPr>
        <w:t>, accessed 20 November 2017).</w:t>
      </w:r>
    </w:p>
    <w:p w14:paraId="131601C3" w14:textId="7B9C0AA5" w:rsidR="00C74A89" w:rsidRPr="00836D59" w:rsidRDefault="00D36202" w:rsidP="00836D59">
      <w:pPr>
        <w:spacing w:line="240" w:lineRule="auto"/>
        <w:ind w:left="360" w:hanging="360"/>
        <w:rPr>
          <w:rStyle w:val="apple-converted-space"/>
          <w:rFonts w:asciiTheme="minorHAnsi" w:hAnsiTheme="minorHAnsi"/>
          <w:lang w:val="en-GB"/>
        </w:rPr>
      </w:pPr>
      <w:r w:rsidRPr="00836D59">
        <w:rPr>
          <w:rFonts w:asciiTheme="minorHAnsi" w:hAnsiTheme="minorHAnsi"/>
          <w:lang w:val="en-GB"/>
        </w:rPr>
        <w:t>20</w:t>
      </w:r>
      <w:r w:rsidR="00C74A89" w:rsidRPr="00836D59">
        <w:rPr>
          <w:rFonts w:asciiTheme="minorHAnsi" w:hAnsiTheme="minorHAnsi"/>
          <w:lang w:val="en-GB"/>
        </w:rPr>
        <w:t xml:space="preserve"> </w:t>
      </w:r>
      <w:r w:rsidRPr="00836D59">
        <w:rPr>
          <w:rFonts w:asciiTheme="minorHAnsi" w:hAnsiTheme="minorHAnsi"/>
          <w:lang w:val="en-GB"/>
        </w:rPr>
        <w:t>b</w:t>
      </w:r>
      <w:r w:rsidR="00C74A89" w:rsidRPr="00836D59">
        <w:rPr>
          <w:rFonts w:asciiTheme="minorHAnsi" w:hAnsiTheme="minorHAnsi"/>
          <w:lang w:val="en-GB"/>
        </w:rPr>
        <w:t xml:space="preserve">oyd </w:t>
      </w:r>
      <w:r w:rsidRPr="00836D59">
        <w:rPr>
          <w:rFonts w:asciiTheme="minorHAnsi" w:hAnsiTheme="minorHAnsi"/>
          <w:lang w:val="en-GB"/>
        </w:rPr>
        <w:t>d</w:t>
      </w:r>
      <w:r w:rsidR="00C74A89" w:rsidRPr="00836D59">
        <w:rPr>
          <w:rFonts w:asciiTheme="minorHAnsi" w:hAnsiTheme="minorHAnsi"/>
          <w:lang w:val="en-GB"/>
        </w:rPr>
        <w:t>, Crawford K. (2012). Critical questions for big data. Inf Commun Soc; 15:662–79.</w:t>
      </w:r>
      <w:r w:rsidR="00C74A89" w:rsidRPr="00836D59">
        <w:rPr>
          <w:rStyle w:val="apple-converted-space"/>
          <w:rFonts w:asciiTheme="minorHAnsi" w:hAnsiTheme="minorHAnsi"/>
          <w:lang w:val="en-GB"/>
        </w:rPr>
        <w:t> </w:t>
      </w:r>
    </w:p>
    <w:p w14:paraId="1193DA38" w14:textId="43EE74D0" w:rsidR="00632005" w:rsidRPr="00836D59" w:rsidRDefault="00632005" w:rsidP="00836D59">
      <w:pPr>
        <w:spacing w:line="240" w:lineRule="auto"/>
        <w:ind w:left="360" w:hanging="360"/>
        <w:rPr>
          <w:rFonts w:asciiTheme="minorHAnsi" w:hAnsiTheme="minorHAnsi"/>
          <w:lang w:val="en-GB"/>
        </w:rPr>
      </w:pPr>
      <w:r w:rsidRPr="00836D59">
        <w:rPr>
          <w:rFonts w:asciiTheme="minorHAnsi" w:hAnsiTheme="minorHAnsi"/>
          <w:lang w:val="en-GB"/>
        </w:rPr>
        <w:t>2</w:t>
      </w:r>
      <w:r w:rsidR="00D36202" w:rsidRPr="00836D59">
        <w:rPr>
          <w:rFonts w:asciiTheme="minorHAnsi" w:hAnsiTheme="minorHAnsi"/>
          <w:lang w:val="en-GB"/>
        </w:rPr>
        <w:t>1</w:t>
      </w:r>
      <w:r w:rsidRPr="00836D59">
        <w:rPr>
          <w:rFonts w:asciiTheme="minorHAnsi" w:hAnsiTheme="minorHAnsi"/>
          <w:lang w:val="en-GB"/>
        </w:rPr>
        <w:t xml:space="preserve"> Communication from the Commission to the European Parliament, the Council, the European Economic and Social Committee and the Committee of the Regions: Online </w:t>
      </w:r>
      <w:r w:rsidR="0055525E" w:rsidRPr="00836D59">
        <w:rPr>
          <w:rFonts w:asciiTheme="minorHAnsi" w:hAnsiTheme="minorHAnsi"/>
          <w:lang w:val="en-GB"/>
        </w:rPr>
        <w:t xml:space="preserve">platforms and the digital single market, opportunities and challenges </w:t>
      </w:r>
      <w:r w:rsidRPr="00836D59">
        <w:rPr>
          <w:rFonts w:asciiTheme="minorHAnsi" w:hAnsiTheme="minorHAnsi"/>
          <w:lang w:val="en-GB"/>
        </w:rPr>
        <w:t xml:space="preserve">for Europe. Brussels: European Commission; </w:t>
      </w:r>
      <w:r w:rsidRPr="00836D59">
        <w:rPr>
          <w:rFonts w:asciiTheme="minorHAnsi" w:hAnsiTheme="minorHAnsi"/>
        </w:rPr>
        <w:t>2016</w:t>
      </w:r>
      <w:r w:rsidR="0055525E" w:rsidRPr="00836D59">
        <w:rPr>
          <w:rFonts w:asciiTheme="minorHAnsi" w:hAnsiTheme="minorHAnsi"/>
        </w:rPr>
        <w:t xml:space="preserve"> (</w:t>
      </w:r>
      <w:r w:rsidR="00A25789" w:rsidRPr="00836D59">
        <w:rPr>
          <w:rFonts w:asciiTheme="minorHAnsi" w:hAnsiTheme="minorHAnsi"/>
        </w:rPr>
        <w:t>https://ec.europa.eu/digital-single-market/en/policies/online-platforms, accessed 20 November 2017).</w:t>
      </w:r>
    </w:p>
    <w:p w14:paraId="19A5801F" w14:textId="455CA75A" w:rsidR="00BC6977" w:rsidRPr="00836D59" w:rsidRDefault="00BC6977" w:rsidP="00836D59">
      <w:pPr>
        <w:spacing w:line="240" w:lineRule="auto"/>
        <w:ind w:left="360" w:hanging="360"/>
        <w:rPr>
          <w:rFonts w:asciiTheme="minorHAnsi" w:hAnsiTheme="minorHAnsi"/>
          <w:lang w:val="en-GB"/>
        </w:rPr>
      </w:pPr>
    </w:p>
    <w:p w14:paraId="43B2BD74" w14:textId="54C19CE4" w:rsidR="008A5E6A" w:rsidRPr="00836D59" w:rsidRDefault="008A5E6A" w:rsidP="00836D59">
      <w:pPr>
        <w:spacing w:line="240" w:lineRule="auto"/>
        <w:rPr>
          <w:rFonts w:asciiTheme="minorHAnsi" w:hAnsiTheme="minorHAnsi"/>
          <w:lang w:val="en-GB"/>
        </w:rPr>
      </w:pPr>
    </w:p>
    <w:sectPr w:rsidR="008A5E6A" w:rsidRPr="00836D59">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28BA9" w16cid:durableId="1DC8F8BA"/>
  <w16cid:commentId w16cid:paraId="066431C3" w16cid:durableId="1DC8F8BB"/>
  <w16cid:commentId w16cid:paraId="5C74C546" w16cid:durableId="1DC8FBD0"/>
  <w16cid:commentId w16cid:paraId="38FFCF98" w16cid:durableId="1DC8F8BC"/>
  <w16cid:commentId w16cid:paraId="365F9B54" w16cid:durableId="1DC8F8BD"/>
  <w16cid:commentId w16cid:paraId="6BC10559" w16cid:durableId="1DC8F8C0"/>
  <w16cid:commentId w16cid:paraId="41331E9A" w16cid:durableId="1DC8F8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ED10E" w14:textId="77777777" w:rsidR="00885976" w:rsidRDefault="00885976" w:rsidP="009C7615">
      <w:r>
        <w:separator/>
      </w:r>
    </w:p>
  </w:endnote>
  <w:endnote w:type="continuationSeparator" w:id="0">
    <w:p w14:paraId="0A899D7D" w14:textId="77777777" w:rsidR="00885976" w:rsidRDefault="00885976" w:rsidP="009C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57FC1" w14:textId="77777777" w:rsidR="001255EA" w:rsidRDefault="001255EA" w:rsidP="008A5E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2EAAC" w14:textId="77777777" w:rsidR="001255EA" w:rsidRDefault="001255EA" w:rsidP="008A5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1C02" w14:textId="319982BB" w:rsidR="001255EA" w:rsidRDefault="001255EA" w:rsidP="008A5E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D03">
      <w:rPr>
        <w:rStyle w:val="PageNumber"/>
        <w:noProof/>
      </w:rPr>
      <w:t>1</w:t>
    </w:r>
    <w:r>
      <w:rPr>
        <w:rStyle w:val="PageNumber"/>
      </w:rPr>
      <w:fldChar w:fldCharType="end"/>
    </w:r>
  </w:p>
  <w:p w14:paraId="05C47CE7" w14:textId="77777777" w:rsidR="001255EA" w:rsidRDefault="001255EA" w:rsidP="008A5E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864FC" w14:textId="77777777" w:rsidR="00885976" w:rsidRDefault="00885976" w:rsidP="009C7615">
      <w:r>
        <w:separator/>
      </w:r>
    </w:p>
  </w:footnote>
  <w:footnote w:type="continuationSeparator" w:id="0">
    <w:p w14:paraId="6D3D04EE" w14:textId="77777777" w:rsidR="00885976" w:rsidRDefault="00885976" w:rsidP="009C7615">
      <w:r>
        <w:continuationSeparator/>
      </w:r>
    </w:p>
  </w:footnote>
  <w:footnote w:id="1">
    <w:p w14:paraId="21759EDC" w14:textId="77777777" w:rsidR="00E50CBC" w:rsidRPr="00836D59" w:rsidRDefault="00E50CBC" w:rsidP="00836D59">
      <w:pPr>
        <w:pStyle w:val="FootnoteText"/>
        <w:spacing w:line="276" w:lineRule="auto"/>
        <w:rPr>
          <w:rFonts w:cs="Times New Roman"/>
          <w:lang w:val="en-IE"/>
        </w:rPr>
      </w:pPr>
      <w:r w:rsidRPr="00836D59">
        <w:rPr>
          <w:rStyle w:val="FootnoteReference"/>
        </w:rPr>
        <w:footnoteRef/>
      </w:r>
      <w:r w:rsidRPr="00836D59">
        <w:t xml:space="preserve"> </w:t>
      </w:r>
      <w:r w:rsidRPr="00836D59">
        <w:rPr>
          <w:rFonts w:cs="Times New Roman"/>
        </w:rPr>
        <w:t xml:space="preserve">The “black box” is a term frequently used to describe the “closed” nature of data in many digital (including social) media. See, for example, Pasquale F. </w:t>
      </w:r>
      <w:r w:rsidRPr="00836D59">
        <w:rPr>
          <w:rFonts w:cs="Times New Roman"/>
          <w:i/>
        </w:rPr>
        <w:t xml:space="preserve">Black box society: </w:t>
      </w:r>
      <w:r w:rsidRPr="00836D59">
        <w:rPr>
          <w:rFonts w:eastAsia="Times New Roman" w:cs="Times New Roman"/>
          <w:bCs/>
          <w:i/>
          <w:color w:val="3F3F3F"/>
        </w:rPr>
        <w:t>the secret algorithms that control money and information</w:t>
      </w:r>
      <w:r w:rsidRPr="00836D59">
        <w:rPr>
          <w:rFonts w:eastAsia="Times New Roman" w:cs="Times New Roman"/>
          <w:bCs/>
          <w:color w:val="3F3F3F"/>
        </w:rPr>
        <w:t>. Harvard: Harvard University Press; 2015.</w:t>
      </w:r>
    </w:p>
  </w:footnote>
  <w:footnote w:id="2">
    <w:p w14:paraId="6221016C" w14:textId="330C065D" w:rsidR="001255EA" w:rsidRPr="00E65AF3" w:rsidRDefault="001255EA" w:rsidP="00E65AF3">
      <w:pPr>
        <w:spacing w:before="0" w:after="0" w:line="240" w:lineRule="auto"/>
        <w:rPr>
          <w:rFonts w:asciiTheme="minorHAnsi" w:hAnsiTheme="minorHAnsi"/>
        </w:rPr>
      </w:pPr>
      <w:r w:rsidRPr="00E65AF3">
        <w:rPr>
          <w:rStyle w:val="FootnoteReference"/>
          <w:rFonts w:asciiTheme="minorHAnsi" w:hAnsiTheme="minorHAnsi"/>
        </w:rPr>
        <w:footnoteRef/>
      </w:r>
      <w:r w:rsidRPr="00E65AF3">
        <w:rPr>
          <w:rFonts w:asciiTheme="minorHAnsi" w:hAnsiTheme="minorHAnsi"/>
        </w:rPr>
        <w:t xml:space="preserve"> In line with WHO and United Nations practice, this paper defines “children” as those aged under 18 years.</w:t>
      </w:r>
    </w:p>
    <w:p w14:paraId="0125F9F9" w14:textId="1C541E74" w:rsidR="001255EA" w:rsidRPr="00D829F1" w:rsidRDefault="001255EA">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6E70" w14:textId="667720C0" w:rsidR="00836D59" w:rsidRPr="00E65AF3" w:rsidRDefault="001255EA" w:rsidP="00836D59">
    <w:pPr>
      <w:spacing w:before="0" w:after="0" w:line="240" w:lineRule="auto"/>
      <w:rPr>
        <w:rFonts w:asciiTheme="minorHAnsi" w:eastAsia="Times New Roman" w:hAnsiTheme="minorHAnsi"/>
      </w:rPr>
    </w:pPr>
    <w:r w:rsidRPr="00E65AF3">
      <w:rPr>
        <w:rFonts w:asciiTheme="minorHAnsi" w:hAnsiTheme="minorHAnsi"/>
        <w:lang w:val="en-IE"/>
      </w:rPr>
      <w:t xml:space="preserve">Ethical and legal </w:t>
    </w:r>
    <w:r w:rsidR="00836D59" w:rsidRPr="00E65AF3">
      <w:rPr>
        <w:rFonts w:asciiTheme="minorHAnsi" w:hAnsiTheme="minorHAnsi"/>
        <w:lang w:val="en-IE"/>
      </w:rPr>
      <w:t>principles</w:t>
    </w:r>
    <w:r w:rsidRPr="00E65AF3">
      <w:rPr>
        <w:rFonts w:asciiTheme="minorHAnsi" w:hAnsiTheme="minorHAnsi"/>
        <w:lang w:val="en-IE"/>
      </w:rPr>
      <w:t xml:space="preserve"> </w:t>
    </w:r>
    <w:r w:rsidR="00836D59" w:rsidRPr="00E65AF3">
      <w:rPr>
        <w:rFonts w:asciiTheme="minorHAnsi" w:hAnsiTheme="minorHAnsi"/>
        <w:lang w:val="en-IE"/>
      </w:rPr>
      <w:t>when assessing</w:t>
    </w:r>
    <w:r w:rsidRPr="00E65AF3">
      <w:rPr>
        <w:rFonts w:asciiTheme="minorHAnsi" w:hAnsiTheme="minorHAnsi"/>
        <w:lang w:val="en-IE"/>
      </w:rPr>
      <w:t xml:space="preserve"> digital food marketing</w:t>
    </w:r>
    <w:r w:rsidR="00836D59" w:rsidRPr="00E65AF3">
      <w:rPr>
        <w:rFonts w:asciiTheme="minorHAnsi" w:hAnsiTheme="minorHAnsi"/>
        <w:lang w:val="en-IE"/>
      </w:rPr>
      <w:t xml:space="preserve"> </w:t>
    </w:r>
    <w:r w:rsidR="00836D59" w:rsidRPr="00E65AF3">
      <w:rPr>
        <w:rFonts w:asciiTheme="minorHAnsi" w:eastAsia="Times New Roman" w:hAnsiTheme="minorHAnsi"/>
        <w:color w:val="000000"/>
        <w:sz w:val="23"/>
        <w:szCs w:val="23"/>
        <w:shd w:val="clear" w:color="auto" w:fill="FFFFFF"/>
      </w:rPr>
      <w:t>to children</w:t>
    </w:r>
  </w:p>
  <w:p w14:paraId="43D90AEB" w14:textId="4FE70C2A" w:rsidR="001255EA" w:rsidRPr="00E71F81" w:rsidRDefault="001255EA">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3FA"/>
    <w:multiLevelType w:val="hybridMultilevel"/>
    <w:tmpl w:val="3B44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F0DCA"/>
    <w:multiLevelType w:val="hybridMultilevel"/>
    <w:tmpl w:val="86B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5DA"/>
    <w:multiLevelType w:val="hybridMultilevel"/>
    <w:tmpl w:val="04520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F43DA"/>
    <w:multiLevelType w:val="hybridMultilevel"/>
    <w:tmpl w:val="753E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033"/>
    <w:multiLevelType w:val="hybridMultilevel"/>
    <w:tmpl w:val="3750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347E5"/>
    <w:multiLevelType w:val="hybridMultilevel"/>
    <w:tmpl w:val="E010704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61806"/>
    <w:multiLevelType w:val="hybridMultilevel"/>
    <w:tmpl w:val="B1105C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B4A1B86"/>
    <w:multiLevelType w:val="hybridMultilevel"/>
    <w:tmpl w:val="8E40C6AA"/>
    <w:lvl w:ilvl="0" w:tplc="560A3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B6838"/>
    <w:multiLevelType w:val="hybridMultilevel"/>
    <w:tmpl w:val="484AD10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8B492C"/>
    <w:multiLevelType w:val="hybridMultilevel"/>
    <w:tmpl w:val="B79EB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D412A"/>
    <w:multiLevelType w:val="hybridMultilevel"/>
    <w:tmpl w:val="5D04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25008"/>
    <w:multiLevelType w:val="hybridMultilevel"/>
    <w:tmpl w:val="F37A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7644A"/>
    <w:multiLevelType w:val="hybridMultilevel"/>
    <w:tmpl w:val="839C9386"/>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6"/>
  </w:num>
  <w:num w:numId="4">
    <w:abstractNumId w:val="9"/>
  </w:num>
  <w:num w:numId="5">
    <w:abstractNumId w:val="4"/>
  </w:num>
  <w:num w:numId="6">
    <w:abstractNumId w:val="3"/>
  </w:num>
  <w:num w:numId="7">
    <w:abstractNumId w:val="10"/>
  </w:num>
  <w:num w:numId="8">
    <w:abstractNumId w:val="0"/>
  </w:num>
  <w:num w:numId="9">
    <w:abstractNumId w:val="1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A0"/>
    <w:rsid w:val="00003C2F"/>
    <w:rsid w:val="00004060"/>
    <w:rsid w:val="00005816"/>
    <w:rsid w:val="000061FD"/>
    <w:rsid w:val="00016E8D"/>
    <w:rsid w:val="000209B4"/>
    <w:rsid w:val="00023B79"/>
    <w:rsid w:val="000254C9"/>
    <w:rsid w:val="00031073"/>
    <w:rsid w:val="00031949"/>
    <w:rsid w:val="00032C83"/>
    <w:rsid w:val="00033CAE"/>
    <w:rsid w:val="00040C08"/>
    <w:rsid w:val="00042589"/>
    <w:rsid w:val="00042ED8"/>
    <w:rsid w:val="000455CC"/>
    <w:rsid w:val="00046865"/>
    <w:rsid w:val="000630D8"/>
    <w:rsid w:val="00065301"/>
    <w:rsid w:val="00066900"/>
    <w:rsid w:val="000710A2"/>
    <w:rsid w:val="00071A74"/>
    <w:rsid w:val="00075229"/>
    <w:rsid w:val="00077509"/>
    <w:rsid w:val="00077BD9"/>
    <w:rsid w:val="000855A8"/>
    <w:rsid w:val="00086755"/>
    <w:rsid w:val="000871B7"/>
    <w:rsid w:val="00087EDA"/>
    <w:rsid w:val="00090A58"/>
    <w:rsid w:val="00094BC3"/>
    <w:rsid w:val="00095F21"/>
    <w:rsid w:val="000979C6"/>
    <w:rsid w:val="000A042E"/>
    <w:rsid w:val="000A4863"/>
    <w:rsid w:val="000A7FCA"/>
    <w:rsid w:val="000B0717"/>
    <w:rsid w:val="000B6205"/>
    <w:rsid w:val="000C0B0F"/>
    <w:rsid w:val="000C1E6D"/>
    <w:rsid w:val="000C347B"/>
    <w:rsid w:val="000C383D"/>
    <w:rsid w:val="000C39FB"/>
    <w:rsid w:val="000C46F5"/>
    <w:rsid w:val="000D0FB3"/>
    <w:rsid w:val="000D2286"/>
    <w:rsid w:val="000D6145"/>
    <w:rsid w:val="000D7E47"/>
    <w:rsid w:val="000E07C4"/>
    <w:rsid w:val="000E0FB3"/>
    <w:rsid w:val="000E1F80"/>
    <w:rsid w:val="000E23CB"/>
    <w:rsid w:val="000E438B"/>
    <w:rsid w:val="000F104B"/>
    <w:rsid w:val="000F162A"/>
    <w:rsid w:val="000F5220"/>
    <w:rsid w:val="000F55ED"/>
    <w:rsid w:val="00102F12"/>
    <w:rsid w:val="00102FD1"/>
    <w:rsid w:val="00103A54"/>
    <w:rsid w:val="00112BE6"/>
    <w:rsid w:val="00116503"/>
    <w:rsid w:val="00116882"/>
    <w:rsid w:val="001229E1"/>
    <w:rsid w:val="00123159"/>
    <w:rsid w:val="001255EA"/>
    <w:rsid w:val="00126633"/>
    <w:rsid w:val="001273AE"/>
    <w:rsid w:val="00132778"/>
    <w:rsid w:val="00133092"/>
    <w:rsid w:val="0013644A"/>
    <w:rsid w:val="0013752D"/>
    <w:rsid w:val="00137BEB"/>
    <w:rsid w:val="00146B29"/>
    <w:rsid w:val="001470E1"/>
    <w:rsid w:val="00150DED"/>
    <w:rsid w:val="001558BB"/>
    <w:rsid w:val="001561E1"/>
    <w:rsid w:val="00157508"/>
    <w:rsid w:val="00160E51"/>
    <w:rsid w:val="00162139"/>
    <w:rsid w:val="001623F8"/>
    <w:rsid w:val="001650DF"/>
    <w:rsid w:val="001678A6"/>
    <w:rsid w:val="00167BE8"/>
    <w:rsid w:val="00167C20"/>
    <w:rsid w:val="00167F31"/>
    <w:rsid w:val="00170953"/>
    <w:rsid w:val="0017375B"/>
    <w:rsid w:val="00173BB5"/>
    <w:rsid w:val="0017648C"/>
    <w:rsid w:val="00177546"/>
    <w:rsid w:val="00183E55"/>
    <w:rsid w:val="001907F5"/>
    <w:rsid w:val="001937DD"/>
    <w:rsid w:val="00193832"/>
    <w:rsid w:val="00197300"/>
    <w:rsid w:val="001A001F"/>
    <w:rsid w:val="001A39AD"/>
    <w:rsid w:val="001A5776"/>
    <w:rsid w:val="001A5F0A"/>
    <w:rsid w:val="001B2983"/>
    <w:rsid w:val="001B670F"/>
    <w:rsid w:val="001C0BED"/>
    <w:rsid w:val="001C31EC"/>
    <w:rsid w:val="001C3F67"/>
    <w:rsid w:val="001C4EED"/>
    <w:rsid w:val="001C4FC0"/>
    <w:rsid w:val="001C770D"/>
    <w:rsid w:val="001C7ED8"/>
    <w:rsid w:val="001D042D"/>
    <w:rsid w:val="001D0845"/>
    <w:rsid w:val="001D2605"/>
    <w:rsid w:val="001D278C"/>
    <w:rsid w:val="001D3B6F"/>
    <w:rsid w:val="001D4898"/>
    <w:rsid w:val="001D5D9C"/>
    <w:rsid w:val="001D71BA"/>
    <w:rsid w:val="001E0C63"/>
    <w:rsid w:val="001E2F0C"/>
    <w:rsid w:val="001E4B73"/>
    <w:rsid w:val="001F03E6"/>
    <w:rsid w:val="001F734E"/>
    <w:rsid w:val="00201086"/>
    <w:rsid w:val="00206E3C"/>
    <w:rsid w:val="00207A16"/>
    <w:rsid w:val="00207F79"/>
    <w:rsid w:val="00210AB7"/>
    <w:rsid w:val="002119A8"/>
    <w:rsid w:val="00211FDE"/>
    <w:rsid w:val="002140DE"/>
    <w:rsid w:val="002162A6"/>
    <w:rsid w:val="00220D68"/>
    <w:rsid w:val="00221F62"/>
    <w:rsid w:val="002221D7"/>
    <w:rsid w:val="0022341C"/>
    <w:rsid w:val="00225C54"/>
    <w:rsid w:val="002279AC"/>
    <w:rsid w:val="00231F63"/>
    <w:rsid w:val="00232436"/>
    <w:rsid w:val="00236971"/>
    <w:rsid w:val="00241EB0"/>
    <w:rsid w:val="00243079"/>
    <w:rsid w:val="00246390"/>
    <w:rsid w:val="00246CD4"/>
    <w:rsid w:val="00247249"/>
    <w:rsid w:val="00250259"/>
    <w:rsid w:val="00250307"/>
    <w:rsid w:val="00250BF2"/>
    <w:rsid w:val="00250DB0"/>
    <w:rsid w:val="00251F91"/>
    <w:rsid w:val="00257734"/>
    <w:rsid w:val="00260F9E"/>
    <w:rsid w:val="00265B6F"/>
    <w:rsid w:val="00271C69"/>
    <w:rsid w:val="0027714F"/>
    <w:rsid w:val="002842B3"/>
    <w:rsid w:val="00284C5A"/>
    <w:rsid w:val="00285733"/>
    <w:rsid w:val="002879B4"/>
    <w:rsid w:val="002902AE"/>
    <w:rsid w:val="00290D1D"/>
    <w:rsid w:val="00290ED8"/>
    <w:rsid w:val="00290F55"/>
    <w:rsid w:val="00292B1C"/>
    <w:rsid w:val="00292F35"/>
    <w:rsid w:val="00296475"/>
    <w:rsid w:val="00296784"/>
    <w:rsid w:val="002976CE"/>
    <w:rsid w:val="002A2725"/>
    <w:rsid w:val="002A3188"/>
    <w:rsid w:val="002B1CC9"/>
    <w:rsid w:val="002B3277"/>
    <w:rsid w:val="002B3545"/>
    <w:rsid w:val="002B56C8"/>
    <w:rsid w:val="002C1386"/>
    <w:rsid w:val="002C1C8B"/>
    <w:rsid w:val="002C6023"/>
    <w:rsid w:val="002C7B6B"/>
    <w:rsid w:val="002C7FFB"/>
    <w:rsid w:val="002D02EA"/>
    <w:rsid w:val="002D5A7C"/>
    <w:rsid w:val="002E1B78"/>
    <w:rsid w:val="002E230D"/>
    <w:rsid w:val="002E2B91"/>
    <w:rsid w:val="002E2FD0"/>
    <w:rsid w:val="002E3290"/>
    <w:rsid w:val="002E3955"/>
    <w:rsid w:val="002E5B9D"/>
    <w:rsid w:val="002E62A7"/>
    <w:rsid w:val="002F08D6"/>
    <w:rsid w:val="002F429D"/>
    <w:rsid w:val="00300C95"/>
    <w:rsid w:val="003024EA"/>
    <w:rsid w:val="00306A17"/>
    <w:rsid w:val="00310060"/>
    <w:rsid w:val="00311535"/>
    <w:rsid w:val="00311E86"/>
    <w:rsid w:val="003127D8"/>
    <w:rsid w:val="00314DE7"/>
    <w:rsid w:val="00314E2C"/>
    <w:rsid w:val="00320273"/>
    <w:rsid w:val="00320AC3"/>
    <w:rsid w:val="0032129A"/>
    <w:rsid w:val="00321868"/>
    <w:rsid w:val="00322EBE"/>
    <w:rsid w:val="003269E0"/>
    <w:rsid w:val="00332D48"/>
    <w:rsid w:val="00337448"/>
    <w:rsid w:val="00342DAA"/>
    <w:rsid w:val="003465C3"/>
    <w:rsid w:val="003471CE"/>
    <w:rsid w:val="00347AAF"/>
    <w:rsid w:val="00353E2E"/>
    <w:rsid w:val="0035441C"/>
    <w:rsid w:val="00354732"/>
    <w:rsid w:val="00355C1F"/>
    <w:rsid w:val="00355CEB"/>
    <w:rsid w:val="00370521"/>
    <w:rsid w:val="00373E15"/>
    <w:rsid w:val="00374534"/>
    <w:rsid w:val="00374E86"/>
    <w:rsid w:val="003802B9"/>
    <w:rsid w:val="00382916"/>
    <w:rsid w:val="00382A54"/>
    <w:rsid w:val="003844C8"/>
    <w:rsid w:val="003853B3"/>
    <w:rsid w:val="00386E51"/>
    <w:rsid w:val="003911FC"/>
    <w:rsid w:val="00391D26"/>
    <w:rsid w:val="00394067"/>
    <w:rsid w:val="003A4D03"/>
    <w:rsid w:val="003A74BA"/>
    <w:rsid w:val="003B2C36"/>
    <w:rsid w:val="003B3C13"/>
    <w:rsid w:val="003C0A5C"/>
    <w:rsid w:val="003C7FA7"/>
    <w:rsid w:val="003D0132"/>
    <w:rsid w:val="003D3923"/>
    <w:rsid w:val="003D697F"/>
    <w:rsid w:val="003D79AF"/>
    <w:rsid w:val="003D7D7D"/>
    <w:rsid w:val="003E1BA9"/>
    <w:rsid w:val="003E409D"/>
    <w:rsid w:val="003E50E7"/>
    <w:rsid w:val="003F226F"/>
    <w:rsid w:val="003F5570"/>
    <w:rsid w:val="00400881"/>
    <w:rsid w:val="00402F8F"/>
    <w:rsid w:val="0040456D"/>
    <w:rsid w:val="00404920"/>
    <w:rsid w:val="0040525F"/>
    <w:rsid w:val="00406B40"/>
    <w:rsid w:val="0040720D"/>
    <w:rsid w:val="00407BC2"/>
    <w:rsid w:val="00410D2A"/>
    <w:rsid w:val="00411651"/>
    <w:rsid w:val="00413026"/>
    <w:rsid w:val="00413554"/>
    <w:rsid w:val="00414424"/>
    <w:rsid w:val="00416929"/>
    <w:rsid w:val="00416C2C"/>
    <w:rsid w:val="00424981"/>
    <w:rsid w:val="00425FCF"/>
    <w:rsid w:val="00433A16"/>
    <w:rsid w:val="00434A22"/>
    <w:rsid w:val="00435FC4"/>
    <w:rsid w:val="00437492"/>
    <w:rsid w:val="00440AB2"/>
    <w:rsid w:val="00442F4C"/>
    <w:rsid w:val="0045167F"/>
    <w:rsid w:val="00453360"/>
    <w:rsid w:val="00453C6C"/>
    <w:rsid w:val="00455A96"/>
    <w:rsid w:val="00455FCB"/>
    <w:rsid w:val="004603BC"/>
    <w:rsid w:val="00461C05"/>
    <w:rsid w:val="00461F04"/>
    <w:rsid w:val="0046446B"/>
    <w:rsid w:val="004718C8"/>
    <w:rsid w:val="00473414"/>
    <w:rsid w:val="004738AB"/>
    <w:rsid w:val="00474D09"/>
    <w:rsid w:val="004751A3"/>
    <w:rsid w:val="00481EE7"/>
    <w:rsid w:val="00482D61"/>
    <w:rsid w:val="00486B61"/>
    <w:rsid w:val="0048749C"/>
    <w:rsid w:val="00487DFA"/>
    <w:rsid w:val="00490DAE"/>
    <w:rsid w:val="00491003"/>
    <w:rsid w:val="00492CAB"/>
    <w:rsid w:val="00496B9A"/>
    <w:rsid w:val="004979FF"/>
    <w:rsid w:val="004A76A9"/>
    <w:rsid w:val="004B22AA"/>
    <w:rsid w:val="004B2357"/>
    <w:rsid w:val="004B290A"/>
    <w:rsid w:val="004B4F16"/>
    <w:rsid w:val="004C1B48"/>
    <w:rsid w:val="004C39C0"/>
    <w:rsid w:val="004D041A"/>
    <w:rsid w:val="004D247D"/>
    <w:rsid w:val="004D5CC3"/>
    <w:rsid w:val="004D5D0C"/>
    <w:rsid w:val="004E00AC"/>
    <w:rsid w:val="004E483A"/>
    <w:rsid w:val="004E6CDF"/>
    <w:rsid w:val="004E756F"/>
    <w:rsid w:val="00501541"/>
    <w:rsid w:val="00501CD2"/>
    <w:rsid w:val="00503910"/>
    <w:rsid w:val="005042B5"/>
    <w:rsid w:val="00506484"/>
    <w:rsid w:val="0050762A"/>
    <w:rsid w:val="00510131"/>
    <w:rsid w:val="00512054"/>
    <w:rsid w:val="00512411"/>
    <w:rsid w:val="00512BA4"/>
    <w:rsid w:val="00514D61"/>
    <w:rsid w:val="0051657B"/>
    <w:rsid w:val="005203E3"/>
    <w:rsid w:val="00524129"/>
    <w:rsid w:val="0052697C"/>
    <w:rsid w:val="00527F3F"/>
    <w:rsid w:val="00531207"/>
    <w:rsid w:val="00531A33"/>
    <w:rsid w:val="00532494"/>
    <w:rsid w:val="00540FF6"/>
    <w:rsid w:val="00541CEF"/>
    <w:rsid w:val="00542936"/>
    <w:rsid w:val="0054388C"/>
    <w:rsid w:val="00543B40"/>
    <w:rsid w:val="00544C33"/>
    <w:rsid w:val="0054553C"/>
    <w:rsid w:val="005504BB"/>
    <w:rsid w:val="00551077"/>
    <w:rsid w:val="005514D6"/>
    <w:rsid w:val="00552DF0"/>
    <w:rsid w:val="00553309"/>
    <w:rsid w:val="0055525E"/>
    <w:rsid w:val="0055533B"/>
    <w:rsid w:val="0056055B"/>
    <w:rsid w:val="005657F5"/>
    <w:rsid w:val="00565E65"/>
    <w:rsid w:val="005666A5"/>
    <w:rsid w:val="0057021A"/>
    <w:rsid w:val="005702ED"/>
    <w:rsid w:val="00577453"/>
    <w:rsid w:val="00581D7A"/>
    <w:rsid w:val="0058327D"/>
    <w:rsid w:val="005837CF"/>
    <w:rsid w:val="005848C4"/>
    <w:rsid w:val="00585388"/>
    <w:rsid w:val="0059074C"/>
    <w:rsid w:val="00591890"/>
    <w:rsid w:val="00593DCA"/>
    <w:rsid w:val="00594EFB"/>
    <w:rsid w:val="005A5527"/>
    <w:rsid w:val="005A666E"/>
    <w:rsid w:val="005A6D9B"/>
    <w:rsid w:val="005B2D5A"/>
    <w:rsid w:val="005B2DC0"/>
    <w:rsid w:val="005B424F"/>
    <w:rsid w:val="005B4632"/>
    <w:rsid w:val="005C1454"/>
    <w:rsid w:val="005C1567"/>
    <w:rsid w:val="005C6D6B"/>
    <w:rsid w:val="005C7CD7"/>
    <w:rsid w:val="005D18DE"/>
    <w:rsid w:val="005D3E34"/>
    <w:rsid w:val="005D486F"/>
    <w:rsid w:val="005D57EB"/>
    <w:rsid w:val="005D6114"/>
    <w:rsid w:val="005D6DE9"/>
    <w:rsid w:val="005E4AD5"/>
    <w:rsid w:val="005E4B30"/>
    <w:rsid w:val="005F009E"/>
    <w:rsid w:val="005F276F"/>
    <w:rsid w:val="005F4210"/>
    <w:rsid w:val="005F69C8"/>
    <w:rsid w:val="00605066"/>
    <w:rsid w:val="006055CF"/>
    <w:rsid w:val="0060642E"/>
    <w:rsid w:val="006078F6"/>
    <w:rsid w:val="0061003F"/>
    <w:rsid w:val="0061311D"/>
    <w:rsid w:val="00614638"/>
    <w:rsid w:val="006147FF"/>
    <w:rsid w:val="006211C7"/>
    <w:rsid w:val="00623A7F"/>
    <w:rsid w:val="00623AF0"/>
    <w:rsid w:val="00624F81"/>
    <w:rsid w:val="00627AE2"/>
    <w:rsid w:val="006313D1"/>
    <w:rsid w:val="00632005"/>
    <w:rsid w:val="006329A5"/>
    <w:rsid w:val="00632BD1"/>
    <w:rsid w:val="00633C7D"/>
    <w:rsid w:val="00635041"/>
    <w:rsid w:val="006459A0"/>
    <w:rsid w:val="00645A0D"/>
    <w:rsid w:val="006506B7"/>
    <w:rsid w:val="00650AE4"/>
    <w:rsid w:val="00653A44"/>
    <w:rsid w:val="00654160"/>
    <w:rsid w:val="006565FB"/>
    <w:rsid w:val="00656C0E"/>
    <w:rsid w:val="00663573"/>
    <w:rsid w:val="00666A3F"/>
    <w:rsid w:val="00672277"/>
    <w:rsid w:val="00675403"/>
    <w:rsid w:val="00681C2B"/>
    <w:rsid w:val="00686025"/>
    <w:rsid w:val="00687A08"/>
    <w:rsid w:val="00691A9C"/>
    <w:rsid w:val="00692167"/>
    <w:rsid w:val="0069216B"/>
    <w:rsid w:val="0069224E"/>
    <w:rsid w:val="00693334"/>
    <w:rsid w:val="006A38BC"/>
    <w:rsid w:val="006A464F"/>
    <w:rsid w:val="006A6D0D"/>
    <w:rsid w:val="006B0CED"/>
    <w:rsid w:val="006B1700"/>
    <w:rsid w:val="006B4433"/>
    <w:rsid w:val="006B7908"/>
    <w:rsid w:val="006B7C9C"/>
    <w:rsid w:val="006C2132"/>
    <w:rsid w:val="006C4AEC"/>
    <w:rsid w:val="006C4E61"/>
    <w:rsid w:val="006C69E4"/>
    <w:rsid w:val="006C7201"/>
    <w:rsid w:val="006D1032"/>
    <w:rsid w:val="006D10D4"/>
    <w:rsid w:val="006D3B83"/>
    <w:rsid w:val="006D5CF4"/>
    <w:rsid w:val="006E106A"/>
    <w:rsid w:val="006E1CA6"/>
    <w:rsid w:val="006E4108"/>
    <w:rsid w:val="006E4D4A"/>
    <w:rsid w:val="006E77EA"/>
    <w:rsid w:val="006F0AE7"/>
    <w:rsid w:val="006F2367"/>
    <w:rsid w:val="006F2699"/>
    <w:rsid w:val="006F4CA9"/>
    <w:rsid w:val="006F4FCD"/>
    <w:rsid w:val="006F5E4E"/>
    <w:rsid w:val="006F61FA"/>
    <w:rsid w:val="00702CC1"/>
    <w:rsid w:val="00705B4C"/>
    <w:rsid w:val="007061AB"/>
    <w:rsid w:val="00706F47"/>
    <w:rsid w:val="00706FC7"/>
    <w:rsid w:val="007109BD"/>
    <w:rsid w:val="007128EA"/>
    <w:rsid w:val="00712C51"/>
    <w:rsid w:val="00712EF3"/>
    <w:rsid w:val="00713684"/>
    <w:rsid w:val="007141F8"/>
    <w:rsid w:val="00720007"/>
    <w:rsid w:val="00727ECB"/>
    <w:rsid w:val="00730303"/>
    <w:rsid w:val="00730AAB"/>
    <w:rsid w:val="0073422A"/>
    <w:rsid w:val="00735C9B"/>
    <w:rsid w:val="00735D61"/>
    <w:rsid w:val="007361E6"/>
    <w:rsid w:val="00743141"/>
    <w:rsid w:val="00743DA2"/>
    <w:rsid w:val="00746435"/>
    <w:rsid w:val="00747489"/>
    <w:rsid w:val="007541A1"/>
    <w:rsid w:val="00757185"/>
    <w:rsid w:val="007574D5"/>
    <w:rsid w:val="007629AC"/>
    <w:rsid w:val="00763B3B"/>
    <w:rsid w:val="00767011"/>
    <w:rsid w:val="007670D9"/>
    <w:rsid w:val="007703B7"/>
    <w:rsid w:val="00770783"/>
    <w:rsid w:val="00771AF6"/>
    <w:rsid w:val="0077599E"/>
    <w:rsid w:val="00777209"/>
    <w:rsid w:val="0078158A"/>
    <w:rsid w:val="007837A2"/>
    <w:rsid w:val="007845DF"/>
    <w:rsid w:val="00785CA1"/>
    <w:rsid w:val="00792748"/>
    <w:rsid w:val="0079639B"/>
    <w:rsid w:val="007A5E6C"/>
    <w:rsid w:val="007A704E"/>
    <w:rsid w:val="007B041F"/>
    <w:rsid w:val="007B06E9"/>
    <w:rsid w:val="007B0DAC"/>
    <w:rsid w:val="007B2FF5"/>
    <w:rsid w:val="007B35FC"/>
    <w:rsid w:val="007B45B7"/>
    <w:rsid w:val="007B48C5"/>
    <w:rsid w:val="007B5A47"/>
    <w:rsid w:val="007B5FC9"/>
    <w:rsid w:val="007B67CA"/>
    <w:rsid w:val="007C4291"/>
    <w:rsid w:val="007D3B44"/>
    <w:rsid w:val="007D4DAA"/>
    <w:rsid w:val="007D546F"/>
    <w:rsid w:val="007D78DA"/>
    <w:rsid w:val="007E04B4"/>
    <w:rsid w:val="007E0919"/>
    <w:rsid w:val="007E2FD6"/>
    <w:rsid w:val="007E380F"/>
    <w:rsid w:val="007E3EA4"/>
    <w:rsid w:val="007E4B02"/>
    <w:rsid w:val="007E4DE2"/>
    <w:rsid w:val="007E6094"/>
    <w:rsid w:val="007E686F"/>
    <w:rsid w:val="007E7787"/>
    <w:rsid w:val="007E7A74"/>
    <w:rsid w:val="007E7EA2"/>
    <w:rsid w:val="007F091E"/>
    <w:rsid w:val="007F2B47"/>
    <w:rsid w:val="007F5D9F"/>
    <w:rsid w:val="008012AD"/>
    <w:rsid w:val="00804A0C"/>
    <w:rsid w:val="00805CAD"/>
    <w:rsid w:val="00811DB2"/>
    <w:rsid w:val="00812B73"/>
    <w:rsid w:val="00813882"/>
    <w:rsid w:val="008235CD"/>
    <w:rsid w:val="008249F3"/>
    <w:rsid w:val="008257AE"/>
    <w:rsid w:val="00827506"/>
    <w:rsid w:val="00830295"/>
    <w:rsid w:val="008313D7"/>
    <w:rsid w:val="008316E0"/>
    <w:rsid w:val="00834018"/>
    <w:rsid w:val="00836D59"/>
    <w:rsid w:val="00843068"/>
    <w:rsid w:val="008447C3"/>
    <w:rsid w:val="00845586"/>
    <w:rsid w:val="008468DA"/>
    <w:rsid w:val="00846FB7"/>
    <w:rsid w:val="008514B4"/>
    <w:rsid w:val="00851604"/>
    <w:rsid w:val="00851714"/>
    <w:rsid w:val="00851804"/>
    <w:rsid w:val="0085308A"/>
    <w:rsid w:val="00854B53"/>
    <w:rsid w:val="008559B9"/>
    <w:rsid w:val="00855B7D"/>
    <w:rsid w:val="00857820"/>
    <w:rsid w:val="00857CF8"/>
    <w:rsid w:val="00863F22"/>
    <w:rsid w:val="00864EB1"/>
    <w:rsid w:val="008663A9"/>
    <w:rsid w:val="008666AC"/>
    <w:rsid w:val="00870385"/>
    <w:rsid w:val="0087421B"/>
    <w:rsid w:val="00874D72"/>
    <w:rsid w:val="00876AF8"/>
    <w:rsid w:val="00877CC8"/>
    <w:rsid w:val="0088175C"/>
    <w:rsid w:val="00884355"/>
    <w:rsid w:val="00885976"/>
    <w:rsid w:val="0088681E"/>
    <w:rsid w:val="00887724"/>
    <w:rsid w:val="00890960"/>
    <w:rsid w:val="00893488"/>
    <w:rsid w:val="0089653D"/>
    <w:rsid w:val="00897D2A"/>
    <w:rsid w:val="008A06F3"/>
    <w:rsid w:val="008A06F4"/>
    <w:rsid w:val="008A0FD6"/>
    <w:rsid w:val="008A5E6A"/>
    <w:rsid w:val="008A7DDA"/>
    <w:rsid w:val="008B1203"/>
    <w:rsid w:val="008B1631"/>
    <w:rsid w:val="008B2DE2"/>
    <w:rsid w:val="008B3EDD"/>
    <w:rsid w:val="008B4559"/>
    <w:rsid w:val="008B486B"/>
    <w:rsid w:val="008B5A43"/>
    <w:rsid w:val="008C0433"/>
    <w:rsid w:val="008C4A36"/>
    <w:rsid w:val="008C6BB9"/>
    <w:rsid w:val="008D06AE"/>
    <w:rsid w:val="008D21D8"/>
    <w:rsid w:val="008D3EC4"/>
    <w:rsid w:val="008D5551"/>
    <w:rsid w:val="008D5DC9"/>
    <w:rsid w:val="008D64D1"/>
    <w:rsid w:val="008D6FE4"/>
    <w:rsid w:val="008D7D91"/>
    <w:rsid w:val="008E0B36"/>
    <w:rsid w:val="008E36BD"/>
    <w:rsid w:val="008E3E90"/>
    <w:rsid w:val="008F25B1"/>
    <w:rsid w:val="008F2FD9"/>
    <w:rsid w:val="008F562E"/>
    <w:rsid w:val="008F5A32"/>
    <w:rsid w:val="008F751D"/>
    <w:rsid w:val="00906996"/>
    <w:rsid w:val="009110DB"/>
    <w:rsid w:val="00912267"/>
    <w:rsid w:val="00922B5A"/>
    <w:rsid w:val="009234F3"/>
    <w:rsid w:val="009239AE"/>
    <w:rsid w:val="0093363A"/>
    <w:rsid w:val="00935CD7"/>
    <w:rsid w:val="00937A69"/>
    <w:rsid w:val="009402E6"/>
    <w:rsid w:val="009426B7"/>
    <w:rsid w:val="009430E3"/>
    <w:rsid w:val="00943DF5"/>
    <w:rsid w:val="00944875"/>
    <w:rsid w:val="00944E1D"/>
    <w:rsid w:val="00947625"/>
    <w:rsid w:val="00952889"/>
    <w:rsid w:val="009530A9"/>
    <w:rsid w:val="00954964"/>
    <w:rsid w:val="00955630"/>
    <w:rsid w:val="00956B72"/>
    <w:rsid w:val="0096022C"/>
    <w:rsid w:val="009628DF"/>
    <w:rsid w:val="00963260"/>
    <w:rsid w:val="00965F90"/>
    <w:rsid w:val="00970053"/>
    <w:rsid w:val="009721FE"/>
    <w:rsid w:val="009805A2"/>
    <w:rsid w:val="00981A79"/>
    <w:rsid w:val="00981FAA"/>
    <w:rsid w:val="009865BD"/>
    <w:rsid w:val="00987D43"/>
    <w:rsid w:val="00993217"/>
    <w:rsid w:val="00995F23"/>
    <w:rsid w:val="00996985"/>
    <w:rsid w:val="009A1B28"/>
    <w:rsid w:val="009A3231"/>
    <w:rsid w:val="009A4A1A"/>
    <w:rsid w:val="009A5DE7"/>
    <w:rsid w:val="009A6147"/>
    <w:rsid w:val="009B1AC4"/>
    <w:rsid w:val="009B202D"/>
    <w:rsid w:val="009B2770"/>
    <w:rsid w:val="009B3D70"/>
    <w:rsid w:val="009B5777"/>
    <w:rsid w:val="009B5D26"/>
    <w:rsid w:val="009B5D39"/>
    <w:rsid w:val="009B6AC4"/>
    <w:rsid w:val="009B7EE8"/>
    <w:rsid w:val="009C01AB"/>
    <w:rsid w:val="009C1061"/>
    <w:rsid w:val="009C1A4F"/>
    <w:rsid w:val="009C1EB0"/>
    <w:rsid w:val="009C7615"/>
    <w:rsid w:val="009C7D75"/>
    <w:rsid w:val="009D26B7"/>
    <w:rsid w:val="009D2B3F"/>
    <w:rsid w:val="009D2CCC"/>
    <w:rsid w:val="009D332B"/>
    <w:rsid w:val="009D406F"/>
    <w:rsid w:val="009D47B6"/>
    <w:rsid w:val="009D4939"/>
    <w:rsid w:val="009D64BC"/>
    <w:rsid w:val="009D6766"/>
    <w:rsid w:val="009E0F2F"/>
    <w:rsid w:val="009E5BFE"/>
    <w:rsid w:val="009E6CB5"/>
    <w:rsid w:val="009F3DAB"/>
    <w:rsid w:val="009F54F0"/>
    <w:rsid w:val="009F687C"/>
    <w:rsid w:val="00A02401"/>
    <w:rsid w:val="00A026D0"/>
    <w:rsid w:val="00A028F2"/>
    <w:rsid w:val="00A05FDC"/>
    <w:rsid w:val="00A07B6D"/>
    <w:rsid w:val="00A10533"/>
    <w:rsid w:val="00A113B8"/>
    <w:rsid w:val="00A11DA1"/>
    <w:rsid w:val="00A11EFC"/>
    <w:rsid w:val="00A12A56"/>
    <w:rsid w:val="00A1351B"/>
    <w:rsid w:val="00A14DE1"/>
    <w:rsid w:val="00A14EE8"/>
    <w:rsid w:val="00A15036"/>
    <w:rsid w:val="00A20819"/>
    <w:rsid w:val="00A2283E"/>
    <w:rsid w:val="00A23F98"/>
    <w:rsid w:val="00A25789"/>
    <w:rsid w:val="00A26B09"/>
    <w:rsid w:val="00A275D1"/>
    <w:rsid w:val="00A31DFA"/>
    <w:rsid w:val="00A354C9"/>
    <w:rsid w:val="00A35E7A"/>
    <w:rsid w:val="00A362F0"/>
    <w:rsid w:val="00A43A19"/>
    <w:rsid w:val="00A47861"/>
    <w:rsid w:val="00A50634"/>
    <w:rsid w:val="00A51362"/>
    <w:rsid w:val="00A51AFE"/>
    <w:rsid w:val="00A51EB9"/>
    <w:rsid w:val="00A54F83"/>
    <w:rsid w:val="00A56617"/>
    <w:rsid w:val="00A620EA"/>
    <w:rsid w:val="00A62F4B"/>
    <w:rsid w:val="00A640A7"/>
    <w:rsid w:val="00A65D94"/>
    <w:rsid w:val="00A677BE"/>
    <w:rsid w:val="00A72810"/>
    <w:rsid w:val="00A74556"/>
    <w:rsid w:val="00A74CE3"/>
    <w:rsid w:val="00A756F3"/>
    <w:rsid w:val="00A80598"/>
    <w:rsid w:val="00A8266A"/>
    <w:rsid w:val="00A82F6E"/>
    <w:rsid w:val="00A8532D"/>
    <w:rsid w:val="00A87550"/>
    <w:rsid w:val="00A879CD"/>
    <w:rsid w:val="00A9291C"/>
    <w:rsid w:val="00A93B94"/>
    <w:rsid w:val="00A94779"/>
    <w:rsid w:val="00A95414"/>
    <w:rsid w:val="00A96D5A"/>
    <w:rsid w:val="00A97736"/>
    <w:rsid w:val="00AA0229"/>
    <w:rsid w:val="00AA1821"/>
    <w:rsid w:val="00AA6062"/>
    <w:rsid w:val="00AB083C"/>
    <w:rsid w:val="00AB26F0"/>
    <w:rsid w:val="00AB31EE"/>
    <w:rsid w:val="00AB5D6D"/>
    <w:rsid w:val="00AB75E1"/>
    <w:rsid w:val="00AB7C3B"/>
    <w:rsid w:val="00AC1EEC"/>
    <w:rsid w:val="00AC208A"/>
    <w:rsid w:val="00AC26B4"/>
    <w:rsid w:val="00AD2B23"/>
    <w:rsid w:val="00AD5F7D"/>
    <w:rsid w:val="00AD6DB4"/>
    <w:rsid w:val="00AD7BB3"/>
    <w:rsid w:val="00AE04C0"/>
    <w:rsid w:val="00AE0883"/>
    <w:rsid w:val="00AE1189"/>
    <w:rsid w:val="00AE1EBB"/>
    <w:rsid w:val="00AE2BD4"/>
    <w:rsid w:val="00AE5754"/>
    <w:rsid w:val="00AF2DDE"/>
    <w:rsid w:val="00AF3DB1"/>
    <w:rsid w:val="00AF45BA"/>
    <w:rsid w:val="00AF4A1F"/>
    <w:rsid w:val="00AF611E"/>
    <w:rsid w:val="00B07AA2"/>
    <w:rsid w:val="00B11958"/>
    <w:rsid w:val="00B13AAA"/>
    <w:rsid w:val="00B17388"/>
    <w:rsid w:val="00B1792E"/>
    <w:rsid w:val="00B203AA"/>
    <w:rsid w:val="00B22300"/>
    <w:rsid w:val="00B2362F"/>
    <w:rsid w:val="00B27D48"/>
    <w:rsid w:val="00B36304"/>
    <w:rsid w:val="00B40AE1"/>
    <w:rsid w:val="00B4234F"/>
    <w:rsid w:val="00B42808"/>
    <w:rsid w:val="00B43254"/>
    <w:rsid w:val="00B4341C"/>
    <w:rsid w:val="00B45EF1"/>
    <w:rsid w:val="00B54B35"/>
    <w:rsid w:val="00B56C45"/>
    <w:rsid w:val="00B61C50"/>
    <w:rsid w:val="00B62448"/>
    <w:rsid w:val="00B70109"/>
    <w:rsid w:val="00B756AA"/>
    <w:rsid w:val="00B764B6"/>
    <w:rsid w:val="00B818B8"/>
    <w:rsid w:val="00B848EC"/>
    <w:rsid w:val="00B85409"/>
    <w:rsid w:val="00B862B8"/>
    <w:rsid w:val="00B86451"/>
    <w:rsid w:val="00B8725B"/>
    <w:rsid w:val="00B87D35"/>
    <w:rsid w:val="00B9183B"/>
    <w:rsid w:val="00B956C2"/>
    <w:rsid w:val="00B96DF1"/>
    <w:rsid w:val="00B97BDF"/>
    <w:rsid w:val="00BA0C9E"/>
    <w:rsid w:val="00BA177C"/>
    <w:rsid w:val="00BA196A"/>
    <w:rsid w:val="00BA32F7"/>
    <w:rsid w:val="00BB08BA"/>
    <w:rsid w:val="00BC1C56"/>
    <w:rsid w:val="00BC1F7B"/>
    <w:rsid w:val="00BC6977"/>
    <w:rsid w:val="00BD1A8E"/>
    <w:rsid w:val="00BD20C3"/>
    <w:rsid w:val="00BD3A11"/>
    <w:rsid w:val="00BD5434"/>
    <w:rsid w:val="00BE05DC"/>
    <w:rsid w:val="00BE0CC9"/>
    <w:rsid w:val="00BE0DAF"/>
    <w:rsid w:val="00BE1BDB"/>
    <w:rsid w:val="00BE2838"/>
    <w:rsid w:val="00BE6911"/>
    <w:rsid w:val="00BF0635"/>
    <w:rsid w:val="00BF4EA0"/>
    <w:rsid w:val="00BF5452"/>
    <w:rsid w:val="00BF6F3A"/>
    <w:rsid w:val="00BF7273"/>
    <w:rsid w:val="00BF7AA4"/>
    <w:rsid w:val="00C00DF0"/>
    <w:rsid w:val="00C0689F"/>
    <w:rsid w:val="00C136D7"/>
    <w:rsid w:val="00C1395D"/>
    <w:rsid w:val="00C1417B"/>
    <w:rsid w:val="00C16846"/>
    <w:rsid w:val="00C17CCD"/>
    <w:rsid w:val="00C2187F"/>
    <w:rsid w:val="00C2795B"/>
    <w:rsid w:val="00C32A33"/>
    <w:rsid w:val="00C32F6E"/>
    <w:rsid w:val="00C33EB5"/>
    <w:rsid w:val="00C35028"/>
    <w:rsid w:val="00C35279"/>
    <w:rsid w:val="00C3663C"/>
    <w:rsid w:val="00C36DA9"/>
    <w:rsid w:val="00C3745D"/>
    <w:rsid w:val="00C37CB2"/>
    <w:rsid w:val="00C37E2E"/>
    <w:rsid w:val="00C41941"/>
    <w:rsid w:val="00C4532F"/>
    <w:rsid w:val="00C468E2"/>
    <w:rsid w:val="00C46C63"/>
    <w:rsid w:val="00C57F00"/>
    <w:rsid w:val="00C64653"/>
    <w:rsid w:val="00C6577C"/>
    <w:rsid w:val="00C65A4D"/>
    <w:rsid w:val="00C65C58"/>
    <w:rsid w:val="00C70FD9"/>
    <w:rsid w:val="00C7186A"/>
    <w:rsid w:val="00C7268C"/>
    <w:rsid w:val="00C72F4E"/>
    <w:rsid w:val="00C74A89"/>
    <w:rsid w:val="00C75C11"/>
    <w:rsid w:val="00C77144"/>
    <w:rsid w:val="00C77770"/>
    <w:rsid w:val="00C8493E"/>
    <w:rsid w:val="00C9116F"/>
    <w:rsid w:val="00C91C47"/>
    <w:rsid w:val="00C95ECD"/>
    <w:rsid w:val="00C95FCC"/>
    <w:rsid w:val="00C978F5"/>
    <w:rsid w:val="00C97EA2"/>
    <w:rsid w:val="00CA204B"/>
    <w:rsid w:val="00CA2A84"/>
    <w:rsid w:val="00CA637A"/>
    <w:rsid w:val="00CB25F0"/>
    <w:rsid w:val="00CB626E"/>
    <w:rsid w:val="00CB7159"/>
    <w:rsid w:val="00CB75E5"/>
    <w:rsid w:val="00CC1B7E"/>
    <w:rsid w:val="00CC219B"/>
    <w:rsid w:val="00CC2B46"/>
    <w:rsid w:val="00CC3D0F"/>
    <w:rsid w:val="00CC4010"/>
    <w:rsid w:val="00CC4752"/>
    <w:rsid w:val="00CC7ED4"/>
    <w:rsid w:val="00CD00A5"/>
    <w:rsid w:val="00CD5937"/>
    <w:rsid w:val="00CD6216"/>
    <w:rsid w:val="00CD7D6D"/>
    <w:rsid w:val="00CE0C36"/>
    <w:rsid w:val="00CE250F"/>
    <w:rsid w:val="00CE267A"/>
    <w:rsid w:val="00CE2A81"/>
    <w:rsid w:val="00CF22A5"/>
    <w:rsid w:val="00CF3244"/>
    <w:rsid w:val="00CF34CC"/>
    <w:rsid w:val="00CF7B55"/>
    <w:rsid w:val="00D0033E"/>
    <w:rsid w:val="00D009B7"/>
    <w:rsid w:val="00D024E9"/>
    <w:rsid w:val="00D0396A"/>
    <w:rsid w:val="00D06661"/>
    <w:rsid w:val="00D06934"/>
    <w:rsid w:val="00D07585"/>
    <w:rsid w:val="00D11AAB"/>
    <w:rsid w:val="00D11F98"/>
    <w:rsid w:val="00D12330"/>
    <w:rsid w:val="00D13CE2"/>
    <w:rsid w:val="00D1709E"/>
    <w:rsid w:val="00D207CD"/>
    <w:rsid w:val="00D23E5F"/>
    <w:rsid w:val="00D26849"/>
    <w:rsid w:val="00D3176B"/>
    <w:rsid w:val="00D31A3E"/>
    <w:rsid w:val="00D321D5"/>
    <w:rsid w:val="00D32521"/>
    <w:rsid w:val="00D3388E"/>
    <w:rsid w:val="00D36202"/>
    <w:rsid w:val="00D40269"/>
    <w:rsid w:val="00D42A55"/>
    <w:rsid w:val="00D43E0A"/>
    <w:rsid w:val="00D44F9C"/>
    <w:rsid w:val="00D44FE9"/>
    <w:rsid w:val="00D47EF7"/>
    <w:rsid w:val="00D51F5B"/>
    <w:rsid w:val="00D55EAF"/>
    <w:rsid w:val="00D623F7"/>
    <w:rsid w:val="00D62E6B"/>
    <w:rsid w:val="00D6311D"/>
    <w:rsid w:val="00D64B2F"/>
    <w:rsid w:val="00D65929"/>
    <w:rsid w:val="00D70217"/>
    <w:rsid w:val="00D74535"/>
    <w:rsid w:val="00D7544C"/>
    <w:rsid w:val="00D767B0"/>
    <w:rsid w:val="00D77410"/>
    <w:rsid w:val="00D81A62"/>
    <w:rsid w:val="00D829F1"/>
    <w:rsid w:val="00D83B43"/>
    <w:rsid w:val="00D84F69"/>
    <w:rsid w:val="00D851F6"/>
    <w:rsid w:val="00D86C36"/>
    <w:rsid w:val="00D90EE4"/>
    <w:rsid w:val="00D96335"/>
    <w:rsid w:val="00D9653F"/>
    <w:rsid w:val="00D972F9"/>
    <w:rsid w:val="00DA2583"/>
    <w:rsid w:val="00DA322E"/>
    <w:rsid w:val="00DA5359"/>
    <w:rsid w:val="00DA7D33"/>
    <w:rsid w:val="00DB0C51"/>
    <w:rsid w:val="00DB13B5"/>
    <w:rsid w:val="00DB5595"/>
    <w:rsid w:val="00DB707E"/>
    <w:rsid w:val="00DB71AD"/>
    <w:rsid w:val="00DC4D00"/>
    <w:rsid w:val="00DC69F0"/>
    <w:rsid w:val="00DD2B75"/>
    <w:rsid w:val="00DD4D94"/>
    <w:rsid w:val="00DE1747"/>
    <w:rsid w:val="00DE5EA1"/>
    <w:rsid w:val="00DF4279"/>
    <w:rsid w:val="00DF7B52"/>
    <w:rsid w:val="00E0364F"/>
    <w:rsid w:val="00E0453D"/>
    <w:rsid w:val="00E135A6"/>
    <w:rsid w:val="00E13BEE"/>
    <w:rsid w:val="00E1647F"/>
    <w:rsid w:val="00E17567"/>
    <w:rsid w:val="00E21004"/>
    <w:rsid w:val="00E23B73"/>
    <w:rsid w:val="00E25721"/>
    <w:rsid w:val="00E277F8"/>
    <w:rsid w:val="00E27E3F"/>
    <w:rsid w:val="00E27F5A"/>
    <w:rsid w:val="00E312C2"/>
    <w:rsid w:val="00E31BDF"/>
    <w:rsid w:val="00E40203"/>
    <w:rsid w:val="00E43202"/>
    <w:rsid w:val="00E47E02"/>
    <w:rsid w:val="00E50CBC"/>
    <w:rsid w:val="00E50F14"/>
    <w:rsid w:val="00E518AB"/>
    <w:rsid w:val="00E51DE6"/>
    <w:rsid w:val="00E57F20"/>
    <w:rsid w:val="00E60496"/>
    <w:rsid w:val="00E62233"/>
    <w:rsid w:val="00E65AF3"/>
    <w:rsid w:val="00E70909"/>
    <w:rsid w:val="00E70E28"/>
    <w:rsid w:val="00E71C43"/>
    <w:rsid w:val="00E71F81"/>
    <w:rsid w:val="00E75CDF"/>
    <w:rsid w:val="00E7634E"/>
    <w:rsid w:val="00E77000"/>
    <w:rsid w:val="00E831EF"/>
    <w:rsid w:val="00E84C05"/>
    <w:rsid w:val="00E87E93"/>
    <w:rsid w:val="00E9330C"/>
    <w:rsid w:val="00EA071F"/>
    <w:rsid w:val="00EA3178"/>
    <w:rsid w:val="00EB14CA"/>
    <w:rsid w:val="00EB33BA"/>
    <w:rsid w:val="00EB41AD"/>
    <w:rsid w:val="00EB58FD"/>
    <w:rsid w:val="00EB7A2D"/>
    <w:rsid w:val="00EC5A58"/>
    <w:rsid w:val="00EC60B1"/>
    <w:rsid w:val="00ED24C6"/>
    <w:rsid w:val="00ED391F"/>
    <w:rsid w:val="00ED446B"/>
    <w:rsid w:val="00ED54B8"/>
    <w:rsid w:val="00ED65F7"/>
    <w:rsid w:val="00ED76C8"/>
    <w:rsid w:val="00ED7B80"/>
    <w:rsid w:val="00EE2272"/>
    <w:rsid w:val="00EE311B"/>
    <w:rsid w:val="00EE4F20"/>
    <w:rsid w:val="00EF5796"/>
    <w:rsid w:val="00EF719D"/>
    <w:rsid w:val="00F02595"/>
    <w:rsid w:val="00F025A4"/>
    <w:rsid w:val="00F12757"/>
    <w:rsid w:val="00F12F56"/>
    <w:rsid w:val="00F13F01"/>
    <w:rsid w:val="00F16D66"/>
    <w:rsid w:val="00F1721F"/>
    <w:rsid w:val="00F2003D"/>
    <w:rsid w:val="00F20F5A"/>
    <w:rsid w:val="00F22A88"/>
    <w:rsid w:val="00F2690B"/>
    <w:rsid w:val="00F26B8A"/>
    <w:rsid w:val="00F27F82"/>
    <w:rsid w:val="00F303FA"/>
    <w:rsid w:val="00F32FB5"/>
    <w:rsid w:val="00F339A0"/>
    <w:rsid w:val="00F414BD"/>
    <w:rsid w:val="00F4196D"/>
    <w:rsid w:val="00F41F5A"/>
    <w:rsid w:val="00F42F1C"/>
    <w:rsid w:val="00F441AB"/>
    <w:rsid w:val="00F448C5"/>
    <w:rsid w:val="00F45BCE"/>
    <w:rsid w:val="00F464FC"/>
    <w:rsid w:val="00F53A3F"/>
    <w:rsid w:val="00F55ACE"/>
    <w:rsid w:val="00F61B9D"/>
    <w:rsid w:val="00F61BBD"/>
    <w:rsid w:val="00F651CC"/>
    <w:rsid w:val="00F67E0D"/>
    <w:rsid w:val="00F748EC"/>
    <w:rsid w:val="00F74B3B"/>
    <w:rsid w:val="00F760BB"/>
    <w:rsid w:val="00F8080E"/>
    <w:rsid w:val="00F90A63"/>
    <w:rsid w:val="00F91049"/>
    <w:rsid w:val="00F95A48"/>
    <w:rsid w:val="00FA152D"/>
    <w:rsid w:val="00FA2D69"/>
    <w:rsid w:val="00FA3398"/>
    <w:rsid w:val="00FA485A"/>
    <w:rsid w:val="00FA53CF"/>
    <w:rsid w:val="00FA58AD"/>
    <w:rsid w:val="00FA659A"/>
    <w:rsid w:val="00FA707E"/>
    <w:rsid w:val="00FB55FA"/>
    <w:rsid w:val="00FB6A02"/>
    <w:rsid w:val="00FC0192"/>
    <w:rsid w:val="00FC21B3"/>
    <w:rsid w:val="00FC3B36"/>
    <w:rsid w:val="00FC75AF"/>
    <w:rsid w:val="00FC7F83"/>
    <w:rsid w:val="00FD0874"/>
    <w:rsid w:val="00FD2B98"/>
    <w:rsid w:val="00FD6A2F"/>
    <w:rsid w:val="00FE0296"/>
    <w:rsid w:val="00FE0F01"/>
    <w:rsid w:val="00FE10A6"/>
    <w:rsid w:val="00FE321D"/>
    <w:rsid w:val="00FE367D"/>
    <w:rsid w:val="00FF4579"/>
    <w:rsid w:val="00FF70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F619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DA"/>
    <w:pPr>
      <w:spacing w:before="120" w:after="120" w:line="480" w:lineRule="auto"/>
    </w:pPr>
    <w:rPr>
      <w:rFonts w:ascii="Times New Roman" w:hAnsi="Times New Roman" w:cs="Times New Roman"/>
    </w:rPr>
  </w:style>
  <w:style w:type="paragraph" w:styleId="Heading1">
    <w:name w:val="heading 1"/>
    <w:basedOn w:val="Normal"/>
    <w:next w:val="Normal"/>
    <w:link w:val="Heading1Char"/>
    <w:uiPriority w:val="9"/>
    <w:qFormat/>
    <w:rsid w:val="001938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8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68D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468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A0"/>
    <w:pPr>
      <w:spacing w:after="160" w:line="259" w:lineRule="auto"/>
      <w:ind w:left="720"/>
      <w:contextualSpacing/>
    </w:pPr>
    <w:rPr>
      <w:rFonts w:asciiTheme="minorHAnsi" w:hAnsiTheme="minorHAnsi" w:cstheme="minorBidi"/>
      <w:sz w:val="22"/>
      <w:szCs w:val="22"/>
      <w:lang w:val="en-GB"/>
    </w:rPr>
  </w:style>
  <w:style w:type="paragraph" w:styleId="Header">
    <w:name w:val="header"/>
    <w:basedOn w:val="Normal"/>
    <w:link w:val="HeaderChar"/>
    <w:uiPriority w:val="99"/>
    <w:unhideWhenUsed/>
    <w:rsid w:val="006459A0"/>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6459A0"/>
    <w:rPr>
      <w:sz w:val="22"/>
      <w:szCs w:val="22"/>
      <w:lang w:val="en-GB"/>
    </w:rPr>
  </w:style>
  <w:style w:type="paragraph" w:styleId="Footer">
    <w:name w:val="footer"/>
    <w:basedOn w:val="Normal"/>
    <w:link w:val="FooterChar"/>
    <w:uiPriority w:val="99"/>
    <w:unhideWhenUsed/>
    <w:rsid w:val="006459A0"/>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6459A0"/>
    <w:rPr>
      <w:sz w:val="22"/>
      <w:szCs w:val="22"/>
      <w:lang w:val="en-GB"/>
    </w:rPr>
  </w:style>
  <w:style w:type="character" w:styleId="PageNumber">
    <w:name w:val="page number"/>
    <w:basedOn w:val="DefaultParagraphFont"/>
    <w:uiPriority w:val="99"/>
    <w:semiHidden/>
    <w:unhideWhenUsed/>
    <w:rsid w:val="006459A0"/>
  </w:style>
  <w:style w:type="paragraph" w:styleId="FootnoteText">
    <w:name w:val="footnote text"/>
    <w:basedOn w:val="Normal"/>
    <w:link w:val="FootnoteTextChar"/>
    <w:uiPriority w:val="99"/>
    <w:unhideWhenUsed/>
    <w:rsid w:val="00B97BDF"/>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B97BDF"/>
    <w:rPr>
      <w:lang w:val="en-GB"/>
    </w:rPr>
  </w:style>
  <w:style w:type="character" w:styleId="FootnoteReference">
    <w:name w:val="footnote reference"/>
    <w:basedOn w:val="DefaultParagraphFont"/>
    <w:uiPriority w:val="99"/>
    <w:unhideWhenUsed/>
    <w:rsid w:val="00B97BDF"/>
    <w:rPr>
      <w:vertAlign w:val="superscript"/>
    </w:rPr>
  </w:style>
  <w:style w:type="character" w:styleId="Hyperlink">
    <w:name w:val="Hyperlink"/>
    <w:basedOn w:val="DefaultParagraphFont"/>
    <w:uiPriority w:val="99"/>
    <w:unhideWhenUsed/>
    <w:rsid w:val="001558BB"/>
    <w:rPr>
      <w:color w:val="0000FF"/>
      <w:u w:val="single"/>
    </w:rPr>
  </w:style>
  <w:style w:type="table" w:styleId="TableGrid">
    <w:name w:val="Table Grid"/>
    <w:basedOn w:val="TableNormal"/>
    <w:uiPriority w:val="39"/>
    <w:rsid w:val="00D0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4752"/>
    <w:rPr>
      <w:color w:val="954F72" w:themeColor="followedHyperlink"/>
      <w:u w:val="single"/>
    </w:rPr>
  </w:style>
  <w:style w:type="paragraph" w:styleId="BalloonText">
    <w:name w:val="Balloon Text"/>
    <w:basedOn w:val="Normal"/>
    <w:link w:val="BalloonTextChar"/>
    <w:uiPriority w:val="99"/>
    <w:semiHidden/>
    <w:unhideWhenUsed/>
    <w:rsid w:val="00116503"/>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116503"/>
    <w:rPr>
      <w:rFonts w:ascii="Segoe UI" w:hAnsi="Segoe UI" w:cs="Segoe UI"/>
      <w:sz w:val="18"/>
      <w:szCs w:val="18"/>
      <w:lang w:val="en-GB"/>
    </w:rPr>
  </w:style>
  <w:style w:type="character" w:styleId="CommentReference">
    <w:name w:val="annotation reference"/>
    <w:basedOn w:val="DefaultParagraphFont"/>
    <w:uiPriority w:val="99"/>
    <w:semiHidden/>
    <w:unhideWhenUsed/>
    <w:rsid w:val="00D81A62"/>
    <w:rPr>
      <w:sz w:val="16"/>
      <w:szCs w:val="16"/>
    </w:rPr>
  </w:style>
  <w:style w:type="paragraph" w:styleId="CommentText">
    <w:name w:val="annotation text"/>
    <w:basedOn w:val="Normal"/>
    <w:link w:val="CommentTextChar"/>
    <w:uiPriority w:val="99"/>
    <w:unhideWhenUsed/>
    <w:rsid w:val="00D81A62"/>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D81A62"/>
    <w:rPr>
      <w:sz w:val="20"/>
      <w:szCs w:val="20"/>
      <w:lang w:val="en-GB"/>
    </w:rPr>
  </w:style>
  <w:style w:type="paragraph" w:styleId="CommentSubject">
    <w:name w:val="annotation subject"/>
    <w:basedOn w:val="CommentText"/>
    <w:next w:val="CommentText"/>
    <w:link w:val="CommentSubjectChar"/>
    <w:uiPriority w:val="99"/>
    <w:semiHidden/>
    <w:unhideWhenUsed/>
    <w:rsid w:val="00D81A62"/>
    <w:rPr>
      <w:b/>
      <w:bCs/>
    </w:rPr>
  </w:style>
  <w:style w:type="character" w:customStyle="1" w:styleId="CommentSubjectChar">
    <w:name w:val="Comment Subject Char"/>
    <w:basedOn w:val="CommentTextChar"/>
    <w:link w:val="CommentSubject"/>
    <w:uiPriority w:val="99"/>
    <w:semiHidden/>
    <w:rsid w:val="00D81A62"/>
    <w:rPr>
      <w:b/>
      <w:bCs/>
      <w:sz w:val="20"/>
      <w:szCs w:val="20"/>
      <w:lang w:val="en-GB"/>
    </w:rPr>
  </w:style>
  <w:style w:type="paragraph" w:styleId="Revision">
    <w:name w:val="Revision"/>
    <w:hidden/>
    <w:uiPriority w:val="99"/>
    <w:semiHidden/>
    <w:rsid w:val="002B1CC9"/>
    <w:rPr>
      <w:sz w:val="22"/>
      <w:szCs w:val="22"/>
      <w:lang w:val="en-GB"/>
    </w:rPr>
  </w:style>
  <w:style w:type="paragraph" w:customStyle="1" w:styleId="p1">
    <w:name w:val="p1"/>
    <w:basedOn w:val="Normal"/>
    <w:rsid w:val="005C6D6B"/>
    <w:pPr>
      <w:spacing w:line="152" w:lineRule="atLeast"/>
      <w:ind w:left="330" w:hanging="330"/>
    </w:pPr>
    <w:rPr>
      <w:rFonts w:ascii="Calibri Light" w:hAnsi="Calibri Light"/>
      <w:sz w:val="15"/>
      <w:szCs w:val="15"/>
    </w:rPr>
  </w:style>
  <w:style w:type="character" w:customStyle="1" w:styleId="s1">
    <w:name w:val="s1"/>
    <w:basedOn w:val="DefaultParagraphFont"/>
    <w:rsid w:val="005C6D6B"/>
    <w:rPr>
      <w:rFonts w:ascii="Calibri Light" w:hAnsi="Calibri Light" w:hint="default"/>
      <w:sz w:val="18"/>
      <w:szCs w:val="18"/>
    </w:rPr>
  </w:style>
  <w:style w:type="character" w:customStyle="1" w:styleId="apple-converted-space">
    <w:name w:val="apple-converted-space"/>
    <w:basedOn w:val="DefaultParagraphFont"/>
    <w:rsid w:val="005C6D6B"/>
  </w:style>
  <w:style w:type="paragraph" w:styleId="NormalWeb">
    <w:name w:val="Normal (Web)"/>
    <w:basedOn w:val="Normal"/>
    <w:uiPriority w:val="99"/>
    <w:semiHidden/>
    <w:unhideWhenUsed/>
    <w:rsid w:val="006E1CA6"/>
    <w:pPr>
      <w:spacing w:before="100" w:beforeAutospacing="1" w:after="100" w:afterAutospacing="1"/>
    </w:pPr>
    <w:rPr>
      <w:rFonts w:eastAsia="Times New Roman"/>
      <w:lang w:eastAsia="zh-CN"/>
    </w:rPr>
  </w:style>
  <w:style w:type="character" w:customStyle="1" w:styleId="Heading2Char">
    <w:name w:val="Heading 2 Char"/>
    <w:basedOn w:val="DefaultParagraphFont"/>
    <w:link w:val="Heading2"/>
    <w:uiPriority w:val="9"/>
    <w:rsid w:val="0019383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3832"/>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8468DA"/>
    <w:pPr>
      <w:spacing w:after="200" w:line="240" w:lineRule="auto"/>
      <w:jc w:val="center"/>
    </w:pPr>
    <w:rPr>
      <w:b/>
      <w:i/>
      <w:iCs/>
      <w:color w:val="44546A" w:themeColor="text2"/>
      <w:szCs w:val="18"/>
      <w:lang w:val="en-GB"/>
    </w:rPr>
  </w:style>
  <w:style w:type="table" w:styleId="TableGridLight">
    <w:name w:val="Grid Table Light"/>
    <w:basedOn w:val="TableNormal"/>
    <w:uiPriority w:val="40"/>
    <w:rsid w:val="00D170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170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8468D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468D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9129">
      <w:bodyDiv w:val="1"/>
      <w:marLeft w:val="0"/>
      <w:marRight w:val="0"/>
      <w:marTop w:val="0"/>
      <w:marBottom w:val="0"/>
      <w:divBdr>
        <w:top w:val="none" w:sz="0" w:space="0" w:color="auto"/>
        <w:left w:val="none" w:sz="0" w:space="0" w:color="auto"/>
        <w:bottom w:val="none" w:sz="0" w:space="0" w:color="auto"/>
        <w:right w:val="none" w:sz="0" w:space="0" w:color="auto"/>
      </w:divBdr>
    </w:div>
    <w:div w:id="232005488">
      <w:bodyDiv w:val="1"/>
      <w:marLeft w:val="0"/>
      <w:marRight w:val="0"/>
      <w:marTop w:val="0"/>
      <w:marBottom w:val="0"/>
      <w:divBdr>
        <w:top w:val="none" w:sz="0" w:space="0" w:color="auto"/>
        <w:left w:val="none" w:sz="0" w:space="0" w:color="auto"/>
        <w:bottom w:val="none" w:sz="0" w:space="0" w:color="auto"/>
        <w:right w:val="none" w:sz="0" w:space="0" w:color="auto"/>
      </w:divBdr>
    </w:div>
    <w:div w:id="323363139">
      <w:bodyDiv w:val="1"/>
      <w:marLeft w:val="0"/>
      <w:marRight w:val="0"/>
      <w:marTop w:val="0"/>
      <w:marBottom w:val="0"/>
      <w:divBdr>
        <w:top w:val="none" w:sz="0" w:space="0" w:color="auto"/>
        <w:left w:val="none" w:sz="0" w:space="0" w:color="auto"/>
        <w:bottom w:val="none" w:sz="0" w:space="0" w:color="auto"/>
        <w:right w:val="none" w:sz="0" w:space="0" w:color="auto"/>
      </w:divBdr>
    </w:div>
    <w:div w:id="325281851">
      <w:bodyDiv w:val="1"/>
      <w:marLeft w:val="0"/>
      <w:marRight w:val="0"/>
      <w:marTop w:val="0"/>
      <w:marBottom w:val="0"/>
      <w:divBdr>
        <w:top w:val="none" w:sz="0" w:space="0" w:color="auto"/>
        <w:left w:val="none" w:sz="0" w:space="0" w:color="auto"/>
        <w:bottom w:val="none" w:sz="0" w:space="0" w:color="auto"/>
        <w:right w:val="none" w:sz="0" w:space="0" w:color="auto"/>
      </w:divBdr>
    </w:div>
    <w:div w:id="356471654">
      <w:bodyDiv w:val="1"/>
      <w:marLeft w:val="0"/>
      <w:marRight w:val="0"/>
      <w:marTop w:val="0"/>
      <w:marBottom w:val="0"/>
      <w:divBdr>
        <w:top w:val="none" w:sz="0" w:space="0" w:color="auto"/>
        <w:left w:val="none" w:sz="0" w:space="0" w:color="auto"/>
        <w:bottom w:val="none" w:sz="0" w:space="0" w:color="auto"/>
        <w:right w:val="none" w:sz="0" w:space="0" w:color="auto"/>
      </w:divBdr>
    </w:div>
    <w:div w:id="356737861">
      <w:bodyDiv w:val="1"/>
      <w:marLeft w:val="0"/>
      <w:marRight w:val="0"/>
      <w:marTop w:val="0"/>
      <w:marBottom w:val="0"/>
      <w:divBdr>
        <w:top w:val="none" w:sz="0" w:space="0" w:color="auto"/>
        <w:left w:val="none" w:sz="0" w:space="0" w:color="auto"/>
        <w:bottom w:val="none" w:sz="0" w:space="0" w:color="auto"/>
        <w:right w:val="none" w:sz="0" w:space="0" w:color="auto"/>
      </w:divBdr>
    </w:div>
    <w:div w:id="481966984">
      <w:bodyDiv w:val="1"/>
      <w:marLeft w:val="0"/>
      <w:marRight w:val="0"/>
      <w:marTop w:val="0"/>
      <w:marBottom w:val="0"/>
      <w:divBdr>
        <w:top w:val="none" w:sz="0" w:space="0" w:color="auto"/>
        <w:left w:val="none" w:sz="0" w:space="0" w:color="auto"/>
        <w:bottom w:val="none" w:sz="0" w:space="0" w:color="auto"/>
        <w:right w:val="none" w:sz="0" w:space="0" w:color="auto"/>
      </w:divBdr>
    </w:div>
    <w:div w:id="494959013">
      <w:bodyDiv w:val="1"/>
      <w:marLeft w:val="0"/>
      <w:marRight w:val="0"/>
      <w:marTop w:val="0"/>
      <w:marBottom w:val="0"/>
      <w:divBdr>
        <w:top w:val="none" w:sz="0" w:space="0" w:color="auto"/>
        <w:left w:val="none" w:sz="0" w:space="0" w:color="auto"/>
        <w:bottom w:val="none" w:sz="0" w:space="0" w:color="auto"/>
        <w:right w:val="none" w:sz="0" w:space="0" w:color="auto"/>
      </w:divBdr>
    </w:div>
    <w:div w:id="560749361">
      <w:bodyDiv w:val="1"/>
      <w:marLeft w:val="0"/>
      <w:marRight w:val="0"/>
      <w:marTop w:val="0"/>
      <w:marBottom w:val="0"/>
      <w:divBdr>
        <w:top w:val="none" w:sz="0" w:space="0" w:color="auto"/>
        <w:left w:val="none" w:sz="0" w:space="0" w:color="auto"/>
        <w:bottom w:val="none" w:sz="0" w:space="0" w:color="auto"/>
        <w:right w:val="none" w:sz="0" w:space="0" w:color="auto"/>
      </w:divBdr>
      <w:divsChild>
        <w:div w:id="844324139">
          <w:marLeft w:val="0"/>
          <w:marRight w:val="0"/>
          <w:marTop w:val="0"/>
          <w:marBottom w:val="0"/>
          <w:divBdr>
            <w:top w:val="none" w:sz="0" w:space="0" w:color="auto"/>
            <w:left w:val="none" w:sz="0" w:space="0" w:color="auto"/>
            <w:bottom w:val="none" w:sz="0" w:space="0" w:color="auto"/>
            <w:right w:val="none" w:sz="0" w:space="0" w:color="auto"/>
          </w:divBdr>
        </w:div>
        <w:div w:id="1902062309">
          <w:marLeft w:val="0"/>
          <w:marRight w:val="0"/>
          <w:marTop w:val="0"/>
          <w:marBottom w:val="0"/>
          <w:divBdr>
            <w:top w:val="none" w:sz="0" w:space="0" w:color="auto"/>
            <w:left w:val="none" w:sz="0" w:space="0" w:color="auto"/>
            <w:bottom w:val="none" w:sz="0" w:space="0" w:color="auto"/>
            <w:right w:val="none" w:sz="0" w:space="0" w:color="auto"/>
          </w:divBdr>
        </w:div>
      </w:divsChild>
    </w:div>
    <w:div w:id="681979182">
      <w:bodyDiv w:val="1"/>
      <w:marLeft w:val="0"/>
      <w:marRight w:val="0"/>
      <w:marTop w:val="0"/>
      <w:marBottom w:val="0"/>
      <w:divBdr>
        <w:top w:val="none" w:sz="0" w:space="0" w:color="auto"/>
        <w:left w:val="none" w:sz="0" w:space="0" w:color="auto"/>
        <w:bottom w:val="none" w:sz="0" w:space="0" w:color="auto"/>
        <w:right w:val="none" w:sz="0" w:space="0" w:color="auto"/>
      </w:divBdr>
    </w:div>
    <w:div w:id="687021944">
      <w:bodyDiv w:val="1"/>
      <w:marLeft w:val="0"/>
      <w:marRight w:val="0"/>
      <w:marTop w:val="0"/>
      <w:marBottom w:val="0"/>
      <w:divBdr>
        <w:top w:val="none" w:sz="0" w:space="0" w:color="auto"/>
        <w:left w:val="none" w:sz="0" w:space="0" w:color="auto"/>
        <w:bottom w:val="none" w:sz="0" w:space="0" w:color="auto"/>
        <w:right w:val="none" w:sz="0" w:space="0" w:color="auto"/>
      </w:divBdr>
    </w:div>
    <w:div w:id="687831898">
      <w:bodyDiv w:val="1"/>
      <w:marLeft w:val="0"/>
      <w:marRight w:val="0"/>
      <w:marTop w:val="0"/>
      <w:marBottom w:val="0"/>
      <w:divBdr>
        <w:top w:val="none" w:sz="0" w:space="0" w:color="auto"/>
        <w:left w:val="none" w:sz="0" w:space="0" w:color="auto"/>
        <w:bottom w:val="none" w:sz="0" w:space="0" w:color="auto"/>
        <w:right w:val="none" w:sz="0" w:space="0" w:color="auto"/>
      </w:divBdr>
    </w:div>
    <w:div w:id="734594074">
      <w:bodyDiv w:val="1"/>
      <w:marLeft w:val="0"/>
      <w:marRight w:val="0"/>
      <w:marTop w:val="0"/>
      <w:marBottom w:val="0"/>
      <w:divBdr>
        <w:top w:val="none" w:sz="0" w:space="0" w:color="auto"/>
        <w:left w:val="none" w:sz="0" w:space="0" w:color="auto"/>
        <w:bottom w:val="none" w:sz="0" w:space="0" w:color="auto"/>
        <w:right w:val="none" w:sz="0" w:space="0" w:color="auto"/>
      </w:divBdr>
    </w:div>
    <w:div w:id="746920614">
      <w:bodyDiv w:val="1"/>
      <w:marLeft w:val="0"/>
      <w:marRight w:val="0"/>
      <w:marTop w:val="0"/>
      <w:marBottom w:val="0"/>
      <w:divBdr>
        <w:top w:val="none" w:sz="0" w:space="0" w:color="auto"/>
        <w:left w:val="none" w:sz="0" w:space="0" w:color="auto"/>
        <w:bottom w:val="none" w:sz="0" w:space="0" w:color="auto"/>
        <w:right w:val="none" w:sz="0" w:space="0" w:color="auto"/>
      </w:divBdr>
      <w:divsChild>
        <w:div w:id="34742017">
          <w:marLeft w:val="0"/>
          <w:marRight w:val="0"/>
          <w:marTop w:val="0"/>
          <w:marBottom w:val="0"/>
          <w:divBdr>
            <w:top w:val="none" w:sz="0" w:space="0" w:color="auto"/>
            <w:left w:val="none" w:sz="0" w:space="0" w:color="auto"/>
            <w:bottom w:val="none" w:sz="0" w:space="0" w:color="auto"/>
            <w:right w:val="none" w:sz="0" w:space="0" w:color="auto"/>
          </w:divBdr>
        </w:div>
        <w:div w:id="87581082">
          <w:marLeft w:val="0"/>
          <w:marRight w:val="0"/>
          <w:marTop w:val="0"/>
          <w:marBottom w:val="0"/>
          <w:divBdr>
            <w:top w:val="none" w:sz="0" w:space="0" w:color="auto"/>
            <w:left w:val="none" w:sz="0" w:space="0" w:color="auto"/>
            <w:bottom w:val="none" w:sz="0" w:space="0" w:color="auto"/>
            <w:right w:val="none" w:sz="0" w:space="0" w:color="auto"/>
          </w:divBdr>
        </w:div>
        <w:div w:id="252131484">
          <w:marLeft w:val="0"/>
          <w:marRight w:val="0"/>
          <w:marTop w:val="0"/>
          <w:marBottom w:val="0"/>
          <w:divBdr>
            <w:top w:val="none" w:sz="0" w:space="0" w:color="auto"/>
            <w:left w:val="none" w:sz="0" w:space="0" w:color="auto"/>
            <w:bottom w:val="none" w:sz="0" w:space="0" w:color="auto"/>
            <w:right w:val="none" w:sz="0" w:space="0" w:color="auto"/>
          </w:divBdr>
        </w:div>
        <w:div w:id="485897497">
          <w:marLeft w:val="0"/>
          <w:marRight w:val="0"/>
          <w:marTop w:val="0"/>
          <w:marBottom w:val="0"/>
          <w:divBdr>
            <w:top w:val="none" w:sz="0" w:space="0" w:color="auto"/>
            <w:left w:val="none" w:sz="0" w:space="0" w:color="auto"/>
            <w:bottom w:val="none" w:sz="0" w:space="0" w:color="auto"/>
            <w:right w:val="none" w:sz="0" w:space="0" w:color="auto"/>
          </w:divBdr>
        </w:div>
        <w:div w:id="889268699">
          <w:marLeft w:val="0"/>
          <w:marRight w:val="0"/>
          <w:marTop w:val="0"/>
          <w:marBottom w:val="0"/>
          <w:divBdr>
            <w:top w:val="none" w:sz="0" w:space="0" w:color="auto"/>
            <w:left w:val="none" w:sz="0" w:space="0" w:color="auto"/>
            <w:bottom w:val="none" w:sz="0" w:space="0" w:color="auto"/>
            <w:right w:val="none" w:sz="0" w:space="0" w:color="auto"/>
          </w:divBdr>
        </w:div>
        <w:div w:id="1322192795">
          <w:marLeft w:val="0"/>
          <w:marRight w:val="0"/>
          <w:marTop w:val="0"/>
          <w:marBottom w:val="0"/>
          <w:divBdr>
            <w:top w:val="none" w:sz="0" w:space="0" w:color="auto"/>
            <w:left w:val="none" w:sz="0" w:space="0" w:color="auto"/>
            <w:bottom w:val="none" w:sz="0" w:space="0" w:color="auto"/>
            <w:right w:val="none" w:sz="0" w:space="0" w:color="auto"/>
          </w:divBdr>
        </w:div>
        <w:div w:id="1474759624">
          <w:marLeft w:val="0"/>
          <w:marRight w:val="0"/>
          <w:marTop w:val="0"/>
          <w:marBottom w:val="0"/>
          <w:divBdr>
            <w:top w:val="none" w:sz="0" w:space="0" w:color="auto"/>
            <w:left w:val="none" w:sz="0" w:space="0" w:color="auto"/>
            <w:bottom w:val="none" w:sz="0" w:space="0" w:color="auto"/>
            <w:right w:val="none" w:sz="0" w:space="0" w:color="auto"/>
          </w:divBdr>
        </w:div>
        <w:div w:id="1954362009">
          <w:marLeft w:val="0"/>
          <w:marRight w:val="0"/>
          <w:marTop w:val="0"/>
          <w:marBottom w:val="0"/>
          <w:divBdr>
            <w:top w:val="none" w:sz="0" w:space="0" w:color="auto"/>
            <w:left w:val="none" w:sz="0" w:space="0" w:color="auto"/>
            <w:bottom w:val="none" w:sz="0" w:space="0" w:color="auto"/>
            <w:right w:val="none" w:sz="0" w:space="0" w:color="auto"/>
          </w:divBdr>
        </w:div>
      </w:divsChild>
    </w:div>
    <w:div w:id="786044109">
      <w:bodyDiv w:val="1"/>
      <w:marLeft w:val="0"/>
      <w:marRight w:val="0"/>
      <w:marTop w:val="0"/>
      <w:marBottom w:val="0"/>
      <w:divBdr>
        <w:top w:val="none" w:sz="0" w:space="0" w:color="auto"/>
        <w:left w:val="none" w:sz="0" w:space="0" w:color="auto"/>
        <w:bottom w:val="none" w:sz="0" w:space="0" w:color="auto"/>
        <w:right w:val="none" w:sz="0" w:space="0" w:color="auto"/>
      </w:divBdr>
    </w:div>
    <w:div w:id="807287903">
      <w:bodyDiv w:val="1"/>
      <w:marLeft w:val="0"/>
      <w:marRight w:val="0"/>
      <w:marTop w:val="0"/>
      <w:marBottom w:val="0"/>
      <w:divBdr>
        <w:top w:val="none" w:sz="0" w:space="0" w:color="auto"/>
        <w:left w:val="none" w:sz="0" w:space="0" w:color="auto"/>
        <w:bottom w:val="none" w:sz="0" w:space="0" w:color="auto"/>
        <w:right w:val="none" w:sz="0" w:space="0" w:color="auto"/>
      </w:divBdr>
    </w:div>
    <w:div w:id="879711093">
      <w:bodyDiv w:val="1"/>
      <w:marLeft w:val="0"/>
      <w:marRight w:val="0"/>
      <w:marTop w:val="0"/>
      <w:marBottom w:val="0"/>
      <w:divBdr>
        <w:top w:val="none" w:sz="0" w:space="0" w:color="auto"/>
        <w:left w:val="none" w:sz="0" w:space="0" w:color="auto"/>
        <w:bottom w:val="none" w:sz="0" w:space="0" w:color="auto"/>
        <w:right w:val="none" w:sz="0" w:space="0" w:color="auto"/>
      </w:divBdr>
    </w:div>
    <w:div w:id="978609780">
      <w:bodyDiv w:val="1"/>
      <w:marLeft w:val="0"/>
      <w:marRight w:val="0"/>
      <w:marTop w:val="0"/>
      <w:marBottom w:val="0"/>
      <w:divBdr>
        <w:top w:val="none" w:sz="0" w:space="0" w:color="auto"/>
        <w:left w:val="none" w:sz="0" w:space="0" w:color="auto"/>
        <w:bottom w:val="none" w:sz="0" w:space="0" w:color="auto"/>
        <w:right w:val="none" w:sz="0" w:space="0" w:color="auto"/>
      </w:divBdr>
    </w:div>
    <w:div w:id="1062559470">
      <w:bodyDiv w:val="1"/>
      <w:marLeft w:val="0"/>
      <w:marRight w:val="0"/>
      <w:marTop w:val="0"/>
      <w:marBottom w:val="0"/>
      <w:divBdr>
        <w:top w:val="none" w:sz="0" w:space="0" w:color="auto"/>
        <w:left w:val="none" w:sz="0" w:space="0" w:color="auto"/>
        <w:bottom w:val="none" w:sz="0" w:space="0" w:color="auto"/>
        <w:right w:val="none" w:sz="0" w:space="0" w:color="auto"/>
      </w:divBdr>
    </w:div>
    <w:div w:id="1131362191">
      <w:bodyDiv w:val="1"/>
      <w:marLeft w:val="0"/>
      <w:marRight w:val="0"/>
      <w:marTop w:val="0"/>
      <w:marBottom w:val="0"/>
      <w:divBdr>
        <w:top w:val="none" w:sz="0" w:space="0" w:color="auto"/>
        <w:left w:val="none" w:sz="0" w:space="0" w:color="auto"/>
        <w:bottom w:val="none" w:sz="0" w:space="0" w:color="auto"/>
        <w:right w:val="none" w:sz="0" w:space="0" w:color="auto"/>
      </w:divBdr>
    </w:div>
    <w:div w:id="1252008322">
      <w:bodyDiv w:val="1"/>
      <w:marLeft w:val="0"/>
      <w:marRight w:val="0"/>
      <w:marTop w:val="0"/>
      <w:marBottom w:val="0"/>
      <w:divBdr>
        <w:top w:val="none" w:sz="0" w:space="0" w:color="auto"/>
        <w:left w:val="none" w:sz="0" w:space="0" w:color="auto"/>
        <w:bottom w:val="none" w:sz="0" w:space="0" w:color="auto"/>
        <w:right w:val="none" w:sz="0" w:space="0" w:color="auto"/>
      </w:divBdr>
    </w:div>
    <w:div w:id="1326863311">
      <w:bodyDiv w:val="1"/>
      <w:marLeft w:val="0"/>
      <w:marRight w:val="0"/>
      <w:marTop w:val="0"/>
      <w:marBottom w:val="0"/>
      <w:divBdr>
        <w:top w:val="none" w:sz="0" w:space="0" w:color="auto"/>
        <w:left w:val="none" w:sz="0" w:space="0" w:color="auto"/>
        <w:bottom w:val="none" w:sz="0" w:space="0" w:color="auto"/>
        <w:right w:val="none" w:sz="0" w:space="0" w:color="auto"/>
      </w:divBdr>
    </w:div>
    <w:div w:id="1355811120">
      <w:bodyDiv w:val="1"/>
      <w:marLeft w:val="0"/>
      <w:marRight w:val="0"/>
      <w:marTop w:val="0"/>
      <w:marBottom w:val="0"/>
      <w:divBdr>
        <w:top w:val="none" w:sz="0" w:space="0" w:color="auto"/>
        <w:left w:val="none" w:sz="0" w:space="0" w:color="auto"/>
        <w:bottom w:val="none" w:sz="0" w:space="0" w:color="auto"/>
        <w:right w:val="none" w:sz="0" w:space="0" w:color="auto"/>
      </w:divBdr>
    </w:div>
    <w:div w:id="1423335728">
      <w:bodyDiv w:val="1"/>
      <w:marLeft w:val="0"/>
      <w:marRight w:val="0"/>
      <w:marTop w:val="0"/>
      <w:marBottom w:val="0"/>
      <w:divBdr>
        <w:top w:val="none" w:sz="0" w:space="0" w:color="auto"/>
        <w:left w:val="none" w:sz="0" w:space="0" w:color="auto"/>
        <w:bottom w:val="none" w:sz="0" w:space="0" w:color="auto"/>
        <w:right w:val="none" w:sz="0" w:space="0" w:color="auto"/>
      </w:divBdr>
    </w:div>
    <w:div w:id="1660188659">
      <w:bodyDiv w:val="1"/>
      <w:marLeft w:val="0"/>
      <w:marRight w:val="0"/>
      <w:marTop w:val="0"/>
      <w:marBottom w:val="0"/>
      <w:divBdr>
        <w:top w:val="none" w:sz="0" w:space="0" w:color="auto"/>
        <w:left w:val="none" w:sz="0" w:space="0" w:color="auto"/>
        <w:bottom w:val="none" w:sz="0" w:space="0" w:color="auto"/>
        <w:right w:val="none" w:sz="0" w:space="0" w:color="auto"/>
      </w:divBdr>
    </w:div>
    <w:div w:id="1693146753">
      <w:bodyDiv w:val="1"/>
      <w:marLeft w:val="0"/>
      <w:marRight w:val="0"/>
      <w:marTop w:val="0"/>
      <w:marBottom w:val="0"/>
      <w:divBdr>
        <w:top w:val="none" w:sz="0" w:space="0" w:color="auto"/>
        <w:left w:val="none" w:sz="0" w:space="0" w:color="auto"/>
        <w:bottom w:val="none" w:sz="0" w:space="0" w:color="auto"/>
        <w:right w:val="none" w:sz="0" w:space="0" w:color="auto"/>
      </w:divBdr>
    </w:div>
    <w:div w:id="1821072874">
      <w:bodyDiv w:val="1"/>
      <w:marLeft w:val="0"/>
      <w:marRight w:val="0"/>
      <w:marTop w:val="0"/>
      <w:marBottom w:val="0"/>
      <w:divBdr>
        <w:top w:val="none" w:sz="0" w:space="0" w:color="auto"/>
        <w:left w:val="none" w:sz="0" w:space="0" w:color="auto"/>
        <w:bottom w:val="none" w:sz="0" w:space="0" w:color="auto"/>
        <w:right w:val="none" w:sz="0" w:space="0" w:color="auto"/>
      </w:divBdr>
    </w:div>
    <w:div w:id="1902138002">
      <w:bodyDiv w:val="1"/>
      <w:marLeft w:val="0"/>
      <w:marRight w:val="0"/>
      <w:marTop w:val="0"/>
      <w:marBottom w:val="0"/>
      <w:divBdr>
        <w:top w:val="none" w:sz="0" w:space="0" w:color="auto"/>
        <w:left w:val="none" w:sz="0" w:space="0" w:color="auto"/>
        <w:bottom w:val="none" w:sz="0" w:space="0" w:color="auto"/>
        <w:right w:val="none" w:sz="0" w:space="0" w:color="auto"/>
      </w:divBdr>
    </w:div>
    <w:div w:id="1979259867">
      <w:bodyDiv w:val="1"/>
      <w:marLeft w:val="0"/>
      <w:marRight w:val="0"/>
      <w:marTop w:val="0"/>
      <w:marBottom w:val="0"/>
      <w:divBdr>
        <w:top w:val="none" w:sz="0" w:space="0" w:color="auto"/>
        <w:left w:val="none" w:sz="0" w:space="0" w:color="auto"/>
        <w:bottom w:val="none" w:sz="0" w:space="0" w:color="auto"/>
        <w:right w:val="none" w:sz="0" w:space="0" w:color="auto"/>
      </w:divBdr>
    </w:div>
    <w:div w:id="2063942921">
      <w:bodyDiv w:val="1"/>
      <w:marLeft w:val="0"/>
      <w:marRight w:val="0"/>
      <w:marTop w:val="0"/>
      <w:marBottom w:val="0"/>
      <w:divBdr>
        <w:top w:val="none" w:sz="0" w:space="0" w:color="auto"/>
        <w:left w:val="none" w:sz="0" w:space="0" w:color="auto"/>
        <w:bottom w:val="none" w:sz="0" w:space="0" w:color="auto"/>
        <w:right w:val="none" w:sz="0" w:space="0" w:color="auto"/>
      </w:divBdr>
    </w:div>
    <w:div w:id="2091150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t.com/content/fb66c818-49a4-11e6-b387-64ab0a67014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imi.tatlow-golden@open.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w.kuleuven.be/citip/blog/the-perils-of-app-development-compliance-with-api-terms-cond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hildrenscommissioner.gov.uk/wp-content/uploads/2017/06/Growing-Up-Digital-Taskforce-Report-January-2017_0.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ta.bps.org.uk/news-and-policy/ethics-guidelines-internet-mediated-research-2017"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702faf-b26c-4069-9abd-b0d6ffcc54b5">2NFW73KD5CKP-40-1483</_dlc_DocId>
    <_dlc_DocIdUrl xmlns="88702faf-b26c-4069-9abd-b0d6ffcc54b5">
      <Url>https://workspace.who.int/sites/EURO-LNGdocRequests/Translations/_layouts/15/DocIdRedir.aspx?ID=2NFW73KD5CKP-40-1483</Url>
      <Description>2NFW73KD5CKP-40-1483</Description>
    </_dlc_DocIdUrl>
    <LNG_x0020_Job_x0020_number xmlns="88702faf-b26c-4069-9abd-b0d6ffcc54b5">17-169</LNG_x0020_Job_x0020_number>
    <TRA_x0020_Language xmlns="88702faf-b26c-4069-9abd-b0d6ffcc54b5">English</TRA_x0020_Language>
  </documentManagement>
</p:properties>
</file>

<file path=customXml/item3.xml><?xml version="1.0" encoding="utf-8"?>
<ct:contentTypeSchema xmlns:ct="http://schemas.microsoft.com/office/2006/metadata/contentType" xmlns:ma="http://schemas.microsoft.com/office/2006/metadata/properties/metaAttributes" ct:_="" ma:_="" ma:contentTypeName="Translation Document" ma:contentTypeID="0x01010098AFFD90B87F5749971A6121A848C3F80075DFBF2798F2AE48A8C5B27E052611B7" ma:contentTypeVersion="8" ma:contentTypeDescription="Base Document type for uploading documents to a Translation Document Set" ma:contentTypeScope="" ma:versionID="175d3b25a1d47234653cce8754d5459d">
  <xsd:schema xmlns:xsd="http://www.w3.org/2001/XMLSchema" xmlns:xs="http://www.w3.org/2001/XMLSchema" xmlns:p="http://schemas.microsoft.com/office/2006/metadata/properties" xmlns:ns2="88702faf-b26c-4069-9abd-b0d6ffcc54b5" targetNamespace="http://schemas.microsoft.com/office/2006/metadata/properties" ma:root="true" ma:fieldsID="0a84ee506766408e013e730ce454257e" ns2:_="">
    <xsd:import namespace="88702faf-b26c-4069-9abd-b0d6ffcc54b5"/>
    <xsd:element name="properties">
      <xsd:complexType>
        <xsd:sequence>
          <xsd:element name="documentManagement">
            <xsd:complexType>
              <xsd:all>
                <xsd:element ref="ns2:_dlc_DocId" minOccurs="0"/>
                <xsd:element ref="ns2:_dlc_DocIdUrl" minOccurs="0"/>
                <xsd:element ref="ns2:_dlc_DocIdPersistId" minOccurs="0"/>
                <xsd:element ref="ns2:LNG_x0020_Job_x0020_number" minOccurs="0"/>
                <xsd:element ref="ns2:TRA_x0020_Langu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02faf-b26c-4069-9abd-b0d6ffcc54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NG_x0020_Job_x0020_number" ma:index="11" nillable="true" ma:displayName="LNG Job number" ma:internalName="LNG_x0020_Job_x0020_number">
      <xsd:simpleType>
        <xsd:restriction base="dms:Text">
          <xsd:maxLength value="255"/>
        </xsd:restriction>
      </xsd:simpleType>
    </xsd:element>
    <xsd:element name="TRA_x0020_Language" ma:index="12" ma:displayName="Document language" ma:format="Dropdown" ma:internalName="TRA_x0020_Language" ma:readOnly="false">
      <xsd:simpleType>
        <xsd:restriction base="dms:Choice">
          <xsd:enumeration value="English"/>
          <xsd:enumeration value="French"/>
          <xsd:enumeration value="German"/>
          <xsd:enumeration value="Russi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D8B5F4-4F41-4C7A-A3CB-FE570497ABC7}">
  <ds:schemaRefs>
    <ds:schemaRef ds:uri="http://schemas.microsoft.com/sharepoint/v3/contenttype/forms"/>
  </ds:schemaRefs>
</ds:datastoreItem>
</file>

<file path=customXml/itemProps2.xml><?xml version="1.0" encoding="utf-8"?>
<ds:datastoreItem xmlns:ds="http://schemas.openxmlformats.org/officeDocument/2006/customXml" ds:itemID="{A1BDAFB8-B139-402F-95D9-2B2FB7121A32}">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8702faf-b26c-4069-9abd-b0d6ffcc54b5"/>
    <ds:schemaRef ds:uri="http://schemas.microsoft.com/office/2006/metadata/properties"/>
  </ds:schemaRefs>
</ds:datastoreItem>
</file>

<file path=customXml/itemProps3.xml><?xml version="1.0" encoding="utf-8"?>
<ds:datastoreItem xmlns:ds="http://schemas.openxmlformats.org/officeDocument/2006/customXml" ds:itemID="{D6A97B11-54AB-43FF-B348-032696BD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02faf-b26c-4069-9abd-b0d6ffcc5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CF900-5B85-47BC-8C50-7005F05460E3}">
  <ds:schemaRefs>
    <ds:schemaRef ds:uri="http://schemas.microsoft.com/sharepoint/events"/>
  </ds:schemaRefs>
</ds:datastoreItem>
</file>

<file path=customXml/itemProps5.xml><?xml version="1.0" encoding="utf-8"?>
<ds:datastoreItem xmlns:ds="http://schemas.openxmlformats.org/officeDocument/2006/customXml" ds:itemID="{82F89BC1-17E5-4EED-9135-61D938F4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10316</Words>
  <Characters>58803</Characters>
  <Application>Microsoft Office Word</Application>
  <DocSecurity>4</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68982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Mimi.Tatlow-Golden</dc:creator>
  <cp:keywords/>
  <dc:description/>
  <cp:lastModifiedBy>Boyland, Emma</cp:lastModifiedBy>
  <cp:revision>2</cp:revision>
  <cp:lastPrinted>2017-11-27T08:46:00Z</cp:lastPrinted>
  <dcterms:created xsi:type="dcterms:W3CDTF">2018-01-12T13:59:00Z</dcterms:created>
  <dcterms:modified xsi:type="dcterms:W3CDTF">2018-01-12T13:59:00Z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38193af2-8324-46f9-be20-fb20cc4db117</vt:lpwstr>
  </property>
  <property fmtid="{D5CDD505-2E9C-101B-9397-08002B2CF9AE}" pid="4" name="ContentTypeId">
    <vt:lpwstr>0x01010098AFFD90B87F5749971A6121A848C3F80075DFBF2798F2AE48A8C5B27E052611B7</vt:lpwstr>
  </property>
  <property fmtid="{D5CDD505-2E9C-101B-9397-08002B2CF9AE}" pid="5" name="_docset_NoMedatataSyncRequired">
    <vt:lpwstr>False</vt:lpwstr>
  </property>
</Properties>
</file>