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3BA68" w14:textId="6144DD3B" w:rsidR="00900889" w:rsidRPr="00876AB1" w:rsidRDefault="00900889" w:rsidP="00EB3D34">
      <w:pPr>
        <w:spacing w:after="120" w:line="480" w:lineRule="auto"/>
        <w:rPr>
          <w:rFonts w:asciiTheme="majorHAnsi" w:hAnsiTheme="majorHAnsi"/>
          <w:sz w:val="32"/>
          <w:szCs w:val="32"/>
          <w:lang w:val="en-US"/>
        </w:rPr>
      </w:pPr>
      <w:bookmarkStart w:id="0" w:name="_Hlk488737655"/>
      <w:r w:rsidRPr="00876AB1">
        <w:rPr>
          <w:rFonts w:asciiTheme="majorHAnsi" w:hAnsiTheme="majorHAnsi"/>
          <w:sz w:val="32"/>
          <w:szCs w:val="32"/>
          <w:lang w:val="en-US"/>
        </w:rPr>
        <w:t xml:space="preserve">Pharmacodynamics of Flubendazole for Cryptococcal Meningoencephalitis: Repurposing and </w:t>
      </w:r>
      <w:r w:rsidR="00876AB1" w:rsidRPr="00876AB1">
        <w:rPr>
          <w:rFonts w:asciiTheme="majorHAnsi" w:hAnsiTheme="majorHAnsi"/>
          <w:sz w:val="32"/>
          <w:szCs w:val="32"/>
          <w:lang w:val="en-US"/>
        </w:rPr>
        <w:t>Reformulation</w:t>
      </w:r>
      <w:r w:rsidRPr="00876AB1">
        <w:rPr>
          <w:rFonts w:asciiTheme="majorHAnsi" w:hAnsiTheme="majorHAnsi"/>
          <w:sz w:val="32"/>
          <w:szCs w:val="32"/>
          <w:lang w:val="en-US"/>
        </w:rPr>
        <w:t xml:space="preserve"> of an Anti</w:t>
      </w:r>
      <w:r w:rsidR="00876AB1" w:rsidRPr="00876AB1">
        <w:rPr>
          <w:rFonts w:asciiTheme="majorHAnsi" w:hAnsiTheme="majorHAnsi"/>
          <w:sz w:val="32"/>
          <w:szCs w:val="32"/>
          <w:lang w:val="en-US"/>
        </w:rPr>
        <w:t>-</w:t>
      </w:r>
      <w:r w:rsidR="00F97704">
        <w:rPr>
          <w:rFonts w:asciiTheme="majorHAnsi" w:hAnsiTheme="majorHAnsi"/>
          <w:sz w:val="32"/>
          <w:szCs w:val="32"/>
          <w:lang w:val="en-US"/>
        </w:rPr>
        <w:t>P</w:t>
      </w:r>
      <w:r w:rsidRPr="00876AB1">
        <w:rPr>
          <w:rFonts w:asciiTheme="majorHAnsi" w:hAnsiTheme="majorHAnsi"/>
          <w:sz w:val="32"/>
          <w:szCs w:val="32"/>
          <w:lang w:val="en-US"/>
        </w:rPr>
        <w:t>aras</w:t>
      </w:r>
      <w:r w:rsidR="00876AB1" w:rsidRPr="00876AB1">
        <w:rPr>
          <w:rFonts w:asciiTheme="majorHAnsi" w:hAnsiTheme="majorHAnsi"/>
          <w:sz w:val="32"/>
          <w:szCs w:val="32"/>
          <w:lang w:val="en-US"/>
        </w:rPr>
        <w:t>i</w:t>
      </w:r>
      <w:r w:rsidRPr="00876AB1">
        <w:rPr>
          <w:rFonts w:asciiTheme="majorHAnsi" w:hAnsiTheme="majorHAnsi"/>
          <w:sz w:val="32"/>
          <w:szCs w:val="32"/>
          <w:lang w:val="en-US"/>
        </w:rPr>
        <w:t xml:space="preserve">tic Agent for </w:t>
      </w:r>
      <w:r w:rsidR="00C17C1E">
        <w:rPr>
          <w:rFonts w:asciiTheme="majorHAnsi" w:hAnsiTheme="majorHAnsi"/>
          <w:sz w:val="32"/>
          <w:szCs w:val="32"/>
          <w:lang w:val="en-US"/>
        </w:rPr>
        <w:t>a Neglected</w:t>
      </w:r>
      <w:r w:rsidR="00C17C1E" w:rsidRPr="00876AB1">
        <w:rPr>
          <w:rFonts w:asciiTheme="majorHAnsi" w:hAnsiTheme="majorHAnsi"/>
          <w:sz w:val="32"/>
          <w:szCs w:val="32"/>
          <w:lang w:val="en-US"/>
        </w:rPr>
        <w:t xml:space="preserve"> </w:t>
      </w:r>
      <w:r w:rsidRPr="00876AB1">
        <w:rPr>
          <w:rFonts w:asciiTheme="majorHAnsi" w:hAnsiTheme="majorHAnsi"/>
          <w:sz w:val="32"/>
          <w:szCs w:val="32"/>
          <w:lang w:val="en-US"/>
        </w:rPr>
        <w:t xml:space="preserve">Fungal Disease  </w:t>
      </w:r>
    </w:p>
    <w:p w14:paraId="3C52EF0A" w14:textId="77777777" w:rsidR="00900889" w:rsidRPr="00876AB1" w:rsidRDefault="00900889" w:rsidP="00EB3D34">
      <w:pPr>
        <w:spacing w:after="120" w:line="480" w:lineRule="auto"/>
        <w:rPr>
          <w:rFonts w:asciiTheme="majorHAnsi" w:hAnsiTheme="majorHAnsi"/>
          <w:b/>
          <w:sz w:val="24"/>
          <w:szCs w:val="24"/>
          <w:lang w:val="en-US"/>
        </w:rPr>
      </w:pPr>
    </w:p>
    <w:p w14:paraId="54A92281" w14:textId="622789DD" w:rsidR="00900889" w:rsidRPr="00876AB1" w:rsidRDefault="00900889" w:rsidP="00EB3D34">
      <w:pPr>
        <w:spacing w:after="120" w:line="480" w:lineRule="auto"/>
        <w:rPr>
          <w:rFonts w:asciiTheme="majorHAnsi" w:hAnsiTheme="majorHAnsi"/>
          <w:b/>
          <w:sz w:val="24"/>
          <w:szCs w:val="24"/>
          <w:lang w:val="en-US"/>
        </w:rPr>
      </w:pPr>
      <w:r w:rsidRPr="00876AB1">
        <w:rPr>
          <w:rFonts w:asciiTheme="majorHAnsi" w:hAnsiTheme="majorHAnsi"/>
          <w:b/>
          <w:sz w:val="24"/>
          <w:szCs w:val="24"/>
          <w:lang w:val="en-US"/>
        </w:rPr>
        <w:t>Gemma. L. Nixon,</w:t>
      </w:r>
      <w:r w:rsidRPr="00876AB1">
        <w:rPr>
          <w:rFonts w:asciiTheme="majorHAnsi" w:hAnsiTheme="majorHAnsi"/>
          <w:b/>
          <w:sz w:val="24"/>
          <w:szCs w:val="24"/>
          <w:vertAlign w:val="superscript"/>
          <w:lang w:val="en-US"/>
        </w:rPr>
        <w:t>1</w:t>
      </w:r>
      <w:r w:rsidR="0062757A">
        <w:rPr>
          <w:rFonts w:asciiTheme="majorHAnsi" w:hAnsiTheme="majorHAnsi"/>
          <w:b/>
          <w:sz w:val="24"/>
          <w:szCs w:val="24"/>
          <w:vertAlign w:val="superscript"/>
          <w:lang w:val="en-US"/>
        </w:rPr>
        <w:t>,2</w:t>
      </w:r>
      <w:r w:rsidRPr="00876AB1">
        <w:rPr>
          <w:rFonts w:asciiTheme="majorHAnsi" w:hAnsiTheme="majorHAnsi"/>
          <w:b/>
          <w:sz w:val="24"/>
          <w:szCs w:val="24"/>
          <w:lang w:val="en-US"/>
        </w:rPr>
        <w:t xml:space="preserve"> Laura McEntee,</w:t>
      </w:r>
      <w:r w:rsidRPr="00876AB1">
        <w:rPr>
          <w:rFonts w:asciiTheme="majorHAnsi" w:hAnsiTheme="majorHAnsi"/>
          <w:b/>
          <w:sz w:val="24"/>
          <w:szCs w:val="24"/>
          <w:vertAlign w:val="superscript"/>
          <w:lang w:val="en-US"/>
        </w:rPr>
        <w:t>2</w:t>
      </w:r>
      <w:r w:rsidRPr="00876AB1">
        <w:rPr>
          <w:rFonts w:asciiTheme="majorHAnsi" w:hAnsiTheme="majorHAnsi"/>
          <w:b/>
          <w:sz w:val="24"/>
          <w:szCs w:val="24"/>
          <w:lang w:val="en-US"/>
        </w:rPr>
        <w:t xml:space="preserve"> Adam Johnson,</w:t>
      </w:r>
      <w:r w:rsidRPr="00876AB1">
        <w:rPr>
          <w:rFonts w:asciiTheme="majorHAnsi" w:hAnsiTheme="majorHAnsi"/>
          <w:b/>
          <w:sz w:val="24"/>
          <w:szCs w:val="24"/>
          <w:vertAlign w:val="superscript"/>
          <w:lang w:val="en-US"/>
        </w:rPr>
        <w:t>2</w:t>
      </w:r>
      <w:r w:rsidRPr="00876AB1">
        <w:rPr>
          <w:rFonts w:asciiTheme="majorHAnsi" w:hAnsiTheme="majorHAnsi"/>
          <w:b/>
          <w:sz w:val="24"/>
          <w:szCs w:val="24"/>
          <w:lang w:val="en-US"/>
        </w:rPr>
        <w:t xml:space="preserve"> Nikki Farrington,</w:t>
      </w:r>
      <w:r w:rsidRPr="00876AB1">
        <w:rPr>
          <w:rFonts w:asciiTheme="majorHAnsi" w:hAnsiTheme="majorHAnsi"/>
          <w:b/>
          <w:sz w:val="24"/>
          <w:szCs w:val="24"/>
          <w:vertAlign w:val="superscript"/>
          <w:lang w:val="en-US"/>
        </w:rPr>
        <w:t>2</w:t>
      </w:r>
      <w:r w:rsidRPr="00876AB1">
        <w:rPr>
          <w:rFonts w:asciiTheme="majorHAnsi" w:hAnsiTheme="majorHAnsi"/>
          <w:b/>
          <w:sz w:val="24"/>
          <w:szCs w:val="24"/>
          <w:lang w:val="en-US"/>
        </w:rPr>
        <w:t xml:space="preserve"> Sarah Whalley,</w:t>
      </w:r>
      <w:r w:rsidRPr="00876AB1">
        <w:rPr>
          <w:rFonts w:asciiTheme="majorHAnsi" w:hAnsiTheme="majorHAnsi"/>
          <w:b/>
          <w:sz w:val="24"/>
          <w:szCs w:val="24"/>
          <w:vertAlign w:val="superscript"/>
          <w:lang w:val="en-US"/>
        </w:rPr>
        <w:t>2</w:t>
      </w:r>
      <w:r w:rsidRPr="00876AB1">
        <w:rPr>
          <w:rFonts w:asciiTheme="majorHAnsi" w:hAnsiTheme="majorHAnsi"/>
          <w:b/>
          <w:sz w:val="24"/>
          <w:szCs w:val="24"/>
          <w:lang w:val="en-US"/>
        </w:rPr>
        <w:t xml:space="preserve"> Joanne Livermore,</w:t>
      </w:r>
      <w:r w:rsidR="00DC4729" w:rsidRPr="00EF774A">
        <w:rPr>
          <w:rFonts w:asciiTheme="majorHAnsi" w:hAnsiTheme="majorHAnsi"/>
          <w:b/>
          <w:sz w:val="24"/>
          <w:szCs w:val="24"/>
          <w:vertAlign w:val="superscript"/>
          <w:lang w:val="en-US"/>
        </w:rPr>
        <w:t>2</w:t>
      </w:r>
      <w:r w:rsidRPr="00EF774A">
        <w:rPr>
          <w:rFonts w:asciiTheme="majorHAnsi" w:hAnsiTheme="majorHAnsi"/>
          <w:b/>
          <w:sz w:val="24"/>
          <w:szCs w:val="24"/>
          <w:vertAlign w:val="superscript"/>
          <w:lang w:val="en-US"/>
        </w:rPr>
        <w:t xml:space="preserve"> </w:t>
      </w:r>
      <w:proofErr w:type="spellStart"/>
      <w:r w:rsidR="008968E3">
        <w:rPr>
          <w:rFonts w:asciiTheme="majorHAnsi" w:hAnsiTheme="majorHAnsi"/>
          <w:b/>
          <w:sz w:val="24"/>
          <w:szCs w:val="24"/>
          <w:lang w:val="en-US"/>
        </w:rPr>
        <w:t>Cristien</w:t>
      </w:r>
      <w:proofErr w:type="spellEnd"/>
      <w:r w:rsidR="008968E3">
        <w:rPr>
          <w:rFonts w:asciiTheme="majorHAnsi" w:hAnsiTheme="majorHAnsi"/>
          <w:b/>
          <w:sz w:val="24"/>
          <w:szCs w:val="24"/>
          <w:lang w:val="en-US"/>
        </w:rPr>
        <w:t xml:space="preserve"> Natal,</w:t>
      </w:r>
      <w:r w:rsidR="008968E3" w:rsidRPr="008968E3">
        <w:rPr>
          <w:rFonts w:asciiTheme="majorHAnsi" w:hAnsiTheme="majorHAnsi"/>
          <w:b/>
          <w:sz w:val="24"/>
          <w:szCs w:val="24"/>
          <w:vertAlign w:val="superscript"/>
          <w:lang w:val="en-US"/>
        </w:rPr>
        <w:t>2</w:t>
      </w:r>
      <w:r w:rsidR="008968E3">
        <w:rPr>
          <w:rFonts w:asciiTheme="majorHAnsi" w:hAnsiTheme="majorHAnsi"/>
          <w:b/>
          <w:sz w:val="24"/>
          <w:szCs w:val="24"/>
          <w:lang w:val="en-US"/>
        </w:rPr>
        <w:t xml:space="preserve"> </w:t>
      </w:r>
      <w:r w:rsidRPr="00876AB1">
        <w:rPr>
          <w:rFonts w:asciiTheme="majorHAnsi" w:hAnsiTheme="majorHAnsi"/>
          <w:b/>
          <w:sz w:val="24"/>
          <w:szCs w:val="24"/>
          <w:lang w:val="en-US"/>
        </w:rPr>
        <w:t>Gina Washbourn,</w:t>
      </w:r>
      <w:r w:rsidRPr="00876AB1">
        <w:rPr>
          <w:rFonts w:asciiTheme="majorHAnsi" w:hAnsiTheme="majorHAnsi"/>
          <w:b/>
          <w:sz w:val="24"/>
          <w:szCs w:val="24"/>
          <w:vertAlign w:val="superscript"/>
          <w:lang w:val="en-US"/>
        </w:rPr>
        <w:t>1</w:t>
      </w:r>
      <w:r w:rsidRPr="00876AB1">
        <w:rPr>
          <w:rFonts w:asciiTheme="majorHAnsi" w:hAnsiTheme="majorHAnsi"/>
          <w:b/>
          <w:sz w:val="24"/>
          <w:szCs w:val="24"/>
          <w:lang w:val="en-US"/>
        </w:rPr>
        <w:t xml:space="preserve"> </w:t>
      </w:r>
      <w:r w:rsidR="00B06092" w:rsidRPr="00B06092">
        <w:rPr>
          <w:rFonts w:asciiTheme="majorHAnsi" w:hAnsiTheme="majorHAnsi"/>
          <w:b/>
          <w:sz w:val="24"/>
          <w:szCs w:val="24"/>
          <w:lang w:val="en-US"/>
        </w:rPr>
        <w:t>Jaclyn Bibby,</w:t>
      </w:r>
      <w:r w:rsidR="00B06092" w:rsidRPr="00B06092">
        <w:rPr>
          <w:rFonts w:asciiTheme="majorHAnsi" w:hAnsiTheme="majorHAnsi"/>
          <w:b/>
          <w:sz w:val="24"/>
          <w:szCs w:val="24"/>
          <w:vertAlign w:val="superscript"/>
          <w:lang w:val="en-US"/>
        </w:rPr>
        <w:t xml:space="preserve">1 </w:t>
      </w:r>
      <w:r w:rsidRPr="00876AB1">
        <w:rPr>
          <w:rFonts w:asciiTheme="majorHAnsi" w:hAnsiTheme="majorHAnsi"/>
          <w:b/>
          <w:sz w:val="24"/>
          <w:szCs w:val="24"/>
          <w:lang w:val="en-US"/>
        </w:rPr>
        <w:t>Neil Berry,</w:t>
      </w:r>
      <w:r w:rsidRPr="00876AB1">
        <w:rPr>
          <w:rFonts w:asciiTheme="majorHAnsi" w:hAnsiTheme="majorHAnsi"/>
          <w:b/>
          <w:sz w:val="24"/>
          <w:szCs w:val="24"/>
          <w:vertAlign w:val="superscript"/>
          <w:lang w:val="en-US"/>
        </w:rPr>
        <w:t>1</w:t>
      </w:r>
      <w:r w:rsidRPr="00876AB1">
        <w:rPr>
          <w:rFonts w:asciiTheme="majorHAnsi" w:hAnsiTheme="majorHAnsi"/>
          <w:b/>
          <w:sz w:val="24"/>
          <w:szCs w:val="24"/>
          <w:lang w:val="en-US"/>
        </w:rPr>
        <w:t xml:space="preserve"> Jodi Lestner,</w:t>
      </w:r>
      <w:r w:rsidR="00DC4729">
        <w:rPr>
          <w:rFonts w:asciiTheme="majorHAnsi" w:hAnsiTheme="majorHAnsi"/>
          <w:b/>
          <w:sz w:val="24"/>
          <w:szCs w:val="24"/>
          <w:vertAlign w:val="superscript"/>
          <w:lang w:val="en-US"/>
        </w:rPr>
        <w:t>2</w:t>
      </w:r>
      <w:r w:rsidRPr="00876AB1">
        <w:rPr>
          <w:rFonts w:asciiTheme="majorHAnsi" w:hAnsiTheme="majorHAnsi"/>
          <w:b/>
          <w:sz w:val="24"/>
          <w:szCs w:val="24"/>
          <w:lang w:val="en-US"/>
        </w:rPr>
        <w:t xml:space="preserve"> </w:t>
      </w:r>
      <w:r w:rsidR="001E334E">
        <w:rPr>
          <w:rFonts w:asciiTheme="majorHAnsi" w:hAnsiTheme="majorHAnsi"/>
          <w:b/>
          <w:sz w:val="24"/>
          <w:szCs w:val="24"/>
          <w:lang w:val="en-US"/>
        </w:rPr>
        <w:t>Megan Truong,</w:t>
      </w:r>
      <w:r w:rsidR="001E334E" w:rsidRPr="004E1625">
        <w:rPr>
          <w:rFonts w:asciiTheme="majorHAnsi" w:hAnsiTheme="majorHAnsi"/>
          <w:b/>
          <w:sz w:val="24"/>
          <w:szCs w:val="24"/>
          <w:vertAlign w:val="superscript"/>
          <w:lang w:val="en-US"/>
        </w:rPr>
        <w:t>3</w:t>
      </w:r>
      <w:r w:rsidR="001E334E">
        <w:rPr>
          <w:rFonts w:asciiTheme="majorHAnsi" w:hAnsiTheme="majorHAnsi"/>
          <w:b/>
          <w:sz w:val="24"/>
          <w:szCs w:val="24"/>
          <w:lang w:val="en-US"/>
        </w:rPr>
        <w:t xml:space="preserve"> </w:t>
      </w:r>
      <w:r w:rsidRPr="00876AB1">
        <w:rPr>
          <w:rFonts w:asciiTheme="majorHAnsi" w:hAnsiTheme="majorHAnsi"/>
          <w:b/>
          <w:sz w:val="24"/>
          <w:szCs w:val="24"/>
          <w:lang w:val="en-US"/>
        </w:rPr>
        <w:t>Andrew Owen,</w:t>
      </w:r>
      <w:r w:rsidR="001E334E">
        <w:rPr>
          <w:rFonts w:asciiTheme="majorHAnsi" w:hAnsiTheme="majorHAnsi"/>
          <w:b/>
          <w:sz w:val="24"/>
          <w:szCs w:val="24"/>
          <w:vertAlign w:val="superscript"/>
          <w:lang w:val="en-US"/>
        </w:rPr>
        <w:t>4</w:t>
      </w:r>
      <w:r w:rsidR="001E334E" w:rsidRPr="00876AB1">
        <w:rPr>
          <w:rFonts w:asciiTheme="majorHAnsi" w:hAnsiTheme="majorHAnsi"/>
          <w:b/>
          <w:sz w:val="24"/>
          <w:szCs w:val="24"/>
          <w:lang w:val="en-US"/>
        </w:rPr>
        <w:t xml:space="preserve"> </w:t>
      </w:r>
      <w:r w:rsidRPr="00876AB1">
        <w:rPr>
          <w:rFonts w:asciiTheme="majorHAnsi" w:hAnsiTheme="majorHAnsi"/>
          <w:b/>
          <w:sz w:val="24"/>
          <w:szCs w:val="24"/>
          <w:lang w:val="en-US"/>
        </w:rPr>
        <w:t>David Lalloo,</w:t>
      </w:r>
      <w:r w:rsidR="001E334E">
        <w:rPr>
          <w:rFonts w:asciiTheme="majorHAnsi" w:hAnsiTheme="majorHAnsi"/>
          <w:b/>
          <w:sz w:val="24"/>
          <w:szCs w:val="24"/>
          <w:vertAlign w:val="superscript"/>
          <w:lang w:val="en-US"/>
        </w:rPr>
        <w:t>5</w:t>
      </w:r>
      <w:r w:rsidR="001E334E" w:rsidRPr="00876AB1">
        <w:rPr>
          <w:rFonts w:asciiTheme="majorHAnsi" w:hAnsiTheme="majorHAnsi"/>
          <w:b/>
          <w:sz w:val="24"/>
          <w:szCs w:val="24"/>
          <w:lang w:val="en-US"/>
        </w:rPr>
        <w:t xml:space="preserve"> </w:t>
      </w:r>
      <w:r w:rsidRPr="00876AB1">
        <w:rPr>
          <w:rFonts w:asciiTheme="majorHAnsi" w:hAnsiTheme="majorHAnsi"/>
          <w:b/>
          <w:sz w:val="24"/>
          <w:szCs w:val="24"/>
          <w:lang w:val="en-US"/>
        </w:rPr>
        <w:t>Ian Charles</w:t>
      </w:r>
      <w:r w:rsidR="002A027C">
        <w:rPr>
          <w:rFonts w:asciiTheme="majorHAnsi" w:hAnsiTheme="majorHAnsi"/>
          <w:b/>
          <w:sz w:val="24"/>
          <w:szCs w:val="24"/>
          <w:lang w:val="en-US"/>
        </w:rPr>
        <w:t>,</w:t>
      </w:r>
      <w:r w:rsidR="005E5D67">
        <w:rPr>
          <w:rFonts w:asciiTheme="majorHAnsi" w:hAnsiTheme="majorHAnsi"/>
          <w:b/>
          <w:sz w:val="24"/>
          <w:szCs w:val="24"/>
          <w:vertAlign w:val="superscript"/>
          <w:lang w:val="en-US"/>
        </w:rPr>
        <w:t>6</w:t>
      </w:r>
      <w:r w:rsidRPr="00876AB1">
        <w:rPr>
          <w:rFonts w:asciiTheme="majorHAnsi" w:hAnsiTheme="majorHAnsi"/>
          <w:b/>
          <w:sz w:val="24"/>
          <w:szCs w:val="24"/>
          <w:vertAlign w:val="superscript"/>
          <w:lang w:val="en-US"/>
        </w:rPr>
        <w:t xml:space="preserve"> </w:t>
      </w:r>
      <w:r w:rsidRPr="00876AB1">
        <w:rPr>
          <w:rFonts w:asciiTheme="majorHAnsi" w:hAnsiTheme="majorHAnsi"/>
          <w:b/>
          <w:sz w:val="24"/>
          <w:szCs w:val="24"/>
          <w:lang w:val="en-US"/>
        </w:rPr>
        <w:t>William Hope</w:t>
      </w:r>
      <w:r w:rsidRPr="00876AB1">
        <w:rPr>
          <w:rFonts w:asciiTheme="majorHAnsi" w:hAnsiTheme="majorHAnsi"/>
          <w:b/>
          <w:sz w:val="24"/>
          <w:szCs w:val="24"/>
          <w:vertAlign w:val="superscript"/>
          <w:lang w:val="en-US"/>
        </w:rPr>
        <w:t>2</w:t>
      </w:r>
      <w:r w:rsidRPr="00876AB1">
        <w:rPr>
          <w:rFonts w:asciiTheme="majorHAnsi" w:hAnsiTheme="majorHAnsi"/>
          <w:b/>
          <w:sz w:val="24"/>
          <w:szCs w:val="24"/>
          <w:lang w:val="en-US"/>
        </w:rPr>
        <w:t>*</w:t>
      </w:r>
    </w:p>
    <w:p w14:paraId="779DA0D3" w14:textId="4EB3C278" w:rsidR="00900889" w:rsidRPr="00876AB1" w:rsidRDefault="00900889" w:rsidP="00EB3D34">
      <w:pPr>
        <w:spacing w:after="120" w:line="480" w:lineRule="auto"/>
        <w:outlineLvl w:val="0"/>
        <w:rPr>
          <w:rFonts w:asciiTheme="majorHAnsi" w:hAnsiTheme="majorHAnsi"/>
          <w:sz w:val="24"/>
          <w:szCs w:val="24"/>
          <w:lang w:val="en-US"/>
        </w:rPr>
      </w:pPr>
      <w:r w:rsidRPr="008968E3">
        <w:rPr>
          <w:rFonts w:asciiTheme="majorHAnsi" w:hAnsiTheme="majorHAnsi"/>
          <w:sz w:val="24"/>
          <w:szCs w:val="24"/>
          <w:vertAlign w:val="superscript"/>
          <w:lang w:val="en-US"/>
        </w:rPr>
        <w:t>1</w:t>
      </w:r>
      <w:r w:rsidRPr="00876AB1">
        <w:rPr>
          <w:rFonts w:asciiTheme="majorHAnsi" w:hAnsiTheme="majorHAnsi"/>
          <w:sz w:val="24"/>
          <w:szCs w:val="24"/>
          <w:lang w:val="en-US"/>
        </w:rPr>
        <w:t>Department of Chemistry, University of Liverpool, Liverpool, United Kingdom</w:t>
      </w:r>
    </w:p>
    <w:p w14:paraId="752FC96B" w14:textId="75705EB1" w:rsidR="00900889" w:rsidRDefault="00900889" w:rsidP="00EB3D34">
      <w:pPr>
        <w:spacing w:after="120" w:line="480" w:lineRule="auto"/>
        <w:rPr>
          <w:rFonts w:asciiTheme="majorHAnsi" w:hAnsiTheme="majorHAnsi"/>
          <w:sz w:val="24"/>
          <w:szCs w:val="24"/>
          <w:lang w:val="en-US"/>
        </w:rPr>
      </w:pPr>
      <w:r w:rsidRPr="00876AB1">
        <w:rPr>
          <w:rFonts w:asciiTheme="majorHAnsi" w:hAnsiTheme="majorHAnsi"/>
          <w:sz w:val="24"/>
          <w:szCs w:val="24"/>
          <w:vertAlign w:val="superscript"/>
          <w:lang w:val="en-US"/>
        </w:rPr>
        <w:t>2</w:t>
      </w:r>
      <w:r w:rsidR="0062757A">
        <w:rPr>
          <w:rFonts w:asciiTheme="majorHAnsi" w:hAnsiTheme="majorHAnsi"/>
          <w:sz w:val="24"/>
          <w:szCs w:val="24"/>
          <w:lang w:val="en-US"/>
        </w:rPr>
        <w:t>Antimicrobial Pharmacodynamics and Therapeutics</w:t>
      </w:r>
      <w:r w:rsidRPr="00876AB1">
        <w:rPr>
          <w:rFonts w:asciiTheme="majorHAnsi" w:hAnsiTheme="majorHAnsi"/>
          <w:sz w:val="24"/>
          <w:szCs w:val="24"/>
          <w:lang w:val="en-US"/>
        </w:rPr>
        <w:t xml:space="preserve">, </w:t>
      </w:r>
      <w:r w:rsidR="0062757A">
        <w:rPr>
          <w:rFonts w:asciiTheme="majorHAnsi" w:hAnsiTheme="majorHAnsi"/>
          <w:sz w:val="24"/>
          <w:szCs w:val="24"/>
          <w:lang w:val="en-US"/>
        </w:rPr>
        <w:t>Department of Molecular and Clinical Pharmacology, Institute of Translational Medicine</w:t>
      </w:r>
      <w:r w:rsidRPr="00876AB1">
        <w:rPr>
          <w:rFonts w:asciiTheme="majorHAnsi" w:hAnsiTheme="majorHAnsi"/>
          <w:sz w:val="24"/>
          <w:szCs w:val="24"/>
          <w:lang w:val="en-US"/>
        </w:rPr>
        <w:t>, Liverpool, UK</w:t>
      </w:r>
    </w:p>
    <w:p w14:paraId="73965415" w14:textId="01BBD7C1" w:rsidR="001E334E" w:rsidRDefault="001D5DA0" w:rsidP="00EB3D34">
      <w:pPr>
        <w:spacing w:after="120" w:line="480" w:lineRule="auto"/>
        <w:rPr>
          <w:rFonts w:asciiTheme="majorHAnsi" w:hAnsiTheme="majorHAnsi"/>
          <w:sz w:val="24"/>
          <w:szCs w:val="24"/>
          <w:lang w:val="en-US"/>
        </w:rPr>
      </w:pPr>
      <w:r w:rsidRPr="004E1625">
        <w:rPr>
          <w:rFonts w:asciiTheme="majorHAnsi" w:hAnsiTheme="majorHAnsi"/>
          <w:sz w:val="24"/>
          <w:szCs w:val="24"/>
          <w:vertAlign w:val="superscript"/>
          <w:lang w:val="en-US"/>
        </w:rPr>
        <w:t>3</w:t>
      </w:r>
      <w:r w:rsidR="001E334E">
        <w:rPr>
          <w:rFonts w:asciiTheme="majorHAnsi" w:hAnsiTheme="majorHAnsi"/>
          <w:sz w:val="24"/>
          <w:szCs w:val="24"/>
          <w:lang w:val="en-US"/>
        </w:rPr>
        <w:t xml:space="preserve">The </w:t>
      </w:r>
      <w:proofErr w:type="spellStart"/>
      <w:r w:rsidR="001E334E">
        <w:rPr>
          <w:rFonts w:asciiTheme="majorHAnsi" w:hAnsiTheme="majorHAnsi"/>
          <w:sz w:val="24"/>
          <w:szCs w:val="24"/>
          <w:lang w:val="en-US"/>
        </w:rPr>
        <w:t>ithree</w:t>
      </w:r>
      <w:proofErr w:type="spellEnd"/>
      <w:r w:rsidR="001E334E">
        <w:rPr>
          <w:rFonts w:asciiTheme="majorHAnsi" w:hAnsiTheme="majorHAnsi"/>
          <w:sz w:val="24"/>
          <w:szCs w:val="24"/>
          <w:lang w:val="en-US"/>
        </w:rPr>
        <w:t xml:space="preserve"> Institute, University of Technology Sydney, Sydney, Australia</w:t>
      </w:r>
    </w:p>
    <w:p w14:paraId="0770B839" w14:textId="583792B7" w:rsidR="003518CB" w:rsidRPr="00876AB1" w:rsidRDefault="001D5DA0" w:rsidP="00EB3D34">
      <w:pPr>
        <w:spacing w:after="120" w:line="480" w:lineRule="auto"/>
        <w:rPr>
          <w:rFonts w:asciiTheme="majorHAnsi" w:hAnsiTheme="majorHAnsi"/>
          <w:sz w:val="24"/>
          <w:szCs w:val="24"/>
          <w:lang w:val="en-US"/>
        </w:rPr>
      </w:pPr>
      <w:r>
        <w:rPr>
          <w:rFonts w:asciiTheme="majorHAnsi" w:hAnsiTheme="majorHAnsi"/>
          <w:sz w:val="24"/>
          <w:szCs w:val="24"/>
          <w:vertAlign w:val="superscript"/>
          <w:lang w:val="en-US"/>
        </w:rPr>
        <w:t>4</w:t>
      </w:r>
      <w:r>
        <w:rPr>
          <w:rFonts w:asciiTheme="majorHAnsi" w:hAnsiTheme="majorHAnsi"/>
          <w:sz w:val="24"/>
          <w:szCs w:val="24"/>
          <w:lang w:val="en-US"/>
        </w:rPr>
        <w:t xml:space="preserve">Department </w:t>
      </w:r>
      <w:r w:rsidR="003518CB">
        <w:rPr>
          <w:rFonts w:asciiTheme="majorHAnsi" w:hAnsiTheme="majorHAnsi"/>
          <w:sz w:val="24"/>
          <w:szCs w:val="24"/>
          <w:lang w:val="en-US"/>
        </w:rPr>
        <w:t xml:space="preserve">of Molecular and </w:t>
      </w:r>
      <w:r w:rsidR="005766F0">
        <w:rPr>
          <w:rFonts w:asciiTheme="majorHAnsi" w:hAnsiTheme="majorHAnsi"/>
          <w:sz w:val="24"/>
          <w:szCs w:val="24"/>
          <w:lang w:val="en-US"/>
        </w:rPr>
        <w:t>Clinical Pharmacology, H Block,</w:t>
      </w:r>
      <w:r w:rsidR="003518CB" w:rsidRPr="00876AB1">
        <w:rPr>
          <w:rFonts w:asciiTheme="majorHAnsi" w:hAnsiTheme="majorHAnsi"/>
          <w:sz w:val="24"/>
          <w:szCs w:val="24"/>
          <w:lang w:val="en-US"/>
        </w:rPr>
        <w:t xml:space="preserve"> Pembroke Place, Liverpool, UK</w:t>
      </w:r>
    </w:p>
    <w:p w14:paraId="454EF6FF" w14:textId="2F448087" w:rsidR="00900889" w:rsidRPr="00876AB1" w:rsidRDefault="001D5DA0" w:rsidP="00EB3D34">
      <w:pPr>
        <w:spacing w:after="120" w:line="480" w:lineRule="auto"/>
        <w:outlineLvl w:val="0"/>
        <w:rPr>
          <w:rFonts w:asciiTheme="majorHAnsi" w:hAnsiTheme="majorHAnsi"/>
          <w:sz w:val="24"/>
          <w:szCs w:val="24"/>
          <w:lang w:val="en-US"/>
        </w:rPr>
      </w:pPr>
      <w:r>
        <w:rPr>
          <w:rFonts w:asciiTheme="majorHAnsi" w:hAnsiTheme="majorHAnsi"/>
          <w:sz w:val="24"/>
          <w:szCs w:val="24"/>
          <w:vertAlign w:val="superscript"/>
          <w:lang w:val="en-US"/>
        </w:rPr>
        <w:t>5</w:t>
      </w:r>
      <w:r w:rsidRPr="00876AB1">
        <w:rPr>
          <w:rFonts w:asciiTheme="majorHAnsi" w:hAnsiTheme="majorHAnsi"/>
          <w:sz w:val="24"/>
          <w:szCs w:val="24"/>
          <w:lang w:val="en-US"/>
        </w:rPr>
        <w:t xml:space="preserve">Liverpool </w:t>
      </w:r>
      <w:r w:rsidR="00900889" w:rsidRPr="00876AB1">
        <w:rPr>
          <w:rFonts w:asciiTheme="majorHAnsi" w:hAnsiTheme="majorHAnsi"/>
          <w:sz w:val="24"/>
          <w:szCs w:val="24"/>
          <w:lang w:val="en-US"/>
        </w:rPr>
        <w:t>School of Tropical Medicine, Pembroke Place, Liverpool, UK</w:t>
      </w:r>
    </w:p>
    <w:p w14:paraId="0166687C" w14:textId="73022E26" w:rsidR="00900889" w:rsidRPr="00876AB1" w:rsidRDefault="001D5DA0" w:rsidP="00EB3D34">
      <w:pPr>
        <w:spacing w:after="120" w:line="480" w:lineRule="auto"/>
        <w:rPr>
          <w:rFonts w:asciiTheme="majorHAnsi" w:hAnsiTheme="majorHAnsi"/>
          <w:sz w:val="24"/>
          <w:szCs w:val="24"/>
          <w:lang w:val="en-US"/>
        </w:rPr>
      </w:pPr>
      <w:r>
        <w:rPr>
          <w:rFonts w:asciiTheme="majorHAnsi" w:hAnsiTheme="majorHAnsi"/>
          <w:sz w:val="24"/>
          <w:szCs w:val="24"/>
          <w:vertAlign w:val="superscript"/>
          <w:lang w:val="en-US"/>
        </w:rPr>
        <w:t>6</w:t>
      </w:r>
      <w:r>
        <w:rPr>
          <w:rFonts w:asciiTheme="majorHAnsi" w:hAnsiTheme="majorHAnsi"/>
          <w:sz w:val="24"/>
          <w:szCs w:val="24"/>
          <w:lang w:val="en-US"/>
        </w:rPr>
        <w:t xml:space="preserve">The </w:t>
      </w:r>
      <w:proofErr w:type="spellStart"/>
      <w:r>
        <w:rPr>
          <w:rFonts w:asciiTheme="majorHAnsi" w:hAnsiTheme="majorHAnsi"/>
          <w:sz w:val="24"/>
          <w:szCs w:val="24"/>
          <w:lang w:val="en-US"/>
        </w:rPr>
        <w:t>Quadram</w:t>
      </w:r>
      <w:proofErr w:type="spellEnd"/>
      <w:r>
        <w:rPr>
          <w:rFonts w:asciiTheme="majorHAnsi" w:hAnsiTheme="majorHAnsi"/>
          <w:sz w:val="24"/>
          <w:szCs w:val="24"/>
          <w:lang w:val="en-US"/>
        </w:rPr>
        <w:t xml:space="preserve"> Institute Bioscience, </w:t>
      </w:r>
      <w:r w:rsidRPr="00876AB1">
        <w:rPr>
          <w:rFonts w:asciiTheme="majorHAnsi" w:hAnsiTheme="majorHAnsi"/>
          <w:sz w:val="24"/>
          <w:szCs w:val="24"/>
          <w:lang w:val="en-US"/>
        </w:rPr>
        <w:t xml:space="preserve">Norwich Research Park, Norwich, </w:t>
      </w:r>
      <w:r>
        <w:rPr>
          <w:rFonts w:asciiTheme="majorHAnsi" w:hAnsiTheme="majorHAnsi"/>
          <w:sz w:val="24"/>
          <w:szCs w:val="24"/>
          <w:lang w:val="en-US"/>
        </w:rPr>
        <w:t xml:space="preserve">NR47UA, </w:t>
      </w:r>
      <w:r w:rsidRPr="00876AB1">
        <w:rPr>
          <w:rFonts w:asciiTheme="majorHAnsi" w:hAnsiTheme="majorHAnsi"/>
          <w:sz w:val="24"/>
          <w:szCs w:val="24"/>
          <w:lang w:val="en-US"/>
        </w:rPr>
        <w:t>UK</w:t>
      </w:r>
      <w:r w:rsidRPr="00876AB1" w:rsidDel="001D5DA0">
        <w:rPr>
          <w:rFonts w:asciiTheme="majorHAnsi" w:hAnsiTheme="majorHAnsi"/>
          <w:sz w:val="24"/>
          <w:szCs w:val="24"/>
          <w:lang w:val="en-US"/>
        </w:rPr>
        <w:t xml:space="preserve"> </w:t>
      </w:r>
    </w:p>
    <w:p w14:paraId="3A7A006B" w14:textId="4A403967" w:rsidR="001D5DA0" w:rsidRDefault="001D5DA0" w:rsidP="00EB3D34">
      <w:pPr>
        <w:spacing w:after="120" w:line="480" w:lineRule="auto"/>
        <w:rPr>
          <w:rFonts w:asciiTheme="majorHAnsi" w:hAnsiTheme="majorHAnsi"/>
          <w:sz w:val="24"/>
          <w:szCs w:val="24"/>
          <w:lang w:val="en-US"/>
        </w:rPr>
      </w:pPr>
      <w:r>
        <w:rPr>
          <w:rFonts w:asciiTheme="majorHAnsi" w:hAnsiTheme="majorHAnsi"/>
          <w:sz w:val="24"/>
          <w:szCs w:val="24"/>
          <w:lang w:val="en-US"/>
        </w:rPr>
        <w:t>Corresponding Author</w:t>
      </w:r>
    </w:p>
    <w:p w14:paraId="3D2B8954" w14:textId="1A1E4C57" w:rsidR="001D5DA0" w:rsidRDefault="001D5DA0" w:rsidP="00EB3D34">
      <w:pPr>
        <w:spacing w:after="120" w:line="480" w:lineRule="auto"/>
        <w:rPr>
          <w:rFonts w:asciiTheme="majorHAnsi" w:hAnsiTheme="majorHAnsi"/>
          <w:sz w:val="24"/>
          <w:szCs w:val="24"/>
          <w:lang w:val="en-US"/>
        </w:rPr>
      </w:pPr>
      <w:r>
        <w:rPr>
          <w:rFonts w:asciiTheme="majorHAnsi" w:hAnsiTheme="majorHAnsi"/>
          <w:sz w:val="24"/>
          <w:szCs w:val="24"/>
          <w:lang w:val="en-US"/>
        </w:rPr>
        <w:t>William Hope</w:t>
      </w:r>
    </w:p>
    <w:p w14:paraId="70377206" w14:textId="07EEC302" w:rsidR="001D5DA0" w:rsidRDefault="001D5DA0" w:rsidP="00EB3D34">
      <w:pPr>
        <w:spacing w:after="120" w:line="480" w:lineRule="auto"/>
        <w:rPr>
          <w:rFonts w:asciiTheme="majorHAnsi" w:hAnsiTheme="majorHAnsi"/>
          <w:sz w:val="24"/>
          <w:szCs w:val="24"/>
          <w:lang w:val="en-US"/>
        </w:rPr>
      </w:pPr>
      <w:r>
        <w:rPr>
          <w:rFonts w:asciiTheme="majorHAnsi" w:hAnsiTheme="majorHAnsi"/>
          <w:sz w:val="24"/>
          <w:szCs w:val="24"/>
          <w:lang w:val="en-US"/>
        </w:rPr>
        <w:t>Sherrington Building, Ashton Street, Liverpool, L69 3GE, United Kingdom</w:t>
      </w:r>
    </w:p>
    <w:p w14:paraId="777CC06B" w14:textId="4C41FB77" w:rsidR="001D5DA0" w:rsidRDefault="001D5DA0" w:rsidP="00EB3D34">
      <w:pPr>
        <w:spacing w:after="120" w:line="480" w:lineRule="auto"/>
        <w:rPr>
          <w:rFonts w:asciiTheme="majorHAnsi" w:hAnsiTheme="majorHAnsi"/>
          <w:sz w:val="24"/>
          <w:szCs w:val="24"/>
          <w:lang w:val="en-US"/>
        </w:rPr>
      </w:pPr>
      <w:r>
        <w:rPr>
          <w:rFonts w:asciiTheme="majorHAnsi" w:hAnsiTheme="majorHAnsi"/>
          <w:sz w:val="24"/>
          <w:szCs w:val="24"/>
          <w:lang w:val="en-US"/>
        </w:rPr>
        <w:t>Phone +44 (0)151 794 5941</w:t>
      </w:r>
    </w:p>
    <w:p w14:paraId="50C31A56" w14:textId="77777777" w:rsidR="00900889" w:rsidRPr="00876AB1" w:rsidRDefault="00900889" w:rsidP="00EB3D34">
      <w:pPr>
        <w:spacing w:after="120" w:line="480" w:lineRule="auto"/>
        <w:rPr>
          <w:rFonts w:asciiTheme="majorHAnsi" w:hAnsiTheme="majorHAnsi"/>
          <w:sz w:val="24"/>
          <w:szCs w:val="24"/>
          <w:lang w:val="en-US"/>
        </w:rPr>
      </w:pPr>
      <w:r w:rsidRPr="00876AB1">
        <w:rPr>
          <w:rFonts w:asciiTheme="majorHAnsi" w:hAnsiTheme="majorHAnsi"/>
          <w:sz w:val="24"/>
          <w:szCs w:val="24"/>
          <w:lang w:val="en-US"/>
        </w:rPr>
        <w:lastRenderedPageBreak/>
        <w:t>*william.hope@liverpool.ac.uk</w:t>
      </w:r>
    </w:p>
    <w:bookmarkEnd w:id="0"/>
    <w:p w14:paraId="3B5E34B5" w14:textId="77777777" w:rsidR="00900889" w:rsidRPr="00876AB1" w:rsidRDefault="00900889" w:rsidP="00EB3D34">
      <w:pPr>
        <w:spacing w:after="120" w:line="480" w:lineRule="auto"/>
        <w:rPr>
          <w:rFonts w:asciiTheme="majorHAnsi" w:hAnsiTheme="majorHAnsi"/>
          <w:b/>
          <w:sz w:val="24"/>
          <w:szCs w:val="24"/>
          <w:lang w:val="en-US"/>
        </w:rPr>
      </w:pPr>
    </w:p>
    <w:p w14:paraId="132D5C03" w14:textId="77777777" w:rsidR="00900889" w:rsidRPr="00876AB1" w:rsidRDefault="00900889" w:rsidP="00EB3D34">
      <w:pPr>
        <w:spacing w:after="120" w:line="480" w:lineRule="auto"/>
        <w:outlineLvl w:val="0"/>
        <w:rPr>
          <w:rFonts w:asciiTheme="majorHAnsi" w:hAnsiTheme="majorHAnsi"/>
          <w:b/>
          <w:sz w:val="24"/>
          <w:szCs w:val="24"/>
          <w:lang w:val="en-US"/>
        </w:rPr>
      </w:pPr>
      <w:r w:rsidRPr="00876AB1">
        <w:rPr>
          <w:rFonts w:asciiTheme="majorHAnsi" w:hAnsiTheme="majorHAnsi"/>
          <w:b/>
          <w:sz w:val="24"/>
          <w:szCs w:val="24"/>
          <w:lang w:val="en-US"/>
        </w:rPr>
        <w:t>Keywords</w:t>
      </w:r>
    </w:p>
    <w:p w14:paraId="4E2FA7D8" w14:textId="13170A46" w:rsidR="00900889" w:rsidRPr="00876AB1" w:rsidRDefault="00900889" w:rsidP="00EB3D34">
      <w:pPr>
        <w:spacing w:after="120" w:line="480" w:lineRule="auto"/>
        <w:rPr>
          <w:rFonts w:asciiTheme="majorHAnsi" w:hAnsiTheme="majorHAnsi"/>
          <w:sz w:val="24"/>
          <w:szCs w:val="24"/>
          <w:lang w:val="en-US"/>
        </w:rPr>
      </w:pPr>
      <w:r w:rsidRPr="00876AB1">
        <w:rPr>
          <w:rFonts w:asciiTheme="majorHAnsi" w:hAnsiTheme="majorHAnsi"/>
          <w:i/>
          <w:sz w:val="24"/>
          <w:szCs w:val="24"/>
          <w:lang w:val="en-US"/>
        </w:rPr>
        <w:t>Cryptococcus neoformans</w:t>
      </w:r>
      <w:r w:rsidRPr="00876AB1">
        <w:rPr>
          <w:rFonts w:asciiTheme="majorHAnsi" w:hAnsiTheme="majorHAnsi"/>
          <w:sz w:val="24"/>
          <w:szCs w:val="24"/>
          <w:lang w:val="en-US"/>
        </w:rPr>
        <w:t xml:space="preserve">, cryptococcal meningoencephalitis, </w:t>
      </w:r>
      <w:r w:rsidR="00573AF1" w:rsidRPr="00876AB1">
        <w:rPr>
          <w:rFonts w:asciiTheme="majorHAnsi" w:hAnsiTheme="majorHAnsi"/>
          <w:sz w:val="24"/>
          <w:szCs w:val="24"/>
          <w:lang w:val="en-US"/>
        </w:rPr>
        <w:t>benzimidazole</w:t>
      </w:r>
      <w:r w:rsidRPr="00876AB1">
        <w:rPr>
          <w:rFonts w:asciiTheme="majorHAnsi" w:hAnsiTheme="majorHAnsi"/>
          <w:sz w:val="24"/>
          <w:szCs w:val="24"/>
          <w:lang w:val="en-US"/>
        </w:rPr>
        <w:t xml:space="preserve">, flubendazole, β-tubulin. </w:t>
      </w:r>
    </w:p>
    <w:p w14:paraId="66F3C6BD" w14:textId="77777777" w:rsidR="00683776" w:rsidRDefault="00683776" w:rsidP="00EB3D34">
      <w:pPr>
        <w:spacing w:after="120" w:line="480" w:lineRule="auto"/>
        <w:outlineLvl w:val="0"/>
        <w:rPr>
          <w:rFonts w:asciiTheme="majorHAnsi" w:hAnsiTheme="majorHAnsi"/>
          <w:b/>
          <w:sz w:val="24"/>
          <w:szCs w:val="24"/>
          <w:lang w:val="en-US"/>
        </w:rPr>
      </w:pPr>
    </w:p>
    <w:p w14:paraId="5DB026AB" w14:textId="77777777" w:rsidR="00900889" w:rsidRPr="00876AB1" w:rsidRDefault="00900889" w:rsidP="00EB3D34">
      <w:pPr>
        <w:spacing w:after="120" w:line="480" w:lineRule="auto"/>
        <w:outlineLvl w:val="0"/>
        <w:rPr>
          <w:rFonts w:asciiTheme="majorHAnsi" w:hAnsiTheme="majorHAnsi"/>
          <w:b/>
          <w:sz w:val="24"/>
          <w:szCs w:val="24"/>
          <w:lang w:val="en-US"/>
        </w:rPr>
      </w:pPr>
      <w:r w:rsidRPr="00876AB1">
        <w:rPr>
          <w:rFonts w:asciiTheme="majorHAnsi" w:hAnsiTheme="majorHAnsi"/>
          <w:b/>
          <w:sz w:val="24"/>
          <w:szCs w:val="24"/>
          <w:lang w:val="en-US"/>
        </w:rPr>
        <w:t>Acknowledgements</w:t>
      </w:r>
    </w:p>
    <w:p w14:paraId="49C85A04" w14:textId="2A352592" w:rsidR="00900889" w:rsidRPr="00876AB1" w:rsidRDefault="00900889" w:rsidP="00EB3D34">
      <w:pPr>
        <w:spacing w:after="120" w:line="480" w:lineRule="auto"/>
        <w:rPr>
          <w:rFonts w:asciiTheme="majorHAnsi" w:hAnsiTheme="majorHAnsi"/>
          <w:sz w:val="24"/>
          <w:szCs w:val="24"/>
          <w:lang w:val="en-US"/>
        </w:rPr>
      </w:pPr>
      <w:r w:rsidRPr="00876AB1">
        <w:rPr>
          <w:rFonts w:asciiTheme="majorHAnsi" w:hAnsiTheme="majorHAnsi"/>
          <w:sz w:val="24"/>
          <w:szCs w:val="24"/>
          <w:lang w:val="en-US"/>
        </w:rPr>
        <w:t xml:space="preserve">We thank Ana </w:t>
      </w:r>
      <w:proofErr w:type="spellStart"/>
      <w:r w:rsidRPr="00876AB1">
        <w:rPr>
          <w:rFonts w:asciiTheme="majorHAnsi" w:hAnsiTheme="majorHAnsi"/>
          <w:sz w:val="24"/>
          <w:szCs w:val="24"/>
          <w:lang w:val="en-US"/>
        </w:rPr>
        <w:t>Alastruey-Izquierdo</w:t>
      </w:r>
      <w:proofErr w:type="spellEnd"/>
      <w:r w:rsidRPr="00876AB1">
        <w:rPr>
          <w:rFonts w:asciiTheme="majorHAnsi" w:hAnsiTheme="majorHAnsi"/>
          <w:sz w:val="24"/>
          <w:szCs w:val="24"/>
          <w:lang w:val="en-US"/>
        </w:rPr>
        <w:t xml:space="preserve"> and Manual Cuenca Estrella (Mycology Reference Laboratory, </w:t>
      </w:r>
      <w:r w:rsidRPr="00393938">
        <w:rPr>
          <w:rFonts w:asciiTheme="majorHAnsi" w:hAnsiTheme="majorHAnsi"/>
          <w:sz w:val="24"/>
          <w:szCs w:val="24"/>
          <w:lang w:val="en-US"/>
        </w:rPr>
        <w:t xml:space="preserve">National Centre for Microbiology, </w:t>
      </w:r>
      <w:proofErr w:type="spellStart"/>
      <w:r w:rsidRPr="00393938">
        <w:rPr>
          <w:rFonts w:asciiTheme="majorHAnsi" w:hAnsiTheme="majorHAnsi"/>
          <w:sz w:val="24"/>
          <w:szCs w:val="24"/>
          <w:lang w:val="en-US"/>
        </w:rPr>
        <w:t>Instituto</w:t>
      </w:r>
      <w:proofErr w:type="spellEnd"/>
      <w:r w:rsidRPr="00393938">
        <w:rPr>
          <w:rFonts w:asciiTheme="majorHAnsi" w:hAnsiTheme="majorHAnsi"/>
          <w:sz w:val="24"/>
          <w:szCs w:val="24"/>
          <w:lang w:val="en-US"/>
        </w:rPr>
        <w:t xml:space="preserve"> de </w:t>
      </w:r>
      <w:proofErr w:type="spellStart"/>
      <w:r w:rsidRPr="00393938">
        <w:rPr>
          <w:rFonts w:asciiTheme="majorHAnsi" w:hAnsiTheme="majorHAnsi"/>
          <w:sz w:val="24"/>
          <w:szCs w:val="24"/>
          <w:lang w:val="en-US"/>
        </w:rPr>
        <w:t>Salud</w:t>
      </w:r>
      <w:proofErr w:type="spellEnd"/>
      <w:r w:rsidRPr="00393938">
        <w:rPr>
          <w:rFonts w:asciiTheme="majorHAnsi" w:hAnsiTheme="majorHAnsi"/>
          <w:sz w:val="24"/>
          <w:szCs w:val="24"/>
          <w:lang w:val="en-US"/>
        </w:rPr>
        <w:t xml:space="preserve"> Carlos III, Madrid, Spain)</w:t>
      </w:r>
      <w:r w:rsidR="00BD2750" w:rsidRPr="00393938">
        <w:rPr>
          <w:rFonts w:asciiTheme="majorHAnsi" w:hAnsiTheme="majorHAnsi"/>
          <w:sz w:val="24"/>
          <w:szCs w:val="24"/>
          <w:lang w:val="en-US"/>
        </w:rPr>
        <w:t xml:space="preserve"> for kindly providing</w:t>
      </w:r>
      <w:r w:rsidRPr="00393938">
        <w:rPr>
          <w:rFonts w:asciiTheme="majorHAnsi" w:hAnsiTheme="majorHAnsi"/>
          <w:sz w:val="24"/>
          <w:szCs w:val="24"/>
          <w:lang w:val="en-US"/>
        </w:rPr>
        <w:t xml:space="preserve"> </w:t>
      </w:r>
      <w:r w:rsidRPr="00393938">
        <w:rPr>
          <w:rFonts w:asciiTheme="majorHAnsi" w:hAnsiTheme="majorHAnsi"/>
          <w:i/>
          <w:sz w:val="24"/>
          <w:szCs w:val="24"/>
          <w:lang w:val="en-US"/>
        </w:rPr>
        <w:t>C. neoformans</w:t>
      </w:r>
      <w:r w:rsidRPr="00EB3D34">
        <w:rPr>
          <w:rFonts w:asciiTheme="majorHAnsi" w:hAnsiTheme="majorHAnsi"/>
          <w:sz w:val="24"/>
          <w:szCs w:val="24"/>
          <w:lang w:val="en-US"/>
        </w:rPr>
        <w:t xml:space="preserve"> clinical isolates</w:t>
      </w:r>
      <w:r w:rsidR="00BD2750" w:rsidRPr="00EB3D34">
        <w:rPr>
          <w:rFonts w:asciiTheme="majorHAnsi" w:hAnsiTheme="majorHAnsi"/>
          <w:sz w:val="24"/>
          <w:szCs w:val="24"/>
          <w:lang w:val="en-US"/>
        </w:rPr>
        <w:t xml:space="preserve">; </w:t>
      </w:r>
      <w:r w:rsidRPr="00EB3D34">
        <w:rPr>
          <w:rFonts w:asciiTheme="majorHAnsi" w:hAnsiTheme="majorHAnsi"/>
          <w:sz w:val="24"/>
          <w:szCs w:val="24"/>
          <w:lang w:val="en-US"/>
        </w:rPr>
        <w:t xml:space="preserve">Benny </w:t>
      </w:r>
      <w:proofErr w:type="spellStart"/>
      <w:r w:rsidRPr="00EB3D34">
        <w:rPr>
          <w:rFonts w:asciiTheme="majorHAnsi" w:hAnsiTheme="majorHAnsi"/>
          <w:sz w:val="24"/>
          <w:szCs w:val="24"/>
          <w:lang w:val="en-US"/>
        </w:rPr>
        <w:t>Baeten</w:t>
      </w:r>
      <w:proofErr w:type="spellEnd"/>
      <w:r w:rsidRPr="00EB3D34">
        <w:rPr>
          <w:rFonts w:asciiTheme="majorHAnsi" w:hAnsiTheme="majorHAnsi"/>
          <w:sz w:val="24"/>
          <w:szCs w:val="24"/>
          <w:lang w:val="en-US"/>
        </w:rPr>
        <w:t xml:space="preserve">, Ben Van Hove and </w:t>
      </w:r>
      <w:proofErr w:type="spellStart"/>
      <w:r w:rsidRPr="00EB3D34">
        <w:rPr>
          <w:rFonts w:asciiTheme="majorHAnsi" w:hAnsiTheme="majorHAnsi"/>
          <w:sz w:val="24"/>
          <w:szCs w:val="24"/>
          <w:lang w:val="en-US"/>
        </w:rPr>
        <w:t>Dr</w:t>
      </w:r>
      <w:proofErr w:type="spellEnd"/>
      <w:r w:rsidRPr="00EB3D34">
        <w:rPr>
          <w:rFonts w:asciiTheme="majorHAnsi" w:hAnsiTheme="majorHAnsi"/>
          <w:sz w:val="24"/>
          <w:szCs w:val="24"/>
          <w:lang w:val="en-US"/>
        </w:rPr>
        <w:t xml:space="preserve"> </w:t>
      </w:r>
      <w:proofErr w:type="spellStart"/>
      <w:r w:rsidRPr="00EB3D34">
        <w:rPr>
          <w:rFonts w:asciiTheme="majorHAnsi" w:hAnsiTheme="majorHAnsi"/>
          <w:sz w:val="24"/>
          <w:szCs w:val="24"/>
          <w:lang w:val="en-US"/>
        </w:rPr>
        <w:t>Petros</w:t>
      </w:r>
      <w:proofErr w:type="spellEnd"/>
      <w:r w:rsidRPr="00EB3D34">
        <w:rPr>
          <w:rFonts w:asciiTheme="majorHAnsi" w:hAnsiTheme="majorHAnsi"/>
          <w:sz w:val="24"/>
          <w:szCs w:val="24"/>
          <w:lang w:val="en-US"/>
        </w:rPr>
        <w:t xml:space="preserve"> </w:t>
      </w:r>
      <w:proofErr w:type="spellStart"/>
      <w:r w:rsidRPr="00EB3D34">
        <w:rPr>
          <w:rFonts w:asciiTheme="majorHAnsi" w:hAnsiTheme="majorHAnsi"/>
          <w:sz w:val="24"/>
          <w:szCs w:val="24"/>
          <w:lang w:val="en-US"/>
        </w:rPr>
        <w:t>Psathas</w:t>
      </w:r>
      <w:proofErr w:type="spellEnd"/>
      <w:r w:rsidRPr="00EB3D34">
        <w:rPr>
          <w:rFonts w:asciiTheme="majorHAnsi" w:hAnsiTheme="majorHAnsi"/>
          <w:sz w:val="24"/>
          <w:szCs w:val="24"/>
          <w:lang w:val="en-US"/>
        </w:rPr>
        <w:t xml:space="preserve"> (Janssen </w:t>
      </w:r>
      <w:proofErr w:type="spellStart"/>
      <w:r w:rsidRPr="00D2766A">
        <w:rPr>
          <w:rFonts w:asciiTheme="majorHAnsi" w:hAnsiTheme="majorHAnsi"/>
          <w:color w:val="000000" w:themeColor="text1"/>
          <w:sz w:val="24"/>
          <w:szCs w:val="24"/>
          <w:lang w:val="en-US"/>
        </w:rPr>
        <w:t>Pharmaceutica</w:t>
      </w:r>
      <w:proofErr w:type="spellEnd"/>
      <w:r w:rsidRPr="00D2766A">
        <w:rPr>
          <w:rFonts w:asciiTheme="majorHAnsi" w:hAnsiTheme="majorHAnsi"/>
          <w:color w:val="000000" w:themeColor="text1"/>
          <w:sz w:val="24"/>
          <w:szCs w:val="24"/>
          <w:lang w:val="en-US"/>
        </w:rPr>
        <w:t xml:space="preserve">) for providing the </w:t>
      </w:r>
      <w:r w:rsidR="00393938" w:rsidRPr="00D2766A">
        <w:rPr>
          <w:rFonts w:asciiTheme="majorHAnsi" w:eastAsia="Times New Roman" w:hAnsiTheme="majorHAnsi" w:cs="Times New Roman"/>
          <w:color w:val="000000" w:themeColor="text1"/>
          <w:sz w:val="24"/>
          <w:szCs w:val="24"/>
          <w:shd w:val="clear" w:color="auto" w:fill="FFFFFF"/>
          <w:lang w:eastAsia="en-GB"/>
        </w:rPr>
        <w:t>a</w:t>
      </w:r>
      <w:r w:rsidR="005002A9" w:rsidRPr="00D2766A">
        <w:rPr>
          <w:rFonts w:asciiTheme="majorHAnsi" w:eastAsia="Times New Roman" w:hAnsiTheme="majorHAnsi" w:cs="Times New Roman"/>
          <w:color w:val="000000" w:themeColor="text1"/>
          <w:sz w:val="24"/>
          <w:szCs w:val="24"/>
          <w:shd w:val="clear" w:color="auto" w:fill="FFFFFF"/>
          <w:lang w:eastAsia="en-GB"/>
        </w:rPr>
        <w:t xml:space="preserve">morphous </w:t>
      </w:r>
      <w:r w:rsidR="00393938" w:rsidRPr="00D2766A">
        <w:rPr>
          <w:rFonts w:asciiTheme="majorHAnsi" w:eastAsia="Times New Roman" w:hAnsiTheme="majorHAnsi" w:cs="Times New Roman"/>
          <w:color w:val="000000" w:themeColor="text1"/>
          <w:sz w:val="24"/>
          <w:szCs w:val="24"/>
          <w:shd w:val="clear" w:color="auto" w:fill="FFFFFF"/>
          <w:lang w:eastAsia="en-GB"/>
        </w:rPr>
        <w:t>s</w:t>
      </w:r>
      <w:r w:rsidR="005002A9" w:rsidRPr="00D2766A">
        <w:rPr>
          <w:rFonts w:asciiTheme="majorHAnsi" w:eastAsia="Times New Roman" w:hAnsiTheme="majorHAnsi" w:cs="Times New Roman"/>
          <w:color w:val="000000" w:themeColor="text1"/>
          <w:sz w:val="24"/>
          <w:szCs w:val="24"/>
          <w:shd w:val="clear" w:color="auto" w:fill="FFFFFF"/>
          <w:lang w:eastAsia="en-GB"/>
        </w:rPr>
        <w:t xml:space="preserve">olid drug </w:t>
      </w:r>
      <w:proofErr w:type="spellStart"/>
      <w:r w:rsidR="005002A9" w:rsidRPr="00D2766A">
        <w:rPr>
          <w:rFonts w:asciiTheme="majorHAnsi" w:eastAsia="Times New Roman" w:hAnsiTheme="majorHAnsi" w:cs="Times New Roman"/>
          <w:color w:val="000000" w:themeColor="text1"/>
          <w:sz w:val="24"/>
          <w:szCs w:val="24"/>
          <w:shd w:val="clear" w:color="auto" w:fill="FFFFFF"/>
          <w:lang w:eastAsia="en-GB"/>
        </w:rPr>
        <w:t>nanodispersion</w:t>
      </w:r>
      <w:proofErr w:type="spellEnd"/>
      <w:r w:rsidR="005002A9" w:rsidRPr="00D2766A">
        <w:rPr>
          <w:rFonts w:asciiTheme="majorHAnsi" w:eastAsia="Times New Roman" w:hAnsiTheme="majorHAnsi" w:cs="Times New Roman"/>
          <w:color w:val="000000" w:themeColor="text1"/>
          <w:sz w:val="24"/>
          <w:szCs w:val="24"/>
          <w:shd w:val="clear" w:color="auto" w:fill="FFFFFF"/>
          <w:lang w:eastAsia="en-GB"/>
        </w:rPr>
        <w:t xml:space="preserve"> </w:t>
      </w:r>
      <w:r w:rsidRPr="00D2766A">
        <w:rPr>
          <w:rFonts w:asciiTheme="majorHAnsi" w:hAnsiTheme="majorHAnsi"/>
          <w:color w:val="000000" w:themeColor="text1"/>
          <w:sz w:val="24"/>
          <w:szCs w:val="24"/>
          <w:lang w:val="en-US"/>
        </w:rPr>
        <w:t xml:space="preserve">formulation of </w:t>
      </w:r>
      <w:r w:rsidRPr="00EB3D34">
        <w:rPr>
          <w:rFonts w:asciiTheme="majorHAnsi" w:hAnsiTheme="majorHAnsi"/>
          <w:sz w:val="24"/>
          <w:szCs w:val="24"/>
          <w:lang w:val="en-US"/>
        </w:rPr>
        <w:t>flubendazole (batch BREC-1113-070)</w:t>
      </w:r>
      <w:r w:rsidR="00BD2750" w:rsidRPr="00EB3D34">
        <w:rPr>
          <w:rFonts w:asciiTheme="majorHAnsi" w:hAnsiTheme="majorHAnsi"/>
          <w:sz w:val="24"/>
          <w:szCs w:val="24"/>
        </w:rPr>
        <w:t xml:space="preserve">; and, </w:t>
      </w:r>
      <w:r w:rsidR="00DC4729" w:rsidRPr="00393938">
        <w:rPr>
          <w:rFonts w:asciiTheme="majorHAnsi" w:hAnsiTheme="majorHAnsi"/>
          <w:sz w:val="24"/>
          <w:szCs w:val="24"/>
          <w:lang w:val="en-US"/>
        </w:rPr>
        <w:t xml:space="preserve">Peter </w:t>
      </w:r>
      <w:proofErr w:type="spellStart"/>
      <w:r w:rsidR="00DC4729" w:rsidRPr="00393938">
        <w:rPr>
          <w:rFonts w:asciiTheme="majorHAnsi" w:hAnsiTheme="majorHAnsi"/>
          <w:sz w:val="24"/>
          <w:szCs w:val="24"/>
          <w:lang w:val="en-US"/>
        </w:rPr>
        <w:t>Webborn</w:t>
      </w:r>
      <w:proofErr w:type="spellEnd"/>
      <w:r w:rsidR="00DC4729" w:rsidRPr="00393938">
        <w:rPr>
          <w:rFonts w:asciiTheme="majorHAnsi" w:hAnsiTheme="majorHAnsi"/>
          <w:sz w:val="24"/>
          <w:szCs w:val="24"/>
          <w:lang w:val="en-US"/>
        </w:rPr>
        <w:t xml:space="preserve"> and Stefan Kavanagh (</w:t>
      </w:r>
      <w:proofErr w:type="spellStart"/>
      <w:r w:rsidR="00DC4729" w:rsidRPr="00393938">
        <w:rPr>
          <w:rFonts w:asciiTheme="majorHAnsi" w:hAnsiTheme="majorHAnsi"/>
          <w:sz w:val="24"/>
          <w:szCs w:val="24"/>
          <w:lang w:val="en-US"/>
        </w:rPr>
        <w:t>Astrazeneca</w:t>
      </w:r>
      <w:proofErr w:type="spellEnd"/>
      <w:r w:rsidR="00DC4729" w:rsidRPr="00393938">
        <w:rPr>
          <w:rFonts w:asciiTheme="majorHAnsi" w:hAnsiTheme="majorHAnsi"/>
          <w:sz w:val="24"/>
          <w:szCs w:val="24"/>
          <w:lang w:val="en-US"/>
        </w:rPr>
        <w:t xml:space="preserve">) for their assistance </w:t>
      </w:r>
      <w:r w:rsidR="00BD2750" w:rsidRPr="00393938">
        <w:rPr>
          <w:rFonts w:asciiTheme="majorHAnsi" w:hAnsiTheme="majorHAnsi"/>
          <w:sz w:val="24"/>
          <w:szCs w:val="24"/>
          <w:lang w:val="en-US"/>
        </w:rPr>
        <w:t>with the</w:t>
      </w:r>
      <w:r w:rsidR="00DC4729" w:rsidRPr="00EB3D34">
        <w:rPr>
          <w:rFonts w:asciiTheme="majorHAnsi" w:hAnsiTheme="majorHAnsi"/>
          <w:sz w:val="24"/>
          <w:szCs w:val="24"/>
          <w:lang w:val="en-US"/>
        </w:rPr>
        <w:t xml:space="preserve"> </w:t>
      </w:r>
      <w:r w:rsidR="00DC4729" w:rsidRPr="00EB3D34">
        <w:rPr>
          <w:rFonts w:asciiTheme="majorHAnsi" w:hAnsiTheme="majorHAnsi"/>
          <w:i/>
          <w:sz w:val="24"/>
          <w:szCs w:val="24"/>
          <w:lang w:val="en-US"/>
        </w:rPr>
        <w:t>in vitro</w:t>
      </w:r>
      <w:r w:rsidR="00DC4729" w:rsidRPr="00EB3D34">
        <w:rPr>
          <w:rFonts w:asciiTheme="majorHAnsi" w:hAnsiTheme="majorHAnsi"/>
          <w:sz w:val="24"/>
          <w:szCs w:val="24"/>
          <w:lang w:val="en-US"/>
        </w:rPr>
        <w:t xml:space="preserve"> DMPK data.</w:t>
      </w:r>
      <w:r w:rsidR="0081772B" w:rsidRPr="00EB3D34">
        <w:rPr>
          <w:rFonts w:asciiTheme="majorHAnsi" w:hAnsiTheme="majorHAnsi"/>
          <w:sz w:val="24"/>
          <w:szCs w:val="24"/>
          <w:lang w:val="en-US"/>
        </w:rPr>
        <w:t xml:space="preserve">  </w:t>
      </w:r>
      <w:r w:rsidR="00D778B3">
        <w:rPr>
          <w:rFonts w:asciiTheme="majorHAnsi" w:hAnsiTheme="majorHAnsi"/>
          <w:sz w:val="24"/>
          <w:szCs w:val="24"/>
          <w:lang w:val="en-US"/>
        </w:rPr>
        <w:t xml:space="preserve">Ian Charles </w:t>
      </w:r>
      <w:r w:rsidR="00F811A1">
        <w:rPr>
          <w:rFonts w:asciiTheme="majorHAnsi" w:hAnsiTheme="majorHAnsi"/>
          <w:sz w:val="24"/>
          <w:szCs w:val="24"/>
          <w:lang w:val="en-US"/>
        </w:rPr>
        <w:t xml:space="preserve">acknowledges support from the BBSRC.  </w:t>
      </w:r>
      <w:r w:rsidR="0081772B" w:rsidRPr="00EB3D34">
        <w:rPr>
          <w:rFonts w:asciiTheme="majorHAnsi" w:hAnsiTheme="majorHAnsi"/>
          <w:sz w:val="24"/>
          <w:szCs w:val="24"/>
          <w:lang w:val="en-US"/>
        </w:rPr>
        <w:t>William Hope is supported by a National Institute of Health Research Clinician Scientist Award (CS/08</w:t>
      </w:r>
      <w:r w:rsidR="0081772B">
        <w:rPr>
          <w:rFonts w:asciiTheme="majorHAnsi" w:hAnsiTheme="majorHAnsi"/>
          <w:sz w:val="24"/>
          <w:szCs w:val="24"/>
          <w:lang w:val="en-US"/>
        </w:rPr>
        <w:t>/08)</w:t>
      </w:r>
      <w:r w:rsidR="00D778B3">
        <w:rPr>
          <w:rFonts w:asciiTheme="majorHAnsi" w:hAnsiTheme="majorHAnsi"/>
          <w:sz w:val="24"/>
          <w:szCs w:val="24"/>
          <w:lang w:val="en-US"/>
        </w:rPr>
        <w:t>.</w:t>
      </w:r>
    </w:p>
    <w:p w14:paraId="164A8773" w14:textId="77777777" w:rsidR="0062757A" w:rsidRPr="00876AB1" w:rsidRDefault="0062757A" w:rsidP="00EB3D34">
      <w:pPr>
        <w:spacing w:after="120" w:line="480" w:lineRule="auto"/>
        <w:outlineLvl w:val="0"/>
        <w:rPr>
          <w:rFonts w:asciiTheme="majorHAnsi" w:hAnsiTheme="majorHAnsi"/>
          <w:b/>
          <w:sz w:val="24"/>
          <w:szCs w:val="24"/>
          <w:lang w:val="en-US"/>
        </w:rPr>
      </w:pPr>
      <w:r>
        <w:rPr>
          <w:rFonts w:asciiTheme="majorHAnsi" w:hAnsiTheme="majorHAnsi"/>
          <w:b/>
          <w:sz w:val="24"/>
          <w:szCs w:val="24"/>
          <w:lang w:val="en-US"/>
        </w:rPr>
        <w:t xml:space="preserve">Potential </w:t>
      </w:r>
      <w:r w:rsidRPr="00876AB1">
        <w:rPr>
          <w:rFonts w:asciiTheme="majorHAnsi" w:hAnsiTheme="majorHAnsi"/>
          <w:b/>
          <w:sz w:val="24"/>
          <w:szCs w:val="24"/>
          <w:lang w:val="en-US"/>
        </w:rPr>
        <w:t>Conflicts of Interest</w:t>
      </w:r>
    </w:p>
    <w:p w14:paraId="30FC1A86" w14:textId="64F1C478" w:rsidR="00317DAD" w:rsidRPr="00393938" w:rsidRDefault="00317DAD" w:rsidP="00EB3D34">
      <w:pPr>
        <w:spacing w:line="480" w:lineRule="auto"/>
        <w:rPr>
          <w:rFonts w:asciiTheme="majorHAnsi" w:hAnsiTheme="majorHAnsi"/>
          <w:sz w:val="24"/>
          <w:szCs w:val="24"/>
        </w:rPr>
      </w:pPr>
      <w:r w:rsidRPr="00721DE8">
        <w:rPr>
          <w:rFonts w:asciiTheme="majorHAnsi" w:hAnsiTheme="majorHAnsi"/>
          <w:sz w:val="24"/>
          <w:szCs w:val="24"/>
        </w:rPr>
        <w:t xml:space="preserve">William Hope holds or has recently held research grants with F2G, </w:t>
      </w:r>
      <w:proofErr w:type="spellStart"/>
      <w:r w:rsidRPr="00721DE8">
        <w:rPr>
          <w:rFonts w:asciiTheme="majorHAnsi" w:hAnsiTheme="majorHAnsi"/>
          <w:sz w:val="24"/>
          <w:szCs w:val="24"/>
        </w:rPr>
        <w:t>AiCuris</w:t>
      </w:r>
      <w:proofErr w:type="spellEnd"/>
      <w:r w:rsidRPr="00721DE8">
        <w:rPr>
          <w:rFonts w:asciiTheme="majorHAnsi" w:hAnsiTheme="majorHAnsi"/>
          <w:sz w:val="24"/>
          <w:szCs w:val="24"/>
        </w:rPr>
        <w:t xml:space="preserve">, </w:t>
      </w:r>
      <w:proofErr w:type="spellStart"/>
      <w:r w:rsidRPr="00721DE8">
        <w:rPr>
          <w:rFonts w:asciiTheme="majorHAnsi" w:hAnsiTheme="majorHAnsi"/>
          <w:sz w:val="24"/>
          <w:szCs w:val="24"/>
        </w:rPr>
        <w:t>Astellas</w:t>
      </w:r>
      <w:proofErr w:type="spellEnd"/>
      <w:r w:rsidRPr="00721DE8">
        <w:rPr>
          <w:rFonts w:asciiTheme="majorHAnsi" w:hAnsiTheme="majorHAnsi"/>
          <w:sz w:val="24"/>
          <w:szCs w:val="24"/>
        </w:rPr>
        <w:t xml:space="preserve"> Pharma, </w:t>
      </w:r>
      <w:proofErr w:type="spellStart"/>
      <w:r w:rsidRPr="00721DE8">
        <w:rPr>
          <w:rFonts w:asciiTheme="majorHAnsi" w:hAnsiTheme="majorHAnsi"/>
          <w:sz w:val="24"/>
          <w:szCs w:val="24"/>
        </w:rPr>
        <w:t>Spero</w:t>
      </w:r>
      <w:proofErr w:type="spellEnd"/>
      <w:r w:rsidRPr="00721DE8">
        <w:rPr>
          <w:rFonts w:asciiTheme="majorHAnsi" w:hAnsiTheme="majorHAnsi"/>
          <w:sz w:val="24"/>
          <w:szCs w:val="24"/>
        </w:rPr>
        <w:t xml:space="preserve"> Therapeutics, </w:t>
      </w:r>
      <w:proofErr w:type="spellStart"/>
      <w:r w:rsidRPr="00721DE8">
        <w:rPr>
          <w:rFonts w:asciiTheme="majorHAnsi" w:hAnsiTheme="majorHAnsi"/>
          <w:sz w:val="24"/>
          <w:szCs w:val="24"/>
        </w:rPr>
        <w:t>Matinas</w:t>
      </w:r>
      <w:proofErr w:type="spellEnd"/>
      <w:r w:rsidRPr="00721DE8">
        <w:rPr>
          <w:rFonts w:asciiTheme="majorHAnsi" w:hAnsiTheme="majorHAnsi"/>
          <w:sz w:val="24"/>
          <w:szCs w:val="24"/>
        </w:rPr>
        <w:t xml:space="preserve"> Biosciences, </w:t>
      </w:r>
      <w:proofErr w:type="spellStart"/>
      <w:r w:rsidRPr="00721DE8">
        <w:rPr>
          <w:rFonts w:asciiTheme="majorHAnsi" w:hAnsiTheme="majorHAnsi"/>
          <w:sz w:val="24"/>
          <w:szCs w:val="24"/>
        </w:rPr>
        <w:t>Antabio</w:t>
      </w:r>
      <w:proofErr w:type="spellEnd"/>
      <w:r w:rsidRPr="00721DE8">
        <w:rPr>
          <w:rFonts w:asciiTheme="majorHAnsi" w:hAnsiTheme="majorHAnsi"/>
          <w:sz w:val="24"/>
          <w:szCs w:val="24"/>
        </w:rPr>
        <w:t xml:space="preserve">, </w:t>
      </w:r>
      <w:proofErr w:type="spellStart"/>
      <w:r w:rsidRPr="00721DE8">
        <w:rPr>
          <w:rFonts w:asciiTheme="majorHAnsi" w:hAnsiTheme="majorHAnsi"/>
          <w:sz w:val="24"/>
          <w:szCs w:val="24"/>
        </w:rPr>
        <w:t>Amplyx</w:t>
      </w:r>
      <w:proofErr w:type="spellEnd"/>
      <w:r w:rsidRPr="00721DE8">
        <w:rPr>
          <w:rFonts w:asciiTheme="majorHAnsi" w:hAnsiTheme="majorHAnsi"/>
          <w:sz w:val="24"/>
          <w:szCs w:val="24"/>
        </w:rPr>
        <w:t xml:space="preserve">, </w:t>
      </w:r>
      <w:proofErr w:type="spellStart"/>
      <w:r w:rsidRPr="00721DE8">
        <w:rPr>
          <w:rFonts w:asciiTheme="majorHAnsi" w:hAnsiTheme="majorHAnsi"/>
          <w:sz w:val="24"/>
          <w:szCs w:val="24"/>
        </w:rPr>
        <w:t>Allecra</w:t>
      </w:r>
      <w:proofErr w:type="spellEnd"/>
      <w:r w:rsidRPr="00721DE8">
        <w:rPr>
          <w:rFonts w:asciiTheme="majorHAnsi" w:hAnsiTheme="majorHAnsi"/>
          <w:sz w:val="24"/>
          <w:szCs w:val="24"/>
        </w:rPr>
        <w:t xml:space="preserve">, </w:t>
      </w:r>
      <w:proofErr w:type="spellStart"/>
      <w:r w:rsidRPr="00721DE8">
        <w:rPr>
          <w:rFonts w:asciiTheme="majorHAnsi" w:hAnsiTheme="majorHAnsi"/>
          <w:sz w:val="24"/>
          <w:szCs w:val="24"/>
        </w:rPr>
        <w:t>Auspherix</w:t>
      </w:r>
      <w:proofErr w:type="spellEnd"/>
      <w:r w:rsidRPr="00721DE8">
        <w:rPr>
          <w:rFonts w:asciiTheme="majorHAnsi" w:hAnsiTheme="majorHAnsi"/>
          <w:sz w:val="24"/>
          <w:szCs w:val="24"/>
        </w:rPr>
        <w:t xml:space="preserve"> and Pfizer.  He holds awards from the National Institutes of Health, Medical Research Council, National Institute of Health Research, and the European Commission (FP7 and IMI).  William Hope has received </w:t>
      </w:r>
      <w:r w:rsidRPr="00721DE8">
        <w:rPr>
          <w:rFonts w:asciiTheme="majorHAnsi" w:hAnsiTheme="majorHAnsi"/>
          <w:sz w:val="24"/>
          <w:szCs w:val="24"/>
        </w:rPr>
        <w:lastRenderedPageBreak/>
        <w:t xml:space="preserve">personal fees in his capacity as a consultant for F2G, </w:t>
      </w:r>
      <w:proofErr w:type="spellStart"/>
      <w:r w:rsidRPr="00721DE8">
        <w:rPr>
          <w:rFonts w:asciiTheme="majorHAnsi" w:hAnsiTheme="majorHAnsi"/>
          <w:sz w:val="24"/>
          <w:szCs w:val="24"/>
        </w:rPr>
        <w:t>Amplyx</w:t>
      </w:r>
      <w:proofErr w:type="spellEnd"/>
      <w:r w:rsidRPr="00721DE8">
        <w:rPr>
          <w:rFonts w:asciiTheme="majorHAnsi" w:hAnsiTheme="majorHAnsi"/>
          <w:sz w:val="24"/>
          <w:szCs w:val="24"/>
        </w:rPr>
        <w:t xml:space="preserve">, </w:t>
      </w:r>
      <w:proofErr w:type="spellStart"/>
      <w:r w:rsidRPr="00721DE8">
        <w:rPr>
          <w:rFonts w:asciiTheme="majorHAnsi" w:hAnsiTheme="majorHAnsi"/>
          <w:sz w:val="24"/>
          <w:szCs w:val="24"/>
        </w:rPr>
        <w:t>Ausperix</w:t>
      </w:r>
      <w:proofErr w:type="spellEnd"/>
      <w:r w:rsidRPr="00721DE8">
        <w:rPr>
          <w:rFonts w:asciiTheme="majorHAnsi" w:hAnsiTheme="majorHAnsi"/>
          <w:sz w:val="24"/>
          <w:szCs w:val="24"/>
        </w:rPr>
        <w:t xml:space="preserve">, </w:t>
      </w:r>
      <w:proofErr w:type="spellStart"/>
      <w:r w:rsidRPr="00721DE8">
        <w:rPr>
          <w:rFonts w:asciiTheme="majorHAnsi" w:hAnsiTheme="majorHAnsi"/>
          <w:sz w:val="24"/>
          <w:szCs w:val="24"/>
        </w:rPr>
        <w:t>Spero</w:t>
      </w:r>
      <w:proofErr w:type="spellEnd"/>
      <w:r w:rsidRPr="00721DE8">
        <w:rPr>
          <w:rFonts w:asciiTheme="majorHAnsi" w:hAnsiTheme="majorHAnsi"/>
          <w:sz w:val="24"/>
          <w:szCs w:val="24"/>
        </w:rPr>
        <w:t xml:space="preserve"> Therapeutics, Gilead and </w:t>
      </w:r>
      <w:proofErr w:type="spellStart"/>
      <w:r w:rsidRPr="00721DE8">
        <w:rPr>
          <w:rFonts w:asciiTheme="majorHAnsi" w:hAnsiTheme="majorHAnsi"/>
          <w:sz w:val="24"/>
          <w:szCs w:val="24"/>
        </w:rPr>
        <w:t>Basilea</w:t>
      </w:r>
      <w:proofErr w:type="spellEnd"/>
      <w:r w:rsidRPr="00721DE8">
        <w:rPr>
          <w:rFonts w:asciiTheme="majorHAnsi" w:hAnsiTheme="majorHAnsi"/>
          <w:sz w:val="24"/>
          <w:szCs w:val="24"/>
        </w:rPr>
        <w:t xml:space="preserve">.  WH is Medical Guideline Director for the European Society of Clinical Microbiology and Infectious Diseases, an Ordinary Council Member for the British Society of </w:t>
      </w:r>
      <w:r w:rsidRPr="00393938">
        <w:rPr>
          <w:rFonts w:asciiTheme="majorHAnsi" w:hAnsiTheme="majorHAnsi"/>
          <w:sz w:val="24"/>
          <w:szCs w:val="24"/>
        </w:rPr>
        <w:t>Antimicrobial Chemotherapy</w:t>
      </w:r>
      <w:r w:rsidR="003518CB">
        <w:rPr>
          <w:rFonts w:asciiTheme="majorHAnsi" w:hAnsiTheme="majorHAnsi"/>
          <w:sz w:val="24"/>
          <w:szCs w:val="24"/>
        </w:rPr>
        <w:t xml:space="preserve">. AO has received research funding from </w:t>
      </w:r>
      <w:proofErr w:type="spellStart"/>
      <w:r w:rsidR="003518CB">
        <w:rPr>
          <w:rFonts w:asciiTheme="majorHAnsi" w:hAnsiTheme="majorHAnsi"/>
          <w:sz w:val="24"/>
          <w:szCs w:val="24"/>
        </w:rPr>
        <w:t>ViiV</w:t>
      </w:r>
      <w:proofErr w:type="spellEnd"/>
      <w:r w:rsidR="003518CB">
        <w:rPr>
          <w:rFonts w:asciiTheme="majorHAnsi" w:hAnsiTheme="majorHAnsi"/>
          <w:sz w:val="24"/>
          <w:szCs w:val="24"/>
        </w:rPr>
        <w:t xml:space="preserve"> Healthcare, Merck, AstraZeneca, and Janssen, and paid consultancy from Merck and </w:t>
      </w:r>
      <w:proofErr w:type="spellStart"/>
      <w:r w:rsidR="003518CB">
        <w:rPr>
          <w:rFonts w:asciiTheme="majorHAnsi" w:hAnsiTheme="majorHAnsi"/>
          <w:sz w:val="24"/>
          <w:szCs w:val="24"/>
        </w:rPr>
        <w:t>ViiV</w:t>
      </w:r>
      <w:proofErr w:type="spellEnd"/>
      <w:r w:rsidR="003518CB">
        <w:rPr>
          <w:rFonts w:asciiTheme="majorHAnsi" w:hAnsiTheme="majorHAnsi"/>
          <w:sz w:val="24"/>
          <w:szCs w:val="24"/>
        </w:rPr>
        <w:t xml:space="preserve"> Healthcare.</w:t>
      </w:r>
      <w:r w:rsidR="005A1327">
        <w:rPr>
          <w:rFonts w:asciiTheme="majorHAnsi" w:hAnsiTheme="majorHAnsi"/>
          <w:sz w:val="24"/>
          <w:szCs w:val="24"/>
        </w:rPr>
        <w:t xml:space="preserve">  Ian Charles is a consultant for </w:t>
      </w:r>
      <w:proofErr w:type="spellStart"/>
      <w:r w:rsidR="005A1327">
        <w:rPr>
          <w:rFonts w:asciiTheme="majorHAnsi" w:hAnsiTheme="majorHAnsi"/>
          <w:sz w:val="24"/>
          <w:szCs w:val="24"/>
        </w:rPr>
        <w:t>Auspherix</w:t>
      </w:r>
      <w:proofErr w:type="spellEnd"/>
      <w:r w:rsidR="005A1327">
        <w:rPr>
          <w:rFonts w:asciiTheme="majorHAnsi" w:hAnsiTheme="majorHAnsi"/>
          <w:sz w:val="24"/>
          <w:szCs w:val="24"/>
        </w:rPr>
        <w:t>.</w:t>
      </w:r>
    </w:p>
    <w:p w14:paraId="57F410C0" w14:textId="5AC65AD7" w:rsidR="005078DA" w:rsidRPr="00AE1E14" w:rsidRDefault="005078DA" w:rsidP="00EB3D34">
      <w:pPr>
        <w:spacing w:after="120" w:line="480" w:lineRule="auto"/>
        <w:rPr>
          <w:rFonts w:asciiTheme="majorHAnsi" w:hAnsiTheme="majorHAnsi"/>
          <w:sz w:val="24"/>
          <w:szCs w:val="24"/>
          <w:lang w:val="en-US"/>
        </w:rPr>
      </w:pPr>
      <w:r w:rsidRPr="00AE1E14">
        <w:rPr>
          <w:rFonts w:asciiTheme="majorHAnsi" w:hAnsiTheme="majorHAnsi"/>
          <w:sz w:val="24"/>
          <w:szCs w:val="24"/>
          <w:lang w:val="en-US"/>
        </w:rPr>
        <w:t>Funding</w:t>
      </w:r>
    </w:p>
    <w:p w14:paraId="3B039BBE" w14:textId="3CEAC0F6" w:rsidR="005078DA" w:rsidRPr="00AE1E14" w:rsidRDefault="00224579" w:rsidP="00EB3D34">
      <w:pPr>
        <w:spacing w:after="120" w:line="480" w:lineRule="auto"/>
        <w:rPr>
          <w:rFonts w:asciiTheme="majorHAnsi" w:hAnsiTheme="majorHAnsi"/>
          <w:sz w:val="24"/>
          <w:szCs w:val="24"/>
          <w:lang w:val="en-US"/>
        </w:rPr>
      </w:pPr>
      <w:r w:rsidRPr="00AE1E14">
        <w:rPr>
          <w:rFonts w:asciiTheme="majorHAnsi" w:hAnsiTheme="majorHAnsi"/>
          <w:sz w:val="24"/>
          <w:szCs w:val="24"/>
          <w:lang w:val="en-US"/>
        </w:rPr>
        <w:t xml:space="preserve">This work was supported by Medical Research Council New Investigator grant to </w:t>
      </w:r>
      <w:proofErr w:type="spellStart"/>
      <w:r w:rsidRPr="00AE1E14">
        <w:rPr>
          <w:rFonts w:asciiTheme="majorHAnsi" w:hAnsiTheme="majorHAnsi"/>
          <w:sz w:val="24"/>
          <w:szCs w:val="24"/>
          <w:lang w:val="en-US"/>
        </w:rPr>
        <w:t>Dr</w:t>
      </w:r>
      <w:proofErr w:type="spellEnd"/>
      <w:r w:rsidRPr="00AE1E14">
        <w:rPr>
          <w:rFonts w:asciiTheme="majorHAnsi" w:hAnsiTheme="majorHAnsi"/>
          <w:sz w:val="24"/>
          <w:szCs w:val="24"/>
          <w:lang w:val="en-US"/>
        </w:rPr>
        <w:t xml:space="preserve"> Gemma Nixon </w:t>
      </w:r>
      <w:r w:rsidRPr="00AE1E14">
        <w:rPr>
          <w:rFonts w:asciiTheme="majorHAnsi" w:hAnsiTheme="majorHAnsi"/>
          <w:b/>
          <w:sz w:val="24"/>
          <w:szCs w:val="24"/>
          <w:lang w:val="en-US"/>
        </w:rPr>
        <w:t>(</w:t>
      </w:r>
      <w:r w:rsidR="00807D53" w:rsidRPr="00AE1E14">
        <w:rPr>
          <w:rStyle w:val="Strong"/>
          <w:rFonts w:asciiTheme="majorHAnsi" w:hAnsiTheme="majorHAnsi"/>
          <w:b w:val="0"/>
          <w:sz w:val="24"/>
          <w:szCs w:val="24"/>
        </w:rPr>
        <w:t>MR/N023005/1</w:t>
      </w:r>
      <w:r w:rsidRPr="00AE1E14">
        <w:rPr>
          <w:rFonts w:asciiTheme="majorHAnsi" w:hAnsiTheme="majorHAnsi"/>
          <w:b/>
          <w:sz w:val="24"/>
          <w:szCs w:val="24"/>
          <w:lang w:val="en-US"/>
        </w:rPr>
        <w:t>)</w:t>
      </w:r>
      <w:r w:rsidR="00807D53" w:rsidRPr="00AE1E14">
        <w:rPr>
          <w:rFonts w:asciiTheme="majorHAnsi" w:hAnsiTheme="majorHAnsi"/>
          <w:sz w:val="24"/>
          <w:szCs w:val="24"/>
          <w:lang w:val="en-US"/>
        </w:rPr>
        <w:t xml:space="preserve"> and</w:t>
      </w:r>
      <w:r w:rsidR="00EE56E7" w:rsidRPr="00AE1E14">
        <w:rPr>
          <w:rFonts w:asciiTheme="majorHAnsi" w:hAnsiTheme="majorHAnsi"/>
          <w:sz w:val="24"/>
          <w:szCs w:val="24"/>
          <w:lang w:val="en-US"/>
        </w:rPr>
        <w:t xml:space="preserve"> </w:t>
      </w:r>
      <w:r w:rsidRPr="00AE1E14">
        <w:rPr>
          <w:rFonts w:asciiTheme="majorHAnsi" w:hAnsiTheme="majorHAnsi"/>
          <w:sz w:val="24"/>
          <w:szCs w:val="24"/>
          <w:lang w:val="en-US"/>
        </w:rPr>
        <w:t>the In</w:t>
      </w:r>
      <w:r w:rsidR="0081772B" w:rsidRPr="00AE1E14">
        <w:rPr>
          <w:rFonts w:asciiTheme="majorHAnsi" w:hAnsiTheme="majorHAnsi"/>
          <w:sz w:val="24"/>
          <w:szCs w:val="24"/>
          <w:lang w:val="en-US"/>
        </w:rPr>
        <w:t>stitute of Food Research, Norwich, UK.</w:t>
      </w:r>
    </w:p>
    <w:p w14:paraId="7F310DED" w14:textId="1B14AC8F" w:rsidR="001D5DA0" w:rsidRDefault="001D5DA0">
      <w:pPr>
        <w:spacing w:after="0" w:line="240" w:lineRule="auto"/>
        <w:rPr>
          <w:rFonts w:asciiTheme="majorHAnsi" w:hAnsiTheme="majorHAnsi"/>
          <w:b/>
          <w:sz w:val="24"/>
          <w:szCs w:val="24"/>
          <w:lang w:val="en-US"/>
        </w:rPr>
      </w:pPr>
      <w:r>
        <w:rPr>
          <w:rFonts w:asciiTheme="majorHAnsi" w:hAnsiTheme="majorHAnsi"/>
          <w:b/>
          <w:sz w:val="24"/>
          <w:szCs w:val="24"/>
          <w:lang w:val="en-US"/>
        </w:rPr>
        <w:br w:type="page"/>
      </w:r>
    </w:p>
    <w:p w14:paraId="31E85446" w14:textId="6297038D" w:rsidR="00900889" w:rsidRPr="00EB3D34" w:rsidRDefault="00633167" w:rsidP="00EB3D34">
      <w:pPr>
        <w:spacing w:after="120" w:line="480" w:lineRule="auto"/>
        <w:outlineLvl w:val="0"/>
        <w:rPr>
          <w:rFonts w:asciiTheme="majorHAnsi" w:hAnsiTheme="majorHAnsi"/>
          <w:b/>
          <w:sz w:val="24"/>
          <w:szCs w:val="24"/>
          <w:lang w:val="en-US"/>
        </w:rPr>
      </w:pPr>
      <w:r w:rsidRPr="00EB3D34">
        <w:rPr>
          <w:rFonts w:asciiTheme="majorHAnsi" w:hAnsiTheme="majorHAnsi"/>
          <w:b/>
          <w:sz w:val="24"/>
          <w:szCs w:val="24"/>
          <w:lang w:val="en-US"/>
        </w:rPr>
        <w:lastRenderedPageBreak/>
        <w:t>ABSTRACT</w:t>
      </w:r>
    </w:p>
    <w:p w14:paraId="38F5C88A" w14:textId="6DF5A236" w:rsidR="00900889" w:rsidRDefault="00900889" w:rsidP="00EB3D34">
      <w:pPr>
        <w:spacing w:after="0" w:line="480" w:lineRule="auto"/>
        <w:rPr>
          <w:rFonts w:asciiTheme="majorHAnsi" w:hAnsiTheme="majorHAnsi"/>
          <w:sz w:val="24"/>
          <w:szCs w:val="24"/>
          <w:lang w:val="en-US"/>
        </w:rPr>
      </w:pPr>
      <w:r w:rsidRPr="00EB3D34">
        <w:rPr>
          <w:rFonts w:asciiTheme="majorHAnsi" w:hAnsiTheme="majorHAnsi"/>
          <w:sz w:val="24"/>
          <w:szCs w:val="24"/>
          <w:lang w:val="en-US"/>
        </w:rPr>
        <w:t xml:space="preserve">Current </w:t>
      </w:r>
      <w:r w:rsidR="001058F0" w:rsidRPr="00EB3D34">
        <w:rPr>
          <w:rFonts w:asciiTheme="majorHAnsi" w:hAnsiTheme="majorHAnsi"/>
          <w:sz w:val="24"/>
          <w:szCs w:val="24"/>
          <w:lang w:val="en-US"/>
        </w:rPr>
        <w:t>therapeutic options</w:t>
      </w:r>
      <w:r w:rsidRPr="00EB3D34">
        <w:rPr>
          <w:rFonts w:asciiTheme="majorHAnsi" w:hAnsiTheme="majorHAnsi"/>
          <w:sz w:val="24"/>
          <w:szCs w:val="24"/>
          <w:lang w:val="en-US"/>
        </w:rPr>
        <w:t xml:space="preserve"> </w:t>
      </w:r>
      <w:r w:rsidR="006E242F" w:rsidRPr="00EB3D34">
        <w:rPr>
          <w:rFonts w:asciiTheme="majorHAnsi" w:hAnsiTheme="majorHAnsi"/>
          <w:sz w:val="24"/>
          <w:szCs w:val="24"/>
          <w:lang w:val="en-US"/>
        </w:rPr>
        <w:t xml:space="preserve">for cryptococcal meningitis </w:t>
      </w:r>
      <w:r w:rsidRPr="00EB3D34">
        <w:rPr>
          <w:rFonts w:asciiTheme="majorHAnsi" w:hAnsiTheme="majorHAnsi"/>
          <w:sz w:val="24"/>
          <w:szCs w:val="24"/>
          <w:lang w:val="en-US"/>
        </w:rPr>
        <w:t xml:space="preserve">are </w:t>
      </w:r>
      <w:r w:rsidR="001058F0" w:rsidRPr="00EB3D34">
        <w:rPr>
          <w:rFonts w:asciiTheme="majorHAnsi" w:hAnsiTheme="majorHAnsi"/>
          <w:sz w:val="24"/>
          <w:szCs w:val="24"/>
          <w:lang w:val="en-US"/>
        </w:rPr>
        <w:t>limited</w:t>
      </w:r>
      <w:r w:rsidRPr="00EB3D34">
        <w:rPr>
          <w:rFonts w:asciiTheme="majorHAnsi" w:hAnsiTheme="majorHAnsi"/>
          <w:sz w:val="24"/>
          <w:szCs w:val="24"/>
          <w:lang w:val="en-US"/>
        </w:rPr>
        <w:t xml:space="preserve"> by toxicity, global supply </w:t>
      </w:r>
      <w:r w:rsidR="001058F0" w:rsidRPr="00EB3D34">
        <w:rPr>
          <w:rFonts w:asciiTheme="majorHAnsi" w:hAnsiTheme="majorHAnsi"/>
          <w:sz w:val="24"/>
          <w:szCs w:val="24"/>
          <w:lang w:val="en-US"/>
        </w:rPr>
        <w:t xml:space="preserve">and </w:t>
      </w:r>
      <w:r w:rsidRPr="00EB3D34">
        <w:rPr>
          <w:rFonts w:asciiTheme="majorHAnsi" w:hAnsiTheme="majorHAnsi"/>
          <w:sz w:val="24"/>
          <w:szCs w:val="24"/>
          <w:lang w:val="en-US"/>
        </w:rPr>
        <w:t>emergence of resistance</w:t>
      </w:r>
      <w:r w:rsidR="001058F0" w:rsidRPr="00EB3D34">
        <w:rPr>
          <w:rFonts w:asciiTheme="majorHAnsi" w:hAnsiTheme="majorHAnsi"/>
          <w:sz w:val="24"/>
          <w:szCs w:val="24"/>
          <w:lang w:val="en-US"/>
        </w:rPr>
        <w:t>.</w:t>
      </w:r>
      <w:r w:rsidRPr="00EB3D34">
        <w:rPr>
          <w:rFonts w:asciiTheme="majorHAnsi" w:hAnsiTheme="majorHAnsi"/>
          <w:sz w:val="24"/>
          <w:szCs w:val="24"/>
          <w:lang w:val="en-US"/>
        </w:rPr>
        <w:t xml:space="preserve"> </w:t>
      </w:r>
      <w:r w:rsidR="001058F0" w:rsidRPr="00EB3D34">
        <w:rPr>
          <w:rFonts w:asciiTheme="majorHAnsi" w:hAnsiTheme="majorHAnsi"/>
          <w:sz w:val="24"/>
          <w:szCs w:val="24"/>
          <w:lang w:val="en-US"/>
        </w:rPr>
        <w:t xml:space="preserve"> There is</w:t>
      </w:r>
      <w:r w:rsidRPr="00EB3D34">
        <w:rPr>
          <w:rFonts w:asciiTheme="majorHAnsi" w:hAnsiTheme="majorHAnsi"/>
          <w:sz w:val="24"/>
          <w:szCs w:val="24"/>
          <w:lang w:val="en-US"/>
        </w:rPr>
        <w:t xml:space="preserve"> an urgent need to develop </w:t>
      </w:r>
      <w:r w:rsidR="001058F0" w:rsidRPr="00EB3D34">
        <w:rPr>
          <w:rFonts w:asciiTheme="majorHAnsi" w:hAnsiTheme="majorHAnsi"/>
          <w:sz w:val="24"/>
          <w:szCs w:val="24"/>
          <w:lang w:val="en-US"/>
        </w:rPr>
        <w:t xml:space="preserve">additional antifungal agents that are fungicidal </w:t>
      </w:r>
      <w:r w:rsidR="00E26DDA" w:rsidRPr="00EB3D34">
        <w:rPr>
          <w:rFonts w:asciiTheme="majorHAnsi" w:hAnsiTheme="majorHAnsi"/>
          <w:sz w:val="24"/>
          <w:szCs w:val="24"/>
          <w:lang w:val="en-US"/>
        </w:rPr>
        <w:t xml:space="preserve">within the central nervous system </w:t>
      </w:r>
      <w:r w:rsidR="001058F0" w:rsidRPr="00EB3D34">
        <w:rPr>
          <w:rFonts w:asciiTheme="majorHAnsi" w:hAnsiTheme="majorHAnsi"/>
          <w:sz w:val="24"/>
          <w:szCs w:val="24"/>
          <w:lang w:val="en-US"/>
        </w:rPr>
        <w:t>and preferably orally bioavailable</w:t>
      </w:r>
      <w:r w:rsidRPr="00EB3D34">
        <w:rPr>
          <w:rFonts w:asciiTheme="majorHAnsi" w:hAnsiTheme="majorHAnsi"/>
          <w:sz w:val="24"/>
          <w:szCs w:val="24"/>
          <w:lang w:val="en-US"/>
        </w:rPr>
        <w:t>.</w:t>
      </w:r>
      <w:r w:rsidR="001058F0" w:rsidRPr="00EB3D34">
        <w:rPr>
          <w:rFonts w:asciiTheme="majorHAnsi" w:hAnsiTheme="majorHAnsi"/>
          <w:sz w:val="24"/>
          <w:szCs w:val="24"/>
          <w:lang w:val="en-US"/>
        </w:rPr>
        <w:t xml:space="preserve"> </w:t>
      </w:r>
      <w:r w:rsidRPr="00EB3D34">
        <w:rPr>
          <w:rFonts w:asciiTheme="majorHAnsi" w:hAnsiTheme="majorHAnsi"/>
          <w:sz w:val="24"/>
          <w:szCs w:val="24"/>
          <w:lang w:val="en-US"/>
        </w:rPr>
        <w:t xml:space="preserve"> </w:t>
      </w:r>
      <w:r w:rsidR="005078DA" w:rsidRPr="00EB3D34">
        <w:rPr>
          <w:rFonts w:asciiTheme="majorHAnsi" w:hAnsiTheme="majorHAnsi"/>
          <w:sz w:val="24"/>
          <w:szCs w:val="24"/>
          <w:lang w:val="en-US"/>
        </w:rPr>
        <w:t>T</w:t>
      </w:r>
      <w:r w:rsidR="001058F0" w:rsidRPr="00EB3D34">
        <w:rPr>
          <w:rFonts w:asciiTheme="majorHAnsi" w:hAnsiTheme="majorHAnsi"/>
          <w:sz w:val="24"/>
          <w:szCs w:val="24"/>
          <w:lang w:val="en-US"/>
        </w:rPr>
        <w:t>he benzimidazole</w:t>
      </w:r>
      <w:r w:rsidR="005078DA" w:rsidRPr="00EB3D34">
        <w:rPr>
          <w:rFonts w:asciiTheme="majorHAnsi" w:hAnsiTheme="majorHAnsi"/>
          <w:sz w:val="24"/>
          <w:szCs w:val="24"/>
          <w:lang w:val="en-US"/>
        </w:rPr>
        <w:t>s</w:t>
      </w:r>
      <w:r w:rsidR="001A60CE">
        <w:rPr>
          <w:rFonts w:asciiTheme="majorHAnsi" w:hAnsiTheme="majorHAnsi"/>
          <w:sz w:val="24"/>
          <w:szCs w:val="24"/>
          <w:lang w:val="en-US"/>
        </w:rPr>
        <w:t xml:space="preserve"> have broad-</w:t>
      </w:r>
      <w:r w:rsidR="001058F0" w:rsidRPr="00EB3D34">
        <w:rPr>
          <w:rFonts w:asciiTheme="majorHAnsi" w:hAnsiTheme="majorHAnsi"/>
          <w:sz w:val="24"/>
          <w:szCs w:val="24"/>
          <w:lang w:val="en-US"/>
        </w:rPr>
        <w:t>spectrum anti-parasitic activity</w:t>
      </w:r>
      <w:r w:rsidR="005078DA" w:rsidRPr="00EB3D34">
        <w:rPr>
          <w:rFonts w:asciiTheme="majorHAnsi" w:hAnsiTheme="majorHAnsi"/>
          <w:sz w:val="24"/>
          <w:szCs w:val="24"/>
          <w:lang w:val="en-US"/>
        </w:rPr>
        <w:t>, but</w:t>
      </w:r>
      <w:r w:rsidR="00E26DDA" w:rsidRPr="00EB3D34">
        <w:rPr>
          <w:rFonts w:asciiTheme="majorHAnsi" w:hAnsiTheme="majorHAnsi"/>
          <w:sz w:val="24"/>
          <w:szCs w:val="24"/>
          <w:lang w:val="en-US"/>
        </w:rPr>
        <w:t xml:space="preserve"> also have </w:t>
      </w:r>
      <w:r w:rsidR="005078DA" w:rsidRPr="001A60CE">
        <w:rPr>
          <w:rFonts w:asciiTheme="majorHAnsi" w:hAnsiTheme="majorHAnsi"/>
          <w:i/>
          <w:sz w:val="24"/>
          <w:szCs w:val="24"/>
          <w:lang w:val="en-US"/>
        </w:rPr>
        <w:t>in vitro</w:t>
      </w:r>
      <w:r w:rsidR="005078DA" w:rsidRPr="00EB3D34">
        <w:rPr>
          <w:rFonts w:asciiTheme="majorHAnsi" w:hAnsiTheme="majorHAnsi"/>
          <w:sz w:val="24"/>
          <w:szCs w:val="24"/>
          <w:lang w:val="en-US"/>
        </w:rPr>
        <w:t xml:space="preserve"> antifungal activity that includes </w:t>
      </w:r>
      <w:r w:rsidR="005078DA" w:rsidRPr="00EB3D34">
        <w:rPr>
          <w:rFonts w:asciiTheme="majorHAnsi" w:hAnsiTheme="majorHAnsi"/>
          <w:i/>
          <w:sz w:val="24"/>
          <w:szCs w:val="24"/>
          <w:lang w:val="en-US"/>
        </w:rPr>
        <w:t>Cryptococcus neoformans</w:t>
      </w:r>
      <w:r w:rsidR="005078DA" w:rsidRPr="00EB3D34">
        <w:rPr>
          <w:rFonts w:asciiTheme="majorHAnsi" w:hAnsiTheme="majorHAnsi"/>
          <w:sz w:val="24"/>
          <w:szCs w:val="24"/>
          <w:lang w:val="en-US"/>
        </w:rPr>
        <w:t xml:space="preserve">.  Flubendazole (a benzimidazole) has been reformulated by Janssen </w:t>
      </w:r>
      <w:proofErr w:type="spellStart"/>
      <w:r w:rsidR="005078DA" w:rsidRPr="00EB3D34">
        <w:rPr>
          <w:rFonts w:asciiTheme="majorHAnsi" w:hAnsiTheme="majorHAnsi"/>
          <w:sz w:val="24"/>
          <w:szCs w:val="24"/>
          <w:lang w:val="en-US"/>
        </w:rPr>
        <w:t>Pharmaceutica</w:t>
      </w:r>
      <w:proofErr w:type="spellEnd"/>
      <w:r w:rsidR="005078DA" w:rsidRPr="00EB3D34">
        <w:rPr>
          <w:rFonts w:asciiTheme="majorHAnsi" w:hAnsiTheme="majorHAnsi"/>
          <w:sz w:val="24"/>
          <w:szCs w:val="24"/>
          <w:lang w:val="en-US"/>
        </w:rPr>
        <w:t xml:space="preserve"> as a</w:t>
      </w:r>
      <w:r w:rsidR="00393938">
        <w:rPr>
          <w:rFonts w:asciiTheme="majorHAnsi" w:hAnsiTheme="majorHAnsi"/>
          <w:sz w:val="24"/>
          <w:szCs w:val="24"/>
          <w:lang w:val="en-US"/>
        </w:rPr>
        <w:t>n amorphous</w:t>
      </w:r>
      <w:r w:rsidR="005078DA" w:rsidRPr="00393938">
        <w:rPr>
          <w:rFonts w:asciiTheme="majorHAnsi" w:hAnsiTheme="majorHAnsi"/>
          <w:sz w:val="24"/>
          <w:szCs w:val="24"/>
          <w:lang w:val="en-US"/>
        </w:rPr>
        <w:t xml:space="preserve"> solid drug </w:t>
      </w:r>
      <w:proofErr w:type="spellStart"/>
      <w:r w:rsidR="00393938">
        <w:rPr>
          <w:rFonts w:asciiTheme="majorHAnsi" w:hAnsiTheme="majorHAnsi"/>
          <w:sz w:val="24"/>
          <w:szCs w:val="24"/>
          <w:lang w:val="en-US"/>
        </w:rPr>
        <w:t>nano</w:t>
      </w:r>
      <w:r w:rsidR="005078DA" w:rsidRPr="00393938">
        <w:rPr>
          <w:rFonts w:asciiTheme="majorHAnsi" w:hAnsiTheme="majorHAnsi"/>
          <w:sz w:val="24"/>
          <w:szCs w:val="24"/>
          <w:lang w:val="en-US"/>
        </w:rPr>
        <w:t>dispersion</w:t>
      </w:r>
      <w:proofErr w:type="spellEnd"/>
      <w:r w:rsidR="005078DA" w:rsidRPr="00393938">
        <w:rPr>
          <w:rFonts w:asciiTheme="majorHAnsi" w:hAnsiTheme="majorHAnsi"/>
          <w:sz w:val="24"/>
          <w:szCs w:val="24"/>
          <w:lang w:val="en-US"/>
        </w:rPr>
        <w:t xml:space="preserve"> to develop an orally bioavailable medicine for the treatment of neglected tropical diseases such as </w:t>
      </w:r>
      <w:r w:rsidR="005002A9" w:rsidRPr="00D2766A">
        <w:rPr>
          <w:rFonts w:asciiTheme="majorHAnsi" w:eastAsia="Times New Roman" w:hAnsiTheme="majorHAnsi" w:cs="Times New Roman"/>
          <w:color w:val="000000" w:themeColor="text1"/>
          <w:sz w:val="24"/>
          <w:szCs w:val="24"/>
          <w:shd w:val="clear" w:color="auto" w:fill="FFFFFF"/>
          <w:lang w:eastAsia="en-GB"/>
        </w:rPr>
        <w:t>onchocerciasis</w:t>
      </w:r>
      <w:r w:rsidR="005078DA" w:rsidRPr="00D2766A">
        <w:rPr>
          <w:rFonts w:asciiTheme="majorHAnsi" w:hAnsiTheme="majorHAnsi"/>
          <w:color w:val="000000" w:themeColor="text1"/>
          <w:sz w:val="24"/>
          <w:szCs w:val="24"/>
          <w:lang w:val="en-US"/>
        </w:rPr>
        <w:t xml:space="preserve">.  We investigated the </w:t>
      </w:r>
      <w:r w:rsidR="005078DA" w:rsidRPr="001A60CE">
        <w:rPr>
          <w:rFonts w:asciiTheme="majorHAnsi" w:hAnsiTheme="majorHAnsi"/>
          <w:i/>
          <w:color w:val="000000" w:themeColor="text1"/>
          <w:sz w:val="24"/>
          <w:szCs w:val="24"/>
          <w:lang w:val="en-US"/>
        </w:rPr>
        <w:t>in vitro</w:t>
      </w:r>
      <w:r w:rsidR="005078DA" w:rsidRPr="00D2766A">
        <w:rPr>
          <w:rFonts w:asciiTheme="majorHAnsi" w:hAnsiTheme="majorHAnsi"/>
          <w:color w:val="000000" w:themeColor="text1"/>
          <w:sz w:val="24"/>
          <w:szCs w:val="24"/>
          <w:lang w:val="en-US"/>
        </w:rPr>
        <w:t xml:space="preserve"> activity, the structure-activity-relationships and </w:t>
      </w:r>
      <w:r w:rsidR="005078DA" w:rsidRPr="005002A9">
        <w:rPr>
          <w:rFonts w:asciiTheme="majorHAnsi" w:hAnsiTheme="majorHAnsi"/>
          <w:sz w:val="24"/>
          <w:szCs w:val="24"/>
          <w:lang w:val="en-US"/>
        </w:rPr>
        <w:t xml:space="preserve">both </w:t>
      </w:r>
      <w:r w:rsidR="005078DA" w:rsidRPr="001A60CE">
        <w:rPr>
          <w:rFonts w:asciiTheme="majorHAnsi" w:hAnsiTheme="majorHAnsi"/>
          <w:i/>
          <w:sz w:val="24"/>
          <w:szCs w:val="24"/>
          <w:lang w:val="en-US"/>
        </w:rPr>
        <w:t>in vitro</w:t>
      </w:r>
      <w:r w:rsidR="005078DA" w:rsidRPr="005002A9">
        <w:rPr>
          <w:rFonts w:asciiTheme="majorHAnsi" w:hAnsiTheme="majorHAnsi"/>
          <w:sz w:val="24"/>
          <w:szCs w:val="24"/>
          <w:lang w:val="en-US"/>
        </w:rPr>
        <w:t xml:space="preserve"> and </w:t>
      </w:r>
      <w:r w:rsidR="005078DA" w:rsidRPr="001A60CE">
        <w:rPr>
          <w:rFonts w:asciiTheme="majorHAnsi" w:hAnsiTheme="majorHAnsi"/>
          <w:i/>
          <w:sz w:val="24"/>
          <w:szCs w:val="24"/>
          <w:lang w:val="en-US"/>
        </w:rPr>
        <w:t>in vivo</w:t>
      </w:r>
      <w:r w:rsidR="005078DA">
        <w:rPr>
          <w:rFonts w:asciiTheme="majorHAnsi" w:hAnsiTheme="majorHAnsi"/>
          <w:sz w:val="24"/>
          <w:szCs w:val="24"/>
          <w:lang w:val="en-US"/>
        </w:rPr>
        <w:t xml:space="preserve"> pharmacodynamics of flubendazole for cryptococcal meningitis.  Flubendazole has potent in vitro activity against </w:t>
      </w:r>
      <w:r w:rsidR="005078DA" w:rsidRPr="002A027C">
        <w:rPr>
          <w:rFonts w:asciiTheme="majorHAnsi" w:hAnsiTheme="majorHAnsi"/>
          <w:i/>
          <w:sz w:val="24"/>
          <w:szCs w:val="24"/>
          <w:lang w:val="en-US"/>
        </w:rPr>
        <w:t>Cryptococcus neoformans</w:t>
      </w:r>
      <w:r w:rsidR="005078DA">
        <w:rPr>
          <w:rFonts w:asciiTheme="majorHAnsi" w:hAnsiTheme="majorHAnsi"/>
          <w:sz w:val="24"/>
          <w:szCs w:val="24"/>
          <w:lang w:val="en-US"/>
        </w:rPr>
        <w:t xml:space="preserve"> </w:t>
      </w:r>
      <w:r w:rsidR="0079730E">
        <w:rPr>
          <w:rFonts w:asciiTheme="majorHAnsi" w:hAnsiTheme="majorHAnsi"/>
          <w:sz w:val="24"/>
          <w:szCs w:val="24"/>
          <w:lang w:val="en-US"/>
        </w:rPr>
        <w:t>with a moda</w:t>
      </w:r>
      <w:r w:rsidR="005078DA">
        <w:rPr>
          <w:rFonts w:asciiTheme="majorHAnsi" w:hAnsiTheme="majorHAnsi"/>
          <w:sz w:val="24"/>
          <w:szCs w:val="24"/>
          <w:lang w:val="en-US"/>
        </w:rPr>
        <w:t xml:space="preserve">l </w:t>
      </w:r>
      <w:r w:rsidRPr="00876AB1">
        <w:rPr>
          <w:rFonts w:asciiTheme="majorHAnsi" w:eastAsia="Times New Roman" w:hAnsiTheme="majorHAnsi" w:cs="Arial"/>
          <w:sz w:val="24"/>
          <w:szCs w:val="24"/>
          <w:lang w:val="en-US" w:eastAsia="en-GB"/>
        </w:rPr>
        <w:t xml:space="preserve">MIC </w:t>
      </w:r>
      <w:r w:rsidR="0062757A">
        <w:rPr>
          <w:rFonts w:asciiTheme="majorHAnsi" w:eastAsia="Times New Roman" w:hAnsiTheme="majorHAnsi" w:cs="Arial"/>
          <w:sz w:val="24"/>
          <w:szCs w:val="24"/>
          <w:lang w:val="en-US" w:eastAsia="en-GB"/>
        </w:rPr>
        <w:t>of</w:t>
      </w:r>
      <w:r w:rsidRPr="00876AB1">
        <w:rPr>
          <w:rFonts w:asciiTheme="majorHAnsi" w:eastAsia="Times New Roman" w:hAnsiTheme="majorHAnsi" w:cs="Arial"/>
          <w:sz w:val="24"/>
          <w:szCs w:val="24"/>
          <w:lang w:val="en-US" w:eastAsia="en-GB"/>
        </w:rPr>
        <w:t xml:space="preserve"> </w:t>
      </w:r>
      <w:r w:rsidR="0062757A" w:rsidRPr="00876AB1">
        <w:rPr>
          <w:rFonts w:asciiTheme="majorHAnsi" w:eastAsia="Times New Roman" w:hAnsiTheme="majorHAnsi" w:cs="Arial"/>
          <w:sz w:val="24"/>
          <w:szCs w:val="24"/>
          <w:lang w:val="en-US" w:eastAsia="en-GB"/>
        </w:rPr>
        <w:t xml:space="preserve">0.125 </w:t>
      </w:r>
      <w:r w:rsidR="0062757A">
        <w:rPr>
          <w:rFonts w:asciiTheme="majorHAnsi" w:eastAsia="Times New Roman" w:hAnsiTheme="majorHAnsi" w:cs="Arial"/>
          <w:sz w:val="24"/>
          <w:szCs w:val="24"/>
          <w:lang w:val="en-US" w:eastAsia="en-GB"/>
        </w:rPr>
        <w:t xml:space="preserve">mg/L using </w:t>
      </w:r>
      <w:r w:rsidRPr="00876AB1">
        <w:rPr>
          <w:rFonts w:asciiTheme="majorHAnsi" w:eastAsia="Times New Roman" w:hAnsiTheme="majorHAnsi" w:cs="Arial"/>
          <w:sz w:val="24"/>
          <w:szCs w:val="24"/>
          <w:lang w:val="en-US" w:eastAsia="en-GB"/>
        </w:rPr>
        <w:t>E</w:t>
      </w:r>
      <w:r w:rsidR="0062757A">
        <w:rPr>
          <w:rFonts w:asciiTheme="majorHAnsi" w:eastAsia="Times New Roman" w:hAnsiTheme="majorHAnsi" w:cs="Arial"/>
          <w:sz w:val="24"/>
          <w:szCs w:val="24"/>
          <w:lang w:val="en-US" w:eastAsia="en-GB"/>
        </w:rPr>
        <w:t>uropean Committee for Antimicrobial Susceptibility Testing (E</w:t>
      </w:r>
      <w:r w:rsidRPr="00876AB1">
        <w:rPr>
          <w:rFonts w:asciiTheme="majorHAnsi" w:eastAsia="Times New Roman" w:hAnsiTheme="majorHAnsi" w:cs="Arial"/>
          <w:sz w:val="24"/>
          <w:szCs w:val="24"/>
          <w:lang w:val="en-US" w:eastAsia="en-GB"/>
        </w:rPr>
        <w:t>UCAST</w:t>
      </w:r>
      <w:r w:rsidR="0062757A">
        <w:rPr>
          <w:rFonts w:asciiTheme="majorHAnsi" w:eastAsia="Times New Roman" w:hAnsiTheme="majorHAnsi" w:cs="Arial"/>
          <w:sz w:val="24"/>
          <w:szCs w:val="24"/>
          <w:lang w:val="en-US" w:eastAsia="en-GB"/>
        </w:rPr>
        <w:t>)</w:t>
      </w:r>
      <w:r w:rsidR="0062757A">
        <w:rPr>
          <w:rFonts w:asciiTheme="majorHAnsi" w:hAnsiTheme="majorHAnsi"/>
          <w:sz w:val="24"/>
          <w:szCs w:val="24"/>
          <w:lang w:val="en-US"/>
        </w:rPr>
        <w:t xml:space="preserve"> methodology. </w:t>
      </w:r>
      <w:r w:rsidRPr="00876AB1">
        <w:rPr>
          <w:rFonts w:asciiTheme="majorHAnsi" w:hAnsiTheme="majorHAnsi"/>
          <w:sz w:val="24"/>
          <w:szCs w:val="24"/>
          <w:lang w:val="en-US"/>
        </w:rPr>
        <w:t xml:space="preserve"> </w:t>
      </w:r>
      <w:r w:rsidR="00224579">
        <w:rPr>
          <w:rFonts w:asciiTheme="majorHAnsi" w:hAnsiTheme="majorHAnsi"/>
          <w:sz w:val="24"/>
          <w:szCs w:val="24"/>
          <w:lang w:val="en-US"/>
        </w:rPr>
        <w:t xml:space="preserve">Computer models provided an insight into the residues responsible for the binding of flubendazole to cryptococcal </w:t>
      </w:r>
      <w:r w:rsidR="00224579">
        <w:rPr>
          <w:rFonts w:ascii="Calibri Light" w:hAnsi="Calibri Light"/>
          <w:sz w:val="24"/>
          <w:szCs w:val="24"/>
          <w:lang w:val="en-US"/>
        </w:rPr>
        <w:t>ß</w:t>
      </w:r>
      <w:r w:rsidR="00224579">
        <w:rPr>
          <w:rFonts w:asciiTheme="majorHAnsi" w:hAnsiTheme="majorHAnsi"/>
          <w:sz w:val="24"/>
          <w:szCs w:val="24"/>
          <w:lang w:val="en-US"/>
        </w:rPr>
        <w:t xml:space="preserve">-tubulin. </w:t>
      </w:r>
      <w:r w:rsidR="00E70D5C">
        <w:rPr>
          <w:rFonts w:asciiTheme="majorHAnsi" w:hAnsiTheme="majorHAnsi"/>
          <w:sz w:val="24"/>
          <w:szCs w:val="24"/>
          <w:lang w:val="en-US"/>
        </w:rPr>
        <w:t xml:space="preserve"> </w:t>
      </w:r>
      <w:r w:rsidR="0062757A">
        <w:rPr>
          <w:rFonts w:asciiTheme="majorHAnsi" w:hAnsiTheme="majorHAnsi"/>
          <w:sz w:val="24"/>
          <w:szCs w:val="24"/>
          <w:lang w:val="en-US"/>
        </w:rPr>
        <w:t>Rapid fungicidal activity was evident in a h</w:t>
      </w:r>
      <w:r w:rsidRPr="00876AB1">
        <w:rPr>
          <w:rFonts w:asciiTheme="majorHAnsi" w:hAnsiTheme="majorHAnsi"/>
          <w:sz w:val="24"/>
          <w:szCs w:val="24"/>
          <w:lang w:val="en-US"/>
        </w:rPr>
        <w:t xml:space="preserve">ollow </w:t>
      </w:r>
      <w:r w:rsidR="003333C8">
        <w:rPr>
          <w:rFonts w:asciiTheme="majorHAnsi" w:hAnsiTheme="majorHAnsi"/>
          <w:sz w:val="24"/>
          <w:szCs w:val="24"/>
          <w:lang w:val="en-US"/>
        </w:rPr>
        <w:t>f</w:t>
      </w:r>
      <w:r w:rsidR="003333C8" w:rsidRPr="00876AB1">
        <w:rPr>
          <w:rFonts w:asciiTheme="majorHAnsi" w:hAnsiTheme="majorHAnsi"/>
          <w:sz w:val="24"/>
          <w:szCs w:val="24"/>
          <w:lang w:val="en-US"/>
        </w:rPr>
        <w:t>ib</w:t>
      </w:r>
      <w:r w:rsidR="003333C8">
        <w:rPr>
          <w:rFonts w:asciiTheme="majorHAnsi" w:hAnsiTheme="majorHAnsi"/>
          <w:sz w:val="24"/>
          <w:szCs w:val="24"/>
          <w:lang w:val="en-US"/>
        </w:rPr>
        <w:t>er</w:t>
      </w:r>
      <w:r w:rsidR="003333C8" w:rsidRPr="00876AB1">
        <w:rPr>
          <w:rFonts w:asciiTheme="majorHAnsi" w:hAnsiTheme="majorHAnsi"/>
          <w:sz w:val="24"/>
          <w:szCs w:val="24"/>
          <w:lang w:val="en-US"/>
        </w:rPr>
        <w:t xml:space="preserve"> </w:t>
      </w:r>
      <w:r w:rsidR="0062757A">
        <w:rPr>
          <w:rFonts w:asciiTheme="majorHAnsi" w:hAnsiTheme="majorHAnsi"/>
          <w:sz w:val="24"/>
          <w:szCs w:val="24"/>
          <w:lang w:val="en-US"/>
        </w:rPr>
        <w:t>i</w:t>
      </w:r>
      <w:r w:rsidR="0062757A" w:rsidRPr="00876AB1">
        <w:rPr>
          <w:rFonts w:asciiTheme="majorHAnsi" w:hAnsiTheme="majorHAnsi"/>
          <w:sz w:val="24"/>
          <w:szCs w:val="24"/>
          <w:lang w:val="en-US"/>
        </w:rPr>
        <w:t xml:space="preserve">nfection </w:t>
      </w:r>
      <w:r w:rsidR="0062757A">
        <w:rPr>
          <w:rFonts w:asciiTheme="majorHAnsi" w:hAnsiTheme="majorHAnsi"/>
          <w:sz w:val="24"/>
          <w:szCs w:val="24"/>
          <w:lang w:val="en-US"/>
        </w:rPr>
        <w:t>m</w:t>
      </w:r>
      <w:r w:rsidR="0062757A" w:rsidRPr="00876AB1">
        <w:rPr>
          <w:rFonts w:asciiTheme="majorHAnsi" w:hAnsiTheme="majorHAnsi"/>
          <w:sz w:val="24"/>
          <w:szCs w:val="24"/>
          <w:lang w:val="en-US"/>
        </w:rPr>
        <w:t>odel</w:t>
      </w:r>
      <w:r w:rsidR="00D64E3E">
        <w:rPr>
          <w:rFonts w:asciiTheme="majorHAnsi" w:hAnsiTheme="majorHAnsi"/>
          <w:sz w:val="24"/>
          <w:szCs w:val="24"/>
          <w:lang w:val="en-US"/>
        </w:rPr>
        <w:t xml:space="preserve"> of cryptococcal meningitis</w:t>
      </w:r>
      <w:r w:rsidR="0062757A">
        <w:rPr>
          <w:rFonts w:asciiTheme="majorHAnsi" w:hAnsiTheme="majorHAnsi"/>
          <w:sz w:val="24"/>
          <w:szCs w:val="24"/>
          <w:lang w:val="en-US"/>
        </w:rPr>
        <w:t>.</w:t>
      </w:r>
      <w:r w:rsidR="0062757A" w:rsidRPr="00876AB1">
        <w:rPr>
          <w:rFonts w:asciiTheme="majorHAnsi" w:hAnsiTheme="majorHAnsi"/>
          <w:sz w:val="24"/>
          <w:szCs w:val="24"/>
          <w:lang w:val="en-US"/>
        </w:rPr>
        <w:t xml:space="preserve"> </w:t>
      </w:r>
      <w:r w:rsidR="0062757A">
        <w:rPr>
          <w:rFonts w:asciiTheme="majorHAnsi" w:hAnsiTheme="majorHAnsi"/>
          <w:sz w:val="24"/>
          <w:szCs w:val="24"/>
          <w:lang w:val="en-US"/>
        </w:rPr>
        <w:t xml:space="preserve"> The solid drug </w:t>
      </w:r>
      <w:proofErr w:type="spellStart"/>
      <w:r w:rsidR="001A60CE">
        <w:rPr>
          <w:rFonts w:asciiTheme="majorHAnsi" w:hAnsiTheme="majorHAnsi"/>
          <w:sz w:val="24"/>
          <w:szCs w:val="24"/>
          <w:lang w:val="en-US"/>
        </w:rPr>
        <w:t>nano</w:t>
      </w:r>
      <w:r w:rsidR="0062757A">
        <w:rPr>
          <w:rFonts w:asciiTheme="majorHAnsi" w:hAnsiTheme="majorHAnsi"/>
          <w:sz w:val="24"/>
          <w:szCs w:val="24"/>
          <w:lang w:val="en-US"/>
        </w:rPr>
        <w:t>dispersion</w:t>
      </w:r>
      <w:proofErr w:type="spellEnd"/>
      <w:r w:rsidR="0062757A">
        <w:rPr>
          <w:rFonts w:asciiTheme="majorHAnsi" w:hAnsiTheme="majorHAnsi"/>
          <w:sz w:val="24"/>
          <w:szCs w:val="24"/>
          <w:lang w:val="en-US"/>
        </w:rPr>
        <w:t xml:space="preserve"> was orally bioavailable in mice </w:t>
      </w:r>
      <w:r w:rsidR="00D64E3E">
        <w:rPr>
          <w:rFonts w:asciiTheme="majorHAnsi" w:hAnsiTheme="majorHAnsi"/>
          <w:sz w:val="24"/>
          <w:szCs w:val="24"/>
          <w:lang w:val="en-US"/>
        </w:rPr>
        <w:t>with higher drug exposure in the cerebrum</w:t>
      </w:r>
      <w:r w:rsidR="0062757A">
        <w:rPr>
          <w:rFonts w:asciiTheme="majorHAnsi" w:hAnsiTheme="majorHAnsi"/>
          <w:sz w:val="24"/>
          <w:szCs w:val="24"/>
          <w:lang w:val="en-US"/>
        </w:rPr>
        <w:t xml:space="preserve">.  </w:t>
      </w:r>
      <w:r w:rsidR="00D64E3E">
        <w:rPr>
          <w:rFonts w:asciiTheme="majorHAnsi" w:hAnsiTheme="majorHAnsi"/>
          <w:sz w:val="24"/>
          <w:szCs w:val="24"/>
          <w:lang w:val="en-US"/>
        </w:rPr>
        <w:t xml:space="preserve">The maximal dose of flubendazole (12 mg/kg/day) orally resulted in a </w:t>
      </w:r>
      <w:r w:rsidR="00D64E3E">
        <w:rPr>
          <w:rFonts w:ascii="Calibri Light" w:hAnsi="Calibri Light"/>
          <w:sz w:val="24"/>
          <w:szCs w:val="24"/>
          <w:lang w:val="en-US"/>
        </w:rPr>
        <w:t>~</w:t>
      </w:r>
      <w:r w:rsidR="00D64E3E">
        <w:rPr>
          <w:rFonts w:asciiTheme="majorHAnsi" w:hAnsiTheme="majorHAnsi"/>
          <w:sz w:val="24"/>
          <w:szCs w:val="24"/>
          <w:lang w:val="en-US"/>
        </w:rPr>
        <w:t>2 log</w:t>
      </w:r>
      <w:r w:rsidR="00D64E3E" w:rsidRPr="002A027C">
        <w:rPr>
          <w:rFonts w:asciiTheme="majorHAnsi" w:hAnsiTheme="majorHAnsi"/>
          <w:sz w:val="24"/>
          <w:szCs w:val="24"/>
          <w:vertAlign w:val="subscript"/>
          <w:lang w:val="en-US"/>
        </w:rPr>
        <w:t>10</w:t>
      </w:r>
      <w:r w:rsidR="00D64E3E">
        <w:rPr>
          <w:rFonts w:asciiTheme="majorHAnsi" w:hAnsiTheme="majorHAnsi"/>
          <w:sz w:val="24"/>
          <w:szCs w:val="24"/>
          <w:lang w:val="en-US"/>
        </w:rPr>
        <w:t>CFU/g</w:t>
      </w:r>
      <w:r w:rsidR="0062757A">
        <w:rPr>
          <w:rFonts w:asciiTheme="majorHAnsi" w:hAnsiTheme="majorHAnsi"/>
          <w:sz w:val="24"/>
          <w:szCs w:val="24"/>
          <w:lang w:val="en-US"/>
        </w:rPr>
        <w:t xml:space="preserve"> </w:t>
      </w:r>
      <w:r w:rsidR="00224579">
        <w:rPr>
          <w:rFonts w:asciiTheme="majorHAnsi" w:hAnsiTheme="majorHAnsi"/>
          <w:sz w:val="24"/>
          <w:szCs w:val="24"/>
          <w:lang w:val="en-US"/>
        </w:rPr>
        <w:t>reduction in fungal burden compared with vehicle-treated controls.  Flubendazole was orally bioavailable in rabbits, but there were no quantifiable drug concentrations in the CSF or cerebrum and no antifungal activity was demonstrated</w:t>
      </w:r>
      <w:r w:rsidR="00E70D5C">
        <w:rPr>
          <w:rFonts w:asciiTheme="majorHAnsi" w:hAnsiTheme="majorHAnsi"/>
          <w:sz w:val="24"/>
          <w:szCs w:val="24"/>
          <w:lang w:val="en-US"/>
        </w:rPr>
        <w:t xml:space="preserve"> in either CSF or cerebrum</w:t>
      </w:r>
      <w:r w:rsidR="00224579">
        <w:rPr>
          <w:rFonts w:asciiTheme="majorHAnsi" w:hAnsiTheme="majorHAnsi"/>
          <w:sz w:val="24"/>
          <w:szCs w:val="24"/>
          <w:lang w:val="en-US"/>
        </w:rPr>
        <w:t xml:space="preserve">.  These studies provide </w:t>
      </w:r>
      <w:r w:rsidR="00FF5375">
        <w:rPr>
          <w:rFonts w:asciiTheme="majorHAnsi" w:hAnsiTheme="majorHAnsi"/>
          <w:sz w:val="24"/>
          <w:szCs w:val="24"/>
          <w:lang w:val="en-US"/>
        </w:rPr>
        <w:t>evidence for the further study and development</w:t>
      </w:r>
      <w:r w:rsidR="00224579">
        <w:rPr>
          <w:rFonts w:asciiTheme="majorHAnsi" w:hAnsiTheme="majorHAnsi"/>
          <w:sz w:val="24"/>
          <w:szCs w:val="24"/>
          <w:lang w:val="en-US"/>
        </w:rPr>
        <w:t xml:space="preserve"> of </w:t>
      </w:r>
      <w:r w:rsidR="00FF5375">
        <w:rPr>
          <w:rFonts w:asciiTheme="majorHAnsi" w:hAnsiTheme="majorHAnsi"/>
          <w:sz w:val="24"/>
          <w:szCs w:val="24"/>
          <w:lang w:val="en-US"/>
        </w:rPr>
        <w:t xml:space="preserve">the </w:t>
      </w:r>
      <w:r w:rsidR="00224579">
        <w:rPr>
          <w:rFonts w:asciiTheme="majorHAnsi" w:hAnsiTheme="majorHAnsi"/>
          <w:sz w:val="24"/>
          <w:szCs w:val="24"/>
          <w:lang w:val="en-US"/>
        </w:rPr>
        <w:t>benzimidazole scaffold for the treatment of cryptococcal meningitis.</w:t>
      </w:r>
    </w:p>
    <w:p w14:paraId="0A5737E4" w14:textId="77777777" w:rsidR="00FF5375" w:rsidRPr="00EB3D34" w:rsidRDefault="00FF5375" w:rsidP="00EB3D34">
      <w:pPr>
        <w:spacing w:after="0" w:line="480" w:lineRule="auto"/>
        <w:rPr>
          <w:rFonts w:asciiTheme="majorHAnsi" w:eastAsia="Times New Roman" w:hAnsiTheme="majorHAnsi" w:cs="Times New Roman"/>
          <w:sz w:val="24"/>
          <w:szCs w:val="24"/>
          <w:lang w:eastAsia="en-GB"/>
        </w:rPr>
      </w:pPr>
    </w:p>
    <w:p w14:paraId="52773E62" w14:textId="77777777" w:rsidR="00900889" w:rsidRPr="00876AB1" w:rsidRDefault="00900889" w:rsidP="00EB3D34">
      <w:pPr>
        <w:spacing w:after="120" w:line="480" w:lineRule="auto"/>
        <w:outlineLvl w:val="0"/>
        <w:rPr>
          <w:rFonts w:asciiTheme="majorHAnsi" w:hAnsiTheme="majorHAnsi"/>
          <w:b/>
          <w:sz w:val="24"/>
          <w:szCs w:val="24"/>
          <w:lang w:val="en-US"/>
        </w:rPr>
      </w:pPr>
      <w:bookmarkStart w:id="1" w:name="_Hlk488742677"/>
      <w:r w:rsidRPr="00876AB1">
        <w:rPr>
          <w:rFonts w:asciiTheme="majorHAnsi" w:hAnsiTheme="majorHAnsi"/>
          <w:b/>
          <w:sz w:val="24"/>
          <w:szCs w:val="24"/>
          <w:lang w:val="en-US"/>
        </w:rPr>
        <w:t>INTRODUCTION</w:t>
      </w:r>
    </w:p>
    <w:p w14:paraId="43A11942" w14:textId="0BF8148D" w:rsidR="00900889" w:rsidRPr="00876AB1" w:rsidRDefault="00900889"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Cryptococcal </w:t>
      </w:r>
      <w:r w:rsidR="00875890" w:rsidRPr="00876AB1">
        <w:rPr>
          <w:rFonts w:asciiTheme="majorHAnsi" w:hAnsiTheme="majorHAnsi"/>
          <w:sz w:val="24"/>
          <w:szCs w:val="24"/>
          <w:lang w:val="en-US"/>
        </w:rPr>
        <w:t xml:space="preserve">meningoencephalitis </w:t>
      </w:r>
      <w:r w:rsidRPr="00876AB1">
        <w:rPr>
          <w:rFonts w:asciiTheme="majorHAnsi" w:hAnsiTheme="majorHAnsi"/>
          <w:sz w:val="24"/>
          <w:szCs w:val="24"/>
          <w:lang w:val="en-US"/>
        </w:rPr>
        <w:t>(herein</w:t>
      </w:r>
      <w:r w:rsidR="00875890" w:rsidRPr="00875890">
        <w:rPr>
          <w:rFonts w:asciiTheme="majorHAnsi" w:hAnsiTheme="majorHAnsi"/>
          <w:sz w:val="24"/>
          <w:szCs w:val="24"/>
          <w:lang w:val="en-US"/>
        </w:rPr>
        <w:t xml:space="preserve"> </w:t>
      </w:r>
      <w:r w:rsidR="00875890" w:rsidRPr="00876AB1">
        <w:rPr>
          <w:rFonts w:asciiTheme="majorHAnsi" w:hAnsiTheme="majorHAnsi"/>
          <w:sz w:val="24"/>
          <w:szCs w:val="24"/>
          <w:lang w:val="en-US"/>
        </w:rPr>
        <w:t>meningitis</w:t>
      </w:r>
      <w:r w:rsidRPr="00876AB1">
        <w:rPr>
          <w:rFonts w:asciiTheme="majorHAnsi" w:hAnsiTheme="majorHAnsi"/>
          <w:sz w:val="24"/>
          <w:szCs w:val="24"/>
          <w:lang w:val="en-US"/>
        </w:rPr>
        <w:t xml:space="preserve">) </w:t>
      </w:r>
      <w:bookmarkEnd w:id="1"/>
      <w:r w:rsidRPr="00876AB1">
        <w:rPr>
          <w:rFonts w:asciiTheme="majorHAnsi" w:hAnsiTheme="majorHAnsi"/>
          <w:sz w:val="24"/>
          <w:szCs w:val="24"/>
          <w:lang w:val="en-US"/>
        </w:rPr>
        <w:t>is a common and lethal disease in immunosuppressed patients</w:t>
      </w:r>
      <w:r w:rsidR="00792D37">
        <w:rPr>
          <w:rFonts w:asciiTheme="majorHAnsi" w:hAnsiTheme="majorHAnsi"/>
          <w:sz w:val="24"/>
          <w:szCs w:val="24"/>
          <w:lang w:val="en-US"/>
        </w:rPr>
        <w:t xml:space="preserve"> </w:t>
      </w:r>
      <w:r w:rsidR="000D6FC0">
        <w:rPr>
          <w:rFonts w:asciiTheme="majorHAnsi" w:hAnsiTheme="majorHAnsi"/>
          <w:sz w:val="24"/>
          <w:szCs w:val="24"/>
          <w:lang w:val="en-US"/>
        </w:rPr>
        <w:fldChar w:fldCharType="begin" w:fldLock="1"/>
      </w:r>
      <w:r w:rsidR="0000523E">
        <w:rPr>
          <w:rFonts w:asciiTheme="majorHAnsi" w:hAnsiTheme="majorHAnsi"/>
          <w:sz w:val="24"/>
          <w:szCs w:val="24"/>
          <w:lang w:val="en-US"/>
        </w:rPr>
        <w:instrText>ADDIN CSL_CITATION { "citationItems" : [ { "id" : "ITEM-1", "itemData" : { "DOI" : "10.1016/S1473-3099(17)30243-8", "ISSN" : "14744457", "PMID" : "28483415", "abstract" : "Background: Cryptococcus is the most common cause of meningitis in adults living with HIV in sub-Saharan Africa. Global burden estimates are crucial to guide prevention strategies and to determine treatment needs, and we aimed to provide an updated estimate of global incidence of HIV-associated cryptococcal disease. Methods: We used 2014 Joint UN Programme on HIV and AIDS estimates of adults (aged &gt;15 years) with HIV and antiretroviral therapy (ART) coverage. Estimates of CD4 less than 100 cells per \u03bcL, virological failure incidence, and loss to follow-up were from published multinational cohorts in low-income and middle-income countries. We calculated those at risk for cryptococcal infection, specifically those with CD4 less than 100 cells/\u03bcL not on ART, and those with CD4 less than 100 cells per \u03bcL on ART but lost to follow-up or with virological failure. Cryptococcal antigenaemia prevalence by country was derived from 46 studies globally. Based on cryptococcal antigenaemia prevalence in each country and region, we estimated the annual numbers of people who are developing and dying from cryptococcal meningitis. Findings: We estimated an average global cryptococcal antigenaemia prevalence of 6\u00b70% (95% CI 5\u00b78-6\u00b72) among people with a CD4 cell count of less than 100 cells per \u03bcL, with 278 000 (95% CI 195 500-340 600) people positive for cryptococcal antigen globally and 223 100 (95% CI 150 600-282 400) incident cases of cryptococcal meningitis globally in 2014. Sub-Saharan Africa accounted for 73% of the estimated cryptococcal meningitis cases in 2014 (162 500 cases [95% CI 113 600-193 900]). Annual global deaths from cryptococcal meningitis were estimated at 181 100 (95% CI 119 400-234 300), with 135 900 (75%; [95% CI 93 900-163 900]) deaths in sub-Saharan Africa. Globally, cryptococcal meningitis was responsible for 15% of AIDS-related deaths (95% CI 10-19). Interpretation: Our analysis highlights the substantial ongoing burden of HIV-associated cryptococcal disease, primarily in sub-Saharan Africa. Cryptococcal meningitis is a metric of HIV treatment programme failure; timely HIV testing and rapid linkage to care remain an urgent priority. Funding: None.", "author" : [ { "dropping-particle" : "", "family" : "Rajasingham", "given" : "Radha", "non-dropping-particle" : "", "parse-names" : false, "suffix" : "" }, { "dropping-particle" : "", "family" : "Smith", "given" : "Rachel M.", "non-dropping-particle" : "", "parse-names" : false, "suffix" : "" }, { "dropping-particle" : "", "family" : "Park", "given" : "Benjamin J.", "non-dropping-particle" : "", "parse-names" : false, "suffix" : "" }, { "dropping-particle" : "", "family" : "Jarvis", "given" : "Joseph N.", "non-dropping-particle" : "", "parse-names" : false, "suffix" : "" }, { "dropping-particle" : "", "family" : "Govender", "given" : "Nelesh P.", "non-dropping-particle" : "", "parse-names" : false, "suffix" : "" }, { "dropping-particle" : "", "family" : "Chiller", "given" : "Tom M.", "non-dropping-particle" : "", "parse-names" : false, "suffix" : "" }, { "dropping-particle" : "", "family" : "Denning", "given" : "David W.", "non-dropping-particle" : "", "parse-names" : false, "suffix" : "" }, { "dropping-particle" : "", "family" : "Loyse", "given" : "Angela", "non-dropping-particle" : "", "parse-names" : false, "suffix" : "" }, { "dropping-particle" : "", "family" : "Boulware", "given" : "David R.", "non-dropping-particle" : "", "parse-names" : false, "suffix" : "" } ], "container-title" : "The Lancet Infectious Diseases", "id" : "ITEM-1", "issue" : "17", "issued" : { "date-parts" : [ [ "2017" ] ] }, "page" : "1-9", "publisher" : "Elsevier Ltd", "title" : "Global burden of disease of HIV-associated cryptococcal meningitis: An updated analysis", "type" : "article-journal", "volume" : "3099" }, "uris" : [ "http://www.mendeley.com/documents/?uuid=4c3a9b54-3e39-4335-8cef-ad4e22058b3b", "http://www.mendeley.com/documents/?uuid=a6c0029f-b22e-4919-8db3-f6397eff85be" ] }, { "id" : "ITEM-2", "itemData" : { "DOI" : "10.1093/cid/cit794", "ISBN" : "1058-4838", "ISSN" : "10584838", "PMID" : "24319084", "abstract" : "BACKGROUND: \u2003Cryptococcal meningitis (CM) is a leading cause of death in individuals infected with human immunodeficiency virus (HIV). Identifying factors associated with mortality informs strategies to improve outcomes.\\n\\nMETHODS: \u2003Five hundred one patients with HIV-associated CM were followed prospectively for 10 weeks during trials in Thailand, Uganda, Malawi, and South Africa. South African patients (n = 266) were followed for 1 year. Similar inclusion/exclusion criteria were applied at all sites. Logistic regression identified baseline variables independently associated with mortality.\\n\\nRESULTS: \u2003Mortality was 17% at 2 weeks and 34% at 10 weeks. Altered mental status (odds ratio [OR], 3.1; 95% confidence interval [CI], 1.7-5.9), high cerebrospinal fluid (CSF) fungal burden (OR, 1.4 per log10 colony-forming units/mL increase; 95% CI, 1.0-1.8), older age (&gt;50 years; OR, 3.9; 95% CI, 1.4-11.1), high peripheral white blood cell count (&gt;10 \u00d7 10(9) cells/L; OR, 8.7; 95% CI, 2.5-30.2), fluconazole-based induction treatment, and slow clearance of CSF infection were independently associated with 2-week mortality. Low body weight, anemia (hemoglobin &lt;7.5 g/dL), and low CSF opening pressure were independently associated with mortality at 10 weeks in addition to altered mental status, high fungal burden, high peripheral white cell count, and older age. In those followed for 1 year, overall mortality was 41%. Immune reconstitution inflammatory syndrome occurred in 13% of patients and was associated with 2-week CSF fungal burden (P = .007), but not with time to initiation of antiretroviral therapy (ART).\\n\\nCONCLUSIONS: \u2003CSF fungal burden, altered mental status, and rate of clearance of infection predict acute mortality in HIV-associated CM. The results suggest that earlier diagnosis, more rapidly fungicidal amphotericin-based regimens, and prompt immune reconstitution with ART are priorities for improving outcomes.", "author" : [ { "dropping-particle" : "", "family" : "Jarvis", "given" : "Joseph N.", "non-dropping-particle" : "", "parse-names" : false, "suffix" : "" }, { "dropping-particle" : "", "family" : "Bicanic", "given" : "Tihana", "non-dropping-particle" : "", "parse-names" : false, "suffix" : "" }, { "dropping-particle" : "", "family" : "Loyse", "given" : "Angela", "non-dropping-particle" : "", "parse-names" : false, "suffix" : "" }, { "dropping-particle" : "", "family" : "Namarika", "given" : "Daniel", "non-dropping-particle" : "", "parse-names" : false, "suffix" : "" }, { "dropping-particle" : "", "family" : "Jackson", "given" : "Arthur", "non-dropping-particle" : "", "parse-names" : false, "suffix" : "" }, { "dropping-particle" : "", "family" : "Nussbaum", "given" : "Jesse C.", "non-dropping-particle" : "", "parse-names" : false, "suffix" : "" }, { "dropping-particle" : "", "family" : "Longley", "given" : "Nicky", "non-dropping-particle" : "", "parse-names" : false, "suffix" : "" }, { "dropping-particle" : "", "family" : "Muzoora", "given" : "Conrad", "non-dropping-particle" : "", "parse-names" : false, "suffix" : "" }, { "dropping-particle" : "", "family" : "Phulusa", "given" : "Jacob", "non-dropping-particle" : "", "parse-names" : false, "suffix" : "" }, { "dropping-particle" : "", "family" : "Taseera", "given" : "Kabanda", "non-dropping-particle" : "", "parse-names" : false, "suffix" : "" }, { "dropping-particle" : "", "family" : "Kanyembe", "given" : "Creto", "non-dropping-particle" : "", "parse-names" : false, "suffix" : "" }, { "dropping-particle" : "", "family" : "Wilson", "given" : "Douglas", "non-dropping-particle" : "", "parse-names" : false, "suffix" : "" }, { "dropping-particle" : "", "family" : "Hosseinipour", "given" : "Mina C.", "non-dropping-particle" : "", "parse-names" : false, "suffix" : "" }, { "dropping-particle" : "", "family" : "Brouwer", "given" : "Annemarie E.", "non-dropping-particle" : "", "parse-names" : false, "suffix" : "" }, { "dropping-particle" : "", "family" : "Limmathurotsakul", "given" : "Direk", "non-dropping-particle" : "", "parse-names" : false, "suffix" : "" }, { "dropping-particle" : "", "family" : "White", "given" : "Nicholas", "non-dropping-particle" : "", "parse-names" : false, "suffix" : "" }, { "dropping-particle" : "", "family" : "Horst", "given" : "Charles", "non-dropping-particle" : "Van Der", "parse-names" : false, "suffix" : "" }, { "dropping-particle" : "", "family" : "Wood", "given" : "Robin", "non-dropping-particle" : "", "parse-names" : false, "suffix" : "" }, { "dropping-particle" : "", "family" : "Meintjes", "given" : "Graeme", "non-dropping-particle" : "", "parse-names" : false, "suffix" : "" }, { "dropping-particle" : "", "family" : "Bradley", "given" : "John", "non-dropping-particle" : "", "parse-names" : false, "suffix" : "" }, { "dropping-particle" : "", "family" : "Jaffar", "given" : "Shabbar", "non-dropping-particle" : "", "parse-names" : false, "suffix" : "" }, { "dropping-particle" : "", "family" : "Harrison", "given" : "Thomas", "non-dropping-particle" : "", "parse-names" : false, "suffix" : "" } ], "container-title" : "Clinical Infectious Diseases", "id" : "ITEM-2", "issue" : "5", "issued" : { "date-parts" : [ [ "2014" ] ] }, "page" : "736-745", "title" : "Determinants of mortality in a combined cohort of 501 patients with HIV-associated cryptococcal meningitis: Implications for improving outcomes", "type" : "article-journal", "volume" : "58" }, "uris" : [ "http://www.mendeley.com/documents/?uuid=81966e1e-d221-4889-bf28-1f59e1cd7459", "http://www.mendeley.com/documents/?uuid=06b127db-819a-490a-8831-9391a7ea2eb6" ] } ], "mendeley" : { "formattedCitation" : "(1, 2)", "plainTextFormattedCitation" : "(1, 2)", "previouslyFormattedCitation" : "(1, 2)" }, "properties" : { "noteIndex" : 0 }, "schema" : "https://github.com/citation-style-language/schema/raw/master/csl-citation.json" }</w:instrText>
      </w:r>
      <w:r w:rsidR="000D6FC0">
        <w:rPr>
          <w:rFonts w:asciiTheme="majorHAnsi" w:hAnsiTheme="majorHAnsi"/>
          <w:sz w:val="24"/>
          <w:szCs w:val="24"/>
          <w:lang w:val="en-US"/>
        </w:rPr>
        <w:fldChar w:fldCharType="separate"/>
      </w:r>
      <w:r w:rsidR="00EE56E7" w:rsidRPr="00EE56E7">
        <w:rPr>
          <w:rFonts w:asciiTheme="majorHAnsi" w:hAnsiTheme="majorHAnsi"/>
          <w:noProof/>
          <w:sz w:val="24"/>
          <w:szCs w:val="24"/>
          <w:lang w:val="en-US"/>
        </w:rPr>
        <w:t>(1, 2)</w:t>
      </w:r>
      <w:r w:rsidR="000D6FC0">
        <w:rPr>
          <w:rFonts w:asciiTheme="majorHAnsi" w:hAnsiTheme="majorHAnsi"/>
          <w:sz w:val="24"/>
          <w:szCs w:val="24"/>
          <w:lang w:val="en-US"/>
        </w:rPr>
        <w:fldChar w:fldCharType="end"/>
      </w:r>
      <w:r w:rsidRPr="00876AB1">
        <w:rPr>
          <w:rFonts w:asciiTheme="majorHAnsi" w:hAnsiTheme="majorHAnsi"/>
          <w:sz w:val="24"/>
          <w:szCs w:val="24"/>
          <w:lang w:val="en-US"/>
        </w:rPr>
        <w:t xml:space="preserve">.  This disease is </w:t>
      </w:r>
      <w:r w:rsidR="00876AB1" w:rsidRPr="00876AB1">
        <w:rPr>
          <w:rFonts w:asciiTheme="majorHAnsi" w:hAnsiTheme="majorHAnsi"/>
          <w:sz w:val="24"/>
          <w:szCs w:val="24"/>
          <w:lang w:val="en-US"/>
        </w:rPr>
        <w:t>predominately</w:t>
      </w:r>
      <w:r w:rsidRPr="00876AB1">
        <w:rPr>
          <w:rFonts w:asciiTheme="majorHAnsi" w:hAnsiTheme="majorHAnsi"/>
          <w:sz w:val="24"/>
          <w:szCs w:val="24"/>
          <w:lang w:val="en-US"/>
        </w:rPr>
        <w:t xml:space="preserve"> associated with </w:t>
      </w:r>
      <w:r w:rsidR="003333C8">
        <w:rPr>
          <w:rFonts w:asciiTheme="majorHAnsi" w:hAnsiTheme="majorHAnsi"/>
          <w:sz w:val="24"/>
          <w:szCs w:val="24"/>
          <w:lang w:val="en-US"/>
        </w:rPr>
        <w:t>advanced HIV infection</w:t>
      </w:r>
      <w:r w:rsidR="003333C8" w:rsidRPr="00876AB1">
        <w:rPr>
          <w:rFonts w:asciiTheme="majorHAnsi" w:hAnsiTheme="majorHAnsi"/>
          <w:sz w:val="24"/>
          <w:szCs w:val="24"/>
          <w:lang w:val="en-US"/>
        </w:rPr>
        <w:t xml:space="preserve"> </w:t>
      </w:r>
      <w:r w:rsidRPr="00876AB1">
        <w:rPr>
          <w:rFonts w:asciiTheme="majorHAnsi" w:hAnsiTheme="majorHAnsi"/>
          <w:sz w:val="24"/>
          <w:szCs w:val="24"/>
          <w:lang w:val="en-US"/>
        </w:rPr>
        <w:t>and has the highest incidence in low to middle income countries</w:t>
      </w:r>
      <w:r w:rsidR="000D6FC0">
        <w:rPr>
          <w:rFonts w:asciiTheme="majorHAnsi" w:hAnsiTheme="majorHAnsi"/>
          <w:sz w:val="24"/>
          <w:szCs w:val="24"/>
          <w:lang w:val="en-US"/>
        </w:rPr>
        <w:t xml:space="preserve"> </w:t>
      </w:r>
      <w:r w:rsidR="000D6FC0">
        <w:rPr>
          <w:rFonts w:asciiTheme="majorHAnsi" w:hAnsiTheme="majorHAnsi"/>
          <w:sz w:val="24"/>
          <w:szCs w:val="24"/>
          <w:lang w:val="en-US"/>
        </w:rPr>
        <w:fldChar w:fldCharType="begin" w:fldLock="1"/>
      </w:r>
      <w:r w:rsidR="0000523E">
        <w:rPr>
          <w:rFonts w:asciiTheme="majorHAnsi" w:hAnsiTheme="majorHAnsi"/>
          <w:sz w:val="24"/>
          <w:szCs w:val="24"/>
          <w:lang w:val="en-US"/>
        </w:rPr>
        <w:instrText>ADDIN CSL_CITATION { "citationItems" : [ { "id" : "ITEM-1", "itemData" : { "DOI" : "10.1016/S1473-3099(17)30243-8", "ISSN" : "14744457", "PMID" : "28483415", "abstract" : "Background: Cryptococcus is the most common cause of meningitis in adults living with HIV in sub-Saharan Africa. Global burden estimates are crucial to guide prevention strategies and to determine treatment needs, and we aimed to provide an updated estimate of global incidence of HIV-associated cryptococcal disease. Methods: We used 2014 Joint UN Programme on HIV and AIDS estimates of adults (aged &gt;15 years) with HIV and antiretroviral therapy (ART) coverage. Estimates of CD4 less than 100 cells per \u03bcL, virological failure incidence, and loss to follow-up were from published multinational cohorts in low-income and middle-income countries. We calculated those at risk for cryptococcal infection, specifically those with CD4 less than 100 cells/\u03bcL not on ART, and those with CD4 less than 100 cells per \u03bcL on ART but lost to follow-up or with virological failure. Cryptococcal antigenaemia prevalence by country was derived from 46 studies globally. Based on cryptococcal antigenaemia prevalence in each country and region, we estimated the annual numbers of people who are developing and dying from cryptococcal meningitis. Findings: We estimated an average global cryptococcal antigenaemia prevalence of 6\u00b70% (95% CI 5\u00b78-6\u00b72) among people with a CD4 cell count of less than 100 cells per \u03bcL, with 278 000 (95% CI 195 500-340 600) people positive for cryptococcal antigen globally and 223 100 (95% CI 150 600-282 400) incident cases of cryptococcal meningitis globally in 2014. Sub-Saharan Africa accounted for 73% of the estimated cryptococcal meningitis cases in 2014 (162 500 cases [95% CI 113 600-193 900]). Annual global deaths from cryptococcal meningitis were estimated at 181 100 (95% CI 119 400-234 300), with 135 900 (75%; [95% CI 93 900-163 900]) deaths in sub-Saharan Africa. Globally, cryptococcal meningitis was responsible for 15% of AIDS-related deaths (95% CI 10-19). Interpretation: Our analysis highlights the substantial ongoing burden of HIV-associated cryptococcal disease, primarily in sub-Saharan Africa. Cryptococcal meningitis is a metric of HIV treatment programme failure; timely HIV testing and rapid linkage to care remain an urgent priority. Funding: None.", "author" : [ { "dropping-particle" : "", "family" : "Rajasingham", "given" : "Radha", "non-dropping-particle" : "", "parse-names" : false, "suffix" : "" }, { "dropping-particle" : "", "family" : "Smith", "given" : "Rachel M.", "non-dropping-particle" : "", "parse-names" : false, "suffix" : "" }, { "dropping-particle" : "", "family" : "Park", "given" : "Benjamin J.", "non-dropping-particle" : "", "parse-names" : false, "suffix" : "" }, { "dropping-particle" : "", "family" : "Jarvis", "given" : "Joseph N.", "non-dropping-particle" : "", "parse-names" : false, "suffix" : "" }, { "dropping-particle" : "", "family" : "Govender", "given" : "Nelesh P.", "non-dropping-particle" : "", "parse-names" : false, "suffix" : "" }, { "dropping-particle" : "", "family" : "Chiller", "given" : "Tom M.", "non-dropping-particle" : "", "parse-names" : false, "suffix" : "" }, { "dropping-particle" : "", "family" : "Denning", "given" : "David W.", "non-dropping-particle" : "", "parse-names" : false, "suffix" : "" }, { "dropping-particle" : "", "family" : "Loyse", "given" : "Angela", "non-dropping-particle" : "", "parse-names" : false, "suffix" : "" }, { "dropping-particle" : "", "family" : "Boulware", "given" : "David R.", "non-dropping-particle" : "", "parse-names" : false, "suffix" : "" } ], "container-title" : "The Lancet Infectious Diseases", "id" : "ITEM-1", "issue" : "17", "issued" : { "date-parts" : [ [ "2017" ] ] }, "page" : "1-9", "publisher" : "Elsevier Ltd", "title" : "Global burden of disease of HIV-associated cryptococcal meningitis: An updated analysis", "type" : "article-journal", "volume" : "3099" }, "uris" : [ "http://www.mendeley.com/documents/?uuid=a6c0029f-b22e-4919-8db3-f6397eff85be", "http://www.mendeley.com/documents/?uuid=4c3a9b54-3e39-4335-8cef-ad4e22058b3b" ] } ], "mendeley" : { "formattedCitation" : "(1)", "plainTextFormattedCitation" : "(1)", "previouslyFormattedCitation" : "(1)" }, "properties" : { "noteIndex" : 0 }, "schema" : "https://github.com/citation-style-language/schema/raw/master/csl-citation.json" }</w:instrText>
      </w:r>
      <w:r w:rsidR="000D6FC0">
        <w:rPr>
          <w:rFonts w:asciiTheme="majorHAnsi" w:hAnsiTheme="majorHAnsi"/>
          <w:sz w:val="24"/>
          <w:szCs w:val="24"/>
          <w:lang w:val="en-US"/>
        </w:rPr>
        <w:fldChar w:fldCharType="separate"/>
      </w:r>
      <w:r w:rsidR="00EE56E7" w:rsidRPr="00EE56E7">
        <w:rPr>
          <w:rFonts w:asciiTheme="majorHAnsi" w:hAnsiTheme="majorHAnsi"/>
          <w:noProof/>
          <w:sz w:val="24"/>
          <w:szCs w:val="24"/>
          <w:lang w:val="en-US"/>
        </w:rPr>
        <w:t>(1)</w:t>
      </w:r>
      <w:r w:rsidR="000D6FC0">
        <w:rPr>
          <w:rFonts w:asciiTheme="majorHAnsi" w:hAnsiTheme="majorHAnsi"/>
          <w:sz w:val="24"/>
          <w:szCs w:val="24"/>
          <w:lang w:val="en-US"/>
        </w:rPr>
        <w:fldChar w:fldCharType="end"/>
      </w:r>
      <w:r w:rsidRPr="00876AB1">
        <w:rPr>
          <w:rFonts w:asciiTheme="majorHAnsi" w:hAnsiTheme="majorHAnsi"/>
          <w:sz w:val="24"/>
          <w:szCs w:val="24"/>
          <w:lang w:val="en-US"/>
        </w:rPr>
        <w:t xml:space="preserve">.  The number of effective agents is </w:t>
      </w:r>
      <w:r w:rsidR="00876AB1" w:rsidRPr="00876AB1">
        <w:rPr>
          <w:rFonts w:asciiTheme="majorHAnsi" w:hAnsiTheme="majorHAnsi"/>
          <w:sz w:val="24"/>
          <w:szCs w:val="24"/>
          <w:lang w:val="en-US"/>
        </w:rPr>
        <w:t>despairingly</w:t>
      </w:r>
      <w:r w:rsidRPr="00876AB1">
        <w:rPr>
          <w:rFonts w:asciiTheme="majorHAnsi" w:hAnsiTheme="majorHAnsi"/>
          <w:sz w:val="24"/>
          <w:szCs w:val="24"/>
          <w:lang w:val="en-US"/>
        </w:rPr>
        <w:t xml:space="preserve"> small</w:t>
      </w:r>
      <w:r w:rsidR="00B83A6F">
        <w:rPr>
          <w:rFonts w:asciiTheme="majorHAnsi" w:hAnsiTheme="majorHAnsi"/>
          <w:sz w:val="24"/>
          <w:szCs w:val="24"/>
          <w:lang w:val="en-US"/>
        </w:rPr>
        <w:t xml:space="preserve"> </w:t>
      </w:r>
      <w:r w:rsidR="00B83A6F">
        <w:rPr>
          <w:rFonts w:asciiTheme="majorHAnsi" w:hAnsiTheme="majorHAnsi"/>
          <w:sz w:val="24"/>
          <w:szCs w:val="24"/>
          <w:lang w:val="en-US"/>
        </w:rPr>
        <w:fldChar w:fldCharType="begin" w:fldLock="1"/>
      </w:r>
      <w:r w:rsidR="0000523E">
        <w:rPr>
          <w:rFonts w:asciiTheme="majorHAnsi" w:hAnsiTheme="majorHAnsi"/>
          <w:sz w:val="24"/>
          <w:szCs w:val="24"/>
          <w:lang w:val="en-US"/>
        </w:rPr>
        <w:instrText>ADDIN CSL_CITATION { "citationItems" : [ { "id" : "ITEM-1", "itemData" : { "DOI" : "10.1016/j.tim.2010.02.004", "ISSN" : "0966842X", "abstract" : "This article provides a perspective on the current status of drug therapy for invasive fungal diseases, together with priorities for the future development of novel compounds. Key opportunities for new drugs include production of orally bioavailable agents for the treatment of invasive aspergillosis, invasive candidiasis, cryptococcal meningitis and mucosal and urinary Candida infections. Orally bioavailable agents for the treatment of chronic pulmonary and allergic aspergillosis are also required, as well as new potent drugs against a range of medically important moulds. Antifungal resistance is a problem in certain contexts, but is generally less of a problem than bacterial infections. Earlier and more complete mycological diagnosis and improvements in underlying risk estimation will improve outcomes. The limitations of the current antifungal agents and opportunities for new developments are discussed. \u00a9 2010 Elsevier Ltd.", "author" : [ { "dropping-particle" : "", "family" : "Denning", "given" : "D.W.", "non-dropping-particle" : "", "parse-names" : false, "suffix" : "" }, { "dropping-particle" : "", "family" : "Hope", "given" : "W.W.", "non-dropping-particle" : "", "parse-names" : false, "suffix" : "" } ], "container-title" : "Trends in Microbiology", "id" : "ITEM-1", "issue" : "5", "issued" : { "date-parts" : [ [ "2010" ] ] }, "title" : "Therapy for fungal diseases: Opportunities and priorities", "type" : "article-journal", "volume" : "18" }, "uris" : [ "http://www.mendeley.com/documents/?uuid=4b19df9a-0fdb-3f6d-957d-ff8d69b0c032", "http://www.mendeley.com/documents/?uuid=49269251-88bb-4be4-bd05-8d102ba355f8" ] } ], "mendeley" : { "formattedCitation" : "(3)", "plainTextFormattedCitation" : "(3)", "previouslyFormattedCitation" : "(3)" }, "properties" : { "noteIndex" : 0 }, "schema" : "https://github.com/citation-style-language/schema/raw/master/csl-citation.json" }</w:instrText>
      </w:r>
      <w:r w:rsidR="00B83A6F">
        <w:rPr>
          <w:rFonts w:asciiTheme="majorHAnsi" w:hAnsiTheme="majorHAnsi"/>
          <w:sz w:val="24"/>
          <w:szCs w:val="24"/>
          <w:lang w:val="en-US"/>
        </w:rPr>
        <w:fldChar w:fldCharType="separate"/>
      </w:r>
      <w:r w:rsidR="00EE56E7" w:rsidRPr="00EE56E7">
        <w:rPr>
          <w:rFonts w:asciiTheme="majorHAnsi" w:hAnsiTheme="majorHAnsi"/>
          <w:noProof/>
          <w:sz w:val="24"/>
          <w:szCs w:val="24"/>
          <w:lang w:val="en-US"/>
        </w:rPr>
        <w:t>(3)</w:t>
      </w:r>
      <w:r w:rsidR="00B83A6F">
        <w:rPr>
          <w:rFonts w:asciiTheme="majorHAnsi" w:hAnsiTheme="majorHAnsi"/>
          <w:sz w:val="24"/>
          <w:szCs w:val="24"/>
          <w:lang w:val="en-US"/>
        </w:rPr>
        <w:fldChar w:fldCharType="end"/>
      </w:r>
      <w:r w:rsidRPr="00876AB1">
        <w:rPr>
          <w:rFonts w:asciiTheme="majorHAnsi" w:hAnsiTheme="majorHAnsi"/>
          <w:sz w:val="24"/>
          <w:szCs w:val="24"/>
          <w:lang w:val="en-US"/>
        </w:rPr>
        <w:t xml:space="preserve">.  All available induction and </w:t>
      </w:r>
      <w:r w:rsidR="00876AB1" w:rsidRPr="00876AB1">
        <w:rPr>
          <w:rFonts w:asciiTheme="majorHAnsi" w:hAnsiTheme="majorHAnsi"/>
          <w:sz w:val="24"/>
          <w:szCs w:val="24"/>
          <w:lang w:val="en-US"/>
        </w:rPr>
        <w:t>maintenance</w:t>
      </w:r>
      <w:r w:rsidRPr="00876AB1">
        <w:rPr>
          <w:rFonts w:asciiTheme="majorHAnsi" w:hAnsiTheme="majorHAnsi"/>
          <w:sz w:val="24"/>
          <w:szCs w:val="24"/>
          <w:lang w:val="en-US"/>
        </w:rPr>
        <w:t xml:space="preserve"> regimens are constructed with three </w:t>
      </w:r>
      <w:r w:rsidR="000D6FC0">
        <w:rPr>
          <w:rFonts w:asciiTheme="majorHAnsi" w:hAnsiTheme="majorHAnsi"/>
          <w:sz w:val="24"/>
          <w:szCs w:val="24"/>
          <w:lang w:val="en-US"/>
        </w:rPr>
        <w:t xml:space="preserve">antifungal </w:t>
      </w:r>
      <w:r w:rsidRPr="00876AB1">
        <w:rPr>
          <w:rFonts w:asciiTheme="majorHAnsi" w:hAnsiTheme="majorHAnsi"/>
          <w:sz w:val="24"/>
          <w:szCs w:val="24"/>
          <w:lang w:val="en-US"/>
        </w:rPr>
        <w:t xml:space="preserve">agents: amphotericin B </w:t>
      </w:r>
      <w:r w:rsidR="00CA20E5">
        <w:rPr>
          <w:rFonts w:asciiTheme="majorHAnsi" w:hAnsiTheme="majorHAnsi"/>
          <w:sz w:val="24"/>
          <w:szCs w:val="24"/>
          <w:lang w:val="en-US"/>
        </w:rPr>
        <w:t>(</w:t>
      </w:r>
      <w:proofErr w:type="spellStart"/>
      <w:r w:rsidR="00CA20E5">
        <w:rPr>
          <w:rFonts w:asciiTheme="majorHAnsi" w:hAnsiTheme="majorHAnsi"/>
          <w:sz w:val="24"/>
          <w:szCs w:val="24"/>
          <w:lang w:val="en-US"/>
        </w:rPr>
        <w:t>AmB</w:t>
      </w:r>
      <w:proofErr w:type="spellEnd"/>
      <w:r w:rsidR="00CA20E5">
        <w:rPr>
          <w:rFonts w:asciiTheme="majorHAnsi" w:hAnsiTheme="majorHAnsi"/>
          <w:sz w:val="24"/>
          <w:szCs w:val="24"/>
          <w:lang w:val="en-US"/>
        </w:rPr>
        <w:t>)</w:t>
      </w:r>
      <w:r w:rsidRPr="00876AB1">
        <w:rPr>
          <w:rFonts w:asciiTheme="majorHAnsi" w:hAnsiTheme="majorHAnsi"/>
          <w:sz w:val="24"/>
          <w:szCs w:val="24"/>
          <w:lang w:val="en-US"/>
        </w:rPr>
        <w:t>, flucytosine</w:t>
      </w:r>
      <w:r w:rsidR="00CA20E5">
        <w:rPr>
          <w:rFonts w:asciiTheme="majorHAnsi" w:hAnsiTheme="majorHAnsi"/>
          <w:sz w:val="24"/>
          <w:szCs w:val="24"/>
          <w:lang w:val="en-US"/>
        </w:rPr>
        <w:t xml:space="preserve"> (5FC)</w:t>
      </w:r>
      <w:r w:rsidRPr="00876AB1">
        <w:rPr>
          <w:rFonts w:asciiTheme="majorHAnsi" w:hAnsiTheme="majorHAnsi"/>
          <w:sz w:val="24"/>
          <w:szCs w:val="24"/>
          <w:lang w:val="en-US"/>
        </w:rPr>
        <w:t xml:space="preserve"> and fluconazole</w:t>
      </w:r>
      <w:r w:rsidR="000D6FC0">
        <w:rPr>
          <w:rFonts w:asciiTheme="majorHAnsi" w:hAnsiTheme="majorHAnsi"/>
          <w:sz w:val="24"/>
          <w:szCs w:val="24"/>
          <w:lang w:val="en-US"/>
        </w:rPr>
        <w:t xml:space="preserve"> </w:t>
      </w:r>
      <w:r w:rsidR="00101F4C">
        <w:rPr>
          <w:rFonts w:asciiTheme="majorHAnsi" w:hAnsiTheme="majorHAnsi"/>
          <w:sz w:val="24"/>
          <w:szCs w:val="24"/>
          <w:lang w:val="en-US"/>
        </w:rPr>
        <w:fldChar w:fldCharType="begin" w:fldLock="1"/>
      </w:r>
      <w:r w:rsidR="00103079">
        <w:rPr>
          <w:rFonts w:asciiTheme="majorHAnsi" w:hAnsiTheme="majorHAnsi"/>
          <w:sz w:val="24"/>
          <w:szCs w:val="24"/>
          <w:lang w:val="en-US"/>
        </w:rPr>
        <w:instrText>ADDIN CSL_CITATION { "citationItems" : [ { "id" : "ITEM-1", "itemData" : { "DOI" : "10.1086/649858", "ISBN" : "1537-6591 (Electronic) 1058-4838 (Linking)", "PMID" : "20047480", "abstract" : "Cryptococcosis is a global invasive mycosis associated with significant morbidity and mortality. These guidelines for its management have been built on the previous Infectious Diseases Society of America guidelines from 2000 and include new sections. There is a discussion of the management of cryptococcal meningoencephalitis in 3 risk groups: (1) human immunodeficiency virus (HIV)-infected individuals, (2) organ transplant recipients, and (3) non-HIV-infected and nontransplant hosts. There are specific recommendations for other unique risk populations, such as children, pregnant women, persons in resource-limited environments, and those with Cryptococcus gattii infection. Recommendations for management also include other sites of infection, including strategies for pulmonary cryptococcosis. Emphasis has been placed on potential complications in management of cryptococcal infection, including increased intracranial pressure, immune reconstitution inflammatory syndrome (IRIS), drug resistance, and cryptococcomas. Three key management principles have been articulated: (1) induction therapy for meningoencephalitis using fungicidal regimens, such as a polyene and flucytosine, followed by suppressive regimens using fluconazole; (2) importance of early recognition and treatment of increased intracranial pressure and/or IRIS; and (3) the use of lipid formulations of amphotericin B regimens in patients with renal impairment. Cryptococcosis remains a challenging management issue, with little new drug development or recent definitive studies. However, if the diagnosis is made early, if clinicians adhere to the basic principles of these guidelines, and if the underlying disease is controlled, then cryptococcosis can be managed successfully in the vast majority of patients.", "author" : [ { "dropping-particle" : "", "family" : "Perfect", "given" : "J R", "non-dropping-particle" : "", "parse-names" : false, "suffix" : "" }, { "dropping-particle" : "", "family" : "Dismukes", "given" : "W E", "non-dropping-particle" : "", "parse-names" : false, "suffix" : "" }, { "dropping-particle" : "", "family" : "Dromer", "given" : "F", "non-dropping-particle" : "", "parse-names" : false, "suffix" : "" }, { "dropping-particle" : "", "family" : "Goldman", "given" : "D L", "non-dropping-particle" : "", "parse-names" : false, "suffix" : "" }, { "dropping-particle" : "", "family" : "Graybill", "given" : "J R", "non-dropping-particle" : "", "parse-names" : false, "suffix" : "" }, { "dropping-particle" : "", "family" : "Hamill", "given" : "R J", "non-dropping-particle" : "", "parse-names" : false, "suffix" : "" }, { "dropping-particle" : "", "family" : "Harrison", "given" : "T S", "non-dropping-particle" : "", "parse-names" : false, "suffix" : "" }, { "dropping-particle" : "", "family" : "Larsen", "given" : "R A", "non-dropping-particle" : "", "parse-names" : false, "suffix" : "" }, { "dropping-particle" : "", "family" : "Lortholary", "given" : "O", "non-dropping-particle" : "", "parse-names" : false, "suffix" : "" }, { "dropping-particle" : "", "family" : "Nguyen", "given" : "M H", "non-dropping-particle" : "", "parse-names" : false, "suffix" : "" }, { "dropping-particle" : "", "family" : "Pappas", "given" : "P G", "non-dropping-particle" : "", "parse-names" : false, "suffix" : "" }, { "dropping-particle" : "", "family" : "Powderly", "given" : "W G", "non-dropping-particle" : "", "parse-names" : false, "suffix" : "" }, { "dropping-particle" : "", "family" : "Singh", "given" : "N", "non-dropping-particle" : "", "parse-names" : false, "suffix" : "" }, { "dropping-particle" : "", "family" : "Sobel", "given" : "J D", "non-dropping-particle" : "", "parse-names" : false, "suffix" : "" }, { "dropping-particle" : "", "family" : "Sorrell", "given" : "T C", "non-dropping-particle" : "", "parse-names" : false, "suffix" : "" } ], "container-title" : "Clin Infect Dis", "id" : "ITEM-1", "issue" : "3", "issued" : { "date-parts" : [ [ "2010" ] ] }, "language" : "eng", "note" : "Perfect, John R\nDismukes, William E\nDromer, Francoise\nGoldman, David L\nGraybill, John R\nHamill, Richard J\nHarrison, Thomas S\nLarsen, Robert A\nLortholary, Olivier\nNguyen, Minh-Hong\nPappas, Peter G\nPowderly, William G\nSingh, Nina\nSobel, Jack D\nSorrell, Tania C\nAI73896/AI/NIAID NIH HHS/\nClin Infect Dis. 2010 Feb 1;50(3):291-322. doi: 10.1086/649858.", "page" : "291-322", "title" : "Clinical practice guidelines for the management of cryptococcal disease: 2010 update by the infectious diseases society of america", "type" : "article-journal", "volume" : "50" }, "uris" : [ "http://www.mendeley.com/documents/?uuid=7ffbb967-9a26-48c5-81bb-d6bdb11ce72b", "http://www.mendeley.com/documents/?uuid=d3d3b19c-253f-4a47-8bae-7c58a3df1e4f" ] } ], "mendeley" : { "formattedCitation" : "(4)", "plainTextFormattedCitation" : "(4)", "previouslyFormattedCitation" : "(4)" }, "properties" : { "noteIndex" : 0 }, "schema" : "https://github.com/citation-style-language/schema/raw/master/csl-citation.json" }</w:instrText>
      </w:r>
      <w:r w:rsidR="00101F4C">
        <w:rPr>
          <w:rFonts w:asciiTheme="majorHAnsi" w:hAnsiTheme="majorHAnsi"/>
          <w:sz w:val="24"/>
          <w:szCs w:val="24"/>
          <w:lang w:val="en-US"/>
        </w:rPr>
        <w:fldChar w:fldCharType="separate"/>
      </w:r>
      <w:r w:rsidR="00EE56E7" w:rsidRPr="00EE56E7">
        <w:rPr>
          <w:rFonts w:asciiTheme="majorHAnsi" w:hAnsiTheme="majorHAnsi"/>
          <w:noProof/>
          <w:sz w:val="24"/>
          <w:szCs w:val="24"/>
          <w:lang w:val="en-US"/>
        </w:rPr>
        <w:t>(4)</w:t>
      </w:r>
      <w:r w:rsidR="00101F4C">
        <w:rPr>
          <w:rFonts w:asciiTheme="majorHAnsi" w:hAnsiTheme="majorHAnsi"/>
          <w:sz w:val="24"/>
          <w:szCs w:val="24"/>
          <w:lang w:val="en-US"/>
        </w:rPr>
        <w:fldChar w:fldCharType="end"/>
      </w:r>
      <w:r w:rsidRPr="00876AB1">
        <w:rPr>
          <w:rFonts w:asciiTheme="majorHAnsi" w:hAnsiTheme="majorHAnsi"/>
          <w:sz w:val="24"/>
          <w:szCs w:val="24"/>
          <w:lang w:val="en-US"/>
        </w:rPr>
        <w:t xml:space="preserve">.  Each of these compounds has significant </w:t>
      </w:r>
      <w:r w:rsidR="00667DAA">
        <w:rPr>
          <w:rFonts w:asciiTheme="majorHAnsi" w:hAnsiTheme="majorHAnsi"/>
          <w:sz w:val="24"/>
          <w:szCs w:val="24"/>
          <w:lang w:val="en-US"/>
        </w:rPr>
        <w:t xml:space="preserve">adverse effects that include </w:t>
      </w:r>
      <w:proofErr w:type="spellStart"/>
      <w:r w:rsidR="00667DAA">
        <w:rPr>
          <w:rFonts w:asciiTheme="majorHAnsi" w:hAnsiTheme="majorHAnsi"/>
          <w:sz w:val="24"/>
          <w:szCs w:val="24"/>
          <w:lang w:val="en-US"/>
        </w:rPr>
        <w:t>infusional</w:t>
      </w:r>
      <w:proofErr w:type="spellEnd"/>
      <w:r w:rsidR="00667DAA">
        <w:rPr>
          <w:rFonts w:asciiTheme="majorHAnsi" w:hAnsiTheme="majorHAnsi"/>
          <w:sz w:val="24"/>
          <w:szCs w:val="24"/>
          <w:lang w:val="en-US"/>
        </w:rPr>
        <w:t xml:space="preserve"> toxicity (</w:t>
      </w:r>
      <w:proofErr w:type="spellStart"/>
      <w:r w:rsidR="00667DAA">
        <w:rPr>
          <w:rFonts w:asciiTheme="majorHAnsi" w:hAnsiTheme="majorHAnsi"/>
          <w:sz w:val="24"/>
          <w:szCs w:val="24"/>
          <w:lang w:val="en-US"/>
        </w:rPr>
        <w:t>AmB</w:t>
      </w:r>
      <w:proofErr w:type="spellEnd"/>
      <w:r w:rsidR="00667DAA">
        <w:rPr>
          <w:rFonts w:asciiTheme="majorHAnsi" w:hAnsiTheme="majorHAnsi"/>
          <w:sz w:val="24"/>
          <w:szCs w:val="24"/>
          <w:lang w:val="en-US"/>
        </w:rPr>
        <w:t>), nephrotoxicity (</w:t>
      </w:r>
      <w:proofErr w:type="spellStart"/>
      <w:r w:rsidR="00667DAA">
        <w:rPr>
          <w:rFonts w:asciiTheme="majorHAnsi" w:hAnsiTheme="majorHAnsi"/>
          <w:sz w:val="24"/>
          <w:szCs w:val="24"/>
          <w:lang w:val="en-US"/>
        </w:rPr>
        <w:t>AmB</w:t>
      </w:r>
      <w:proofErr w:type="spellEnd"/>
      <w:r w:rsidR="002B6DEB">
        <w:rPr>
          <w:rFonts w:asciiTheme="majorHAnsi" w:hAnsiTheme="majorHAnsi"/>
          <w:sz w:val="24"/>
          <w:szCs w:val="24"/>
          <w:lang w:val="en-US"/>
        </w:rPr>
        <w:t xml:space="preserve"> </w:t>
      </w:r>
      <w:r w:rsidR="002B6DEB">
        <w:rPr>
          <w:rFonts w:asciiTheme="majorHAnsi" w:hAnsiTheme="majorHAnsi"/>
          <w:sz w:val="24"/>
          <w:szCs w:val="24"/>
          <w:lang w:val="en-US"/>
        </w:rPr>
        <w:fldChar w:fldCharType="begin" w:fldLock="1"/>
      </w:r>
      <w:r w:rsidR="0000523E">
        <w:rPr>
          <w:rFonts w:asciiTheme="majorHAnsi" w:hAnsiTheme="majorHAnsi"/>
          <w:sz w:val="24"/>
          <w:szCs w:val="24"/>
          <w:lang w:val="en-US"/>
        </w:rPr>
        <w:instrText>ADDIN CSL_CITATION { "citationItems" : [ { "id" : "ITEM-1", "itemData" : { "DOI" : "10.1128/AAC.01698-15", "ISSN" : "10986596", "PMID" : "26349818", "abstract" : "Amphotericin B deoxycholate (AmBd) is the recommended induction treatment for HIV-associated cryptococcal meningitis (CM). Its use is hampered by toxicities that include electrolyte abnormalities, nephrotoxicity, and anemia. Protocols to minimize toxicity are applied inconsistently. In a clinical trial cohort of AmBd-based CM induction treatment, a standardized protocol of preemptive hydration and electrolyte supplementation was applied. Changes in blood counts, electrolyte levels, and creatinine levels over 14 days were analyzed in relation to the AmBd dose, treatment duration (short course of 5 to 7 days or standard course of 14 days), addition of flucytosine (5FC), and outcome. In the 368 patients studied, the hemoglobin levels dropped by a mean of 1.5 g/dl (95% confidence interval [CI], 1.0 to 1.9 g/dl) following 7 days of AmBd and by a mean of 2.3 g/dl (95% CI, 1.1 to 3.6 g/dl) after 14 days. Serum creatinine levels increased by 37 \u03bcmol/liter (95% CI, 30 to 45 \u03bcmol/liter) by day 7 and by 49 \u03bcmol/liter (95% CI, 35 to 64\u03bcmol/liter) by day 14 of AmBd treatment. Overall, 33% of patients developed grade III/IV anemia, 5.6% developed grade III hypokalemia, 9.5% had creatinine levels that exceeded 220 \u03bcmol, and 6% discontinued AmBd prematurely. The addition of 5FC was associated with a slight increase in anemia but not neutropenia. Laboratory abnormalities stabilized or reversed during the second week in patients on short-course induction. Grade III/IV anemia (adjusted odds ratio [aOR], 2.2; 95% CI, 1.1 to 4.3; P = 0.028) and nephrotoxicity (aOR, 4.5; 95% CI, 1.8 to 11; P = 0.001) were risk factors for 10-week mortality. In summary, routine intravenous saline hydration and preemptive electrolyte replacement during AmBd-based induction regimens for HIV-associated CM minimized the incidence of hypokalemia and nephrotoxicity. Anemia remained a concerning adverse effect. The addition of flucytosine was not associated with increased neutropenia. Shorter AmBd courses were less toxic, with rapid reversibility.", "author" : [ { "dropping-particle" : "", "family" : "Bicanic", "given" : "Tihana", "non-dropping-particle" : "", "parse-names" : false, "suffix" : "" }, { "dropping-particle" : "", "family" : "Bottomley", "given" : "Christian", "non-dropping-particle" : "", "parse-names" : false, "suffix" : "" }, { "dropping-particle" : "", "family" : "Loyse", "given" : "Angela", "non-dropping-particle" : "", "parse-names" : false, "suffix" : "" }, { "dropping-particle" : "", "family" : "Brouwer", "given" : "Annemarie E.", "non-dropping-particle" : "", "parse-names" : false, "suffix" : "" }, { "dropping-particle" : "", "family" : "Muzoora", "given" : "Conrad", "non-dropping-particle" : "", "parse-names" : false, "suffix" : "" }, { "dropping-particle" : "", "family" : "Taseera", "given" : "Kabanda", "non-dropping-particle" : "", "parse-names" : false, "suffix" : "" }, { "dropping-particle" : "", "family" : "Jackson", "given" : "Arthur", "non-dropping-particle" : "", "parse-names" : false, "suffix" : "" }, { "dropping-particle" : "", "family" : "Phulusa", "given" : "Jacob", "non-dropping-particle" : "", "parse-names" : false, "suffix" : "" }, { "dropping-particle" : "", "family" : "Hosseinipour", "given" : "Mina C.", "non-dropping-particle" : "", "parse-names" : false, "suffix" : "" }, { "dropping-particle" : "", "family" : "Horst", "given" : "Charles", "non-dropping-particle" : "Van Der", "parse-names" : false, "suffix" : "" }, { "dropping-particle" : "", "family" : "Limmathurotsakul", "given" : "Direk", "non-dropping-particle" : "", "parse-names" : false, "suffix" : "" }, { "dropping-particle" : "", "family" : "White", "given" : "Nicholas J.", "non-dropping-particle" : "", "parse-names" : false, "suffix" : "" }, { "dropping-particle" : "", "family" : "Wilson", "given" : "Douglas", "non-dropping-particle" : "", "parse-names" : false, "suffix" : "" }, { "dropping-particle" : "", "family" : "Wood", "given" : "Robin", "non-dropping-particle" : "", "parse-names" : false, "suffix" : "" }, { "dropping-particle" : "", "family" : "Meintjes", "given" : "Graeme", "non-dropping-particle" : "", "parse-names" : false, "suffix" : "" }, { "dropping-particle" : "", "family" : "Harrison", "given" : "Thomas S.", "non-dropping-particle" : "", "parse-names" : false, "suffix" : "" }, { "dropping-particle" : "", "family" : "Jarvis", "given" : "Joseph N.", "non-dropping-particle" : "", "parse-names" : false, "suffix" : "" } ], "container-title" : "Antimicrobial Agents and Chemotherapy", "id" : "ITEM-1", "issue" : "12", "issued" : { "date-parts" : [ [ "2015" ] ] }, "page" : "7224-7231", "title" : "Toxicity of amphotericin B deoxycholate-based induction therapy in patients with HIV-associated cryptococcal meningitis", "type" : "article-journal", "volume" : "59" }, "uris" : [ "http://www.mendeley.com/documents/?uuid=5a860aaf-6b27-40e5-b17e-c93a7c8fe746", "http://www.mendeley.com/documents/?uuid=16e4e1ef-bbce-43b8-9934-1b40bd4c5bd0" ] } ], "mendeley" : { "formattedCitation" : "(5)", "plainTextFormattedCitation" : "(5)", "previouslyFormattedCitation" : "(5)" }, "properties" : { "noteIndex" : 0 }, "schema" : "https://github.com/citation-style-language/schema/raw/master/csl-citation.json" }</w:instrText>
      </w:r>
      <w:r w:rsidR="002B6DEB">
        <w:rPr>
          <w:rFonts w:asciiTheme="majorHAnsi" w:hAnsiTheme="majorHAnsi"/>
          <w:sz w:val="24"/>
          <w:szCs w:val="24"/>
          <w:lang w:val="en-US"/>
        </w:rPr>
        <w:fldChar w:fldCharType="separate"/>
      </w:r>
      <w:r w:rsidR="00EE56E7" w:rsidRPr="00EE56E7">
        <w:rPr>
          <w:rFonts w:asciiTheme="majorHAnsi" w:hAnsiTheme="majorHAnsi"/>
          <w:noProof/>
          <w:sz w:val="24"/>
          <w:szCs w:val="24"/>
          <w:lang w:val="en-US"/>
        </w:rPr>
        <w:t>(5)</w:t>
      </w:r>
      <w:r w:rsidR="002B6DEB">
        <w:rPr>
          <w:rFonts w:asciiTheme="majorHAnsi" w:hAnsiTheme="majorHAnsi"/>
          <w:sz w:val="24"/>
          <w:szCs w:val="24"/>
          <w:lang w:val="en-US"/>
        </w:rPr>
        <w:fldChar w:fldCharType="end"/>
      </w:r>
      <w:r w:rsidR="00667DAA">
        <w:rPr>
          <w:rFonts w:asciiTheme="majorHAnsi" w:hAnsiTheme="majorHAnsi"/>
          <w:sz w:val="24"/>
          <w:szCs w:val="24"/>
          <w:lang w:val="en-US"/>
        </w:rPr>
        <w:t>), bone marrow suppression (</w:t>
      </w:r>
      <w:proofErr w:type="spellStart"/>
      <w:r w:rsidR="00667DAA">
        <w:rPr>
          <w:rFonts w:asciiTheme="majorHAnsi" w:hAnsiTheme="majorHAnsi"/>
          <w:sz w:val="24"/>
          <w:szCs w:val="24"/>
          <w:lang w:val="en-US"/>
        </w:rPr>
        <w:t>AmB</w:t>
      </w:r>
      <w:proofErr w:type="spellEnd"/>
      <w:r w:rsidR="00667DAA">
        <w:rPr>
          <w:rFonts w:asciiTheme="majorHAnsi" w:hAnsiTheme="majorHAnsi"/>
          <w:sz w:val="24"/>
          <w:szCs w:val="24"/>
          <w:lang w:val="en-US"/>
        </w:rPr>
        <w:t xml:space="preserve"> and 5FC</w:t>
      </w:r>
      <w:r w:rsidR="00101F4C">
        <w:rPr>
          <w:rFonts w:asciiTheme="majorHAnsi" w:hAnsiTheme="majorHAnsi"/>
          <w:sz w:val="24"/>
          <w:szCs w:val="24"/>
          <w:lang w:val="en-US"/>
        </w:rPr>
        <w:t xml:space="preserve"> </w:t>
      </w:r>
      <w:r w:rsidR="002B6DEB">
        <w:rPr>
          <w:rFonts w:asciiTheme="majorHAnsi" w:hAnsiTheme="majorHAnsi"/>
          <w:sz w:val="24"/>
          <w:szCs w:val="24"/>
          <w:lang w:val="en-US"/>
        </w:rPr>
        <w:fldChar w:fldCharType="begin" w:fldLock="1"/>
      </w:r>
      <w:r w:rsidR="00103079">
        <w:rPr>
          <w:rFonts w:asciiTheme="majorHAnsi" w:hAnsiTheme="majorHAnsi"/>
          <w:sz w:val="24"/>
          <w:szCs w:val="24"/>
          <w:lang w:val="en-US"/>
        </w:rPr>
        <w:instrText>ADDIN CSL_CITATION { "citationItems" : [ { "id" : "ITEM-1", "itemData" : { "PMID" : "3303926", "abstract" : "A multicenter prospective randomized trial of four versus six weeks of amphotericin B, 0.3 mg/kg per day, plus flucytosine, 150 mg/kg per day, was performed with 194 patients with cryptococcal meningitis. One or more toxic drug reactions developed in 103 patients: azotemia (51), renal tubular acidosis (two), leukopenia (30), thrombocytopenia (22), diarrhea (26), nausea/vomiting (10), and hepatitis (13). The four- and six-week regimens were complicated by toxicity in 44 percent and 43 percent of cases, respectively. Toxicity appeared during the first two weeks of therapy in 56 percent and during the first four weeks in 87 percent. Azotemia did not occur more frequently in renal transplant recipients or diabetic patients. Cytopenias did not appear more often in patients with hematologic malignancies or those receiving immunosuppressive therapies. Toxic reactions that contributed to death developed in five patients (two with azotemia, one with pancytopenia, one with hepatitis, one with ileus). Amphotericin B-induced azotemia was not a significant risk factor for the subsequent development of bone marrow, gastrointestinal, or hepatic toxicity attributable to flucytosine. Flucytosine toxicity was associated with peak serum flucytosine levels of 100 micrograms/ml or more during two or more weeks of therapy (p = 0.005). Peak 5-fluorouracil levels were not predictive of toxicity. An initial dose of flucytosine is recommended based on the creatinine clearance: 150 mg/kg per day at a creatinine clearance above 50 ml/minute, 75 mg/kg per day at a creatinine clearance of 26 to 50 ml/minute, and 37 mg/kg per day at a creatinine clearance of 13 to 25 ml/minute. The serum creatinine level should be monitored twice weekly and the creatinine clearance weekly during therapy in order to anticipate changes in serum flucytosine concentration. In addition, it is recommended that the serum flucytosine level be determined two hours after an oral dose once a week, and that the dose be adjusted to maintain a level of 50 to 100 micrograms/ml.", "author" : [ { "dropping-particle" : "", "family" : "Stamm", "given" : "A M", "non-dropping-particle" : "", "parse-names" : false, "suffix" : "" }, { "dropping-particle" : "", "family" : "Diasio", "given" : "R B", "non-dropping-particle" : "", "parse-names" : false, "suffix" : "" }, { "dropping-particle" : "", "family" : "Dismukes", "given" : "W E", "non-dropping-particle" : "", "parse-names" : false, "suffix" : "" }, { "dropping-particle" : "", "family" : "Shadomy", "given" : "S", "non-dropping-particle" : "", "parse-names" : false, "suffix" : "" }, { "dropping-particle" : "", "family" : "Cloud", "given" : "G A", "non-dropping-particle" : "", "parse-names" : false, "suffix" : "" }, { "dropping-particle" : "", "family" : "Bowles", "given" : "C A", "non-dropping-particle" : "", "parse-names" : false, "suffix" : "" }, { "dropping-particle" : "", "family" : "Karam", "given" : "G H", "non-dropping-particle" : "", "parse-names" : false, "suffix" : "" }, { "dropping-particle" : "", "family" : "Espinel-Ingroff", "given" : "A", "non-dropping-particle" : "", "parse-names" : false, "suffix" : "" } ], "container-title" : "Am J Med", "id" : "ITEM-1", "issue" : "2", "issued" : { "date-parts" : [ [ "1987" ] ] }, "note" : "0002-9343\nClinical Trial\nJournal Article\nRandomized Controlled Trial", "page" : "236-242", "title" : "Toxicity of amphotericin B plus flucytosine in 194 patients with cryptococcal meningitis", "type" : "article-journal", "volume" : "83" }, "uris" : [ "http://www.mendeley.com/documents/?uuid=a30c1e93-e0ea-42c0-a88d-25a115d2fb73", "http://www.mendeley.com/documents/?uuid=cee830eb-443a-4880-abd8-19139372852a" ] }, { "id" : "ITEM-2", "itemData" : { "DOI" : "10.1128/AAC.01698-15", "ISSN" : "10986596", "PMID" : "26349818", "abstract" : "Amphotericin B deoxycholate (AmBd) is the recommended induction treatment for HIV-associated cryptococcal meningitis (CM). Its use is hampered by toxicities that include electrolyte abnormalities, nephrotoxicity, and anemia. Protocols to minimize toxicity are applied inconsistently. In a clinical trial cohort of AmBd-based CM induction treatment, a standardized protocol of preemptive hydration and electrolyte supplementation was applied. Changes in blood counts, electrolyte levels, and creatinine levels over 14 days were analyzed in relation to the AmBd dose, treatment duration (short course of 5 to 7 days or standard course of 14 days), addition of flucytosine (5FC), and outcome. In the 368 patients studied, the hemoglobin levels dropped by a mean of 1.5 g/dl (95% confidence interval [CI], 1.0 to 1.9 g/dl) following 7 days of AmBd and by a mean of 2.3 g/dl (95% CI, 1.1 to 3.6 g/dl) after 14 days. Serum creatinine levels increased by 37 \u03bcmol/liter (95% CI, 30 to 45 \u03bcmol/liter) by day 7 and by 49 \u03bcmol/liter (95% CI, 35 to 64\u03bcmol/liter) by day 14 of AmBd treatment. Overall, 33% of patients developed grade III/IV anemia, 5.6% developed grade III hypokalemia, 9.5% had creatinine levels that exceeded 220 \u03bcmol, and 6% discontinued AmBd prematurely. The addition of 5FC was associated with a slight increase in anemia but not neutropenia. Laboratory abnormalities stabilized or reversed during the second week in patients on short-course induction. Grade III/IV anemia (adjusted odds ratio [aOR], 2.2; 95% CI, 1.1 to 4.3; P = 0.028) and nephrotoxicity (aOR, 4.5; 95% CI, 1.8 to 11; P = 0.001) were risk factors for 10-week mortality. In summary, routine intravenous saline hydration and preemptive electrolyte replacement during AmBd-based induction regimens for HIV-associated CM minimized the incidence of hypokalemia and nephrotoxicity. Anemia remained a concerning adverse effect. The addition of flucytosine was not associated with increased neutropenia. Shorter AmBd courses were less toxic, with rapid reversibility.", "author" : [ { "dropping-particle" : "", "family" : "Bicanic", "given" : "Tihana", "non-dropping-particle" : "", "parse-names" : false, "suffix" : "" }, { "dropping-particle" : "", "family" : "Bottomley", "given" : "Christian", "non-dropping-particle" : "", "parse-names" : false, "suffix" : "" }, { "dropping-particle" : "", "family" : "Loyse", "given" : "Angela", "non-dropping-particle" : "", "parse-names" : false, "suffix" : "" }, { "dropping-particle" : "", "family" : "Brouwer", "given" : "Annemarie E.", "non-dropping-particle" : "", "parse-names" : false, "suffix" : "" }, { "dropping-particle" : "", "family" : "Muzoora", "given" : "Conrad", "non-dropping-particle" : "", "parse-names" : false, "suffix" : "" }, { "dropping-particle" : "", "family" : "Taseera", "given" : "Kabanda", "non-dropping-particle" : "", "parse-names" : false, "suffix" : "" }, { "dropping-particle" : "", "family" : "Jackson", "given" : "Arthur", "non-dropping-particle" : "", "parse-names" : false, "suffix" : "" }, { "dropping-particle" : "", "family" : "Phulusa", "given" : "Jacob", "non-dropping-particle" : "", "parse-names" : false, "suffix" : "" }, { "dropping-particle" : "", "family" : "Hosseinipour", "given" : "Mina C.", "non-dropping-particle" : "", "parse-names" : false, "suffix" : "" }, { "dropping-particle" : "", "family" : "Horst", "given" : "Charles", "non-dropping-particle" : "Van Der", "parse-names" : false, "suffix" : "" }, { "dropping-particle" : "", "family" : "Limmathurotsakul", "given" : "Direk", "non-dropping-particle" : "", "parse-names" : false, "suffix" : "" }, { "dropping-particle" : "", "family" : "White", "given" : "Nicholas J.", "non-dropping-particle" : "", "parse-names" : false, "suffix" : "" }, { "dropping-particle" : "", "family" : "Wilson", "given" : "Douglas", "non-dropping-particle" : "", "parse-names" : false, "suffix" : "" }, { "dropping-particle" : "", "family" : "Wood", "given" : "Robin", "non-dropping-particle" : "", "parse-names" : false, "suffix" : "" }, { "dropping-particle" : "", "family" : "Meintjes", "given" : "Graeme", "non-dropping-particle" : "", "parse-names" : false, "suffix" : "" }, { "dropping-particle" : "", "family" : "Harrison", "given" : "Thomas S.", "non-dropping-particle" : "", "parse-names" : false, "suffix" : "" }, { "dropping-particle" : "", "family" : "Jarvis", "given" : "Joseph N.", "non-dropping-particle" : "", "parse-names" : false, "suffix" : "" } ], "container-title" : "Antimicrobial Agents and Chemotherapy", "id" : "ITEM-2", "issue" : "12", "issued" : { "date-parts" : [ [ "2015" ] ] }, "page" : "7224-7231", "title" : "Toxicity of amphotericin B deoxycholate-based induction therapy in patients with HIV-associated cryptococcal meningitis", "type" : "article-journal", "volume" : "59" }, "uris" : [ "http://www.mendeley.com/documents/?uuid=16e4e1ef-bbce-43b8-9934-1b40bd4c5bd0", "http://www.mendeley.com/documents/?uuid=5a860aaf-6b27-40e5-b17e-c93a7c8fe746" ] } ], "mendeley" : { "formattedCitation" : "(5, 6)", "plainTextFormattedCitation" : "(5, 6)", "previouslyFormattedCitation" : "(5, 6)" }, "properties" : { "noteIndex" : 0 }, "schema" : "https://github.com/citation-style-language/schema/raw/master/csl-citation.json" }</w:instrText>
      </w:r>
      <w:r w:rsidR="002B6DEB">
        <w:rPr>
          <w:rFonts w:asciiTheme="majorHAnsi" w:hAnsiTheme="majorHAnsi"/>
          <w:sz w:val="24"/>
          <w:szCs w:val="24"/>
          <w:lang w:val="en-US"/>
        </w:rPr>
        <w:fldChar w:fldCharType="separate"/>
      </w:r>
      <w:r w:rsidR="00EE56E7" w:rsidRPr="00EE56E7">
        <w:rPr>
          <w:rFonts w:asciiTheme="majorHAnsi" w:hAnsiTheme="majorHAnsi"/>
          <w:noProof/>
          <w:sz w:val="24"/>
          <w:szCs w:val="24"/>
          <w:lang w:val="en-US"/>
        </w:rPr>
        <w:t>(5, 6)</w:t>
      </w:r>
      <w:r w:rsidR="002B6DEB">
        <w:rPr>
          <w:rFonts w:asciiTheme="majorHAnsi" w:hAnsiTheme="majorHAnsi"/>
          <w:sz w:val="24"/>
          <w:szCs w:val="24"/>
          <w:lang w:val="en-US"/>
        </w:rPr>
        <w:fldChar w:fldCharType="end"/>
      </w:r>
      <w:r w:rsidR="00667DAA">
        <w:rPr>
          <w:rFonts w:asciiTheme="majorHAnsi" w:hAnsiTheme="majorHAnsi"/>
          <w:sz w:val="24"/>
          <w:szCs w:val="24"/>
          <w:lang w:val="en-US"/>
        </w:rPr>
        <w:t>) and hepatotoxicity (fluconazole and 5FC</w:t>
      </w:r>
      <w:r w:rsidR="00B83A6F">
        <w:rPr>
          <w:rFonts w:asciiTheme="majorHAnsi" w:hAnsiTheme="majorHAnsi"/>
          <w:sz w:val="24"/>
          <w:szCs w:val="24"/>
          <w:lang w:val="en-US"/>
        </w:rPr>
        <w:t xml:space="preserve"> </w:t>
      </w:r>
      <w:r w:rsidR="00294D4A">
        <w:rPr>
          <w:rFonts w:asciiTheme="majorHAnsi" w:hAnsiTheme="majorHAnsi"/>
          <w:sz w:val="24"/>
          <w:szCs w:val="24"/>
          <w:lang w:val="en-US"/>
        </w:rPr>
        <w:fldChar w:fldCharType="begin" w:fldLock="1"/>
      </w:r>
      <w:r w:rsidR="0000523E">
        <w:rPr>
          <w:rFonts w:asciiTheme="majorHAnsi" w:hAnsiTheme="majorHAnsi"/>
          <w:sz w:val="24"/>
          <w:szCs w:val="24"/>
          <w:lang w:val="en-US"/>
        </w:rPr>
        <w:instrText>ADDIN CSL_CITATION { "citationItems" : [ { "id" : "ITEM-1", "itemData" : { "DOI" : "10.1080/13693780701851695", "ISSN" : "1369-3786", "PMID" : "18415850", "abstract" : "An all oral treatment for cryptococcal meningitis is attractive, particularly where amphotericin B use is impractical. Both fluconazole and flucytosine are available in oral formulations and have activity against Cryptococcus neoformans. We conducted a prospective phase II dose escalation study employing doses of fluconazole ranging from 800 to 2000 mg daily for 10 weeks used alone or combined with flucytosine at 100 mg/kg per day for the first 4 weeks. We found that increasing doses of fluconazole were associated with an increase in survival and a decrease in the time to conversion of the cerebrospinal fluid from culture positive to culture negative. Addition of flucytosine to fluconazole improved outcomes in each dosing cohort. High doses of fluconazole alone or combined with flucytosine were well tolerated.", "author" : [ { "dropping-particle" : "", "family" : "Milefchik", "given" : "Eric", "non-dropping-particle" : "", "parse-names" : false, "suffix" : "" }, { "dropping-particle" : "", "family" : "Leal", "given" : "Mary Ann", "non-dropping-particle" : "", "parse-names" : false, "suffix" : "" }, { "dropping-particle" : "", "family" : "Haubrich", "given" : "Richard", "non-dropping-particle" : "", "parse-names" : false, "suffix" : "" }, { "dropping-particle" : "", "family" : "Bozzette", "given" : "Samuel a", "non-dropping-particle" : "", "parse-names" : false, "suffix" : "" }, { "dropping-particle" : "", "family" : "Tilles", "given" : "Jeremiah G", "non-dropping-particle" : "", "parse-names" : false, "suffix" : "" }, { "dropping-particle" : "", "family" : "Leedom", "given" : "John M", "non-dropping-particle" : "", "parse-names" : false, "suffix" : "" }, { "dropping-particle" : "", "family" : "McCutchan", "given" : "J Allen", "non-dropping-particle" : "", "parse-names" : false, "suffix" : "" }, { "dropping-particle" : "", "family" : "Larsen", "given" : "Robert a", "non-dropping-particle" : "", "parse-names" : false, "suffix" : "" } ], "container-title" : "Medical mycology", "id" : "ITEM-1", "issue" : "4", "issued" : { "date-parts" : [ [ "2008", "6" ] ] }, "page" : "393-5", "title" : "Fluconazole alone or combined with flucytosine for the treatment of AIDS-associated cryptococcal meningitis.", "type" : "article-journal", "volume" : "46" }, "uris" : [ "http://www.mendeley.com/documents/?uuid=1f1a5522-b9d7-4530-b5af-60823d952e4d", "http://www.mendeley.com/documents/?uuid=4f7cb693-9d44-4067-bf9d-5d8b69415f46" ] } ], "mendeley" : { "formattedCitation" : "(7)", "plainTextFormattedCitation" : "(7)", "previouslyFormattedCitation" : "(7)" }, "properties" : { "noteIndex" : 0 }, "schema" : "https://github.com/citation-style-language/schema/raw/master/csl-citation.json" }</w:instrText>
      </w:r>
      <w:r w:rsidR="00294D4A">
        <w:rPr>
          <w:rFonts w:asciiTheme="majorHAnsi" w:hAnsiTheme="majorHAnsi"/>
          <w:sz w:val="24"/>
          <w:szCs w:val="24"/>
          <w:lang w:val="en-US"/>
        </w:rPr>
        <w:fldChar w:fldCharType="separate"/>
      </w:r>
      <w:r w:rsidR="00EE56E7" w:rsidRPr="00EE56E7">
        <w:rPr>
          <w:rFonts w:asciiTheme="majorHAnsi" w:hAnsiTheme="majorHAnsi"/>
          <w:noProof/>
          <w:sz w:val="24"/>
          <w:szCs w:val="24"/>
          <w:lang w:val="en-US"/>
        </w:rPr>
        <w:t>(7)</w:t>
      </w:r>
      <w:r w:rsidR="00294D4A">
        <w:rPr>
          <w:rFonts w:asciiTheme="majorHAnsi" w:hAnsiTheme="majorHAnsi"/>
          <w:sz w:val="24"/>
          <w:szCs w:val="24"/>
          <w:lang w:val="en-US"/>
        </w:rPr>
        <w:fldChar w:fldCharType="end"/>
      </w:r>
      <w:r w:rsidR="00667DAA">
        <w:rPr>
          <w:rFonts w:asciiTheme="majorHAnsi" w:hAnsiTheme="majorHAnsi"/>
          <w:sz w:val="24"/>
          <w:szCs w:val="24"/>
          <w:lang w:val="en-US"/>
        </w:rPr>
        <w:t>)</w:t>
      </w:r>
      <w:r w:rsidRPr="00876AB1">
        <w:rPr>
          <w:rFonts w:asciiTheme="majorHAnsi" w:hAnsiTheme="majorHAnsi"/>
          <w:sz w:val="24"/>
          <w:szCs w:val="24"/>
          <w:lang w:val="en-US"/>
        </w:rPr>
        <w:t xml:space="preserve">.  </w:t>
      </w:r>
      <w:r w:rsidR="00667DAA">
        <w:rPr>
          <w:rFonts w:asciiTheme="majorHAnsi" w:hAnsiTheme="majorHAnsi"/>
          <w:sz w:val="24"/>
          <w:szCs w:val="24"/>
          <w:lang w:val="en-US"/>
        </w:rPr>
        <w:t xml:space="preserve">Moreover, there are significant inherent limitations that include </w:t>
      </w:r>
      <w:proofErr w:type="spellStart"/>
      <w:r w:rsidR="00667DAA">
        <w:rPr>
          <w:rFonts w:asciiTheme="majorHAnsi" w:hAnsiTheme="majorHAnsi"/>
          <w:sz w:val="24"/>
          <w:szCs w:val="24"/>
          <w:lang w:val="en-US"/>
        </w:rPr>
        <w:t>fungistatic</w:t>
      </w:r>
      <w:proofErr w:type="spellEnd"/>
      <w:r w:rsidR="00667DAA">
        <w:rPr>
          <w:rFonts w:asciiTheme="majorHAnsi" w:hAnsiTheme="majorHAnsi"/>
          <w:sz w:val="24"/>
          <w:szCs w:val="24"/>
          <w:lang w:val="en-US"/>
        </w:rPr>
        <w:t xml:space="preserve"> effects (fluconazole</w:t>
      </w:r>
      <w:r w:rsidR="00EC30F1">
        <w:rPr>
          <w:rFonts w:asciiTheme="majorHAnsi" w:hAnsiTheme="majorHAnsi"/>
          <w:sz w:val="24"/>
          <w:szCs w:val="24"/>
          <w:lang w:val="en-US"/>
        </w:rPr>
        <w:t xml:space="preserve">; </w:t>
      </w:r>
      <w:r w:rsidR="00EC30F1">
        <w:rPr>
          <w:rFonts w:asciiTheme="majorHAnsi" w:hAnsiTheme="majorHAnsi"/>
          <w:sz w:val="24"/>
          <w:szCs w:val="24"/>
          <w:lang w:val="en-US"/>
        </w:rPr>
        <w:fldChar w:fldCharType="begin" w:fldLock="1"/>
      </w:r>
      <w:r w:rsidR="00103079">
        <w:rPr>
          <w:rFonts w:asciiTheme="majorHAnsi" w:hAnsiTheme="majorHAnsi"/>
          <w:sz w:val="24"/>
          <w:szCs w:val="24"/>
          <w:lang w:val="en-US"/>
        </w:rPr>
        <w:instrText>ADDIN CSL_CITATION { "citationItems" : [ { "id" : "ITEM-1", "itemData" : { "DOI" : "10.1128/AAC.00216-13", "ISBN" : "1098-6596 (Electronic) 0066-4804 (Linking)", "ISSN" : "1098-6596", "PMID" : "23571544", "abstract" : "Fluconazole is frequently the only antifungal agent that is available for induction therapy for cryptococcal meningitis. There is relatively little understanding of the pharmacokinetics and pharmacodynamics (PK-PD) of fluconazole in this setting. PK-PD relationships were estimated with 4 clinical isolates of Cryptococcus neoformans. MICs were determined using Clinical and Laboratory Standards Institute (CLSI) methodology. A nonimmunosuppressed murine model of cryptococcal meningitis was used. Mice received two different doses of fluconazole (125 mg/kg of body weight/day and 250 mg/kg of body weight/day) orally for 9 days; a control group of mice was not given fluconazole. Fluconazole concentrations in plasma and in the cerebrum were determined using high-performance liquid chromatography (HPLC). The cryptococcal density in the brain was estimated using quantitative cultures. A mathematical model was fitted to the PK-PD data. The experimental results were extrapolated to humans (bridging study). The PK were linear. A dose-dependent decline in fungal burden was observed, with near-maximal activity evident with dosages of 250 mg/kg/day. The MIC was important for understanding the exposure-response relationships. The mean AUC/MIC ratio associated with stasis was 389. The results of the bridging study suggested that only 66.7% of patients receiving 1,200 mg/kg would achieve or exceed an AUC/MIC ratio of 389. The potential breakpoints for fluconazole against Cryptococcus neoformans follow: susceptible, &lt;/= 2 mg/liter; resistant, &gt;2 mg/liter. Fluconazole may be an inferior agent for induction therapy because many patients cannot achieve the pharmacodynamic target. Clinical breakpoints are likely to be significantly lower than epidemiological cutoff values. The MIC may guide the appropriate use of fluconazole. If fluconazole is the only option for induction therapy, then the highest possible dose should be used.", "author" : [ { "dropping-particle" : "", "family" : "Sudan", "given" : "Ajay", "non-dropping-particle" : "", "parse-names" : false, "suffix" : "" }, { "dropping-particle" : "", "family" : "Livermore", "given" : "Joanne", "non-dropping-particle" : "", "parse-names" : false, "suffix" : "" }, { "dropping-particle" : "", "family" : "Howard", "given" : "Susan J", "non-dropping-particle" : "", "parse-names" : false, "suffix" : "" }, { "dropping-particle" : "", "family" : "Al-Nakeeb", "given" : "Zaid", "non-dropping-particle" : "", "parse-names" : false, "suffix" : "" }, { "dropping-particle" : "", "family" : "Sharp", "given" : "Andrew", "non-dropping-particle" : "", "parse-names" : false, "suffix" : "" }, { "dropping-particle" : "", "family" : "Goodwin", "given" : "Joanne", "non-dropping-particle" : "", "parse-names" : false, "suffix" : "" }, { "dropping-particle" : "", "family" : "Gregson", "given" : "Lea", "non-dropping-particle" : "", "parse-names" : false, "suffix" : "" }, { "dropping-particle" : "", "family" : "Warn", "given" : "Peter A", "non-dropping-particle" : "", "parse-names" : false, "suffix" : "" }, { "dropping-particle" : "", "family" : "Felton", "given" : "Tim W", "non-dropping-particle" : "", "parse-names" : false, "suffix" : "" }, { "dropping-particle" : "", "family" : "Perfect", "given" : "John R", "non-dropping-particle" : "", "parse-names" : false, "suffix" : "" }, { "dropping-particle" : "", "family" : "others", "given" : "", "non-dropping-particle" : "", "parse-names" : false, "suffix" : "" }, { "dropping-particle" : "", "family" : "Harrison", "given" : "Thomas S", "non-dropping-particle" : "", "parse-names" : false, "suffix" : "" }, { "dropping-particle" : "", "family" : "Hope", "given" : "William W", "non-dropping-particle" : "", "parse-names" : false, "suffix" : "" } ], "container-title" : "Antimicrobial agents and chemotherapy", "id" : "ITEM-1", "issue" : "6", "issued" : { "date-parts" : [ [ "2013", "6" ] ] }, "language" : "eng", "note" : "From Duplicate 1 (Pharmacokinetics and pharmacodynamics of fluconazole for cryptococcal meningoencephalitis: implications for antifungal therapy and in vitro susceptibility breakpoints. - Sudan, Ajay; Livermore, Joanne; Howard, Susan J; Al-Nakeeb, Zaid; Sharp, Andrew; Goodwin, Joanne; Gregson, Lea; Warn, Peter A; Felton, Tim W; Perfect, John R; Harrison, Thomas S; Hope, William W)\n\nFrom Duplicate 2 ( \n\nPharmacokinetics and pharmacodynamics of fluconazole for cryptococcal meningoencephalitis: implications for antifungal therapy and in vitro susceptibility breakpoints\n\n- Sudan, A; Livermore, J; Howard, S J; Al-Nakeeb, Z; Sharp, A; Goodwin, J; Gregson, L; Warn, P A; Felton, T W; Perfect, J R; Harrison, T S; Hope, W W )\n\n\n\nSudan, Ajay\nLivermore, Joanne\nHoward, Susan J\nAl-Nakeeb, Zaid\nSharp, Andrew\nGoodwin, Joanne\nGregson, Lea\nWarn, Peter A\nFelton, Tim W\nPerfect, John R\nHarrison, Thomas S\nHope, William W\nG1001760/2/Medical Research Council/United Kingdom\nAntimicrob Agents Chemother. 2013 Jun;57(6):2793-800. doi: 10.1128/AAC.00216-13. Epub 2013 Apr 9.", "page" : "2793-2800", "title" : "Pharmacokinetics and pharmacodynamics of fluconazole for cryptococcal meningoencephalitis: implications for antifungal therapy and in vitro susceptibility breakpoints", "type" : "article-journal", "volume" : "57" }, "uris" : [ "http://www.mendeley.com/documents/?uuid=c5069e26-1635-4ff4-bbce-5d7cd3f7706c", "http://www.mendeley.com/documents/?uuid=6367e111-ea48-4f34-b7ab-3dcdb7053acb" ] } ], "mendeley" : { "formattedCitation" : "(8)", "plainTextFormattedCitation" : "(8)", "previouslyFormattedCitation" : "(8)" }, "properties" : { "noteIndex" : 0 }, "schema" : "https://github.com/citation-style-language/schema/raw/master/csl-citation.json" }</w:instrText>
      </w:r>
      <w:r w:rsidR="00EC30F1">
        <w:rPr>
          <w:rFonts w:asciiTheme="majorHAnsi" w:hAnsiTheme="majorHAnsi"/>
          <w:sz w:val="24"/>
          <w:szCs w:val="24"/>
          <w:lang w:val="en-US"/>
        </w:rPr>
        <w:fldChar w:fldCharType="separate"/>
      </w:r>
      <w:r w:rsidR="00EE56E7" w:rsidRPr="00EE56E7">
        <w:rPr>
          <w:rFonts w:asciiTheme="majorHAnsi" w:hAnsiTheme="majorHAnsi"/>
          <w:noProof/>
          <w:sz w:val="24"/>
          <w:szCs w:val="24"/>
          <w:lang w:val="en-US"/>
        </w:rPr>
        <w:t>(8)</w:t>
      </w:r>
      <w:r w:rsidR="00EC30F1">
        <w:rPr>
          <w:rFonts w:asciiTheme="majorHAnsi" w:hAnsiTheme="majorHAnsi"/>
          <w:sz w:val="24"/>
          <w:szCs w:val="24"/>
          <w:lang w:val="en-US"/>
        </w:rPr>
        <w:fldChar w:fldCharType="end"/>
      </w:r>
      <w:r w:rsidR="00667DAA">
        <w:rPr>
          <w:rFonts w:asciiTheme="majorHAnsi" w:hAnsiTheme="majorHAnsi"/>
          <w:sz w:val="24"/>
          <w:szCs w:val="24"/>
          <w:lang w:val="en-US"/>
        </w:rPr>
        <w:t xml:space="preserve">) and the </w:t>
      </w:r>
      <w:r w:rsidR="003D64B9">
        <w:rPr>
          <w:rFonts w:asciiTheme="majorHAnsi" w:hAnsiTheme="majorHAnsi"/>
          <w:sz w:val="24"/>
          <w:szCs w:val="24"/>
          <w:lang w:val="en-US"/>
        </w:rPr>
        <w:t xml:space="preserve">potential </w:t>
      </w:r>
      <w:r w:rsidR="00667DAA">
        <w:rPr>
          <w:rFonts w:asciiTheme="majorHAnsi" w:hAnsiTheme="majorHAnsi"/>
          <w:sz w:val="24"/>
          <w:szCs w:val="24"/>
          <w:lang w:val="en-US"/>
        </w:rPr>
        <w:t>emergence of drug resistance (fluconazole and 5FC</w:t>
      </w:r>
      <w:r w:rsidR="003D64B9">
        <w:rPr>
          <w:rFonts w:asciiTheme="majorHAnsi" w:hAnsiTheme="majorHAnsi"/>
          <w:sz w:val="24"/>
          <w:szCs w:val="24"/>
          <w:lang w:val="en-US"/>
        </w:rPr>
        <w:t xml:space="preserve">; </w:t>
      </w:r>
      <w:r w:rsidR="003D64B9">
        <w:rPr>
          <w:rFonts w:asciiTheme="majorHAnsi" w:hAnsiTheme="majorHAnsi"/>
          <w:sz w:val="24"/>
          <w:szCs w:val="24"/>
          <w:lang w:val="en-US"/>
        </w:rPr>
        <w:fldChar w:fldCharType="begin" w:fldLock="1"/>
      </w:r>
      <w:r w:rsidR="00103079">
        <w:rPr>
          <w:rFonts w:asciiTheme="majorHAnsi" w:hAnsiTheme="majorHAnsi"/>
          <w:sz w:val="24"/>
          <w:szCs w:val="24"/>
          <w:lang w:val="en-US"/>
        </w:rPr>
        <w:instrText>ADDIN CSL_CITATION { "citationItems" : [ { "id" : "ITEM-1", "itemData" : { "PMID" : "16983622", "abstract" : "BACKGROUND: Cryptococcal meningitis (CM) in South Africa is often treated with fluconazole as initial therapy. Surveillance data suggest that the prevalence of fluconazole-resistant CM is increasing, and expanding access to antiretroviral therapy is resulting in increasing recognition of immune reconstitution inflammatory syndrome. Therefore, we conducted a study to assess the contribution of these factors to CM relapse in this context. METHODS: Patients with symptomatic relapse of CM were prospectively identified at 2 hospitals in Cape Town, South Africa, during the period of 2003-2005. Patients met the following criteria: (1) a previous laboratory-confirmed episode of CM, with resolution of symptoms after treatment; (2) reported adherence to fluconazole treatment; (3) recurrence of typical CM symptoms; (4) cerebrospinal fluid antigen test and/or culture positive for Cryptococcus neoformans; and (5) no alternative diagnosis. Data on patients' human immunodeficiency virus (HIV) and CM infections and treatment were collected and analyzed. RESULTS: Thirty-two episodes of relapse occurred among 27 patients. Episodes were classified into 3 groups: culture-positive episodes in antiretroviral therapy-naive patients (6 episodes), culture-positive episodes in patients receiving antiretroviral therapy (15 episodes), and culture-negative episodes in patients receiving antiretroviral therapy (11 episodes). Seventy-six percent of culture-positive relapses were associated with isolates that had reduced susceptibility to fluconazole. Drug-resistant cases required prolonged intravenous therapy with amphotericin B, and despite this treatment, the mortality rate was high (54% at a median of 6 months of follow-up). Despite a long interval between initiation of antifungal therapy and initiation of antiretroviral therapy (median interval, 144 days), immune reconstitution inflammatory syndrome contributed to at least one-third of relapses. CONCLUSIONS: After initial treatment with fluconazole, relapses of symptomatic CM are often associated with fluconazole resistance and immune reconstitution inflammatory syndrome. These data add to concern about the efficacy of fluconazole, compared with amphotericin B, for initial treatment of HIV-associated CM.", "author" : [ { "dropping-particle" : "", "family" : "Bicanic", "given" : "T", "non-dropping-particle" : "", "parse-names" : false, "suffix" : "" }, { "dropping-particle" : "", "family" : "Harrison", "given" : "T", "non-dropping-particle" : "", "parse-names" : false, "suffix" : "" }, { "dropping-particle" : "", "family" : "Niepieklo", "given" : "A", "non-dropping-particle" : "", "parse-names" : false, "suffix" : "" }, { "dropping-particle" : "", "family" : "Dyakopu", "given" : "N", "non-dropping-particle" : "", "parse-names" : false, "suffix" : "" }, { "dropping-particle" : "", "family" : "Meintjes", "given" : "G", "non-dropping-particle" : "", "parse-names" : false, "suffix" : "" } ], "container-title" : "Clin Infect Dis", "id" : "ITEM-1", "issue" : "8", "issued" : { "date-parts" : [ [ "2006" ] ] }, "note" : "1537-6591 (Electronic)\nJournal Article\nMulticenter Study\nResearch Support, Non-U.S. Gov&amp;#039;t", "page" : "1069-1073", "title" : "Symptomatic relapse of HIV-associated cryptococcal meningitis after initial fluconazole monotherapy: the role of fluconazole resistance and immune reconstitution", "type" : "article-journal", "volume" : "43" }, "uris" : [ "http://www.mendeley.com/documents/?uuid=41e5e5f0-1b6f-40fd-90d7-af98788e8a36", "http://www.mendeley.com/documents/?uuid=f488cbab-22d2-46fa-a3d0-1c2c7570e36d" ] }, { "id" : "ITEM-2", "itemData" : { "author" : [ { "dropping-particle" : "", "family" : "Scholer", "given" : "H J", "non-dropping-particle" : "", "parse-names" : false, "suffix" : "" } ], "container-title" : "Antifungal Chemotherapy", "editor" : [ { "dropping-particle" : "", "family" : "Speller", "given" : "D C E", "non-dropping-particle" : "", "parse-names" : false, "suffix" : "" } ], "id" : "ITEM-2", "issued" : { "date-parts" : [ [ "1980" ] ] }, "number-of-pages" : "35-106", "publisher" : "John Wiley &amp; Sons", "title" : "Flucytosine", "type" : "book" }, "uris" : [ "http://www.mendeley.com/documents/?uuid=f21562e1-3171-4e99-82c0-179749f3c666", "http://www.mendeley.com/documents/?uuid=0367d22a-cd0e-43db-a7f3-a9a55c8abcd3" ] }, { "id" : "ITEM-3", "itemData" : { "PMID" : "6297858", "abstract" : "Combination pairs of the major systematic antimycotic drugs, amphotericin B (AmphB), 5-fluorocytosine (5-FC) and ketoconazole (Ktz) were administered to mice with experimental candidiasis, cryptococcosis and aspergillosis at a variety of combination ratios. The 3 mycoses were produced with 3 strains each of Candida albicans, Cryptococcus neoformans, and Aspergillus fumigatus, respectively, which were preselected to represent 3 different degrees of 5-FC sensitivity ('normally sensitive', 'moderately resistant', and 'definitely resistant'). The life-prolonging effect of the combinations was compared with the effect of each partner administered alone at the same and at the double dosage. Using the U test of Mann and Whitney and setting limits which on the whole were more rigorous than those of the isobole methods commonly applied to the study of drug interactions, the effects of the concentrations were classified as 'synergistic', 'additive', 'indifferent' or 'antagonistic'. The combination AmphB plus 5-FC was definitely synergistic or definitely additive in all 3 candidiasis models, the most pronounced synergism occurring in the infection with the 'definitely 5-FC-resistant' C. albicans strain; in cryptococcosis produced by any of the 3 C. neoformans strains the effect was definitely additive, but only slightly additive or indifferent in the 3 aspergillosis models. The combination AmphB plus Ktz was slightly synergistic in candidiasis produced by one C. albicans strain, but definitely antagonistic in this mycosis produced by the remaining 2 strains of the same species; the combination was definitely additive or, even, slightly synergistic in the 3 cryptococcus models, but, again, antagonistic in aspergillosis produced by all 3 strains of A. fumigatus. 5-FC plus Ktz was additive or indifferent in the 3 candidiasis models, but throughout indifferent in cryptococcosis and aspergillosis.", "author" : [ { "dropping-particle" : "", "family" : "Polak", "given" : "A", "non-dropping-particle" : "", "parse-names" : false, "suffix" : "" }, { "dropping-particle" : "", "family" : "Scholer", "given" : "H J", "non-dropping-particle" : "", "parse-names" : false, "suffix" : "" }, { "dropping-particle" : "", "family" : "Wall", "given" : "M", "non-dropping-particle" : "", "parse-names" : false, "suffix" : "" } ], "container-title" : "Chemotherapy", "id" : "ITEM-3", "issue" : "6", "issued" : { "date-parts" : [ [ "1982" ] ] }, "note" : "0009-3157\nJournal Article", "page" : "461-479", "title" : "Combination therapy of experimental candidiasis, cryptococcosis and aspergillosis in mice", "type" : "article-journal", "volume" : "28" }, "uris" : [ "http://www.mendeley.com/documents/?uuid=e2d53c6e-a57c-47d5-b80c-ea8dffeb957d", "http://www.mendeley.com/documents/?uuid=1cc01162-9149-4b0c-9b2a-07dd2583763c" ] } ], "mendeley" : { "formattedCitation" : "(9\u201311)", "plainTextFormattedCitation" : "(9\u201311)", "previouslyFormattedCitation" : "(9\u201311)" }, "properties" : { "noteIndex" : 0 }, "schema" : "https://github.com/citation-style-language/schema/raw/master/csl-citation.json" }</w:instrText>
      </w:r>
      <w:r w:rsidR="003D64B9">
        <w:rPr>
          <w:rFonts w:asciiTheme="majorHAnsi" w:hAnsiTheme="majorHAnsi"/>
          <w:sz w:val="24"/>
          <w:szCs w:val="24"/>
          <w:lang w:val="en-US"/>
        </w:rPr>
        <w:fldChar w:fldCharType="separate"/>
      </w:r>
      <w:r w:rsidR="00EE56E7" w:rsidRPr="00EE56E7">
        <w:rPr>
          <w:rFonts w:asciiTheme="majorHAnsi" w:hAnsiTheme="majorHAnsi"/>
          <w:noProof/>
          <w:sz w:val="24"/>
          <w:szCs w:val="24"/>
          <w:lang w:val="en-US"/>
        </w:rPr>
        <w:t>(9–11)</w:t>
      </w:r>
      <w:r w:rsidR="003D64B9">
        <w:rPr>
          <w:rFonts w:asciiTheme="majorHAnsi" w:hAnsiTheme="majorHAnsi"/>
          <w:sz w:val="24"/>
          <w:szCs w:val="24"/>
          <w:lang w:val="en-US"/>
        </w:rPr>
        <w:fldChar w:fldCharType="end"/>
      </w:r>
      <w:r w:rsidR="00667DAA">
        <w:rPr>
          <w:rFonts w:asciiTheme="majorHAnsi" w:hAnsiTheme="majorHAnsi"/>
          <w:sz w:val="24"/>
          <w:szCs w:val="24"/>
          <w:lang w:val="en-US"/>
        </w:rPr>
        <w:t xml:space="preserve">). </w:t>
      </w:r>
      <w:r w:rsidR="00573AF1">
        <w:rPr>
          <w:rFonts w:asciiTheme="majorHAnsi" w:hAnsiTheme="majorHAnsi"/>
          <w:sz w:val="24"/>
          <w:szCs w:val="24"/>
          <w:lang w:val="en-US"/>
        </w:rPr>
        <w:t xml:space="preserve"> </w:t>
      </w:r>
      <w:r w:rsidRPr="00876AB1">
        <w:rPr>
          <w:rFonts w:asciiTheme="majorHAnsi" w:hAnsiTheme="majorHAnsi"/>
          <w:sz w:val="24"/>
          <w:szCs w:val="24"/>
          <w:lang w:val="en-US"/>
        </w:rPr>
        <w:t>Thus, there is an urgen</w:t>
      </w:r>
      <w:r w:rsidR="00876AB1" w:rsidRPr="00876AB1">
        <w:rPr>
          <w:rFonts w:asciiTheme="majorHAnsi" w:hAnsiTheme="majorHAnsi"/>
          <w:sz w:val="24"/>
          <w:szCs w:val="24"/>
          <w:lang w:val="en-US"/>
        </w:rPr>
        <w:t>t</w:t>
      </w:r>
      <w:r w:rsidRPr="00876AB1">
        <w:rPr>
          <w:rFonts w:asciiTheme="majorHAnsi" w:hAnsiTheme="majorHAnsi"/>
          <w:sz w:val="24"/>
          <w:szCs w:val="24"/>
          <w:lang w:val="en-US"/>
        </w:rPr>
        <w:t xml:space="preserve"> imperative to develop new agents</w:t>
      </w:r>
      <w:r w:rsidR="00393938">
        <w:rPr>
          <w:rFonts w:asciiTheme="majorHAnsi" w:hAnsiTheme="majorHAnsi"/>
          <w:sz w:val="24"/>
          <w:szCs w:val="24"/>
          <w:lang w:val="en-US"/>
        </w:rPr>
        <w:t xml:space="preserve">. </w:t>
      </w:r>
      <w:r w:rsidR="003333C8">
        <w:rPr>
          <w:rFonts w:asciiTheme="majorHAnsi" w:hAnsiTheme="majorHAnsi"/>
          <w:sz w:val="24"/>
          <w:szCs w:val="24"/>
          <w:lang w:val="en-US"/>
        </w:rPr>
        <w:t xml:space="preserve"> </w:t>
      </w:r>
      <w:r w:rsidR="00393938">
        <w:rPr>
          <w:rFonts w:asciiTheme="majorHAnsi" w:hAnsiTheme="majorHAnsi"/>
          <w:sz w:val="24"/>
          <w:szCs w:val="24"/>
          <w:lang w:val="en-US"/>
        </w:rPr>
        <w:t>O</w:t>
      </w:r>
      <w:r w:rsidR="003333C8">
        <w:rPr>
          <w:rFonts w:asciiTheme="majorHAnsi" w:hAnsiTheme="majorHAnsi"/>
          <w:sz w:val="24"/>
          <w:szCs w:val="24"/>
          <w:lang w:val="en-US"/>
        </w:rPr>
        <w:t>ral</w:t>
      </w:r>
      <w:r w:rsidR="00393938">
        <w:rPr>
          <w:rFonts w:asciiTheme="majorHAnsi" w:hAnsiTheme="majorHAnsi"/>
          <w:sz w:val="24"/>
          <w:szCs w:val="24"/>
          <w:lang w:val="en-US"/>
        </w:rPr>
        <w:t>ly bioavailable</w:t>
      </w:r>
      <w:r w:rsidR="003333C8">
        <w:rPr>
          <w:rFonts w:asciiTheme="majorHAnsi" w:hAnsiTheme="majorHAnsi"/>
          <w:sz w:val="24"/>
          <w:szCs w:val="24"/>
          <w:lang w:val="en-US"/>
        </w:rPr>
        <w:t xml:space="preserve"> agents are particularly important given the predominance of this disease in resource constrained settings</w:t>
      </w:r>
      <w:r w:rsidRPr="00876AB1">
        <w:rPr>
          <w:rFonts w:asciiTheme="majorHAnsi" w:hAnsiTheme="majorHAnsi"/>
          <w:sz w:val="24"/>
          <w:szCs w:val="24"/>
          <w:lang w:val="en-US"/>
        </w:rPr>
        <w:t>.</w:t>
      </w:r>
    </w:p>
    <w:p w14:paraId="1652C2C9" w14:textId="10B821C9" w:rsidR="00900889" w:rsidRPr="00876AB1" w:rsidRDefault="00CA20E5" w:rsidP="00EB3D34">
      <w:pPr>
        <w:spacing w:after="120" w:line="480" w:lineRule="auto"/>
        <w:ind w:firstLine="720"/>
        <w:rPr>
          <w:rFonts w:asciiTheme="majorHAnsi" w:hAnsiTheme="majorHAnsi"/>
          <w:sz w:val="24"/>
          <w:szCs w:val="24"/>
          <w:lang w:val="en-US"/>
        </w:rPr>
      </w:pPr>
      <w:r>
        <w:rPr>
          <w:rFonts w:asciiTheme="majorHAnsi" w:hAnsiTheme="majorHAnsi"/>
          <w:sz w:val="24"/>
          <w:szCs w:val="24"/>
          <w:lang w:val="en-US"/>
        </w:rPr>
        <w:t>During</w:t>
      </w:r>
      <w:r w:rsidR="00876AB1" w:rsidRPr="00876AB1">
        <w:rPr>
          <w:rFonts w:asciiTheme="majorHAnsi" w:hAnsiTheme="majorHAnsi"/>
          <w:sz w:val="24"/>
          <w:szCs w:val="24"/>
          <w:lang w:val="en-US"/>
        </w:rPr>
        <w:t xml:space="preserve"> the process of screening a compound library against fungal pathogens</w:t>
      </w:r>
      <w:r w:rsidR="00900889" w:rsidRPr="00876AB1">
        <w:rPr>
          <w:rFonts w:asciiTheme="majorHAnsi" w:hAnsiTheme="majorHAnsi"/>
          <w:sz w:val="24"/>
          <w:szCs w:val="24"/>
          <w:lang w:val="en-US"/>
        </w:rPr>
        <w:t xml:space="preserve">, </w:t>
      </w:r>
      <w:r>
        <w:rPr>
          <w:rFonts w:asciiTheme="majorHAnsi" w:hAnsiTheme="majorHAnsi"/>
          <w:sz w:val="24"/>
          <w:szCs w:val="24"/>
          <w:lang w:val="en-US"/>
        </w:rPr>
        <w:t xml:space="preserve">it was noted by </w:t>
      </w:r>
      <w:r w:rsidR="00174ADD">
        <w:rPr>
          <w:rFonts w:asciiTheme="majorHAnsi" w:hAnsiTheme="majorHAnsi"/>
          <w:sz w:val="24"/>
          <w:szCs w:val="24"/>
          <w:lang w:val="en-US"/>
        </w:rPr>
        <w:t>us (</w:t>
      </w:r>
      <w:r w:rsidR="004E1625">
        <w:rPr>
          <w:rFonts w:asciiTheme="majorHAnsi" w:hAnsiTheme="majorHAnsi"/>
          <w:sz w:val="24"/>
          <w:szCs w:val="24"/>
          <w:lang w:val="en-US"/>
        </w:rPr>
        <w:t xml:space="preserve">M.T. &amp; </w:t>
      </w:r>
      <w:r w:rsidR="00900889" w:rsidRPr="00876AB1">
        <w:rPr>
          <w:rFonts w:asciiTheme="majorHAnsi" w:hAnsiTheme="majorHAnsi"/>
          <w:sz w:val="24"/>
          <w:szCs w:val="24"/>
          <w:lang w:val="en-US"/>
        </w:rPr>
        <w:t>I</w:t>
      </w:r>
      <w:r w:rsidR="00174ADD">
        <w:rPr>
          <w:rFonts w:asciiTheme="majorHAnsi" w:hAnsiTheme="majorHAnsi"/>
          <w:sz w:val="24"/>
          <w:szCs w:val="24"/>
          <w:lang w:val="en-US"/>
        </w:rPr>
        <w:t>.</w:t>
      </w:r>
      <w:r w:rsidR="00900889" w:rsidRPr="00876AB1">
        <w:rPr>
          <w:rFonts w:asciiTheme="majorHAnsi" w:hAnsiTheme="majorHAnsi"/>
          <w:sz w:val="24"/>
          <w:szCs w:val="24"/>
          <w:lang w:val="en-US"/>
        </w:rPr>
        <w:t>C</w:t>
      </w:r>
      <w:r w:rsidR="00174ADD">
        <w:rPr>
          <w:rFonts w:asciiTheme="majorHAnsi" w:hAnsiTheme="majorHAnsi"/>
          <w:sz w:val="24"/>
          <w:szCs w:val="24"/>
          <w:lang w:val="en-US"/>
        </w:rPr>
        <w:t>.</w:t>
      </w:r>
      <w:r w:rsidR="00900889" w:rsidRPr="00876AB1">
        <w:rPr>
          <w:rFonts w:asciiTheme="majorHAnsi" w:hAnsiTheme="majorHAnsi"/>
          <w:sz w:val="24"/>
          <w:szCs w:val="24"/>
          <w:lang w:val="en-US"/>
        </w:rPr>
        <w:t xml:space="preserve">) that flubendazole </w:t>
      </w:r>
      <w:r w:rsidR="002277E0" w:rsidRPr="00876AB1">
        <w:rPr>
          <w:rFonts w:asciiTheme="majorHAnsi" w:hAnsiTheme="majorHAnsi"/>
          <w:sz w:val="24"/>
          <w:szCs w:val="24"/>
          <w:lang w:val="en-US"/>
        </w:rPr>
        <w:t>ha</w:t>
      </w:r>
      <w:r w:rsidR="00325246">
        <w:rPr>
          <w:rFonts w:asciiTheme="majorHAnsi" w:hAnsiTheme="majorHAnsi"/>
          <w:sz w:val="24"/>
          <w:szCs w:val="24"/>
          <w:lang w:val="en-US"/>
        </w:rPr>
        <w:t>s</w:t>
      </w:r>
      <w:r w:rsidR="002277E0" w:rsidRPr="00876AB1">
        <w:rPr>
          <w:rFonts w:asciiTheme="majorHAnsi" w:hAnsiTheme="majorHAnsi"/>
          <w:sz w:val="24"/>
          <w:szCs w:val="24"/>
          <w:lang w:val="en-US"/>
        </w:rPr>
        <w:t xml:space="preserve"> </w:t>
      </w:r>
      <w:r w:rsidR="00900889" w:rsidRPr="00876AB1">
        <w:rPr>
          <w:rFonts w:asciiTheme="majorHAnsi" w:hAnsiTheme="majorHAnsi"/>
          <w:sz w:val="24"/>
          <w:szCs w:val="24"/>
          <w:lang w:val="en-US"/>
        </w:rPr>
        <w:t xml:space="preserve">potent in vitro activity against </w:t>
      </w:r>
      <w:r w:rsidR="00900889" w:rsidRPr="00876AB1">
        <w:rPr>
          <w:rFonts w:asciiTheme="majorHAnsi" w:hAnsiTheme="majorHAnsi"/>
          <w:i/>
          <w:sz w:val="24"/>
          <w:szCs w:val="24"/>
          <w:lang w:val="en-US"/>
        </w:rPr>
        <w:t>Cryptococcus neoformans</w:t>
      </w:r>
      <w:r w:rsidR="00900889" w:rsidRPr="00876AB1">
        <w:rPr>
          <w:rFonts w:asciiTheme="majorHAnsi" w:hAnsiTheme="majorHAnsi"/>
          <w:sz w:val="24"/>
          <w:szCs w:val="24"/>
          <w:lang w:val="en-US"/>
        </w:rPr>
        <w:t xml:space="preserve">.  </w:t>
      </w:r>
      <w:r w:rsidR="001A60CE">
        <w:rPr>
          <w:rFonts w:asciiTheme="majorHAnsi" w:hAnsiTheme="majorHAnsi"/>
          <w:sz w:val="24"/>
          <w:szCs w:val="24"/>
          <w:lang w:val="en-US"/>
        </w:rPr>
        <w:t>A literature search</w:t>
      </w:r>
      <w:r w:rsidR="00900889" w:rsidRPr="00876AB1">
        <w:rPr>
          <w:rFonts w:asciiTheme="majorHAnsi" w:hAnsiTheme="majorHAnsi"/>
          <w:sz w:val="24"/>
          <w:szCs w:val="24"/>
          <w:lang w:val="en-US"/>
        </w:rPr>
        <w:t xml:space="preserve"> revealed </w:t>
      </w:r>
      <w:r w:rsidR="006E2022">
        <w:rPr>
          <w:rFonts w:asciiTheme="majorHAnsi" w:hAnsiTheme="majorHAnsi"/>
          <w:sz w:val="24"/>
          <w:szCs w:val="24"/>
          <w:lang w:val="en-US"/>
        </w:rPr>
        <w:t>other</w:t>
      </w:r>
      <w:r w:rsidR="00900889" w:rsidRPr="00876AB1">
        <w:rPr>
          <w:rFonts w:asciiTheme="majorHAnsi" w:hAnsiTheme="majorHAnsi"/>
          <w:sz w:val="24"/>
          <w:szCs w:val="24"/>
          <w:lang w:val="en-US"/>
        </w:rPr>
        <w:t xml:space="preserve"> members of the benzimidazole class </w:t>
      </w:r>
      <w:r w:rsidR="006E2022">
        <w:rPr>
          <w:rFonts w:asciiTheme="majorHAnsi" w:hAnsiTheme="majorHAnsi"/>
          <w:sz w:val="24"/>
          <w:szCs w:val="24"/>
          <w:lang w:val="en-US"/>
        </w:rPr>
        <w:t>(e.g</w:t>
      </w:r>
      <w:r w:rsidR="00393938">
        <w:rPr>
          <w:rFonts w:asciiTheme="majorHAnsi" w:hAnsiTheme="majorHAnsi"/>
          <w:sz w:val="24"/>
          <w:szCs w:val="24"/>
          <w:lang w:val="en-US"/>
        </w:rPr>
        <w:t>.</w:t>
      </w:r>
      <w:r w:rsidR="006E2022">
        <w:rPr>
          <w:rFonts w:asciiTheme="majorHAnsi" w:hAnsiTheme="majorHAnsi"/>
          <w:sz w:val="24"/>
          <w:szCs w:val="24"/>
          <w:lang w:val="en-US"/>
        </w:rPr>
        <w:t xml:space="preserve"> </w:t>
      </w:r>
      <w:proofErr w:type="spellStart"/>
      <w:r w:rsidR="006E2022">
        <w:rPr>
          <w:rFonts w:asciiTheme="majorHAnsi" w:hAnsiTheme="majorHAnsi"/>
          <w:sz w:val="24"/>
          <w:szCs w:val="24"/>
          <w:lang w:val="en-US"/>
        </w:rPr>
        <w:t>albendazole</w:t>
      </w:r>
      <w:proofErr w:type="spellEnd"/>
      <w:r w:rsidR="006E2022">
        <w:rPr>
          <w:rFonts w:asciiTheme="majorHAnsi" w:hAnsiTheme="majorHAnsi"/>
          <w:sz w:val="24"/>
          <w:szCs w:val="24"/>
          <w:lang w:val="en-US"/>
        </w:rPr>
        <w:t xml:space="preserve"> and </w:t>
      </w:r>
      <w:proofErr w:type="spellStart"/>
      <w:r w:rsidR="006E2022">
        <w:rPr>
          <w:rFonts w:asciiTheme="majorHAnsi" w:hAnsiTheme="majorHAnsi"/>
          <w:sz w:val="24"/>
          <w:szCs w:val="24"/>
          <w:lang w:val="en-US"/>
        </w:rPr>
        <w:t>mebendazole</w:t>
      </w:r>
      <w:proofErr w:type="spellEnd"/>
      <w:r w:rsidR="006E2022">
        <w:rPr>
          <w:rFonts w:asciiTheme="majorHAnsi" w:hAnsiTheme="majorHAnsi"/>
          <w:sz w:val="24"/>
          <w:szCs w:val="24"/>
          <w:lang w:val="en-US"/>
        </w:rPr>
        <w:t xml:space="preserve">) </w:t>
      </w:r>
      <w:r w:rsidR="00900889" w:rsidRPr="00876AB1">
        <w:rPr>
          <w:rFonts w:asciiTheme="majorHAnsi" w:hAnsiTheme="majorHAnsi"/>
          <w:sz w:val="24"/>
          <w:szCs w:val="24"/>
          <w:lang w:val="en-US"/>
        </w:rPr>
        <w:t>of anti</w:t>
      </w:r>
      <w:r w:rsidR="00876AB1" w:rsidRPr="00876AB1">
        <w:rPr>
          <w:rFonts w:asciiTheme="majorHAnsi" w:hAnsiTheme="majorHAnsi"/>
          <w:sz w:val="24"/>
          <w:szCs w:val="24"/>
          <w:lang w:val="en-US"/>
        </w:rPr>
        <w:t>-</w:t>
      </w:r>
      <w:r w:rsidR="00900889" w:rsidRPr="00876AB1">
        <w:rPr>
          <w:rFonts w:asciiTheme="majorHAnsi" w:hAnsiTheme="majorHAnsi"/>
          <w:sz w:val="24"/>
          <w:szCs w:val="24"/>
          <w:lang w:val="en-US"/>
        </w:rPr>
        <w:t xml:space="preserve">parasitic agents had previously been demonstrated to have potent </w:t>
      </w:r>
      <w:r w:rsidR="002277E0">
        <w:rPr>
          <w:rFonts w:asciiTheme="majorHAnsi" w:hAnsiTheme="majorHAnsi"/>
          <w:sz w:val="24"/>
          <w:szCs w:val="24"/>
          <w:lang w:val="en-US"/>
        </w:rPr>
        <w:t xml:space="preserve">in vitro </w:t>
      </w:r>
      <w:r w:rsidR="00900889" w:rsidRPr="00876AB1">
        <w:rPr>
          <w:rFonts w:asciiTheme="majorHAnsi" w:hAnsiTheme="majorHAnsi"/>
          <w:sz w:val="24"/>
          <w:szCs w:val="24"/>
          <w:lang w:val="en-US"/>
        </w:rPr>
        <w:t xml:space="preserve">activity against </w:t>
      </w:r>
      <w:r w:rsidR="00900889" w:rsidRPr="00876AB1">
        <w:rPr>
          <w:rFonts w:asciiTheme="majorHAnsi" w:hAnsiTheme="majorHAnsi"/>
          <w:i/>
          <w:sz w:val="24"/>
          <w:szCs w:val="24"/>
          <w:lang w:val="en-US"/>
        </w:rPr>
        <w:t xml:space="preserve">Cryptococcus neoformans </w:t>
      </w:r>
      <w:r w:rsidR="00900889" w:rsidRPr="00876AB1">
        <w:rPr>
          <w:rFonts w:asciiTheme="majorHAnsi" w:hAnsiTheme="majorHAnsi"/>
          <w:sz w:val="24"/>
          <w:szCs w:val="24"/>
          <w:lang w:val="en-US"/>
        </w:rPr>
        <w:t xml:space="preserve">with minimum </w:t>
      </w:r>
      <w:r w:rsidR="00876AB1" w:rsidRPr="00876AB1">
        <w:rPr>
          <w:rFonts w:asciiTheme="majorHAnsi" w:hAnsiTheme="majorHAnsi"/>
          <w:sz w:val="24"/>
          <w:szCs w:val="24"/>
          <w:lang w:val="en-US"/>
        </w:rPr>
        <w:t>i</w:t>
      </w:r>
      <w:r w:rsidR="00900889" w:rsidRPr="00876AB1">
        <w:rPr>
          <w:rFonts w:asciiTheme="majorHAnsi" w:hAnsiTheme="majorHAnsi"/>
          <w:sz w:val="24"/>
          <w:szCs w:val="24"/>
          <w:lang w:val="en-US"/>
        </w:rPr>
        <w:t xml:space="preserve">nhibitory </w:t>
      </w:r>
      <w:r w:rsidR="00876AB1" w:rsidRPr="00876AB1">
        <w:rPr>
          <w:rFonts w:asciiTheme="majorHAnsi" w:hAnsiTheme="majorHAnsi"/>
          <w:sz w:val="24"/>
          <w:szCs w:val="24"/>
          <w:lang w:val="en-US"/>
        </w:rPr>
        <w:t>c</w:t>
      </w:r>
      <w:r w:rsidR="00900889" w:rsidRPr="00876AB1">
        <w:rPr>
          <w:rFonts w:asciiTheme="majorHAnsi" w:hAnsiTheme="majorHAnsi"/>
          <w:sz w:val="24"/>
          <w:szCs w:val="24"/>
          <w:lang w:val="en-US"/>
        </w:rPr>
        <w:t xml:space="preserve">oncentrations (MICs) of </w:t>
      </w:r>
      <w:r w:rsidR="00854164">
        <w:rPr>
          <w:rFonts w:asciiTheme="majorHAnsi" w:hAnsiTheme="majorHAnsi"/>
          <w:sz w:val="24"/>
          <w:szCs w:val="24"/>
          <w:lang w:val="en-US"/>
        </w:rPr>
        <w:t>0.16</w:t>
      </w:r>
      <w:r w:rsidR="00900889" w:rsidRPr="00876AB1">
        <w:rPr>
          <w:rFonts w:asciiTheme="majorHAnsi" w:hAnsiTheme="majorHAnsi"/>
          <w:sz w:val="24"/>
          <w:szCs w:val="24"/>
          <w:lang w:val="en-US"/>
        </w:rPr>
        <w:t>-</w:t>
      </w:r>
      <w:r w:rsidR="00854164">
        <w:rPr>
          <w:rFonts w:asciiTheme="majorHAnsi" w:hAnsiTheme="majorHAnsi"/>
          <w:sz w:val="24"/>
          <w:szCs w:val="24"/>
          <w:lang w:val="en-US"/>
        </w:rPr>
        <w:t>0.45</w:t>
      </w:r>
      <w:r w:rsidR="00900889" w:rsidRPr="00876AB1">
        <w:rPr>
          <w:rFonts w:asciiTheme="majorHAnsi" w:hAnsiTheme="majorHAnsi"/>
          <w:sz w:val="24"/>
          <w:szCs w:val="24"/>
          <w:lang w:val="en-US"/>
        </w:rPr>
        <w:t xml:space="preserve"> mg/L</w:t>
      </w:r>
      <w:r w:rsidR="00325246">
        <w:rPr>
          <w:rFonts w:asciiTheme="majorHAnsi" w:hAnsiTheme="majorHAnsi"/>
          <w:sz w:val="24"/>
          <w:szCs w:val="24"/>
          <w:lang w:val="en-US"/>
        </w:rPr>
        <w:t xml:space="preserve"> </w:t>
      </w:r>
      <w:r w:rsidR="00B920E8">
        <w:rPr>
          <w:rFonts w:asciiTheme="majorHAnsi" w:hAnsiTheme="majorHAnsi"/>
          <w:sz w:val="24"/>
          <w:szCs w:val="24"/>
          <w:lang w:val="en-US"/>
        </w:rPr>
        <w:fldChar w:fldCharType="begin" w:fldLock="1"/>
      </w:r>
      <w:r w:rsidR="0000523E">
        <w:rPr>
          <w:rFonts w:asciiTheme="majorHAnsi" w:hAnsiTheme="majorHAnsi"/>
          <w:sz w:val="24"/>
          <w:szCs w:val="24"/>
          <w:lang w:val="en-US"/>
        </w:rPr>
        <w:instrText>ADDIN CSL_CITATION { "citationItems" : [ { "id" : "ITEM-1", "itemData" : { "DOI" : "10.1128/AAC.38.2.378", "ISBN" : "0066-4804 (Print) 0066-4804 (Linking)", "ISSN" : "00664804", "PMID" : "8192471", "abstract" : "Ten benzimidazole derivatives and amphotericin B were tested in vitro against three isolates of Cryptococcus neoformans. Drug concentrations inhibiting 50% of growth (IC50s) were determined. Four derivatives, including mebendazole and albendazole, had moderately high activities (IC50 = 0.1 to 0.3 microgram/ml). Fenbendazole, however, was 10-fold more active (IC50 = 0.01 to 0.02 microgram/ml) and also 2-fold more active than amphotericin B. Ten additional clinical isolates of C. neoformans were tested against fenbendazole, mebendazole, and albendazole; similar susceptibilities were observed. Drug concentrations lethal to 90% of the cells (LC90s) were determined for two isolates. The LC90s of albendazole and mebendazole were 0.92 to 2.1 micrograms/ml, and those of fenbendazole were 0.06 to 0.07 microgram/ml; the latter are eight to ninefold lower than the LC90s of amphotericin B that were obtained. Spontaneously arising mutants displaying partial resistance to fenbendazole arose at a low frequency (5 x 10(-9).", "author" : [ { "dropping-particle" : "", "family" : "Cruz", "given" : "M. C.", "non-dropping-particle" : "", "parse-names" : false, "suffix" : "" }, { "dropping-particle" : "", "family" : "Bartlett", "given" : "M. S.", "non-dropping-particle" : "", "parse-names" : false, "suffix" : "" }, { "dropping-particle" : "", "family" : "Edlind", "given" : "T. D.", "non-dropping-particle" : "", "parse-names" : false, "suffix" : "" } ], "container-title" : "Antimicrobial Agents and Chemotherapy", "id" : "ITEM-1", "issue" : "2", "issued" : { "date-parts" : [ [ "1994" ] ] }, "page" : "378-380", "title" : "In vitro susceptibility of the opportunistic fungus Cryptococcus neoformans to anthelmintic benzimidazoles", "type" : "article-journal", "volume" : "38" }, "uris" : [ "http://www.mendeley.com/documents/?uuid=77d06531-b8b4-457f-a940-e1be4f10ef7a", "http://www.mendeley.com/documents/?uuid=11d6229e-5e26-4997-ad85-5b196b100b9f" ] }, { "id" : "ITEM-2", "itemData" : { "DOI" : "10.3389/fmicb.2017.00535", "ISSN" : "1664302X", "abstract" : "Cryptococcus neoformans is the most lethal pathogen of the central nervous system. The gold standard treatment of cryptococcosis, a combination of amphotericin B with 5-fluorocytosine, involves broad toxicity, high costs, limited efficacy and worldwide availability. Although the need for new antifungals is clear, drug research and development (R&amp;D) is costly and time-consuming. Thus, drug repurposing is an alternative to R&amp;D and to the currently available tools for treating fungal diseases. Here we screened a collection of compounds approved for use in humans seeking for those with anti-cryptococcal activity. We found that benzimidazoles class is a broad class of chemicals inhibiting C. neoformans growth. Mebendazole and fenbendazole were the most efficient antifungals showing in vitro fungicidal activity. Since previous studies showed that mebendazole reaches the brain in biologically active concentrations, this compound was selected for further studies. Mebendazole showed antifungal activity against phagocytized C. neoformans, affected cryptococcal biofilms profoundly and caused marked morphological alterations in C. neoformans, including reduction of capsular dimensions. Amphotericin B and mebendazole had additive anti-cryptococcal effects. Mebendazole was also active against the C. neoformans sibling species, C. gattii. To further characterize the effects of the drug a random C. gattii mutant library was screened and indicated that the antifungal activity of mebendazole requires previously unknown cryptococcal targets. Our results indicate that mebendazole is as a promising prototype for the future development of anti-cryptococcal drugs.", "author" : [ { "dropping-particle" : "", "family" : "Joffe", "given" : "Luna S.", "non-dropping-particle" : "", "parse-names" : false, "suffix" : "" }, { "dropping-particle" : "", "family" : "Schneider", "given" : "Rafael", "non-dropping-particle" : "", "parse-names" : false, "suffix" : "" }, { "dropping-particle" : "", "family" : "Lopes", "given" : "William", "non-dropping-particle" : "", "parse-names" : false, "suffix" : "" }, { "dropping-particle" : "", "family" : "Azevedo", "given" : "Renata", "non-dropping-particle" : "", "parse-names" : false, "suffix" : "" }, { "dropping-particle" : "", "family" : "Staats", "given" : "Charley C.", "non-dropping-particle" : "", "parse-names" : false, "suffix" : "" }, { "dropping-particle" : "", "family" : "Kmetzsch", "given" : "L??via", "non-dropping-particle" : "", "parse-names" : false, "suffix" : "" }, { "dropping-particle" : "", "family" : "Schrank", "given" : "Augusto", "non-dropping-particle" : "", "parse-names" : false, "suffix" : "" }, { "dropping-particle" : "Del", "family" : "Poeta", "given" : "Maurizio", "non-dropping-particle" : "", "parse-names" : false, "suffix" : "" }, { "dropping-particle" : "", "family" : "Vainstein", "given" : "Marilene H.", "non-dropping-particle" : "", "parse-names" : false, "suffix" : "" }, { "dropping-particle" : "", "family" : "Rodrigues", "given" : "Marcio L.", "non-dropping-particle" : "", "parse-names" : false, "suffix" : "" } ], "container-title" : "Frontiers in Microbiology", "id" : "ITEM-2", "issue" : "MAR", "issued" : { "date-parts" : [ [ "2017" ] ] }, "page" : "1-14", "title" : "The anti-helminthic compound mebendazole has multiple antifungal effects against Cryptococcus neoformans", "type" : "article-journal", "volume" : "8" }, "uris" : [ "http://www.mendeley.com/documents/?uuid=757e52cf-c8aa-465b-a7d0-28b47682eb92", "http://www.mendeley.com/documents/?uuid=681bca7d-b52a-45ea-a76b-df545b13475c" ] } ], "mendeley" : { "formattedCitation" : "(12, 13)", "plainTextFormattedCitation" : "(12, 13)", "previouslyFormattedCitation" : "(12, 13)" }, "properties" : { "noteIndex" : 0 }, "schema" : "https://github.com/citation-style-language/schema/raw/master/csl-citation.json" }</w:instrText>
      </w:r>
      <w:r w:rsidR="00B920E8">
        <w:rPr>
          <w:rFonts w:asciiTheme="majorHAnsi" w:hAnsiTheme="majorHAnsi"/>
          <w:sz w:val="24"/>
          <w:szCs w:val="24"/>
          <w:lang w:val="en-US"/>
        </w:rPr>
        <w:fldChar w:fldCharType="separate"/>
      </w:r>
      <w:r w:rsidR="00EE56E7" w:rsidRPr="00EE56E7">
        <w:rPr>
          <w:rFonts w:asciiTheme="majorHAnsi" w:hAnsiTheme="majorHAnsi"/>
          <w:noProof/>
          <w:sz w:val="24"/>
          <w:szCs w:val="24"/>
          <w:lang w:val="en-US"/>
        </w:rPr>
        <w:t>(12, 13)</w:t>
      </w:r>
      <w:r w:rsidR="00B920E8">
        <w:rPr>
          <w:rFonts w:asciiTheme="majorHAnsi" w:hAnsiTheme="majorHAnsi"/>
          <w:sz w:val="24"/>
          <w:szCs w:val="24"/>
          <w:lang w:val="en-US"/>
        </w:rPr>
        <w:fldChar w:fldCharType="end"/>
      </w:r>
      <w:r w:rsidR="00900889" w:rsidRPr="00876AB1">
        <w:rPr>
          <w:rFonts w:asciiTheme="majorHAnsi" w:hAnsiTheme="majorHAnsi"/>
          <w:sz w:val="24"/>
          <w:szCs w:val="24"/>
          <w:lang w:val="en-US"/>
        </w:rPr>
        <w:t>.  The pharmacological target of</w:t>
      </w:r>
      <w:r w:rsidR="00595F50">
        <w:rPr>
          <w:rFonts w:asciiTheme="majorHAnsi" w:hAnsiTheme="majorHAnsi"/>
          <w:sz w:val="24"/>
          <w:szCs w:val="24"/>
          <w:lang w:val="en-US"/>
        </w:rPr>
        <w:t xml:space="preserve"> the</w:t>
      </w:r>
      <w:r w:rsidR="00900889" w:rsidRPr="00876AB1">
        <w:rPr>
          <w:rFonts w:asciiTheme="majorHAnsi" w:hAnsiTheme="majorHAnsi"/>
          <w:sz w:val="24"/>
          <w:szCs w:val="24"/>
          <w:lang w:val="en-US"/>
        </w:rPr>
        <w:t xml:space="preserve"> </w:t>
      </w:r>
      <w:r w:rsidR="00573AF1" w:rsidRPr="00876AB1">
        <w:rPr>
          <w:rFonts w:asciiTheme="majorHAnsi" w:hAnsiTheme="majorHAnsi"/>
          <w:sz w:val="24"/>
          <w:szCs w:val="24"/>
          <w:lang w:val="en-US"/>
        </w:rPr>
        <w:t>benzimidazole</w:t>
      </w:r>
      <w:r w:rsidR="00573AF1">
        <w:rPr>
          <w:rFonts w:asciiTheme="majorHAnsi" w:hAnsiTheme="majorHAnsi"/>
          <w:sz w:val="24"/>
          <w:szCs w:val="24"/>
          <w:lang w:val="en-US"/>
        </w:rPr>
        <w:t>s</w:t>
      </w:r>
      <w:r w:rsidR="00900889" w:rsidRPr="00876AB1">
        <w:rPr>
          <w:rFonts w:asciiTheme="majorHAnsi" w:hAnsiTheme="majorHAnsi"/>
          <w:sz w:val="24"/>
          <w:szCs w:val="24"/>
          <w:lang w:val="en-US"/>
        </w:rPr>
        <w:t xml:space="preserve"> </w:t>
      </w:r>
      <w:r w:rsidR="00C00B05">
        <w:rPr>
          <w:rFonts w:asciiTheme="majorHAnsi" w:hAnsiTheme="majorHAnsi"/>
          <w:sz w:val="24"/>
          <w:szCs w:val="24"/>
          <w:lang w:val="en-US"/>
        </w:rPr>
        <w:t xml:space="preserve">against </w:t>
      </w:r>
      <w:r w:rsidR="00C00B05" w:rsidRPr="00EF774A">
        <w:rPr>
          <w:rFonts w:asciiTheme="majorHAnsi" w:hAnsiTheme="majorHAnsi"/>
          <w:i/>
          <w:sz w:val="24"/>
          <w:szCs w:val="24"/>
          <w:lang w:val="en-US"/>
        </w:rPr>
        <w:t>Cryptococcus neoformans</w:t>
      </w:r>
      <w:r w:rsidR="00C00B05">
        <w:rPr>
          <w:rFonts w:asciiTheme="majorHAnsi" w:hAnsiTheme="majorHAnsi"/>
          <w:sz w:val="24"/>
          <w:szCs w:val="24"/>
          <w:lang w:val="en-US"/>
        </w:rPr>
        <w:t xml:space="preserve"> </w:t>
      </w:r>
      <w:r w:rsidR="00900889" w:rsidRPr="00876AB1">
        <w:rPr>
          <w:rFonts w:asciiTheme="majorHAnsi" w:hAnsiTheme="majorHAnsi"/>
          <w:sz w:val="24"/>
          <w:szCs w:val="24"/>
          <w:lang w:val="en-US"/>
        </w:rPr>
        <w:t xml:space="preserve">is </w:t>
      </w:r>
      <w:r w:rsidR="002277E0">
        <w:rPr>
          <w:rFonts w:ascii="Calibri Light" w:hAnsi="Calibri Light"/>
          <w:sz w:val="24"/>
          <w:szCs w:val="24"/>
          <w:lang w:val="en-US"/>
        </w:rPr>
        <w:t>ß</w:t>
      </w:r>
      <w:r w:rsidR="002277E0">
        <w:rPr>
          <w:rFonts w:asciiTheme="majorHAnsi" w:hAnsiTheme="majorHAnsi"/>
          <w:sz w:val="24"/>
          <w:szCs w:val="24"/>
          <w:lang w:val="en-US"/>
        </w:rPr>
        <w:t>-</w:t>
      </w:r>
      <w:r w:rsidR="00900889" w:rsidRPr="00876AB1">
        <w:rPr>
          <w:rFonts w:asciiTheme="majorHAnsi" w:hAnsiTheme="majorHAnsi"/>
          <w:sz w:val="24"/>
          <w:szCs w:val="24"/>
          <w:lang w:val="en-US"/>
        </w:rPr>
        <w:t>tubulin</w:t>
      </w:r>
      <w:r w:rsidR="002A70A2">
        <w:rPr>
          <w:rFonts w:asciiTheme="majorHAnsi" w:hAnsiTheme="majorHAnsi"/>
          <w:sz w:val="24"/>
          <w:szCs w:val="24"/>
          <w:lang w:val="en-US"/>
        </w:rPr>
        <w:t xml:space="preserve"> </w:t>
      </w:r>
      <w:r w:rsidR="00C00B05">
        <w:rPr>
          <w:rFonts w:asciiTheme="majorHAnsi" w:hAnsiTheme="majorHAnsi"/>
          <w:sz w:val="24"/>
          <w:szCs w:val="24"/>
          <w:lang w:val="en-US"/>
        </w:rPr>
        <w:fldChar w:fldCharType="begin" w:fldLock="1"/>
      </w:r>
      <w:r w:rsidR="00810389">
        <w:rPr>
          <w:rFonts w:asciiTheme="majorHAnsi" w:hAnsiTheme="majorHAnsi"/>
          <w:sz w:val="24"/>
          <w:szCs w:val="24"/>
          <w:lang w:val="en-US"/>
        </w:rPr>
        <w:instrText>ADDIN CSL_CITATION { "citationItems" : [ { "id" : "ITEM-1", "itemData" : { "DOI" : "10.1099/00221287-143-6-2003", "ISBN" : "1350-0872 (Print)\\r1350-0872 (Linking)", "ISSN" : "13500872", "PMID" : "9202476", "abstract" : "The basidiomycete Cryptococcus neoformans causes life-threatening infections in immunocompromised patients, and available chemotherapeutic agents are potentially toxic or have limited efficacy. In vitro, C. neoformans is very sensitive to selected benzimidazole compounds (e.g. albendazole), which act by disrupting microtubules through binding to the beta-tubulin subunit. To understand the basis for this benzimidazole sensitivity, we have characterized C. neoformans beta-tubulin genes and their expression. Analysis of PCR amplification products, genomic and cDNA clones and Southern blots identified two beta-tubulin genes. TUB1 contains seven introns, including one that splits the start codon, and encodes a 447 amino acid protein with &gt; 80% identity to most other beta-tubulins. A partial sequence of TUB2 revealed a higher density of introns and a considerably more divergent beta-tubulin. The relative expression of TUB1 to TUB2 determined by reverse-transcription PCR was about 3:1, consistent with a more limited role for the TUB2 product. Comparisons of beta-tubulin sequences from C. neoformans and from various benzimidazole-sensitive and -resistant organisms strongly suggest that the TUB1 product represents the primary benzimidazole target. This was supported by the identification of a His6 to Gln change in TUB1 from three independently isolated albendazole-resistant mutants.", "author" : [ { "dropping-particle" : "", "family" : "Cruz", "given" : "Maria Cristina", "non-dropping-particle" : "", "parse-names" : false, "suffix" : "" }, { "dropping-particle" : "", "family" : "Edlind", "given" : "Thomas", "non-dropping-particle" : "", "parse-names" : false, "suffix" : "" } ], "container-title" : "Microbiology", "id" : "ITEM-1", "issue" : "6", "issued" : { "date-parts" : [ [ "1997" ] ] }, "page" : "2003-2008", "title" : "\u00df-Tubulin genes and the basis for benzimidazole sensitivity of the opportunistic fungus Cryptococcus neoformans", "type" : "article-journal", "volume" : "143" }, "uris" : [ "http://www.mendeley.com/documents/?uuid=b9c1be54-f527-4182-9ff3-b9ce4e1ac1fa", "http://www.mendeley.com/documents/?uuid=70ddc01f-c018-46d0-b1d4-d81279d56a83" ] } ], "mendeley" : { "formattedCitation" : "(14)", "plainTextFormattedCitation" : "(14)", "previouslyFormattedCitation" : "(14)" }, "properties" : { "noteIndex" : 0 }, "schema" : "https://github.com/citation-style-language/schema/raw/master/csl-citation.json" }</w:instrText>
      </w:r>
      <w:r w:rsidR="00C00B05">
        <w:rPr>
          <w:rFonts w:asciiTheme="majorHAnsi" w:hAnsiTheme="majorHAnsi"/>
          <w:sz w:val="24"/>
          <w:szCs w:val="24"/>
          <w:lang w:val="en-US"/>
        </w:rPr>
        <w:fldChar w:fldCharType="separate"/>
      </w:r>
      <w:r w:rsidR="00EE56E7" w:rsidRPr="00EE56E7">
        <w:rPr>
          <w:rFonts w:asciiTheme="majorHAnsi" w:hAnsiTheme="majorHAnsi"/>
          <w:noProof/>
          <w:sz w:val="24"/>
          <w:szCs w:val="24"/>
          <w:lang w:val="en-US"/>
        </w:rPr>
        <w:t>(14)</w:t>
      </w:r>
      <w:r w:rsidR="00C00B05">
        <w:rPr>
          <w:rFonts w:asciiTheme="majorHAnsi" w:hAnsiTheme="majorHAnsi"/>
          <w:sz w:val="24"/>
          <w:szCs w:val="24"/>
          <w:lang w:val="en-US"/>
        </w:rPr>
        <w:fldChar w:fldCharType="end"/>
      </w:r>
      <w:r w:rsidR="00900889" w:rsidRPr="00876AB1">
        <w:rPr>
          <w:rFonts w:asciiTheme="majorHAnsi" w:hAnsiTheme="majorHAnsi"/>
          <w:sz w:val="24"/>
          <w:szCs w:val="24"/>
          <w:lang w:val="en-US"/>
        </w:rPr>
        <w:t xml:space="preserve">. </w:t>
      </w:r>
      <w:r w:rsidR="008E73C2">
        <w:rPr>
          <w:rFonts w:asciiTheme="majorHAnsi" w:hAnsiTheme="majorHAnsi"/>
          <w:sz w:val="24"/>
          <w:szCs w:val="24"/>
          <w:lang w:val="en-US"/>
        </w:rPr>
        <w:t xml:space="preserve"> </w:t>
      </w:r>
      <w:r w:rsidR="00854164">
        <w:rPr>
          <w:rFonts w:asciiTheme="majorHAnsi" w:hAnsiTheme="majorHAnsi"/>
          <w:sz w:val="24"/>
          <w:szCs w:val="24"/>
          <w:lang w:val="en-US"/>
        </w:rPr>
        <w:t>T</w:t>
      </w:r>
      <w:r w:rsidR="00900889" w:rsidRPr="00876AB1">
        <w:rPr>
          <w:rFonts w:asciiTheme="majorHAnsi" w:hAnsiTheme="majorHAnsi"/>
          <w:sz w:val="24"/>
          <w:szCs w:val="24"/>
          <w:lang w:val="en-US"/>
        </w:rPr>
        <w:t xml:space="preserve">he antifungal activity of parenterally administered flubendazole in </w:t>
      </w:r>
      <w:r w:rsidR="00573AF1">
        <w:rPr>
          <w:rFonts w:asciiTheme="majorHAnsi" w:hAnsiTheme="majorHAnsi"/>
          <w:sz w:val="24"/>
          <w:szCs w:val="24"/>
          <w:lang w:val="en-US"/>
        </w:rPr>
        <w:t xml:space="preserve">a </w:t>
      </w:r>
      <w:r w:rsidR="00900889" w:rsidRPr="00876AB1">
        <w:rPr>
          <w:rFonts w:asciiTheme="majorHAnsi" w:hAnsiTheme="majorHAnsi"/>
          <w:sz w:val="24"/>
          <w:szCs w:val="24"/>
          <w:lang w:val="en-US"/>
        </w:rPr>
        <w:t xml:space="preserve">murine model of cryptococcal </w:t>
      </w:r>
      <w:r w:rsidR="003518CB">
        <w:rPr>
          <w:rFonts w:asciiTheme="majorHAnsi" w:hAnsiTheme="majorHAnsi"/>
          <w:sz w:val="24"/>
          <w:szCs w:val="24"/>
          <w:lang w:val="en-US"/>
        </w:rPr>
        <w:t>meningitis</w:t>
      </w:r>
      <w:r w:rsidR="00854164">
        <w:rPr>
          <w:rFonts w:asciiTheme="majorHAnsi" w:hAnsiTheme="majorHAnsi"/>
          <w:sz w:val="24"/>
          <w:szCs w:val="24"/>
          <w:lang w:val="en-US"/>
        </w:rPr>
        <w:t xml:space="preserve"> was </w:t>
      </w:r>
      <w:r w:rsidR="00573AF1">
        <w:rPr>
          <w:rFonts w:asciiTheme="majorHAnsi" w:hAnsiTheme="majorHAnsi"/>
          <w:sz w:val="24"/>
          <w:szCs w:val="24"/>
          <w:lang w:val="en-US"/>
        </w:rPr>
        <w:lastRenderedPageBreak/>
        <w:t>confirmed</w:t>
      </w:r>
      <w:r w:rsidR="003B2CE2">
        <w:rPr>
          <w:rFonts w:asciiTheme="majorHAnsi" w:hAnsiTheme="majorHAnsi"/>
          <w:sz w:val="24"/>
          <w:szCs w:val="24"/>
          <w:lang w:val="en-US"/>
        </w:rPr>
        <w:t xml:space="preserve"> by us in a series of preliminary experiments</w:t>
      </w:r>
      <w:r w:rsidR="006C350C">
        <w:rPr>
          <w:rFonts w:asciiTheme="majorHAnsi" w:hAnsiTheme="majorHAnsi"/>
          <w:sz w:val="24"/>
          <w:szCs w:val="24"/>
          <w:lang w:val="en-US"/>
        </w:rPr>
        <w:t xml:space="preserve">. </w:t>
      </w:r>
      <w:r w:rsidR="00900889" w:rsidRPr="00876AB1">
        <w:rPr>
          <w:rFonts w:asciiTheme="majorHAnsi" w:hAnsiTheme="majorHAnsi"/>
          <w:sz w:val="24"/>
          <w:szCs w:val="24"/>
          <w:lang w:val="en-US"/>
        </w:rPr>
        <w:t xml:space="preserve"> Concurrently, we</w:t>
      </w:r>
      <w:r w:rsidR="00854164">
        <w:rPr>
          <w:rFonts w:asciiTheme="majorHAnsi" w:hAnsiTheme="majorHAnsi"/>
          <w:sz w:val="24"/>
          <w:szCs w:val="24"/>
          <w:lang w:val="en-US"/>
        </w:rPr>
        <w:t xml:space="preserve"> became aware of </w:t>
      </w:r>
      <w:r w:rsidR="00F97704">
        <w:rPr>
          <w:rFonts w:asciiTheme="majorHAnsi" w:hAnsiTheme="majorHAnsi"/>
          <w:sz w:val="24"/>
          <w:szCs w:val="24"/>
          <w:lang w:val="en-US"/>
        </w:rPr>
        <w:t xml:space="preserve">the efforts by </w:t>
      </w:r>
      <w:r w:rsidR="00900889" w:rsidRPr="00876AB1">
        <w:rPr>
          <w:rFonts w:asciiTheme="majorHAnsi" w:hAnsiTheme="majorHAnsi"/>
          <w:sz w:val="24"/>
          <w:szCs w:val="24"/>
          <w:lang w:val="en-US"/>
        </w:rPr>
        <w:t>Janssen</w:t>
      </w:r>
      <w:r w:rsidR="00854164">
        <w:rPr>
          <w:rFonts w:asciiTheme="majorHAnsi" w:hAnsiTheme="majorHAnsi"/>
          <w:sz w:val="24"/>
          <w:szCs w:val="24"/>
          <w:lang w:val="en-US"/>
        </w:rPr>
        <w:t xml:space="preserve"> </w:t>
      </w:r>
      <w:proofErr w:type="spellStart"/>
      <w:r w:rsidR="00573AF1">
        <w:rPr>
          <w:rFonts w:asciiTheme="majorHAnsi" w:hAnsiTheme="majorHAnsi"/>
          <w:sz w:val="24"/>
          <w:szCs w:val="24"/>
          <w:lang w:val="en-US"/>
        </w:rPr>
        <w:t>Pharmaceutica</w:t>
      </w:r>
      <w:proofErr w:type="spellEnd"/>
      <w:r w:rsidR="00573AF1">
        <w:rPr>
          <w:rFonts w:asciiTheme="majorHAnsi" w:hAnsiTheme="majorHAnsi"/>
          <w:sz w:val="24"/>
          <w:szCs w:val="24"/>
          <w:lang w:val="en-US"/>
        </w:rPr>
        <w:t xml:space="preserve"> </w:t>
      </w:r>
      <w:r w:rsidR="00900889" w:rsidRPr="00876AB1">
        <w:rPr>
          <w:rFonts w:asciiTheme="majorHAnsi" w:hAnsiTheme="majorHAnsi"/>
          <w:sz w:val="24"/>
          <w:szCs w:val="24"/>
          <w:lang w:val="en-US"/>
        </w:rPr>
        <w:t xml:space="preserve">to develop a new orally bioavailable formulation of flubendazole that may be active against </w:t>
      </w:r>
      <w:proofErr w:type="spellStart"/>
      <w:r w:rsidR="00900889" w:rsidRPr="00876AB1">
        <w:rPr>
          <w:rFonts w:asciiTheme="majorHAnsi" w:hAnsiTheme="majorHAnsi"/>
          <w:sz w:val="24"/>
          <w:szCs w:val="24"/>
          <w:lang w:val="en-US"/>
        </w:rPr>
        <w:t>fil</w:t>
      </w:r>
      <w:r w:rsidR="006C350C">
        <w:rPr>
          <w:rFonts w:asciiTheme="majorHAnsi" w:hAnsiTheme="majorHAnsi"/>
          <w:sz w:val="24"/>
          <w:szCs w:val="24"/>
          <w:lang w:val="en-US"/>
        </w:rPr>
        <w:t>a</w:t>
      </w:r>
      <w:r w:rsidR="00900889" w:rsidRPr="00876AB1">
        <w:rPr>
          <w:rFonts w:asciiTheme="majorHAnsi" w:hAnsiTheme="majorHAnsi"/>
          <w:sz w:val="24"/>
          <w:szCs w:val="24"/>
          <w:lang w:val="en-US"/>
        </w:rPr>
        <w:t>riasis</w:t>
      </w:r>
      <w:proofErr w:type="spellEnd"/>
      <w:r w:rsidR="00900889" w:rsidRPr="00876AB1">
        <w:rPr>
          <w:rFonts w:asciiTheme="majorHAnsi" w:hAnsiTheme="majorHAnsi"/>
          <w:sz w:val="24"/>
          <w:szCs w:val="24"/>
          <w:lang w:val="en-US"/>
        </w:rPr>
        <w:t xml:space="preserve"> and </w:t>
      </w:r>
      <w:r w:rsidR="00876AB1" w:rsidRPr="00876AB1">
        <w:rPr>
          <w:rFonts w:asciiTheme="majorHAnsi" w:hAnsiTheme="majorHAnsi"/>
          <w:sz w:val="24"/>
          <w:szCs w:val="24"/>
          <w:lang w:val="en-US"/>
        </w:rPr>
        <w:t>onchocerciasis</w:t>
      </w:r>
      <w:r w:rsidR="00854164">
        <w:rPr>
          <w:rFonts w:asciiTheme="majorHAnsi" w:hAnsiTheme="majorHAnsi"/>
          <w:sz w:val="24"/>
          <w:szCs w:val="24"/>
          <w:lang w:val="en-US"/>
        </w:rPr>
        <w:t xml:space="preserve">. </w:t>
      </w:r>
      <w:r w:rsidR="00D1534F">
        <w:rPr>
          <w:rFonts w:asciiTheme="majorHAnsi" w:hAnsiTheme="majorHAnsi"/>
          <w:sz w:val="24"/>
          <w:szCs w:val="24"/>
          <w:lang w:val="en-US"/>
        </w:rPr>
        <w:t xml:space="preserve"> </w:t>
      </w:r>
      <w:r w:rsidR="003518CB">
        <w:rPr>
          <w:rFonts w:asciiTheme="majorHAnsi" w:hAnsiTheme="majorHAnsi"/>
          <w:sz w:val="24"/>
          <w:szCs w:val="24"/>
          <w:lang w:val="en-US"/>
        </w:rPr>
        <w:t>The potential value of this new formulation as an oral medicine for the treatment of cryptococcal meningitis in resource poor healthcare settings was therefore evident</w:t>
      </w:r>
      <w:r w:rsidR="003518CB" w:rsidRPr="00876AB1">
        <w:rPr>
          <w:rFonts w:asciiTheme="majorHAnsi" w:hAnsiTheme="majorHAnsi"/>
          <w:sz w:val="24"/>
          <w:szCs w:val="24"/>
          <w:lang w:val="en-US"/>
        </w:rPr>
        <w:t xml:space="preserve">. </w:t>
      </w:r>
      <w:r w:rsidR="00900889" w:rsidRPr="00876AB1">
        <w:rPr>
          <w:rFonts w:asciiTheme="majorHAnsi" w:hAnsiTheme="majorHAnsi"/>
          <w:sz w:val="24"/>
          <w:szCs w:val="24"/>
          <w:lang w:val="en-US"/>
        </w:rPr>
        <w:t xml:space="preserve"> </w:t>
      </w:r>
    </w:p>
    <w:p w14:paraId="00074947" w14:textId="20738E81" w:rsidR="00900889" w:rsidRPr="00876AB1" w:rsidRDefault="00900889"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Herein, we describe the </w:t>
      </w:r>
      <w:r w:rsidRPr="00EF774A">
        <w:rPr>
          <w:rFonts w:asciiTheme="majorHAnsi" w:hAnsiTheme="majorHAnsi"/>
          <w:i/>
          <w:sz w:val="24"/>
          <w:szCs w:val="24"/>
          <w:lang w:val="en-US"/>
        </w:rPr>
        <w:t>in vitro</w:t>
      </w:r>
      <w:r w:rsidRPr="00876AB1">
        <w:rPr>
          <w:rFonts w:asciiTheme="majorHAnsi" w:hAnsiTheme="majorHAnsi"/>
          <w:sz w:val="24"/>
          <w:szCs w:val="24"/>
          <w:lang w:val="en-US"/>
        </w:rPr>
        <w:t xml:space="preserve"> activity, putative structure-activity relationships</w:t>
      </w:r>
      <w:r w:rsidR="002277E0">
        <w:rPr>
          <w:rFonts w:asciiTheme="majorHAnsi" w:hAnsiTheme="majorHAnsi"/>
          <w:sz w:val="24"/>
          <w:szCs w:val="24"/>
          <w:lang w:val="en-US"/>
        </w:rPr>
        <w:t>,</w:t>
      </w:r>
      <w:r w:rsidRPr="00876AB1">
        <w:rPr>
          <w:rFonts w:asciiTheme="majorHAnsi" w:hAnsiTheme="majorHAnsi"/>
          <w:sz w:val="24"/>
          <w:szCs w:val="24"/>
          <w:lang w:val="en-US"/>
        </w:rPr>
        <w:t xml:space="preserve"> </w:t>
      </w:r>
      <w:r w:rsidR="006C350C">
        <w:rPr>
          <w:rFonts w:asciiTheme="majorHAnsi" w:hAnsiTheme="majorHAnsi"/>
          <w:sz w:val="24"/>
          <w:szCs w:val="24"/>
          <w:lang w:val="en-US"/>
        </w:rPr>
        <w:t>and</w:t>
      </w:r>
      <w:r w:rsidRPr="00876AB1">
        <w:rPr>
          <w:rFonts w:asciiTheme="majorHAnsi" w:hAnsiTheme="majorHAnsi"/>
          <w:sz w:val="24"/>
          <w:szCs w:val="24"/>
          <w:lang w:val="en-US"/>
        </w:rPr>
        <w:t xml:space="preserve"> the </w:t>
      </w:r>
      <w:r w:rsidRPr="00EF774A">
        <w:rPr>
          <w:rFonts w:asciiTheme="majorHAnsi" w:hAnsiTheme="majorHAnsi"/>
          <w:i/>
          <w:sz w:val="24"/>
          <w:szCs w:val="24"/>
          <w:lang w:val="en-US"/>
        </w:rPr>
        <w:t>in vivo</w:t>
      </w:r>
      <w:r w:rsidRPr="00876AB1">
        <w:rPr>
          <w:rFonts w:asciiTheme="majorHAnsi" w:hAnsiTheme="majorHAnsi"/>
          <w:sz w:val="24"/>
          <w:szCs w:val="24"/>
          <w:lang w:val="en-US"/>
        </w:rPr>
        <w:t xml:space="preserve"> pharmacokinetic-pharmacodynamic relationships of flubendazole against </w:t>
      </w:r>
      <w:r w:rsidRPr="00CA20E5">
        <w:rPr>
          <w:rFonts w:asciiTheme="majorHAnsi" w:hAnsiTheme="majorHAnsi"/>
          <w:i/>
          <w:sz w:val="24"/>
          <w:szCs w:val="24"/>
          <w:lang w:val="en-US"/>
        </w:rPr>
        <w:t>Cryptococcus neoformans</w:t>
      </w:r>
      <w:r w:rsidRPr="00876AB1">
        <w:rPr>
          <w:rFonts w:asciiTheme="majorHAnsi" w:hAnsiTheme="majorHAnsi"/>
          <w:sz w:val="24"/>
          <w:szCs w:val="24"/>
          <w:lang w:val="en-US"/>
        </w:rPr>
        <w:t xml:space="preserve">.  </w:t>
      </w:r>
      <w:r w:rsidR="003518CB">
        <w:rPr>
          <w:rFonts w:asciiTheme="majorHAnsi" w:hAnsiTheme="majorHAnsi"/>
          <w:sz w:val="24"/>
          <w:szCs w:val="24"/>
          <w:lang w:val="en-US"/>
        </w:rPr>
        <w:t>A</w:t>
      </w:r>
      <w:r w:rsidRPr="00876AB1">
        <w:rPr>
          <w:rFonts w:asciiTheme="majorHAnsi" w:hAnsiTheme="majorHAnsi"/>
          <w:sz w:val="24"/>
          <w:szCs w:val="24"/>
          <w:lang w:val="en-US"/>
        </w:rPr>
        <w:t xml:space="preserve"> hollow fib</w:t>
      </w:r>
      <w:r w:rsidR="00AC7771">
        <w:rPr>
          <w:rFonts w:asciiTheme="majorHAnsi" w:hAnsiTheme="majorHAnsi"/>
          <w:sz w:val="24"/>
          <w:szCs w:val="24"/>
          <w:lang w:val="en-US"/>
        </w:rPr>
        <w:t>er</w:t>
      </w:r>
      <w:r w:rsidRPr="00876AB1">
        <w:rPr>
          <w:rFonts w:asciiTheme="majorHAnsi" w:hAnsiTheme="majorHAnsi"/>
          <w:sz w:val="24"/>
          <w:szCs w:val="24"/>
          <w:lang w:val="en-US"/>
        </w:rPr>
        <w:t xml:space="preserve"> infection model of cryptococcal </w:t>
      </w:r>
      <w:r w:rsidR="00ED0513">
        <w:rPr>
          <w:rFonts w:asciiTheme="majorHAnsi" w:hAnsiTheme="majorHAnsi"/>
          <w:sz w:val="24"/>
          <w:szCs w:val="24"/>
          <w:lang w:val="en-US"/>
        </w:rPr>
        <w:t>meningitis</w:t>
      </w:r>
      <w:r w:rsidR="00ED0513" w:rsidRPr="00876AB1">
        <w:rPr>
          <w:rFonts w:asciiTheme="majorHAnsi" w:hAnsiTheme="majorHAnsi"/>
          <w:sz w:val="24"/>
          <w:szCs w:val="24"/>
          <w:lang w:val="en-US"/>
        </w:rPr>
        <w:t xml:space="preserve"> </w:t>
      </w:r>
      <w:r w:rsidR="003518CB">
        <w:rPr>
          <w:rFonts w:asciiTheme="majorHAnsi" w:hAnsiTheme="majorHAnsi"/>
          <w:sz w:val="24"/>
          <w:szCs w:val="24"/>
          <w:lang w:val="en-US"/>
        </w:rPr>
        <w:t xml:space="preserve">was developed </w:t>
      </w:r>
      <w:r w:rsidRPr="00876AB1">
        <w:rPr>
          <w:rFonts w:asciiTheme="majorHAnsi" w:hAnsiTheme="majorHAnsi"/>
          <w:sz w:val="24"/>
          <w:szCs w:val="24"/>
          <w:lang w:val="en-US"/>
        </w:rPr>
        <w:t xml:space="preserve">as a first step </w:t>
      </w:r>
      <w:r w:rsidR="00573AF1">
        <w:rPr>
          <w:rFonts w:asciiTheme="majorHAnsi" w:hAnsiTheme="majorHAnsi"/>
          <w:sz w:val="24"/>
          <w:szCs w:val="24"/>
          <w:lang w:val="en-US"/>
        </w:rPr>
        <w:t>for</w:t>
      </w:r>
      <w:r w:rsidR="00573AF1" w:rsidRPr="00876AB1">
        <w:rPr>
          <w:rFonts w:asciiTheme="majorHAnsi" w:hAnsiTheme="majorHAnsi"/>
          <w:sz w:val="24"/>
          <w:szCs w:val="24"/>
          <w:lang w:val="en-US"/>
        </w:rPr>
        <w:t xml:space="preserve"> </w:t>
      </w:r>
      <w:r w:rsidRPr="00876AB1">
        <w:rPr>
          <w:rFonts w:asciiTheme="majorHAnsi" w:hAnsiTheme="majorHAnsi"/>
          <w:sz w:val="24"/>
          <w:szCs w:val="24"/>
          <w:lang w:val="en-US"/>
        </w:rPr>
        <w:t xml:space="preserve">exploring dose-exposure-response relationships.  </w:t>
      </w:r>
      <w:r w:rsidR="00876AB1" w:rsidRPr="00876AB1">
        <w:rPr>
          <w:rFonts w:asciiTheme="majorHAnsi" w:hAnsiTheme="majorHAnsi"/>
          <w:sz w:val="24"/>
          <w:szCs w:val="24"/>
          <w:lang w:val="en-US"/>
        </w:rPr>
        <w:t>Subsequently</w:t>
      </w:r>
      <w:r w:rsidRPr="00876AB1">
        <w:rPr>
          <w:rFonts w:asciiTheme="majorHAnsi" w:hAnsiTheme="majorHAnsi"/>
          <w:sz w:val="24"/>
          <w:szCs w:val="24"/>
          <w:lang w:val="en-US"/>
        </w:rPr>
        <w:t>, two extensively used and well-</w:t>
      </w:r>
      <w:r w:rsidR="00AC7771" w:rsidRPr="00876AB1">
        <w:rPr>
          <w:rFonts w:asciiTheme="majorHAnsi" w:hAnsiTheme="majorHAnsi"/>
          <w:sz w:val="24"/>
          <w:szCs w:val="24"/>
          <w:lang w:val="en-US"/>
        </w:rPr>
        <w:t>characterized</w:t>
      </w:r>
      <w:r w:rsidRPr="00876AB1">
        <w:rPr>
          <w:rFonts w:asciiTheme="majorHAnsi" w:hAnsiTheme="majorHAnsi"/>
          <w:sz w:val="24"/>
          <w:szCs w:val="24"/>
          <w:lang w:val="en-US"/>
        </w:rPr>
        <w:t xml:space="preserve"> laboratory animal models of cryptococcal </w:t>
      </w:r>
      <w:r w:rsidR="00ED0513">
        <w:rPr>
          <w:rFonts w:asciiTheme="majorHAnsi" w:hAnsiTheme="majorHAnsi"/>
          <w:sz w:val="24"/>
          <w:szCs w:val="24"/>
          <w:lang w:val="en-US"/>
        </w:rPr>
        <w:t>meningitis</w:t>
      </w:r>
      <w:r w:rsidR="00ED0513" w:rsidRPr="00876AB1">
        <w:rPr>
          <w:rFonts w:asciiTheme="majorHAnsi" w:hAnsiTheme="majorHAnsi"/>
          <w:sz w:val="24"/>
          <w:szCs w:val="24"/>
          <w:lang w:val="en-US"/>
        </w:rPr>
        <w:t xml:space="preserve"> </w:t>
      </w:r>
      <w:r w:rsidR="003518CB">
        <w:rPr>
          <w:rFonts w:asciiTheme="majorHAnsi" w:hAnsiTheme="majorHAnsi"/>
          <w:sz w:val="24"/>
          <w:szCs w:val="24"/>
          <w:lang w:val="en-US"/>
        </w:rPr>
        <w:t xml:space="preserve">were used </w:t>
      </w:r>
      <w:r w:rsidRPr="00876AB1">
        <w:rPr>
          <w:rFonts w:asciiTheme="majorHAnsi" w:hAnsiTheme="majorHAnsi"/>
          <w:sz w:val="24"/>
          <w:szCs w:val="24"/>
          <w:lang w:val="en-US"/>
        </w:rPr>
        <w:t xml:space="preserve">to provide the </w:t>
      </w:r>
      <w:r w:rsidR="00876AB1" w:rsidRPr="00876AB1">
        <w:rPr>
          <w:rFonts w:asciiTheme="majorHAnsi" w:hAnsiTheme="majorHAnsi"/>
          <w:sz w:val="24"/>
          <w:szCs w:val="24"/>
          <w:lang w:val="en-US"/>
        </w:rPr>
        <w:t>experimental</w:t>
      </w:r>
      <w:r w:rsidRPr="00876AB1">
        <w:rPr>
          <w:rFonts w:asciiTheme="majorHAnsi" w:hAnsiTheme="majorHAnsi"/>
          <w:sz w:val="24"/>
          <w:szCs w:val="24"/>
          <w:lang w:val="en-US"/>
        </w:rPr>
        <w:t xml:space="preserve"> foundation for the potential </w:t>
      </w:r>
      <w:r w:rsidR="006C350C">
        <w:rPr>
          <w:rFonts w:asciiTheme="majorHAnsi" w:hAnsiTheme="majorHAnsi"/>
          <w:sz w:val="24"/>
          <w:szCs w:val="24"/>
          <w:lang w:val="en-US"/>
        </w:rPr>
        <w:t xml:space="preserve">use </w:t>
      </w:r>
      <w:r w:rsidRPr="00876AB1">
        <w:rPr>
          <w:rFonts w:asciiTheme="majorHAnsi" w:hAnsiTheme="majorHAnsi"/>
          <w:sz w:val="24"/>
          <w:szCs w:val="24"/>
          <w:lang w:val="en-US"/>
        </w:rPr>
        <w:t xml:space="preserve">of oral </w:t>
      </w:r>
      <w:r w:rsidR="006C350C">
        <w:rPr>
          <w:rFonts w:asciiTheme="majorHAnsi" w:hAnsiTheme="majorHAnsi"/>
          <w:sz w:val="24"/>
          <w:szCs w:val="24"/>
          <w:lang w:val="en-US"/>
        </w:rPr>
        <w:t>formulations</w:t>
      </w:r>
      <w:r w:rsidR="006C350C" w:rsidRPr="00876AB1">
        <w:rPr>
          <w:rFonts w:asciiTheme="majorHAnsi" w:hAnsiTheme="majorHAnsi"/>
          <w:sz w:val="24"/>
          <w:szCs w:val="24"/>
          <w:lang w:val="en-US"/>
        </w:rPr>
        <w:t xml:space="preserve"> </w:t>
      </w:r>
      <w:r w:rsidR="003518CB">
        <w:rPr>
          <w:rFonts w:asciiTheme="majorHAnsi" w:hAnsiTheme="majorHAnsi"/>
          <w:sz w:val="24"/>
          <w:szCs w:val="24"/>
          <w:lang w:val="en-US"/>
        </w:rPr>
        <w:t xml:space="preserve">of </w:t>
      </w:r>
      <w:r w:rsidRPr="00876AB1">
        <w:rPr>
          <w:rFonts w:asciiTheme="majorHAnsi" w:hAnsiTheme="majorHAnsi"/>
          <w:sz w:val="24"/>
          <w:szCs w:val="24"/>
          <w:lang w:val="en-US"/>
        </w:rPr>
        <w:t>flubendazole</w:t>
      </w:r>
      <w:r w:rsidR="00152456">
        <w:rPr>
          <w:rFonts w:asciiTheme="majorHAnsi" w:hAnsiTheme="majorHAnsi"/>
          <w:sz w:val="24"/>
          <w:szCs w:val="24"/>
          <w:lang w:val="en-US"/>
        </w:rPr>
        <w:t xml:space="preserve"> or </w:t>
      </w:r>
      <w:r w:rsidR="00DA54F6">
        <w:rPr>
          <w:rFonts w:asciiTheme="majorHAnsi" w:hAnsiTheme="majorHAnsi"/>
          <w:sz w:val="24"/>
          <w:szCs w:val="24"/>
          <w:lang w:val="en-US"/>
        </w:rPr>
        <w:t xml:space="preserve">its </w:t>
      </w:r>
      <w:r w:rsidR="00152456">
        <w:rPr>
          <w:rFonts w:asciiTheme="majorHAnsi" w:hAnsiTheme="majorHAnsi"/>
          <w:sz w:val="24"/>
          <w:szCs w:val="24"/>
          <w:lang w:val="en-US"/>
        </w:rPr>
        <w:t>congeners</w:t>
      </w:r>
      <w:r w:rsidR="006C350C">
        <w:rPr>
          <w:rFonts w:asciiTheme="majorHAnsi" w:hAnsiTheme="majorHAnsi"/>
          <w:sz w:val="24"/>
          <w:szCs w:val="24"/>
          <w:lang w:val="en-US"/>
        </w:rPr>
        <w:t xml:space="preserve"> for </w:t>
      </w:r>
      <w:r w:rsidR="00573AF1">
        <w:rPr>
          <w:rFonts w:asciiTheme="majorHAnsi" w:hAnsiTheme="majorHAnsi"/>
          <w:sz w:val="24"/>
          <w:szCs w:val="24"/>
          <w:lang w:val="en-US"/>
        </w:rPr>
        <w:t>the</w:t>
      </w:r>
      <w:r w:rsidR="00DA54F6">
        <w:rPr>
          <w:rFonts w:asciiTheme="majorHAnsi" w:hAnsiTheme="majorHAnsi"/>
          <w:sz w:val="24"/>
          <w:szCs w:val="24"/>
          <w:lang w:val="en-US"/>
        </w:rPr>
        <w:t xml:space="preserve"> treatment </w:t>
      </w:r>
      <w:r w:rsidR="00573AF1">
        <w:rPr>
          <w:rFonts w:asciiTheme="majorHAnsi" w:hAnsiTheme="majorHAnsi"/>
          <w:sz w:val="24"/>
          <w:szCs w:val="24"/>
          <w:lang w:val="en-US"/>
        </w:rPr>
        <w:t>of</w:t>
      </w:r>
      <w:r w:rsidR="00DA54F6">
        <w:rPr>
          <w:rFonts w:asciiTheme="majorHAnsi" w:hAnsiTheme="majorHAnsi"/>
          <w:sz w:val="24"/>
          <w:szCs w:val="24"/>
          <w:lang w:val="en-US"/>
        </w:rPr>
        <w:t xml:space="preserve"> a </w:t>
      </w:r>
      <w:r w:rsidR="006C350C">
        <w:rPr>
          <w:rFonts w:asciiTheme="majorHAnsi" w:hAnsiTheme="majorHAnsi"/>
          <w:sz w:val="24"/>
          <w:szCs w:val="24"/>
          <w:lang w:val="en-US"/>
        </w:rPr>
        <w:t>neglected infection of global significance</w:t>
      </w:r>
      <w:r w:rsidRPr="00876AB1">
        <w:rPr>
          <w:rFonts w:asciiTheme="majorHAnsi" w:hAnsiTheme="majorHAnsi"/>
          <w:sz w:val="24"/>
          <w:szCs w:val="24"/>
          <w:lang w:val="en-US"/>
        </w:rPr>
        <w:t>.</w:t>
      </w:r>
    </w:p>
    <w:p w14:paraId="3292DB5F" w14:textId="77777777" w:rsidR="00900889" w:rsidRPr="00876AB1" w:rsidRDefault="00900889" w:rsidP="00EB3D34">
      <w:pPr>
        <w:spacing w:line="480" w:lineRule="auto"/>
        <w:rPr>
          <w:rFonts w:asciiTheme="majorHAnsi" w:hAnsiTheme="majorHAnsi"/>
          <w:sz w:val="24"/>
          <w:szCs w:val="24"/>
          <w:lang w:val="en-US"/>
        </w:rPr>
      </w:pPr>
      <w:r w:rsidRPr="00876AB1">
        <w:rPr>
          <w:rFonts w:asciiTheme="majorHAnsi" w:hAnsiTheme="majorHAnsi"/>
          <w:sz w:val="24"/>
          <w:szCs w:val="24"/>
          <w:lang w:val="en-US"/>
        </w:rPr>
        <w:br w:type="page"/>
      </w:r>
    </w:p>
    <w:p w14:paraId="4225CC0B" w14:textId="77777777" w:rsidR="00900889" w:rsidRPr="00876AB1" w:rsidRDefault="00900889" w:rsidP="00EB3D34">
      <w:pPr>
        <w:spacing w:after="120" w:line="480" w:lineRule="auto"/>
        <w:outlineLvl w:val="0"/>
        <w:rPr>
          <w:rFonts w:asciiTheme="majorHAnsi" w:hAnsiTheme="majorHAnsi"/>
          <w:b/>
          <w:sz w:val="24"/>
          <w:szCs w:val="24"/>
          <w:lang w:val="en-US"/>
        </w:rPr>
      </w:pPr>
      <w:r w:rsidRPr="00876AB1">
        <w:rPr>
          <w:rFonts w:asciiTheme="majorHAnsi" w:hAnsiTheme="majorHAnsi"/>
          <w:b/>
          <w:sz w:val="24"/>
          <w:szCs w:val="24"/>
          <w:lang w:val="en-US"/>
        </w:rPr>
        <w:lastRenderedPageBreak/>
        <w:t>RESULTS</w:t>
      </w:r>
    </w:p>
    <w:p w14:paraId="3F11995D" w14:textId="77777777" w:rsidR="00900889" w:rsidRPr="00876AB1" w:rsidRDefault="00900889" w:rsidP="00EB3D34">
      <w:pPr>
        <w:spacing w:after="120" w:line="480" w:lineRule="auto"/>
        <w:outlineLvl w:val="0"/>
        <w:rPr>
          <w:rFonts w:asciiTheme="majorHAnsi" w:hAnsiTheme="majorHAnsi"/>
          <w:b/>
          <w:i/>
          <w:sz w:val="24"/>
          <w:szCs w:val="24"/>
          <w:lang w:val="en-US"/>
        </w:rPr>
      </w:pPr>
      <w:r w:rsidRPr="00876AB1">
        <w:rPr>
          <w:rFonts w:asciiTheme="majorHAnsi" w:hAnsiTheme="majorHAnsi"/>
          <w:b/>
          <w:i/>
          <w:sz w:val="24"/>
          <w:szCs w:val="24"/>
          <w:lang w:val="en-US"/>
        </w:rPr>
        <w:t>In vitro studies</w:t>
      </w:r>
    </w:p>
    <w:p w14:paraId="3570A976" w14:textId="77777777" w:rsidR="00D85CF5" w:rsidRDefault="00900889"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Flubendazole displayed potent </w:t>
      </w:r>
      <w:r w:rsidRPr="00876AB1">
        <w:rPr>
          <w:rFonts w:asciiTheme="majorHAnsi" w:hAnsiTheme="majorHAnsi"/>
          <w:i/>
          <w:sz w:val="24"/>
          <w:szCs w:val="24"/>
          <w:lang w:val="en-US"/>
        </w:rPr>
        <w:t>in vitro</w:t>
      </w:r>
      <w:r w:rsidRPr="00876AB1">
        <w:rPr>
          <w:rFonts w:asciiTheme="majorHAnsi" w:hAnsiTheme="majorHAnsi"/>
          <w:sz w:val="24"/>
          <w:szCs w:val="24"/>
          <w:lang w:val="en-US"/>
        </w:rPr>
        <w:t xml:space="preserve"> activity (MIC 0.06-0.25 mg/L; Table 1) against </w:t>
      </w:r>
      <w:r w:rsidRPr="00876AB1">
        <w:rPr>
          <w:rFonts w:asciiTheme="majorHAnsi" w:hAnsiTheme="majorHAnsi"/>
          <w:i/>
          <w:sz w:val="24"/>
          <w:szCs w:val="24"/>
          <w:lang w:val="en-US"/>
        </w:rPr>
        <w:t>C. neoformans</w:t>
      </w:r>
      <w:r w:rsidRPr="00876AB1">
        <w:rPr>
          <w:rFonts w:asciiTheme="majorHAnsi" w:hAnsiTheme="majorHAnsi"/>
          <w:sz w:val="24"/>
          <w:szCs w:val="24"/>
          <w:lang w:val="en-US"/>
        </w:rPr>
        <w:t xml:space="preserve">.  </w:t>
      </w:r>
      <w:r w:rsidR="00D85CF5">
        <w:rPr>
          <w:rFonts w:asciiTheme="majorHAnsi" w:hAnsiTheme="majorHAnsi"/>
          <w:sz w:val="24"/>
          <w:szCs w:val="24"/>
          <w:lang w:val="en-US"/>
        </w:rPr>
        <w:t>The MICs were comparable when EUCAST and CLSI methodology was used.</w:t>
      </w:r>
    </w:p>
    <w:p w14:paraId="26647B30" w14:textId="23BD8F0C" w:rsidR="00D85CF5" w:rsidRDefault="00900889"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The flubendazole IC</w:t>
      </w:r>
      <w:r w:rsidRPr="00876AB1">
        <w:rPr>
          <w:rFonts w:asciiTheme="majorHAnsi" w:hAnsiTheme="majorHAnsi"/>
          <w:sz w:val="24"/>
          <w:szCs w:val="24"/>
          <w:vertAlign w:val="subscript"/>
          <w:lang w:val="en-US"/>
        </w:rPr>
        <w:t>50</w:t>
      </w:r>
      <w:r w:rsidRPr="00876AB1">
        <w:rPr>
          <w:rFonts w:asciiTheme="majorHAnsi" w:hAnsiTheme="majorHAnsi"/>
          <w:sz w:val="24"/>
          <w:szCs w:val="24"/>
          <w:lang w:val="en-US"/>
        </w:rPr>
        <w:t xml:space="preserve"> against porcine tubulin was 2.38 µM</w:t>
      </w:r>
      <w:r w:rsidR="00922D17">
        <w:rPr>
          <w:rFonts w:asciiTheme="majorHAnsi" w:hAnsiTheme="majorHAnsi"/>
          <w:sz w:val="24"/>
          <w:szCs w:val="24"/>
          <w:lang w:val="en-US"/>
        </w:rPr>
        <w:t xml:space="preserve">. </w:t>
      </w:r>
      <w:r w:rsidR="00A85965">
        <w:rPr>
          <w:rFonts w:asciiTheme="majorHAnsi" w:hAnsiTheme="majorHAnsi"/>
          <w:sz w:val="24"/>
          <w:szCs w:val="24"/>
          <w:lang w:val="en-US"/>
        </w:rPr>
        <w:t xml:space="preserve"> </w:t>
      </w:r>
      <w:r w:rsidR="00430021">
        <w:rPr>
          <w:rFonts w:asciiTheme="majorHAnsi" w:hAnsiTheme="majorHAnsi"/>
          <w:sz w:val="24"/>
          <w:szCs w:val="24"/>
          <w:lang w:val="en-US"/>
        </w:rPr>
        <w:t>Other known tubulin inhibitors display similar efficacy in this assay (</w:t>
      </w:r>
      <w:r w:rsidR="00A85965">
        <w:rPr>
          <w:rFonts w:asciiTheme="majorHAnsi" w:hAnsiTheme="majorHAnsi"/>
          <w:sz w:val="24"/>
          <w:szCs w:val="24"/>
          <w:lang w:val="en-US"/>
        </w:rPr>
        <w:t>e.g. c</w:t>
      </w:r>
      <w:r w:rsidR="00430021">
        <w:rPr>
          <w:rFonts w:asciiTheme="majorHAnsi" w:hAnsiTheme="majorHAnsi"/>
          <w:sz w:val="24"/>
          <w:szCs w:val="24"/>
          <w:lang w:val="en-US"/>
        </w:rPr>
        <w:t>olchicine IC</w:t>
      </w:r>
      <w:r w:rsidR="00430021" w:rsidRPr="00EF774A">
        <w:rPr>
          <w:rFonts w:asciiTheme="majorHAnsi" w:hAnsiTheme="majorHAnsi"/>
          <w:sz w:val="24"/>
          <w:szCs w:val="24"/>
          <w:vertAlign w:val="subscript"/>
          <w:lang w:val="en-US"/>
        </w:rPr>
        <w:t>50</w:t>
      </w:r>
      <w:r w:rsidR="00430021">
        <w:rPr>
          <w:rFonts w:asciiTheme="majorHAnsi" w:hAnsiTheme="majorHAnsi"/>
          <w:sz w:val="24"/>
          <w:szCs w:val="24"/>
          <w:lang w:val="en-US"/>
        </w:rPr>
        <w:t xml:space="preserve"> = 1.15</w:t>
      </w:r>
      <w:r w:rsidR="005E5E5C">
        <w:rPr>
          <w:rFonts w:asciiTheme="majorHAnsi" w:hAnsiTheme="majorHAnsi"/>
          <w:sz w:val="24"/>
          <w:szCs w:val="24"/>
          <w:lang w:val="en-US"/>
        </w:rPr>
        <w:t xml:space="preserve"> </w:t>
      </w:r>
      <w:r w:rsidR="005E5E5C" w:rsidRPr="005E5E5C">
        <w:rPr>
          <w:rFonts w:asciiTheme="majorHAnsi" w:hAnsiTheme="majorHAnsi"/>
          <w:sz w:val="24"/>
          <w:szCs w:val="24"/>
          <w:lang w:val="en-US"/>
        </w:rPr>
        <w:t>µM</w:t>
      </w:r>
      <w:r w:rsidR="00E449A3">
        <w:rPr>
          <w:rFonts w:asciiTheme="majorHAnsi" w:hAnsiTheme="majorHAnsi"/>
          <w:sz w:val="24"/>
          <w:szCs w:val="24"/>
          <w:lang w:val="en-US"/>
        </w:rPr>
        <w:t xml:space="preserve"> </w:t>
      </w:r>
      <w:r w:rsidR="00EE56E7">
        <w:rPr>
          <w:rFonts w:asciiTheme="majorHAnsi" w:hAnsiTheme="majorHAnsi"/>
          <w:sz w:val="24"/>
          <w:szCs w:val="24"/>
          <w:lang w:val="en-US"/>
        </w:rPr>
        <w:t>(</w:t>
      </w:r>
      <w:r w:rsidR="00ED0513">
        <w:rPr>
          <w:rFonts w:asciiTheme="majorHAnsi" w:hAnsiTheme="majorHAnsi"/>
          <w:sz w:val="24"/>
          <w:szCs w:val="24"/>
          <w:lang w:val="en-US"/>
        </w:rPr>
        <w:t>unpublished data</w:t>
      </w:r>
      <w:r w:rsidR="00EE56E7" w:rsidRPr="00C5446A">
        <w:rPr>
          <w:rFonts w:asciiTheme="majorHAnsi" w:hAnsiTheme="majorHAnsi"/>
          <w:sz w:val="24"/>
          <w:szCs w:val="24"/>
          <w:lang w:val="en-US"/>
        </w:rPr>
        <w:t>)</w:t>
      </w:r>
      <w:r w:rsidR="00430021" w:rsidRPr="00C5446A">
        <w:rPr>
          <w:rFonts w:asciiTheme="majorHAnsi" w:hAnsiTheme="majorHAnsi"/>
          <w:sz w:val="24"/>
          <w:szCs w:val="24"/>
          <w:lang w:val="en-US"/>
        </w:rPr>
        <w:t>,</w:t>
      </w:r>
      <w:r w:rsidR="00430021">
        <w:rPr>
          <w:rFonts w:asciiTheme="majorHAnsi" w:hAnsiTheme="majorHAnsi"/>
          <w:sz w:val="24"/>
          <w:szCs w:val="24"/>
          <w:lang w:val="en-US"/>
        </w:rPr>
        <w:t xml:space="preserve"> </w:t>
      </w:r>
      <w:r w:rsidR="00F97704">
        <w:rPr>
          <w:rFonts w:asciiTheme="majorHAnsi" w:hAnsiTheme="majorHAnsi"/>
          <w:sz w:val="24"/>
          <w:szCs w:val="24"/>
          <w:lang w:val="en-US"/>
        </w:rPr>
        <w:t>paclitaxel</w:t>
      </w:r>
      <w:r w:rsidR="00430021">
        <w:rPr>
          <w:rFonts w:asciiTheme="majorHAnsi" w:hAnsiTheme="majorHAnsi"/>
          <w:sz w:val="24"/>
          <w:szCs w:val="24"/>
          <w:lang w:val="en-US"/>
        </w:rPr>
        <w:t xml:space="preserve"> IC</w:t>
      </w:r>
      <w:r w:rsidR="00430021" w:rsidRPr="00EF774A">
        <w:rPr>
          <w:rFonts w:asciiTheme="majorHAnsi" w:hAnsiTheme="majorHAnsi"/>
          <w:sz w:val="24"/>
          <w:szCs w:val="24"/>
          <w:vertAlign w:val="subscript"/>
          <w:lang w:val="en-US"/>
        </w:rPr>
        <w:t>50</w:t>
      </w:r>
      <w:r w:rsidR="00430021">
        <w:rPr>
          <w:rFonts w:asciiTheme="majorHAnsi" w:hAnsiTheme="majorHAnsi"/>
          <w:sz w:val="24"/>
          <w:szCs w:val="24"/>
          <w:lang w:val="en-US"/>
        </w:rPr>
        <w:t xml:space="preserve"> </w:t>
      </w:r>
      <w:r w:rsidR="005E5E5C">
        <w:rPr>
          <w:rFonts w:asciiTheme="majorHAnsi" w:hAnsiTheme="majorHAnsi"/>
          <w:sz w:val="24"/>
          <w:szCs w:val="24"/>
          <w:lang w:val="en-US"/>
        </w:rPr>
        <w:t>=</w:t>
      </w:r>
      <w:r w:rsidR="00F97704">
        <w:rPr>
          <w:rFonts w:asciiTheme="majorHAnsi" w:hAnsiTheme="majorHAnsi"/>
          <w:sz w:val="24"/>
          <w:szCs w:val="24"/>
          <w:lang w:val="en-US"/>
        </w:rPr>
        <w:t xml:space="preserve"> </w:t>
      </w:r>
      <w:r w:rsidR="005E5E5C">
        <w:rPr>
          <w:rFonts w:asciiTheme="majorHAnsi" w:hAnsiTheme="majorHAnsi"/>
          <w:sz w:val="24"/>
          <w:szCs w:val="24"/>
          <w:lang w:val="en-US"/>
        </w:rPr>
        <w:t xml:space="preserve">3.9 </w:t>
      </w:r>
      <w:r w:rsidR="005E5E5C" w:rsidRPr="005E5E5C">
        <w:rPr>
          <w:rFonts w:asciiTheme="majorHAnsi" w:hAnsiTheme="majorHAnsi"/>
          <w:sz w:val="24"/>
          <w:szCs w:val="24"/>
          <w:lang w:val="en-US"/>
        </w:rPr>
        <w:t>µM</w:t>
      </w:r>
      <w:r w:rsidR="005E5E5C">
        <w:rPr>
          <w:rFonts w:asciiTheme="majorHAnsi" w:hAnsiTheme="majorHAnsi"/>
          <w:sz w:val="24"/>
          <w:szCs w:val="24"/>
          <w:lang w:val="en-US"/>
        </w:rPr>
        <w:t xml:space="preserve"> </w:t>
      </w:r>
      <w:r w:rsidR="0000523E" w:rsidRPr="00721DE8">
        <w:rPr>
          <w:rFonts w:asciiTheme="majorHAnsi" w:hAnsiTheme="majorHAnsi"/>
          <w:sz w:val="24"/>
          <w:szCs w:val="24"/>
          <w:lang w:val="en-US"/>
        </w:rPr>
        <w:fldChar w:fldCharType="begin" w:fldLock="1"/>
      </w:r>
      <w:r w:rsidR="00103079">
        <w:rPr>
          <w:rFonts w:asciiTheme="majorHAnsi" w:hAnsiTheme="majorHAnsi"/>
          <w:sz w:val="24"/>
          <w:szCs w:val="24"/>
          <w:lang w:val="en-US"/>
        </w:rPr>
        <w:instrText>ADDIN CSL_CITATION { "citationItems" : [ { "id" : "ITEM-1", "itemData" : { "DOI" : "10.2533/chimia.2007.368", "ISSN" : "00094293", "abstract" : "The search for improved cytotoxic agents continues to be an important line of modern anticancer drug discovery and a promising mechanistic approach towards this goal is the functional inhibition of cellular microtubules. Tubulin inhibitors are compounds which either stabilize or destabilize microtubules in vitro, leading to G2/M cell cycle arrest and apoptosis in cancer cells. While destabilizing agents, such as vinca alkaloids inhibit the assembly of \u03b1\u03b2-tubulin heterodimers, stabilizing compounds like taxol induce the de novo formation of stable microtubules in vitro. In this study we have investigated a number of plant-derived compounds that have recently been reported to interact with the tubulin/microtubule system and to induce taxol-like effects. This includes the sesquiterpene lactones parthenolide and costunolide, the coumarin derivative ferulenol, and the jatrophane ester JTE1. In addition, we have screened a small natural product library (84 cytotoxic compounds) and 107 cytotoxic plant extracts in an assay system that allows the detection of both microtubule-stabilizing and -destabilizing agents in a 96-well setup within the same experimental format. None of the plant extracts inhibited or induced tubulin polymerization in vitro. From the compound library only the known plant-derived tubulin inhibitors vinblastine, colchicine, podophyllotoxin, chelidonine, rotenone, and taxol were identified as hits. Curcumin, which was recently reported to destabilize cellular microtubules, was inactive in our assay. Interestingly, rotenone, which is widely used as a mitochondrial respiration chain I inhibitor, potently inhibited microtubule assembly in vitro and showed higher affinity to \u03b1\u03b2-tubulin than vinblastine, although it was significantly less cytotoxic. None of the plant-derived natural products that were recently reported to be microtubule-stabilizing agents were found to be active in our assay system. In conclusion, plant-derived natural products clearly represent an interesting and productive source for microtubule- destabilizing agents. In contrast, apart from taxol and related structures, no plant-derived natural product with potent in vitro microtubule-stabilizing properties has yet been identified. \u00a9 Schweizerische Chemische Gesellschaft.", "author" : [ { "dropping-particle" : "", "family" : "Gertsch", "given" : "J\u00fcrg", "non-dropping-particle" : "", "parse-names" : false, "suffix" : "" }, { "dropping-particle" : "", "family" : "Meier", "given" : "Sarah", "non-dropping-particle" : "", "parse-names" : false, "suffix" : "" }, { "dropping-particle" : "", "family" : "Tschopp", "given" : "Natalie", "non-dropping-particle" : "", "parse-names" : false, "suffix" : "" }, { "dropping-particle" : "", "family" : "Altmann", "given" : "Karl-Heinz", "non-dropping-particle" : "", "parse-names" : false, "suffix" : "" } ], "container-title" : "CHIMIA International Journal for Chemistry", "id" : "ITEM-1", "issue" : "6", "issued" : { "date-parts" : [ [ "2007" ] ] }, "page" : "368-372", "title" : "New Tubulin Inhibitors from Plants \u2013 A Critical Assessment", "type" : "article-journal", "volume" : "61" }, "uris" : [ "http://www.mendeley.com/documents/?uuid=14981fca-d8a1-4ad0-a74e-8ceaec6d4211", "http://www.mendeley.com/documents/?uuid=56868dbd-9df8-4e13-9d73-2740f34b83ae" ] } ], "mendeley" : { "formattedCitation" : "(15)", "plainTextFormattedCitation" : "(15)", "previouslyFormattedCitation" : "(15)" }, "properties" : { "noteIndex" : 0 }, "schema" : "https://github.com/citation-style-language/schema/raw/master/csl-citation.json" }</w:instrText>
      </w:r>
      <w:r w:rsidR="0000523E" w:rsidRPr="00721DE8">
        <w:rPr>
          <w:rFonts w:asciiTheme="majorHAnsi" w:hAnsiTheme="majorHAnsi"/>
          <w:sz w:val="24"/>
          <w:szCs w:val="24"/>
          <w:lang w:val="en-US"/>
        </w:rPr>
        <w:fldChar w:fldCharType="separate"/>
      </w:r>
      <w:r w:rsidR="0000523E" w:rsidRPr="00721DE8">
        <w:rPr>
          <w:rFonts w:asciiTheme="majorHAnsi" w:hAnsiTheme="majorHAnsi"/>
          <w:noProof/>
          <w:sz w:val="24"/>
          <w:szCs w:val="24"/>
          <w:lang w:val="en-US"/>
        </w:rPr>
        <w:t>(15)</w:t>
      </w:r>
      <w:r w:rsidR="0000523E" w:rsidRPr="00721DE8">
        <w:rPr>
          <w:rFonts w:asciiTheme="majorHAnsi" w:hAnsiTheme="majorHAnsi"/>
          <w:sz w:val="24"/>
          <w:szCs w:val="24"/>
          <w:lang w:val="en-US"/>
        </w:rPr>
        <w:fldChar w:fldCharType="end"/>
      </w:r>
      <w:r w:rsidR="005E5E5C">
        <w:rPr>
          <w:rFonts w:asciiTheme="majorHAnsi" w:hAnsiTheme="majorHAnsi"/>
          <w:sz w:val="24"/>
          <w:szCs w:val="24"/>
          <w:lang w:val="en-US"/>
        </w:rPr>
        <w:t xml:space="preserve"> and </w:t>
      </w:r>
      <w:r w:rsidR="00A85965">
        <w:rPr>
          <w:rFonts w:asciiTheme="majorHAnsi" w:hAnsiTheme="majorHAnsi"/>
          <w:sz w:val="24"/>
          <w:szCs w:val="24"/>
          <w:lang w:val="en-US"/>
        </w:rPr>
        <w:t>v</w:t>
      </w:r>
      <w:r w:rsidR="005E5E5C">
        <w:rPr>
          <w:rFonts w:asciiTheme="majorHAnsi" w:hAnsiTheme="majorHAnsi"/>
          <w:sz w:val="24"/>
          <w:szCs w:val="24"/>
          <w:lang w:val="en-US"/>
        </w:rPr>
        <w:t xml:space="preserve">inblastine </w:t>
      </w:r>
      <w:r w:rsidR="005E5E5C" w:rsidRPr="005E5E5C">
        <w:rPr>
          <w:rFonts w:asciiTheme="majorHAnsi" w:hAnsiTheme="majorHAnsi"/>
          <w:sz w:val="24"/>
          <w:szCs w:val="24"/>
          <w:lang w:val="en-US"/>
        </w:rPr>
        <w:t>IC</w:t>
      </w:r>
      <w:r w:rsidR="005E5E5C" w:rsidRPr="00EF774A">
        <w:rPr>
          <w:rFonts w:asciiTheme="majorHAnsi" w:hAnsiTheme="majorHAnsi"/>
          <w:sz w:val="24"/>
          <w:szCs w:val="24"/>
          <w:vertAlign w:val="subscript"/>
          <w:lang w:val="en-US"/>
        </w:rPr>
        <w:t>50</w:t>
      </w:r>
      <w:r w:rsidR="005E5E5C">
        <w:rPr>
          <w:rFonts w:asciiTheme="majorHAnsi" w:hAnsiTheme="majorHAnsi"/>
          <w:sz w:val="24"/>
          <w:szCs w:val="24"/>
          <w:lang w:val="en-US"/>
        </w:rPr>
        <w:t xml:space="preserve"> = 5.3</w:t>
      </w:r>
      <w:r w:rsidR="005E5E5C" w:rsidRPr="005E5E5C">
        <w:rPr>
          <w:rFonts w:asciiTheme="majorHAnsi" w:hAnsiTheme="majorHAnsi"/>
          <w:sz w:val="24"/>
          <w:szCs w:val="24"/>
          <w:lang w:val="en-US"/>
        </w:rPr>
        <w:t xml:space="preserve"> µM</w:t>
      </w:r>
      <w:r w:rsidR="0000523E">
        <w:rPr>
          <w:rFonts w:asciiTheme="majorHAnsi" w:hAnsiTheme="majorHAnsi"/>
          <w:sz w:val="24"/>
          <w:szCs w:val="24"/>
          <w:lang w:val="en-US"/>
        </w:rPr>
        <w:t xml:space="preserve"> </w:t>
      </w:r>
      <w:r w:rsidR="0000523E">
        <w:rPr>
          <w:rFonts w:asciiTheme="majorHAnsi" w:hAnsiTheme="majorHAnsi"/>
          <w:sz w:val="24"/>
          <w:szCs w:val="24"/>
          <w:lang w:val="en-US"/>
        </w:rPr>
        <w:fldChar w:fldCharType="begin" w:fldLock="1"/>
      </w:r>
      <w:r w:rsidR="00103079">
        <w:rPr>
          <w:rFonts w:asciiTheme="majorHAnsi" w:hAnsiTheme="majorHAnsi"/>
          <w:sz w:val="24"/>
          <w:szCs w:val="24"/>
          <w:lang w:val="en-US"/>
        </w:rPr>
        <w:instrText>ADDIN CSL_CITATION { "citationItems" : [ { "id" : "ITEM-1", "itemData" : { "DOI" : "10.2533/chimia.2007.368", "ISSN" : "00094293", "abstract" : "The search for improved cytotoxic agents continues to be an important line of modern anticancer drug discovery and a promising mechanistic approach towards this goal is the functional inhibition of cellular microtubules. Tubulin inhibitors are compounds which either stabilize or destabilize microtubules in vitro, leading to G2/M cell cycle arrest and apoptosis in cancer cells. While destabilizing agents, such as vinca alkaloids inhibit the assembly of \u03b1\u03b2-tubulin heterodimers, stabilizing compounds like taxol induce the de novo formation of stable microtubules in vitro. In this study we have investigated a number of plant-derived compounds that have recently been reported to interact with the tubulin/microtubule system and to induce taxol-like effects. This includes the sesquiterpene lactones parthenolide and costunolide, the coumarin derivative ferulenol, and the jatrophane ester JTE1. In addition, we have screened a small natural product library (84 cytotoxic compounds) and 107 cytotoxic plant extracts in an assay system that allows the detection of both microtubule-stabilizing and -destabilizing agents in a 96-well setup within the same experimental format. None of the plant extracts inhibited or induced tubulin polymerization in vitro. From the compound library only the known plant-derived tubulin inhibitors vinblastine, colchicine, podophyllotoxin, chelidonine, rotenone, and taxol were identified as hits. Curcumin, which was recently reported to destabilize cellular microtubules, was inactive in our assay. Interestingly, rotenone, which is widely used as a mitochondrial respiration chain I inhibitor, potently inhibited microtubule assembly in vitro and showed higher affinity to \u03b1\u03b2-tubulin than vinblastine, although it was significantly less cytotoxic. None of the plant-derived natural products that were recently reported to be microtubule-stabilizing agents were found to be active in our assay system. In conclusion, plant-derived natural products clearly represent an interesting and productive source for microtubule- destabilizing agents. In contrast, apart from taxol and related structures, no plant-derived natural product with potent in vitro microtubule-stabilizing properties has yet been identified. \u00a9 Schweizerische Chemische Gesellschaft.", "author" : [ { "dropping-particle" : "", "family" : "Gertsch", "given" : "J\u00fcrg", "non-dropping-particle" : "", "parse-names" : false, "suffix" : "" }, { "dropping-particle" : "", "family" : "Meier", "given" : "Sarah", "non-dropping-particle" : "", "parse-names" : false, "suffix" : "" }, { "dropping-particle" : "", "family" : "Tschopp", "given" : "Natalie", "non-dropping-particle" : "", "parse-names" : false, "suffix" : "" }, { "dropping-particle" : "", "family" : "Altmann", "given" : "Karl-Heinz", "non-dropping-particle" : "", "parse-names" : false, "suffix" : "" } ], "container-title" : "CHIMIA International Journal for Chemistry", "id" : "ITEM-1", "issue" : "6", "issued" : { "date-parts" : [ [ "2007" ] ] }, "page" : "368-372", "title" : "New Tubulin Inhibitors from Plants \u2013 A Critical Assessment", "type" : "article-journal", "volume" : "61" }, "uris" : [ "http://www.mendeley.com/documents/?uuid=56868dbd-9df8-4e13-9d73-2740f34b83ae", "http://www.mendeley.com/documents/?uuid=14981fca-d8a1-4ad0-a74e-8ceaec6d4211" ] } ], "mendeley" : { "formattedCitation" : "(15)", "plainTextFormattedCitation" : "(15)", "previouslyFormattedCitation" : "(15)" }, "properties" : { "noteIndex" : 0 }, "schema" : "https://github.com/citation-style-language/schema/raw/master/csl-citation.json" }</w:instrText>
      </w:r>
      <w:r w:rsidR="0000523E">
        <w:rPr>
          <w:rFonts w:asciiTheme="majorHAnsi" w:hAnsiTheme="majorHAnsi"/>
          <w:sz w:val="24"/>
          <w:szCs w:val="24"/>
          <w:lang w:val="en-US"/>
        </w:rPr>
        <w:fldChar w:fldCharType="separate"/>
      </w:r>
      <w:r w:rsidR="0000523E" w:rsidRPr="0000523E">
        <w:rPr>
          <w:rFonts w:asciiTheme="majorHAnsi" w:hAnsiTheme="majorHAnsi"/>
          <w:noProof/>
          <w:sz w:val="24"/>
          <w:szCs w:val="24"/>
          <w:lang w:val="en-US"/>
        </w:rPr>
        <w:t>(15)</w:t>
      </w:r>
      <w:r w:rsidR="0000523E">
        <w:rPr>
          <w:rFonts w:asciiTheme="majorHAnsi" w:hAnsiTheme="majorHAnsi"/>
          <w:sz w:val="24"/>
          <w:szCs w:val="24"/>
          <w:lang w:val="en-US"/>
        </w:rPr>
        <w:fldChar w:fldCharType="end"/>
      </w:r>
      <w:r w:rsidR="005E5E5C">
        <w:rPr>
          <w:rFonts w:asciiTheme="majorHAnsi" w:hAnsiTheme="majorHAnsi"/>
          <w:sz w:val="24"/>
          <w:szCs w:val="24"/>
          <w:lang w:val="en-US"/>
        </w:rPr>
        <w:t>.</w:t>
      </w:r>
      <w:r w:rsidR="00A85965">
        <w:rPr>
          <w:rFonts w:asciiTheme="majorHAnsi" w:hAnsiTheme="majorHAnsi"/>
          <w:sz w:val="24"/>
          <w:szCs w:val="24"/>
          <w:lang w:val="en-US"/>
        </w:rPr>
        <w:t xml:space="preserve">  </w:t>
      </w:r>
      <w:r w:rsidR="005E5E5C">
        <w:rPr>
          <w:rFonts w:asciiTheme="majorHAnsi" w:hAnsiTheme="majorHAnsi"/>
          <w:sz w:val="24"/>
          <w:szCs w:val="24"/>
          <w:lang w:val="en-US"/>
        </w:rPr>
        <w:t>Th</w:t>
      </w:r>
      <w:r w:rsidR="008A2026">
        <w:rPr>
          <w:rFonts w:asciiTheme="majorHAnsi" w:hAnsiTheme="majorHAnsi"/>
          <w:sz w:val="24"/>
          <w:szCs w:val="24"/>
          <w:lang w:val="en-US"/>
        </w:rPr>
        <w:t>ese</w:t>
      </w:r>
      <w:r w:rsidR="005E5E5C">
        <w:rPr>
          <w:rFonts w:asciiTheme="majorHAnsi" w:hAnsiTheme="majorHAnsi"/>
          <w:sz w:val="24"/>
          <w:szCs w:val="24"/>
          <w:lang w:val="en-US"/>
        </w:rPr>
        <w:t xml:space="preserve"> data </w:t>
      </w:r>
      <w:r w:rsidR="008A2026">
        <w:rPr>
          <w:rFonts w:asciiTheme="majorHAnsi" w:hAnsiTheme="majorHAnsi"/>
          <w:sz w:val="24"/>
          <w:szCs w:val="24"/>
          <w:lang w:val="en-US"/>
        </w:rPr>
        <w:t>are</w:t>
      </w:r>
      <w:r w:rsidR="005E5E5C">
        <w:rPr>
          <w:rFonts w:asciiTheme="majorHAnsi" w:hAnsiTheme="majorHAnsi"/>
          <w:sz w:val="24"/>
          <w:szCs w:val="24"/>
          <w:lang w:val="en-US"/>
        </w:rPr>
        <w:t xml:space="preserve"> consistent with the known </w:t>
      </w:r>
      <w:r w:rsidR="00F97704">
        <w:rPr>
          <w:rFonts w:asciiTheme="majorHAnsi" w:hAnsiTheme="majorHAnsi"/>
          <w:sz w:val="24"/>
          <w:szCs w:val="24"/>
          <w:lang w:val="en-US"/>
        </w:rPr>
        <w:t>mechanism</w:t>
      </w:r>
      <w:r w:rsidR="005E5E5C">
        <w:rPr>
          <w:rFonts w:asciiTheme="majorHAnsi" w:hAnsiTheme="majorHAnsi"/>
          <w:sz w:val="24"/>
          <w:szCs w:val="24"/>
          <w:lang w:val="en-US"/>
        </w:rPr>
        <w:t xml:space="preserve"> of action of flubendazole. </w:t>
      </w:r>
    </w:p>
    <w:p w14:paraId="213556AF" w14:textId="2182B4D0" w:rsidR="00900889" w:rsidRPr="00876AB1" w:rsidRDefault="00900889" w:rsidP="00EB3D34">
      <w:pPr>
        <w:spacing w:after="120" w:line="480" w:lineRule="auto"/>
        <w:ind w:firstLine="720"/>
        <w:rPr>
          <w:rFonts w:asciiTheme="majorHAnsi" w:hAnsiTheme="majorHAnsi"/>
          <w:sz w:val="24"/>
          <w:szCs w:val="24"/>
          <w:lang w:val="en-US"/>
        </w:rPr>
      </w:pPr>
      <w:r w:rsidRPr="00721DE8">
        <w:rPr>
          <w:rFonts w:asciiTheme="majorHAnsi" w:hAnsiTheme="majorHAnsi"/>
          <w:i/>
          <w:sz w:val="24"/>
          <w:szCs w:val="24"/>
          <w:lang w:val="en-US"/>
        </w:rPr>
        <w:t>In vitro DMPK</w:t>
      </w:r>
      <w:r w:rsidRPr="00721DE8">
        <w:rPr>
          <w:rFonts w:asciiTheme="majorHAnsi" w:hAnsiTheme="majorHAnsi"/>
          <w:sz w:val="24"/>
          <w:szCs w:val="24"/>
          <w:lang w:val="en-US"/>
        </w:rPr>
        <w:t xml:space="preserve"> assessment of commercially available flubendazole powder confirmed a </w:t>
      </w:r>
      <w:r w:rsidR="00F97704" w:rsidRPr="00721DE8">
        <w:rPr>
          <w:rFonts w:asciiTheme="majorHAnsi" w:hAnsiTheme="majorHAnsi"/>
          <w:sz w:val="24"/>
          <w:szCs w:val="24"/>
          <w:lang w:val="en-US"/>
        </w:rPr>
        <w:t>favorable</w:t>
      </w:r>
      <w:r w:rsidRPr="00721DE8">
        <w:rPr>
          <w:rFonts w:asciiTheme="majorHAnsi" w:hAnsiTheme="majorHAnsi"/>
          <w:sz w:val="24"/>
          <w:szCs w:val="24"/>
          <w:lang w:val="en-US"/>
        </w:rPr>
        <w:t xml:space="preserve"> logD7.4</w:t>
      </w:r>
      <w:r w:rsidR="005E5E5C" w:rsidRPr="00721DE8">
        <w:rPr>
          <w:rFonts w:asciiTheme="majorHAnsi" w:hAnsiTheme="majorHAnsi"/>
          <w:sz w:val="24"/>
          <w:szCs w:val="24"/>
          <w:lang w:val="en-US"/>
        </w:rPr>
        <w:t xml:space="preserve"> of 2.9</w:t>
      </w:r>
      <w:r w:rsidR="00005D8C" w:rsidRPr="00721DE8">
        <w:rPr>
          <w:rFonts w:asciiTheme="majorHAnsi" w:hAnsiTheme="majorHAnsi"/>
          <w:sz w:val="24"/>
          <w:szCs w:val="24"/>
          <w:lang w:val="en-US"/>
        </w:rPr>
        <w:t xml:space="preserve">.  </w:t>
      </w:r>
      <w:r w:rsidR="005D292D" w:rsidRPr="00721DE8">
        <w:rPr>
          <w:rFonts w:asciiTheme="majorHAnsi" w:hAnsiTheme="majorHAnsi"/>
          <w:sz w:val="24"/>
          <w:szCs w:val="24"/>
          <w:lang w:val="en-US"/>
        </w:rPr>
        <w:t>P</w:t>
      </w:r>
      <w:r w:rsidR="006D196D" w:rsidRPr="00721DE8">
        <w:rPr>
          <w:rFonts w:asciiTheme="majorHAnsi" w:hAnsiTheme="majorHAnsi"/>
          <w:sz w:val="24"/>
          <w:szCs w:val="24"/>
          <w:lang w:val="en-US"/>
        </w:rPr>
        <w:t>lasma p</w:t>
      </w:r>
      <w:r w:rsidRPr="00721DE8">
        <w:rPr>
          <w:rFonts w:asciiTheme="majorHAnsi" w:hAnsiTheme="majorHAnsi"/>
          <w:sz w:val="24"/>
          <w:szCs w:val="24"/>
          <w:lang w:val="en-US"/>
        </w:rPr>
        <w:t>rotein binding</w:t>
      </w:r>
      <w:r w:rsidR="005E5E5C" w:rsidRPr="00721DE8">
        <w:rPr>
          <w:rFonts w:asciiTheme="majorHAnsi" w:hAnsiTheme="majorHAnsi"/>
          <w:sz w:val="24"/>
          <w:szCs w:val="24"/>
          <w:lang w:val="en-US"/>
        </w:rPr>
        <w:t xml:space="preserve"> </w:t>
      </w:r>
      <w:r w:rsidR="005D292D" w:rsidRPr="00721DE8">
        <w:rPr>
          <w:rFonts w:asciiTheme="majorHAnsi" w:hAnsiTheme="majorHAnsi"/>
          <w:sz w:val="24"/>
          <w:szCs w:val="24"/>
          <w:lang w:val="en-US"/>
        </w:rPr>
        <w:t>was 90.6% and there was</w:t>
      </w:r>
      <w:r w:rsidRPr="00721DE8">
        <w:rPr>
          <w:rFonts w:asciiTheme="majorHAnsi" w:hAnsiTheme="majorHAnsi"/>
          <w:sz w:val="24"/>
          <w:szCs w:val="24"/>
          <w:lang w:val="en-US"/>
        </w:rPr>
        <w:t xml:space="preserve"> low metabolic turnover</w:t>
      </w:r>
      <w:r w:rsidR="005E5E5C" w:rsidRPr="00721DE8">
        <w:rPr>
          <w:rFonts w:asciiTheme="majorHAnsi" w:hAnsiTheme="majorHAnsi"/>
          <w:sz w:val="24"/>
          <w:szCs w:val="24"/>
          <w:lang w:val="en-US"/>
        </w:rPr>
        <w:t xml:space="preserve"> (</w:t>
      </w:r>
      <w:r w:rsidR="005E5E5C" w:rsidRPr="002A027C">
        <w:rPr>
          <w:rFonts w:asciiTheme="majorHAnsi" w:hAnsiTheme="majorHAnsi"/>
          <w:sz w:val="24"/>
          <w:szCs w:val="24"/>
          <w:lang w:val="en-US"/>
        </w:rPr>
        <w:t xml:space="preserve">Hu Mic Clint = 44 </w:t>
      </w:r>
      <w:r w:rsidR="004E0F99" w:rsidRPr="002A027C">
        <w:rPr>
          <w:rFonts w:asciiTheme="majorHAnsi" w:hAnsiTheme="majorHAnsi"/>
          <w:sz w:val="24"/>
          <w:szCs w:val="24"/>
          <w:lang w:val="en-US"/>
        </w:rPr>
        <w:t xml:space="preserve">µl/min/mg and </w:t>
      </w:r>
      <w:r w:rsidR="005E5E5C" w:rsidRPr="002A027C">
        <w:rPr>
          <w:rFonts w:asciiTheme="majorHAnsi" w:hAnsiTheme="majorHAnsi"/>
          <w:sz w:val="24"/>
          <w:szCs w:val="24"/>
          <w:lang w:val="en-US"/>
        </w:rPr>
        <w:t xml:space="preserve">Rat </w:t>
      </w:r>
      <w:proofErr w:type="spellStart"/>
      <w:r w:rsidR="005E5E5C" w:rsidRPr="002A027C">
        <w:rPr>
          <w:rFonts w:asciiTheme="majorHAnsi" w:hAnsiTheme="majorHAnsi"/>
          <w:sz w:val="24"/>
          <w:szCs w:val="24"/>
          <w:lang w:val="en-US"/>
        </w:rPr>
        <w:t>Hep</w:t>
      </w:r>
      <w:proofErr w:type="spellEnd"/>
      <w:r w:rsidR="005E5E5C" w:rsidRPr="002A027C">
        <w:rPr>
          <w:rFonts w:asciiTheme="majorHAnsi" w:hAnsiTheme="majorHAnsi"/>
          <w:sz w:val="24"/>
          <w:szCs w:val="24"/>
          <w:lang w:val="en-US"/>
        </w:rPr>
        <w:t xml:space="preserve"> Clint</w:t>
      </w:r>
      <w:r w:rsidR="004E0F99" w:rsidRPr="002A027C">
        <w:rPr>
          <w:rFonts w:asciiTheme="majorHAnsi" w:hAnsiTheme="majorHAnsi"/>
          <w:sz w:val="24"/>
          <w:szCs w:val="24"/>
          <w:lang w:val="en-US"/>
        </w:rPr>
        <w:t xml:space="preserve"> = 39 µl/min/10</w:t>
      </w:r>
      <w:r w:rsidR="004E0F99" w:rsidRPr="002A027C">
        <w:rPr>
          <w:rFonts w:asciiTheme="majorHAnsi" w:hAnsiTheme="majorHAnsi"/>
          <w:sz w:val="24"/>
          <w:szCs w:val="24"/>
          <w:vertAlign w:val="superscript"/>
          <w:lang w:val="en-US"/>
        </w:rPr>
        <w:t>6</w:t>
      </w:r>
      <w:r w:rsidR="004E0F99" w:rsidRPr="002A027C">
        <w:rPr>
          <w:rFonts w:asciiTheme="majorHAnsi" w:hAnsiTheme="majorHAnsi"/>
          <w:sz w:val="24"/>
          <w:szCs w:val="24"/>
          <w:lang w:val="en-US"/>
        </w:rPr>
        <w:t xml:space="preserve"> cells</w:t>
      </w:r>
      <w:r w:rsidR="006D196D" w:rsidRPr="002A027C">
        <w:rPr>
          <w:rFonts w:asciiTheme="majorHAnsi" w:hAnsiTheme="majorHAnsi"/>
          <w:sz w:val="24"/>
          <w:szCs w:val="24"/>
          <w:lang w:val="en-US"/>
        </w:rPr>
        <w:t>)</w:t>
      </w:r>
      <w:r w:rsidRPr="00721DE8">
        <w:rPr>
          <w:rFonts w:asciiTheme="majorHAnsi" w:hAnsiTheme="majorHAnsi"/>
          <w:sz w:val="24"/>
          <w:szCs w:val="24"/>
          <w:lang w:val="en-US"/>
        </w:rPr>
        <w:t xml:space="preserve">.  </w:t>
      </w:r>
      <w:r w:rsidR="00F97704" w:rsidRPr="00721DE8">
        <w:rPr>
          <w:rFonts w:asciiTheme="majorHAnsi" w:hAnsiTheme="majorHAnsi"/>
          <w:sz w:val="24"/>
          <w:szCs w:val="24"/>
          <w:lang w:val="en-US"/>
        </w:rPr>
        <w:t xml:space="preserve">However, aqueous </w:t>
      </w:r>
      <w:r w:rsidRPr="00721DE8">
        <w:rPr>
          <w:rFonts w:asciiTheme="majorHAnsi" w:hAnsiTheme="majorHAnsi"/>
          <w:sz w:val="24"/>
          <w:szCs w:val="24"/>
          <w:lang w:val="en-US"/>
        </w:rPr>
        <w:t xml:space="preserve">solubility was poor </w:t>
      </w:r>
      <w:r w:rsidR="004E0F99" w:rsidRPr="00721DE8">
        <w:rPr>
          <w:rFonts w:asciiTheme="majorHAnsi" w:hAnsiTheme="majorHAnsi"/>
          <w:sz w:val="24"/>
          <w:szCs w:val="24"/>
          <w:lang w:val="en-US"/>
        </w:rPr>
        <w:t>(0.8 µM)</w:t>
      </w:r>
      <w:r w:rsidR="00F65497" w:rsidRPr="00721DE8">
        <w:rPr>
          <w:rFonts w:asciiTheme="majorHAnsi" w:hAnsiTheme="majorHAnsi"/>
          <w:sz w:val="24"/>
          <w:szCs w:val="24"/>
          <w:lang w:val="en-US"/>
        </w:rPr>
        <w:t>, which</w:t>
      </w:r>
      <w:r w:rsidR="004E0F99" w:rsidRPr="00721DE8">
        <w:rPr>
          <w:rFonts w:asciiTheme="majorHAnsi" w:hAnsiTheme="majorHAnsi"/>
          <w:sz w:val="24"/>
          <w:szCs w:val="24"/>
          <w:lang w:val="en-US"/>
        </w:rPr>
        <w:t xml:space="preserve"> </w:t>
      </w:r>
      <w:r w:rsidR="00F97704" w:rsidRPr="00721DE8">
        <w:rPr>
          <w:rFonts w:asciiTheme="majorHAnsi" w:hAnsiTheme="majorHAnsi"/>
          <w:sz w:val="24"/>
          <w:szCs w:val="24"/>
          <w:lang w:val="en-US"/>
        </w:rPr>
        <w:t xml:space="preserve">is characteristic of </w:t>
      </w:r>
      <w:r w:rsidR="00F65497" w:rsidRPr="00721DE8">
        <w:rPr>
          <w:rFonts w:asciiTheme="majorHAnsi" w:hAnsiTheme="majorHAnsi"/>
          <w:sz w:val="24"/>
          <w:szCs w:val="24"/>
          <w:lang w:val="en-US"/>
        </w:rPr>
        <w:t>the benzi</w:t>
      </w:r>
      <w:r w:rsidR="00F97704" w:rsidRPr="00721DE8">
        <w:rPr>
          <w:rFonts w:asciiTheme="majorHAnsi" w:hAnsiTheme="majorHAnsi"/>
          <w:sz w:val="24"/>
          <w:szCs w:val="24"/>
          <w:lang w:val="en-US"/>
        </w:rPr>
        <w:t>midazoles</w:t>
      </w:r>
      <w:r w:rsidRPr="00721DE8">
        <w:rPr>
          <w:rFonts w:asciiTheme="majorHAnsi" w:hAnsiTheme="majorHAnsi"/>
          <w:sz w:val="24"/>
          <w:szCs w:val="24"/>
          <w:lang w:val="en-US"/>
        </w:rPr>
        <w:t xml:space="preserve">. </w:t>
      </w:r>
      <w:r w:rsidR="005D292D" w:rsidRPr="002A027C">
        <w:rPr>
          <w:rFonts w:asciiTheme="majorHAnsi" w:hAnsiTheme="majorHAnsi"/>
          <w:sz w:val="24"/>
          <w:szCs w:val="24"/>
          <w:lang w:val="en-US"/>
        </w:rPr>
        <w:t xml:space="preserve"> </w:t>
      </w:r>
      <w:r w:rsidR="004E0F99" w:rsidRPr="002A027C">
        <w:rPr>
          <w:rFonts w:asciiTheme="majorHAnsi" w:hAnsiTheme="majorHAnsi"/>
          <w:sz w:val="24"/>
          <w:szCs w:val="24"/>
          <w:lang w:val="en-US"/>
        </w:rPr>
        <w:t xml:space="preserve">This </w:t>
      </w:r>
      <w:r w:rsidR="004E0F99" w:rsidRPr="002A027C">
        <w:rPr>
          <w:rFonts w:asciiTheme="majorHAnsi" w:hAnsiTheme="majorHAnsi"/>
          <w:i/>
          <w:sz w:val="24"/>
          <w:szCs w:val="24"/>
          <w:lang w:val="en-US"/>
        </w:rPr>
        <w:t>i</w:t>
      </w:r>
      <w:r w:rsidR="004E0F99" w:rsidRPr="00EF774A">
        <w:rPr>
          <w:rFonts w:asciiTheme="majorHAnsi" w:hAnsiTheme="majorHAnsi"/>
          <w:i/>
          <w:sz w:val="24"/>
          <w:szCs w:val="24"/>
          <w:lang w:val="en-US"/>
        </w:rPr>
        <w:t xml:space="preserve">n vitro </w:t>
      </w:r>
      <w:r w:rsidR="004E0F99">
        <w:rPr>
          <w:rFonts w:asciiTheme="majorHAnsi" w:hAnsiTheme="majorHAnsi"/>
          <w:sz w:val="24"/>
          <w:szCs w:val="24"/>
          <w:lang w:val="en-US"/>
        </w:rPr>
        <w:t xml:space="preserve">DMPK assessment </w:t>
      </w:r>
      <w:r w:rsidR="00F97704">
        <w:rPr>
          <w:rFonts w:asciiTheme="majorHAnsi" w:hAnsiTheme="majorHAnsi"/>
          <w:sz w:val="24"/>
          <w:szCs w:val="24"/>
          <w:lang w:val="en-US"/>
        </w:rPr>
        <w:t>was consistent with</w:t>
      </w:r>
      <w:r w:rsidR="004E0F99">
        <w:rPr>
          <w:rFonts w:asciiTheme="majorHAnsi" w:hAnsiTheme="majorHAnsi"/>
          <w:sz w:val="24"/>
          <w:szCs w:val="24"/>
          <w:lang w:val="en-US"/>
        </w:rPr>
        <w:t xml:space="preserve"> </w:t>
      </w:r>
      <w:r w:rsidR="00F97704">
        <w:rPr>
          <w:rFonts w:asciiTheme="majorHAnsi" w:hAnsiTheme="majorHAnsi"/>
          <w:sz w:val="24"/>
          <w:szCs w:val="24"/>
          <w:lang w:val="en-US"/>
        </w:rPr>
        <w:t xml:space="preserve">subsequent </w:t>
      </w:r>
      <w:r w:rsidR="004E0F99" w:rsidRPr="00EF774A">
        <w:rPr>
          <w:rFonts w:asciiTheme="majorHAnsi" w:hAnsiTheme="majorHAnsi"/>
          <w:i/>
          <w:sz w:val="24"/>
          <w:szCs w:val="24"/>
          <w:lang w:val="en-US"/>
        </w:rPr>
        <w:t>in vivo</w:t>
      </w:r>
      <w:r w:rsidR="00F97704">
        <w:rPr>
          <w:rFonts w:asciiTheme="majorHAnsi" w:hAnsiTheme="majorHAnsi"/>
          <w:i/>
          <w:sz w:val="24"/>
          <w:szCs w:val="24"/>
          <w:lang w:val="en-US"/>
        </w:rPr>
        <w:t xml:space="preserve"> </w:t>
      </w:r>
      <w:r w:rsidR="00F97704">
        <w:rPr>
          <w:rFonts w:asciiTheme="majorHAnsi" w:hAnsiTheme="majorHAnsi"/>
          <w:sz w:val="24"/>
          <w:szCs w:val="24"/>
          <w:lang w:val="en-US"/>
        </w:rPr>
        <w:t>observations (see below)</w:t>
      </w:r>
      <w:r w:rsidR="004E0F99">
        <w:rPr>
          <w:rFonts w:asciiTheme="majorHAnsi" w:hAnsiTheme="majorHAnsi"/>
          <w:sz w:val="24"/>
          <w:szCs w:val="24"/>
          <w:lang w:val="en-US"/>
        </w:rPr>
        <w:t>.</w:t>
      </w:r>
      <w:r w:rsidR="00F97704">
        <w:rPr>
          <w:rFonts w:asciiTheme="majorHAnsi" w:hAnsiTheme="majorHAnsi"/>
          <w:sz w:val="24"/>
          <w:szCs w:val="24"/>
          <w:lang w:val="en-US"/>
        </w:rPr>
        <w:t xml:space="preserve"> </w:t>
      </w:r>
      <w:r w:rsidR="004E0F99">
        <w:rPr>
          <w:rFonts w:asciiTheme="majorHAnsi" w:hAnsiTheme="majorHAnsi"/>
          <w:sz w:val="24"/>
          <w:szCs w:val="24"/>
          <w:lang w:val="en-US"/>
        </w:rPr>
        <w:t xml:space="preserve"> Poor aqueous solubility limits absorption through the gut</w:t>
      </w:r>
      <w:r w:rsidR="00F65497">
        <w:rPr>
          <w:rFonts w:asciiTheme="majorHAnsi" w:hAnsiTheme="majorHAnsi"/>
          <w:sz w:val="24"/>
          <w:szCs w:val="24"/>
          <w:lang w:val="en-US"/>
        </w:rPr>
        <w:t>,</w:t>
      </w:r>
      <w:r w:rsidR="004E0F99">
        <w:rPr>
          <w:rFonts w:asciiTheme="majorHAnsi" w:hAnsiTheme="majorHAnsi"/>
          <w:sz w:val="24"/>
          <w:szCs w:val="24"/>
          <w:lang w:val="en-US"/>
        </w:rPr>
        <w:t xml:space="preserve"> but once in the bloodstream the drug has </w:t>
      </w:r>
      <w:r w:rsidR="00F65497">
        <w:rPr>
          <w:rFonts w:asciiTheme="majorHAnsi" w:hAnsiTheme="majorHAnsi"/>
          <w:sz w:val="24"/>
          <w:szCs w:val="24"/>
          <w:lang w:val="en-US"/>
        </w:rPr>
        <w:t>favorable pharmacokinetic properties</w:t>
      </w:r>
      <w:r w:rsidR="004E0F99">
        <w:rPr>
          <w:rFonts w:asciiTheme="majorHAnsi" w:hAnsiTheme="majorHAnsi"/>
          <w:sz w:val="24"/>
          <w:szCs w:val="24"/>
          <w:lang w:val="en-US"/>
        </w:rPr>
        <w:t xml:space="preserve"> (</w:t>
      </w:r>
      <w:r w:rsidR="00F65497">
        <w:rPr>
          <w:rFonts w:asciiTheme="majorHAnsi" w:hAnsiTheme="majorHAnsi"/>
          <w:sz w:val="24"/>
          <w:szCs w:val="24"/>
          <w:lang w:val="en-US"/>
        </w:rPr>
        <w:t xml:space="preserve">e.g. </w:t>
      </w:r>
      <w:r w:rsidR="004E0F99">
        <w:rPr>
          <w:rFonts w:asciiTheme="majorHAnsi" w:hAnsiTheme="majorHAnsi"/>
          <w:sz w:val="24"/>
          <w:szCs w:val="24"/>
          <w:lang w:val="en-US"/>
        </w:rPr>
        <w:t>ability to pass through cell membranes, low metabolism</w:t>
      </w:r>
      <w:r w:rsidR="008C5FEE">
        <w:rPr>
          <w:rFonts w:asciiTheme="majorHAnsi" w:hAnsiTheme="majorHAnsi"/>
          <w:sz w:val="24"/>
          <w:szCs w:val="24"/>
          <w:lang w:val="en-US"/>
        </w:rPr>
        <w:t xml:space="preserve">, </w:t>
      </w:r>
      <w:r w:rsidR="008A2026">
        <w:rPr>
          <w:rFonts w:asciiTheme="majorHAnsi" w:hAnsiTheme="majorHAnsi"/>
          <w:sz w:val="24"/>
          <w:szCs w:val="24"/>
          <w:lang w:val="en-US"/>
        </w:rPr>
        <w:t xml:space="preserve">and </w:t>
      </w:r>
      <w:r w:rsidR="00F65497">
        <w:rPr>
          <w:rFonts w:asciiTheme="majorHAnsi" w:hAnsiTheme="majorHAnsi"/>
          <w:sz w:val="24"/>
          <w:szCs w:val="24"/>
          <w:lang w:val="en-US"/>
        </w:rPr>
        <w:t>high</w:t>
      </w:r>
      <w:r w:rsidR="008C5FEE">
        <w:rPr>
          <w:rFonts w:asciiTheme="majorHAnsi" w:hAnsiTheme="majorHAnsi"/>
          <w:sz w:val="24"/>
          <w:szCs w:val="24"/>
          <w:lang w:val="en-US"/>
        </w:rPr>
        <w:t xml:space="preserve"> </w:t>
      </w:r>
      <w:r w:rsidR="00F65497">
        <w:rPr>
          <w:rFonts w:asciiTheme="majorHAnsi" w:hAnsiTheme="majorHAnsi"/>
          <w:sz w:val="24"/>
          <w:szCs w:val="24"/>
          <w:lang w:val="en-US"/>
        </w:rPr>
        <w:t>concentrations</w:t>
      </w:r>
      <w:r w:rsidR="008C5FEE">
        <w:rPr>
          <w:rFonts w:asciiTheme="majorHAnsi" w:hAnsiTheme="majorHAnsi"/>
          <w:sz w:val="24"/>
          <w:szCs w:val="24"/>
          <w:lang w:val="en-US"/>
        </w:rPr>
        <w:t xml:space="preserve"> of free</w:t>
      </w:r>
      <w:r w:rsidR="00F65497">
        <w:rPr>
          <w:rFonts w:asciiTheme="majorHAnsi" w:hAnsiTheme="majorHAnsi"/>
          <w:sz w:val="24"/>
          <w:szCs w:val="24"/>
          <w:lang w:val="en-US"/>
        </w:rPr>
        <w:t xml:space="preserve"> </w:t>
      </w:r>
      <w:r w:rsidR="008C5FEE">
        <w:rPr>
          <w:rFonts w:asciiTheme="majorHAnsi" w:hAnsiTheme="majorHAnsi"/>
          <w:sz w:val="24"/>
          <w:szCs w:val="24"/>
          <w:lang w:val="en-US"/>
        </w:rPr>
        <w:t>drug)</w:t>
      </w:r>
      <w:r w:rsidR="004E0F99">
        <w:rPr>
          <w:rFonts w:asciiTheme="majorHAnsi" w:hAnsiTheme="majorHAnsi"/>
          <w:sz w:val="24"/>
          <w:szCs w:val="24"/>
          <w:lang w:val="en-US"/>
        </w:rPr>
        <w:t xml:space="preserve"> </w:t>
      </w:r>
      <w:r w:rsidR="00F65497">
        <w:rPr>
          <w:rFonts w:asciiTheme="majorHAnsi" w:hAnsiTheme="majorHAnsi"/>
          <w:sz w:val="24"/>
          <w:szCs w:val="24"/>
          <w:lang w:val="en-US"/>
        </w:rPr>
        <w:t>that enable it to</w:t>
      </w:r>
      <w:r w:rsidR="004E0F99">
        <w:rPr>
          <w:rFonts w:asciiTheme="majorHAnsi" w:hAnsiTheme="majorHAnsi"/>
          <w:sz w:val="24"/>
          <w:szCs w:val="24"/>
          <w:lang w:val="en-US"/>
        </w:rPr>
        <w:t xml:space="preserve"> reach the </w:t>
      </w:r>
      <w:r w:rsidR="00F65497">
        <w:rPr>
          <w:rFonts w:asciiTheme="majorHAnsi" w:hAnsiTheme="majorHAnsi"/>
          <w:sz w:val="24"/>
          <w:szCs w:val="24"/>
          <w:lang w:val="en-US"/>
        </w:rPr>
        <w:t>effect site</w:t>
      </w:r>
      <w:r w:rsidR="008C5FEE">
        <w:rPr>
          <w:rFonts w:asciiTheme="majorHAnsi" w:hAnsiTheme="majorHAnsi"/>
          <w:sz w:val="24"/>
          <w:szCs w:val="24"/>
          <w:lang w:val="en-US"/>
        </w:rPr>
        <w:t>.</w:t>
      </w:r>
      <w:r w:rsidR="00F65497">
        <w:rPr>
          <w:rFonts w:asciiTheme="majorHAnsi" w:hAnsiTheme="majorHAnsi"/>
          <w:sz w:val="24"/>
          <w:szCs w:val="24"/>
          <w:lang w:val="en-US"/>
        </w:rPr>
        <w:t xml:space="preserve"> </w:t>
      </w:r>
    </w:p>
    <w:p w14:paraId="164B3F82" w14:textId="77777777" w:rsidR="00900889" w:rsidRPr="00876AB1" w:rsidRDefault="00900889" w:rsidP="00EB3D34">
      <w:pPr>
        <w:spacing w:after="120" w:line="480" w:lineRule="auto"/>
        <w:ind w:firstLine="720"/>
        <w:rPr>
          <w:rFonts w:asciiTheme="majorHAnsi" w:hAnsiTheme="majorHAnsi"/>
          <w:sz w:val="24"/>
          <w:szCs w:val="24"/>
          <w:lang w:val="en-US"/>
        </w:rPr>
      </w:pPr>
    </w:p>
    <w:p w14:paraId="38937F41" w14:textId="77777777" w:rsidR="00BD6D67" w:rsidRPr="00EF774A" w:rsidRDefault="008C5FEE" w:rsidP="00EB3D34">
      <w:pPr>
        <w:spacing w:after="0" w:line="480" w:lineRule="auto"/>
        <w:outlineLvl w:val="0"/>
        <w:rPr>
          <w:rFonts w:asciiTheme="majorHAnsi" w:hAnsiTheme="majorHAnsi"/>
          <w:b/>
          <w:i/>
          <w:sz w:val="24"/>
          <w:szCs w:val="24"/>
          <w:lang w:val="en-US"/>
        </w:rPr>
      </w:pPr>
      <w:r w:rsidRPr="00EF774A">
        <w:rPr>
          <w:rFonts w:asciiTheme="majorHAnsi" w:hAnsiTheme="majorHAnsi"/>
          <w:b/>
          <w:i/>
          <w:sz w:val="24"/>
          <w:szCs w:val="24"/>
          <w:lang w:val="en-US"/>
        </w:rPr>
        <w:t>Docking Studies</w:t>
      </w:r>
    </w:p>
    <w:p w14:paraId="4E6BDF3B" w14:textId="24D94B89" w:rsidR="00900889" w:rsidRPr="00876AB1" w:rsidRDefault="00900889" w:rsidP="00EB3D34">
      <w:pPr>
        <w:spacing w:after="0" w:line="480" w:lineRule="auto"/>
        <w:ind w:firstLine="720"/>
        <w:rPr>
          <w:rFonts w:asciiTheme="majorHAnsi" w:hAnsiTheme="majorHAnsi" w:cs="Arial"/>
          <w:sz w:val="24"/>
          <w:szCs w:val="24"/>
          <w:lang w:val="en-US"/>
        </w:rPr>
      </w:pPr>
      <w:r w:rsidRPr="00876AB1">
        <w:rPr>
          <w:rFonts w:asciiTheme="majorHAnsi" w:hAnsiTheme="majorHAnsi" w:cs="Arial"/>
          <w:sz w:val="24"/>
          <w:szCs w:val="24"/>
          <w:lang w:val="en-US"/>
        </w:rPr>
        <w:t>The</w:t>
      </w:r>
      <w:r w:rsidR="004E4912">
        <w:rPr>
          <w:rFonts w:asciiTheme="majorHAnsi" w:hAnsiTheme="majorHAnsi" w:cs="Arial"/>
          <w:sz w:val="24"/>
          <w:szCs w:val="24"/>
          <w:lang w:val="en-US"/>
        </w:rPr>
        <w:t>re were two</w:t>
      </w:r>
      <w:r w:rsidRPr="00876AB1">
        <w:rPr>
          <w:rFonts w:asciiTheme="majorHAnsi" w:hAnsiTheme="majorHAnsi" w:cs="Arial"/>
          <w:sz w:val="24"/>
          <w:szCs w:val="24"/>
          <w:lang w:val="en-US"/>
        </w:rPr>
        <w:t xml:space="preserve"> </w:t>
      </w:r>
      <w:r w:rsidR="004E4912">
        <w:rPr>
          <w:rFonts w:asciiTheme="majorHAnsi" w:hAnsiTheme="majorHAnsi" w:cs="Arial"/>
          <w:sz w:val="24"/>
          <w:szCs w:val="24"/>
          <w:lang w:val="en-US"/>
        </w:rPr>
        <w:t xml:space="preserve">principal </w:t>
      </w:r>
      <w:r w:rsidR="00525CC5">
        <w:rPr>
          <w:rFonts w:asciiTheme="majorHAnsi" w:hAnsiTheme="majorHAnsi" w:cs="Arial"/>
          <w:sz w:val="24"/>
          <w:szCs w:val="24"/>
          <w:lang w:val="en-US"/>
        </w:rPr>
        <w:t xml:space="preserve">non-covalent </w:t>
      </w:r>
      <w:r w:rsidRPr="00876AB1">
        <w:rPr>
          <w:rFonts w:asciiTheme="majorHAnsi" w:hAnsiTheme="majorHAnsi" w:cs="Arial"/>
          <w:sz w:val="24"/>
          <w:szCs w:val="24"/>
          <w:lang w:val="en-US"/>
        </w:rPr>
        <w:t xml:space="preserve">binding interactions </w:t>
      </w:r>
      <w:r w:rsidR="00047488">
        <w:rPr>
          <w:rFonts w:asciiTheme="majorHAnsi" w:hAnsiTheme="majorHAnsi" w:cs="Arial"/>
          <w:sz w:val="24"/>
          <w:szCs w:val="24"/>
          <w:lang w:val="en-US"/>
        </w:rPr>
        <w:t>between flubendazole and</w:t>
      </w:r>
      <w:r w:rsidRPr="00876AB1">
        <w:rPr>
          <w:rFonts w:asciiTheme="majorHAnsi" w:hAnsiTheme="majorHAnsi" w:cs="Arial"/>
          <w:sz w:val="24"/>
          <w:szCs w:val="24"/>
          <w:lang w:val="en-US"/>
        </w:rPr>
        <w:t xml:space="preserve"> </w:t>
      </w:r>
      <w:r w:rsidR="00B14CD8">
        <w:rPr>
          <w:rFonts w:asciiTheme="majorHAnsi" w:hAnsiTheme="majorHAnsi" w:cs="Arial"/>
          <w:sz w:val="24"/>
          <w:szCs w:val="24"/>
          <w:lang w:val="en-US"/>
        </w:rPr>
        <w:t xml:space="preserve">the homology model of </w:t>
      </w:r>
      <w:r w:rsidRPr="00876AB1">
        <w:rPr>
          <w:rFonts w:asciiTheme="majorHAnsi" w:hAnsiTheme="majorHAnsi" w:cs="Arial"/>
          <w:i/>
          <w:sz w:val="24"/>
          <w:szCs w:val="24"/>
          <w:lang w:val="en-US"/>
        </w:rPr>
        <w:t>C. neoformans</w:t>
      </w:r>
      <w:r w:rsidRPr="00876AB1">
        <w:rPr>
          <w:rFonts w:asciiTheme="majorHAnsi" w:hAnsiTheme="majorHAnsi" w:cs="Arial"/>
          <w:sz w:val="24"/>
          <w:szCs w:val="24"/>
          <w:lang w:val="en-US"/>
        </w:rPr>
        <w:t xml:space="preserve"> </w:t>
      </w:r>
      <w:r w:rsidR="00047488">
        <w:rPr>
          <w:rFonts w:ascii="Calibri Light" w:hAnsi="Calibri Light" w:cs="Arial"/>
          <w:sz w:val="24"/>
          <w:szCs w:val="24"/>
          <w:lang w:val="en-US"/>
        </w:rPr>
        <w:t>ß</w:t>
      </w:r>
      <w:r w:rsidR="00047488">
        <w:rPr>
          <w:rFonts w:asciiTheme="majorHAnsi" w:hAnsiTheme="majorHAnsi" w:cs="Arial"/>
          <w:sz w:val="24"/>
          <w:szCs w:val="24"/>
          <w:lang w:val="en-US"/>
        </w:rPr>
        <w:t>-</w:t>
      </w:r>
      <w:r w:rsidRPr="00876AB1">
        <w:rPr>
          <w:rFonts w:asciiTheme="majorHAnsi" w:hAnsiTheme="majorHAnsi" w:cs="Arial"/>
          <w:sz w:val="24"/>
          <w:szCs w:val="24"/>
          <w:lang w:val="en-US"/>
        </w:rPr>
        <w:t>tubulin</w:t>
      </w:r>
      <w:r w:rsidR="004E4912">
        <w:rPr>
          <w:rFonts w:asciiTheme="majorHAnsi" w:hAnsiTheme="majorHAnsi" w:cs="Arial"/>
          <w:sz w:val="24"/>
          <w:szCs w:val="24"/>
          <w:lang w:val="en-US"/>
        </w:rPr>
        <w:t>.  First,</w:t>
      </w:r>
      <w:r w:rsidRPr="00876AB1">
        <w:rPr>
          <w:rFonts w:asciiTheme="majorHAnsi" w:hAnsiTheme="majorHAnsi" w:cs="Arial"/>
          <w:sz w:val="24"/>
          <w:szCs w:val="24"/>
          <w:lang w:val="en-US"/>
        </w:rPr>
        <w:t xml:space="preserve"> the hydroxyl group of Serine 350 act</w:t>
      </w:r>
      <w:r w:rsidR="00BD6D67">
        <w:rPr>
          <w:rFonts w:asciiTheme="majorHAnsi" w:hAnsiTheme="majorHAnsi" w:cs="Arial"/>
          <w:sz w:val="24"/>
          <w:szCs w:val="24"/>
          <w:lang w:val="en-US"/>
        </w:rPr>
        <w:t>s</w:t>
      </w:r>
      <w:r w:rsidRPr="00876AB1">
        <w:rPr>
          <w:rFonts w:asciiTheme="majorHAnsi" w:hAnsiTheme="majorHAnsi" w:cs="Arial"/>
          <w:sz w:val="24"/>
          <w:szCs w:val="24"/>
          <w:lang w:val="en-US"/>
        </w:rPr>
        <w:t xml:space="preserve"> as a hydrogen bond donor </w:t>
      </w:r>
      <w:r w:rsidR="00CA1E64">
        <w:rPr>
          <w:rFonts w:asciiTheme="majorHAnsi" w:hAnsiTheme="majorHAnsi" w:cs="Arial"/>
          <w:sz w:val="24"/>
          <w:szCs w:val="24"/>
          <w:lang w:val="en-US"/>
        </w:rPr>
        <w:t>and binds</w:t>
      </w:r>
      <w:r w:rsidRPr="00876AB1">
        <w:rPr>
          <w:rFonts w:asciiTheme="majorHAnsi" w:hAnsiTheme="majorHAnsi" w:cs="Arial"/>
          <w:sz w:val="24"/>
          <w:szCs w:val="24"/>
          <w:lang w:val="en-US"/>
        </w:rPr>
        <w:t xml:space="preserve"> the ketone oxygen of flubendazole</w:t>
      </w:r>
      <w:r w:rsidR="00CA1E64">
        <w:rPr>
          <w:rFonts w:asciiTheme="majorHAnsi" w:hAnsiTheme="majorHAnsi" w:cs="Arial"/>
          <w:sz w:val="24"/>
          <w:szCs w:val="24"/>
          <w:lang w:val="en-US"/>
        </w:rPr>
        <w:t xml:space="preserve"> (Figure 1A).  Second,</w:t>
      </w:r>
      <w:r w:rsidRPr="00876AB1">
        <w:rPr>
          <w:rFonts w:asciiTheme="majorHAnsi" w:hAnsiTheme="majorHAnsi" w:cs="Arial"/>
          <w:sz w:val="24"/>
          <w:szCs w:val="24"/>
          <w:lang w:val="en-US"/>
        </w:rPr>
        <w:t xml:space="preserve"> </w:t>
      </w:r>
      <w:r w:rsidRPr="00876AB1">
        <w:rPr>
          <w:rFonts w:asciiTheme="majorHAnsi" w:hAnsiTheme="majorHAnsi" w:cs="Arial"/>
          <w:sz w:val="24"/>
          <w:szCs w:val="24"/>
          <w:lang w:val="en-US"/>
        </w:rPr>
        <w:lastRenderedPageBreak/>
        <w:t>asparagine (</w:t>
      </w:r>
      <w:proofErr w:type="spellStart"/>
      <w:r w:rsidRPr="00876AB1">
        <w:rPr>
          <w:rFonts w:asciiTheme="majorHAnsi" w:hAnsiTheme="majorHAnsi" w:cs="Arial"/>
          <w:sz w:val="24"/>
          <w:szCs w:val="24"/>
          <w:lang w:val="en-US"/>
        </w:rPr>
        <w:t>Asn</w:t>
      </w:r>
      <w:proofErr w:type="spellEnd"/>
      <w:r w:rsidRPr="00876AB1">
        <w:rPr>
          <w:rFonts w:asciiTheme="majorHAnsi" w:hAnsiTheme="majorHAnsi" w:cs="Arial"/>
          <w:sz w:val="24"/>
          <w:szCs w:val="24"/>
          <w:lang w:val="en-US"/>
        </w:rPr>
        <w:t xml:space="preserve">) 247 </w:t>
      </w:r>
      <w:r w:rsidR="00074E28" w:rsidRPr="00876AB1">
        <w:rPr>
          <w:rFonts w:asciiTheme="majorHAnsi" w:hAnsiTheme="majorHAnsi" w:cs="Arial"/>
          <w:sz w:val="24"/>
          <w:szCs w:val="24"/>
          <w:lang w:val="en-US"/>
        </w:rPr>
        <w:t>act</w:t>
      </w:r>
      <w:r w:rsidR="00074E28">
        <w:rPr>
          <w:rFonts w:asciiTheme="majorHAnsi" w:hAnsiTheme="majorHAnsi" w:cs="Arial"/>
          <w:sz w:val="24"/>
          <w:szCs w:val="24"/>
          <w:lang w:val="en-US"/>
        </w:rPr>
        <w:t>ed</w:t>
      </w:r>
      <w:r w:rsidR="00074E28" w:rsidRPr="00876AB1">
        <w:rPr>
          <w:rFonts w:asciiTheme="majorHAnsi" w:hAnsiTheme="majorHAnsi" w:cs="Arial"/>
          <w:sz w:val="24"/>
          <w:szCs w:val="24"/>
          <w:lang w:val="en-US"/>
        </w:rPr>
        <w:t xml:space="preserve"> </w:t>
      </w:r>
      <w:r w:rsidRPr="00876AB1">
        <w:rPr>
          <w:rFonts w:asciiTheme="majorHAnsi" w:hAnsiTheme="majorHAnsi" w:cs="Arial"/>
          <w:sz w:val="24"/>
          <w:szCs w:val="24"/>
          <w:lang w:val="en-US"/>
        </w:rPr>
        <w:t>as a hydrogen bond donor via the primary amide with the ketone of the carbamate on flubendazole</w:t>
      </w:r>
      <w:r w:rsidR="00074E28">
        <w:rPr>
          <w:rFonts w:asciiTheme="majorHAnsi" w:hAnsiTheme="majorHAnsi" w:cs="Arial"/>
          <w:sz w:val="24"/>
          <w:szCs w:val="24"/>
          <w:lang w:val="en-US"/>
        </w:rPr>
        <w:t>, but</w:t>
      </w:r>
      <w:r w:rsidR="00C824CA">
        <w:rPr>
          <w:rFonts w:asciiTheme="majorHAnsi" w:hAnsiTheme="majorHAnsi" w:cs="Arial"/>
          <w:sz w:val="24"/>
          <w:szCs w:val="24"/>
          <w:lang w:val="en-US"/>
        </w:rPr>
        <w:t xml:space="preserve"> also act</w:t>
      </w:r>
      <w:r w:rsidR="00074E28">
        <w:rPr>
          <w:rFonts w:asciiTheme="majorHAnsi" w:hAnsiTheme="majorHAnsi" w:cs="Arial"/>
          <w:sz w:val="24"/>
          <w:szCs w:val="24"/>
          <w:lang w:val="en-US"/>
        </w:rPr>
        <w:t>ed</w:t>
      </w:r>
      <w:r w:rsidRPr="00876AB1">
        <w:rPr>
          <w:rFonts w:asciiTheme="majorHAnsi" w:hAnsiTheme="majorHAnsi" w:cs="Arial"/>
          <w:sz w:val="24"/>
          <w:szCs w:val="24"/>
          <w:lang w:val="en-US"/>
        </w:rPr>
        <w:t xml:space="preserve"> as a hydrogen bond acceptor through the primary </w:t>
      </w:r>
      <w:r w:rsidR="00B14CD8">
        <w:rPr>
          <w:rFonts w:asciiTheme="majorHAnsi" w:hAnsiTheme="majorHAnsi" w:cs="Arial"/>
          <w:sz w:val="24"/>
          <w:szCs w:val="24"/>
          <w:lang w:val="en-US"/>
        </w:rPr>
        <w:t xml:space="preserve">carbonyl group </w:t>
      </w:r>
      <w:r w:rsidRPr="00876AB1">
        <w:rPr>
          <w:rFonts w:asciiTheme="majorHAnsi" w:hAnsiTheme="majorHAnsi" w:cs="Arial"/>
          <w:sz w:val="24"/>
          <w:szCs w:val="24"/>
          <w:lang w:val="en-US"/>
        </w:rPr>
        <w:t xml:space="preserve">of Asn247 and the N-H on the benzimidazole core.  There were also several hydrophobic interactions deeper in the binding pocket that </w:t>
      </w:r>
      <w:r w:rsidR="009F2737">
        <w:rPr>
          <w:rFonts w:asciiTheme="majorHAnsi" w:hAnsiTheme="majorHAnsi" w:cs="Arial"/>
          <w:sz w:val="24"/>
          <w:szCs w:val="24"/>
          <w:lang w:val="en-US"/>
        </w:rPr>
        <w:t>involved</w:t>
      </w:r>
      <w:r w:rsidR="009F2737" w:rsidRPr="00876AB1">
        <w:rPr>
          <w:rFonts w:asciiTheme="majorHAnsi" w:hAnsiTheme="majorHAnsi" w:cs="Arial"/>
          <w:sz w:val="24"/>
          <w:szCs w:val="24"/>
          <w:lang w:val="en-US"/>
        </w:rPr>
        <w:t xml:space="preserve"> </w:t>
      </w:r>
      <w:r w:rsidRPr="00876AB1">
        <w:rPr>
          <w:rFonts w:asciiTheme="majorHAnsi" w:hAnsiTheme="majorHAnsi" w:cs="Arial"/>
          <w:sz w:val="24"/>
          <w:szCs w:val="24"/>
          <w:lang w:val="en-US"/>
        </w:rPr>
        <w:t xml:space="preserve">the benzene ring and the fluorine </w:t>
      </w:r>
      <w:r w:rsidR="009F2737">
        <w:rPr>
          <w:rFonts w:asciiTheme="majorHAnsi" w:hAnsiTheme="majorHAnsi" w:cs="Arial"/>
          <w:sz w:val="24"/>
          <w:szCs w:val="24"/>
          <w:lang w:val="en-US"/>
        </w:rPr>
        <w:t>of flubendazole</w:t>
      </w:r>
      <w:r w:rsidRPr="00876AB1">
        <w:rPr>
          <w:rFonts w:asciiTheme="majorHAnsi" w:hAnsiTheme="majorHAnsi" w:cs="Arial"/>
          <w:sz w:val="24"/>
          <w:szCs w:val="24"/>
          <w:lang w:val="en-US"/>
        </w:rPr>
        <w:t>.</w:t>
      </w:r>
    </w:p>
    <w:p w14:paraId="1B5FC236" w14:textId="703419A1" w:rsidR="00900889" w:rsidRPr="00876AB1" w:rsidRDefault="00900889" w:rsidP="00EB3D34">
      <w:pPr>
        <w:spacing w:after="0" w:line="480" w:lineRule="auto"/>
        <w:ind w:firstLine="720"/>
        <w:rPr>
          <w:rFonts w:asciiTheme="majorHAnsi" w:hAnsiTheme="majorHAnsi"/>
          <w:sz w:val="24"/>
          <w:szCs w:val="24"/>
          <w:lang w:val="en-US"/>
        </w:rPr>
      </w:pPr>
      <w:r w:rsidRPr="00876AB1">
        <w:rPr>
          <w:rFonts w:asciiTheme="majorHAnsi" w:hAnsiTheme="majorHAnsi" w:cs="Arial"/>
          <w:sz w:val="24"/>
          <w:szCs w:val="24"/>
          <w:lang w:val="en-US"/>
        </w:rPr>
        <w:t xml:space="preserve">Docking studies of flubendazole and human </w:t>
      </w:r>
      <w:r w:rsidR="00152456">
        <w:rPr>
          <w:rFonts w:ascii="Calibri Light" w:hAnsi="Calibri Light" w:cs="Arial"/>
          <w:sz w:val="24"/>
          <w:szCs w:val="24"/>
          <w:lang w:val="en-US"/>
        </w:rPr>
        <w:t>ß</w:t>
      </w:r>
      <w:r w:rsidR="00152456">
        <w:rPr>
          <w:rFonts w:asciiTheme="majorHAnsi" w:hAnsiTheme="majorHAnsi" w:cs="Arial"/>
          <w:sz w:val="24"/>
          <w:szCs w:val="24"/>
          <w:lang w:val="en-US"/>
        </w:rPr>
        <w:t>-</w:t>
      </w:r>
      <w:r w:rsidRPr="00876AB1">
        <w:rPr>
          <w:rFonts w:asciiTheme="majorHAnsi" w:hAnsiTheme="majorHAnsi" w:cs="Arial"/>
          <w:sz w:val="24"/>
          <w:szCs w:val="24"/>
          <w:lang w:val="en-US"/>
        </w:rPr>
        <w:t>tubulin (Fig 1B) showed that both the N-H of the benzimidazole core and the N-H of the carbamate are hydrogen bond donors (</w:t>
      </w:r>
      <w:r w:rsidR="009F2737">
        <w:rPr>
          <w:rFonts w:asciiTheme="majorHAnsi" w:hAnsiTheme="majorHAnsi" w:cs="Arial"/>
          <w:sz w:val="24"/>
          <w:szCs w:val="24"/>
          <w:lang w:val="en-US"/>
        </w:rPr>
        <w:t>Figure 1B</w:t>
      </w:r>
      <w:r w:rsidRPr="00876AB1">
        <w:rPr>
          <w:rFonts w:asciiTheme="majorHAnsi" w:hAnsiTheme="majorHAnsi" w:cs="Arial"/>
          <w:sz w:val="24"/>
          <w:szCs w:val="24"/>
          <w:lang w:val="en-US"/>
        </w:rPr>
        <w:t xml:space="preserve">) to the primary amide of the side chain of Asn247. </w:t>
      </w:r>
      <w:r w:rsidR="009F2737">
        <w:rPr>
          <w:rFonts w:asciiTheme="majorHAnsi" w:hAnsiTheme="majorHAnsi" w:cs="Arial"/>
          <w:sz w:val="24"/>
          <w:szCs w:val="24"/>
          <w:lang w:val="en-US"/>
        </w:rPr>
        <w:t xml:space="preserve"> As for the </w:t>
      </w:r>
      <w:r w:rsidR="009F2737" w:rsidRPr="00E52EF3">
        <w:rPr>
          <w:rFonts w:asciiTheme="majorHAnsi" w:hAnsiTheme="majorHAnsi" w:cs="Arial"/>
          <w:i/>
          <w:sz w:val="24"/>
          <w:szCs w:val="24"/>
          <w:lang w:val="en-US"/>
        </w:rPr>
        <w:t>C. neoformans</w:t>
      </w:r>
      <w:r w:rsidR="009F2737">
        <w:rPr>
          <w:rFonts w:asciiTheme="majorHAnsi" w:hAnsiTheme="majorHAnsi" w:cs="Arial"/>
          <w:sz w:val="24"/>
          <w:szCs w:val="24"/>
          <w:lang w:val="en-US"/>
        </w:rPr>
        <w:t xml:space="preserve"> interaction, t</w:t>
      </w:r>
      <w:r w:rsidR="009F2737" w:rsidRPr="00876AB1">
        <w:rPr>
          <w:rFonts w:asciiTheme="majorHAnsi" w:hAnsiTheme="majorHAnsi" w:cs="Arial"/>
          <w:sz w:val="24"/>
          <w:szCs w:val="24"/>
          <w:lang w:val="en-US"/>
        </w:rPr>
        <w:t xml:space="preserve">here </w:t>
      </w:r>
      <w:r w:rsidR="00074E28">
        <w:rPr>
          <w:rFonts w:asciiTheme="majorHAnsi" w:hAnsiTheme="majorHAnsi" w:cs="Arial"/>
          <w:sz w:val="24"/>
          <w:szCs w:val="24"/>
          <w:lang w:val="en-US"/>
        </w:rPr>
        <w:t>we</w:t>
      </w:r>
      <w:r w:rsidR="00074E28" w:rsidRPr="00876AB1">
        <w:rPr>
          <w:rFonts w:asciiTheme="majorHAnsi" w:hAnsiTheme="majorHAnsi" w:cs="Arial"/>
          <w:sz w:val="24"/>
          <w:szCs w:val="24"/>
          <w:lang w:val="en-US"/>
        </w:rPr>
        <w:t xml:space="preserve">re </w:t>
      </w:r>
      <w:r w:rsidRPr="00876AB1">
        <w:rPr>
          <w:rFonts w:asciiTheme="majorHAnsi" w:hAnsiTheme="majorHAnsi" w:cs="Arial"/>
          <w:sz w:val="24"/>
          <w:szCs w:val="24"/>
          <w:lang w:val="en-US"/>
        </w:rPr>
        <w:t>hydrophobic interactions present from the</w:t>
      </w:r>
      <w:r w:rsidR="00AE06D3">
        <w:rPr>
          <w:rFonts w:asciiTheme="majorHAnsi" w:hAnsiTheme="majorHAnsi" w:cs="Arial"/>
          <w:sz w:val="24"/>
          <w:szCs w:val="24"/>
          <w:lang w:val="en-US"/>
        </w:rPr>
        <w:t xml:space="preserve"> para-substituted </w:t>
      </w:r>
      <w:r w:rsidRPr="00876AB1">
        <w:rPr>
          <w:rFonts w:asciiTheme="majorHAnsi" w:hAnsiTheme="majorHAnsi" w:cs="Arial"/>
          <w:sz w:val="24"/>
          <w:szCs w:val="24"/>
          <w:lang w:val="en-US"/>
        </w:rPr>
        <w:t xml:space="preserve">benzene </w:t>
      </w:r>
      <w:r w:rsidR="005E5D67">
        <w:rPr>
          <w:rFonts w:asciiTheme="majorHAnsi" w:hAnsiTheme="majorHAnsi" w:cs="Arial"/>
          <w:sz w:val="24"/>
          <w:szCs w:val="24"/>
          <w:lang w:val="en-US"/>
        </w:rPr>
        <w:t xml:space="preserve">and the hydrophobic </w:t>
      </w:r>
      <w:r w:rsidR="009F2737">
        <w:rPr>
          <w:rFonts w:asciiTheme="majorHAnsi" w:hAnsiTheme="majorHAnsi" w:cs="Arial"/>
          <w:sz w:val="24"/>
          <w:szCs w:val="24"/>
          <w:lang w:val="en-US"/>
        </w:rPr>
        <w:t xml:space="preserve">binding </w:t>
      </w:r>
      <w:r w:rsidRPr="00876AB1">
        <w:rPr>
          <w:rFonts w:asciiTheme="majorHAnsi" w:hAnsiTheme="majorHAnsi" w:cs="Arial"/>
          <w:sz w:val="24"/>
          <w:szCs w:val="24"/>
          <w:lang w:val="en-US"/>
        </w:rPr>
        <w:t xml:space="preserve">pocket. </w:t>
      </w:r>
      <w:r w:rsidR="009F2737">
        <w:rPr>
          <w:rFonts w:asciiTheme="majorHAnsi" w:hAnsiTheme="majorHAnsi" w:cs="Arial"/>
          <w:sz w:val="24"/>
          <w:szCs w:val="24"/>
          <w:lang w:val="en-US"/>
        </w:rPr>
        <w:t xml:space="preserve"> T</w:t>
      </w:r>
      <w:r w:rsidRPr="00876AB1">
        <w:rPr>
          <w:rFonts w:asciiTheme="majorHAnsi" w:hAnsiTheme="majorHAnsi" w:cs="Arial"/>
          <w:sz w:val="24"/>
          <w:szCs w:val="24"/>
          <w:lang w:val="en-US"/>
        </w:rPr>
        <w:t xml:space="preserve">here </w:t>
      </w:r>
      <w:r w:rsidR="007367FB">
        <w:rPr>
          <w:rFonts w:asciiTheme="majorHAnsi" w:hAnsiTheme="majorHAnsi" w:cs="Arial"/>
          <w:sz w:val="24"/>
          <w:szCs w:val="24"/>
          <w:lang w:val="en-US"/>
        </w:rPr>
        <w:t>wa</w:t>
      </w:r>
      <w:r w:rsidR="007367FB" w:rsidRPr="00876AB1">
        <w:rPr>
          <w:rFonts w:asciiTheme="majorHAnsi" w:hAnsiTheme="majorHAnsi" w:cs="Arial"/>
          <w:sz w:val="24"/>
          <w:szCs w:val="24"/>
          <w:lang w:val="en-US"/>
        </w:rPr>
        <w:t xml:space="preserve">s </w:t>
      </w:r>
      <w:r w:rsidRPr="00876AB1">
        <w:rPr>
          <w:rFonts w:asciiTheme="majorHAnsi" w:hAnsiTheme="majorHAnsi" w:cs="Arial"/>
          <w:sz w:val="24"/>
          <w:szCs w:val="24"/>
          <w:lang w:val="en-US"/>
        </w:rPr>
        <w:t xml:space="preserve">a lack of a hydrogen bond acceptor role from the ketone oxygen. This is due to the replacement of Ser350 from the </w:t>
      </w:r>
      <w:r w:rsidRPr="00876AB1">
        <w:rPr>
          <w:rFonts w:asciiTheme="majorHAnsi" w:hAnsiTheme="majorHAnsi" w:cs="Arial"/>
          <w:i/>
          <w:sz w:val="24"/>
          <w:szCs w:val="24"/>
          <w:lang w:val="en-US"/>
        </w:rPr>
        <w:t>C. neoformans</w:t>
      </w:r>
      <w:r w:rsidRPr="00876AB1">
        <w:rPr>
          <w:rFonts w:asciiTheme="majorHAnsi" w:hAnsiTheme="majorHAnsi" w:cs="Arial"/>
          <w:sz w:val="24"/>
          <w:szCs w:val="24"/>
          <w:lang w:val="en-US"/>
        </w:rPr>
        <w:t xml:space="preserve"> active site with </w:t>
      </w:r>
      <w:r w:rsidR="00152456">
        <w:rPr>
          <w:rFonts w:asciiTheme="majorHAnsi" w:hAnsiTheme="majorHAnsi" w:cs="Arial"/>
          <w:sz w:val="24"/>
          <w:szCs w:val="24"/>
          <w:lang w:val="en-US"/>
        </w:rPr>
        <w:t>L</w:t>
      </w:r>
      <w:r w:rsidRPr="00876AB1">
        <w:rPr>
          <w:rFonts w:asciiTheme="majorHAnsi" w:hAnsiTheme="majorHAnsi" w:cs="Arial"/>
          <w:sz w:val="24"/>
          <w:szCs w:val="24"/>
          <w:lang w:val="en-US"/>
        </w:rPr>
        <w:t>ys350</w:t>
      </w:r>
      <w:r w:rsidR="009F2737">
        <w:rPr>
          <w:rFonts w:asciiTheme="majorHAnsi" w:hAnsiTheme="majorHAnsi" w:cs="Arial"/>
          <w:sz w:val="24"/>
          <w:szCs w:val="24"/>
          <w:lang w:val="en-US"/>
        </w:rPr>
        <w:t xml:space="preserve"> in humans</w:t>
      </w:r>
      <w:r w:rsidRPr="00876AB1">
        <w:rPr>
          <w:rFonts w:asciiTheme="majorHAnsi" w:hAnsiTheme="majorHAnsi" w:cs="Arial"/>
          <w:sz w:val="24"/>
          <w:szCs w:val="24"/>
          <w:lang w:val="en-US"/>
        </w:rPr>
        <w:t xml:space="preserve">. </w:t>
      </w:r>
    </w:p>
    <w:p w14:paraId="4B3DF436" w14:textId="77777777" w:rsidR="006C1653" w:rsidRDefault="006C1653" w:rsidP="00EB3D34">
      <w:pPr>
        <w:spacing w:after="120" w:line="480" w:lineRule="auto"/>
        <w:rPr>
          <w:rFonts w:asciiTheme="majorHAnsi" w:hAnsiTheme="majorHAnsi"/>
          <w:b/>
          <w:sz w:val="24"/>
          <w:szCs w:val="24"/>
          <w:lang w:val="en-US"/>
        </w:rPr>
      </w:pPr>
    </w:p>
    <w:p w14:paraId="7973B57F" w14:textId="0C2EA16A" w:rsidR="00900889" w:rsidRPr="00876AB1" w:rsidRDefault="00900889" w:rsidP="00EB3D34">
      <w:pPr>
        <w:spacing w:after="120" w:line="480" w:lineRule="auto"/>
        <w:outlineLvl w:val="0"/>
        <w:rPr>
          <w:rFonts w:asciiTheme="majorHAnsi" w:hAnsiTheme="majorHAnsi"/>
          <w:b/>
          <w:i/>
          <w:sz w:val="24"/>
          <w:szCs w:val="24"/>
          <w:lang w:val="en-US"/>
        </w:rPr>
      </w:pPr>
      <w:r w:rsidRPr="00876AB1">
        <w:rPr>
          <w:rFonts w:asciiTheme="majorHAnsi" w:hAnsiTheme="majorHAnsi"/>
          <w:b/>
          <w:i/>
          <w:sz w:val="24"/>
          <w:szCs w:val="24"/>
          <w:lang w:val="en-US"/>
        </w:rPr>
        <w:t>Hollow Fib</w:t>
      </w:r>
      <w:r w:rsidR="00AC7771">
        <w:rPr>
          <w:rFonts w:asciiTheme="majorHAnsi" w:hAnsiTheme="majorHAnsi"/>
          <w:b/>
          <w:i/>
          <w:sz w:val="24"/>
          <w:szCs w:val="24"/>
          <w:lang w:val="en-US"/>
        </w:rPr>
        <w:t>er</w:t>
      </w:r>
      <w:r w:rsidRPr="00876AB1">
        <w:rPr>
          <w:rFonts w:asciiTheme="majorHAnsi" w:hAnsiTheme="majorHAnsi"/>
          <w:b/>
          <w:i/>
          <w:sz w:val="24"/>
          <w:szCs w:val="24"/>
          <w:lang w:val="en-US"/>
        </w:rPr>
        <w:t xml:space="preserve"> Infection Model of Cryptococcal Meningoencephalitis</w:t>
      </w:r>
    </w:p>
    <w:p w14:paraId="6706B6AE" w14:textId="73F31BF9" w:rsidR="00900889" w:rsidRDefault="00900889"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Rapid fungicidal activity was observed in the hollow </w:t>
      </w:r>
      <w:r w:rsidR="00AC7771" w:rsidRPr="00876AB1">
        <w:rPr>
          <w:rFonts w:asciiTheme="majorHAnsi" w:hAnsiTheme="majorHAnsi"/>
          <w:sz w:val="24"/>
          <w:szCs w:val="24"/>
          <w:lang w:val="en-US"/>
        </w:rPr>
        <w:t>fiber</w:t>
      </w:r>
      <w:r w:rsidRPr="00876AB1">
        <w:rPr>
          <w:rFonts w:asciiTheme="majorHAnsi" w:hAnsiTheme="majorHAnsi"/>
          <w:sz w:val="24"/>
          <w:szCs w:val="24"/>
          <w:lang w:val="en-US"/>
        </w:rPr>
        <w:t xml:space="preserve"> infection models.  Controls grew from an initial density of approximately </w:t>
      </w:r>
      <w:r w:rsidR="009F2737">
        <w:rPr>
          <w:rFonts w:asciiTheme="majorHAnsi" w:hAnsiTheme="majorHAnsi"/>
          <w:sz w:val="24"/>
          <w:szCs w:val="24"/>
          <w:lang w:val="en-US"/>
        </w:rPr>
        <w:t>log</w:t>
      </w:r>
      <w:r w:rsidR="009F2737" w:rsidRPr="00C319A1">
        <w:rPr>
          <w:rFonts w:asciiTheme="majorHAnsi" w:hAnsiTheme="majorHAnsi"/>
          <w:sz w:val="24"/>
          <w:szCs w:val="24"/>
          <w:vertAlign w:val="subscript"/>
          <w:lang w:val="en-US"/>
        </w:rPr>
        <w:t>10</w:t>
      </w:r>
      <w:r w:rsidR="009F2737">
        <w:rPr>
          <w:rFonts w:asciiTheme="majorHAnsi" w:hAnsiTheme="majorHAnsi"/>
          <w:sz w:val="24"/>
          <w:szCs w:val="24"/>
          <w:lang w:val="en-US"/>
        </w:rPr>
        <w:t xml:space="preserve">CFU/mL </w:t>
      </w:r>
      <w:r w:rsidRPr="00876AB1">
        <w:rPr>
          <w:rFonts w:asciiTheme="majorHAnsi" w:hAnsiTheme="majorHAnsi"/>
          <w:sz w:val="24"/>
          <w:szCs w:val="24"/>
          <w:lang w:val="en-US"/>
        </w:rPr>
        <w:t xml:space="preserve">6 to </w:t>
      </w:r>
      <w:r w:rsidR="009F2737">
        <w:rPr>
          <w:rFonts w:asciiTheme="majorHAnsi" w:hAnsiTheme="majorHAnsi"/>
          <w:sz w:val="24"/>
          <w:szCs w:val="24"/>
          <w:lang w:val="en-US"/>
        </w:rPr>
        <w:t>log</w:t>
      </w:r>
      <w:r w:rsidR="009F2737" w:rsidRPr="00A92596">
        <w:rPr>
          <w:rFonts w:asciiTheme="majorHAnsi" w:hAnsiTheme="majorHAnsi"/>
          <w:sz w:val="24"/>
          <w:szCs w:val="24"/>
          <w:vertAlign w:val="subscript"/>
          <w:lang w:val="en-US"/>
        </w:rPr>
        <w:t>10</w:t>
      </w:r>
      <w:r w:rsidR="009F2737">
        <w:rPr>
          <w:rFonts w:asciiTheme="majorHAnsi" w:hAnsiTheme="majorHAnsi"/>
          <w:sz w:val="24"/>
          <w:szCs w:val="24"/>
          <w:lang w:val="en-US"/>
        </w:rPr>
        <w:t>CFU/mL</w:t>
      </w:r>
      <w:r w:rsidR="009F2737" w:rsidRPr="00876AB1">
        <w:rPr>
          <w:rFonts w:asciiTheme="majorHAnsi" w:hAnsiTheme="majorHAnsi"/>
          <w:sz w:val="24"/>
          <w:szCs w:val="24"/>
          <w:lang w:val="en-US"/>
        </w:rPr>
        <w:t xml:space="preserve"> </w:t>
      </w:r>
      <w:r w:rsidRPr="00876AB1">
        <w:rPr>
          <w:rFonts w:asciiTheme="majorHAnsi" w:hAnsiTheme="majorHAnsi"/>
          <w:sz w:val="24"/>
          <w:szCs w:val="24"/>
          <w:lang w:val="en-US"/>
        </w:rPr>
        <w:t xml:space="preserve">8-9.  Following the administration of flubendazole there was a progressive decline in the fungal density in the hollow </w:t>
      </w:r>
      <w:proofErr w:type="spellStart"/>
      <w:r w:rsidRPr="00876AB1">
        <w:rPr>
          <w:rFonts w:asciiTheme="majorHAnsi" w:hAnsiTheme="majorHAnsi"/>
          <w:sz w:val="24"/>
          <w:szCs w:val="24"/>
          <w:lang w:val="en-US"/>
        </w:rPr>
        <w:t>fibre</w:t>
      </w:r>
      <w:proofErr w:type="spellEnd"/>
      <w:r w:rsidRPr="00876AB1">
        <w:rPr>
          <w:rFonts w:asciiTheme="majorHAnsi" w:hAnsiTheme="majorHAnsi"/>
          <w:sz w:val="24"/>
          <w:szCs w:val="24"/>
          <w:lang w:val="en-US"/>
        </w:rPr>
        <w:t xml:space="preserve"> in all arms.  There was an exposure</w:t>
      </w:r>
      <w:r w:rsidR="008C365D">
        <w:rPr>
          <w:rFonts w:asciiTheme="majorHAnsi" w:hAnsiTheme="majorHAnsi"/>
          <w:sz w:val="24"/>
          <w:szCs w:val="24"/>
          <w:lang w:val="en-US"/>
        </w:rPr>
        <w:t>-</w:t>
      </w:r>
      <w:r w:rsidR="009F2737" w:rsidRPr="00876AB1">
        <w:rPr>
          <w:rFonts w:asciiTheme="majorHAnsi" w:hAnsiTheme="majorHAnsi"/>
          <w:sz w:val="24"/>
          <w:szCs w:val="24"/>
          <w:lang w:val="en-US"/>
        </w:rPr>
        <w:t>dependent</w:t>
      </w:r>
      <w:r w:rsidRPr="00876AB1">
        <w:rPr>
          <w:rFonts w:asciiTheme="majorHAnsi" w:hAnsiTheme="majorHAnsi"/>
          <w:sz w:val="24"/>
          <w:szCs w:val="24"/>
          <w:lang w:val="en-US"/>
        </w:rPr>
        <w:t xml:space="preserve"> decline in fungal burden. </w:t>
      </w:r>
    </w:p>
    <w:p w14:paraId="531961C2" w14:textId="77777777" w:rsidR="00525CC5" w:rsidRPr="00876AB1" w:rsidRDefault="00525CC5" w:rsidP="00EB3D34">
      <w:pPr>
        <w:spacing w:after="120" w:line="480" w:lineRule="auto"/>
        <w:ind w:firstLine="720"/>
        <w:rPr>
          <w:rFonts w:asciiTheme="majorHAnsi" w:hAnsiTheme="majorHAnsi"/>
          <w:sz w:val="24"/>
          <w:szCs w:val="24"/>
          <w:lang w:val="en-US"/>
        </w:rPr>
      </w:pPr>
    </w:p>
    <w:p w14:paraId="653F9E26" w14:textId="77F6980C" w:rsidR="00900889" w:rsidRPr="00EF774A" w:rsidRDefault="00900889" w:rsidP="00EB3D34">
      <w:pPr>
        <w:spacing w:after="120" w:line="480" w:lineRule="auto"/>
        <w:outlineLvl w:val="0"/>
        <w:rPr>
          <w:rFonts w:asciiTheme="majorHAnsi" w:hAnsiTheme="majorHAnsi"/>
          <w:b/>
          <w:i/>
          <w:sz w:val="24"/>
          <w:szCs w:val="24"/>
          <w:lang w:val="en-US"/>
        </w:rPr>
      </w:pPr>
      <w:r w:rsidRPr="00EF774A">
        <w:rPr>
          <w:rFonts w:asciiTheme="majorHAnsi" w:hAnsiTheme="majorHAnsi"/>
          <w:b/>
          <w:i/>
          <w:sz w:val="24"/>
          <w:szCs w:val="24"/>
          <w:lang w:val="en-US"/>
        </w:rPr>
        <w:t>Preliminary Studies to Demonstrate In vivo Efficacy</w:t>
      </w:r>
      <w:r w:rsidR="004C79FE">
        <w:rPr>
          <w:rFonts w:asciiTheme="majorHAnsi" w:hAnsiTheme="majorHAnsi"/>
          <w:b/>
          <w:i/>
          <w:sz w:val="24"/>
          <w:szCs w:val="24"/>
          <w:lang w:val="en-US"/>
        </w:rPr>
        <w:t xml:space="preserve"> of Flubendazole</w:t>
      </w:r>
    </w:p>
    <w:p w14:paraId="60B8A277" w14:textId="29DF178B" w:rsidR="004C79FE" w:rsidRDefault="00900889"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There was no </w:t>
      </w:r>
      <w:r w:rsidR="009F2737">
        <w:rPr>
          <w:rFonts w:asciiTheme="majorHAnsi" w:hAnsiTheme="majorHAnsi"/>
          <w:sz w:val="24"/>
          <w:szCs w:val="24"/>
          <w:lang w:val="en-US"/>
        </w:rPr>
        <w:t xml:space="preserve">demonstrable antifungal </w:t>
      </w:r>
      <w:r w:rsidRPr="00876AB1">
        <w:rPr>
          <w:rFonts w:asciiTheme="majorHAnsi" w:hAnsiTheme="majorHAnsi"/>
          <w:sz w:val="24"/>
          <w:szCs w:val="24"/>
          <w:lang w:val="en-US"/>
        </w:rPr>
        <w:t xml:space="preserve">effect of orally </w:t>
      </w:r>
      <w:r w:rsidR="009F2737" w:rsidRPr="00876AB1">
        <w:rPr>
          <w:rFonts w:asciiTheme="majorHAnsi" w:hAnsiTheme="majorHAnsi"/>
          <w:sz w:val="24"/>
          <w:szCs w:val="24"/>
          <w:lang w:val="en-US"/>
        </w:rPr>
        <w:t>administered</w:t>
      </w:r>
      <w:r w:rsidRPr="00876AB1">
        <w:rPr>
          <w:rFonts w:asciiTheme="majorHAnsi" w:hAnsiTheme="majorHAnsi"/>
          <w:sz w:val="24"/>
          <w:szCs w:val="24"/>
          <w:lang w:val="en-US"/>
        </w:rPr>
        <w:t xml:space="preserve"> flubendazole</w:t>
      </w:r>
      <w:r w:rsidR="00847AA5">
        <w:rPr>
          <w:rFonts w:asciiTheme="majorHAnsi" w:hAnsiTheme="majorHAnsi"/>
          <w:sz w:val="24"/>
          <w:szCs w:val="24"/>
          <w:lang w:val="en-US"/>
        </w:rPr>
        <w:t xml:space="preserve"> </w:t>
      </w:r>
      <w:r w:rsidR="00F44615">
        <w:rPr>
          <w:rFonts w:asciiTheme="majorHAnsi" w:hAnsiTheme="majorHAnsi"/>
          <w:sz w:val="24"/>
          <w:szCs w:val="24"/>
          <w:lang w:val="en-US"/>
        </w:rPr>
        <w:t>as pure compound</w:t>
      </w:r>
      <w:r w:rsidRPr="00876AB1">
        <w:rPr>
          <w:rFonts w:asciiTheme="majorHAnsi" w:hAnsiTheme="majorHAnsi"/>
          <w:sz w:val="24"/>
          <w:szCs w:val="24"/>
          <w:lang w:val="en-US"/>
        </w:rPr>
        <w:t xml:space="preserve"> when formulated with sterile distilled water, 0.05% </w:t>
      </w:r>
      <w:proofErr w:type="spellStart"/>
      <w:r w:rsidR="005E5D67">
        <w:rPr>
          <w:rFonts w:asciiTheme="majorHAnsi" w:hAnsiTheme="majorHAnsi"/>
          <w:sz w:val="24"/>
          <w:szCs w:val="24"/>
          <w:lang w:val="en-US"/>
        </w:rPr>
        <w:t>polysorbate</w:t>
      </w:r>
      <w:proofErr w:type="spellEnd"/>
      <w:r w:rsidR="005E5D67">
        <w:rPr>
          <w:rFonts w:asciiTheme="majorHAnsi" w:hAnsiTheme="majorHAnsi"/>
          <w:sz w:val="24"/>
          <w:szCs w:val="24"/>
          <w:lang w:val="en-US"/>
        </w:rPr>
        <w:t xml:space="preserve"> 80</w:t>
      </w:r>
      <w:r w:rsidRPr="00876AB1">
        <w:rPr>
          <w:rFonts w:asciiTheme="majorHAnsi" w:hAnsiTheme="majorHAnsi"/>
          <w:sz w:val="24"/>
          <w:szCs w:val="24"/>
          <w:lang w:val="en-US"/>
        </w:rPr>
        <w:t xml:space="preserve"> in PBS</w:t>
      </w:r>
      <w:r w:rsidR="009F2737">
        <w:rPr>
          <w:rFonts w:asciiTheme="majorHAnsi" w:hAnsiTheme="majorHAnsi"/>
          <w:sz w:val="24"/>
          <w:szCs w:val="24"/>
          <w:lang w:val="en-US"/>
        </w:rPr>
        <w:t>,</w:t>
      </w:r>
      <w:r w:rsidRPr="00876AB1">
        <w:rPr>
          <w:rFonts w:asciiTheme="majorHAnsi" w:hAnsiTheme="majorHAnsi"/>
          <w:sz w:val="24"/>
          <w:szCs w:val="24"/>
          <w:lang w:val="en-US"/>
        </w:rPr>
        <w:t xml:space="preserve"> 5% DMSO, </w:t>
      </w:r>
      <w:r w:rsidRPr="00876AB1">
        <w:rPr>
          <w:rFonts w:asciiTheme="majorHAnsi" w:hAnsiTheme="majorHAnsi"/>
          <w:sz w:val="24"/>
          <w:szCs w:val="24"/>
          <w:lang w:val="en-US"/>
        </w:rPr>
        <w:lastRenderedPageBreak/>
        <w:t>10% PEG400</w:t>
      </w:r>
      <w:r w:rsidR="009F2737">
        <w:rPr>
          <w:rFonts w:asciiTheme="majorHAnsi" w:hAnsiTheme="majorHAnsi"/>
          <w:sz w:val="24"/>
          <w:szCs w:val="24"/>
          <w:lang w:val="en-US"/>
        </w:rPr>
        <w:t xml:space="preserve"> or </w:t>
      </w:r>
      <w:r w:rsidRPr="00876AB1">
        <w:rPr>
          <w:rFonts w:asciiTheme="majorHAnsi" w:hAnsiTheme="majorHAnsi"/>
          <w:sz w:val="24"/>
          <w:szCs w:val="24"/>
          <w:lang w:val="en-US"/>
        </w:rPr>
        <w:t>85% hydroxyl</w:t>
      </w:r>
      <w:r w:rsidR="009F2737">
        <w:rPr>
          <w:rFonts w:asciiTheme="majorHAnsi" w:hAnsiTheme="majorHAnsi"/>
          <w:sz w:val="24"/>
          <w:szCs w:val="24"/>
          <w:lang w:val="en-US"/>
        </w:rPr>
        <w:t>-</w:t>
      </w:r>
      <w:r w:rsidRPr="00876AB1">
        <w:rPr>
          <w:rFonts w:asciiTheme="majorHAnsi" w:hAnsiTheme="majorHAnsi"/>
          <w:sz w:val="24"/>
          <w:szCs w:val="24"/>
          <w:lang w:val="en-US"/>
        </w:rPr>
        <w:t>propyl</w:t>
      </w:r>
      <w:r w:rsidR="009F2737">
        <w:rPr>
          <w:rFonts w:asciiTheme="majorHAnsi" w:hAnsiTheme="majorHAnsi"/>
          <w:sz w:val="24"/>
          <w:szCs w:val="24"/>
          <w:lang w:val="en-US"/>
        </w:rPr>
        <w:t>-</w:t>
      </w:r>
      <w:r w:rsidR="009F2737">
        <w:rPr>
          <w:rFonts w:ascii="Calibri Light" w:hAnsi="Calibri Light"/>
          <w:sz w:val="24"/>
          <w:szCs w:val="24"/>
          <w:lang w:val="en-US"/>
        </w:rPr>
        <w:t>ß</w:t>
      </w:r>
      <w:r w:rsidR="009F2737">
        <w:rPr>
          <w:rFonts w:asciiTheme="majorHAnsi" w:hAnsiTheme="majorHAnsi"/>
          <w:sz w:val="24"/>
          <w:szCs w:val="24"/>
          <w:lang w:val="en-US"/>
        </w:rPr>
        <w:t>-</w:t>
      </w:r>
      <w:proofErr w:type="spellStart"/>
      <w:r w:rsidRPr="00876AB1">
        <w:rPr>
          <w:rFonts w:asciiTheme="majorHAnsi" w:hAnsiTheme="majorHAnsi"/>
          <w:sz w:val="24"/>
          <w:szCs w:val="24"/>
          <w:lang w:val="en-US"/>
        </w:rPr>
        <w:t>cyclodextrin</w:t>
      </w:r>
      <w:proofErr w:type="spellEnd"/>
      <w:r w:rsidR="00ED0513">
        <w:rPr>
          <w:rFonts w:asciiTheme="majorHAnsi" w:hAnsiTheme="majorHAnsi"/>
          <w:sz w:val="24"/>
          <w:szCs w:val="24"/>
          <w:lang w:val="en-US"/>
        </w:rPr>
        <w:t xml:space="preserve"> (</w:t>
      </w:r>
      <w:r w:rsidR="008C365D">
        <w:rPr>
          <w:rFonts w:asciiTheme="majorHAnsi" w:hAnsiTheme="majorHAnsi"/>
          <w:sz w:val="24"/>
          <w:szCs w:val="24"/>
          <w:lang w:val="en-US"/>
        </w:rPr>
        <w:t>data not shown</w:t>
      </w:r>
      <w:r w:rsidR="00ED0513">
        <w:rPr>
          <w:rFonts w:asciiTheme="majorHAnsi" w:hAnsiTheme="majorHAnsi"/>
          <w:sz w:val="24"/>
          <w:szCs w:val="24"/>
          <w:lang w:val="en-US"/>
        </w:rPr>
        <w:t>)</w:t>
      </w:r>
      <w:r w:rsidRPr="00876AB1">
        <w:rPr>
          <w:rFonts w:asciiTheme="majorHAnsi" w:hAnsiTheme="majorHAnsi"/>
          <w:sz w:val="24"/>
          <w:szCs w:val="24"/>
          <w:lang w:val="en-US"/>
        </w:rPr>
        <w:t xml:space="preserve">.  </w:t>
      </w:r>
      <w:r w:rsidR="00F44615">
        <w:rPr>
          <w:rFonts w:asciiTheme="majorHAnsi" w:hAnsiTheme="majorHAnsi"/>
          <w:sz w:val="24"/>
          <w:szCs w:val="24"/>
          <w:lang w:val="en-US"/>
        </w:rPr>
        <w:t>A</w:t>
      </w:r>
      <w:r w:rsidR="004E1625">
        <w:rPr>
          <w:rFonts w:asciiTheme="majorHAnsi" w:hAnsiTheme="majorHAnsi"/>
          <w:sz w:val="24"/>
          <w:szCs w:val="24"/>
          <w:lang w:val="en-US"/>
        </w:rPr>
        <w:t xml:space="preserve">ntifungal </w:t>
      </w:r>
      <w:r w:rsidR="00F44615">
        <w:rPr>
          <w:rFonts w:asciiTheme="majorHAnsi" w:hAnsiTheme="majorHAnsi"/>
          <w:sz w:val="24"/>
          <w:szCs w:val="24"/>
          <w:lang w:val="en-US"/>
        </w:rPr>
        <w:t>activity could only be</w:t>
      </w:r>
      <w:r w:rsidR="00F44615" w:rsidRPr="00876AB1">
        <w:rPr>
          <w:rFonts w:asciiTheme="majorHAnsi" w:hAnsiTheme="majorHAnsi"/>
          <w:sz w:val="24"/>
          <w:szCs w:val="24"/>
          <w:lang w:val="en-US"/>
        </w:rPr>
        <w:t xml:space="preserve"> </w:t>
      </w:r>
      <w:r w:rsidRPr="00876AB1">
        <w:rPr>
          <w:rFonts w:asciiTheme="majorHAnsi" w:hAnsiTheme="majorHAnsi"/>
          <w:sz w:val="24"/>
          <w:szCs w:val="24"/>
          <w:lang w:val="en-US"/>
        </w:rPr>
        <w:t xml:space="preserve">established </w:t>
      </w:r>
      <w:r w:rsidR="00F44615">
        <w:rPr>
          <w:rFonts w:asciiTheme="majorHAnsi" w:hAnsiTheme="majorHAnsi"/>
          <w:sz w:val="24"/>
          <w:szCs w:val="24"/>
          <w:lang w:val="en-US"/>
        </w:rPr>
        <w:t>when pure</w:t>
      </w:r>
      <w:r w:rsidR="00F44615" w:rsidRPr="00876AB1">
        <w:rPr>
          <w:rFonts w:asciiTheme="majorHAnsi" w:hAnsiTheme="majorHAnsi"/>
          <w:sz w:val="24"/>
          <w:szCs w:val="24"/>
          <w:lang w:val="en-US"/>
        </w:rPr>
        <w:t xml:space="preserve"> </w:t>
      </w:r>
      <w:r w:rsidRPr="00876AB1">
        <w:rPr>
          <w:rFonts w:asciiTheme="majorHAnsi" w:hAnsiTheme="majorHAnsi"/>
          <w:sz w:val="24"/>
          <w:szCs w:val="24"/>
          <w:lang w:val="en-US"/>
        </w:rPr>
        <w:t xml:space="preserve">flubendazole </w:t>
      </w:r>
      <w:r w:rsidR="007F3F08">
        <w:rPr>
          <w:rFonts w:asciiTheme="majorHAnsi" w:hAnsiTheme="majorHAnsi"/>
          <w:sz w:val="24"/>
          <w:szCs w:val="24"/>
          <w:lang w:val="en-US"/>
        </w:rPr>
        <w:t>formulated with</w:t>
      </w:r>
      <w:r w:rsidR="007F3F08" w:rsidRPr="00876AB1">
        <w:rPr>
          <w:rFonts w:asciiTheme="majorHAnsi" w:hAnsiTheme="majorHAnsi"/>
          <w:sz w:val="24"/>
          <w:szCs w:val="24"/>
          <w:lang w:val="en-US"/>
        </w:rPr>
        <w:t xml:space="preserve"> </w:t>
      </w:r>
      <w:proofErr w:type="spellStart"/>
      <w:r w:rsidRPr="00876AB1">
        <w:rPr>
          <w:rFonts w:asciiTheme="majorHAnsi" w:hAnsiTheme="majorHAnsi"/>
          <w:sz w:val="24"/>
          <w:szCs w:val="24"/>
          <w:lang w:val="en-US"/>
        </w:rPr>
        <w:t>polysorbate</w:t>
      </w:r>
      <w:proofErr w:type="spellEnd"/>
      <w:r w:rsidRPr="00876AB1">
        <w:rPr>
          <w:rFonts w:asciiTheme="majorHAnsi" w:hAnsiTheme="majorHAnsi"/>
          <w:sz w:val="24"/>
          <w:szCs w:val="24"/>
          <w:lang w:val="en-US"/>
        </w:rPr>
        <w:t xml:space="preserve"> 80 (Tween 80)</w:t>
      </w:r>
      <w:r w:rsidR="00F44615">
        <w:rPr>
          <w:rFonts w:asciiTheme="majorHAnsi" w:hAnsiTheme="majorHAnsi"/>
          <w:sz w:val="24"/>
          <w:szCs w:val="24"/>
          <w:lang w:val="en-US"/>
        </w:rPr>
        <w:t xml:space="preserve"> and</w:t>
      </w:r>
      <w:r w:rsidRPr="00876AB1">
        <w:rPr>
          <w:rFonts w:asciiTheme="majorHAnsi" w:hAnsiTheme="majorHAnsi"/>
          <w:sz w:val="24"/>
          <w:szCs w:val="24"/>
          <w:lang w:val="en-US"/>
        </w:rPr>
        <w:t xml:space="preserve"> injected </w:t>
      </w:r>
      <w:proofErr w:type="spellStart"/>
      <w:r w:rsidRPr="00876AB1">
        <w:rPr>
          <w:rFonts w:asciiTheme="majorHAnsi" w:hAnsiTheme="majorHAnsi"/>
          <w:sz w:val="24"/>
          <w:szCs w:val="24"/>
          <w:lang w:val="en-US"/>
        </w:rPr>
        <w:t>s.c.</w:t>
      </w:r>
      <w:proofErr w:type="spellEnd"/>
      <w:r w:rsidRPr="00876AB1">
        <w:rPr>
          <w:rFonts w:asciiTheme="majorHAnsi" w:hAnsiTheme="majorHAnsi"/>
          <w:sz w:val="24"/>
          <w:szCs w:val="24"/>
          <w:lang w:val="en-US"/>
        </w:rPr>
        <w:t xml:space="preserve"> </w:t>
      </w:r>
      <w:r w:rsidR="00F44615">
        <w:rPr>
          <w:rFonts w:asciiTheme="majorHAnsi" w:hAnsiTheme="majorHAnsi"/>
          <w:sz w:val="24"/>
          <w:szCs w:val="24"/>
          <w:lang w:val="en-US"/>
        </w:rPr>
        <w:t xml:space="preserve">to form a depot. </w:t>
      </w:r>
      <w:r w:rsidRPr="00876AB1">
        <w:rPr>
          <w:rFonts w:asciiTheme="majorHAnsi" w:hAnsiTheme="majorHAnsi"/>
          <w:sz w:val="24"/>
          <w:szCs w:val="24"/>
          <w:lang w:val="en-US"/>
        </w:rPr>
        <w:t xml:space="preserve"> </w:t>
      </w:r>
      <w:r w:rsidR="00F44615">
        <w:rPr>
          <w:rFonts w:asciiTheme="majorHAnsi" w:hAnsiTheme="majorHAnsi"/>
          <w:sz w:val="24"/>
          <w:szCs w:val="24"/>
          <w:lang w:val="en-US"/>
        </w:rPr>
        <w:t xml:space="preserve">Presumably, formulation with </w:t>
      </w:r>
      <w:proofErr w:type="spellStart"/>
      <w:r w:rsidR="00F44615" w:rsidRPr="00876AB1">
        <w:rPr>
          <w:rFonts w:asciiTheme="majorHAnsi" w:hAnsiTheme="majorHAnsi"/>
          <w:sz w:val="24"/>
          <w:szCs w:val="24"/>
          <w:lang w:val="en-US"/>
        </w:rPr>
        <w:t>polysorbate</w:t>
      </w:r>
      <w:proofErr w:type="spellEnd"/>
      <w:r w:rsidR="00F44615" w:rsidRPr="00876AB1">
        <w:rPr>
          <w:rFonts w:asciiTheme="majorHAnsi" w:hAnsiTheme="majorHAnsi"/>
          <w:sz w:val="24"/>
          <w:szCs w:val="24"/>
          <w:lang w:val="en-US"/>
        </w:rPr>
        <w:t xml:space="preserve"> 80</w:t>
      </w:r>
      <w:r w:rsidR="00F44615">
        <w:rPr>
          <w:rFonts w:asciiTheme="majorHAnsi" w:hAnsiTheme="majorHAnsi"/>
          <w:sz w:val="24"/>
          <w:szCs w:val="24"/>
          <w:lang w:val="en-US"/>
        </w:rPr>
        <w:t xml:space="preserve"> solubilized flubendazole to an extent that enabled it to be</w:t>
      </w:r>
      <w:r w:rsidR="005559EE">
        <w:rPr>
          <w:rFonts w:asciiTheme="majorHAnsi" w:hAnsiTheme="majorHAnsi"/>
          <w:sz w:val="24"/>
          <w:szCs w:val="24"/>
          <w:lang w:val="en-US"/>
        </w:rPr>
        <w:t>come</w:t>
      </w:r>
      <w:r w:rsidR="00B34D08">
        <w:rPr>
          <w:rFonts w:asciiTheme="majorHAnsi" w:hAnsiTheme="majorHAnsi"/>
          <w:sz w:val="24"/>
          <w:szCs w:val="24"/>
          <w:lang w:val="en-US"/>
        </w:rPr>
        <w:t xml:space="preserve"> systemically</w:t>
      </w:r>
      <w:r w:rsidR="00F44615">
        <w:rPr>
          <w:rFonts w:asciiTheme="majorHAnsi" w:hAnsiTheme="majorHAnsi"/>
          <w:sz w:val="24"/>
          <w:szCs w:val="24"/>
          <w:lang w:val="en-US"/>
        </w:rPr>
        <w:t xml:space="preserve"> </w:t>
      </w:r>
      <w:r w:rsidR="005A7889">
        <w:rPr>
          <w:rFonts w:asciiTheme="majorHAnsi" w:hAnsiTheme="majorHAnsi"/>
          <w:sz w:val="24"/>
          <w:szCs w:val="24"/>
          <w:lang w:val="en-US"/>
        </w:rPr>
        <w:t>bioavailable</w:t>
      </w:r>
      <w:r w:rsidR="00F44615">
        <w:rPr>
          <w:rFonts w:asciiTheme="majorHAnsi" w:hAnsiTheme="majorHAnsi"/>
          <w:sz w:val="24"/>
          <w:szCs w:val="24"/>
          <w:lang w:val="en-US"/>
        </w:rPr>
        <w:t xml:space="preserve">.  </w:t>
      </w:r>
      <w:r w:rsidR="00533C4A">
        <w:rPr>
          <w:rFonts w:asciiTheme="majorHAnsi" w:hAnsiTheme="majorHAnsi"/>
          <w:sz w:val="24"/>
          <w:szCs w:val="24"/>
          <w:lang w:val="en-US"/>
        </w:rPr>
        <w:t xml:space="preserve">However, this was only observed when flubendazole was administered </w:t>
      </w:r>
      <w:proofErr w:type="spellStart"/>
      <w:r w:rsidR="00533C4A">
        <w:rPr>
          <w:rFonts w:asciiTheme="majorHAnsi" w:hAnsiTheme="majorHAnsi"/>
          <w:sz w:val="24"/>
          <w:szCs w:val="24"/>
          <w:lang w:val="en-US"/>
        </w:rPr>
        <w:t>s.c.</w:t>
      </w:r>
      <w:proofErr w:type="spellEnd"/>
      <w:r w:rsidR="00533C4A">
        <w:rPr>
          <w:rFonts w:asciiTheme="majorHAnsi" w:hAnsiTheme="majorHAnsi"/>
          <w:sz w:val="24"/>
          <w:szCs w:val="24"/>
          <w:lang w:val="en-US"/>
        </w:rPr>
        <w:t xml:space="preserve">  </w:t>
      </w:r>
      <w:r w:rsidRPr="00876AB1">
        <w:rPr>
          <w:rFonts w:asciiTheme="majorHAnsi" w:hAnsiTheme="majorHAnsi"/>
          <w:sz w:val="24"/>
          <w:szCs w:val="24"/>
          <w:lang w:val="en-US"/>
        </w:rPr>
        <w:t xml:space="preserve">This </w:t>
      </w:r>
      <w:r w:rsidR="005A7889">
        <w:rPr>
          <w:rFonts w:asciiTheme="majorHAnsi" w:hAnsiTheme="majorHAnsi"/>
          <w:sz w:val="24"/>
          <w:szCs w:val="24"/>
          <w:lang w:val="en-US"/>
        </w:rPr>
        <w:t xml:space="preserve">parenteral </w:t>
      </w:r>
      <w:r w:rsidRPr="00876AB1">
        <w:rPr>
          <w:rFonts w:asciiTheme="majorHAnsi" w:hAnsiTheme="majorHAnsi"/>
          <w:sz w:val="24"/>
          <w:szCs w:val="24"/>
          <w:lang w:val="en-US"/>
        </w:rPr>
        <w:t xml:space="preserve">regimen resulted in a modest reduction </w:t>
      </w:r>
      <w:r w:rsidR="009F2737">
        <w:rPr>
          <w:rFonts w:asciiTheme="majorHAnsi" w:hAnsiTheme="majorHAnsi"/>
          <w:sz w:val="24"/>
          <w:szCs w:val="24"/>
          <w:lang w:val="en-US"/>
        </w:rPr>
        <w:t xml:space="preserve">in fungal burden </w:t>
      </w:r>
      <w:r w:rsidRPr="00876AB1">
        <w:rPr>
          <w:rFonts w:asciiTheme="majorHAnsi" w:hAnsiTheme="majorHAnsi"/>
          <w:sz w:val="24"/>
          <w:szCs w:val="24"/>
          <w:lang w:val="en-US"/>
        </w:rPr>
        <w:t>of 1-2 log</w:t>
      </w:r>
      <w:r w:rsidRPr="00876AB1">
        <w:rPr>
          <w:rFonts w:asciiTheme="majorHAnsi" w:hAnsiTheme="majorHAnsi"/>
          <w:sz w:val="24"/>
          <w:szCs w:val="24"/>
          <w:vertAlign w:val="subscript"/>
          <w:lang w:val="en-US"/>
        </w:rPr>
        <w:t>10</w:t>
      </w:r>
      <w:r w:rsidRPr="00876AB1">
        <w:rPr>
          <w:rFonts w:asciiTheme="majorHAnsi" w:hAnsiTheme="majorHAnsi"/>
          <w:sz w:val="24"/>
          <w:szCs w:val="24"/>
          <w:lang w:val="en-US"/>
        </w:rPr>
        <w:t xml:space="preserve">CFU/g compared with </w:t>
      </w:r>
      <w:r w:rsidR="009F2737">
        <w:rPr>
          <w:rFonts w:asciiTheme="majorHAnsi" w:hAnsiTheme="majorHAnsi"/>
          <w:sz w:val="24"/>
          <w:szCs w:val="24"/>
          <w:lang w:val="en-US"/>
        </w:rPr>
        <w:t>vehicle-treated</w:t>
      </w:r>
      <w:r w:rsidRPr="00876AB1">
        <w:rPr>
          <w:rFonts w:asciiTheme="majorHAnsi" w:hAnsiTheme="majorHAnsi"/>
          <w:sz w:val="24"/>
          <w:szCs w:val="24"/>
          <w:lang w:val="en-US"/>
        </w:rPr>
        <w:t xml:space="preserve"> controls (data not shown).  </w:t>
      </w:r>
      <w:r w:rsidR="004C79FE">
        <w:rPr>
          <w:rFonts w:asciiTheme="majorHAnsi" w:hAnsiTheme="majorHAnsi"/>
          <w:sz w:val="24"/>
          <w:szCs w:val="24"/>
          <w:lang w:val="en-US"/>
        </w:rPr>
        <w:t xml:space="preserve">A limited PK study with concentrations measured at </w:t>
      </w:r>
      <w:r w:rsidR="00B34D08">
        <w:rPr>
          <w:rFonts w:asciiTheme="majorHAnsi" w:hAnsiTheme="majorHAnsi"/>
          <w:sz w:val="24"/>
          <w:szCs w:val="24"/>
          <w:lang w:val="en-US"/>
        </w:rPr>
        <w:t xml:space="preserve">a single time-point </w:t>
      </w:r>
      <w:r w:rsidR="004C79FE">
        <w:rPr>
          <w:rFonts w:asciiTheme="majorHAnsi" w:hAnsiTheme="majorHAnsi"/>
          <w:sz w:val="24"/>
          <w:szCs w:val="24"/>
          <w:lang w:val="en-US"/>
        </w:rPr>
        <w:t xml:space="preserve">the end of the experiment </w:t>
      </w:r>
      <w:r w:rsidR="005A7889">
        <w:rPr>
          <w:rFonts w:asciiTheme="majorHAnsi" w:hAnsiTheme="majorHAnsi"/>
          <w:sz w:val="24"/>
          <w:szCs w:val="24"/>
          <w:lang w:val="en-US"/>
        </w:rPr>
        <w:t xml:space="preserve">also </w:t>
      </w:r>
      <w:r w:rsidR="004C79FE">
        <w:rPr>
          <w:rFonts w:asciiTheme="majorHAnsi" w:hAnsiTheme="majorHAnsi"/>
          <w:sz w:val="24"/>
          <w:szCs w:val="24"/>
          <w:lang w:val="en-US"/>
        </w:rPr>
        <w:t xml:space="preserve">confirmed flubendazole </w:t>
      </w:r>
      <w:r w:rsidR="00B34D08">
        <w:rPr>
          <w:rFonts w:asciiTheme="majorHAnsi" w:hAnsiTheme="majorHAnsi"/>
          <w:sz w:val="24"/>
          <w:szCs w:val="24"/>
          <w:lang w:val="en-US"/>
        </w:rPr>
        <w:t>concentrations were</w:t>
      </w:r>
      <w:r w:rsidR="004C79FE">
        <w:rPr>
          <w:rFonts w:asciiTheme="majorHAnsi" w:hAnsiTheme="majorHAnsi"/>
          <w:sz w:val="24"/>
          <w:szCs w:val="24"/>
          <w:lang w:val="en-US"/>
        </w:rPr>
        <w:t xml:space="preserve"> quantifiable in plasma and the cerebrum of mice (data not shown).  </w:t>
      </w:r>
    </w:p>
    <w:p w14:paraId="54A2F397" w14:textId="4B333CC0" w:rsidR="00900889" w:rsidRPr="00876AB1" w:rsidRDefault="004C79FE" w:rsidP="00EB3D34">
      <w:pPr>
        <w:spacing w:after="120" w:line="480" w:lineRule="auto"/>
        <w:ind w:firstLine="720"/>
        <w:rPr>
          <w:rFonts w:asciiTheme="majorHAnsi" w:hAnsiTheme="majorHAnsi"/>
          <w:sz w:val="24"/>
          <w:szCs w:val="24"/>
          <w:lang w:val="en-US"/>
        </w:rPr>
      </w:pPr>
      <w:r>
        <w:rPr>
          <w:rFonts w:asciiTheme="majorHAnsi" w:hAnsiTheme="majorHAnsi"/>
          <w:sz w:val="24"/>
          <w:szCs w:val="24"/>
          <w:lang w:val="en-US"/>
        </w:rPr>
        <w:t xml:space="preserve">These preliminary pharmacokinetic and pharmacodynamic data </w:t>
      </w:r>
      <w:r w:rsidR="00900889" w:rsidRPr="00876AB1">
        <w:rPr>
          <w:rFonts w:asciiTheme="majorHAnsi" w:hAnsiTheme="majorHAnsi"/>
          <w:sz w:val="24"/>
          <w:szCs w:val="24"/>
          <w:lang w:val="en-US"/>
        </w:rPr>
        <w:t xml:space="preserve">provided the </w:t>
      </w:r>
      <w:r w:rsidR="008C365D">
        <w:rPr>
          <w:rFonts w:asciiTheme="majorHAnsi" w:hAnsiTheme="majorHAnsi"/>
          <w:sz w:val="24"/>
          <w:szCs w:val="24"/>
          <w:lang w:val="en-US"/>
        </w:rPr>
        <w:t>impetus</w:t>
      </w:r>
      <w:r w:rsidR="008C365D" w:rsidRPr="00876AB1">
        <w:rPr>
          <w:rFonts w:asciiTheme="majorHAnsi" w:hAnsiTheme="majorHAnsi"/>
          <w:sz w:val="24"/>
          <w:szCs w:val="24"/>
          <w:lang w:val="en-US"/>
        </w:rPr>
        <w:t xml:space="preserve"> </w:t>
      </w:r>
      <w:r w:rsidR="00900889" w:rsidRPr="00876AB1">
        <w:rPr>
          <w:rFonts w:asciiTheme="majorHAnsi" w:hAnsiTheme="majorHAnsi"/>
          <w:sz w:val="24"/>
          <w:szCs w:val="24"/>
          <w:lang w:val="en-US"/>
        </w:rPr>
        <w:t xml:space="preserve">for further detailed experiments </w:t>
      </w:r>
      <w:r w:rsidR="005E5D67">
        <w:rPr>
          <w:rFonts w:asciiTheme="majorHAnsi" w:hAnsiTheme="majorHAnsi"/>
          <w:sz w:val="24"/>
          <w:szCs w:val="24"/>
          <w:lang w:val="en-US"/>
        </w:rPr>
        <w:t>examining the pharmacodynamic</w:t>
      </w:r>
      <w:r w:rsidR="004E1625">
        <w:rPr>
          <w:rFonts w:asciiTheme="majorHAnsi" w:hAnsiTheme="majorHAnsi"/>
          <w:sz w:val="24"/>
          <w:szCs w:val="24"/>
          <w:lang w:val="en-US"/>
        </w:rPr>
        <w:t xml:space="preserve">s of </w:t>
      </w:r>
      <w:r w:rsidR="00F25652">
        <w:rPr>
          <w:rFonts w:asciiTheme="majorHAnsi" w:hAnsiTheme="majorHAnsi"/>
          <w:color w:val="000000" w:themeColor="text1"/>
          <w:sz w:val="24"/>
          <w:szCs w:val="24"/>
          <w:lang w:val="en-US"/>
        </w:rPr>
        <w:t>a</w:t>
      </w:r>
      <w:r>
        <w:rPr>
          <w:rFonts w:asciiTheme="majorHAnsi" w:hAnsiTheme="majorHAnsi"/>
          <w:color w:val="000000" w:themeColor="text1"/>
          <w:sz w:val="24"/>
          <w:szCs w:val="24"/>
          <w:lang w:val="en-US"/>
        </w:rPr>
        <w:t xml:space="preserve"> new</w:t>
      </w:r>
      <w:r w:rsidR="00F25652">
        <w:rPr>
          <w:rFonts w:asciiTheme="majorHAnsi" w:hAnsiTheme="majorHAnsi"/>
          <w:color w:val="000000" w:themeColor="text1"/>
          <w:sz w:val="24"/>
          <w:szCs w:val="24"/>
          <w:lang w:val="en-US"/>
        </w:rPr>
        <w:t xml:space="preserve"> orally bioavailable</w:t>
      </w:r>
      <w:r w:rsidR="00F25652" w:rsidRPr="003518CB">
        <w:rPr>
          <w:rFonts w:asciiTheme="majorHAnsi" w:hAnsiTheme="majorHAnsi"/>
          <w:color w:val="000000" w:themeColor="text1"/>
          <w:sz w:val="24"/>
          <w:szCs w:val="24"/>
          <w:lang w:val="en-US"/>
        </w:rPr>
        <w:t xml:space="preserve"> </w:t>
      </w:r>
      <w:r w:rsidR="00393938" w:rsidRPr="003518CB">
        <w:rPr>
          <w:rFonts w:asciiTheme="majorHAnsi" w:eastAsia="Times New Roman" w:hAnsiTheme="majorHAnsi" w:cs="Times New Roman"/>
          <w:color w:val="000000" w:themeColor="text1"/>
          <w:sz w:val="24"/>
          <w:szCs w:val="24"/>
          <w:shd w:val="clear" w:color="auto" w:fill="FFFFFF"/>
          <w:lang w:eastAsia="en-GB"/>
        </w:rPr>
        <w:t xml:space="preserve">solid drug </w:t>
      </w:r>
      <w:proofErr w:type="spellStart"/>
      <w:r w:rsidR="00393938" w:rsidRPr="003518CB">
        <w:rPr>
          <w:rFonts w:asciiTheme="majorHAnsi" w:eastAsia="Times New Roman" w:hAnsiTheme="majorHAnsi" w:cs="Times New Roman"/>
          <w:color w:val="000000" w:themeColor="text1"/>
          <w:sz w:val="24"/>
          <w:szCs w:val="24"/>
          <w:shd w:val="clear" w:color="auto" w:fill="FFFFFF"/>
          <w:lang w:eastAsia="en-GB"/>
        </w:rPr>
        <w:t>nano</w:t>
      </w:r>
      <w:proofErr w:type="spellEnd"/>
      <w:r w:rsidR="00AC7771">
        <w:rPr>
          <w:rFonts w:asciiTheme="majorHAnsi" w:eastAsia="Times New Roman" w:hAnsiTheme="majorHAnsi" w:cs="Times New Roman"/>
          <w:color w:val="000000" w:themeColor="text1"/>
          <w:sz w:val="24"/>
          <w:szCs w:val="24"/>
          <w:shd w:val="clear" w:color="auto" w:fill="FFFFFF"/>
          <w:lang w:eastAsia="en-GB"/>
        </w:rPr>
        <w:t>-</w:t>
      </w:r>
      <w:r w:rsidR="00393938" w:rsidRPr="003518CB">
        <w:rPr>
          <w:rFonts w:asciiTheme="majorHAnsi" w:eastAsia="Times New Roman" w:hAnsiTheme="majorHAnsi" w:cs="Times New Roman"/>
          <w:color w:val="000000" w:themeColor="text1"/>
          <w:sz w:val="24"/>
          <w:szCs w:val="24"/>
          <w:shd w:val="clear" w:color="auto" w:fill="FFFFFF"/>
          <w:lang w:eastAsia="en-GB"/>
        </w:rPr>
        <w:t>dispersion</w:t>
      </w:r>
      <w:r w:rsidR="004E1625">
        <w:rPr>
          <w:rFonts w:asciiTheme="majorHAnsi" w:eastAsia="Times New Roman" w:hAnsiTheme="majorHAnsi" w:cs="Times New Roman"/>
          <w:color w:val="000000" w:themeColor="text1"/>
          <w:sz w:val="24"/>
          <w:szCs w:val="24"/>
          <w:shd w:val="clear" w:color="auto" w:fill="FFFFFF"/>
          <w:lang w:eastAsia="en-GB"/>
        </w:rPr>
        <w:t xml:space="preserve"> against </w:t>
      </w:r>
      <w:r w:rsidR="004E1625" w:rsidRPr="004E1625">
        <w:rPr>
          <w:rFonts w:asciiTheme="majorHAnsi" w:eastAsia="Times New Roman" w:hAnsiTheme="majorHAnsi" w:cs="Times New Roman"/>
          <w:i/>
          <w:color w:val="000000" w:themeColor="text1"/>
          <w:sz w:val="24"/>
          <w:szCs w:val="24"/>
          <w:shd w:val="clear" w:color="auto" w:fill="FFFFFF"/>
          <w:lang w:eastAsia="en-GB"/>
        </w:rPr>
        <w:t>Cryptococcus neoformans</w:t>
      </w:r>
      <w:r>
        <w:rPr>
          <w:rFonts w:asciiTheme="majorHAnsi" w:eastAsia="Times New Roman" w:hAnsiTheme="majorHAnsi" w:cs="Times New Roman"/>
          <w:i/>
          <w:color w:val="000000" w:themeColor="text1"/>
          <w:sz w:val="24"/>
          <w:szCs w:val="24"/>
          <w:shd w:val="clear" w:color="auto" w:fill="FFFFFF"/>
          <w:lang w:eastAsia="en-GB"/>
        </w:rPr>
        <w:t xml:space="preserve"> </w:t>
      </w:r>
      <w:r>
        <w:rPr>
          <w:rFonts w:asciiTheme="majorHAnsi" w:eastAsia="Times New Roman" w:hAnsiTheme="majorHAnsi" w:cs="Times New Roman"/>
          <w:color w:val="000000" w:themeColor="text1"/>
          <w:sz w:val="24"/>
          <w:szCs w:val="24"/>
          <w:shd w:val="clear" w:color="auto" w:fill="FFFFFF"/>
          <w:lang w:eastAsia="en-GB"/>
        </w:rPr>
        <w:t>developed by Janssen</w:t>
      </w:r>
      <w:r w:rsidR="00900889" w:rsidRPr="003518CB">
        <w:rPr>
          <w:rFonts w:asciiTheme="majorHAnsi" w:hAnsiTheme="majorHAnsi"/>
          <w:color w:val="000000" w:themeColor="text1"/>
          <w:sz w:val="24"/>
          <w:szCs w:val="24"/>
          <w:lang w:val="en-US"/>
        </w:rPr>
        <w:t>.</w:t>
      </w:r>
    </w:p>
    <w:p w14:paraId="0A67D541" w14:textId="77777777" w:rsidR="00900889" w:rsidRPr="00876AB1" w:rsidRDefault="00900889" w:rsidP="00EB3D34">
      <w:pPr>
        <w:spacing w:after="120" w:line="480" w:lineRule="auto"/>
        <w:ind w:firstLine="720"/>
        <w:rPr>
          <w:rFonts w:asciiTheme="majorHAnsi" w:hAnsiTheme="majorHAnsi"/>
          <w:sz w:val="24"/>
          <w:szCs w:val="24"/>
          <w:lang w:val="en-US"/>
        </w:rPr>
      </w:pPr>
    </w:p>
    <w:p w14:paraId="4C6CD995" w14:textId="5244AD35" w:rsidR="00900889" w:rsidRPr="00876AB1" w:rsidRDefault="00900889" w:rsidP="00EB3D34">
      <w:pPr>
        <w:spacing w:after="120" w:line="480" w:lineRule="auto"/>
        <w:outlineLvl w:val="0"/>
        <w:rPr>
          <w:rFonts w:asciiTheme="majorHAnsi" w:hAnsiTheme="majorHAnsi"/>
          <w:b/>
          <w:i/>
          <w:sz w:val="24"/>
          <w:szCs w:val="24"/>
          <w:lang w:val="en-US"/>
        </w:rPr>
      </w:pPr>
      <w:r w:rsidRPr="00876AB1">
        <w:rPr>
          <w:rFonts w:asciiTheme="majorHAnsi" w:hAnsiTheme="majorHAnsi"/>
          <w:b/>
          <w:i/>
          <w:sz w:val="24"/>
          <w:szCs w:val="24"/>
          <w:lang w:val="en-US"/>
        </w:rPr>
        <w:t xml:space="preserve">Pharmacokinetic </w:t>
      </w:r>
      <w:r w:rsidR="009F2737">
        <w:rPr>
          <w:rFonts w:asciiTheme="majorHAnsi" w:hAnsiTheme="majorHAnsi"/>
          <w:b/>
          <w:i/>
          <w:sz w:val="24"/>
          <w:szCs w:val="24"/>
          <w:lang w:val="en-US"/>
        </w:rPr>
        <w:t xml:space="preserve">and Pharmacodynamic </w:t>
      </w:r>
      <w:r w:rsidRPr="00876AB1">
        <w:rPr>
          <w:rFonts w:asciiTheme="majorHAnsi" w:hAnsiTheme="majorHAnsi"/>
          <w:b/>
          <w:i/>
          <w:sz w:val="24"/>
          <w:szCs w:val="24"/>
          <w:lang w:val="en-US"/>
        </w:rPr>
        <w:t xml:space="preserve">Studies </w:t>
      </w:r>
      <w:r w:rsidR="004C79FE">
        <w:rPr>
          <w:rFonts w:asciiTheme="majorHAnsi" w:hAnsiTheme="majorHAnsi"/>
          <w:b/>
          <w:i/>
          <w:sz w:val="24"/>
          <w:szCs w:val="24"/>
          <w:lang w:val="en-US"/>
        </w:rPr>
        <w:t xml:space="preserve">of the Flubendazole </w:t>
      </w:r>
      <w:proofErr w:type="spellStart"/>
      <w:r w:rsidR="004C79FE">
        <w:rPr>
          <w:rFonts w:asciiTheme="majorHAnsi" w:hAnsiTheme="majorHAnsi"/>
          <w:b/>
          <w:i/>
          <w:sz w:val="24"/>
          <w:szCs w:val="24"/>
          <w:lang w:val="en-US"/>
        </w:rPr>
        <w:t>Nanoformulation</w:t>
      </w:r>
      <w:proofErr w:type="spellEnd"/>
      <w:r w:rsidR="004C79FE">
        <w:rPr>
          <w:rFonts w:asciiTheme="majorHAnsi" w:hAnsiTheme="majorHAnsi"/>
          <w:b/>
          <w:i/>
          <w:sz w:val="24"/>
          <w:szCs w:val="24"/>
          <w:lang w:val="en-US"/>
        </w:rPr>
        <w:t xml:space="preserve"> </w:t>
      </w:r>
      <w:r w:rsidRPr="00876AB1">
        <w:rPr>
          <w:rFonts w:asciiTheme="majorHAnsi" w:hAnsiTheme="majorHAnsi"/>
          <w:b/>
          <w:i/>
          <w:sz w:val="24"/>
          <w:szCs w:val="24"/>
          <w:lang w:val="en-US"/>
        </w:rPr>
        <w:t xml:space="preserve">in Mice </w:t>
      </w:r>
    </w:p>
    <w:p w14:paraId="06E40119" w14:textId="29D748A6" w:rsidR="00900889" w:rsidRDefault="004C79FE" w:rsidP="00EB3D34">
      <w:pPr>
        <w:spacing w:after="120" w:line="480" w:lineRule="auto"/>
        <w:ind w:firstLine="720"/>
        <w:rPr>
          <w:rFonts w:asciiTheme="majorHAnsi" w:hAnsiTheme="majorHAnsi"/>
          <w:sz w:val="24"/>
          <w:szCs w:val="24"/>
          <w:lang w:val="en-US"/>
        </w:rPr>
      </w:pPr>
      <w:r>
        <w:rPr>
          <w:rFonts w:asciiTheme="majorHAnsi" w:hAnsiTheme="majorHAnsi"/>
          <w:sz w:val="24"/>
          <w:szCs w:val="24"/>
          <w:lang w:val="en-US"/>
        </w:rPr>
        <w:t>When f</w:t>
      </w:r>
      <w:r w:rsidRPr="004C79FE">
        <w:rPr>
          <w:rFonts w:asciiTheme="majorHAnsi" w:hAnsiTheme="majorHAnsi"/>
          <w:sz w:val="24"/>
          <w:szCs w:val="24"/>
          <w:lang w:val="en-US"/>
        </w:rPr>
        <w:t xml:space="preserve">lubendazole </w:t>
      </w:r>
      <w:r>
        <w:rPr>
          <w:rFonts w:asciiTheme="majorHAnsi" w:hAnsiTheme="majorHAnsi"/>
          <w:sz w:val="24"/>
          <w:szCs w:val="24"/>
          <w:lang w:val="en-US"/>
        </w:rPr>
        <w:t xml:space="preserve">was </w:t>
      </w:r>
      <w:r w:rsidR="00847AA5" w:rsidRPr="004C79FE">
        <w:rPr>
          <w:rFonts w:asciiTheme="majorHAnsi" w:hAnsiTheme="majorHAnsi"/>
          <w:sz w:val="24"/>
          <w:szCs w:val="24"/>
          <w:lang w:val="en-US"/>
        </w:rPr>
        <w:t xml:space="preserve">formulated as a </w:t>
      </w:r>
      <w:r w:rsidR="00847AA5" w:rsidRPr="00AE09A8">
        <w:rPr>
          <w:rFonts w:asciiTheme="majorHAnsi" w:eastAsia="Times New Roman" w:hAnsiTheme="majorHAnsi"/>
          <w:color w:val="1F3864" w:themeColor="accent1" w:themeShade="80"/>
          <w:sz w:val="24"/>
          <w:szCs w:val="24"/>
        </w:rPr>
        <w:t xml:space="preserve">solid drug </w:t>
      </w:r>
      <w:proofErr w:type="spellStart"/>
      <w:r w:rsidR="00847AA5" w:rsidRPr="00AE09A8">
        <w:rPr>
          <w:rFonts w:asciiTheme="majorHAnsi" w:eastAsia="Times New Roman" w:hAnsiTheme="majorHAnsi"/>
          <w:color w:val="1F3864" w:themeColor="accent1" w:themeShade="80"/>
          <w:sz w:val="24"/>
          <w:szCs w:val="24"/>
        </w:rPr>
        <w:t>nano</w:t>
      </w:r>
      <w:proofErr w:type="spellEnd"/>
      <w:r w:rsidR="00AC7771" w:rsidRPr="00AE09A8">
        <w:rPr>
          <w:rFonts w:asciiTheme="majorHAnsi" w:eastAsia="Times New Roman" w:hAnsiTheme="majorHAnsi"/>
          <w:color w:val="1F3864" w:themeColor="accent1" w:themeShade="80"/>
          <w:sz w:val="24"/>
          <w:szCs w:val="24"/>
        </w:rPr>
        <w:t>-</w:t>
      </w:r>
      <w:r w:rsidR="00847AA5" w:rsidRPr="00AE09A8">
        <w:rPr>
          <w:rFonts w:asciiTheme="majorHAnsi" w:eastAsia="Times New Roman" w:hAnsiTheme="majorHAnsi"/>
          <w:color w:val="1F3864" w:themeColor="accent1" w:themeShade="80"/>
          <w:sz w:val="24"/>
          <w:szCs w:val="24"/>
        </w:rPr>
        <w:t>dispersio</w:t>
      </w:r>
      <w:r>
        <w:rPr>
          <w:rFonts w:asciiTheme="majorHAnsi" w:eastAsia="Times New Roman" w:hAnsiTheme="majorHAnsi"/>
          <w:color w:val="1F3864" w:themeColor="accent1" w:themeShade="80"/>
          <w:sz w:val="24"/>
          <w:szCs w:val="24"/>
        </w:rPr>
        <w:t>n, it</w:t>
      </w:r>
      <w:r w:rsidR="00847AA5" w:rsidRPr="004C79FE">
        <w:rPr>
          <w:rFonts w:asciiTheme="majorHAnsi" w:hAnsiTheme="majorHAnsi"/>
          <w:sz w:val="24"/>
          <w:szCs w:val="24"/>
          <w:lang w:val="en-US"/>
        </w:rPr>
        <w:t xml:space="preserve"> </w:t>
      </w:r>
      <w:r w:rsidR="00900889" w:rsidRPr="004C79FE">
        <w:rPr>
          <w:rFonts w:asciiTheme="majorHAnsi" w:hAnsiTheme="majorHAnsi"/>
          <w:sz w:val="24"/>
          <w:szCs w:val="24"/>
          <w:lang w:val="en-US"/>
        </w:rPr>
        <w:t>was rapidly absorbed after oral</w:t>
      </w:r>
      <w:r w:rsidR="00900889" w:rsidRPr="00876AB1">
        <w:rPr>
          <w:rFonts w:asciiTheme="majorHAnsi" w:hAnsiTheme="majorHAnsi"/>
          <w:sz w:val="24"/>
          <w:szCs w:val="24"/>
          <w:lang w:val="en-US"/>
        </w:rPr>
        <w:t xml:space="preserve"> dosing</w:t>
      </w:r>
      <w:r w:rsidR="009F2737">
        <w:rPr>
          <w:rFonts w:asciiTheme="majorHAnsi" w:hAnsiTheme="majorHAnsi"/>
          <w:sz w:val="24"/>
          <w:szCs w:val="24"/>
          <w:lang w:val="en-US"/>
        </w:rPr>
        <w:t xml:space="preserve"> </w:t>
      </w:r>
      <w:r w:rsidR="007F3F08">
        <w:rPr>
          <w:rFonts w:asciiTheme="majorHAnsi" w:hAnsiTheme="majorHAnsi"/>
          <w:sz w:val="24"/>
          <w:szCs w:val="24"/>
          <w:lang w:val="en-US"/>
        </w:rPr>
        <w:t xml:space="preserve">and plasma concentrations were readily quantifiable at the first sampling point </w:t>
      </w:r>
      <w:r w:rsidR="009F2737">
        <w:rPr>
          <w:rFonts w:asciiTheme="majorHAnsi" w:hAnsiTheme="majorHAnsi"/>
          <w:sz w:val="24"/>
          <w:szCs w:val="24"/>
          <w:lang w:val="en-US"/>
        </w:rPr>
        <w:t>(</w:t>
      </w:r>
      <w:r w:rsidR="00074E28">
        <w:rPr>
          <w:rFonts w:asciiTheme="majorHAnsi" w:hAnsiTheme="majorHAnsi"/>
          <w:sz w:val="24"/>
          <w:szCs w:val="24"/>
          <w:lang w:val="en-US"/>
        </w:rPr>
        <w:t>i.e. 0.</w:t>
      </w:r>
      <w:r w:rsidR="007F3F08">
        <w:rPr>
          <w:rFonts w:asciiTheme="majorHAnsi" w:hAnsiTheme="majorHAnsi"/>
          <w:sz w:val="24"/>
          <w:szCs w:val="24"/>
          <w:lang w:val="en-US"/>
        </w:rPr>
        <w:t xml:space="preserve">5 hrs. post dose; </w:t>
      </w:r>
      <w:r w:rsidR="009F2737">
        <w:rPr>
          <w:rFonts w:asciiTheme="majorHAnsi" w:hAnsiTheme="majorHAnsi"/>
          <w:sz w:val="24"/>
          <w:szCs w:val="24"/>
          <w:lang w:val="en-US"/>
        </w:rPr>
        <w:t xml:space="preserve">Figure </w:t>
      </w:r>
      <w:r w:rsidR="004B1A11" w:rsidRPr="004B1A11">
        <w:rPr>
          <w:rFonts w:asciiTheme="majorHAnsi" w:hAnsiTheme="majorHAnsi"/>
          <w:sz w:val="24"/>
          <w:szCs w:val="24"/>
          <w:lang w:val="en-US"/>
        </w:rPr>
        <w:t>3</w:t>
      </w:r>
      <w:r w:rsidR="009F2737" w:rsidRPr="004B1A11">
        <w:rPr>
          <w:rFonts w:asciiTheme="majorHAnsi" w:hAnsiTheme="majorHAnsi"/>
          <w:sz w:val="24"/>
          <w:szCs w:val="24"/>
          <w:lang w:val="en-US"/>
        </w:rPr>
        <w:t>)</w:t>
      </w:r>
      <w:r w:rsidR="00900889" w:rsidRPr="00876AB1">
        <w:rPr>
          <w:rFonts w:asciiTheme="majorHAnsi" w:hAnsiTheme="majorHAnsi"/>
          <w:sz w:val="24"/>
          <w:szCs w:val="24"/>
          <w:lang w:val="en-US"/>
        </w:rPr>
        <w:t xml:space="preserve">.  The pharmacokinetics were linear, with </w:t>
      </w:r>
      <w:r w:rsidR="00D34CE3">
        <w:rPr>
          <w:rFonts w:asciiTheme="majorHAnsi" w:hAnsiTheme="majorHAnsi"/>
          <w:sz w:val="24"/>
          <w:szCs w:val="24"/>
          <w:lang w:val="en-US"/>
        </w:rPr>
        <w:t>bi-exponential</w:t>
      </w:r>
      <w:r w:rsidR="00D34CE3" w:rsidRPr="00876AB1">
        <w:rPr>
          <w:rFonts w:asciiTheme="majorHAnsi" w:hAnsiTheme="majorHAnsi"/>
          <w:sz w:val="24"/>
          <w:szCs w:val="24"/>
          <w:lang w:val="en-US"/>
        </w:rPr>
        <w:t xml:space="preserve"> </w:t>
      </w:r>
      <w:r w:rsidR="00900889" w:rsidRPr="00876AB1">
        <w:rPr>
          <w:rFonts w:asciiTheme="majorHAnsi" w:hAnsiTheme="majorHAnsi"/>
          <w:sz w:val="24"/>
          <w:szCs w:val="24"/>
          <w:lang w:val="en-US"/>
        </w:rPr>
        <w:t xml:space="preserve">clearance from the bloodstream with a mean and median value of 0.039 and 0.026 L/h, respectively (Figure 3).  The pharmacokinetic parameters are </w:t>
      </w:r>
      <w:r w:rsidR="00876AB1" w:rsidRPr="00876AB1">
        <w:rPr>
          <w:rFonts w:asciiTheme="majorHAnsi" w:hAnsiTheme="majorHAnsi"/>
          <w:sz w:val="24"/>
          <w:szCs w:val="24"/>
          <w:lang w:val="en-US"/>
        </w:rPr>
        <w:t>summarized</w:t>
      </w:r>
      <w:r w:rsidR="00900889" w:rsidRPr="00876AB1">
        <w:rPr>
          <w:rFonts w:asciiTheme="majorHAnsi" w:hAnsiTheme="majorHAnsi"/>
          <w:sz w:val="24"/>
          <w:szCs w:val="24"/>
          <w:lang w:val="en-US"/>
        </w:rPr>
        <w:t xml:space="preserve"> in Table 2.  There was rapid and extensive distribution </w:t>
      </w:r>
      <w:r w:rsidR="009F2737">
        <w:rPr>
          <w:rFonts w:asciiTheme="majorHAnsi" w:hAnsiTheme="majorHAnsi"/>
          <w:sz w:val="24"/>
          <w:szCs w:val="24"/>
          <w:lang w:val="en-US"/>
        </w:rPr>
        <w:t xml:space="preserve">of drug </w:t>
      </w:r>
      <w:r w:rsidR="00900889" w:rsidRPr="00876AB1">
        <w:rPr>
          <w:rFonts w:asciiTheme="majorHAnsi" w:hAnsiTheme="majorHAnsi"/>
          <w:sz w:val="24"/>
          <w:szCs w:val="24"/>
          <w:lang w:val="en-US"/>
        </w:rPr>
        <w:t xml:space="preserve">to the cerebrum of mice and concentrations of </w:t>
      </w:r>
      <w:r w:rsidR="00900889" w:rsidRPr="00876AB1">
        <w:rPr>
          <w:rFonts w:asciiTheme="majorHAnsi" w:hAnsiTheme="majorHAnsi"/>
          <w:sz w:val="24"/>
          <w:szCs w:val="24"/>
          <w:lang w:val="en-US"/>
        </w:rPr>
        <w:lastRenderedPageBreak/>
        <w:t xml:space="preserve">flubendazole were consistently higher than </w:t>
      </w:r>
      <w:r w:rsidR="009F2737">
        <w:rPr>
          <w:rFonts w:asciiTheme="majorHAnsi" w:hAnsiTheme="majorHAnsi"/>
          <w:sz w:val="24"/>
          <w:szCs w:val="24"/>
          <w:lang w:val="en-US"/>
        </w:rPr>
        <w:t xml:space="preserve">those </w:t>
      </w:r>
      <w:r w:rsidR="00900889" w:rsidRPr="00876AB1">
        <w:rPr>
          <w:rFonts w:asciiTheme="majorHAnsi" w:hAnsiTheme="majorHAnsi"/>
          <w:sz w:val="24"/>
          <w:szCs w:val="24"/>
          <w:lang w:val="en-US"/>
        </w:rPr>
        <w:t xml:space="preserve">observed in plasma.  The </w:t>
      </w:r>
      <w:proofErr w:type="spellStart"/>
      <w:r w:rsidR="00900889" w:rsidRPr="00130AF2">
        <w:rPr>
          <w:rFonts w:asciiTheme="majorHAnsi" w:hAnsiTheme="majorHAnsi"/>
          <w:sz w:val="24"/>
          <w:szCs w:val="24"/>
          <w:lang w:val="en-US"/>
        </w:rPr>
        <w:t>AUCserum</w:t>
      </w:r>
      <w:proofErr w:type="spellEnd"/>
      <w:r w:rsidR="00900889" w:rsidRPr="00130AF2">
        <w:rPr>
          <w:rFonts w:asciiTheme="majorHAnsi" w:hAnsiTheme="majorHAnsi"/>
          <w:sz w:val="24"/>
          <w:szCs w:val="24"/>
          <w:lang w:val="en-US"/>
        </w:rPr>
        <w:t xml:space="preserve">: </w:t>
      </w:r>
      <w:proofErr w:type="spellStart"/>
      <w:r w:rsidR="00900889" w:rsidRPr="00130AF2">
        <w:rPr>
          <w:rFonts w:asciiTheme="majorHAnsi" w:hAnsiTheme="majorHAnsi"/>
          <w:sz w:val="24"/>
          <w:szCs w:val="24"/>
          <w:lang w:val="en-US"/>
        </w:rPr>
        <w:t>AUCcerebrum</w:t>
      </w:r>
      <w:proofErr w:type="spellEnd"/>
      <w:r w:rsidR="00900889" w:rsidRPr="00130AF2">
        <w:rPr>
          <w:rFonts w:asciiTheme="majorHAnsi" w:hAnsiTheme="majorHAnsi"/>
          <w:sz w:val="24"/>
          <w:szCs w:val="24"/>
          <w:lang w:val="en-US"/>
        </w:rPr>
        <w:t xml:space="preserve"> was </w:t>
      </w:r>
      <w:r w:rsidR="00130AF2" w:rsidRPr="00130AF2">
        <w:rPr>
          <w:rFonts w:asciiTheme="majorHAnsi" w:hAnsiTheme="majorHAnsi"/>
          <w:sz w:val="24"/>
          <w:szCs w:val="24"/>
          <w:lang w:val="en-US"/>
        </w:rPr>
        <w:t>1:4.44</w:t>
      </w:r>
      <w:r w:rsidR="00130AF2">
        <w:rPr>
          <w:rFonts w:asciiTheme="majorHAnsi" w:hAnsiTheme="majorHAnsi"/>
          <w:sz w:val="24"/>
          <w:szCs w:val="24"/>
          <w:lang w:val="en-US"/>
        </w:rPr>
        <w:t>.</w:t>
      </w:r>
    </w:p>
    <w:p w14:paraId="6107DF98" w14:textId="0AFB9D8B" w:rsidR="00CD44B3" w:rsidRDefault="00CD44B3"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Flubendazole had a significant and discernible antifungal effect in mice.  Use of the highest dosage in this study (12 mg/kg) resulted in approximately a 2-3 log reduction in fungal burden relative to controls (Figure 4).  </w:t>
      </w:r>
      <w:r w:rsidR="00CA0CE4">
        <w:rPr>
          <w:rFonts w:asciiTheme="majorHAnsi" w:hAnsiTheme="majorHAnsi"/>
          <w:sz w:val="24"/>
          <w:szCs w:val="24"/>
          <w:lang w:val="en-US"/>
        </w:rPr>
        <w:t xml:space="preserve">This regimen was limited by maximum permissible volumes for oral administration </w:t>
      </w:r>
      <w:r w:rsidR="00103079">
        <w:rPr>
          <w:rFonts w:asciiTheme="majorHAnsi" w:hAnsiTheme="majorHAnsi"/>
          <w:sz w:val="24"/>
          <w:szCs w:val="24"/>
          <w:lang w:val="en-US"/>
        </w:rPr>
        <w:t xml:space="preserve">for mice </w:t>
      </w:r>
      <w:r w:rsidR="00CA0CE4">
        <w:rPr>
          <w:rFonts w:asciiTheme="majorHAnsi" w:hAnsiTheme="majorHAnsi"/>
          <w:sz w:val="24"/>
          <w:szCs w:val="24"/>
          <w:lang w:val="en-US"/>
        </w:rPr>
        <w:t>(i.e.</w:t>
      </w:r>
      <w:r w:rsidR="00103079">
        <w:rPr>
          <w:rFonts w:asciiTheme="majorHAnsi" w:hAnsiTheme="majorHAnsi"/>
          <w:sz w:val="24"/>
          <w:szCs w:val="24"/>
          <w:lang w:val="en-US"/>
        </w:rPr>
        <w:t xml:space="preserve"> </w:t>
      </w:r>
      <w:r w:rsidR="00DC4232">
        <w:rPr>
          <w:rFonts w:asciiTheme="majorHAnsi" w:hAnsiTheme="majorHAnsi"/>
          <w:sz w:val="24"/>
          <w:szCs w:val="24"/>
          <w:lang w:val="en-US"/>
        </w:rPr>
        <w:t>2</w:t>
      </w:r>
      <w:r w:rsidR="00130AF2" w:rsidRPr="00130AF2">
        <w:rPr>
          <w:rFonts w:asciiTheme="majorHAnsi" w:hAnsiTheme="majorHAnsi"/>
          <w:sz w:val="24"/>
          <w:szCs w:val="24"/>
          <w:lang w:val="en-US"/>
        </w:rPr>
        <w:t>0 mL</w:t>
      </w:r>
      <w:r w:rsidR="00103079" w:rsidRPr="00130AF2">
        <w:rPr>
          <w:rFonts w:asciiTheme="majorHAnsi" w:hAnsiTheme="majorHAnsi"/>
          <w:sz w:val="24"/>
          <w:szCs w:val="24"/>
          <w:lang w:val="en-US"/>
        </w:rPr>
        <w:t>/kg</w:t>
      </w:r>
      <w:r w:rsidR="00103079">
        <w:rPr>
          <w:rFonts w:asciiTheme="majorHAnsi" w:hAnsiTheme="majorHAnsi"/>
          <w:sz w:val="24"/>
          <w:szCs w:val="24"/>
          <w:lang w:val="en-US"/>
        </w:rPr>
        <w:t xml:space="preserve">).  </w:t>
      </w:r>
      <w:r w:rsidRPr="00876AB1">
        <w:rPr>
          <w:rFonts w:asciiTheme="majorHAnsi" w:hAnsiTheme="majorHAnsi"/>
          <w:sz w:val="24"/>
          <w:szCs w:val="24"/>
          <w:lang w:val="en-US"/>
        </w:rPr>
        <w:t xml:space="preserve">In a single experiment in which the effect of 6 mg/kg q12h (i.e. 12 mg/kg/day) was compared to 12 mg/kg/day there was no difference in antifungal effect (data not shown).  </w:t>
      </w:r>
      <w:r w:rsidR="009A4632">
        <w:rPr>
          <w:rFonts w:asciiTheme="majorHAnsi" w:hAnsiTheme="majorHAnsi"/>
          <w:sz w:val="24"/>
          <w:szCs w:val="24"/>
          <w:lang w:val="en-US"/>
        </w:rPr>
        <w:t xml:space="preserve">This is preliminary evidence that the AUC is likely to be the dynamically linked index for flubendazole against </w:t>
      </w:r>
      <w:r w:rsidR="007D1736" w:rsidRPr="00EF774A">
        <w:rPr>
          <w:rFonts w:asciiTheme="majorHAnsi" w:hAnsiTheme="majorHAnsi"/>
          <w:i/>
          <w:sz w:val="24"/>
          <w:szCs w:val="24"/>
          <w:lang w:val="en-US"/>
        </w:rPr>
        <w:t>Cryptococcus neoformans</w:t>
      </w:r>
      <w:r w:rsidR="007D1736">
        <w:rPr>
          <w:rFonts w:asciiTheme="majorHAnsi" w:hAnsiTheme="majorHAnsi"/>
          <w:sz w:val="24"/>
          <w:szCs w:val="24"/>
          <w:lang w:val="en-US"/>
        </w:rPr>
        <w:t>.</w:t>
      </w:r>
    </w:p>
    <w:p w14:paraId="19BD9913" w14:textId="77777777" w:rsidR="004C79FE" w:rsidRDefault="004C79FE" w:rsidP="00EB3D34">
      <w:pPr>
        <w:spacing w:after="120" w:line="480" w:lineRule="auto"/>
        <w:ind w:firstLine="720"/>
        <w:rPr>
          <w:rFonts w:asciiTheme="majorHAnsi" w:hAnsiTheme="majorHAnsi"/>
          <w:sz w:val="24"/>
          <w:szCs w:val="24"/>
          <w:lang w:val="en-US"/>
        </w:rPr>
      </w:pPr>
    </w:p>
    <w:p w14:paraId="5F33A253" w14:textId="40499F14" w:rsidR="00900889" w:rsidRPr="00F35880" w:rsidRDefault="009F2737" w:rsidP="00EB3D34">
      <w:pPr>
        <w:spacing w:after="120" w:line="480" w:lineRule="auto"/>
        <w:outlineLvl w:val="0"/>
        <w:rPr>
          <w:rFonts w:asciiTheme="majorHAnsi" w:hAnsiTheme="majorHAnsi"/>
          <w:b/>
          <w:i/>
          <w:sz w:val="24"/>
          <w:szCs w:val="24"/>
          <w:lang w:val="en-US"/>
        </w:rPr>
      </w:pPr>
      <w:r w:rsidRPr="00F35880">
        <w:rPr>
          <w:rFonts w:asciiTheme="majorHAnsi" w:hAnsiTheme="majorHAnsi"/>
          <w:b/>
          <w:i/>
          <w:sz w:val="24"/>
          <w:szCs w:val="24"/>
          <w:lang w:val="en-US"/>
        </w:rPr>
        <w:t>Pharmacokinetic and Pharmacodynamic Studies</w:t>
      </w:r>
      <w:r w:rsidRPr="00F35880" w:rsidDel="009F2737">
        <w:rPr>
          <w:rFonts w:asciiTheme="majorHAnsi" w:hAnsiTheme="majorHAnsi"/>
          <w:b/>
          <w:i/>
          <w:sz w:val="24"/>
          <w:szCs w:val="24"/>
          <w:lang w:val="en-US"/>
        </w:rPr>
        <w:t xml:space="preserve"> </w:t>
      </w:r>
      <w:r w:rsidR="00F35880" w:rsidRPr="00F35880">
        <w:rPr>
          <w:rFonts w:asciiTheme="majorHAnsi" w:hAnsiTheme="majorHAnsi"/>
          <w:b/>
          <w:i/>
          <w:sz w:val="24"/>
          <w:szCs w:val="24"/>
          <w:lang w:val="en-US"/>
        </w:rPr>
        <w:t>in</w:t>
      </w:r>
      <w:r w:rsidR="00900889" w:rsidRPr="00F35880">
        <w:rPr>
          <w:rFonts w:asciiTheme="majorHAnsi" w:hAnsiTheme="majorHAnsi"/>
          <w:b/>
          <w:i/>
          <w:sz w:val="24"/>
          <w:szCs w:val="24"/>
          <w:lang w:val="en-US"/>
        </w:rPr>
        <w:t xml:space="preserve"> Rabbits</w:t>
      </w:r>
    </w:p>
    <w:p w14:paraId="358ADFF4" w14:textId="4FE7BB95" w:rsidR="00CD44B3" w:rsidRPr="00876AB1" w:rsidRDefault="00CD44B3"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The PK in rabbits was linear with a similar concentration-time profile to that observed in mice.  </w:t>
      </w:r>
      <w:r w:rsidR="007367FB">
        <w:rPr>
          <w:rFonts w:asciiTheme="majorHAnsi" w:hAnsiTheme="majorHAnsi"/>
          <w:sz w:val="24"/>
          <w:szCs w:val="24"/>
          <w:lang w:val="en-US"/>
        </w:rPr>
        <w:t xml:space="preserve">The plasma concentration-time profiles in rabbits had a similar shape to those of mice, but were lower for the dosages used in this study. </w:t>
      </w:r>
      <w:r w:rsidR="00393938">
        <w:rPr>
          <w:rFonts w:asciiTheme="majorHAnsi" w:hAnsiTheme="majorHAnsi"/>
          <w:sz w:val="24"/>
          <w:szCs w:val="24"/>
          <w:lang w:val="en-US"/>
        </w:rPr>
        <w:t xml:space="preserve"> </w:t>
      </w:r>
      <w:r w:rsidR="00F35880">
        <w:rPr>
          <w:rFonts w:asciiTheme="majorHAnsi" w:hAnsiTheme="majorHAnsi"/>
          <w:sz w:val="24"/>
          <w:szCs w:val="24"/>
          <w:lang w:val="en-US"/>
        </w:rPr>
        <w:t xml:space="preserve">Despite readily quantifiable </w:t>
      </w:r>
      <w:r w:rsidR="007367FB">
        <w:rPr>
          <w:rFonts w:asciiTheme="majorHAnsi" w:hAnsiTheme="majorHAnsi"/>
          <w:sz w:val="24"/>
          <w:szCs w:val="24"/>
          <w:lang w:val="en-US"/>
        </w:rPr>
        <w:t>plasma concentrations</w:t>
      </w:r>
      <w:r w:rsidRPr="00876AB1">
        <w:rPr>
          <w:rFonts w:asciiTheme="majorHAnsi" w:hAnsiTheme="majorHAnsi"/>
          <w:sz w:val="24"/>
          <w:szCs w:val="24"/>
          <w:lang w:val="en-US"/>
        </w:rPr>
        <w:t xml:space="preserve">, there was no quantifiable drug concentrations in </w:t>
      </w:r>
      <w:r w:rsidR="007367FB">
        <w:rPr>
          <w:rFonts w:asciiTheme="majorHAnsi" w:hAnsiTheme="majorHAnsi"/>
          <w:sz w:val="24"/>
          <w:szCs w:val="24"/>
          <w:lang w:val="en-US"/>
        </w:rPr>
        <w:t xml:space="preserve">either the </w:t>
      </w:r>
      <w:r w:rsidRPr="00876AB1">
        <w:rPr>
          <w:rFonts w:asciiTheme="majorHAnsi" w:hAnsiTheme="majorHAnsi"/>
          <w:sz w:val="24"/>
          <w:szCs w:val="24"/>
          <w:lang w:val="en-US"/>
        </w:rPr>
        <w:t xml:space="preserve">CSF or </w:t>
      </w:r>
      <w:r>
        <w:rPr>
          <w:rFonts w:asciiTheme="majorHAnsi" w:hAnsiTheme="majorHAnsi"/>
          <w:sz w:val="24"/>
          <w:szCs w:val="24"/>
          <w:lang w:val="en-US"/>
        </w:rPr>
        <w:t xml:space="preserve">the cerebrum </w:t>
      </w:r>
      <w:r w:rsidR="007367FB">
        <w:rPr>
          <w:rFonts w:asciiTheme="majorHAnsi" w:hAnsiTheme="majorHAnsi"/>
          <w:sz w:val="24"/>
          <w:szCs w:val="24"/>
          <w:lang w:val="en-US"/>
        </w:rPr>
        <w:t xml:space="preserve">of rabbits </w:t>
      </w:r>
      <w:r>
        <w:rPr>
          <w:rFonts w:asciiTheme="majorHAnsi" w:hAnsiTheme="majorHAnsi"/>
          <w:sz w:val="24"/>
          <w:szCs w:val="24"/>
          <w:lang w:val="en-US"/>
        </w:rPr>
        <w:t>at the time of sacrifice</w:t>
      </w:r>
      <w:r w:rsidRPr="00876AB1">
        <w:rPr>
          <w:rFonts w:asciiTheme="majorHAnsi" w:hAnsiTheme="majorHAnsi"/>
          <w:sz w:val="24"/>
          <w:szCs w:val="24"/>
          <w:lang w:val="en-US"/>
        </w:rPr>
        <w:t>.</w:t>
      </w:r>
    </w:p>
    <w:p w14:paraId="615268E4" w14:textId="41DBF929" w:rsidR="00E52EF3" w:rsidRDefault="00900889"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There was no </w:t>
      </w:r>
      <w:r w:rsidR="008C365D">
        <w:rPr>
          <w:rFonts w:asciiTheme="majorHAnsi" w:hAnsiTheme="majorHAnsi"/>
          <w:sz w:val="24"/>
          <w:szCs w:val="24"/>
          <w:lang w:val="en-US"/>
        </w:rPr>
        <w:t>demonstrable</w:t>
      </w:r>
      <w:r w:rsidR="007367FB" w:rsidRPr="00876AB1">
        <w:rPr>
          <w:rFonts w:asciiTheme="majorHAnsi" w:hAnsiTheme="majorHAnsi"/>
          <w:sz w:val="24"/>
          <w:szCs w:val="24"/>
          <w:lang w:val="en-US"/>
        </w:rPr>
        <w:t xml:space="preserve"> </w:t>
      </w:r>
      <w:r w:rsidRPr="00876AB1">
        <w:rPr>
          <w:rFonts w:asciiTheme="majorHAnsi" w:hAnsiTheme="majorHAnsi"/>
          <w:sz w:val="24"/>
          <w:szCs w:val="24"/>
          <w:lang w:val="en-US"/>
        </w:rPr>
        <w:t xml:space="preserve">antifungal effect in rabbits receiving 6 mg/kg/day.  There may be some effect in rabbits receiving 22.5 mg/kg q24h, but </w:t>
      </w:r>
      <w:r w:rsidR="008C365D">
        <w:rPr>
          <w:rFonts w:asciiTheme="majorHAnsi" w:hAnsiTheme="majorHAnsi"/>
          <w:sz w:val="24"/>
          <w:szCs w:val="24"/>
          <w:lang w:val="en-US"/>
        </w:rPr>
        <w:t xml:space="preserve">if present </w:t>
      </w:r>
      <w:r w:rsidRPr="00876AB1">
        <w:rPr>
          <w:rFonts w:asciiTheme="majorHAnsi" w:hAnsiTheme="majorHAnsi"/>
          <w:sz w:val="24"/>
          <w:szCs w:val="24"/>
          <w:lang w:val="en-US"/>
        </w:rPr>
        <w:t>the effect was small</w:t>
      </w:r>
      <w:r w:rsidR="008C365D">
        <w:rPr>
          <w:rFonts w:asciiTheme="majorHAnsi" w:hAnsiTheme="majorHAnsi"/>
          <w:sz w:val="24"/>
          <w:szCs w:val="24"/>
          <w:lang w:val="en-US"/>
        </w:rPr>
        <w:t xml:space="preserve"> and these assessments were limited by few animals</w:t>
      </w:r>
      <w:r w:rsidRPr="00876AB1">
        <w:rPr>
          <w:rFonts w:asciiTheme="majorHAnsi" w:hAnsiTheme="majorHAnsi"/>
          <w:sz w:val="24"/>
          <w:szCs w:val="24"/>
          <w:lang w:val="en-US"/>
        </w:rPr>
        <w:t xml:space="preserve">.  There </w:t>
      </w:r>
      <w:r w:rsidR="00D34CE3" w:rsidRPr="00876AB1">
        <w:rPr>
          <w:rFonts w:asciiTheme="majorHAnsi" w:hAnsiTheme="majorHAnsi"/>
          <w:sz w:val="24"/>
          <w:szCs w:val="24"/>
          <w:lang w:val="en-US"/>
        </w:rPr>
        <w:t>were</w:t>
      </w:r>
      <w:r w:rsidRPr="00876AB1">
        <w:rPr>
          <w:rFonts w:asciiTheme="majorHAnsi" w:hAnsiTheme="majorHAnsi"/>
          <w:sz w:val="24"/>
          <w:szCs w:val="24"/>
          <w:lang w:val="en-US"/>
        </w:rPr>
        <w:t xml:space="preserve"> no </w:t>
      </w:r>
      <w:r w:rsidR="008C365D">
        <w:rPr>
          <w:rFonts w:asciiTheme="majorHAnsi" w:hAnsiTheme="majorHAnsi"/>
          <w:sz w:val="24"/>
          <w:szCs w:val="24"/>
          <w:lang w:val="en-US"/>
        </w:rPr>
        <w:t xml:space="preserve">statistically </w:t>
      </w:r>
      <w:r w:rsidR="004B1A11">
        <w:rPr>
          <w:rFonts w:asciiTheme="majorHAnsi" w:hAnsiTheme="majorHAnsi"/>
          <w:sz w:val="24"/>
          <w:szCs w:val="24"/>
          <w:lang w:val="en-US"/>
        </w:rPr>
        <w:t>significant differences</w:t>
      </w:r>
      <w:r w:rsidRPr="00876AB1">
        <w:rPr>
          <w:rFonts w:asciiTheme="majorHAnsi" w:hAnsiTheme="majorHAnsi"/>
          <w:sz w:val="24"/>
          <w:szCs w:val="24"/>
          <w:lang w:val="en-US"/>
        </w:rPr>
        <w:t xml:space="preserve"> in the area under the log</w:t>
      </w:r>
      <w:r w:rsidRPr="00876AB1">
        <w:rPr>
          <w:rFonts w:asciiTheme="majorHAnsi" w:hAnsiTheme="majorHAnsi"/>
          <w:sz w:val="24"/>
          <w:szCs w:val="24"/>
          <w:vertAlign w:val="subscript"/>
          <w:lang w:val="en-US"/>
        </w:rPr>
        <w:t>10</w:t>
      </w:r>
      <w:r w:rsidRPr="00876AB1">
        <w:rPr>
          <w:rFonts w:asciiTheme="majorHAnsi" w:hAnsiTheme="majorHAnsi"/>
          <w:sz w:val="24"/>
          <w:szCs w:val="24"/>
          <w:lang w:val="en-US"/>
        </w:rPr>
        <w:t>CFU/g-time curve</w:t>
      </w:r>
      <w:r w:rsidR="007367FB">
        <w:rPr>
          <w:rFonts w:asciiTheme="majorHAnsi" w:hAnsiTheme="majorHAnsi"/>
          <w:sz w:val="24"/>
          <w:szCs w:val="24"/>
          <w:lang w:val="en-US"/>
        </w:rPr>
        <w:t xml:space="preserve"> for each regimen</w:t>
      </w:r>
      <w:r w:rsidR="00D34CE3">
        <w:rPr>
          <w:rFonts w:asciiTheme="majorHAnsi" w:hAnsiTheme="majorHAnsi"/>
          <w:sz w:val="24"/>
          <w:szCs w:val="24"/>
          <w:lang w:val="en-US"/>
        </w:rPr>
        <w:t xml:space="preserve"> even though this may be a relatively insensitive test of antifungal effect</w:t>
      </w:r>
      <w:r w:rsidRPr="00876AB1">
        <w:rPr>
          <w:rFonts w:asciiTheme="majorHAnsi" w:hAnsiTheme="majorHAnsi"/>
          <w:sz w:val="24"/>
          <w:szCs w:val="24"/>
          <w:lang w:val="en-US"/>
        </w:rPr>
        <w:t xml:space="preserve">.  Furthermore, there was no difference in the </w:t>
      </w:r>
      <w:r w:rsidRPr="00876AB1">
        <w:rPr>
          <w:rFonts w:asciiTheme="majorHAnsi" w:hAnsiTheme="majorHAnsi"/>
          <w:sz w:val="24"/>
          <w:szCs w:val="24"/>
          <w:lang w:val="en-US"/>
        </w:rPr>
        <w:lastRenderedPageBreak/>
        <w:t>fungal burden in the cerebrum at the end of the experiment for any of the groups of rabbits used in this study.</w:t>
      </w:r>
    </w:p>
    <w:p w14:paraId="4D1358D1" w14:textId="7009B3EF" w:rsidR="003C4ED7" w:rsidRDefault="003C4ED7">
      <w:pPr>
        <w:spacing w:after="0" w:line="240" w:lineRule="auto"/>
        <w:rPr>
          <w:rFonts w:asciiTheme="majorHAnsi" w:hAnsiTheme="majorHAnsi"/>
          <w:sz w:val="24"/>
          <w:szCs w:val="24"/>
          <w:lang w:val="en-US"/>
        </w:rPr>
      </w:pPr>
      <w:r>
        <w:rPr>
          <w:rFonts w:asciiTheme="majorHAnsi" w:hAnsiTheme="majorHAnsi"/>
          <w:sz w:val="24"/>
          <w:szCs w:val="24"/>
          <w:lang w:val="en-US"/>
        </w:rPr>
        <w:br w:type="page"/>
      </w:r>
    </w:p>
    <w:p w14:paraId="3F48B8C8" w14:textId="77777777" w:rsidR="003C4ED7" w:rsidRDefault="003C4ED7" w:rsidP="00EB3D34">
      <w:pPr>
        <w:spacing w:after="120" w:line="480" w:lineRule="auto"/>
        <w:ind w:firstLine="720"/>
        <w:rPr>
          <w:rFonts w:asciiTheme="majorHAnsi" w:hAnsiTheme="majorHAnsi"/>
          <w:sz w:val="24"/>
          <w:szCs w:val="24"/>
          <w:lang w:val="en-US"/>
        </w:rPr>
      </w:pPr>
    </w:p>
    <w:p w14:paraId="2709F08B" w14:textId="318ED67C" w:rsidR="00900889" w:rsidRPr="00D2766A" w:rsidRDefault="00900889" w:rsidP="00EB3D34">
      <w:pPr>
        <w:spacing w:after="120" w:line="480" w:lineRule="auto"/>
        <w:outlineLvl w:val="0"/>
        <w:rPr>
          <w:rFonts w:asciiTheme="majorHAnsi" w:hAnsiTheme="majorHAnsi"/>
          <w:b/>
          <w:color w:val="000000" w:themeColor="text1"/>
          <w:sz w:val="24"/>
          <w:szCs w:val="24"/>
          <w:lang w:val="en-US"/>
        </w:rPr>
      </w:pPr>
      <w:r w:rsidRPr="00D2766A">
        <w:rPr>
          <w:rFonts w:asciiTheme="majorHAnsi" w:hAnsiTheme="majorHAnsi"/>
          <w:b/>
          <w:color w:val="000000" w:themeColor="text1"/>
          <w:sz w:val="24"/>
          <w:szCs w:val="24"/>
          <w:lang w:val="en-US"/>
        </w:rPr>
        <w:t>DISCUSSION</w:t>
      </w:r>
    </w:p>
    <w:p w14:paraId="772166AB" w14:textId="72037615" w:rsidR="006D4C3A" w:rsidRPr="00D2766A" w:rsidRDefault="006D4C3A" w:rsidP="00EB3D34">
      <w:pPr>
        <w:spacing w:after="0" w:line="480" w:lineRule="auto"/>
        <w:ind w:firstLine="720"/>
        <w:rPr>
          <w:rFonts w:asciiTheme="majorHAnsi" w:eastAsia="Times New Roman" w:hAnsiTheme="majorHAnsi" w:cs="Times New Roman"/>
          <w:color w:val="000000" w:themeColor="text1"/>
          <w:sz w:val="24"/>
          <w:szCs w:val="24"/>
          <w:lang w:eastAsia="en-GB"/>
        </w:rPr>
      </w:pPr>
      <w:r w:rsidRPr="00D2766A">
        <w:rPr>
          <w:rFonts w:asciiTheme="majorHAnsi" w:eastAsia="Times New Roman" w:hAnsiTheme="majorHAnsi" w:cs="Times New Roman"/>
          <w:color w:val="000000" w:themeColor="text1"/>
          <w:sz w:val="24"/>
          <w:szCs w:val="24"/>
          <w:shd w:val="clear" w:color="auto" w:fill="FFFFFF"/>
          <w:lang w:eastAsia="en-GB"/>
        </w:rPr>
        <w:t xml:space="preserve">When given subcutaneously, flubendazole has </w:t>
      </w:r>
      <w:r w:rsidR="00AE1E14">
        <w:rPr>
          <w:rFonts w:asciiTheme="majorHAnsi" w:eastAsia="Times New Roman" w:hAnsiTheme="majorHAnsi" w:cs="Times New Roman"/>
          <w:color w:val="000000" w:themeColor="text1"/>
          <w:sz w:val="24"/>
          <w:szCs w:val="24"/>
          <w:shd w:val="clear" w:color="auto" w:fill="FFFFFF"/>
          <w:lang w:eastAsia="en-GB"/>
        </w:rPr>
        <w:t>striking</w:t>
      </w:r>
      <w:r w:rsidRPr="00D2766A">
        <w:rPr>
          <w:rFonts w:asciiTheme="majorHAnsi" w:eastAsia="Times New Roman" w:hAnsiTheme="majorHAnsi" w:cs="Times New Roman"/>
          <w:color w:val="000000" w:themeColor="text1"/>
          <w:sz w:val="24"/>
          <w:szCs w:val="24"/>
          <w:shd w:val="clear" w:color="auto" w:fill="FFFFFF"/>
          <w:lang w:eastAsia="en-GB"/>
        </w:rPr>
        <w:t xml:space="preserve"> activity in laboratory animal models of filarial diseases such as onchocerciasis and lymphatic </w:t>
      </w:r>
      <w:proofErr w:type="spellStart"/>
      <w:r w:rsidRPr="00D2766A">
        <w:rPr>
          <w:rFonts w:asciiTheme="majorHAnsi" w:eastAsia="Times New Roman" w:hAnsiTheme="majorHAnsi" w:cs="Times New Roman"/>
          <w:color w:val="000000" w:themeColor="text1"/>
          <w:sz w:val="24"/>
          <w:szCs w:val="24"/>
          <w:shd w:val="clear" w:color="auto" w:fill="FFFFFF"/>
          <w:lang w:eastAsia="en-GB"/>
        </w:rPr>
        <w:t>filariasis</w:t>
      </w:r>
      <w:proofErr w:type="spellEnd"/>
      <w:r w:rsidRPr="00D2766A">
        <w:rPr>
          <w:rFonts w:asciiTheme="majorHAnsi" w:eastAsia="Times New Roman" w:hAnsiTheme="majorHAnsi" w:cs="Times New Roman"/>
          <w:color w:val="000000" w:themeColor="text1"/>
          <w:sz w:val="24"/>
          <w:szCs w:val="24"/>
          <w:shd w:val="clear" w:color="auto" w:fill="FFFFFF"/>
          <w:lang w:eastAsia="en-GB"/>
        </w:rPr>
        <w:t xml:space="preserve"> </w:t>
      </w:r>
      <w:r w:rsidR="005002A9" w:rsidRPr="00D2766A">
        <w:rPr>
          <w:rFonts w:asciiTheme="majorHAnsi" w:eastAsia="Times New Roman" w:hAnsiTheme="majorHAnsi" w:cs="Times New Roman"/>
          <w:color w:val="000000" w:themeColor="text1"/>
          <w:sz w:val="24"/>
          <w:szCs w:val="24"/>
          <w:shd w:val="clear" w:color="auto" w:fill="FFFFFF"/>
          <w:lang w:eastAsia="en-GB"/>
        </w:rPr>
        <w:fldChar w:fldCharType="begin" w:fldLock="1"/>
      </w:r>
      <w:r w:rsidR="005002A9" w:rsidRPr="00D2766A">
        <w:rPr>
          <w:rFonts w:asciiTheme="majorHAnsi" w:eastAsia="Times New Roman" w:hAnsiTheme="majorHAnsi" w:cs="Times New Roman"/>
          <w:color w:val="000000" w:themeColor="text1"/>
          <w:sz w:val="24"/>
          <w:szCs w:val="24"/>
          <w:shd w:val="clear" w:color="auto" w:fill="FFFFFF"/>
          <w:lang w:eastAsia="en-GB"/>
        </w:rPr>
        <w:instrText>ADDIN CSL_CITATION { "citationItems" : [ { "id" : "ITEM-1", "itemData" : { "DOI" : "10.1586/eri.11.30", "ISBN" : "1744-8336 (Electronic)\\r1478-7210 (Linking)", "ISSN" : "1478-7210", "PMID" : "21609260", "abstract" : "A safe, field-usable chemotherapeutic agent that will rapidly kill adult filarial worms is urgently needed in tropical medicine. Ivermectin, distributed as Mectizan\u00ae by Merck &amp; Co. Inc., has had an enormous impact on two major human filarial infections of developing countries, onchocerciasis and lymphatic filariasis [1]. However, this agent works primarily against the microfilarial stage and lacks the ability to rapidly kill the adult para- sites. Since the adult worms can survive for many years producing offspring, it has been necessary for control programs to continue drug distribution for more than a decade, for instance, until the adult worms eventually die; a labor-intensive and expensive proposition. Other agents used in filarial control programs, such as diethylcarbamazine and albendazole, may be more effective macrofilaricides than ivermectin, but for various reasons are not suitable, or are unable, to fill the role of a being rapidly acting mac- rofilaricide. Thus, a drug administered once, or at least in multiple doses over a very short period, that safely kills adult filarial worms would be a major contribu- tor to the current efforts to rid the world of filarial infections and the diseases they cause. A useful field agent has typically been required to be administered in an oral dosage form, but a truly safe agent administered by another route, including parenteral approaches, could be acceptable and may even be advantageous.", "author" : [ { "dropping-particle" : "", "family" : "Mackenzie", "given" : "Charles D", "non-dropping-particle" : "", "parse-names" : false, "suffix" : "" }, { "dropping-particle" : "", "family" : "Geary", "given" : "Timothy G", "non-dropping-particle" : "", "parse-names" : false, "suffix" : "" } ], "container-title" : "Expert review of anti-infective therapy", "id" : "ITEM-1", "issue" : "5", "issued" : { "date-parts" : [ [ "2011" ] ] }, "page" : "497-501", "title" : "Flubendazole: a candidate macrofilaricide for lymphatic filariasis and onchocerciasis field programs.", "type" : "article-journal", "volume" : "9" }, "uris" : [ "http://www.mendeley.com/documents/?uuid=bf591595-bd86-42a2-b62b-d4b5e6f280ce" ] } ], "mendeley" : { "formattedCitation" : "(16)", "plainTextFormattedCitation" : "(16)", "previouslyFormattedCitation" : "(16)" }, "properties" : { "noteIndex" : 0 }, "schema" : "https://github.com/citation-style-language/schema/raw/master/csl-citation.json" }</w:instrText>
      </w:r>
      <w:r w:rsidR="005002A9" w:rsidRPr="00D2766A">
        <w:rPr>
          <w:rFonts w:asciiTheme="majorHAnsi" w:eastAsia="Times New Roman" w:hAnsiTheme="majorHAnsi" w:cs="Times New Roman"/>
          <w:color w:val="000000" w:themeColor="text1"/>
          <w:sz w:val="24"/>
          <w:szCs w:val="24"/>
          <w:shd w:val="clear" w:color="auto" w:fill="FFFFFF"/>
          <w:lang w:eastAsia="en-GB"/>
        </w:rPr>
        <w:fldChar w:fldCharType="separate"/>
      </w:r>
      <w:r w:rsidR="005002A9" w:rsidRPr="00D2766A">
        <w:rPr>
          <w:rFonts w:asciiTheme="majorHAnsi" w:eastAsia="Times New Roman" w:hAnsiTheme="majorHAnsi" w:cs="Times New Roman"/>
          <w:noProof/>
          <w:color w:val="000000" w:themeColor="text1"/>
          <w:sz w:val="24"/>
          <w:szCs w:val="24"/>
          <w:shd w:val="clear" w:color="auto" w:fill="FFFFFF"/>
          <w:lang w:eastAsia="en-GB"/>
        </w:rPr>
        <w:t>(16)</w:t>
      </w:r>
      <w:r w:rsidR="005002A9" w:rsidRPr="00D2766A">
        <w:rPr>
          <w:rFonts w:asciiTheme="majorHAnsi" w:eastAsia="Times New Roman" w:hAnsiTheme="majorHAnsi" w:cs="Times New Roman"/>
          <w:color w:val="000000" w:themeColor="text1"/>
          <w:sz w:val="24"/>
          <w:szCs w:val="24"/>
          <w:shd w:val="clear" w:color="auto" w:fill="FFFFFF"/>
          <w:lang w:eastAsia="en-GB"/>
        </w:rPr>
        <w:fldChar w:fldCharType="end"/>
      </w:r>
      <w:r w:rsidR="005002A9" w:rsidRPr="00D2766A">
        <w:rPr>
          <w:rFonts w:asciiTheme="majorHAnsi" w:eastAsia="Times New Roman" w:hAnsiTheme="majorHAnsi" w:cs="Times New Roman"/>
          <w:color w:val="000000" w:themeColor="text1"/>
          <w:sz w:val="24"/>
          <w:szCs w:val="24"/>
          <w:shd w:val="clear" w:color="auto" w:fill="FFFFFF"/>
          <w:lang w:eastAsia="en-GB"/>
        </w:rPr>
        <w:t xml:space="preserve">.  </w:t>
      </w:r>
      <w:r w:rsidRPr="00D2766A">
        <w:rPr>
          <w:rFonts w:asciiTheme="majorHAnsi" w:eastAsia="Times New Roman" w:hAnsiTheme="majorHAnsi" w:cs="Times New Roman"/>
          <w:color w:val="000000" w:themeColor="text1"/>
          <w:sz w:val="24"/>
          <w:szCs w:val="24"/>
          <w:shd w:val="clear" w:color="auto" w:fill="FFFFFF"/>
          <w:lang w:eastAsia="en-GB"/>
        </w:rPr>
        <w:t>Janssen developed a novel amorph</w:t>
      </w:r>
      <w:r w:rsidR="005002A9" w:rsidRPr="00D2766A">
        <w:rPr>
          <w:rFonts w:asciiTheme="majorHAnsi" w:eastAsia="Times New Roman" w:hAnsiTheme="majorHAnsi" w:cs="Times New Roman"/>
          <w:color w:val="000000" w:themeColor="text1"/>
          <w:sz w:val="24"/>
          <w:szCs w:val="24"/>
          <w:shd w:val="clear" w:color="auto" w:fill="FFFFFF"/>
          <w:lang w:eastAsia="en-GB"/>
        </w:rPr>
        <w:t xml:space="preserve">ous solid drug </w:t>
      </w:r>
      <w:proofErr w:type="spellStart"/>
      <w:r w:rsidR="005002A9" w:rsidRPr="00D2766A">
        <w:rPr>
          <w:rFonts w:asciiTheme="majorHAnsi" w:eastAsia="Times New Roman" w:hAnsiTheme="majorHAnsi" w:cs="Times New Roman"/>
          <w:color w:val="000000" w:themeColor="text1"/>
          <w:sz w:val="24"/>
          <w:szCs w:val="24"/>
          <w:shd w:val="clear" w:color="auto" w:fill="FFFFFF"/>
          <w:lang w:eastAsia="en-GB"/>
        </w:rPr>
        <w:t>nanodispersion</w:t>
      </w:r>
      <w:proofErr w:type="spellEnd"/>
      <w:r w:rsidR="005002A9" w:rsidRPr="00D2766A">
        <w:rPr>
          <w:rFonts w:asciiTheme="majorHAnsi" w:eastAsia="Times New Roman" w:hAnsiTheme="majorHAnsi" w:cs="Times New Roman"/>
          <w:color w:val="000000" w:themeColor="text1"/>
          <w:sz w:val="24"/>
          <w:szCs w:val="24"/>
          <w:shd w:val="clear" w:color="auto" w:fill="FFFFFF"/>
          <w:lang w:eastAsia="en-GB"/>
        </w:rPr>
        <w:t xml:space="preserve"> to provide a </w:t>
      </w:r>
      <w:r w:rsidR="00393938" w:rsidRPr="00D2766A">
        <w:rPr>
          <w:rFonts w:asciiTheme="majorHAnsi" w:eastAsia="Times New Roman" w:hAnsiTheme="majorHAnsi" w:cs="Times New Roman"/>
          <w:color w:val="000000" w:themeColor="text1"/>
          <w:sz w:val="24"/>
          <w:szCs w:val="24"/>
          <w:shd w:val="clear" w:color="auto" w:fill="FFFFFF"/>
          <w:lang w:eastAsia="en-GB"/>
        </w:rPr>
        <w:t xml:space="preserve">potential </w:t>
      </w:r>
      <w:r w:rsidR="005002A9" w:rsidRPr="00D2766A">
        <w:rPr>
          <w:rFonts w:asciiTheme="majorHAnsi" w:eastAsia="Times New Roman" w:hAnsiTheme="majorHAnsi" w:cs="Times New Roman"/>
          <w:color w:val="000000" w:themeColor="text1"/>
          <w:sz w:val="24"/>
          <w:szCs w:val="24"/>
          <w:shd w:val="clear" w:color="auto" w:fill="FFFFFF"/>
          <w:lang w:eastAsia="en-GB"/>
        </w:rPr>
        <w:t xml:space="preserve">new therapeutic option for patients with these </w:t>
      </w:r>
      <w:r w:rsidR="00393938" w:rsidRPr="00D2766A">
        <w:rPr>
          <w:rFonts w:asciiTheme="majorHAnsi" w:eastAsia="Times New Roman" w:hAnsiTheme="majorHAnsi" w:cs="Times New Roman"/>
          <w:color w:val="000000" w:themeColor="text1"/>
          <w:sz w:val="24"/>
          <w:szCs w:val="24"/>
          <w:shd w:val="clear" w:color="auto" w:fill="FFFFFF"/>
          <w:lang w:eastAsia="en-GB"/>
        </w:rPr>
        <w:t xml:space="preserve">neglected tropical </w:t>
      </w:r>
      <w:r w:rsidR="005002A9" w:rsidRPr="00D2766A">
        <w:rPr>
          <w:rFonts w:asciiTheme="majorHAnsi" w:eastAsia="Times New Roman" w:hAnsiTheme="majorHAnsi" w:cs="Times New Roman"/>
          <w:color w:val="000000" w:themeColor="text1"/>
          <w:sz w:val="24"/>
          <w:szCs w:val="24"/>
          <w:shd w:val="clear" w:color="auto" w:fill="FFFFFF"/>
          <w:lang w:eastAsia="en-GB"/>
        </w:rPr>
        <w:t xml:space="preserve">diseases.  </w:t>
      </w:r>
      <w:r w:rsidRPr="00D2766A">
        <w:rPr>
          <w:rFonts w:asciiTheme="majorHAnsi" w:eastAsia="Times New Roman" w:hAnsiTheme="majorHAnsi" w:cs="Times New Roman"/>
          <w:color w:val="000000" w:themeColor="text1"/>
          <w:sz w:val="24"/>
          <w:szCs w:val="24"/>
          <w:shd w:val="clear" w:color="auto" w:fill="FFFFFF"/>
          <w:lang w:eastAsia="en-GB"/>
        </w:rPr>
        <w:t>The systemic drug exposure that was enabled by the new formulation mandated GLP toxicology studies before progression to</w:t>
      </w:r>
      <w:r w:rsidR="005002A9" w:rsidRPr="00D2766A">
        <w:rPr>
          <w:rFonts w:asciiTheme="majorHAnsi" w:eastAsia="Times New Roman" w:hAnsiTheme="majorHAnsi" w:cs="Times New Roman"/>
          <w:color w:val="000000" w:themeColor="text1"/>
          <w:sz w:val="24"/>
          <w:szCs w:val="24"/>
          <w:shd w:val="clear" w:color="auto" w:fill="FFFFFF"/>
          <w:lang w:eastAsia="en-GB"/>
        </w:rPr>
        <w:t xml:space="preserve"> early phase clinical studies.  </w:t>
      </w:r>
      <w:r w:rsidRPr="00D2766A">
        <w:rPr>
          <w:rFonts w:asciiTheme="majorHAnsi" w:eastAsia="Times New Roman" w:hAnsiTheme="majorHAnsi" w:cs="Times New Roman"/>
          <w:color w:val="000000" w:themeColor="text1"/>
          <w:sz w:val="24"/>
          <w:szCs w:val="24"/>
          <w:shd w:val="clear" w:color="auto" w:fill="FFFFFF"/>
          <w:lang w:eastAsia="en-GB"/>
        </w:rPr>
        <w:t xml:space="preserve">It was already known that flubendazole is </w:t>
      </w:r>
      <w:proofErr w:type="spellStart"/>
      <w:r w:rsidRPr="00D2766A">
        <w:rPr>
          <w:rFonts w:asciiTheme="majorHAnsi" w:eastAsia="Times New Roman" w:hAnsiTheme="majorHAnsi" w:cs="Times New Roman"/>
          <w:color w:val="000000" w:themeColor="text1"/>
          <w:sz w:val="24"/>
          <w:szCs w:val="24"/>
          <w:shd w:val="clear" w:color="auto" w:fill="FFFFFF"/>
          <w:lang w:eastAsia="en-GB"/>
        </w:rPr>
        <w:t>clastogenic</w:t>
      </w:r>
      <w:proofErr w:type="spellEnd"/>
      <w:r w:rsidRPr="00D2766A">
        <w:rPr>
          <w:rFonts w:asciiTheme="majorHAnsi" w:eastAsia="Times New Roman" w:hAnsiTheme="majorHAnsi" w:cs="Times New Roman"/>
          <w:color w:val="000000" w:themeColor="text1"/>
          <w:sz w:val="24"/>
          <w:szCs w:val="24"/>
          <w:shd w:val="clear" w:color="auto" w:fill="FFFFFF"/>
          <w:lang w:eastAsia="en-GB"/>
        </w:rPr>
        <w:t xml:space="preserve"> (i.e. induces chromosomal breakages) and </w:t>
      </w:r>
      <w:proofErr w:type="spellStart"/>
      <w:r w:rsidRPr="00D2766A">
        <w:rPr>
          <w:rFonts w:asciiTheme="majorHAnsi" w:eastAsia="Times New Roman" w:hAnsiTheme="majorHAnsi" w:cs="Times New Roman"/>
          <w:color w:val="000000" w:themeColor="text1"/>
          <w:sz w:val="24"/>
          <w:szCs w:val="24"/>
          <w:shd w:val="clear" w:color="auto" w:fill="FFFFFF"/>
          <w:lang w:eastAsia="en-GB"/>
        </w:rPr>
        <w:t>aneugenic</w:t>
      </w:r>
      <w:proofErr w:type="spellEnd"/>
      <w:r w:rsidRPr="00D2766A">
        <w:rPr>
          <w:rFonts w:asciiTheme="majorHAnsi" w:eastAsia="Times New Roman" w:hAnsiTheme="majorHAnsi" w:cs="Times New Roman"/>
          <w:color w:val="000000" w:themeColor="text1"/>
          <w:sz w:val="24"/>
          <w:szCs w:val="24"/>
          <w:shd w:val="clear" w:color="auto" w:fill="FFFFFF"/>
          <w:lang w:eastAsia="en-GB"/>
        </w:rPr>
        <w:t xml:space="preserve"> (i.e. induces aneupl</w:t>
      </w:r>
      <w:r w:rsidR="005002A9" w:rsidRPr="00D2766A">
        <w:rPr>
          <w:rFonts w:asciiTheme="majorHAnsi" w:eastAsia="Times New Roman" w:hAnsiTheme="majorHAnsi" w:cs="Times New Roman"/>
          <w:color w:val="000000" w:themeColor="text1"/>
          <w:sz w:val="24"/>
          <w:szCs w:val="24"/>
          <w:shd w:val="clear" w:color="auto" w:fill="FFFFFF"/>
          <w:lang w:eastAsia="en-GB"/>
        </w:rPr>
        <w:t xml:space="preserve">oidy), as well as </w:t>
      </w:r>
      <w:proofErr w:type="spellStart"/>
      <w:r w:rsidR="005002A9" w:rsidRPr="00D2766A">
        <w:rPr>
          <w:rFonts w:asciiTheme="majorHAnsi" w:eastAsia="Times New Roman" w:hAnsiTheme="majorHAnsi" w:cs="Times New Roman"/>
          <w:color w:val="000000" w:themeColor="text1"/>
          <w:sz w:val="24"/>
          <w:szCs w:val="24"/>
          <w:shd w:val="clear" w:color="auto" w:fill="FFFFFF"/>
          <w:lang w:eastAsia="en-GB"/>
        </w:rPr>
        <w:t>embryotoxic</w:t>
      </w:r>
      <w:proofErr w:type="spellEnd"/>
      <w:r w:rsidR="00AE1E14">
        <w:rPr>
          <w:rFonts w:asciiTheme="majorHAnsi" w:eastAsia="Times New Roman" w:hAnsiTheme="majorHAnsi" w:cs="Times New Roman"/>
          <w:color w:val="000000" w:themeColor="text1"/>
          <w:sz w:val="24"/>
          <w:szCs w:val="24"/>
          <w:shd w:val="clear" w:color="auto" w:fill="FFFFFF"/>
          <w:lang w:eastAsia="en-GB"/>
        </w:rPr>
        <w:t xml:space="preserve"> </w:t>
      </w:r>
      <w:r w:rsidR="00AE1E14" w:rsidRPr="00D2766A">
        <w:rPr>
          <w:rFonts w:asciiTheme="majorHAnsi" w:eastAsia="Times New Roman" w:hAnsiTheme="majorHAnsi" w:cs="Times New Roman"/>
          <w:color w:val="000000" w:themeColor="text1"/>
          <w:sz w:val="24"/>
          <w:szCs w:val="24"/>
          <w:shd w:val="clear" w:color="auto" w:fill="FFFFFF"/>
          <w:lang w:eastAsia="en-GB"/>
        </w:rPr>
        <w:fldChar w:fldCharType="begin" w:fldLock="1"/>
      </w:r>
      <w:r w:rsidR="00AE1E14" w:rsidRPr="00D2766A">
        <w:rPr>
          <w:rFonts w:asciiTheme="majorHAnsi" w:eastAsia="Times New Roman" w:hAnsiTheme="majorHAnsi" w:cs="Times New Roman"/>
          <w:color w:val="000000" w:themeColor="text1"/>
          <w:sz w:val="24"/>
          <w:szCs w:val="24"/>
          <w:shd w:val="clear" w:color="auto" w:fill="FFFFFF"/>
          <w:lang w:eastAsia="en-GB"/>
        </w:rPr>
        <w:instrText>ADDIN CSL_CITATION { "citationItems" : [ { "id" : "ITEM-1", "itemData" : { "DOI" : "10.1093/mutage/gev070", "ISSN" : "14643804", "PMID" : "26443851", "abstract" : "The anti-parasitic benzimidazole flubendazole has been used for many years to treat intestinal infections in humans and animals. Previous genotoxicity studies have shown that the compound is not a bacterial mutagen and a bone marrow micronucleus test, using a formulation that limited systemic absorption, was negative. The purpose of this study is to explore the genotoxicity of flubendazole and its main metabolites in in vitro micronucleus studies and to test a new oral formulation that improves systemic absorption in an in vivo micronucleus test. The isolated metabolites were also screened using the Ames test for bacterial mutagenicity. It was found that flubendazole, like other chemically related benzimidazoles used in anti-parasitic therapies, is a potent aneugen in vitro. The hydrolysed metabolite of flubendazole is negative in these tests, but the reduced metabolite (R- and S-forms) shows both aneugenic and clastogenic activity. However, in vitro micronucleus tests of flubendazole in the presence of rat liver S9 gave almost identical signals for aneugenicity as they did in the absence of S9, suggesting that any clastogenicity from the reduced metabolite is not sufficient to change the overall profile. Like flubendazole itself, both metabolites are negative in the Ames test. Analysis of dose-response curves from the in vitro tests, using recently developed point of departure approaches, demonstrate that the aneugenic potency of flubendazole is very similar to related anti-parasitic benzimidazoles, including albendazole, which is used in mass drug administration programmes to combat endemic filarial diseases. The in vivo micronucleus test of the new formulation of flubendazole also showed evidence of induced aneugenicity. Analysis of the in vivo data allowed a reference dose for aneugenicity to be established which can be compared with therapeutic exposures of flubendazole when this has been established. Analysis of the plasma from the animals used in the in vivo micronucleus test showed that there is increased exposure to flubendazole compared with previously tested formulations, as well as significant formation of the non-genotoxic hydrolysed metabolite of flubendazole and small levels of the reduced metabolite. In conclusion, this study shows that flubendazole is a potent aneugen in vitro with similar potency to chemically related benzimidazoles currently used as anti-parasitic therapies. The reduced metabolite also has aneugenic properties as well\u2026", "author" : [ { "dropping-particle" : "", "family" : "Tweats", "given" : "David J.", "non-dropping-particle" : "", "parse-names" : false, "suffix" : "" }, { "dropping-particle" : "", "family" : "Johnson", "given" : "George E.", "non-dropping-particle" : "", "parse-names" : false, "suffix" : "" }, { "dropping-particle" : "", "family" : "Scandale", "given" : "Ivan", "non-dropping-particle" : "", "parse-names" : false, "suffix" : "" }, { "dropping-particle" : "", "family" : "Whitwell", "given" : "James", "non-dropping-particle" : "", "parse-names" : false, "suffix" : "" }, { "dropping-particle" : "", "family" : "Evans", "given" : "Dean B.", "non-dropping-particle" : "", "parse-names" : false, "suffix" : "" } ], "container-title" : "Mutagenesis", "id" : "ITEM-1", "issue" : "3", "issued" : { "date-parts" : [ [ "2016" ] ] }, "page" : "309-321", "title" : "Genotoxicity of flubendazole and its metabolites in vitro and the impact of a new formulation on in vivo aneugenicity", "type" : "article-journal", "volume" : "31" }, "uris" : [ "http://www.mendeley.com/documents/?uuid=2ca77258-daae-4d65-8095-35c43c9e8d17" ] } ], "mendeley" : { "formattedCitation" : "(17)", "plainTextFormattedCitation" : "(17)", "previouslyFormattedCitation" : "(17)" }, "properties" : { "noteIndex" : 0 }, "schema" : "https://github.com/citation-style-language/schema/raw/master/csl-citation.json" }</w:instrText>
      </w:r>
      <w:r w:rsidR="00AE1E14" w:rsidRPr="00D2766A">
        <w:rPr>
          <w:rFonts w:asciiTheme="majorHAnsi" w:eastAsia="Times New Roman" w:hAnsiTheme="majorHAnsi" w:cs="Times New Roman"/>
          <w:color w:val="000000" w:themeColor="text1"/>
          <w:sz w:val="24"/>
          <w:szCs w:val="24"/>
          <w:shd w:val="clear" w:color="auto" w:fill="FFFFFF"/>
          <w:lang w:eastAsia="en-GB"/>
        </w:rPr>
        <w:fldChar w:fldCharType="separate"/>
      </w:r>
      <w:r w:rsidR="00AE1E14" w:rsidRPr="00D2766A">
        <w:rPr>
          <w:rFonts w:asciiTheme="majorHAnsi" w:eastAsia="Times New Roman" w:hAnsiTheme="majorHAnsi" w:cs="Times New Roman"/>
          <w:noProof/>
          <w:color w:val="000000" w:themeColor="text1"/>
          <w:sz w:val="24"/>
          <w:szCs w:val="24"/>
          <w:shd w:val="clear" w:color="auto" w:fill="FFFFFF"/>
          <w:lang w:eastAsia="en-GB"/>
        </w:rPr>
        <w:t>(17)</w:t>
      </w:r>
      <w:r w:rsidR="00AE1E14" w:rsidRPr="00D2766A">
        <w:rPr>
          <w:rFonts w:asciiTheme="majorHAnsi" w:eastAsia="Times New Roman" w:hAnsiTheme="majorHAnsi" w:cs="Times New Roman"/>
          <w:color w:val="000000" w:themeColor="text1"/>
          <w:sz w:val="24"/>
          <w:szCs w:val="24"/>
          <w:shd w:val="clear" w:color="auto" w:fill="FFFFFF"/>
          <w:lang w:eastAsia="en-GB"/>
        </w:rPr>
        <w:fldChar w:fldCharType="end"/>
      </w:r>
      <w:r w:rsidR="005002A9" w:rsidRPr="00D2766A">
        <w:rPr>
          <w:rFonts w:asciiTheme="majorHAnsi" w:eastAsia="Times New Roman" w:hAnsiTheme="majorHAnsi" w:cs="Times New Roman"/>
          <w:color w:val="000000" w:themeColor="text1"/>
          <w:sz w:val="24"/>
          <w:szCs w:val="24"/>
          <w:shd w:val="clear" w:color="auto" w:fill="FFFFFF"/>
          <w:lang w:eastAsia="en-GB"/>
        </w:rPr>
        <w:t xml:space="preserve">.  </w:t>
      </w:r>
      <w:r w:rsidRPr="00D2766A">
        <w:rPr>
          <w:rFonts w:asciiTheme="majorHAnsi" w:eastAsia="Times New Roman" w:hAnsiTheme="majorHAnsi" w:cs="Times New Roman"/>
          <w:color w:val="000000" w:themeColor="text1"/>
          <w:sz w:val="24"/>
          <w:szCs w:val="24"/>
          <w:shd w:val="clear" w:color="auto" w:fill="FFFFFF"/>
          <w:lang w:eastAsia="en-GB"/>
        </w:rPr>
        <w:t>GLP toxicology studies were performed by Janssen in the rat (5, 15 and 30 mg/kg/day in male rats and 2.5, 5 and 10 mg/kg/day in female rats) and in the dog (20, 40 a</w:t>
      </w:r>
      <w:r w:rsidR="005002A9" w:rsidRPr="00D2766A">
        <w:rPr>
          <w:rFonts w:asciiTheme="majorHAnsi" w:eastAsia="Times New Roman" w:hAnsiTheme="majorHAnsi" w:cs="Times New Roman"/>
          <w:color w:val="000000" w:themeColor="text1"/>
          <w:sz w:val="24"/>
          <w:szCs w:val="24"/>
          <w:shd w:val="clear" w:color="auto" w:fill="FFFFFF"/>
          <w:lang w:eastAsia="en-GB"/>
        </w:rPr>
        <w:t xml:space="preserve">nd 100 mg/kg/day) for 2 weeks.  </w:t>
      </w:r>
      <w:r w:rsidRPr="00D2766A">
        <w:rPr>
          <w:rFonts w:asciiTheme="majorHAnsi" w:eastAsia="Times New Roman" w:hAnsiTheme="majorHAnsi" w:cs="Times New Roman"/>
          <w:color w:val="000000" w:themeColor="text1"/>
          <w:sz w:val="24"/>
          <w:szCs w:val="24"/>
          <w:shd w:val="clear" w:color="auto" w:fill="FFFFFF"/>
          <w:lang w:eastAsia="en-GB"/>
        </w:rPr>
        <w:t xml:space="preserve">These experiments showed evidence of toxicity related to the pharmacological activity of </w:t>
      </w:r>
      <w:r w:rsidR="005002A9" w:rsidRPr="00D2766A">
        <w:rPr>
          <w:rFonts w:asciiTheme="majorHAnsi" w:eastAsia="Times New Roman" w:hAnsiTheme="majorHAnsi" w:cs="Times New Roman"/>
          <w:color w:val="000000" w:themeColor="text1"/>
          <w:sz w:val="24"/>
          <w:szCs w:val="24"/>
          <w:shd w:val="clear" w:color="auto" w:fill="FFFFFF"/>
          <w:lang w:eastAsia="en-GB"/>
        </w:rPr>
        <w:t>f</w:t>
      </w:r>
      <w:r w:rsidRPr="00D2766A">
        <w:rPr>
          <w:rFonts w:asciiTheme="majorHAnsi" w:eastAsia="Times New Roman" w:hAnsiTheme="majorHAnsi" w:cs="Times New Roman"/>
          <w:color w:val="000000" w:themeColor="text1"/>
          <w:sz w:val="24"/>
          <w:szCs w:val="24"/>
          <w:shd w:val="clear" w:color="auto" w:fill="FFFFFF"/>
          <w:lang w:eastAsia="en-GB"/>
        </w:rPr>
        <w:t xml:space="preserve">lubendazole in the gastrointestinal tract, lymphoid system and the bone marrow, as well as testicular toxicity in both rat and dog. </w:t>
      </w:r>
      <w:r w:rsidR="005002A9" w:rsidRPr="00D2766A">
        <w:rPr>
          <w:rFonts w:asciiTheme="majorHAnsi" w:eastAsia="Times New Roman" w:hAnsiTheme="majorHAnsi" w:cs="Times New Roman"/>
          <w:color w:val="000000" w:themeColor="text1"/>
          <w:sz w:val="24"/>
          <w:szCs w:val="24"/>
          <w:shd w:val="clear" w:color="auto" w:fill="FFFFFF"/>
          <w:lang w:eastAsia="en-GB"/>
        </w:rPr>
        <w:t xml:space="preserve"> </w:t>
      </w:r>
      <w:r w:rsidRPr="00D2766A">
        <w:rPr>
          <w:rFonts w:asciiTheme="majorHAnsi" w:eastAsia="Times New Roman" w:hAnsiTheme="majorHAnsi" w:cs="Times New Roman"/>
          <w:color w:val="000000" w:themeColor="text1"/>
          <w:sz w:val="24"/>
          <w:szCs w:val="24"/>
          <w:shd w:val="clear" w:color="auto" w:fill="FFFFFF"/>
          <w:lang w:eastAsia="en-GB"/>
        </w:rPr>
        <w:t xml:space="preserve">In the dog, liver </w:t>
      </w:r>
      <w:r w:rsidR="005002A9" w:rsidRPr="00D2766A">
        <w:rPr>
          <w:rFonts w:asciiTheme="majorHAnsi" w:eastAsia="Times New Roman" w:hAnsiTheme="majorHAnsi" w:cs="Times New Roman"/>
          <w:color w:val="000000" w:themeColor="text1"/>
          <w:sz w:val="24"/>
          <w:szCs w:val="24"/>
          <w:shd w:val="clear" w:color="auto" w:fill="FFFFFF"/>
          <w:lang w:eastAsia="en-GB"/>
        </w:rPr>
        <w:t xml:space="preserve">toxicity was also observed.  </w:t>
      </w:r>
      <w:r w:rsidRPr="00D2766A">
        <w:rPr>
          <w:rFonts w:asciiTheme="majorHAnsi" w:eastAsia="Times New Roman" w:hAnsiTheme="majorHAnsi" w:cs="Times New Roman"/>
          <w:color w:val="000000" w:themeColor="text1"/>
          <w:sz w:val="24"/>
          <w:szCs w:val="24"/>
          <w:shd w:val="clear" w:color="auto" w:fill="FFFFFF"/>
          <w:lang w:eastAsia="en-GB"/>
        </w:rPr>
        <w:t>As a result, the development program was stopped based on an unacceptable risk/benefit profile in humans.  This also halted our own efforts to develop flubendazole for cryptococcal meningitis.</w:t>
      </w:r>
    </w:p>
    <w:p w14:paraId="6B7A2CC9" w14:textId="2084A369" w:rsidR="009F62C6" w:rsidRDefault="00187072" w:rsidP="00EB3D34">
      <w:pPr>
        <w:spacing w:after="120" w:line="480" w:lineRule="auto"/>
        <w:ind w:firstLine="720"/>
        <w:rPr>
          <w:rFonts w:asciiTheme="majorHAnsi" w:hAnsiTheme="majorHAnsi"/>
          <w:sz w:val="24"/>
          <w:szCs w:val="24"/>
          <w:lang w:val="en-US"/>
        </w:rPr>
      </w:pPr>
      <w:r w:rsidRPr="00D2766A">
        <w:rPr>
          <w:rFonts w:asciiTheme="majorHAnsi" w:hAnsiTheme="majorHAnsi"/>
          <w:color w:val="000000" w:themeColor="text1"/>
          <w:sz w:val="24"/>
          <w:szCs w:val="24"/>
          <w:lang w:val="en-US"/>
        </w:rPr>
        <w:t xml:space="preserve">Flubendazole has striking </w:t>
      </w:r>
      <w:r w:rsidRPr="00D2766A">
        <w:rPr>
          <w:rFonts w:asciiTheme="majorHAnsi" w:hAnsiTheme="majorHAnsi"/>
          <w:i/>
          <w:color w:val="000000" w:themeColor="text1"/>
          <w:sz w:val="24"/>
          <w:szCs w:val="24"/>
          <w:lang w:val="en-US"/>
        </w:rPr>
        <w:t>in vitro</w:t>
      </w:r>
      <w:r w:rsidRPr="00D2766A">
        <w:rPr>
          <w:rFonts w:asciiTheme="majorHAnsi" w:hAnsiTheme="majorHAnsi"/>
          <w:color w:val="000000" w:themeColor="text1"/>
          <w:sz w:val="24"/>
          <w:szCs w:val="24"/>
          <w:lang w:val="en-US"/>
        </w:rPr>
        <w:t xml:space="preserve"> activity against </w:t>
      </w:r>
      <w:r w:rsidRPr="00D2766A">
        <w:rPr>
          <w:rFonts w:asciiTheme="majorHAnsi" w:hAnsiTheme="majorHAnsi"/>
          <w:i/>
          <w:color w:val="000000" w:themeColor="text1"/>
          <w:sz w:val="24"/>
          <w:szCs w:val="24"/>
          <w:lang w:val="en-US"/>
        </w:rPr>
        <w:t>Cryptococcus neoformans</w:t>
      </w:r>
      <w:r w:rsidRPr="00D2766A">
        <w:rPr>
          <w:rFonts w:asciiTheme="majorHAnsi" w:hAnsiTheme="majorHAnsi"/>
          <w:color w:val="000000" w:themeColor="text1"/>
          <w:sz w:val="24"/>
          <w:szCs w:val="24"/>
          <w:lang w:val="en-US"/>
        </w:rPr>
        <w:t xml:space="preserve"> that was </w:t>
      </w:r>
      <w:r>
        <w:rPr>
          <w:rFonts w:asciiTheme="majorHAnsi" w:hAnsiTheme="majorHAnsi"/>
          <w:sz w:val="24"/>
          <w:szCs w:val="24"/>
          <w:lang w:val="en-US"/>
        </w:rPr>
        <w:t xml:space="preserve">evident in the MIC testing and </w:t>
      </w:r>
      <w:r w:rsidR="00080BD5">
        <w:rPr>
          <w:rFonts w:asciiTheme="majorHAnsi" w:hAnsiTheme="majorHAnsi"/>
          <w:sz w:val="24"/>
          <w:szCs w:val="24"/>
          <w:lang w:val="en-US"/>
        </w:rPr>
        <w:t xml:space="preserve">the </w:t>
      </w:r>
      <w:r w:rsidR="001262DD">
        <w:rPr>
          <w:rFonts w:asciiTheme="majorHAnsi" w:hAnsiTheme="majorHAnsi"/>
          <w:sz w:val="24"/>
          <w:szCs w:val="24"/>
          <w:lang w:val="en-US"/>
        </w:rPr>
        <w:t xml:space="preserve">pharmacodynamic studies in the </w:t>
      </w:r>
      <w:r w:rsidR="00080BD5">
        <w:rPr>
          <w:rFonts w:asciiTheme="majorHAnsi" w:hAnsiTheme="majorHAnsi"/>
          <w:sz w:val="24"/>
          <w:szCs w:val="24"/>
          <w:lang w:val="en-US"/>
        </w:rPr>
        <w:t xml:space="preserve">hollow </w:t>
      </w:r>
      <w:r w:rsidR="00AC7771">
        <w:rPr>
          <w:rFonts w:asciiTheme="majorHAnsi" w:hAnsiTheme="majorHAnsi"/>
          <w:sz w:val="24"/>
          <w:szCs w:val="24"/>
          <w:lang w:val="en-US"/>
        </w:rPr>
        <w:t>fiber</w:t>
      </w:r>
      <w:r w:rsidR="00080BD5">
        <w:rPr>
          <w:rFonts w:asciiTheme="majorHAnsi" w:hAnsiTheme="majorHAnsi"/>
          <w:sz w:val="24"/>
          <w:szCs w:val="24"/>
          <w:lang w:val="en-US"/>
        </w:rPr>
        <w:t xml:space="preserve"> </w:t>
      </w:r>
      <w:r w:rsidR="00BA05FB">
        <w:rPr>
          <w:rFonts w:asciiTheme="majorHAnsi" w:hAnsiTheme="majorHAnsi"/>
          <w:sz w:val="24"/>
          <w:szCs w:val="24"/>
          <w:lang w:val="en-US"/>
        </w:rPr>
        <w:t xml:space="preserve">infection </w:t>
      </w:r>
      <w:r w:rsidR="00080BD5">
        <w:rPr>
          <w:rFonts w:asciiTheme="majorHAnsi" w:hAnsiTheme="majorHAnsi"/>
          <w:sz w:val="24"/>
          <w:szCs w:val="24"/>
          <w:lang w:val="en-US"/>
        </w:rPr>
        <w:t xml:space="preserve">model.  There was modest </w:t>
      </w:r>
      <w:r w:rsidR="00C5323F">
        <w:rPr>
          <w:rFonts w:asciiTheme="majorHAnsi" w:hAnsiTheme="majorHAnsi"/>
          <w:sz w:val="24"/>
          <w:szCs w:val="24"/>
          <w:lang w:val="en-US"/>
        </w:rPr>
        <w:t xml:space="preserve">antifungal </w:t>
      </w:r>
      <w:r w:rsidR="00080BD5">
        <w:rPr>
          <w:rFonts w:asciiTheme="majorHAnsi" w:hAnsiTheme="majorHAnsi"/>
          <w:sz w:val="24"/>
          <w:szCs w:val="24"/>
          <w:lang w:val="en-US"/>
        </w:rPr>
        <w:t xml:space="preserve">activity </w:t>
      </w:r>
      <w:r>
        <w:rPr>
          <w:rFonts w:asciiTheme="majorHAnsi" w:hAnsiTheme="majorHAnsi"/>
          <w:sz w:val="24"/>
          <w:szCs w:val="24"/>
          <w:lang w:val="en-US"/>
        </w:rPr>
        <w:t>in the murine model</w:t>
      </w:r>
      <w:r w:rsidR="00080BD5">
        <w:rPr>
          <w:rFonts w:asciiTheme="majorHAnsi" w:hAnsiTheme="majorHAnsi"/>
          <w:sz w:val="24"/>
          <w:szCs w:val="24"/>
          <w:lang w:val="en-US"/>
        </w:rPr>
        <w:t xml:space="preserve">, which </w:t>
      </w:r>
      <w:r w:rsidR="00BA05FB">
        <w:rPr>
          <w:rFonts w:asciiTheme="majorHAnsi" w:hAnsiTheme="majorHAnsi"/>
          <w:sz w:val="24"/>
          <w:szCs w:val="24"/>
          <w:lang w:val="en-US"/>
        </w:rPr>
        <w:t>i</w:t>
      </w:r>
      <w:r w:rsidR="00080BD5">
        <w:rPr>
          <w:rFonts w:asciiTheme="majorHAnsi" w:hAnsiTheme="majorHAnsi"/>
          <w:sz w:val="24"/>
          <w:szCs w:val="24"/>
          <w:lang w:val="en-US"/>
        </w:rPr>
        <w:t>s no</w:t>
      </w:r>
      <w:r w:rsidR="00BA05FB">
        <w:rPr>
          <w:rFonts w:asciiTheme="majorHAnsi" w:hAnsiTheme="majorHAnsi"/>
          <w:sz w:val="24"/>
          <w:szCs w:val="24"/>
          <w:lang w:val="en-US"/>
        </w:rPr>
        <w:t xml:space="preserve">t as prominent as </w:t>
      </w:r>
      <w:r w:rsidR="00A85965">
        <w:rPr>
          <w:rFonts w:asciiTheme="majorHAnsi" w:hAnsiTheme="majorHAnsi"/>
          <w:sz w:val="24"/>
          <w:szCs w:val="24"/>
          <w:lang w:val="en-US"/>
        </w:rPr>
        <w:t xml:space="preserve">that </w:t>
      </w:r>
      <w:r w:rsidR="00657B51">
        <w:rPr>
          <w:rFonts w:asciiTheme="majorHAnsi" w:hAnsiTheme="majorHAnsi"/>
          <w:sz w:val="24"/>
          <w:szCs w:val="24"/>
          <w:lang w:val="en-US"/>
        </w:rPr>
        <w:t>previously</w:t>
      </w:r>
      <w:r w:rsidR="00A85965">
        <w:rPr>
          <w:rFonts w:asciiTheme="majorHAnsi" w:hAnsiTheme="majorHAnsi"/>
          <w:sz w:val="24"/>
          <w:szCs w:val="24"/>
          <w:lang w:val="en-US"/>
        </w:rPr>
        <w:t xml:space="preserve"> </w:t>
      </w:r>
      <w:r w:rsidR="00657B51">
        <w:rPr>
          <w:rFonts w:asciiTheme="majorHAnsi" w:hAnsiTheme="majorHAnsi"/>
          <w:sz w:val="24"/>
          <w:szCs w:val="24"/>
          <w:lang w:val="en-US"/>
        </w:rPr>
        <w:t>described by us</w:t>
      </w:r>
      <w:r w:rsidR="00A85965">
        <w:rPr>
          <w:rFonts w:asciiTheme="majorHAnsi" w:hAnsiTheme="majorHAnsi"/>
          <w:sz w:val="24"/>
          <w:szCs w:val="24"/>
          <w:lang w:val="en-US"/>
        </w:rPr>
        <w:t xml:space="preserve"> for </w:t>
      </w:r>
      <w:r w:rsidR="00BA05FB">
        <w:rPr>
          <w:rFonts w:asciiTheme="majorHAnsi" w:hAnsiTheme="majorHAnsi"/>
          <w:sz w:val="24"/>
          <w:szCs w:val="24"/>
          <w:lang w:val="en-US"/>
        </w:rPr>
        <w:t>fluconazole,</w:t>
      </w:r>
      <w:r w:rsidR="00080BD5">
        <w:rPr>
          <w:rFonts w:asciiTheme="majorHAnsi" w:hAnsiTheme="majorHAnsi"/>
          <w:sz w:val="24"/>
          <w:szCs w:val="24"/>
          <w:lang w:val="en-US"/>
        </w:rPr>
        <w:t xml:space="preserve"> amphotericin B deoxycholate or liposomal amphotericin B</w:t>
      </w:r>
      <w:r w:rsidR="0041013B">
        <w:rPr>
          <w:rFonts w:asciiTheme="majorHAnsi" w:hAnsiTheme="majorHAnsi"/>
          <w:sz w:val="24"/>
          <w:szCs w:val="24"/>
          <w:lang w:val="en-US"/>
        </w:rPr>
        <w:t xml:space="preserve"> </w:t>
      </w:r>
      <w:r w:rsidR="003052DE">
        <w:rPr>
          <w:rFonts w:asciiTheme="majorHAnsi" w:hAnsiTheme="majorHAnsi"/>
          <w:sz w:val="24"/>
          <w:szCs w:val="24"/>
          <w:lang w:val="en-US"/>
        </w:rPr>
        <w:fldChar w:fldCharType="begin" w:fldLock="1"/>
      </w:r>
      <w:r w:rsidR="005002A9">
        <w:rPr>
          <w:rFonts w:asciiTheme="majorHAnsi" w:hAnsiTheme="majorHAnsi"/>
          <w:sz w:val="24"/>
          <w:szCs w:val="24"/>
          <w:lang w:val="en-US"/>
        </w:rPr>
        <w:instrText>ADDIN CSL_CITATION { "citationItems" : [ { "id" : "ITEM-1", "itemData" : { "DOI" : "10.1128/mBio.00725-13", "ISBN" : "2150-7511 (Electronic)", "ISSN" : "2150-7511", "PMID" : "24473125", "abstract" : "ABSTRACT Cryptococcal meningoencephalitis is an urgent global health problem. Induction regimens using 14 days of amphotericin B deoxycholate (dAmB) are considered the standard of care but may not be suitable for resource-poor settings. We investigated the efficacy of conventional and abbreviated regimens of dAmB for cryptococcal meningoencephalitis in both murine and rabbit models of cryptococcal meningoencephalitis. We examined the extent to which immunological effectors contribute to the antifungal effect. We bridged the results to humans as a first critical step to define regimens suitable for further study in clinical trials. There were significant differences in the murine plasma-versus-cerebrum dAmB concentration-time profiles. dAmB was detectable in the cerebrum throughout the experimental period, even following the administration of only three doses of 3 mg/kg. dAmB induced a fungistatic effect in the cerebrum with a 2- to 3-log10 CFU/g reduction compared with controls. The effect of 3 days of therapy was the same as that of daily therapy for 14 days. There was no evidence of increased numbers of CD3(+) CD4(+) or CD3(+) CD8(+) cells in treated mice to account for the persistent antifungal effect of an abbreviated regimen. The administration of dAmB at 1 mg/kg/day for 3 days was the same as daily therapy in rabbits. The bridging studies suggested that a human regimen of 0.7 mg/kg/day for 3 days resulted in nearly maximal antifungal activity in both the cerebrum and cerebrospinal fluid. An abbreviated regimen (3 days of therapy) of dAmB appears to be just as effective as conventional induction therapy for cryptococcal meningoencephalitis. IMPORTANCE Cryptococcal meningitis is a significant and neglected infection that is associated with excessive morbidity and mortality. In well-resourced health care settings, induction therapy with at least 2 weeks of amphotericin B deoxycholate (dAmB) is advocated. Multiple clinical studies suggest that dAmB is the drug of choice for cryptococcal meningitis. In many parts of the world where the burden of cryptococcal meningitis is highest, it is infeasible to administer dAmB for prolonged periods. This paper provides the experimental basis for the efficacy of abbreviated regimens of dAmB for cryptococcal meningitis. The concept was explored in two well-validated laboratory animal models of cryptococcal meningitis, and the results were bridged to humans by using a range of mathematical modeling techniques. A 3-d\u2026", "author" : [ { "dropping-particle" : "", "family" : "Livermore", "given" : "Joanne", "non-dropping-particle" : "", "parse-names" : false, "suffix" : "" }, { "dropping-particle" : "", "family" : "Howard", "given" : "Susan J", "non-dropping-particle" : "", "parse-names" : false, "suffix" : "" }, { "dropping-particle" : "", "family" : "Sharp", "given" : "Andrew D", "non-dropping-particle" : "", "parse-names" : false, "suffix" : "" }, { "dropping-particle" : "", "family" : "Goodwin", "given" : "Joanne", "non-dropping-particle" : "", "parse-names" : false, "suffix" : "" }, { "dropping-particle" : "", "family" : "Gregson", "given" : "Lea", "non-dropping-particle" : "", "parse-names" : false, "suffix" : "" }, { "dropping-particle" : "", "family" : "Felton", "given" : "Timothy", "non-dropping-particle" : "", "parse-names" : false, "suffix" : "" }, { "dropping-particle" : "", "family" : "Schwartz", "given" : "Julie A", "non-dropping-particle" : "", "parse-names" : false, "suffix" : "" }, { "dropping-particle" : "", "family" : "Walker", "given" : "Catherine", "non-dropping-particle" : "", "parse-names" : false, "suffix" : "" }, { "dropping-particle" : "", "family" : "Moser", "given" : "Bill", "non-dropping-particle" : "", "parse-names" : false, "suffix" : "" }, { "dropping-particle" : "", "family" : "M\u00fcller", "given" : "Werner", "non-dropping-particle" : "", "parse-names" : false, "suffix" : "" }, { "dropping-particle" : "", "family" : "Harrison", "given" : "Thomas S", "non-dropping-particle" : "", "parse-names" : false, "suffix" : "" }, { "dropping-particle" : "", "family" : "Perfect", "given" : "John R", "non-dropping-particle" : "", "parse-names" : false, "suffix" : "" }, { "dropping-particle" : "", "family" : "Hope", "given" : "William W", "non-dropping-particle" : "", "parse-names" : false, "suffix" : "" }, { "dropping-particle" : "", "family" : "Muller", "given" : "W", "non-dropping-particle" : "", "parse-names" : false, "suffix" : "" } ], "container-title" : "MBio", "id" : "ITEM-1", "issue" : "1", "issued" : { "date-parts" : [ [ "2013", "1" ] ] }, "language" : "eng", "note" : "From Duplicate 1 ( \n\nEfficacy of an abbreviated induction regimen of amphotericin B deoxycholate for cryptococcal meningoencephalitis: 3 days of therapy is equivalent to 14 days\n\n- Livermore, Joanne; Howard, Susan J; Sharp, Andrew D; Goodwin, Joanne; Gregson, Lea; Felton, Timothy; Schwartz, Julie A; Walker, Catherine; Moser, Bill; Muller, W; Harrison, Thomas S; Perfect, John R; Hope, William W; M\u00fcller, Werner )\n\n\n\n\nFrom Duplicate 2 ( \n\n\nEfficacy of an abbreviated induction regimen of amphotericin B deoxycholate for cryptococcal meningoencephalitis: 3 days of therapy is equivalent to 14 days\n\n\n- Livermore, J; Howard, S J; Sharp, A D; Goodwin, J; Gregson, L; Felton, T; Schwartz, J A; Walker, C; Moser, B; Muller, W; Harrison, T S; Perfect, J R; Hope, W W )\nAnd Duplicate 5 ( \n\n\nEfficacy of an abbreviated induction regimen of amphotericin B deoxycholate for cryptococcal meningoencephalitis: 3 days of therapy is equivalent to 14 days\n\n\n- Livermore, J; Howard, S J; Sharp, A D; Goodwin, J; Gregson, L; Felton, T; Schwartz, J A; Walker, C; Moser, B; Muller, W; Harrison, T S; Perfect, J R; Hope, W W )\n\n\n\nLivermore, Joanne\nHoward, Susan J\nSharp, Andrew D\nGoodwin, Joanne\nGregson, Lea\nFelton, Timothy\nSchwartz, Julie A\nWalker, Catherine\nMoser, Bill\nMuller, Werner\nHarrison, Thomas S\nPerfect, John R\nHope, William W\nMBio. 2014 Jan 28;5(1). pii: e00725-13. doi: 10.1128/mBio.00725-13.\n\n\n\nFrom Duplicate 3 ( \n\n\nEfficacy of an abbreviated induction regimen of amphotericin B deoxycholate for cryptococcal meningoencephalitis: 3 days of therapy is equivalent to 14 days\n\n\n- Livermore, J; Howard, S J; Sharp, A D; Goodwin, J; Gregson, L; Felton, T; Schwartz, J A; Walker, C; Moser, B; Muller, W; Harrison, T S; Perfect, J R; Hope, W W )\n\n\n\nLivermore, Joanne\nHoward, Susan J\nSharp, Andrew D\nGoodwin, Joanne\nGregson, Lea\nFelton, Timothy\nSchwartz, Julie A\nWalker, Catherine\nMoser, Bill\nMuller, Werner\nHarrison, Thomas S\nPerfect, John R\nHope, William W\nMedical Research Council/United Kingdom\nMBio. 2014 Jan 28;5(1):e00725-13. doi: 10.1128/mBio.00725-13.", "page" : "e00725-13", "title" : "Efficacy of an abbreviated induction regimen of amphotericin B deoxycholate for cryptococcal meningoencephalitis: 3 days of therapy is equivalent to 14 days.", "type" : "article-journal", "volume" : "5" }, "uris" : [ "http://www.mendeley.com/documents/?uuid=6803223e-d042-45ce-ae72-b2390a2ac088", "http://www.mendeley.com/documents/?uuid=035b3437-87ea-44d8-82a1-034078cc92a9" ] }, { "id" : "ITEM-2", "itemData" : { "DOI" : "10.1128/aac.00090-17", "PMID" : "28320715", "author" : [ { "dropping-particle" : "", "family" : "Lestner", "given" : "J", "non-dropping-particle" : "", "parse-names" : false, "suffix" : "" }, { "dropping-particle" : "", "family" : "McEntee", "given" : "L", "non-dropping-particle" : "", "parse-names" : false, "suffix" : "" }, { "dropping-particle" : "", "family" : "Johnson", "given" : "A", "non-dropping-particle" : "", "parse-names" : false, "suffix" : "" }, { "dropping-particle" : "", "family" : "Livermore", "given" : "J", "non-dropping-particle" : "", "parse-names" : false, "suffix" : "" }, { "dropping-particle" : "", "family" : "Whalley", "given" : "S", "non-dropping-particle" : "", "parse-names" : false, "suffix" : "" }, { "dropping-particle" : "", "family" : "Schwartz", "given" : "J", "non-dropping-particle" : "", "parse-names" : false, "suffix" : "" }, { "dropping-particle" : "", "family" : "Perfect", "given" : "J R", "non-dropping-particle" : "", "parse-names" : false, "suffix" : "" }, { "dropping-particle" : "", "family" : "Harrison", "given" : "T", "non-dropping-particle" : "", "parse-names" : false, "suffix" : "" }, { "dropping-particle" : "", "family" : "Hope", "given" : "W", "non-dropping-particle" : "", "parse-names" : false, "suffix" : "" } ], "id" : "ITEM-2", "issued" : { "date-parts" : [ [ "2017", "3" ] ] }, "title" : "Experimental Models of Short Courses of Liposomal Amphotericin B for Induction Therapy for Cryptococcal Meningitis.", "type" : "article-journal" }, "uris" : [ "http://www.mendeley.com/documents/?uuid=cb4f9720-a36c-380f-8211-49a91736ea8d", "http://www.mendeley.com/documents/?uuid=5528f729-d0d7-436d-a927-3795f9a05730" ] }, { "id" : "ITEM-3", "itemData" : { "DOI" : "10.1128/AAC.00216-13", "ISBN" : "1098-6596 (Electronic) 0066-4804 (Linking)", "ISSN" : "1098-6596", "PMID" : "23571544", "abstract" : "Fluconazole is frequently the only antifungal agent that is available for induction therapy for cryptococcal meningitis. There is relatively little understanding of the pharmacokinetics and pharmacodynamics (PK-PD) of fluconazole in this setting. PK-PD relationships were estimated with 4 clinical isolates of Cryptococcus neoformans. MICs were determined using Clinical and Laboratory Standards Institute (CLSI) methodology. A nonimmunosuppressed murine model of cryptococcal meningitis was used. Mice received two different doses of fluconazole (125 mg/kg of body weight/day and 250 mg/kg of body weight/day) orally for 9 days; a control group of mice was not given fluconazole. Fluconazole concentrations in plasma and in the cerebrum were determined using high-performance liquid chromatography (HPLC). The cryptococcal density in the brain was estimated using quantitative cultures. A mathematical model was fitted to the PK-PD data. The experimental results were extrapolated to humans (bridging study). The PK were linear. A dose-dependent decline in fungal burden was observed, with near-maximal activity evident with dosages of 250 mg/kg/day. The MIC was important for understanding the exposure-response relationships. The mean AUC/MIC ratio associated with stasis was 389. The results of the bridging study suggested that only 66.7% of patients receiving 1,200 mg/kg would achieve or exceed an AUC/MIC ratio of 389. The potential breakpoints for fluconazole against Cryptococcus neoformans follow: susceptible, &lt;/= 2 mg/liter; resistant, &gt;2 mg/liter. Fluconazole may be an inferior agent for induction therapy because many patients cannot achieve the pharmacodynamic target. Clinical breakpoints are likely to be significantly lower than epidemiological cutoff values. The MIC may guide the appropriate use of fluconazole. If fluconazole is the only option for induction therapy, then the highest possible dose should be used.", "author" : [ { "dropping-particle" : "", "family" : "Sudan", "given" : "Ajay", "non-dropping-particle" : "", "parse-names" : false, "suffix" : "" }, { "dropping-particle" : "", "family" : "Livermore", "given" : "Joanne", "non-dropping-particle" : "", "parse-names" : false, "suffix" : "" }, { "dropping-particle" : "", "family" : "Howard", "given" : "Susan J", "non-dropping-particle" : "", "parse-names" : false, "suffix" : "" }, { "dropping-particle" : "", "family" : "Al-Nakeeb", "given" : "Zaid", "non-dropping-particle" : "", "parse-names" : false, "suffix" : "" }, { "dropping-particle" : "", "family" : "Sharp", "given" : "Andrew", "non-dropping-particle" : "", "parse-names" : false, "suffix" : "" }, { "dropping-particle" : "", "family" : "Goodwin", "given" : "Joanne", "non-dropping-particle" : "", "parse-names" : false, "suffix" : "" }, { "dropping-particle" : "", "family" : "Gregson", "given" : "Lea", "non-dropping-particle" : "", "parse-names" : false, "suffix" : "" }, { "dropping-particle" : "", "family" : "Warn", "given" : "Peter A", "non-dropping-particle" : "", "parse-names" : false, "suffix" : "" }, { "dropping-particle" : "", "family" : "Felton", "given" : "Tim W", "non-dropping-particle" : "", "parse-names" : false, "suffix" : "" }, { "dropping-particle" : "", "family" : "Perfect", "given" : "John R", "non-dropping-particle" : "", "parse-names" : false, "suffix" : "" }, { "dropping-particle" : "", "family" : "others", "given" : "", "non-dropping-particle" : "", "parse-names" : false, "suffix" : "" }, { "dropping-particle" : "", "family" : "Harrison", "given" : "Thomas S", "non-dropping-particle" : "", "parse-names" : false, "suffix" : "" }, { "dropping-particle" : "", "family" : "Hope", "given" : "William W", "non-dropping-particle" : "", "parse-names" : false, "suffix" : "" } ], "container-title" : "Antimicrobial agents and chemotherapy", "id" : "ITEM-3", "issue" : "6", "issued" : { "date-parts" : [ [ "2013", "6" ] ] }, "language" : "eng", "note" : "From Duplicate 1 (Pharmacokinetics and pharmacodynamics of fluconazole for cryptococcal meningoencephalitis: implications for antifungal therapy and in vitro susceptibility breakpoints. - Sudan, Ajay; Livermore, Joanne; Howard, Susan J; Al-Nakeeb, Zaid; Sharp, Andrew; Goodwin, Joanne; Gregson, Lea; Warn, Peter A; Felton, Tim W; Perfect, John R; Harrison, Thomas S; Hope, William W)\n\nFrom Duplicate 2 ( \n\nPharmacokinetics and pharmacodynamics of fluconazole for cryptococcal meningoencephalitis: implications for antifungal therapy and in vitro susceptibility breakpoints\n\n- Sudan, A; Livermore, J; Howard, S J; Al-Nakeeb, Z; Sharp, A; Goodwin, J; Gregson, L; Warn, P A; Felton, T W; Perfect, J R; Harrison, T S; Hope, W W )\n\n\n\nSudan, Ajay\nLivermore, Joanne\nHoward, Susan J\nAl-Nakeeb, Zaid\nSharp, Andrew\nGoodwin, Joanne\nGregson, Lea\nWarn, Peter A\nFelton, Tim W\nPerfect, John R\nHarrison, Thomas S\nHope, William W\nG1001760/2/Medical Research Council/United Kingdom\nAntimicrob Agents Chemother. 2013 Jun;57(6):2793-800. doi: 10.1128/AAC.00216-13. Epub 2013 Apr 9.", "page" : "2793-2800", "title" : "Pharmacokinetics and pharmacodynamics of fluconazole for cryptococcal meningoencephalitis: implications for antifungal therapy and in vitro susceptibility breakpoints", "type" : "article-journal", "volume" : "57" }, "uris" : [ "http://www.mendeley.com/documents/?uuid=6367e111-ea48-4f34-b7ab-3dcdb7053acb", "http://www.mendeley.com/documents/?uuid=c5069e26-1635-4ff4-bbce-5d7cd3f7706c" ] } ], "mendeley" : { "formattedCitation" : "(8, 18, 19)", "plainTextFormattedCitation" : "(8, 18, 19)", "previouslyFormattedCitation" : "(8, 18, 19)" }, "properties" : { "noteIndex" : 0 }, "schema" : "https://github.com/citation-style-language/schema/raw/master/csl-citation.json" }</w:instrText>
      </w:r>
      <w:r w:rsidR="003052DE">
        <w:rPr>
          <w:rFonts w:asciiTheme="majorHAnsi" w:hAnsiTheme="majorHAnsi"/>
          <w:sz w:val="24"/>
          <w:szCs w:val="24"/>
          <w:lang w:val="en-US"/>
        </w:rPr>
        <w:fldChar w:fldCharType="separate"/>
      </w:r>
      <w:r w:rsidR="005002A9" w:rsidRPr="005002A9">
        <w:rPr>
          <w:rFonts w:asciiTheme="majorHAnsi" w:hAnsiTheme="majorHAnsi"/>
          <w:noProof/>
          <w:sz w:val="24"/>
          <w:szCs w:val="24"/>
          <w:lang w:val="en-US"/>
        </w:rPr>
        <w:t>(8, 18, 19)</w:t>
      </w:r>
      <w:r w:rsidR="003052DE">
        <w:rPr>
          <w:rFonts w:asciiTheme="majorHAnsi" w:hAnsiTheme="majorHAnsi"/>
          <w:sz w:val="24"/>
          <w:szCs w:val="24"/>
          <w:lang w:val="en-US"/>
        </w:rPr>
        <w:fldChar w:fldCharType="end"/>
      </w:r>
      <w:r>
        <w:rPr>
          <w:rFonts w:asciiTheme="majorHAnsi" w:hAnsiTheme="majorHAnsi"/>
          <w:sz w:val="24"/>
          <w:szCs w:val="24"/>
          <w:lang w:val="en-US"/>
        </w:rPr>
        <w:t xml:space="preserve">.  </w:t>
      </w:r>
      <w:r w:rsidR="00C5323F">
        <w:rPr>
          <w:rFonts w:asciiTheme="majorHAnsi" w:hAnsiTheme="majorHAnsi"/>
          <w:sz w:val="24"/>
          <w:szCs w:val="24"/>
          <w:lang w:val="en-US"/>
        </w:rPr>
        <w:t xml:space="preserve">There was </w:t>
      </w:r>
      <w:r w:rsidR="00BA05FB">
        <w:rPr>
          <w:rFonts w:asciiTheme="majorHAnsi" w:hAnsiTheme="majorHAnsi"/>
          <w:sz w:val="24"/>
          <w:szCs w:val="24"/>
          <w:lang w:val="en-US"/>
        </w:rPr>
        <w:t xml:space="preserve">no </w:t>
      </w:r>
      <w:r w:rsidR="005361C3">
        <w:rPr>
          <w:rFonts w:asciiTheme="majorHAnsi" w:hAnsiTheme="majorHAnsi"/>
          <w:sz w:val="24"/>
          <w:szCs w:val="24"/>
          <w:lang w:val="en-US"/>
        </w:rPr>
        <w:t>unequivocal</w:t>
      </w:r>
      <w:r w:rsidR="00BA05FB">
        <w:rPr>
          <w:rFonts w:asciiTheme="majorHAnsi" w:hAnsiTheme="majorHAnsi"/>
          <w:sz w:val="24"/>
          <w:szCs w:val="24"/>
          <w:lang w:val="en-US"/>
        </w:rPr>
        <w:t xml:space="preserve"> antifungal</w:t>
      </w:r>
      <w:r w:rsidR="00C5323F">
        <w:rPr>
          <w:rFonts w:asciiTheme="majorHAnsi" w:hAnsiTheme="majorHAnsi"/>
          <w:sz w:val="24"/>
          <w:szCs w:val="24"/>
          <w:lang w:val="en-US"/>
        </w:rPr>
        <w:t xml:space="preserve"> activity in the rabbit model of cryptococcal meningoencephalitis, which is </w:t>
      </w:r>
      <w:r w:rsidR="005361C3">
        <w:rPr>
          <w:rFonts w:asciiTheme="majorHAnsi" w:hAnsiTheme="majorHAnsi"/>
          <w:sz w:val="24"/>
          <w:szCs w:val="24"/>
          <w:lang w:val="en-US"/>
        </w:rPr>
        <w:t xml:space="preserve">largely </w:t>
      </w:r>
      <w:r w:rsidR="00C5323F">
        <w:rPr>
          <w:rFonts w:asciiTheme="majorHAnsi" w:hAnsiTheme="majorHAnsi"/>
          <w:sz w:val="24"/>
          <w:szCs w:val="24"/>
          <w:lang w:val="en-US"/>
        </w:rPr>
        <w:t xml:space="preserve">explained by the absence of detectable </w:t>
      </w:r>
      <w:r w:rsidR="00C5323F">
        <w:rPr>
          <w:rFonts w:asciiTheme="majorHAnsi" w:hAnsiTheme="majorHAnsi"/>
          <w:sz w:val="24"/>
          <w:szCs w:val="24"/>
          <w:lang w:val="en-US"/>
        </w:rPr>
        <w:lastRenderedPageBreak/>
        <w:t>flubendazole concentrations in the cerebrum or CSF</w:t>
      </w:r>
      <w:r w:rsidR="00BA05FB">
        <w:rPr>
          <w:rFonts w:asciiTheme="majorHAnsi" w:hAnsiTheme="majorHAnsi"/>
          <w:sz w:val="24"/>
          <w:szCs w:val="24"/>
          <w:lang w:val="en-US"/>
        </w:rPr>
        <w:t xml:space="preserve"> (</w:t>
      </w:r>
      <w:r w:rsidR="00C5323F">
        <w:rPr>
          <w:rFonts w:asciiTheme="majorHAnsi" w:hAnsiTheme="majorHAnsi"/>
          <w:sz w:val="24"/>
          <w:szCs w:val="24"/>
          <w:lang w:val="en-US"/>
        </w:rPr>
        <w:t xml:space="preserve">despite </w:t>
      </w:r>
      <w:r w:rsidR="00BA05FB">
        <w:rPr>
          <w:rFonts w:asciiTheme="majorHAnsi" w:hAnsiTheme="majorHAnsi"/>
          <w:sz w:val="24"/>
          <w:szCs w:val="24"/>
          <w:lang w:val="en-US"/>
        </w:rPr>
        <w:t>readily quantifiable</w:t>
      </w:r>
      <w:r w:rsidR="00C5323F">
        <w:rPr>
          <w:rFonts w:asciiTheme="majorHAnsi" w:hAnsiTheme="majorHAnsi"/>
          <w:sz w:val="24"/>
          <w:szCs w:val="24"/>
          <w:lang w:val="en-US"/>
        </w:rPr>
        <w:t xml:space="preserve"> plasma concentrations</w:t>
      </w:r>
      <w:r w:rsidR="00BA05FB">
        <w:rPr>
          <w:rFonts w:asciiTheme="majorHAnsi" w:hAnsiTheme="majorHAnsi"/>
          <w:sz w:val="24"/>
          <w:szCs w:val="24"/>
          <w:lang w:val="en-US"/>
        </w:rPr>
        <w:t>)</w:t>
      </w:r>
      <w:r w:rsidR="00C5323F">
        <w:rPr>
          <w:rFonts w:asciiTheme="majorHAnsi" w:hAnsiTheme="majorHAnsi"/>
          <w:sz w:val="24"/>
          <w:szCs w:val="24"/>
          <w:lang w:val="en-US"/>
        </w:rPr>
        <w:t xml:space="preserve">. </w:t>
      </w:r>
      <w:r w:rsidR="00EF1F0F">
        <w:rPr>
          <w:rFonts w:asciiTheme="majorHAnsi" w:hAnsiTheme="majorHAnsi"/>
          <w:sz w:val="24"/>
          <w:szCs w:val="24"/>
          <w:lang w:val="en-US"/>
        </w:rPr>
        <w:t xml:space="preserve"> The in vitro susceptibility testing and data from the hollow fiber model suggests that flubendazole is highly potent and fungicidal if able to reach its fungal target in sufficient concentrations.  The diminished activity in the mouse (relative to historical controls) and absence of effect in the rabbit (with non-quantifiable concentrations in the cerebrum and CSF) further support this conclusion.  Hence, successful exploitation of the benzimidazole backbone requires careful attention to physiochemical properties that promote absorption across the gut and the ability to partition into sub</w:t>
      </w:r>
      <w:r w:rsidR="00950BCA">
        <w:rPr>
          <w:rFonts w:asciiTheme="majorHAnsi" w:hAnsiTheme="majorHAnsi"/>
          <w:sz w:val="24"/>
          <w:szCs w:val="24"/>
          <w:lang w:val="en-US"/>
        </w:rPr>
        <w:t>-</w:t>
      </w:r>
      <w:r w:rsidR="00EF1F0F">
        <w:rPr>
          <w:rFonts w:asciiTheme="majorHAnsi" w:hAnsiTheme="majorHAnsi"/>
          <w:sz w:val="24"/>
          <w:szCs w:val="24"/>
          <w:lang w:val="en-US"/>
        </w:rPr>
        <w:t>compartments of the CNS</w:t>
      </w:r>
      <w:r w:rsidR="00C5323F">
        <w:rPr>
          <w:rFonts w:asciiTheme="majorHAnsi" w:hAnsiTheme="majorHAnsi"/>
          <w:sz w:val="24"/>
          <w:szCs w:val="24"/>
          <w:lang w:val="en-US"/>
        </w:rPr>
        <w:t xml:space="preserve">.  </w:t>
      </w:r>
    </w:p>
    <w:p w14:paraId="1589E18F" w14:textId="1B7DB6F5" w:rsidR="00187072" w:rsidRDefault="00AC31F6" w:rsidP="00EB3D34">
      <w:pPr>
        <w:spacing w:after="120" w:line="480" w:lineRule="auto"/>
        <w:ind w:firstLine="720"/>
        <w:rPr>
          <w:rFonts w:asciiTheme="majorHAnsi" w:hAnsiTheme="majorHAnsi"/>
          <w:sz w:val="24"/>
          <w:szCs w:val="24"/>
          <w:lang w:val="en-US"/>
        </w:rPr>
      </w:pPr>
      <w:r>
        <w:rPr>
          <w:rFonts w:asciiTheme="majorHAnsi" w:hAnsiTheme="majorHAnsi"/>
          <w:sz w:val="24"/>
          <w:szCs w:val="24"/>
          <w:lang w:val="en-US"/>
        </w:rPr>
        <w:t xml:space="preserve">Flubendazole did not display a comparable degree of </w:t>
      </w:r>
      <w:r w:rsidRPr="00EF774A">
        <w:rPr>
          <w:rFonts w:asciiTheme="majorHAnsi" w:hAnsiTheme="majorHAnsi"/>
          <w:i/>
          <w:sz w:val="24"/>
          <w:szCs w:val="24"/>
          <w:lang w:val="en-US"/>
        </w:rPr>
        <w:t>in vivo</w:t>
      </w:r>
      <w:r>
        <w:rPr>
          <w:rFonts w:asciiTheme="majorHAnsi" w:hAnsiTheme="majorHAnsi"/>
          <w:sz w:val="24"/>
          <w:szCs w:val="24"/>
          <w:lang w:val="en-US"/>
        </w:rPr>
        <w:t xml:space="preserve"> activity to</w:t>
      </w:r>
      <w:r w:rsidR="00C5323F">
        <w:rPr>
          <w:rFonts w:asciiTheme="majorHAnsi" w:hAnsiTheme="majorHAnsi"/>
          <w:sz w:val="24"/>
          <w:szCs w:val="24"/>
          <w:lang w:val="en-US"/>
        </w:rPr>
        <w:t xml:space="preserve"> other </w:t>
      </w:r>
      <w:r w:rsidR="001262DD">
        <w:rPr>
          <w:rFonts w:asciiTheme="majorHAnsi" w:hAnsiTheme="majorHAnsi"/>
          <w:sz w:val="24"/>
          <w:szCs w:val="24"/>
          <w:lang w:val="en-US"/>
        </w:rPr>
        <w:t xml:space="preserve">first-line </w:t>
      </w:r>
      <w:r w:rsidR="00C5323F">
        <w:rPr>
          <w:rFonts w:asciiTheme="majorHAnsi" w:hAnsiTheme="majorHAnsi"/>
          <w:sz w:val="24"/>
          <w:szCs w:val="24"/>
          <w:lang w:val="en-US"/>
        </w:rPr>
        <w:t>agents</w:t>
      </w:r>
      <w:r w:rsidR="001262DD">
        <w:rPr>
          <w:rFonts w:asciiTheme="majorHAnsi" w:hAnsiTheme="majorHAnsi"/>
          <w:sz w:val="24"/>
          <w:szCs w:val="24"/>
          <w:lang w:val="en-US"/>
        </w:rPr>
        <w:t xml:space="preserve"> for cryptococcal meningitis (i.e. fluconazole and amphotericin B formulations)</w:t>
      </w:r>
      <w:r w:rsidR="00C5323F">
        <w:rPr>
          <w:rFonts w:asciiTheme="majorHAnsi" w:hAnsiTheme="majorHAnsi"/>
          <w:sz w:val="24"/>
          <w:szCs w:val="24"/>
          <w:lang w:val="en-US"/>
        </w:rPr>
        <w:t>.</w:t>
      </w:r>
      <w:r w:rsidR="00187072">
        <w:rPr>
          <w:rFonts w:asciiTheme="majorHAnsi" w:hAnsiTheme="majorHAnsi"/>
          <w:sz w:val="24"/>
          <w:szCs w:val="24"/>
          <w:lang w:val="en-US"/>
        </w:rPr>
        <w:t xml:space="preserve">  </w:t>
      </w:r>
      <w:r w:rsidR="005361C3">
        <w:rPr>
          <w:rFonts w:asciiTheme="majorHAnsi" w:hAnsiTheme="majorHAnsi"/>
          <w:sz w:val="24"/>
          <w:szCs w:val="24"/>
          <w:lang w:val="en-US"/>
        </w:rPr>
        <w:t>Even if the safety profile was not problematic,</w:t>
      </w:r>
      <w:r w:rsidR="0041013B">
        <w:rPr>
          <w:rFonts w:asciiTheme="majorHAnsi" w:hAnsiTheme="majorHAnsi"/>
          <w:sz w:val="24"/>
          <w:szCs w:val="24"/>
          <w:lang w:val="en-US"/>
        </w:rPr>
        <w:t xml:space="preserve"> there </w:t>
      </w:r>
      <w:r>
        <w:rPr>
          <w:rFonts w:asciiTheme="majorHAnsi" w:hAnsiTheme="majorHAnsi"/>
          <w:sz w:val="24"/>
          <w:szCs w:val="24"/>
          <w:lang w:val="en-US"/>
        </w:rPr>
        <w:t>i</w:t>
      </w:r>
      <w:r w:rsidR="00657B51">
        <w:rPr>
          <w:rFonts w:asciiTheme="majorHAnsi" w:hAnsiTheme="majorHAnsi"/>
          <w:sz w:val="24"/>
          <w:szCs w:val="24"/>
          <w:lang w:val="en-US"/>
        </w:rPr>
        <w:t>s</w:t>
      </w:r>
      <w:r w:rsidR="0041013B">
        <w:rPr>
          <w:rFonts w:asciiTheme="majorHAnsi" w:hAnsiTheme="majorHAnsi"/>
          <w:sz w:val="24"/>
          <w:szCs w:val="24"/>
          <w:lang w:val="en-US"/>
        </w:rPr>
        <w:t xml:space="preserve"> insufficient </w:t>
      </w:r>
      <w:r w:rsidR="00657B51" w:rsidRPr="00EF774A">
        <w:rPr>
          <w:rFonts w:asciiTheme="majorHAnsi" w:hAnsiTheme="majorHAnsi"/>
          <w:i/>
          <w:sz w:val="24"/>
          <w:szCs w:val="24"/>
          <w:lang w:val="en-US"/>
        </w:rPr>
        <w:t>prima facie</w:t>
      </w:r>
      <w:r w:rsidR="00657B51">
        <w:rPr>
          <w:rFonts w:asciiTheme="majorHAnsi" w:hAnsiTheme="majorHAnsi"/>
          <w:sz w:val="24"/>
          <w:szCs w:val="24"/>
          <w:lang w:val="en-US"/>
        </w:rPr>
        <w:t xml:space="preserve"> </w:t>
      </w:r>
      <w:r w:rsidR="0041013B">
        <w:rPr>
          <w:rFonts w:asciiTheme="majorHAnsi" w:hAnsiTheme="majorHAnsi"/>
          <w:sz w:val="24"/>
          <w:szCs w:val="24"/>
          <w:lang w:val="en-US"/>
        </w:rPr>
        <w:t xml:space="preserve">evidence </w:t>
      </w:r>
      <w:r w:rsidR="00525CC5">
        <w:rPr>
          <w:rFonts w:asciiTheme="majorHAnsi" w:hAnsiTheme="majorHAnsi"/>
          <w:sz w:val="24"/>
          <w:szCs w:val="24"/>
          <w:lang w:val="en-US"/>
        </w:rPr>
        <w:t xml:space="preserve">from either the murine or rabbit models </w:t>
      </w:r>
      <w:r w:rsidR="0041013B">
        <w:rPr>
          <w:rFonts w:asciiTheme="majorHAnsi" w:hAnsiTheme="majorHAnsi"/>
          <w:sz w:val="24"/>
          <w:szCs w:val="24"/>
          <w:lang w:val="en-US"/>
        </w:rPr>
        <w:t xml:space="preserve">to further study </w:t>
      </w:r>
      <w:r w:rsidR="005361C3">
        <w:rPr>
          <w:rFonts w:asciiTheme="majorHAnsi" w:hAnsiTheme="majorHAnsi"/>
          <w:sz w:val="24"/>
          <w:szCs w:val="24"/>
          <w:lang w:val="en-US"/>
        </w:rPr>
        <w:t>flubendazole</w:t>
      </w:r>
      <w:r w:rsidR="0041013B">
        <w:rPr>
          <w:rFonts w:asciiTheme="majorHAnsi" w:hAnsiTheme="majorHAnsi"/>
          <w:sz w:val="24"/>
          <w:szCs w:val="24"/>
          <w:lang w:val="en-US"/>
        </w:rPr>
        <w:t xml:space="preserve"> </w:t>
      </w:r>
      <w:r w:rsidR="00AE4602">
        <w:rPr>
          <w:rFonts w:asciiTheme="majorHAnsi" w:hAnsiTheme="majorHAnsi"/>
          <w:sz w:val="24"/>
          <w:szCs w:val="24"/>
          <w:lang w:val="en-US"/>
        </w:rPr>
        <w:t xml:space="preserve">as monotherapy </w:t>
      </w:r>
      <w:r w:rsidR="006E7186">
        <w:rPr>
          <w:rFonts w:asciiTheme="majorHAnsi" w:hAnsiTheme="majorHAnsi"/>
          <w:sz w:val="24"/>
          <w:szCs w:val="24"/>
          <w:lang w:val="en-US"/>
        </w:rPr>
        <w:t xml:space="preserve">for induction </w:t>
      </w:r>
      <w:r>
        <w:rPr>
          <w:rFonts w:asciiTheme="majorHAnsi" w:hAnsiTheme="majorHAnsi"/>
          <w:sz w:val="24"/>
          <w:szCs w:val="24"/>
          <w:lang w:val="en-US"/>
        </w:rPr>
        <w:t xml:space="preserve">therapy </w:t>
      </w:r>
      <w:r w:rsidR="0041013B">
        <w:rPr>
          <w:rFonts w:asciiTheme="majorHAnsi" w:hAnsiTheme="majorHAnsi"/>
          <w:sz w:val="24"/>
          <w:szCs w:val="24"/>
          <w:lang w:val="en-US"/>
        </w:rPr>
        <w:t>in phase II clinical studies.</w:t>
      </w:r>
      <w:r w:rsidR="006E7186">
        <w:rPr>
          <w:rFonts w:asciiTheme="majorHAnsi" w:hAnsiTheme="majorHAnsi"/>
          <w:sz w:val="24"/>
          <w:szCs w:val="24"/>
          <w:lang w:val="en-US"/>
        </w:rPr>
        <w:t xml:space="preserve">  </w:t>
      </w:r>
      <w:r>
        <w:rPr>
          <w:rFonts w:asciiTheme="majorHAnsi" w:hAnsiTheme="majorHAnsi"/>
          <w:sz w:val="24"/>
          <w:szCs w:val="24"/>
          <w:lang w:val="en-US"/>
        </w:rPr>
        <w:t xml:space="preserve">Nevertheless, additional approaches </w:t>
      </w:r>
      <w:r w:rsidR="004E1625">
        <w:rPr>
          <w:rFonts w:asciiTheme="majorHAnsi" w:hAnsiTheme="majorHAnsi"/>
          <w:sz w:val="24"/>
          <w:szCs w:val="24"/>
          <w:lang w:val="en-US"/>
        </w:rPr>
        <w:t>such as the</w:t>
      </w:r>
      <w:r w:rsidR="006E7186">
        <w:rPr>
          <w:rFonts w:asciiTheme="majorHAnsi" w:hAnsiTheme="majorHAnsi"/>
          <w:sz w:val="24"/>
          <w:szCs w:val="24"/>
          <w:lang w:val="en-US"/>
        </w:rPr>
        <w:t xml:space="preserve"> combination with other antifungal agents for induction therapy and/or use</w:t>
      </w:r>
      <w:r w:rsidR="003052DE">
        <w:rPr>
          <w:rFonts w:asciiTheme="majorHAnsi" w:hAnsiTheme="majorHAnsi"/>
          <w:sz w:val="24"/>
          <w:szCs w:val="24"/>
          <w:lang w:val="en-US"/>
        </w:rPr>
        <w:t>d</w:t>
      </w:r>
      <w:r w:rsidR="006E7186">
        <w:rPr>
          <w:rFonts w:asciiTheme="majorHAnsi" w:hAnsiTheme="majorHAnsi"/>
          <w:sz w:val="24"/>
          <w:szCs w:val="24"/>
          <w:lang w:val="en-US"/>
        </w:rPr>
        <w:t xml:space="preserve"> as longer</w:t>
      </w:r>
      <w:r w:rsidR="00525CC5">
        <w:rPr>
          <w:rFonts w:asciiTheme="majorHAnsi" w:hAnsiTheme="majorHAnsi"/>
          <w:sz w:val="24"/>
          <w:szCs w:val="24"/>
          <w:lang w:val="en-US"/>
        </w:rPr>
        <w:t>-</w:t>
      </w:r>
      <w:r w:rsidR="006E7186">
        <w:rPr>
          <w:rFonts w:asciiTheme="majorHAnsi" w:hAnsiTheme="majorHAnsi"/>
          <w:sz w:val="24"/>
          <w:szCs w:val="24"/>
          <w:lang w:val="en-US"/>
        </w:rPr>
        <w:t>term consolidation and maintenance</w:t>
      </w:r>
      <w:r w:rsidR="003052DE">
        <w:rPr>
          <w:rFonts w:asciiTheme="majorHAnsi" w:hAnsiTheme="majorHAnsi"/>
          <w:sz w:val="24"/>
          <w:szCs w:val="24"/>
          <w:lang w:val="en-US"/>
        </w:rPr>
        <w:t xml:space="preserve"> therapy</w:t>
      </w:r>
      <w:r w:rsidR="004E1625">
        <w:rPr>
          <w:rFonts w:asciiTheme="majorHAnsi" w:hAnsiTheme="majorHAnsi"/>
          <w:sz w:val="24"/>
          <w:szCs w:val="24"/>
          <w:lang w:val="en-US"/>
        </w:rPr>
        <w:t xml:space="preserve"> may have been possible</w:t>
      </w:r>
      <w:r w:rsidR="006E7186">
        <w:rPr>
          <w:rFonts w:asciiTheme="majorHAnsi" w:hAnsiTheme="majorHAnsi"/>
          <w:sz w:val="24"/>
          <w:szCs w:val="24"/>
          <w:lang w:val="en-US"/>
        </w:rPr>
        <w:t>.</w:t>
      </w:r>
    </w:p>
    <w:p w14:paraId="5CD710C5" w14:textId="1AAEF9F0" w:rsidR="00900889" w:rsidRPr="00876AB1" w:rsidRDefault="00152456" w:rsidP="00EB3D34">
      <w:pPr>
        <w:spacing w:after="120" w:line="480" w:lineRule="auto"/>
        <w:ind w:firstLine="720"/>
        <w:rPr>
          <w:rFonts w:asciiTheme="majorHAnsi" w:hAnsiTheme="majorHAnsi"/>
          <w:sz w:val="24"/>
          <w:szCs w:val="24"/>
          <w:lang w:val="en-US"/>
        </w:rPr>
      </w:pPr>
      <w:r>
        <w:rPr>
          <w:rFonts w:asciiTheme="majorHAnsi" w:hAnsiTheme="majorHAnsi"/>
          <w:sz w:val="24"/>
          <w:szCs w:val="24"/>
          <w:lang w:val="en-US"/>
        </w:rPr>
        <w:t xml:space="preserve">The potential of </w:t>
      </w:r>
      <w:r w:rsidR="003518CB">
        <w:rPr>
          <w:rFonts w:asciiTheme="majorHAnsi" w:hAnsiTheme="majorHAnsi"/>
          <w:sz w:val="24"/>
          <w:szCs w:val="24"/>
          <w:lang w:val="en-US"/>
        </w:rPr>
        <w:t xml:space="preserve">derivatives of </w:t>
      </w:r>
      <w:r>
        <w:rPr>
          <w:rFonts w:asciiTheme="majorHAnsi" w:hAnsiTheme="majorHAnsi"/>
          <w:sz w:val="24"/>
          <w:szCs w:val="24"/>
          <w:lang w:val="en-US"/>
        </w:rPr>
        <w:t>flubendazole</w:t>
      </w:r>
      <w:r w:rsidR="00346282">
        <w:rPr>
          <w:rFonts w:asciiTheme="majorHAnsi" w:hAnsiTheme="majorHAnsi"/>
          <w:sz w:val="24"/>
          <w:szCs w:val="24"/>
          <w:lang w:val="en-US"/>
        </w:rPr>
        <w:t xml:space="preserve"> </w:t>
      </w:r>
      <w:r>
        <w:rPr>
          <w:rFonts w:asciiTheme="majorHAnsi" w:hAnsiTheme="majorHAnsi"/>
          <w:sz w:val="24"/>
          <w:szCs w:val="24"/>
          <w:lang w:val="en-US"/>
        </w:rPr>
        <w:t>to be useful human medicine</w:t>
      </w:r>
      <w:r w:rsidR="00346282">
        <w:rPr>
          <w:rFonts w:asciiTheme="majorHAnsi" w:hAnsiTheme="majorHAnsi"/>
          <w:sz w:val="24"/>
          <w:szCs w:val="24"/>
          <w:lang w:val="en-US"/>
        </w:rPr>
        <w:t>s</w:t>
      </w:r>
      <w:r>
        <w:rPr>
          <w:rFonts w:asciiTheme="majorHAnsi" w:hAnsiTheme="majorHAnsi"/>
          <w:sz w:val="24"/>
          <w:szCs w:val="24"/>
          <w:lang w:val="en-US"/>
        </w:rPr>
        <w:t xml:space="preserve"> depends on the differential activity between cryptococcal and human proteins.  </w:t>
      </w:r>
      <w:r w:rsidR="007E6EBF" w:rsidRPr="007E6EBF">
        <w:rPr>
          <w:rFonts w:asciiTheme="majorHAnsi" w:hAnsiTheme="majorHAnsi"/>
          <w:sz w:val="24"/>
          <w:szCs w:val="24"/>
          <w:lang w:val="en-US"/>
        </w:rPr>
        <w:t xml:space="preserve">Characterization of the β-tubulin genes of </w:t>
      </w:r>
      <w:r w:rsidR="007E6EBF" w:rsidRPr="007E6EBF">
        <w:rPr>
          <w:rFonts w:asciiTheme="majorHAnsi" w:hAnsiTheme="majorHAnsi"/>
          <w:i/>
          <w:sz w:val="24"/>
          <w:szCs w:val="24"/>
          <w:lang w:val="en-US"/>
        </w:rPr>
        <w:t>C. neoformans</w:t>
      </w:r>
      <w:r w:rsidR="007E6EBF" w:rsidRPr="007E6EBF">
        <w:rPr>
          <w:rFonts w:asciiTheme="majorHAnsi" w:hAnsiTheme="majorHAnsi"/>
          <w:sz w:val="24"/>
          <w:szCs w:val="24"/>
          <w:lang w:val="en-US"/>
        </w:rPr>
        <w:t xml:space="preserve"> has been undertaken and two </w:t>
      </w:r>
      <w:r w:rsidR="007E6EBF" w:rsidRPr="007E6EBF">
        <w:rPr>
          <w:rFonts w:asciiTheme="majorHAnsi" w:hAnsiTheme="majorHAnsi"/>
          <w:i/>
          <w:sz w:val="24"/>
          <w:szCs w:val="24"/>
          <w:lang w:val="en-US"/>
        </w:rPr>
        <w:t>C. neoformans</w:t>
      </w:r>
      <w:r w:rsidR="007E6EBF" w:rsidRPr="007E6EBF">
        <w:rPr>
          <w:rFonts w:asciiTheme="majorHAnsi" w:hAnsiTheme="majorHAnsi"/>
          <w:sz w:val="24"/>
          <w:szCs w:val="24"/>
          <w:lang w:val="en-US"/>
        </w:rPr>
        <w:t xml:space="preserve"> β-tubulin genes (</w:t>
      </w:r>
      <w:r w:rsidR="007E6EBF" w:rsidRPr="007E6EBF">
        <w:rPr>
          <w:rFonts w:asciiTheme="majorHAnsi" w:hAnsiTheme="majorHAnsi"/>
          <w:i/>
          <w:sz w:val="24"/>
          <w:szCs w:val="24"/>
          <w:lang w:val="en-US"/>
        </w:rPr>
        <w:t>TUB1</w:t>
      </w:r>
      <w:r w:rsidR="007E6EBF" w:rsidRPr="007E6EBF">
        <w:rPr>
          <w:rFonts w:asciiTheme="majorHAnsi" w:hAnsiTheme="majorHAnsi"/>
          <w:sz w:val="24"/>
          <w:szCs w:val="24"/>
          <w:lang w:val="en-US"/>
        </w:rPr>
        <w:t xml:space="preserve"> and </w:t>
      </w:r>
      <w:r w:rsidR="007E6EBF" w:rsidRPr="007E6EBF">
        <w:rPr>
          <w:rFonts w:asciiTheme="majorHAnsi" w:hAnsiTheme="majorHAnsi"/>
          <w:i/>
          <w:sz w:val="24"/>
          <w:szCs w:val="24"/>
          <w:lang w:val="en-US"/>
        </w:rPr>
        <w:t>TUB2</w:t>
      </w:r>
      <w:r w:rsidR="007E6EBF" w:rsidRPr="007E6EBF">
        <w:rPr>
          <w:rFonts w:asciiTheme="majorHAnsi" w:hAnsiTheme="majorHAnsi"/>
          <w:sz w:val="24"/>
          <w:szCs w:val="24"/>
          <w:lang w:val="en-US"/>
        </w:rPr>
        <w:t>)</w:t>
      </w:r>
      <w:r w:rsidR="007E6EBF">
        <w:rPr>
          <w:rFonts w:asciiTheme="majorHAnsi" w:hAnsiTheme="majorHAnsi"/>
          <w:sz w:val="24"/>
          <w:szCs w:val="24"/>
          <w:lang w:val="en-US"/>
        </w:rPr>
        <w:t xml:space="preserve"> </w:t>
      </w:r>
      <w:r w:rsidR="00AE1E14">
        <w:rPr>
          <w:rFonts w:asciiTheme="majorHAnsi" w:hAnsiTheme="majorHAnsi"/>
          <w:sz w:val="24"/>
          <w:szCs w:val="24"/>
          <w:lang w:val="en-US"/>
        </w:rPr>
        <w:t>have been</w:t>
      </w:r>
      <w:r w:rsidR="007E6EBF">
        <w:rPr>
          <w:rFonts w:asciiTheme="majorHAnsi" w:hAnsiTheme="majorHAnsi"/>
          <w:sz w:val="24"/>
          <w:szCs w:val="24"/>
          <w:lang w:val="en-US"/>
        </w:rPr>
        <w:t xml:space="preserve"> identified</w:t>
      </w:r>
      <w:r w:rsidR="007E6EBF" w:rsidRPr="007E6EBF">
        <w:rPr>
          <w:rFonts w:asciiTheme="majorHAnsi" w:hAnsiTheme="majorHAnsi"/>
          <w:sz w:val="24"/>
          <w:szCs w:val="24"/>
          <w:lang w:val="en-US"/>
        </w:rPr>
        <w:t xml:space="preserve">. </w:t>
      </w:r>
      <w:r w:rsidR="00103079">
        <w:rPr>
          <w:rFonts w:asciiTheme="majorHAnsi" w:hAnsiTheme="majorHAnsi"/>
          <w:sz w:val="24"/>
          <w:szCs w:val="24"/>
          <w:lang w:val="en-US"/>
        </w:rPr>
        <w:t xml:space="preserve"> </w:t>
      </w:r>
      <w:r w:rsidR="007E6EBF" w:rsidRPr="007E6EBF">
        <w:rPr>
          <w:rFonts w:asciiTheme="majorHAnsi" w:hAnsiTheme="majorHAnsi"/>
          <w:i/>
          <w:sz w:val="24"/>
          <w:szCs w:val="24"/>
          <w:lang w:val="en-US"/>
        </w:rPr>
        <w:t>TUB1</w:t>
      </w:r>
      <w:r w:rsidR="007E6EBF" w:rsidRPr="007E6EBF">
        <w:rPr>
          <w:rFonts w:asciiTheme="majorHAnsi" w:hAnsiTheme="majorHAnsi"/>
          <w:sz w:val="24"/>
          <w:szCs w:val="24"/>
          <w:lang w:val="en-US"/>
        </w:rPr>
        <w:t xml:space="preserve"> was identified as the primary target of the benzimidazole class of compounds through gene characterization and expression</w:t>
      </w:r>
      <w:r w:rsidR="007E6EBF">
        <w:rPr>
          <w:rFonts w:asciiTheme="majorHAnsi" w:hAnsiTheme="majorHAnsi"/>
          <w:sz w:val="24"/>
          <w:szCs w:val="24"/>
          <w:lang w:val="en-US"/>
        </w:rPr>
        <w:t xml:space="preserve"> </w:t>
      </w:r>
      <w:r w:rsidR="007E6EBF">
        <w:rPr>
          <w:rFonts w:asciiTheme="majorHAnsi" w:hAnsiTheme="majorHAnsi"/>
          <w:sz w:val="24"/>
          <w:szCs w:val="24"/>
          <w:lang w:val="en-US"/>
        </w:rPr>
        <w:fldChar w:fldCharType="begin" w:fldLock="1"/>
      </w:r>
      <w:r w:rsidR="00810389">
        <w:rPr>
          <w:rFonts w:asciiTheme="majorHAnsi" w:hAnsiTheme="majorHAnsi"/>
          <w:sz w:val="24"/>
          <w:szCs w:val="24"/>
          <w:lang w:val="en-US"/>
        </w:rPr>
        <w:instrText>ADDIN CSL_CITATION { "citationItems" : [ { "id" : "ITEM-1", "itemData" : { "DOI" : "10.1099/00221287-143-6-2003", "ISBN" : "1350-0872 (Print)\\r1350-0872 (Linking)", "ISSN" : "13500872", "PMID" : "9202476", "abstract" : "The basidiomycete Cryptococcus neoformans causes life-threatening infections in immunocompromised patients, and available chemotherapeutic agents are potentially toxic or have limited efficacy. In vitro, C. neoformans is very sensitive to selected benzimidazole compounds (e.g. albendazole), which act by disrupting microtubules through binding to the beta-tubulin subunit. To understand the basis for this benzimidazole sensitivity, we have characterized C. neoformans beta-tubulin genes and their expression. Analysis of PCR amplification products, genomic and cDNA clones and Southern blots identified two beta-tubulin genes. TUB1 contains seven introns, including one that splits the start codon, and encodes a 447 amino acid protein with &gt; 80% identity to most other beta-tubulins. A partial sequence of TUB2 revealed a higher density of introns and a considerably more divergent beta-tubulin. The relative expression of TUB1 to TUB2 determined by reverse-transcription PCR was about 3:1, consistent with a more limited role for the TUB2 product. Comparisons of beta-tubulin sequences from C. neoformans and from various benzimidazole-sensitive and -resistant organisms strongly suggest that the TUB1 product represents the primary benzimidazole target. This was supported by the identification of a His6 to Gln change in TUB1 from three independently isolated albendazole-resistant mutants.", "author" : [ { "dropping-particle" : "", "family" : "Cruz", "given" : "Maria Cristina", "non-dropping-particle" : "", "parse-names" : false, "suffix" : "" }, { "dropping-particle" : "", "family" : "Edlind", "given" : "Thomas", "non-dropping-particle" : "", "parse-names" : false, "suffix" : "" } ], "container-title" : "Microbiology", "id" : "ITEM-1", "issue" : "6", "issued" : { "date-parts" : [ [ "1997" ] ] }, "page" : "2003-2008", "title" : "\u00df-Tubulin genes and the basis for benzimidazole sensitivity of the opportunistic fungus Cryptococcus neoformans", "type" : "article-journal", "volume" : "143" }, "uris" : [ "http://www.mendeley.com/documents/?uuid=b9c1be54-f527-4182-9ff3-b9ce4e1ac1fa" ] } ], "mendeley" : { "formattedCitation" : "(14)", "plainTextFormattedCitation" : "(14)", "previouslyFormattedCitation" : "(14)" }, "properties" : { "noteIndex" : 0 }, "schema" : "https://github.com/citation-style-language/schema/raw/master/csl-citation.json" }</w:instrText>
      </w:r>
      <w:r w:rsidR="007E6EBF">
        <w:rPr>
          <w:rFonts w:asciiTheme="majorHAnsi" w:hAnsiTheme="majorHAnsi"/>
          <w:sz w:val="24"/>
          <w:szCs w:val="24"/>
          <w:lang w:val="en-US"/>
        </w:rPr>
        <w:fldChar w:fldCharType="separate"/>
      </w:r>
      <w:r w:rsidR="007E6EBF" w:rsidRPr="007E6EBF">
        <w:rPr>
          <w:rFonts w:asciiTheme="majorHAnsi" w:hAnsiTheme="majorHAnsi"/>
          <w:noProof/>
          <w:sz w:val="24"/>
          <w:szCs w:val="24"/>
          <w:lang w:val="en-US"/>
        </w:rPr>
        <w:t>(14)</w:t>
      </w:r>
      <w:r w:rsidR="007E6EBF">
        <w:rPr>
          <w:rFonts w:asciiTheme="majorHAnsi" w:hAnsiTheme="majorHAnsi"/>
          <w:sz w:val="24"/>
          <w:szCs w:val="24"/>
          <w:lang w:val="en-US"/>
        </w:rPr>
        <w:fldChar w:fldCharType="end"/>
      </w:r>
      <w:r w:rsidR="00103079">
        <w:rPr>
          <w:rFonts w:asciiTheme="majorHAnsi" w:hAnsiTheme="majorHAnsi"/>
          <w:sz w:val="24"/>
          <w:szCs w:val="24"/>
          <w:lang w:val="en-US"/>
        </w:rPr>
        <w:t xml:space="preserve">. </w:t>
      </w:r>
      <w:r w:rsidR="007E6EBF" w:rsidRPr="007E6EBF">
        <w:rPr>
          <w:rFonts w:asciiTheme="majorHAnsi" w:hAnsiTheme="majorHAnsi"/>
          <w:sz w:val="24"/>
          <w:szCs w:val="24"/>
          <w:lang w:val="en-US"/>
        </w:rPr>
        <w:t xml:space="preserve"> </w:t>
      </w:r>
      <w:r>
        <w:rPr>
          <w:rFonts w:asciiTheme="majorHAnsi" w:hAnsiTheme="majorHAnsi"/>
          <w:sz w:val="24"/>
          <w:szCs w:val="24"/>
          <w:lang w:val="en-US"/>
        </w:rPr>
        <w:t xml:space="preserve">There is </w:t>
      </w:r>
      <w:r w:rsidR="007E6EBF">
        <w:rPr>
          <w:rFonts w:asciiTheme="majorHAnsi" w:hAnsiTheme="majorHAnsi"/>
          <w:sz w:val="24"/>
          <w:szCs w:val="24"/>
          <w:lang w:val="en-US"/>
        </w:rPr>
        <w:t>90</w:t>
      </w:r>
      <w:r>
        <w:rPr>
          <w:rFonts w:asciiTheme="majorHAnsi" w:hAnsiTheme="majorHAnsi"/>
          <w:sz w:val="24"/>
          <w:szCs w:val="24"/>
          <w:lang w:val="en-US"/>
        </w:rPr>
        <w:t xml:space="preserve">% homology between fungal </w:t>
      </w:r>
      <w:r w:rsidR="007E6EBF" w:rsidRPr="00EF774A">
        <w:rPr>
          <w:rFonts w:asciiTheme="majorHAnsi" w:hAnsiTheme="majorHAnsi"/>
          <w:i/>
          <w:sz w:val="24"/>
          <w:szCs w:val="24"/>
          <w:lang w:val="en-US"/>
        </w:rPr>
        <w:t>TUB1</w:t>
      </w:r>
      <w:r w:rsidR="007E6EBF">
        <w:rPr>
          <w:rFonts w:asciiTheme="majorHAnsi" w:hAnsiTheme="majorHAnsi"/>
          <w:i/>
          <w:sz w:val="24"/>
          <w:szCs w:val="24"/>
          <w:lang w:val="en-US"/>
        </w:rPr>
        <w:t xml:space="preserve"> </w:t>
      </w:r>
      <w:r w:rsidR="003052DE">
        <w:rPr>
          <w:rFonts w:asciiTheme="majorHAnsi" w:hAnsiTheme="majorHAnsi"/>
          <w:sz w:val="24"/>
          <w:szCs w:val="24"/>
          <w:lang w:val="en-US"/>
        </w:rPr>
        <w:t>and human</w:t>
      </w:r>
      <w:r w:rsidR="007E6EBF">
        <w:rPr>
          <w:rFonts w:asciiTheme="majorHAnsi" w:hAnsiTheme="majorHAnsi"/>
          <w:sz w:val="24"/>
          <w:szCs w:val="24"/>
          <w:lang w:val="en-US"/>
        </w:rPr>
        <w:t xml:space="preserve"> β-tubulin</w:t>
      </w:r>
      <w:r w:rsidR="0013318C">
        <w:rPr>
          <w:rFonts w:asciiTheme="majorHAnsi" w:hAnsiTheme="majorHAnsi"/>
          <w:sz w:val="24"/>
          <w:szCs w:val="24"/>
          <w:lang w:val="en-US"/>
        </w:rPr>
        <w:t>,</w:t>
      </w:r>
      <w:r>
        <w:rPr>
          <w:rFonts w:asciiTheme="majorHAnsi" w:hAnsiTheme="majorHAnsi"/>
          <w:sz w:val="24"/>
          <w:szCs w:val="24"/>
          <w:lang w:val="en-US"/>
        </w:rPr>
        <w:t xml:space="preserve"> although the former has not been crystallized</w:t>
      </w:r>
      <w:r w:rsidR="003052DE">
        <w:rPr>
          <w:rFonts w:asciiTheme="majorHAnsi" w:hAnsiTheme="majorHAnsi"/>
          <w:sz w:val="24"/>
          <w:szCs w:val="24"/>
          <w:lang w:val="en-US"/>
        </w:rPr>
        <w:t xml:space="preserve"> and </w:t>
      </w:r>
      <w:r w:rsidR="001262DD">
        <w:rPr>
          <w:rFonts w:asciiTheme="majorHAnsi" w:hAnsiTheme="majorHAnsi"/>
          <w:sz w:val="24"/>
          <w:szCs w:val="24"/>
          <w:lang w:val="en-US"/>
        </w:rPr>
        <w:t>this</w:t>
      </w:r>
      <w:r w:rsidR="005D5C9E">
        <w:rPr>
          <w:rFonts w:asciiTheme="majorHAnsi" w:hAnsiTheme="majorHAnsi"/>
          <w:sz w:val="24"/>
          <w:szCs w:val="24"/>
          <w:lang w:val="en-US"/>
        </w:rPr>
        <w:t xml:space="preserve"> has prevented</w:t>
      </w:r>
      <w:r>
        <w:rPr>
          <w:rFonts w:asciiTheme="majorHAnsi" w:hAnsiTheme="majorHAnsi"/>
          <w:sz w:val="24"/>
          <w:szCs w:val="24"/>
          <w:lang w:val="en-US"/>
        </w:rPr>
        <w:t xml:space="preserve"> </w:t>
      </w:r>
      <w:r w:rsidR="005D5C9E">
        <w:rPr>
          <w:rFonts w:asciiTheme="majorHAnsi" w:hAnsiTheme="majorHAnsi"/>
          <w:sz w:val="24"/>
          <w:szCs w:val="24"/>
          <w:lang w:val="en-US"/>
        </w:rPr>
        <w:t xml:space="preserve">definitive </w:t>
      </w:r>
      <w:r w:rsidR="001E2FF9">
        <w:rPr>
          <w:rFonts w:asciiTheme="majorHAnsi" w:hAnsiTheme="majorHAnsi"/>
          <w:sz w:val="24"/>
          <w:szCs w:val="24"/>
          <w:lang w:val="en-US"/>
        </w:rPr>
        <w:t xml:space="preserve">structure-activity-relationship </w:t>
      </w:r>
      <w:r w:rsidR="00E56F21">
        <w:rPr>
          <w:rFonts w:asciiTheme="majorHAnsi" w:hAnsiTheme="majorHAnsi"/>
          <w:sz w:val="24"/>
          <w:szCs w:val="24"/>
          <w:lang w:val="en-US"/>
        </w:rPr>
        <w:t>docking</w:t>
      </w:r>
      <w:r>
        <w:rPr>
          <w:rFonts w:asciiTheme="majorHAnsi" w:hAnsiTheme="majorHAnsi"/>
          <w:sz w:val="24"/>
          <w:szCs w:val="24"/>
          <w:lang w:val="en-US"/>
        </w:rPr>
        <w:t xml:space="preserve"> studies.  </w:t>
      </w:r>
      <w:r w:rsidR="00C73CF7">
        <w:rPr>
          <w:rFonts w:asciiTheme="majorHAnsi" w:hAnsiTheme="majorHAnsi"/>
          <w:sz w:val="24"/>
          <w:szCs w:val="24"/>
          <w:lang w:val="en-US"/>
        </w:rPr>
        <w:t xml:space="preserve">The </w:t>
      </w:r>
      <w:r w:rsidR="00C73CF7">
        <w:rPr>
          <w:rFonts w:asciiTheme="majorHAnsi" w:hAnsiTheme="majorHAnsi"/>
          <w:sz w:val="24"/>
          <w:szCs w:val="24"/>
          <w:lang w:val="en-US"/>
        </w:rPr>
        <w:lastRenderedPageBreak/>
        <w:t xml:space="preserve">ability to develop new agents based on a </w:t>
      </w:r>
      <w:r w:rsidR="00875890">
        <w:rPr>
          <w:rFonts w:asciiTheme="majorHAnsi" w:hAnsiTheme="majorHAnsi"/>
          <w:sz w:val="24"/>
          <w:szCs w:val="24"/>
          <w:lang w:val="en-US"/>
        </w:rPr>
        <w:t>benzimidazole</w:t>
      </w:r>
      <w:r w:rsidR="00C73CF7">
        <w:rPr>
          <w:rFonts w:asciiTheme="majorHAnsi" w:hAnsiTheme="majorHAnsi"/>
          <w:sz w:val="24"/>
          <w:szCs w:val="24"/>
          <w:lang w:val="en-US"/>
        </w:rPr>
        <w:t xml:space="preserve"> scaffold or </w:t>
      </w:r>
      <w:r w:rsidR="00346282">
        <w:rPr>
          <w:rFonts w:asciiTheme="majorHAnsi" w:hAnsiTheme="majorHAnsi"/>
          <w:sz w:val="24"/>
          <w:szCs w:val="24"/>
          <w:lang w:val="en-US"/>
        </w:rPr>
        <w:t xml:space="preserve">to further </w:t>
      </w:r>
      <w:r w:rsidR="00C73CF7">
        <w:rPr>
          <w:rFonts w:asciiTheme="majorHAnsi" w:hAnsiTheme="majorHAnsi"/>
          <w:sz w:val="24"/>
          <w:szCs w:val="24"/>
          <w:lang w:val="en-US"/>
        </w:rPr>
        <w:t xml:space="preserve">exploit </w:t>
      </w:r>
      <w:r w:rsidR="00C73CF7" w:rsidRPr="00876AB1">
        <w:rPr>
          <w:rFonts w:asciiTheme="majorHAnsi" w:hAnsiTheme="majorHAnsi"/>
          <w:sz w:val="24"/>
          <w:szCs w:val="24"/>
          <w:lang w:val="en-US"/>
        </w:rPr>
        <w:t>β-tubuli</w:t>
      </w:r>
      <w:r w:rsidR="00C73CF7">
        <w:rPr>
          <w:rFonts w:asciiTheme="majorHAnsi" w:hAnsiTheme="majorHAnsi"/>
          <w:sz w:val="24"/>
          <w:szCs w:val="24"/>
          <w:lang w:val="en-US"/>
        </w:rPr>
        <w:t xml:space="preserve">n as a pharmacological target will depend on the degree of differential activity </w:t>
      </w:r>
      <w:r w:rsidR="004E1625">
        <w:rPr>
          <w:rFonts w:asciiTheme="majorHAnsi" w:hAnsiTheme="majorHAnsi"/>
          <w:sz w:val="24"/>
          <w:szCs w:val="24"/>
          <w:lang w:val="en-US"/>
        </w:rPr>
        <w:t xml:space="preserve">of a benzimidazole with </w:t>
      </w:r>
      <w:r w:rsidR="00C73CF7">
        <w:rPr>
          <w:rFonts w:asciiTheme="majorHAnsi" w:hAnsiTheme="majorHAnsi"/>
          <w:sz w:val="24"/>
          <w:szCs w:val="24"/>
          <w:lang w:val="en-US"/>
        </w:rPr>
        <w:t xml:space="preserve">these proteins.  </w:t>
      </w:r>
      <w:r w:rsidR="00C73CF7" w:rsidRPr="00876AB1">
        <w:rPr>
          <w:rFonts w:asciiTheme="majorHAnsi" w:hAnsiTheme="majorHAnsi"/>
          <w:sz w:val="24"/>
          <w:szCs w:val="24"/>
          <w:lang w:val="en-US"/>
        </w:rPr>
        <w:t>The differential binding identified through the docking and homology modelling</w:t>
      </w:r>
      <w:r w:rsidR="00C73CF7" w:rsidRPr="00876AB1">
        <w:rPr>
          <w:rFonts w:asciiTheme="majorHAnsi" w:hAnsiTheme="majorHAnsi" w:cs="Arial"/>
          <w:sz w:val="24"/>
          <w:szCs w:val="24"/>
          <w:lang w:val="en-US"/>
        </w:rPr>
        <w:t xml:space="preserve"> </w:t>
      </w:r>
      <w:r w:rsidR="00C73CF7" w:rsidRPr="00876AB1">
        <w:rPr>
          <w:rFonts w:asciiTheme="majorHAnsi" w:hAnsiTheme="majorHAnsi"/>
          <w:sz w:val="24"/>
          <w:szCs w:val="24"/>
          <w:lang w:val="en-US"/>
        </w:rPr>
        <w:t xml:space="preserve">of both human β-tubulin </w:t>
      </w:r>
      <w:r w:rsidR="00D01895">
        <w:rPr>
          <w:rFonts w:asciiTheme="majorHAnsi" w:hAnsiTheme="majorHAnsi"/>
          <w:sz w:val="24"/>
          <w:szCs w:val="24"/>
          <w:lang w:val="en-US"/>
        </w:rPr>
        <w:fldChar w:fldCharType="begin" w:fldLock="1"/>
      </w:r>
      <w:r w:rsidR="005002A9">
        <w:rPr>
          <w:rFonts w:asciiTheme="majorHAnsi" w:hAnsiTheme="majorHAnsi"/>
          <w:sz w:val="24"/>
          <w:szCs w:val="24"/>
          <w:lang w:val="en-US"/>
        </w:rPr>
        <w:instrText>ADDIN CSL_CITATION { "citationItems" : [ { "id" : "ITEM-1", "itemData" : { "DOI" : "10.1038/nature02393", "ISBN" : "110292001G", "ISSN" : "0028-0836", "PMID" : "10783887", "abstract" : "Ecologists and conservation biologists have used many measures of landscape structure to predict the population dynamic consequences of habitat loss and fragmentation, but these measures are not well justified by population dynamic theory. Here we introduce a new measure for highly fragmented landscapes, termed the metapopulation capacity, which is rigorously derived from metapopulation theory and can easily be applied to real networks of habitat fragments with known areas and connectivities. Technically, metapopulation capacity is the leading eigenvalue of an appropriate 'landscape' matrix. A species is predicted to persist in a landscape if the metapopulation capacity of that landscape is greater than a threshold value determined by the properties of the species. Therefore, metapopulation capacity can conveniently be used to rank different landscapes in terms of their capacity to support viable metapopulations. We present an empirical example on multiple networks occupied by an endangered species of butterfly. Using this theory, we may also calculate how the metapopulation capacity is changed by removing habitat fragments from or adding new ones into specific spatial locations, or by changing their areas. The metapopulation capacity should find many applications in metapopulation ecology, landscape ecology and conservation biology.", "author" : [ { "dropping-particle" : "", "family" : "Ravelli", "given" : "Raimond B.G.", "non-dropping-particle" : "", "parse-names" : false, "suffix" : "" }, { "dropping-particle" : "", "family" : "Gigant", "given" : "Beno\u00eet", "non-dropping-particle" : "", "parse-names" : false, "suffix" : "" }, { "dropping-particle" : "", "family" : "Curmi", "given" : "Patrick A.", "non-dropping-particle" : "", "parse-names" : false, "suffix" : "" }, { "dropping-particle" : "", "family" : "Jourdain", "given" : "Isabelle", "non-dropping-particle" : "", "parse-names" : false, "suffix" : "" }, { "dropping-particle" : "", "family" : "Lachkar", "given" : "Sylvie", "non-dropping-particle" : "", "parse-names" : false, "suffix" : "" }, { "dropping-particle" : "", "family" : "Sobel", "given" : "Andr\u00e9", "non-dropping-particle" : "", "parse-names" : false, "suffix" : "" }, { "dropping-particle" : "", "family" : "Knossow", "given" : "Marcel", "non-dropping-particle" : "", "parse-names" : false, "suffix" : "" } ], "container-title" : "Nature", "id" : "ITEM-1", "issue" : "6979", "issued" : { "date-parts" : [ [ "2004" ] ] }, "page" : "198-202", "title" : "Insight into tubulin regulation from a complex with colchicine and a stathmin-like domain", "type" : "article-journal", "volume" : "428" }, "uris" : [ "http://www.mendeley.com/documents/?uuid=c9e74cd1-80b9-4e18-90b7-84dc22da10ae", "http://www.mendeley.com/documents/?uuid=3ed1af96-3449-4d73-ad2e-37f350d795b5" ] } ], "mendeley" : { "formattedCitation" : "(20)", "plainTextFormattedCitation" : "(20)", "previouslyFormattedCitation" : "(20)" }, "properties" : { "noteIndex" : 0 }, "schema" : "https://github.com/citation-style-language/schema/raw/master/csl-citation.json" }</w:instrText>
      </w:r>
      <w:r w:rsidR="00D01895">
        <w:rPr>
          <w:rFonts w:asciiTheme="majorHAnsi" w:hAnsiTheme="majorHAnsi"/>
          <w:sz w:val="24"/>
          <w:szCs w:val="24"/>
          <w:lang w:val="en-US"/>
        </w:rPr>
        <w:fldChar w:fldCharType="separate"/>
      </w:r>
      <w:r w:rsidR="005002A9" w:rsidRPr="005002A9">
        <w:rPr>
          <w:rFonts w:asciiTheme="majorHAnsi" w:hAnsiTheme="majorHAnsi"/>
          <w:noProof/>
          <w:sz w:val="24"/>
          <w:szCs w:val="24"/>
          <w:lang w:val="en-US"/>
        </w:rPr>
        <w:t>(20)</w:t>
      </w:r>
      <w:r w:rsidR="00D01895">
        <w:rPr>
          <w:rFonts w:asciiTheme="majorHAnsi" w:hAnsiTheme="majorHAnsi"/>
          <w:sz w:val="24"/>
          <w:szCs w:val="24"/>
          <w:lang w:val="en-US"/>
        </w:rPr>
        <w:fldChar w:fldCharType="end"/>
      </w:r>
      <w:r w:rsidR="00D01895">
        <w:rPr>
          <w:rFonts w:asciiTheme="majorHAnsi" w:hAnsiTheme="majorHAnsi"/>
          <w:sz w:val="24"/>
          <w:szCs w:val="24"/>
          <w:lang w:val="en-US"/>
        </w:rPr>
        <w:t xml:space="preserve"> </w:t>
      </w:r>
      <w:r w:rsidR="00C73CF7" w:rsidRPr="00876AB1">
        <w:rPr>
          <w:rFonts w:asciiTheme="majorHAnsi" w:hAnsiTheme="majorHAnsi"/>
          <w:sz w:val="24"/>
          <w:szCs w:val="24"/>
          <w:lang w:val="en-US"/>
        </w:rPr>
        <w:t xml:space="preserve">and </w:t>
      </w:r>
      <w:r w:rsidR="00C73CF7" w:rsidRPr="00876AB1">
        <w:rPr>
          <w:rFonts w:asciiTheme="majorHAnsi" w:hAnsiTheme="majorHAnsi"/>
          <w:i/>
          <w:sz w:val="24"/>
          <w:szCs w:val="24"/>
          <w:lang w:val="en-US"/>
        </w:rPr>
        <w:t>C. neoformans</w:t>
      </w:r>
      <w:r w:rsidR="00C73CF7" w:rsidRPr="00876AB1">
        <w:rPr>
          <w:rFonts w:asciiTheme="majorHAnsi" w:hAnsiTheme="majorHAnsi"/>
          <w:sz w:val="24"/>
          <w:szCs w:val="24"/>
          <w:lang w:val="en-US"/>
        </w:rPr>
        <w:t xml:space="preserve"> var. </w:t>
      </w:r>
      <w:proofErr w:type="spellStart"/>
      <w:r w:rsidR="00C73CF7" w:rsidRPr="00EF774A">
        <w:rPr>
          <w:rFonts w:asciiTheme="majorHAnsi" w:hAnsiTheme="majorHAnsi"/>
          <w:i/>
          <w:sz w:val="24"/>
          <w:szCs w:val="24"/>
          <w:lang w:val="en-US"/>
        </w:rPr>
        <w:t>grubii</w:t>
      </w:r>
      <w:proofErr w:type="spellEnd"/>
      <w:r w:rsidR="00C73CF7" w:rsidRPr="00876AB1">
        <w:rPr>
          <w:rFonts w:asciiTheme="majorHAnsi" w:hAnsiTheme="majorHAnsi"/>
          <w:sz w:val="24"/>
          <w:szCs w:val="24"/>
          <w:lang w:val="en-US"/>
        </w:rPr>
        <w:t xml:space="preserve"> s</w:t>
      </w:r>
      <w:r w:rsidR="00D01895">
        <w:rPr>
          <w:rFonts w:asciiTheme="majorHAnsi" w:hAnsiTheme="majorHAnsi"/>
          <w:sz w:val="24"/>
          <w:szCs w:val="24"/>
          <w:lang w:val="en-US"/>
        </w:rPr>
        <w:t>erotype A (strain H99) β-tubulin</w:t>
      </w:r>
      <w:r w:rsidR="00C73CF7" w:rsidRPr="00876AB1">
        <w:rPr>
          <w:rFonts w:asciiTheme="majorHAnsi" w:hAnsiTheme="majorHAnsi"/>
          <w:sz w:val="24"/>
          <w:szCs w:val="24"/>
          <w:lang w:val="en-US"/>
        </w:rPr>
        <w:t xml:space="preserve"> </w:t>
      </w:r>
      <w:r w:rsidR="00D01895">
        <w:rPr>
          <w:rFonts w:asciiTheme="majorHAnsi" w:hAnsiTheme="majorHAnsi"/>
          <w:sz w:val="24"/>
          <w:szCs w:val="24"/>
          <w:lang w:val="en-US"/>
        </w:rPr>
        <w:fldChar w:fldCharType="begin" w:fldLock="1"/>
      </w:r>
      <w:r w:rsidR="00810389">
        <w:rPr>
          <w:rFonts w:asciiTheme="majorHAnsi" w:hAnsiTheme="majorHAnsi"/>
          <w:sz w:val="24"/>
          <w:szCs w:val="24"/>
          <w:lang w:val="en-US"/>
        </w:rPr>
        <w:instrText>ADDIN CSL_CITATION { "citationItems" : [ { "id" : "ITEM-1", "itemData" : { "DOI" : "10.1099/00221287-143-6-2003", "ISBN" : "1350-0872 (Print)\\r1350-0872 (Linking)", "ISSN" : "13500872", "PMID" : "9202476", "abstract" : "The basidiomycete Cryptococcus neoformans causes life-threatening infections in immunocompromised patients, and available chemotherapeutic agents are potentially toxic or have limited efficacy. In vitro, C. neoformans is very sensitive to selected benzimidazole compounds (e.g. albendazole), which act by disrupting microtubules through binding to the beta-tubulin subunit. To understand the basis for this benzimidazole sensitivity, we have characterized C. neoformans beta-tubulin genes and their expression. Analysis of PCR amplification products, genomic and cDNA clones and Southern blots identified two beta-tubulin genes. TUB1 contains seven introns, including one that splits the start codon, and encodes a 447 amino acid protein with &gt; 80% identity to most other beta-tubulins. A partial sequence of TUB2 revealed a higher density of introns and a considerably more divergent beta-tubulin. The relative expression of TUB1 to TUB2 determined by reverse-transcription PCR was about 3:1, consistent with a more limited role for the TUB2 product. Comparisons of beta-tubulin sequences from C. neoformans and from various benzimidazole-sensitive and -resistant organisms strongly suggest that the TUB1 product represents the primary benzimidazole target. This was supported by the identification of a His6 to Gln change in TUB1 from three independently isolated albendazole-resistant mutants.", "author" : [ { "dropping-particle" : "", "family" : "Cruz", "given" : "Maria Cristina", "non-dropping-particle" : "", "parse-names" : false, "suffix" : "" }, { "dropping-particle" : "", "family" : "Edlind", "given" : "Thomas", "non-dropping-particle" : "", "parse-names" : false, "suffix" : "" } ], "container-title" : "Microbiology", "id" : "ITEM-1", "issue" : "6", "issued" : { "date-parts" : [ [ "1997" ] ] }, "page" : "2003-2008", "title" : "\u00df-Tubulin genes and the basis for benzimidazole sensitivity of the opportunistic fungus Cryptococcus neoformans", "type" : "article-journal", "volume" : "143" }, "uris" : [ "http://www.mendeley.com/documents/?uuid=b9c1be54-f527-4182-9ff3-b9ce4e1ac1fa" ] } ], "mendeley" : { "formattedCitation" : "(14)", "plainTextFormattedCitation" : "(14)", "previouslyFormattedCitation" : "(14)" }, "properties" : { "noteIndex" : 0 }, "schema" : "https://github.com/citation-style-language/schema/raw/master/csl-citation.json" }</w:instrText>
      </w:r>
      <w:r w:rsidR="00D01895">
        <w:rPr>
          <w:rFonts w:asciiTheme="majorHAnsi" w:hAnsiTheme="majorHAnsi"/>
          <w:sz w:val="24"/>
          <w:szCs w:val="24"/>
          <w:lang w:val="en-US"/>
        </w:rPr>
        <w:fldChar w:fldCharType="separate"/>
      </w:r>
      <w:r w:rsidR="00D01895" w:rsidRPr="00D01895">
        <w:rPr>
          <w:rFonts w:asciiTheme="majorHAnsi" w:hAnsiTheme="majorHAnsi"/>
          <w:noProof/>
          <w:sz w:val="24"/>
          <w:szCs w:val="24"/>
          <w:lang w:val="en-US"/>
        </w:rPr>
        <w:t>(14)</w:t>
      </w:r>
      <w:r w:rsidR="00D01895">
        <w:rPr>
          <w:rFonts w:asciiTheme="majorHAnsi" w:hAnsiTheme="majorHAnsi"/>
          <w:sz w:val="24"/>
          <w:szCs w:val="24"/>
          <w:lang w:val="en-US"/>
        </w:rPr>
        <w:fldChar w:fldCharType="end"/>
      </w:r>
      <w:r w:rsidR="00D01895">
        <w:rPr>
          <w:rFonts w:asciiTheme="majorHAnsi" w:hAnsiTheme="majorHAnsi"/>
          <w:sz w:val="24"/>
          <w:szCs w:val="24"/>
          <w:lang w:val="en-US"/>
        </w:rPr>
        <w:t xml:space="preserve"> </w:t>
      </w:r>
      <w:r w:rsidR="00C73CF7" w:rsidRPr="00876AB1">
        <w:rPr>
          <w:rFonts w:asciiTheme="majorHAnsi" w:hAnsiTheme="majorHAnsi"/>
          <w:sz w:val="24"/>
          <w:szCs w:val="24"/>
          <w:lang w:val="en-US"/>
        </w:rPr>
        <w:t xml:space="preserve">to the </w:t>
      </w:r>
      <w:proofErr w:type="spellStart"/>
      <w:r w:rsidR="00C73CF7" w:rsidRPr="00876AB1">
        <w:rPr>
          <w:rFonts w:asciiTheme="majorHAnsi" w:hAnsiTheme="majorHAnsi"/>
          <w:sz w:val="24"/>
          <w:szCs w:val="24"/>
          <w:lang w:val="en-US"/>
        </w:rPr>
        <w:t>Bos</w:t>
      </w:r>
      <w:proofErr w:type="spellEnd"/>
      <w:r w:rsidR="00C73CF7" w:rsidRPr="00876AB1">
        <w:rPr>
          <w:rFonts w:asciiTheme="majorHAnsi" w:hAnsiTheme="majorHAnsi"/>
          <w:sz w:val="24"/>
          <w:szCs w:val="24"/>
          <w:lang w:val="en-US"/>
        </w:rPr>
        <w:t xml:space="preserve"> Taurus 1SA0 β-tubulin crystal structure implies an increased number of binding interaction</w:t>
      </w:r>
      <w:r w:rsidR="0013318C">
        <w:rPr>
          <w:rFonts w:asciiTheme="majorHAnsi" w:hAnsiTheme="majorHAnsi"/>
          <w:sz w:val="24"/>
          <w:szCs w:val="24"/>
          <w:lang w:val="en-US"/>
        </w:rPr>
        <w:t>s</w:t>
      </w:r>
      <w:r w:rsidR="00C73CF7" w:rsidRPr="00876AB1">
        <w:rPr>
          <w:rFonts w:asciiTheme="majorHAnsi" w:hAnsiTheme="majorHAnsi"/>
          <w:sz w:val="24"/>
          <w:szCs w:val="24"/>
          <w:lang w:val="en-US"/>
        </w:rPr>
        <w:t xml:space="preserve"> with </w:t>
      </w:r>
      <w:r w:rsidR="00C73CF7" w:rsidRPr="00876AB1">
        <w:rPr>
          <w:rFonts w:asciiTheme="majorHAnsi" w:hAnsiTheme="majorHAnsi"/>
          <w:i/>
          <w:sz w:val="24"/>
          <w:szCs w:val="24"/>
          <w:lang w:val="en-US"/>
        </w:rPr>
        <w:t>C. neoformans</w:t>
      </w:r>
      <w:r w:rsidR="00C73CF7" w:rsidRPr="00876AB1">
        <w:rPr>
          <w:rFonts w:asciiTheme="majorHAnsi" w:hAnsiTheme="majorHAnsi"/>
          <w:sz w:val="24"/>
          <w:szCs w:val="24"/>
          <w:lang w:val="en-US"/>
        </w:rPr>
        <w:t xml:space="preserve"> β-tubulin</w:t>
      </w:r>
      <w:r w:rsidR="005361C3">
        <w:rPr>
          <w:rFonts w:asciiTheme="majorHAnsi" w:hAnsiTheme="majorHAnsi"/>
          <w:sz w:val="24"/>
          <w:szCs w:val="24"/>
          <w:lang w:val="en-US"/>
        </w:rPr>
        <w:t>.</w:t>
      </w:r>
      <w:r w:rsidR="00C73CF7" w:rsidRPr="00876AB1">
        <w:rPr>
          <w:rFonts w:asciiTheme="majorHAnsi" w:hAnsiTheme="majorHAnsi"/>
          <w:sz w:val="24"/>
          <w:szCs w:val="24"/>
          <w:lang w:val="en-US"/>
        </w:rPr>
        <w:t xml:space="preserve"> </w:t>
      </w:r>
      <w:r w:rsidR="005361C3">
        <w:rPr>
          <w:rFonts w:asciiTheme="majorHAnsi" w:hAnsiTheme="majorHAnsi"/>
          <w:sz w:val="24"/>
          <w:szCs w:val="24"/>
          <w:lang w:val="en-US"/>
        </w:rPr>
        <w:t xml:space="preserve"> This may provide the</w:t>
      </w:r>
      <w:r w:rsidR="00C73CF7" w:rsidRPr="00876AB1">
        <w:rPr>
          <w:rFonts w:asciiTheme="majorHAnsi" w:hAnsiTheme="majorHAnsi"/>
          <w:sz w:val="24"/>
          <w:szCs w:val="24"/>
          <w:lang w:val="en-US"/>
        </w:rPr>
        <w:t xml:space="preserve"> potential </w:t>
      </w:r>
      <w:r w:rsidR="00B77E9E">
        <w:rPr>
          <w:rFonts w:asciiTheme="majorHAnsi" w:hAnsiTheme="majorHAnsi"/>
          <w:sz w:val="24"/>
          <w:szCs w:val="24"/>
          <w:lang w:val="en-US"/>
        </w:rPr>
        <w:t xml:space="preserve">to exploit this differential binding </w:t>
      </w:r>
      <w:r w:rsidR="006E7186">
        <w:rPr>
          <w:rFonts w:asciiTheme="majorHAnsi" w:hAnsiTheme="majorHAnsi"/>
          <w:sz w:val="24"/>
          <w:szCs w:val="24"/>
          <w:lang w:val="en-US"/>
        </w:rPr>
        <w:t>to establish a favorable therapeutic index</w:t>
      </w:r>
      <w:r w:rsidR="00C73CF7" w:rsidRPr="00876AB1">
        <w:rPr>
          <w:rFonts w:asciiTheme="majorHAnsi" w:hAnsiTheme="majorHAnsi"/>
          <w:sz w:val="24"/>
          <w:szCs w:val="24"/>
          <w:lang w:val="en-US"/>
        </w:rPr>
        <w:t>.</w:t>
      </w:r>
      <w:r w:rsidR="00E56F21">
        <w:rPr>
          <w:rFonts w:asciiTheme="majorHAnsi" w:hAnsiTheme="majorHAnsi"/>
          <w:sz w:val="24"/>
          <w:szCs w:val="24"/>
          <w:lang w:val="en-US"/>
        </w:rPr>
        <w:t xml:space="preserve"> </w:t>
      </w:r>
      <w:r w:rsidR="00C67317">
        <w:rPr>
          <w:rFonts w:asciiTheme="majorHAnsi" w:hAnsiTheme="majorHAnsi"/>
          <w:sz w:val="24"/>
          <w:szCs w:val="24"/>
          <w:lang w:val="en-US"/>
        </w:rPr>
        <w:t xml:space="preserve"> </w:t>
      </w:r>
      <w:r w:rsidR="005D5C9E">
        <w:rPr>
          <w:rFonts w:asciiTheme="majorHAnsi" w:hAnsiTheme="majorHAnsi"/>
          <w:sz w:val="24"/>
          <w:szCs w:val="24"/>
          <w:lang w:val="en-US"/>
        </w:rPr>
        <w:t xml:space="preserve">It is </w:t>
      </w:r>
      <w:r w:rsidR="00E56F21">
        <w:rPr>
          <w:rFonts w:asciiTheme="majorHAnsi" w:hAnsiTheme="majorHAnsi"/>
          <w:sz w:val="24"/>
          <w:szCs w:val="24"/>
          <w:lang w:val="en-US"/>
        </w:rPr>
        <w:t xml:space="preserve">also </w:t>
      </w:r>
      <w:r w:rsidR="005D5C9E">
        <w:rPr>
          <w:rFonts w:asciiTheme="majorHAnsi" w:hAnsiTheme="majorHAnsi"/>
          <w:sz w:val="24"/>
          <w:szCs w:val="24"/>
          <w:lang w:val="en-US"/>
        </w:rPr>
        <w:t>worth emphasizing that the</w:t>
      </w:r>
      <w:r w:rsidR="00900889" w:rsidRPr="00876AB1">
        <w:rPr>
          <w:rFonts w:asciiTheme="majorHAnsi" w:hAnsiTheme="majorHAnsi"/>
          <w:sz w:val="24"/>
          <w:szCs w:val="24"/>
          <w:lang w:val="en-US"/>
        </w:rPr>
        <w:t xml:space="preserve"> benzimidazoles</w:t>
      </w:r>
      <w:r w:rsidR="005D5C9E">
        <w:rPr>
          <w:rFonts w:asciiTheme="majorHAnsi" w:hAnsiTheme="majorHAnsi"/>
          <w:sz w:val="24"/>
          <w:szCs w:val="24"/>
          <w:lang w:val="en-US"/>
        </w:rPr>
        <w:t xml:space="preserve"> may have additional targets beyond </w:t>
      </w:r>
      <w:r w:rsidR="005D5C9E" w:rsidRPr="00876AB1">
        <w:rPr>
          <w:rFonts w:asciiTheme="majorHAnsi" w:hAnsiTheme="majorHAnsi"/>
          <w:sz w:val="24"/>
          <w:szCs w:val="24"/>
          <w:lang w:val="en-US"/>
        </w:rPr>
        <w:t>β-tubuli</w:t>
      </w:r>
      <w:r w:rsidR="005D5C9E">
        <w:rPr>
          <w:rFonts w:asciiTheme="majorHAnsi" w:hAnsiTheme="majorHAnsi"/>
          <w:sz w:val="24"/>
          <w:szCs w:val="24"/>
          <w:lang w:val="en-US"/>
        </w:rPr>
        <w:t xml:space="preserve">n that </w:t>
      </w:r>
      <w:r w:rsidR="0094660F">
        <w:rPr>
          <w:rFonts w:asciiTheme="majorHAnsi" w:hAnsiTheme="majorHAnsi"/>
          <w:sz w:val="24"/>
          <w:szCs w:val="24"/>
          <w:lang w:val="en-US"/>
        </w:rPr>
        <w:t xml:space="preserve">have the </w:t>
      </w:r>
      <w:r w:rsidR="0013318C">
        <w:rPr>
          <w:rFonts w:asciiTheme="majorHAnsi" w:hAnsiTheme="majorHAnsi"/>
          <w:sz w:val="24"/>
          <w:szCs w:val="24"/>
          <w:lang w:val="en-US"/>
        </w:rPr>
        <w:t xml:space="preserve">further </w:t>
      </w:r>
      <w:r w:rsidR="0094660F">
        <w:rPr>
          <w:rFonts w:asciiTheme="majorHAnsi" w:hAnsiTheme="majorHAnsi"/>
          <w:sz w:val="24"/>
          <w:szCs w:val="24"/>
          <w:lang w:val="en-US"/>
        </w:rPr>
        <w:t>potential to</w:t>
      </w:r>
      <w:r w:rsidR="005D5C9E">
        <w:rPr>
          <w:rFonts w:asciiTheme="majorHAnsi" w:hAnsiTheme="majorHAnsi"/>
          <w:sz w:val="24"/>
          <w:szCs w:val="24"/>
          <w:lang w:val="en-US"/>
        </w:rPr>
        <w:t xml:space="preserve"> provide differential activity</w:t>
      </w:r>
      <w:r w:rsidR="001262DD">
        <w:rPr>
          <w:rFonts w:asciiTheme="majorHAnsi" w:hAnsiTheme="majorHAnsi"/>
          <w:sz w:val="24"/>
          <w:szCs w:val="24"/>
          <w:lang w:val="en-US"/>
        </w:rPr>
        <w:t xml:space="preserve"> between human and fungal proteins</w:t>
      </w:r>
      <w:r w:rsidR="006E7186">
        <w:rPr>
          <w:rFonts w:asciiTheme="majorHAnsi" w:hAnsiTheme="majorHAnsi"/>
          <w:sz w:val="24"/>
          <w:szCs w:val="24"/>
          <w:lang w:val="en-US"/>
        </w:rPr>
        <w:t>, but this requires further investigation</w:t>
      </w:r>
      <w:r w:rsidR="00D01895">
        <w:rPr>
          <w:rFonts w:asciiTheme="majorHAnsi" w:hAnsiTheme="majorHAnsi"/>
          <w:sz w:val="24"/>
          <w:szCs w:val="24"/>
          <w:lang w:val="en-US"/>
        </w:rPr>
        <w:t xml:space="preserve"> </w:t>
      </w:r>
      <w:r w:rsidR="00103079">
        <w:rPr>
          <w:rFonts w:asciiTheme="majorHAnsi" w:hAnsiTheme="majorHAnsi"/>
          <w:sz w:val="24"/>
          <w:szCs w:val="24"/>
          <w:lang w:val="en-US"/>
        </w:rPr>
        <w:fldChar w:fldCharType="begin" w:fldLock="1"/>
      </w:r>
      <w:r w:rsidR="005002A9">
        <w:rPr>
          <w:rFonts w:asciiTheme="majorHAnsi" w:hAnsiTheme="majorHAnsi"/>
          <w:sz w:val="24"/>
          <w:szCs w:val="24"/>
          <w:lang w:val="en-US"/>
        </w:rPr>
        <w:instrText>ADDIN CSL_CITATION { "citationItems" : [ { "id" : "ITEM-1", "itemData" : { "DOI" : "10.1016/j.bmc.2014.09.008", "ISBN" : "0968-0896", "ISSN" : "14643391", "PMID" : "25288496", "abstract" : "The gyraseB subunit of Staphylococcus aureus DNA gyrase is a well-established and validated target though less explored for the development of novel antimicrobial agents. Starting from the available structural information in PDB (3TTZ), we identified a novel series of benzimidazole used as inhibitors of DNA gyraseB with low micromolar inhibitory activity by employing structure-based drug design strategy. Subsequently, this chemical class of DNA gyrase inhibitors was extensively investigated biologically through in vitro assays, biofilm inhibition assays, cytotoxicity, and in vivo studies. The binding affinity of the most potent inhibitor 10 was further ascertained biophysically through differential scanning fluorimetry. Further, the most potent analogues did not show any signs of cardiotoxicity in Zebra fish ether-a-go-go-related gene (zERG), a major breakthrough among the previously reported cardiotoxic gyraseB inhibitors.", "author" : [ { "dropping-particle" : "", "family" : "Janupally", "given" : "Renuka", "non-dropping-particle" : "", "parse-names" : false, "suffix" : "" }, { "dropping-particle" : "", "family" : "Jeankumar", "given" : "Variam Ullas", "non-dropping-particle" : "", "parse-names" : false, "suffix" : "" }, { "dropping-particle" : "", "family" : "Bobesh", "given" : "Karyakulam Andrews", "non-dropping-particle" : "", "parse-names" : false, "suffix" : "" }, { "dropping-particle" : "", "family" : "Soni", "given" : "Vijay", "non-dropping-particle" : "", "parse-names" : false, "suffix" : "" }, { "dropping-particle" : "", "family" : "Devi", "given" : "Parthiban Brindha", "non-dropping-particle" : "", "parse-names" : false, "suffix" : "" }, { "dropping-particle" : "", "family" : "Pulla", "given" : "Venkat Koushik", "non-dropping-particle" : "", "parse-names" : false, "suffix" : "" }, { "dropping-particle" : "", "family" : "Suryadevara", "given" : "Priyanka", "non-dropping-particle" : "", "parse-names" : false, "suffix" : "" }, { "dropping-particle" : "", "family" : "Chennubhotla", "given" : "Keerthana Sharma", "non-dropping-particle" : "", "parse-names" : false, "suffix" : "" }, { "dropping-particle" : "", "family" : "Kulkarni", "given" : "Pushkar", "non-dropping-particle" : "", "parse-names" : false, "suffix" : "" }, { "dropping-particle" : "", "family" : "Yogeeswari", "given" : "Perumal", "non-dropping-particle" : "", "parse-names" : false, "suffix" : "" }, { "dropping-particle" : "", "family" : "Sriram", "given" : "Dharmarajan", "non-dropping-particle" : "", "parse-names" : false, "suffix" : "" } ], "container-title" : "Bioorganic and Medicinal Chemistry", "id" : "ITEM-1", "issue" : "21", "issued" : { "date-parts" : [ [ "2014" ] ] }, "page" : "5970-5987", "title" : "Structure-guided design and development of novel benzimidazole class of compounds targeting DNA gyraseB enzyme of Staphylococcus aureus", "type" : "article-journal", "volume" : "22" }, "uris" : [ "http://www.mendeley.com/documents/?uuid=1f929680-8ae4-4257-b562-a6c8bdaf6b2d", "http://www.mendeley.com/documents/?uuid=c44d1873-8a01-4ed6-afed-ab03ec329b17", "http://www.mendeley.com/documents/?uuid=96c252b1-8f6f-4105-8bfc-3600654d0e33" ] }, { "id" : "ITEM-2", "itemData" : { "ISBN" : "9501542696", "ISSN" : "18755607", "abstract" : "\u00a9 2014 Bentham Science Publishers.The recent research area endeavors to discover ultimate multi-target ligands, an increasingly feasible and attractive alternative to existing mono-targeted drugs for treatment of complex, multi-factorial inflammation process which underlays plethora of debilitated health conditions. In order to improvise this option, exploration of relevant chemical core scaffold will be an utmost need. Privileged benzimidazole scaffold being historically versatile structural motif could offer a viable starting point in the search for novel multi-target ligands against multi-factorial inflammation process since, when appropriately substituted, it can selectively modulate diverse receptors, pathways and enzymes associated with the pathogenesis of inflammation. Despite this remarkable capability, the multi-target capacity of the benzimidazole scaffold remains largely unexploited. With this in focus, the present review article attempts to provide synopsis of published research to exemplify the valuable use of benzimidazole nucleus and focus on their suitability as starting scaffold to develop multi-targeted anti-inflammatory ligands.", "author" : [ { "dropping-particle" : "", "family" : "Kaur", "given" : "Gaganpreet", "non-dropping-particle" : "", "parse-names" : false, "suffix" : "" }, { "dropping-particle" : "", "family" : "Kaur", "given" : "Maninder", "non-dropping-particle" : "", "parse-names" : false, "suffix" : "" }, { "dropping-particle" : "", "family" : "Silakari", "given" : "Om", "non-dropping-particle" : "", "parse-names" : false, "suffix" : "" } ], "container-title" : "Mini-Reviews in Medicinal Chemistry", "id" : "ITEM-2", "issued" : { "date-parts" : [ [ "2014" ] ] }, "page" : "747-767", "title" : "Benzimidazoles: An Ideal Privileged Drug Scaffold for the Design of Multi-targeted Anti-inflammatory Ligands", "type" : "article-journal", "volume" : "14" }, "uris" : [ "http://www.mendeley.com/documents/?uuid=0fb90371-f250-4c13-9895-f4c2d7ebab00", "http://www.mendeley.com/documents/?uuid=c1033ace-ea5e-4910-bd46-9db94cdaedcd", "http://www.mendeley.com/documents/?uuid=18c082f0-c75a-46f9-a83a-03d677788bd9" ] }, { "id" : "ITEM-3", "itemData" : { "DOI" : "10.1016/j.bmc.2011.06.022", "ISBN" : "1464-3391 (Electronic)\\r0968-0896 (Linking)", "ISSN" : "09680896", "PMID" : "21724404", "abstract" : "Multi-target EGFR, VEGFR-2 and PDGFR inhibitors are highly useful anticancer agents with improved therapeutic efficacies. In this work, we used two virtual screening methods, support vector machines (SVM) and molecular docking, to identify a novel series of benzimidazole derivatives, 2-aryl benzimidazole compounds, as multi-target EGFR, VEGFR-2 and PDGFR inhibitors. 2-Aryl benzimidazole compounds were synthesized and their biological activities against a tumor cell line HepG-2 and specific kinases were evaluated. Among these compounds, compounds 5a and 5e exhibited high cytotoxicity against HepG-2 cells with IC50 values at ???2 ??M. Further kinase assay study showed that compound 5a have good EGFR inhibitory activity and moderate VEGFR-2 and PDGFR inhibitory activities, while 5e have moderate EGFR inhibitory activity and slightly weaker VEGFR-2 and PDGFR inhibitory activities. Molecular docking analysis suggested that compound 5a more tightly interacts with EGFR and PDGFR than compound 5e. Our study discovered a novel series of benzimidazole derivatives as multi-target EGFR, VEGFR-2 and PDGFR kinases inhibitors. ?? 2011 Elsevier Ltd. All rights reserved.", "author" : [ { "dropping-particle" : "", "family" : "Li", "given" : "Yunqi", "non-dropping-particle" : "", "parse-names" : false, "suffix" : "" }, { "dropping-particle" : "", "family" : "Tan", "given" : "Chunyan", "non-dropping-particle" : "", "parse-names" : false, "suffix" : "" }, { "dropping-particle" : "", "family" : "Gao", "given" : "Chunmei", "non-dropping-particle" : "", "parse-names" : false, "suffix" : "" }, { "dropping-particle" : "", "family" : "Zhang", "given" : "Cunlong", "non-dropping-particle" : "", "parse-names" : false, "suffix" : "" }, { "dropping-particle" : "", "family" : "Luan", "given" : "Xudong", "non-dropping-particle" : "", "parse-names" : false, "suffix" : "" }, { "dropping-particle" : "", "family" : "Chen", "given" : "Xiaowu", "non-dropping-particle" : "", "parse-names" : false, "suffix" : "" }, { "dropping-particle" : "", "family" : "Liu", "given" : "Hongxia", "non-dropping-particle" : "", "parse-names" : false, "suffix" : "" }, { "dropping-particle" : "", "family" : "Chen", "given" : "Yuzong", "non-dropping-particle" : "", "parse-names" : false, "suffix" : "" }, { "dropping-particle" : "", "family" : "Jiang", "given" : "Yuyang", "non-dropping-particle" : "", "parse-names" : false, "suffix" : "" } ], "container-title" : "Bioorganic and Medicinal Chemistry", "id" : "ITEM-3", "issue" : "15", "issued" : { "date-parts" : [ [ "2011" ] ] }, "page" : "4529-4535", "title" : "Discovery of benzimidazole derivatives as novel multi-target EGFR, VEGFR-2 and PDGFR kinase inhibitors", "type" : "article-journal", "volume" : "19" }, "uris" : [ "http://www.mendeley.com/documents/?uuid=ccb167d4-e841-4f22-98f1-74972d29fcbb", "http://www.mendeley.com/documents/?uuid=0bc4a4ef-97ff-4e02-8a33-1d3333879bef", "http://www.mendeley.com/documents/?uuid=a0c3d64f-5365-41f2-8bfa-5086f6593d7c" ] }, { "id" : "ITEM-4", "itemData" : { "DOI" : "10.1107/S0909049513020748", "ISBN" : "0909049513", "ISSN" : "09090495", "abstract" : "The crystal structure of human chymase complexed with a novel benzimidazole inhibitor, TJK002, was determined at 2.8 A resolution. The X-ray crystallographic study shows that the benzimidazole inhibitor forms a non-covalent interaction with the catalytic domain of human chymase. The hydrophobic fragment of the inhibitor occupies the S1 pocket. The carboxylic acid group of the inhibitor forms hydrogen bonds with the imidazole N([epsilon]) atom of His57 and/or the O([gamma]) atom of Ser195 which are members of the catalytic triad. This imidazole ring of His57 induces [pi]-[pi] stacking to the benzene ring of the benzimidazole scaffold as P2 moiety. Fragment molecular orbital calculation of the atomic coordinates by X-ray crystallography shows that this imidazole ring of His57 could be protonated with the carboxyl group of Asp102 or hydroxyl group of Ser195 and the stacking interaction is stabilized. A new drug design strategy is proposed where the stacking to the protonated imidazole of the drug target protein with the benzimidazole scaffold inhibitor causes unpredicted potent inhibitory activity for some enzymes.", "author" : [ { "dropping-particle" : "", "family" : "Matsumoto", "given" : "Yoshiyuki", "non-dropping-particle" : "", "parse-names" : false, "suffix" : "" }, { "dropping-particle" : "", "family" : "Kakuda", "given" : "Shinji", "non-dropping-particle" : "", "parse-names" : false, "suffix" : "" }, { "dropping-particle" : "", "family" : "Koizumi", "given" : "Masahiro", "non-dropping-particle" : "", "parse-names" : false, "suffix" : "" }, { "dropping-particle" : "", "family" : "Mizuno", "given" : "Tsuyoshi", "non-dropping-particle" : "", "parse-names" : false, "suffix" : "" }, { "dropping-particle" : "", "family" : "Muroga", "given" : "Yumiko", "non-dropping-particle" : "", "parse-names" : false, "suffix" : "" }, { "dropping-particle" : "", "family" : "Kawamura", "given" : "Takashi", "non-dropping-particle" : "", "parse-names" : false, "suffix" : "" }, { "dropping-particle" : "", "family" : "Takimoto-Kamimura", "given" : "Midori", "non-dropping-particle" : "", "parse-names" : false, "suffix" : "" } ], "container-title" : "Journal of Synchrotron Radiation", "id" : "ITEM-4", "issue" : "6", "issued" : { "date-parts" : [ [ "2013" ] ] }, "page" : "914-918", "title" : "Crystal structure of a complex of human chymase with its benzimidazole derived inhibitor", "type" : "article-journal", "volume" : "20" }, "uris" : [ "http://www.mendeley.com/documents/?uuid=e5288b24-2c15-4848-bf69-4b5dcbe0be4c", "http://www.mendeley.com/documents/?uuid=af77996a-d4b9-4673-86ce-d6a0b8e7f8fc", "http://www.mendeley.com/documents/?uuid=b79b7a1b-8f20-4015-a5f4-7a5606f8b46c" ] } ], "mendeley" : { "formattedCitation" : "(21\u201324)", "plainTextFormattedCitation" : "(21\u201324)", "previouslyFormattedCitation" : "(21\u201324)" }, "properties" : { "noteIndex" : 0 }, "schema" : "https://github.com/citation-style-language/schema/raw/master/csl-citation.json" }</w:instrText>
      </w:r>
      <w:r w:rsidR="00103079">
        <w:rPr>
          <w:rFonts w:asciiTheme="majorHAnsi" w:hAnsiTheme="majorHAnsi"/>
          <w:sz w:val="24"/>
          <w:szCs w:val="24"/>
          <w:lang w:val="en-US"/>
        </w:rPr>
        <w:fldChar w:fldCharType="separate"/>
      </w:r>
      <w:r w:rsidR="005002A9" w:rsidRPr="005002A9">
        <w:rPr>
          <w:rFonts w:asciiTheme="majorHAnsi" w:hAnsiTheme="majorHAnsi"/>
          <w:noProof/>
          <w:sz w:val="24"/>
          <w:szCs w:val="24"/>
          <w:lang w:val="en-US"/>
        </w:rPr>
        <w:t>(21–24)</w:t>
      </w:r>
      <w:r w:rsidR="00103079">
        <w:rPr>
          <w:rFonts w:asciiTheme="majorHAnsi" w:hAnsiTheme="majorHAnsi"/>
          <w:sz w:val="24"/>
          <w:szCs w:val="24"/>
          <w:lang w:val="en-US"/>
        </w:rPr>
        <w:fldChar w:fldCharType="end"/>
      </w:r>
      <w:r w:rsidR="00103079">
        <w:rPr>
          <w:rFonts w:asciiTheme="majorHAnsi" w:hAnsiTheme="majorHAnsi"/>
          <w:sz w:val="24"/>
          <w:szCs w:val="24"/>
          <w:lang w:val="en-US"/>
        </w:rPr>
        <w:t>.</w:t>
      </w:r>
      <w:r w:rsidR="007E6EBF">
        <w:rPr>
          <w:rFonts w:asciiTheme="majorHAnsi" w:hAnsiTheme="majorHAnsi"/>
          <w:sz w:val="24"/>
          <w:szCs w:val="24"/>
          <w:lang w:val="en-US"/>
        </w:rPr>
        <w:t xml:space="preserve"> </w:t>
      </w:r>
      <w:r w:rsidR="002F4448">
        <w:rPr>
          <w:rFonts w:asciiTheme="majorHAnsi" w:hAnsiTheme="majorHAnsi"/>
          <w:sz w:val="24"/>
          <w:szCs w:val="24"/>
          <w:lang w:val="en-US"/>
        </w:rPr>
        <w:t xml:space="preserve"> </w:t>
      </w:r>
    </w:p>
    <w:p w14:paraId="7DB444A5" w14:textId="641DCC05" w:rsidR="00B03ACC" w:rsidRDefault="00B03ACC" w:rsidP="00EB3D34">
      <w:pPr>
        <w:spacing w:after="120" w:line="480" w:lineRule="auto"/>
        <w:ind w:firstLine="720"/>
        <w:rPr>
          <w:rFonts w:asciiTheme="majorHAnsi" w:hAnsiTheme="majorHAnsi"/>
          <w:sz w:val="24"/>
          <w:szCs w:val="24"/>
          <w:lang w:val="en-US"/>
        </w:rPr>
      </w:pPr>
      <w:r>
        <w:rPr>
          <w:rFonts w:asciiTheme="majorHAnsi" w:hAnsiTheme="majorHAnsi"/>
          <w:sz w:val="24"/>
          <w:szCs w:val="24"/>
          <w:lang w:val="en-US"/>
        </w:rPr>
        <w:t xml:space="preserve">The potential utility of congeners of flubendazole now rests with medicinal chemistry programs. </w:t>
      </w:r>
      <w:r w:rsidR="004E1625">
        <w:rPr>
          <w:rFonts w:asciiTheme="majorHAnsi" w:hAnsiTheme="majorHAnsi"/>
          <w:sz w:val="24"/>
          <w:szCs w:val="24"/>
          <w:lang w:val="en-US"/>
        </w:rPr>
        <w:t xml:space="preserve"> </w:t>
      </w:r>
      <w:r>
        <w:rPr>
          <w:rFonts w:asciiTheme="majorHAnsi" w:hAnsiTheme="majorHAnsi"/>
          <w:sz w:val="24"/>
          <w:szCs w:val="24"/>
          <w:lang w:val="en-US"/>
        </w:rPr>
        <w:t xml:space="preserve">Compounds must be synthesized that exhibit differential activity against cryptococcal and human tubulin (if that is possible) so that there is an acceptable safety margin and toxicity profile.  Furthermore, the compound must be able to traverse the gut (compounds that are not orally bioavailable will be less clinically valuable) and then the blood-brain-barrier to achieve concentrations that are ideally fungicidal.  </w:t>
      </w:r>
      <w:r w:rsidR="000C07C1">
        <w:rPr>
          <w:rFonts w:asciiTheme="majorHAnsi" w:hAnsiTheme="majorHAnsi"/>
          <w:sz w:val="24"/>
          <w:szCs w:val="24"/>
          <w:lang w:val="en-US"/>
        </w:rPr>
        <w:t xml:space="preserve">The latter will be promoted by new molecules that low molecular weight lipophilic compounds that are not substrates for active pumps such as P-glycoprotein.  </w:t>
      </w:r>
      <w:r>
        <w:rPr>
          <w:rFonts w:asciiTheme="majorHAnsi" w:hAnsiTheme="majorHAnsi"/>
          <w:sz w:val="24"/>
          <w:szCs w:val="24"/>
          <w:lang w:val="en-US"/>
        </w:rPr>
        <w:t xml:space="preserve">This will undoubtedly </w:t>
      </w:r>
      <w:r w:rsidR="000C07C1">
        <w:rPr>
          <w:rFonts w:asciiTheme="majorHAnsi" w:hAnsiTheme="majorHAnsi"/>
          <w:sz w:val="24"/>
          <w:szCs w:val="24"/>
          <w:lang w:val="en-US"/>
        </w:rPr>
        <w:t xml:space="preserve">also </w:t>
      </w:r>
      <w:r>
        <w:rPr>
          <w:rFonts w:asciiTheme="majorHAnsi" w:hAnsiTheme="majorHAnsi"/>
          <w:sz w:val="24"/>
          <w:szCs w:val="24"/>
          <w:lang w:val="en-US"/>
        </w:rPr>
        <w:t xml:space="preserve">require </w:t>
      </w:r>
      <w:r w:rsidR="000C07C1">
        <w:rPr>
          <w:rFonts w:asciiTheme="majorHAnsi" w:hAnsiTheme="majorHAnsi"/>
          <w:sz w:val="24"/>
          <w:szCs w:val="24"/>
          <w:lang w:val="en-US"/>
        </w:rPr>
        <w:t xml:space="preserve">the use of </w:t>
      </w:r>
      <w:r>
        <w:rPr>
          <w:rFonts w:asciiTheme="majorHAnsi" w:hAnsiTheme="majorHAnsi"/>
          <w:sz w:val="24"/>
          <w:szCs w:val="24"/>
          <w:lang w:val="en-US"/>
        </w:rPr>
        <w:t>novel formulation technologies to ensure compounds that</w:t>
      </w:r>
      <w:r w:rsidR="00F029B4">
        <w:rPr>
          <w:rFonts w:asciiTheme="majorHAnsi" w:hAnsiTheme="majorHAnsi"/>
          <w:sz w:val="24"/>
          <w:szCs w:val="24"/>
          <w:lang w:val="en-US"/>
        </w:rPr>
        <w:t xml:space="preserve"> are</w:t>
      </w:r>
      <w:r>
        <w:rPr>
          <w:rFonts w:asciiTheme="majorHAnsi" w:hAnsiTheme="majorHAnsi"/>
          <w:sz w:val="24"/>
          <w:szCs w:val="24"/>
          <w:lang w:val="en-US"/>
        </w:rPr>
        <w:t xml:space="preserve"> poorly soluble to become useful agents for disseminated infections. </w:t>
      </w:r>
      <w:r w:rsidR="006E7186">
        <w:rPr>
          <w:rFonts w:asciiTheme="majorHAnsi" w:hAnsiTheme="majorHAnsi"/>
          <w:sz w:val="24"/>
          <w:szCs w:val="24"/>
          <w:lang w:val="en-US"/>
        </w:rPr>
        <w:t xml:space="preserve"> </w:t>
      </w:r>
    </w:p>
    <w:p w14:paraId="59F086E1" w14:textId="77777777" w:rsidR="00900889" w:rsidRPr="00876AB1" w:rsidRDefault="00900889" w:rsidP="00EB3D34">
      <w:pPr>
        <w:spacing w:line="480" w:lineRule="auto"/>
        <w:rPr>
          <w:rFonts w:asciiTheme="majorHAnsi" w:hAnsiTheme="majorHAnsi"/>
          <w:sz w:val="24"/>
          <w:szCs w:val="24"/>
          <w:lang w:val="en-US"/>
        </w:rPr>
      </w:pPr>
      <w:r w:rsidRPr="00876AB1">
        <w:rPr>
          <w:rFonts w:asciiTheme="majorHAnsi" w:hAnsiTheme="majorHAnsi"/>
          <w:sz w:val="24"/>
          <w:szCs w:val="24"/>
          <w:lang w:val="en-US"/>
        </w:rPr>
        <w:br w:type="page"/>
      </w:r>
    </w:p>
    <w:p w14:paraId="05B5E224" w14:textId="77777777" w:rsidR="003B2CE2" w:rsidRPr="00876AB1" w:rsidRDefault="003B2CE2" w:rsidP="00EB3D34">
      <w:pPr>
        <w:spacing w:after="120" w:line="480" w:lineRule="auto"/>
        <w:outlineLvl w:val="0"/>
        <w:rPr>
          <w:rFonts w:asciiTheme="majorHAnsi" w:hAnsiTheme="majorHAnsi"/>
          <w:b/>
          <w:sz w:val="24"/>
          <w:szCs w:val="24"/>
          <w:lang w:val="en-US"/>
        </w:rPr>
      </w:pPr>
      <w:r w:rsidRPr="00876AB1">
        <w:rPr>
          <w:rFonts w:asciiTheme="majorHAnsi" w:hAnsiTheme="majorHAnsi"/>
          <w:b/>
          <w:sz w:val="24"/>
          <w:szCs w:val="24"/>
          <w:lang w:val="en-US"/>
        </w:rPr>
        <w:lastRenderedPageBreak/>
        <w:t>METHODS</w:t>
      </w:r>
    </w:p>
    <w:p w14:paraId="2DB13B79" w14:textId="77777777" w:rsidR="003B2CE2" w:rsidRPr="00876AB1" w:rsidRDefault="003B2CE2" w:rsidP="00EB3D34">
      <w:pPr>
        <w:spacing w:after="120" w:line="480" w:lineRule="auto"/>
        <w:outlineLvl w:val="0"/>
        <w:rPr>
          <w:rFonts w:asciiTheme="majorHAnsi" w:hAnsiTheme="majorHAnsi"/>
          <w:b/>
          <w:i/>
          <w:sz w:val="24"/>
          <w:szCs w:val="24"/>
          <w:lang w:val="en-US"/>
        </w:rPr>
      </w:pPr>
      <w:r w:rsidRPr="00876AB1">
        <w:rPr>
          <w:rFonts w:asciiTheme="majorHAnsi" w:hAnsiTheme="majorHAnsi"/>
          <w:b/>
          <w:i/>
          <w:sz w:val="24"/>
          <w:szCs w:val="24"/>
          <w:lang w:val="en-US"/>
        </w:rPr>
        <w:t>Drug</w:t>
      </w:r>
    </w:p>
    <w:p w14:paraId="034353DF" w14:textId="1235AC0E" w:rsidR="003B2CE2" w:rsidRDefault="003B2CE2" w:rsidP="00EB3D34">
      <w:pPr>
        <w:pStyle w:val="NormalWeb"/>
        <w:spacing w:after="120" w:line="480" w:lineRule="auto"/>
        <w:ind w:firstLine="720"/>
        <w:rPr>
          <w:rFonts w:asciiTheme="majorHAnsi" w:hAnsiTheme="majorHAnsi"/>
          <w:color w:val="000000"/>
          <w:lang w:val="en-US"/>
        </w:rPr>
      </w:pPr>
      <w:r w:rsidRPr="00876AB1">
        <w:rPr>
          <w:rFonts w:asciiTheme="majorHAnsi" w:hAnsiTheme="majorHAnsi"/>
          <w:lang w:val="en-US"/>
        </w:rPr>
        <w:t xml:space="preserve">Flubendazole that was used for determination of MICs, hollow </w:t>
      </w:r>
      <w:proofErr w:type="spellStart"/>
      <w:r w:rsidRPr="00876AB1">
        <w:rPr>
          <w:rFonts w:asciiTheme="majorHAnsi" w:hAnsiTheme="majorHAnsi"/>
          <w:lang w:val="en-US"/>
        </w:rPr>
        <w:t>fibre</w:t>
      </w:r>
      <w:proofErr w:type="spellEnd"/>
      <w:r w:rsidRPr="00876AB1">
        <w:rPr>
          <w:rFonts w:asciiTheme="majorHAnsi" w:hAnsiTheme="majorHAnsi"/>
          <w:lang w:val="en-US"/>
        </w:rPr>
        <w:t xml:space="preserve"> experiments and preliminary murine experiments was purchased from Sigma.  Subsequently, definitive pharmacokinetic-pharmacodynamic experiments that were performed with orally administered flubendazole </w:t>
      </w:r>
      <w:r w:rsidRPr="00AE1E14">
        <w:rPr>
          <w:rFonts w:asciiTheme="majorHAnsi" w:hAnsiTheme="majorHAnsi"/>
          <w:color w:val="000000" w:themeColor="text1"/>
          <w:lang w:val="en-US"/>
        </w:rPr>
        <w:t xml:space="preserve">used a </w:t>
      </w:r>
      <w:r w:rsidR="00393938" w:rsidRPr="00AE1E14">
        <w:rPr>
          <w:rFonts w:asciiTheme="majorHAnsi" w:hAnsiTheme="majorHAnsi"/>
          <w:color w:val="000000" w:themeColor="text1"/>
          <w:shd w:val="clear" w:color="auto" w:fill="FFFFFF"/>
        </w:rPr>
        <w:t xml:space="preserve">solid drug </w:t>
      </w:r>
      <w:proofErr w:type="spellStart"/>
      <w:r w:rsidR="00393938" w:rsidRPr="00AE1E14">
        <w:rPr>
          <w:rFonts w:asciiTheme="majorHAnsi" w:hAnsiTheme="majorHAnsi"/>
          <w:color w:val="000000" w:themeColor="text1"/>
          <w:shd w:val="clear" w:color="auto" w:fill="FFFFFF"/>
        </w:rPr>
        <w:t>nano</w:t>
      </w:r>
      <w:proofErr w:type="spellEnd"/>
      <w:r w:rsidR="00AC7771">
        <w:rPr>
          <w:rFonts w:asciiTheme="majorHAnsi" w:hAnsiTheme="majorHAnsi"/>
          <w:color w:val="000000" w:themeColor="text1"/>
          <w:shd w:val="clear" w:color="auto" w:fill="FFFFFF"/>
        </w:rPr>
        <w:t>-</w:t>
      </w:r>
      <w:r w:rsidR="00393938" w:rsidRPr="00AE1E14">
        <w:rPr>
          <w:rFonts w:asciiTheme="majorHAnsi" w:hAnsiTheme="majorHAnsi"/>
          <w:color w:val="000000" w:themeColor="text1"/>
          <w:shd w:val="clear" w:color="auto" w:fill="FFFFFF"/>
        </w:rPr>
        <w:t>dispersion</w:t>
      </w:r>
      <w:r w:rsidRPr="00AE1E14">
        <w:rPr>
          <w:rFonts w:asciiTheme="majorHAnsi" w:hAnsiTheme="majorHAnsi"/>
          <w:color w:val="000000" w:themeColor="text1"/>
          <w:lang w:val="en-US"/>
        </w:rPr>
        <w:t xml:space="preserve"> formulation </w:t>
      </w:r>
      <w:r w:rsidRPr="00876AB1">
        <w:rPr>
          <w:rFonts w:asciiTheme="majorHAnsi" w:hAnsiTheme="majorHAnsi"/>
          <w:color w:val="000000"/>
          <w:lang w:val="en-US"/>
        </w:rPr>
        <w:t xml:space="preserve">of flubendazole developed by Janssen Pharmaceuticals (batch BREC-1113-070, Janssen Pharmaceuticals).  </w:t>
      </w:r>
      <w:r>
        <w:rPr>
          <w:rFonts w:asciiTheme="majorHAnsi" w:hAnsiTheme="majorHAnsi"/>
          <w:color w:val="000000"/>
          <w:lang w:val="en-US"/>
        </w:rPr>
        <w:t xml:space="preserve">The stability of this formulation in liquid and solid phases was confirmed for 1 and 6 months, respectively. </w:t>
      </w:r>
    </w:p>
    <w:p w14:paraId="48F54D5B" w14:textId="3662CDE0" w:rsidR="003B2CE2" w:rsidRPr="00876AB1" w:rsidRDefault="003B2CE2" w:rsidP="00EB3D34">
      <w:pPr>
        <w:pStyle w:val="NormalWeb"/>
        <w:spacing w:after="120" w:line="480" w:lineRule="auto"/>
        <w:ind w:firstLine="720"/>
        <w:rPr>
          <w:rFonts w:asciiTheme="majorHAnsi" w:hAnsiTheme="majorHAnsi"/>
          <w:color w:val="000000"/>
          <w:lang w:val="en-US"/>
        </w:rPr>
      </w:pPr>
      <w:r w:rsidRPr="00AC31F6">
        <w:rPr>
          <w:rFonts w:asciiTheme="majorHAnsi" w:hAnsiTheme="majorHAnsi"/>
          <w:color w:val="000000"/>
          <w:lang w:val="en-US"/>
        </w:rPr>
        <w:t xml:space="preserve">A 10 mg/mL methylcellulose 4000cps stock solution (100 mL batch) was prepared from a dispersion of 1 g methylcellulose 4000cps with stirring into 70 mL demineralized water heated to 70°C-80°C. The solution was stirred for at least 15 minutes followed by the addition of 20 mL of demineralized water.  The mixture was stirred until it reached room temperature and was then made up to 100 mL with </w:t>
      </w:r>
      <w:r w:rsidR="001F0E07" w:rsidRPr="00AC31F6">
        <w:rPr>
          <w:rFonts w:asciiTheme="majorHAnsi" w:hAnsiTheme="majorHAnsi"/>
          <w:color w:val="000000"/>
          <w:lang w:val="en-US"/>
        </w:rPr>
        <w:t>demineralized</w:t>
      </w:r>
      <w:r w:rsidRPr="00AC31F6">
        <w:rPr>
          <w:rFonts w:asciiTheme="majorHAnsi" w:hAnsiTheme="majorHAnsi"/>
          <w:color w:val="000000"/>
          <w:lang w:val="en-US"/>
        </w:rPr>
        <w:t xml:space="preserve"> water.</w:t>
      </w:r>
      <w:r w:rsidR="00E97A1D" w:rsidRPr="00AC31F6">
        <w:rPr>
          <w:rFonts w:asciiTheme="majorHAnsi" w:hAnsiTheme="majorHAnsi"/>
          <w:color w:val="000000"/>
          <w:lang w:val="en-US"/>
        </w:rPr>
        <w:t xml:space="preserve"> </w:t>
      </w:r>
      <w:r w:rsidRPr="00AC31F6">
        <w:rPr>
          <w:rFonts w:asciiTheme="majorHAnsi" w:hAnsiTheme="majorHAnsi"/>
          <w:color w:val="000000"/>
          <w:lang w:val="en-US"/>
        </w:rPr>
        <w:t xml:space="preserve"> </w:t>
      </w:r>
      <w:r w:rsidR="00AE1E14">
        <w:rPr>
          <w:rFonts w:asciiTheme="majorHAnsi" w:hAnsiTheme="majorHAnsi"/>
          <w:color w:val="000000"/>
          <w:lang w:val="en-US"/>
        </w:rPr>
        <w:t xml:space="preserve">A total of </w:t>
      </w:r>
      <w:r w:rsidR="00AE1E14">
        <w:rPr>
          <w:rFonts w:asciiTheme="majorHAnsi" w:hAnsiTheme="majorHAnsi"/>
          <w:lang w:val="en-US"/>
        </w:rPr>
        <w:t>50</w:t>
      </w:r>
      <w:r w:rsidRPr="00AC31F6">
        <w:rPr>
          <w:rFonts w:asciiTheme="majorHAnsi" w:hAnsiTheme="majorHAnsi"/>
          <w:lang w:val="en-US"/>
        </w:rPr>
        <w:t xml:space="preserve">mL of 6 mg/mL spray dried powder suspension was then prepared (this corresponds with 0.6 mg/mL of flubendazole as the active dose in 0.5% methylcellulose).  A total of 24.70 g of demineralized water was added to a </w:t>
      </w:r>
      <w:r w:rsidR="00D44755" w:rsidRPr="00AC31F6">
        <w:rPr>
          <w:rFonts w:asciiTheme="majorHAnsi" w:hAnsiTheme="majorHAnsi"/>
          <w:lang w:val="en-US"/>
        </w:rPr>
        <w:t>50-mL</w:t>
      </w:r>
      <w:r w:rsidRPr="00AC31F6">
        <w:rPr>
          <w:rFonts w:asciiTheme="majorHAnsi" w:hAnsiTheme="majorHAnsi"/>
          <w:lang w:val="en-US"/>
        </w:rPr>
        <w:t xml:space="preserve"> clear glass vial. </w:t>
      </w:r>
      <w:r w:rsidR="00165BCC" w:rsidRPr="00AC31F6">
        <w:rPr>
          <w:rFonts w:asciiTheme="majorHAnsi" w:hAnsiTheme="majorHAnsi"/>
          <w:lang w:val="en-US"/>
        </w:rPr>
        <w:t xml:space="preserve"> A total of </w:t>
      </w:r>
      <w:r w:rsidRPr="00AC31F6">
        <w:rPr>
          <w:rFonts w:asciiTheme="majorHAnsi" w:hAnsiTheme="majorHAnsi"/>
          <w:lang w:val="en-US"/>
        </w:rPr>
        <w:t xml:space="preserve">0.30 g of spray dried drug was added to the vial which was then closed with a stopper. </w:t>
      </w:r>
      <w:r w:rsidR="00165BCC" w:rsidRPr="00AC31F6">
        <w:rPr>
          <w:rFonts w:asciiTheme="majorHAnsi" w:hAnsiTheme="majorHAnsi"/>
          <w:lang w:val="en-US"/>
        </w:rPr>
        <w:t xml:space="preserve"> </w:t>
      </w:r>
      <w:r w:rsidRPr="00AC31F6">
        <w:rPr>
          <w:rFonts w:asciiTheme="majorHAnsi" w:hAnsiTheme="majorHAnsi"/>
          <w:lang w:val="en-US"/>
        </w:rPr>
        <w:t xml:space="preserve">The vial was vortexed and then </w:t>
      </w:r>
      <w:r w:rsidR="00165BCC" w:rsidRPr="00AC31F6">
        <w:rPr>
          <w:rFonts w:asciiTheme="majorHAnsi" w:hAnsiTheme="majorHAnsi"/>
          <w:lang w:val="en-US"/>
        </w:rPr>
        <w:t>homogenized</w:t>
      </w:r>
      <w:r w:rsidRPr="00AC31F6">
        <w:rPr>
          <w:rFonts w:asciiTheme="majorHAnsi" w:hAnsiTheme="majorHAnsi"/>
          <w:lang w:val="en-US"/>
        </w:rPr>
        <w:t xml:space="preserve"> using a </w:t>
      </w:r>
      <w:proofErr w:type="spellStart"/>
      <w:r w:rsidRPr="00AC31F6">
        <w:rPr>
          <w:rFonts w:asciiTheme="majorHAnsi" w:hAnsiTheme="majorHAnsi"/>
          <w:lang w:val="en-US"/>
        </w:rPr>
        <w:t>polytron</w:t>
      </w:r>
      <w:proofErr w:type="spellEnd"/>
      <w:r w:rsidRPr="00AC31F6">
        <w:rPr>
          <w:rFonts w:asciiTheme="majorHAnsi" w:hAnsiTheme="majorHAnsi"/>
          <w:lang w:val="en-US"/>
        </w:rPr>
        <w:t xml:space="preserve"> disperser. </w:t>
      </w:r>
      <w:r w:rsidR="00165BCC" w:rsidRPr="00AC31F6">
        <w:rPr>
          <w:rFonts w:asciiTheme="majorHAnsi" w:hAnsiTheme="majorHAnsi"/>
          <w:lang w:val="en-US"/>
        </w:rPr>
        <w:t xml:space="preserve"> </w:t>
      </w:r>
      <w:r w:rsidRPr="00AC31F6">
        <w:rPr>
          <w:rFonts w:asciiTheme="majorHAnsi" w:hAnsiTheme="majorHAnsi"/>
          <w:lang w:val="en-US"/>
        </w:rPr>
        <w:t xml:space="preserve">A </w:t>
      </w:r>
      <w:r w:rsidR="00D44755" w:rsidRPr="00AC31F6">
        <w:rPr>
          <w:rFonts w:asciiTheme="majorHAnsi" w:hAnsiTheme="majorHAnsi"/>
          <w:lang w:val="en-US"/>
        </w:rPr>
        <w:t>25-mL</w:t>
      </w:r>
      <w:r w:rsidRPr="00AC31F6">
        <w:rPr>
          <w:rFonts w:asciiTheme="majorHAnsi" w:hAnsiTheme="majorHAnsi"/>
          <w:lang w:val="en-US"/>
        </w:rPr>
        <w:t xml:space="preserve"> stock solution of methylcellulose 4000cps was added and the vial was vortexed. </w:t>
      </w:r>
      <w:r w:rsidR="00165BCC" w:rsidRPr="00AC31F6">
        <w:rPr>
          <w:rFonts w:asciiTheme="majorHAnsi" w:hAnsiTheme="majorHAnsi"/>
          <w:lang w:val="en-US"/>
        </w:rPr>
        <w:t xml:space="preserve"> </w:t>
      </w:r>
      <w:r w:rsidRPr="00AC31F6">
        <w:rPr>
          <w:rFonts w:asciiTheme="majorHAnsi" w:hAnsiTheme="majorHAnsi"/>
          <w:lang w:val="en-US"/>
        </w:rPr>
        <w:t>The suspension was refrigerated at 5°C until dosing for a maximum of 14 days.</w:t>
      </w:r>
      <w:r w:rsidR="00165BCC" w:rsidRPr="00AC31F6">
        <w:rPr>
          <w:rFonts w:asciiTheme="majorHAnsi" w:hAnsiTheme="majorHAnsi"/>
          <w:lang w:val="en-US"/>
        </w:rPr>
        <w:t xml:space="preserve"> </w:t>
      </w:r>
      <w:r w:rsidRPr="00AC31F6">
        <w:rPr>
          <w:rFonts w:asciiTheme="majorHAnsi" w:hAnsiTheme="majorHAnsi"/>
          <w:lang w:val="en-US"/>
        </w:rPr>
        <w:t xml:space="preserve"> Prior to dosing the suspension was vortexed.</w:t>
      </w:r>
    </w:p>
    <w:p w14:paraId="05A57082" w14:textId="77777777" w:rsidR="003B2CE2" w:rsidRPr="00876AB1" w:rsidRDefault="003B2CE2" w:rsidP="00EB3D34">
      <w:pPr>
        <w:spacing w:after="120" w:line="480" w:lineRule="auto"/>
        <w:outlineLvl w:val="0"/>
        <w:rPr>
          <w:rFonts w:asciiTheme="majorHAnsi" w:hAnsiTheme="majorHAnsi"/>
          <w:b/>
          <w:i/>
          <w:sz w:val="24"/>
          <w:szCs w:val="24"/>
          <w:lang w:val="en-US"/>
        </w:rPr>
      </w:pPr>
      <w:r w:rsidRPr="00876AB1">
        <w:rPr>
          <w:rFonts w:asciiTheme="majorHAnsi" w:hAnsiTheme="majorHAnsi"/>
          <w:b/>
          <w:i/>
          <w:sz w:val="24"/>
          <w:szCs w:val="24"/>
          <w:lang w:val="en-US"/>
        </w:rPr>
        <w:lastRenderedPageBreak/>
        <w:t>Strains</w:t>
      </w:r>
    </w:p>
    <w:p w14:paraId="36D9EA8B" w14:textId="4DEE973A" w:rsidR="003B2CE2" w:rsidRPr="00876AB1" w:rsidRDefault="003B2CE2"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The initial </w:t>
      </w:r>
      <w:r w:rsidRPr="00876AB1">
        <w:rPr>
          <w:rFonts w:asciiTheme="majorHAnsi" w:hAnsiTheme="majorHAnsi"/>
          <w:i/>
          <w:sz w:val="24"/>
          <w:szCs w:val="24"/>
          <w:lang w:val="en-US"/>
        </w:rPr>
        <w:t>in vitro</w:t>
      </w:r>
      <w:r w:rsidRPr="00876AB1">
        <w:rPr>
          <w:rFonts w:asciiTheme="majorHAnsi" w:hAnsiTheme="majorHAnsi"/>
          <w:sz w:val="24"/>
          <w:szCs w:val="24"/>
          <w:lang w:val="en-US"/>
        </w:rPr>
        <w:t xml:space="preserve"> susceptibility testing was performed with H99 (ATCC </w:t>
      </w:r>
      <w:r w:rsidR="00165BCC">
        <w:rPr>
          <w:rFonts w:asciiTheme="majorHAnsi" w:hAnsiTheme="majorHAnsi"/>
          <w:sz w:val="24"/>
          <w:szCs w:val="24"/>
          <w:lang w:val="en-US"/>
        </w:rPr>
        <w:t>208821</w:t>
      </w:r>
      <w:r w:rsidRPr="00876AB1">
        <w:rPr>
          <w:rFonts w:asciiTheme="majorHAnsi" w:hAnsiTheme="majorHAnsi"/>
          <w:sz w:val="24"/>
          <w:szCs w:val="24"/>
          <w:lang w:val="en-US"/>
        </w:rPr>
        <w:t xml:space="preserve">).  An additional 49 clinical isolates were obtained from the National Centre for Microbiology </w:t>
      </w:r>
      <w:proofErr w:type="spellStart"/>
      <w:r w:rsidRPr="00876AB1">
        <w:rPr>
          <w:rFonts w:asciiTheme="majorHAnsi" w:hAnsiTheme="majorHAnsi"/>
          <w:sz w:val="24"/>
          <w:szCs w:val="24"/>
          <w:lang w:val="en-US"/>
        </w:rPr>
        <w:t>Instituto</w:t>
      </w:r>
      <w:proofErr w:type="spellEnd"/>
      <w:r w:rsidRPr="00876AB1">
        <w:rPr>
          <w:rFonts w:asciiTheme="majorHAnsi" w:hAnsiTheme="majorHAnsi"/>
          <w:sz w:val="24"/>
          <w:szCs w:val="24"/>
          <w:lang w:val="en-US"/>
        </w:rPr>
        <w:t xml:space="preserve"> de </w:t>
      </w:r>
      <w:proofErr w:type="spellStart"/>
      <w:r w:rsidRPr="00876AB1">
        <w:rPr>
          <w:rFonts w:asciiTheme="majorHAnsi" w:hAnsiTheme="majorHAnsi"/>
          <w:sz w:val="24"/>
          <w:szCs w:val="24"/>
          <w:lang w:val="en-US"/>
        </w:rPr>
        <w:t>Salud</w:t>
      </w:r>
      <w:proofErr w:type="spellEnd"/>
      <w:r w:rsidRPr="00876AB1">
        <w:rPr>
          <w:rFonts w:asciiTheme="majorHAnsi" w:hAnsiTheme="majorHAnsi"/>
          <w:sz w:val="24"/>
          <w:szCs w:val="24"/>
          <w:lang w:val="en-US"/>
        </w:rPr>
        <w:t xml:space="preserve"> Carlos III, Madrid, Spain (courtesy </w:t>
      </w:r>
      <w:r>
        <w:rPr>
          <w:rFonts w:asciiTheme="majorHAnsi" w:hAnsiTheme="majorHAnsi"/>
          <w:sz w:val="24"/>
          <w:szCs w:val="24"/>
          <w:lang w:val="en-US"/>
        </w:rPr>
        <w:t>Ana</w:t>
      </w:r>
      <w:r w:rsidRPr="00DC10B3">
        <w:t xml:space="preserve"> </w:t>
      </w:r>
      <w:proofErr w:type="spellStart"/>
      <w:r w:rsidRPr="00DC10B3">
        <w:rPr>
          <w:rFonts w:asciiTheme="majorHAnsi" w:hAnsiTheme="majorHAnsi"/>
          <w:sz w:val="24"/>
          <w:szCs w:val="24"/>
          <w:lang w:val="en-US"/>
        </w:rPr>
        <w:t>Alastruey-Izquierdo</w:t>
      </w:r>
      <w:proofErr w:type="spellEnd"/>
      <w:r>
        <w:rPr>
          <w:rFonts w:asciiTheme="majorHAnsi" w:hAnsiTheme="majorHAnsi"/>
          <w:sz w:val="24"/>
          <w:szCs w:val="24"/>
          <w:lang w:val="en-US"/>
        </w:rPr>
        <w:t xml:space="preserve"> and </w:t>
      </w:r>
      <w:r w:rsidRPr="00876AB1">
        <w:rPr>
          <w:rFonts w:asciiTheme="majorHAnsi" w:hAnsiTheme="majorHAnsi"/>
          <w:sz w:val="24"/>
          <w:szCs w:val="24"/>
          <w:lang w:val="en-US"/>
        </w:rPr>
        <w:t xml:space="preserve">Manual Cuenca-Estrella).  These isolates were identified </w:t>
      </w:r>
      <w:r w:rsidR="00165BCC">
        <w:rPr>
          <w:rFonts w:asciiTheme="majorHAnsi" w:hAnsiTheme="majorHAnsi"/>
          <w:sz w:val="24"/>
          <w:szCs w:val="24"/>
          <w:lang w:val="en-US"/>
        </w:rPr>
        <w:t xml:space="preserve">to species level </w:t>
      </w:r>
      <w:r w:rsidRPr="00876AB1">
        <w:rPr>
          <w:rFonts w:asciiTheme="majorHAnsi" w:hAnsiTheme="majorHAnsi"/>
          <w:sz w:val="24"/>
          <w:szCs w:val="24"/>
          <w:lang w:val="en-US"/>
        </w:rPr>
        <w:t>using standard microbiological techniques.</w:t>
      </w:r>
    </w:p>
    <w:p w14:paraId="7C10A6EC" w14:textId="77777777" w:rsidR="003B2CE2" w:rsidRPr="00876AB1" w:rsidRDefault="003B2CE2" w:rsidP="00EB3D34">
      <w:pPr>
        <w:spacing w:after="120" w:line="480" w:lineRule="auto"/>
        <w:outlineLvl w:val="0"/>
        <w:rPr>
          <w:rFonts w:asciiTheme="majorHAnsi" w:hAnsiTheme="majorHAnsi"/>
          <w:sz w:val="24"/>
          <w:szCs w:val="24"/>
          <w:lang w:val="en-US"/>
        </w:rPr>
      </w:pPr>
      <w:r w:rsidRPr="00876AB1">
        <w:rPr>
          <w:rFonts w:asciiTheme="majorHAnsi" w:hAnsiTheme="majorHAnsi"/>
          <w:b/>
          <w:i/>
          <w:sz w:val="24"/>
          <w:szCs w:val="24"/>
          <w:lang w:val="en-US"/>
        </w:rPr>
        <w:t>Minimum Inhibitory Concentrations</w:t>
      </w:r>
    </w:p>
    <w:p w14:paraId="25E0B528" w14:textId="078EF236" w:rsidR="003B2CE2" w:rsidRPr="00876AB1" w:rsidRDefault="003B2CE2"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The minimum inhibitory concentration of flubendazole against</w:t>
      </w:r>
      <w:r>
        <w:rPr>
          <w:rFonts w:asciiTheme="majorHAnsi" w:hAnsiTheme="majorHAnsi"/>
          <w:sz w:val="24"/>
          <w:szCs w:val="24"/>
          <w:lang w:val="en-US"/>
        </w:rPr>
        <w:t xml:space="preserve"> H99 (ATCC </w:t>
      </w:r>
      <w:r w:rsidRPr="0026212C">
        <w:rPr>
          <w:rFonts w:asciiTheme="majorHAnsi" w:hAnsiTheme="majorHAnsi"/>
          <w:sz w:val="24"/>
          <w:szCs w:val="24"/>
          <w:lang w:val="en-US"/>
        </w:rPr>
        <w:t>208821</w:t>
      </w:r>
      <w:r>
        <w:rPr>
          <w:rFonts w:asciiTheme="majorHAnsi" w:hAnsiTheme="majorHAnsi"/>
          <w:sz w:val="24"/>
          <w:szCs w:val="24"/>
          <w:lang w:val="en-US"/>
        </w:rPr>
        <w:t>) and the 49</w:t>
      </w:r>
      <w:r w:rsidRPr="00876AB1">
        <w:rPr>
          <w:rFonts w:asciiTheme="majorHAnsi" w:hAnsiTheme="majorHAnsi"/>
          <w:sz w:val="24"/>
          <w:szCs w:val="24"/>
          <w:lang w:val="en-US"/>
        </w:rPr>
        <w:t xml:space="preserve"> isolates was estimated using methodology of the European Committee on Antimicrobial Susceptibility Testing (EUCAST</w:t>
      </w:r>
      <w:r w:rsidR="001E2FF9">
        <w:rPr>
          <w:rFonts w:asciiTheme="majorHAnsi" w:hAnsiTheme="majorHAnsi"/>
          <w:sz w:val="24"/>
          <w:szCs w:val="24"/>
          <w:lang w:val="en-US"/>
        </w:rPr>
        <w:t xml:space="preserve">; </w:t>
      </w:r>
      <w:r w:rsidR="00FB6F27">
        <w:rPr>
          <w:rFonts w:asciiTheme="majorHAnsi" w:hAnsiTheme="majorHAnsi"/>
          <w:sz w:val="24"/>
          <w:szCs w:val="24"/>
          <w:lang w:val="en-US"/>
        </w:rPr>
        <w:fldChar w:fldCharType="begin" w:fldLock="1"/>
      </w:r>
      <w:r w:rsidR="005002A9">
        <w:rPr>
          <w:rFonts w:asciiTheme="majorHAnsi" w:hAnsiTheme="majorHAnsi"/>
          <w:sz w:val="24"/>
          <w:szCs w:val="24"/>
          <w:lang w:val="en-US"/>
        </w:rPr>
        <w:instrText>ADDIN CSL_CITATION { "citationItems" : [ { "id" : "ITEM-1", "itemData" : { "author" : [ { "dropping-particle" : "", "family" : "Arendrup", "given" : "Maiken C", "non-dropping-particle" : "", "parse-names" : false, "suffix" : "" }, { "dropping-particle" : "", "family" : "Cuenca-Estrella", "given" : "Manuel", "non-dropping-particle" : "", "parse-names" : false, "suffix" : "" }, { "dropping-particle" : "", "family" : "Lass-Fl\u00f6rl", "given" : "Cornelia", "non-dropping-particle" : "", "parse-names" : false, "suffix" : "" }, { "dropping-particle" : "", "family" : "Hope", "given" : "William", "non-dropping-particle" : "", "parse-names" : false, "suffix" : "" } ], "container-title" : "Clinical Microbiology and Infection", "id" : "ITEM-1", "issue" : "7", "issued" : { "date-parts" : [ [ "2012" ] ] }, "page" : "E246--E247", "publisher" : "Blackwell Publishing Ltd", "title" : "EUCAST technical note on the EUCAST definitive document EDef 7.2: method for the determination of broth dilution minimum inhibitory concentrations of antifungal agents for yeasts EDef 7.2 (EUCAST-AFST)", "type" : "article-journal", "volume" : "18" }, "uris" : [ "http://www.mendeley.com/documents/?uuid=6357822f-7745-4a4b-b212-48d41e517865", "http://www.mendeley.com/documents/?uuid=83a411cc-ae9b-499a-b4c4-e2b047df1b12" ] } ], "mendeley" : { "formattedCitation" : "(25)", "plainTextFormattedCitation" : "(25)", "previouslyFormattedCitation" : "(25)" }, "properties" : { "noteIndex" : 0 }, "schema" : "https://github.com/citation-style-language/schema/raw/master/csl-citation.json" }</w:instrText>
      </w:r>
      <w:r w:rsidR="00FB6F27">
        <w:rPr>
          <w:rFonts w:asciiTheme="majorHAnsi" w:hAnsiTheme="majorHAnsi"/>
          <w:sz w:val="24"/>
          <w:szCs w:val="24"/>
          <w:lang w:val="en-US"/>
        </w:rPr>
        <w:fldChar w:fldCharType="separate"/>
      </w:r>
      <w:r w:rsidR="005002A9" w:rsidRPr="005002A9">
        <w:rPr>
          <w:rFonts w:asciiTheme="majorHAnsi" w:hAnsiTheme="majorHAnsi"/>
          <w:noProof/>
          <w:sz w:val="24"/>
          <w:szCs w:val="24"/>
          <w:lang w:val="en-US"/>
        </w:rPr>
        <w:t>(25)</w:t>
      </w:r>
      <w:r w:rsidR="00FB6F27">
        <w:rPr>
          <w:rFonts w:asciiTheme="majorHAnsi" w:hAnsiTheme="majorHAnsi"/>
          <w:sz w:val="24"/>
          <w:szCs w:val="24"/>
          <w:lang w:val="en-US"/>
        </w:rPr>
        <w:fldChar w:fldCharType="end"/>
      </w:r>
      <w:r w:rsidRPr="00876AB1">
        <w:rPr>
          <w:rFonts w:asciiTheme="majorHAnsi" w:hAnsiTheme="majorHAnsi"/>
          <w:sz w:val="24"/>
          <w:szCs w:val="24"/>
          <w:lang w:val="en-US"/>
        </w:rPr>
        <w:t>) and Clinical Sciences Laboratory Institute (CLSI</w:t>
      </w:r>
      <w:r w:rsidR="00BA42DF">
        <w:rPr>
          <w:rFonts w:asciiTheme="majorHAnsi" w:hAnsiTheme="majorHAnsi"/>
          <w:sz w:val="24"/>
          <w:szCs w:val="24"/>
          <w:lang w:val="en-US"/>
        </w:rPr>
        <w:t xml:space="preserve">; </w:t>
      </w:r>
      <w:r w:rsidR="00BA42DF">
        <w:rPr>
          <w:rFonts w:asciiTheme="majorHAnsi" w:hAnsiTheme="majorHAnsi"/>
          <w:sz w:val="24"/>
          <w:szCs w:val="24"/>
          <w:lang w:val="en-US"/>
        </w:rPr>
        <w:fldChar w:fldCharType="begin" w:fldLock="1"/>
      </w:r>
      <w:r w:rsidR="005002A9">
        <w:rPr>
          <w:rFonts w:asciiTheme="majorHAnsi" w:hAnsiTheme="majorHAnsi"/>
          <w:sz w:val="24"/>
          <w:szCs w:val="24"/>
          <w:lang w:val="en-US"/>
        </w:rPr>
        <w:instrText>ADDIN CSL_CITATION { "citationItems" : [ { "id" : "ITEM-1", "itemData" : { "author" : [ { "dropping-particle" : "", "family" : "National", "given" : "National Commitee for Clinical Laboratory Sciences", "non-dropping-particle" : "", "parse-names" : false, "suffix" : "" } ], "id" : "ITEM-1", "issued" : { "date-parts" : [ [ "1997" ] ] }, "publisher" : "NCCLS", "publisher-place" : "Wayne, PA", "title" : " Reference method for broth dilution antifungal susceptibility testing of yeasts. Approved standard M27-A2.", "type" : "report" }, "uris" : [ "http://www.mendeley.com/documents/?uuid=c5c7b511-c77d-451d-acb5-6b65e411ae0a", "http://www.mendeley.com/documents/?uuid=7e11f604-bc47-448d-95ab-551fcf12ea13" ] } ], "mendeley" : { "formattedCitation" : "(26)", "plainTextFormattedCitation" : "(26)", "previouslyFormattedCitation" : "(26)" }, "properties" : { "noteIndex" : 0 }, "schema" : "https://github.com/citation-style-language/schema/raw/master/csl-citation.json" }</w:instrText>
      </w:r>
      <w:r w:rsidR="00BA42DF">
        <w:rPr>
          <w:rFonts w:asciiTheme="majorHAnsi" w:hAnsiTheme="majorHAnsi"/>
          <w:sz w:val="24"/>
          <w:szCs w:val="24"/>
          <w:lang w:val="en-US"/>
        </w:rPr>
        <w:fldChar w:fldCharType="separate"/>
      </w:r>
      <w:r w:rsidR="005002A9" w:rsidRPr="005002A9">
        <w:rPr>
          <w:rFonts w:asciiTheme="majorHAnsi" w:hAnsiTheme="majorHAnsi"/>
          <w:noProof/>
          <w:sz w:val="24"/>
          <w:szCs w:val="24"/>
          <w:lang w:val="en-US"/>
        </w:rPr>
        <w:t>(26)</w:t>
      </w:r>
      <w:r w:rsidR="00BA42DF">
        <w:rPr>
          <w:rFonts w:asciiTheme="majorHAnsi" w:hAnsiTheme="majorHAnsi"/>
          <w:sz w:val="24"/>
          <w:szCs w:val="24"/>
          <w:lang w:val="en-US"/>
        </w:rPr>
        <w:fldChar w:fldCharType="end"/>
      </w:r>
      <w:r w:rsidRPr="00876AB1">
        <w:rPr>
          <w:rFonts w:asciiTheme="majorHAnsi" w:hAnsiTheme="majorHAnsi"/>
          <w:sz w:val="24"/>
          <w:szCs w:val="24"/>
          <w:lang w:val="en-US"/>
        </w:rPr>
        <w:t>)</w:t>
      </w:r>
      <w:r w:rsidR="00165BCC">
        <w:rPr>
          <w:rFonts w:asciiTheme="majorHAnsi" w:hAnsiTheme="majorHAnsi"/>
          <w:sz w:val="24"/>
          <w:szCs w:val="24"/>
          <w:lang w:val="en-US"/>
        </w:rPr>
        <w:t xml:space="preserve">.  </w:t>
      </w:r>
      <w:r w:rsidRPr="00876AB1">
        <w:rPr>
          <w:rFonts w:asciiTheme="majorHAnsi" w:hAnsiTheme="majorHAnsi"/>
          <w:sz w:val="24"/>
          <w:szCs w:val="24"/>
          <w:lang w:val="en-US"/>
        </w:rPr>
        <w:t xml:space="preserve">The endpoint for MIC determination using EUCAST and CLSI was </w:t>
      </w:r>
      <w:r>
        <w:rPr>
          <w:rFonts w:asciiTheme="majorHAnsi" w:hAnsiTheme="majorHAnsi"/>
          <w:sz w:val="24"/>
          <w:szCs w:val="24"/>
          <w:lang w:val="en-US"/>
        </w:rPr>
        <w:t>50% for both methods</w:t>
      </w:r>
      <w:r w:rsidRPr="00876AB1">
        <w:rPr>
          <w:rFonts w:asciiTheme="majorHAnsi" w:hAnsiTheme="majorHAnsi"/>
          <w:sz w:val="24"/>
          <w:szCs w:val="24"/>
          <w:lang w:val="en-US"/>
        </w:rPr>
        <w:t>.  MICs were performed in triplicate.</w:t>
      </w:r>
    </w:p>
    <w:p w14:paraId="02EB7403" w14:textId="1DBF88F2" w:rsidR="003B2CE2" w:rsidRPr="00876AB1" w:rsidRDefault="003B2CE2" w:rsidP="00EB3D34">
      <w:pPr>
        <w:spacing w:after="120" w:line="480" w:lineRule="auto"/>
        <w:outlineLvl w:val="0"/>
        <w:rPr>
          <w:rFonts w:asciiTheme="majorHAnsi" w:hAnsiTheme="majorHAnsi"/>
          <w:b/>
          <w:i/>
          <w:sz w:val="24"/>
          <w:szCs w:val="24"/>
          <w:lang w:val="en-US"/>
        </w:rPr>
      </w:pPr>
      <w:r w:rsidRPr="00876AB1">
        <w:rPr>
          <w:rFonts w:asciiTheme="majorHAnsi" w:hAnsiTheme="majorHAnsi"/>
          <w:b/>
          <w:i/>
          <w:sz w:val="24"/>
          <w:szCs w:val="24"/>
          <w:lang w:val="en-US"/>
        </w:rPr>
        <w:t xml:space="preserve">Porcine Tubulin </w:t>
      </w:r>
      <w:r w:rsidR="005E5D67" w:rsidRPr="00876AB1">
        <w:rPr>
          <w:rFonts w:asciiTheme="majorHAnsi" w:hAnsiTheme="majorHAnsi"/>
          <w:b/>
          <w:i/>
          <w:sz w:val="24"/>
          <w:szCs w:val="24"/>
          <w:lang w:val="en-US"/>
        </w:rPr>
        <w:t>Polymerization</w:t>
      </w:r>
      <w:r w:rsidRPr="00876AB1">
        <w:rPr>
          <w:rFonts w:asciiTheme="majorHAnsi" w:hAnsiTheme="majorHAnsi"/>
          <w:b/>
          <w:i/>
          <w:sz w:val="24"/>
          <w:szCs w:val="24"/>
          <w:lang w:val="en-US"/>
        </w:rPr>
        <w:t xml:space="preserve"> Assay</w:t>
      </w:r>
    </w:p>
    <w:p w14:paraId="1DCE586E" w14:textId="238D79DF" w:rsidR="003B2CE2" w:rsidRPr="00876AB1" w:rsidRDefault="003B2CE2" w:rsidP="00EB3D34">
      <w:pPr>
        <w:spacing w:after="120" w:line="480" w:lineRule="auto"/>
        <w:ind w:firstLine="720"/>
        <w:rPr>
          <w:rFonts w:asciiTheme="majorHAnsi" w:hAnsiTheme="majorHAnsi"/>
          <w:sz w:val="24"/>
          <w:szCs w:val="24"/>
          <w:lang w:val="en-US"/>
        </w:rPr>
      </w:pPr>
      <w:r>
        <w:rPr>
          <w:rFonts w:asciiTheme="majorHAnsi" w:hAnsiTheme="majorHAnsi"/>
          <w:sz w:val="24"/>
          <w:szCs w:val="24"/>
          <w:lang w:val="en-US"/>
        </w:rPr>
        <w:t xml:space="preserve">Porcine tubulin is generally used as a surrogate for human tubulin because of its high degree of homology (95%) </w:t>
      </w:r>
      <w:r w:rsidR="00E60AD5">
        <w:rPr>
          <w:rFonts w:asciiTheme="majorHAnsi" w:hAnsiTheme="majorHAnsi"/>
          <w:sz w:val="24"/>
          <w:szCs w:val="24"/>
          <w:lang w:val="en-US"/>
        </w:rPr>
        <w:fldChar w:fldCharType="begin" w:fldLock="1"/>
      </w:r>
      <w:r w:rsidR="005002A9">
        <w:rPr>
          <w:rFonts w:asciiTheme="majorHAnsi" w:hAnsiTheme="majorHAnsi"/>
          <w:sz w:val="24"/>
          <w:szCs w:val="24"/>
          <w:lang w:val="en-US"/>
        </w:rPr>
        <w:instrText>ADDIN CSL_CITATION { "citationItems" : [ { "id" : "ITEM-1", "itemData" : { "ISSN" : "0270-7306", "PMID" : "6865944", "abstract" : "The sequence of a human beta-tubulin cDNA clone (D beta-1) is described; our data revealed 95.6% homology compared with the sequence of a human beta-tubulin processed pseudogene derived by reverse transcription of a processed mRNA (Wilde et al., Nature [London] 297:83-84, 1982). However, the amino acid sequence encoded by this cDNA showed less homology with pig and chicken beta-tubulin sequences than the latter did to each other, with major divergence within the 15 carboxy-terminal amino acids. On the other hand, an independently isolated, functionally expressed genomic human beta-tubulin sequence (5 beta) possessed a very high degree of homology with chicken and pig beta-tubulins in this region. Thus, human cells appear to contain two distinct beta-tubulin isotypes. Both the intact beta-tubulin cDNA clone and a subclone containing only the 3' untranslated region detected two mRNA species in HeLa cells; these mRNAs were 1.8 and 2.6 kilobases long and were present in about equal amounts. Two independently subcloned probes constructed from the 3' untranslated region of the 5 beta genomic sequence also detected a 2.6-kilobase beta-tubulin mRNA. However, the 3'-untranslated-region probes from the cDNA clone and the genomic sequence did not cross-hybridize. Thus, at least two human beta-tubulin genes, each specifying a distinct isotype, are expressed in HeLa cells, and the 2.6-kilobase mRNA band is a composite of at least two comigrating beta-tubulin mRNAs.", "author" : [ { "dropping-particle" : "", "family" : "Hall", "given" : "J L", "non-dropping-particle" : "", "parse-names" : false, "suffix" : "" }, { "dropping-particle" : "", "family" : "Dudley", "given" : "L", "non-dropping-particle" : "", "parse-names" : false, "suffix" : "" }, { "dropping-particle" : "", "family" : "Dobner", "given" : "P R", "non-dropping-particle" : "", "parse-names" : false, "suffix" : "" }, { "dropping-particle" : "", "family" : "Lewis", "given" : "S a", "non-dropping-particle" : "", "parse-names" : false, "suffix" : "" }, { "dropping-particle" : "", "family" : "Cowan", "given" : "N J", "non-dropping-particle" : "", "parse-names" : false, "suffix" : "" } ], "container-title" : "Molecular and cellular biology", "id" : "ITEM-1", "issue" : "5", "issued" : { "date-parts" : [ [ "1983" ] ] }, "page" : "854-62", "title" : "Identification of two human beta-tubulin isotypes.", "type" : "article-journal", "volume" : "3" }, "uris" : [ "http://www.mendeley.com/documents/?uuid=7dbd5980-d856-4869-97a0-1d1d77c63bd8", "http://www.mendeley.com/documents/?uuid=2c8c16bd-9fb5-4fad-bec6-6ad73dfefb06" ] } ], "mendeley" : { "formattedCitation" : "(27)", "plainTextFormattedCitation" : "(27)", "previouslyFormattedCitation" : "(27)" }, "properties" : { "noteIndex" : 0 }, "schema" : "https://github.com/citation-style-language/schema/raw/master/csl-citation.json" }</w:instrText>
      </w:r>
      <w:r w:rsidR="00E60AD5">
        <w:rPr>
          <w:rFonts w:asciiTheme="majorHAnsi" w:hAnsiTheme="majorHAnsi"/>
          <w:sz w:val="24"/>
          <w:szCs w:val="24"/>
          <w:lang w:val="en-US"/>
        </w:rPr>
        <w:fldChar w:fldCharType="separate"/>
      </w:r>
      <w:r w:rsidR="005002A9" w:rsidRPr="005002A9">
        <w:rPr>
          <w:rFonts w:asciiTheme="majorHAnsi" w:hAnsiTheme="majorHAnsi"/>
          <w:noProof/>
          <w:sz w:val="24"/>
          <w:szCs w:val="24"/>
          <w:lang w:val="en-US"/>
        </w:rPr>
        <w:t>(27)</w:t>
      </w:r>
      <w:r w:rsidR="00E60AD5">
        <w:rPr>
          <w:rFonts w:asciiTheme="majorHAnsi" w:hAnsiTheme="majorHAnsi"/>
          <w:sz w:val="24"/>
          <w:szCs w:val="24"/>
          <w:lang w:val="en-US"/>
        </w:rPr>
        <w:fldChar w:fldCharType="end"/>
      </w:r>
      <w:r>
        <w:rPr>
          <w:rFonts w:asciiTheme="majorHAnsi" w:hAnsiTheme="majorHAnsi"/>
          <w:sz w:val="24"/>
          <w:szCs w:val="24"/>
          <w:lang w:val="en-US"/>
        </w:rPr>
        <w:t xml:space="preserve">.  In the studies described herein, this assay was used to determine the extent of interaction between flubendazole and its putative target as also occurs for assessment of the binding of antineoplastic agents </w:t>
      </w:r>
      <w:r w:rsidR="00393938">
        <w:rPr>
          <w:rFonts w:asciiTheme="majorHAnsi" w:hAnsiTheme="majorHAnsi"/>
          <w:sz w:val="24"/>
          <w:szCs w:val="24"/>
          <w:lang w:val="en-US"/>
        </w:rPr>
        <w:fldChar w:fldCharType="begin" w:fldLock="1"/>
      </w:r>
      <w:r w:rsidR="00393938">
        <w:rPr>
          <w:rFonts w:asciiTheme="majorHAnsi" w:hAnsiTheme="majorHAnsi"/>
          <w:sz w:val="24"/>
          <w:szCs w:val="24"/>
          <w:lang w:val="en-US"/>
        </w:rPr>
        <w:instrText>ADDIN CSL_CITATION { "citationItems" : [ { "id" : "ITEM-1", "itemData" : { "DOI" : "10.1093/mutage/6.1.65", "ISSN" : "02678357", "PMID" : "2038274", "abstract" : "We tested the 10 known or suspected spindle poisons (colchicine, econazole nitrate, chloral hydrate, hydroquinone, diazepam, thiabendazole, cadmium chloride, thimerosal, pyrimethamine and vinblastine) of the coordinated EEC programme for induction of aneuploidy with the in vitro porcine brain tubulin assembly assay. The influence of the compounds on different parameters [lag-phase, polymerization velocity, endabsorption (steady-state level), reversibility, influence on disassembly at 4 degrees C] was evaluated. Colchicine [IC30 (30% inhibition concentration): 0.002 mM), vinblastine (IC30: 0.002 mM), thimerosal (IC30: 0.03 mM), thiabendazole (IC30: 0.5 mM) and chloral hydrate (IC30: 60 mM) led to an inhibition of tubulin assembly in vitro. No influence on the steady-state level was obtained with econazole nitrate (up to 0.1 mM), diazepam (up to 2.5 mM), cadmium chloride (up to 1 mM), pyrimethamine (up to 1 mM) and hydroquinone (up to 25 mM), the highest dose tested being limited either by precipitation or by reaching the maximal solubility of the compound in the solvent used. Diazepam enhanced the lag-phase and slightly reduced the polymerization velocity dose-dependently; however, all the treated test mixtures reached the same end absorption levels as the control. The influence on the disassembly process was studied at 4 degrees C. Microtubules treated with colchicine, econazole nitrate, diazepam, thiabendazole, cadmium chloride, thimerosal and pyrimethamine reached the same end absorption level after disassembly as the untreated control. Chloral hydrate reduced the disassembly rate but the end absorption of the control was not reached, the 30% reduction concentration being 0.25 mM. Hydroquinone at very high doses (greater than 10 mM) stimulated the disassembly process.", "author" : [ { "dropping-particle" : "", "family" : "Brunner", "given" : "Martin", "non-dropping-particle" : "", "parse-names" : false, "suffix" : "" }, { "dropping-particle" : "", "family" : "Albertini", "given" : "Silvio", "non-dropping-particle" : "", "parse-names" : false, "suffix" : "" }, { "dropping-particle" : "", "family" : "W\u00fcrgler", "given" : "Friedrich E.", "non-dropping-particle" : "", "parse-names" : false, "suffix" : "" } ], "container-title" : "Mutagenesis", "id" : "ITEM-1", "issue" : "1", "issued" : { "date-parts" : [ [ "1991" ] ] }, "page" : "65-70", "title" : "Effects of 10 known or suspected spindle poisons in the in vitro porcine brain tubulin assembly assay", "type" : "article-journal", "volume" : "6" }, "uris" : [ "http://www.mendeley.com/documents/?uuid=4ee60073-b573-4902-8385-0ca5c4cda2b9", "http://www.mendeley.com/documents/?uuid=2070ee47-4cb3-43d5-ac75-b4df50a35b80" ] }, { "id" : "ITEM-2", "itemData" : { "ISSN" : "15387445", "PMID" : "1260766", "abstract" : "A series of Vinca alkaloids were found to block polymerization of crude tubulin extracts of porcine brain in a dose-dependent manner. This appears to be a specific effect occurring at low concentrations of drug. The concentration of vinblastine that prevents polymerization by 50% was 4.3 x 10(-7) mole/liter for a tubulin concentration of 3.0 mg/ml, and this concentration is consistent with levels achieved in vivo following routine pharmacological doses in humans.", "author" : [ { "dropping-particle" : "", "family" : "Owellen", "given" : "Richard J.", "non-dropping-particle" : "", "parse-names" : false, "suffix" : "" }, { "dropping-particle" : "", "family" : "Hartke", "given" : "Carol A.", "non-dropping-particle" : "", "parse-names" : false, "suffix" : "" }, { "dropping-particle" : "", "family" : "Dickerson", "given" : "Ruth M.", "non-dropping-particle" : "", "parse-names" : false, "suffix" : "" }, { "dropping-particle" : "", "family" : "Hains", "given" : "Frederick O.", "non-dropping-particle" : "", "parse-names" : false, "suffix" : "" } ], "container-title" : "Cancer Research", "id" : "ITEM-2", "issue" : "4", "issued" : { "date-parts" : [ [ "1976" ] ] }, "page" : "1499-1502", "title" : "Inhibition of Tubulin-Microtubule Polymerization by Drugs of the Vinca Alkaloid Class", "type" : "article-journal", "volume" : "36" }, "uris" : [ "http://www.mendeley.com/documents/?uuid=9d3876d0-52a6-4ae1-97d6-58b2119fe946", "http://www.mendeley.com/documents/?uuid=afbb28ca-e13e-4673-9637-b648eae7ceab" ] } ], "mendeley" : { "formattedCitation" : "(28, 29)", "plainTextFormattedCitation" : "(28, 29)" }, "properties" : { "noteIndex" : 0 }, "schema" : "https://github.com/citation-style-language/schema/raw/master/csl-citation.json" }</w:instrText>
      </w:r>
      <w:r w:rsidR="00393938">
        <w:rPr>
          <w:rFonts w:asciiTheme="majorHAnsi" w:hAnsiTheme="majorHAnsi"/>
          <w:sz w:val="24"/>
          <w:szCs w:val="24"/>
          <w:lang w:val="en-US"/>
        </w:rPr>
        <w:fldChar w:fldCharType="separate"/>
      </w:r>
      <w:r w:rsidR="00393938" w:rsidRPr="00393938">
        <w:rPr>
          <w:rFonts w:asciiTheme="majorHAnsi" w:hAnsiTheme="majorHAnsi"/>
          <w:noProof/>
          <w:sz w:val="24"/>
          <w:szCs w:val="24"/>
          <w:lang w:val="en-US"/>
        </w:rPr>
        <w:t>(28, 29)</w:t>
      </w:r>
      <w:r w:rsidR="00393938">
        <w:rPr>
          <w:rFonts w:asciiTheme="majorHAnsi" w:hAnsiTheme="majorHAnsi"/>
          <w:sz w:val="24"/>
          <w:szCs w:val="24"/>
          <w:lang w:val="en-US"/>
        </w:rPr>
        <w:fldChar w:fldCharType="end"/>
      </w:r>
      <w:r>
        <w:rPr>
          <w:rFonts w:asciiTheme="majorHAnsi" w:hAnsiTheme="majorHAnsi"/>
          <w:sz w:val="24"/>
          <w:szCs w:val="24"/>
          <w:lang w:val="en-US"/>
        </w:rPr>
        <w:t>.  The commercially available porcine tubulin</w:t>
      </w:r>
      <w:r w:rsidRPr="00876AB1">
        <w:rPr>
          <w:rFonts w:asciiTheme="majorHAnsi" w:hAnsiTheme="majorHAnsi"/>
          <w:sz w:val="24"/>
          <w:szCs w:val="24"/>
          <w:lang w:val="en-US"/>
        </w:rPr>
        <w:t xml:space="preserve"> assay </w:t>
      </w:r>
      <w:r>
        <w:rPr>
          <w:rFonts w:asciiTheme="majorHAnsi" w:hAnsiTheme="majorHAnsi"/>
          <w:sz w:val="24"/>
          <w:szCs w:val="24"/>
          <w:lang w:val="en-US"/>
        </w:rPr>
        <w:t>(</w:t>
      </w:r>
      <w:r w:rsidRPr="00876AB1">
        <w:rPr>
          <w:rFonts w:asciiTheme="majorHAnsi" w:hAnsiTheme="majorHAnsi"/>
          <w:sz w:val="24"/>
          <w:szCs w:val="24"/>
          <w:lang w:val="en-US"/>
        </w:rPr>
        <w:t xml:space="preserve">BK011P, Cytoskeleton, Inc. </w:t>
      </w:r>
      <w:r w:rsidR="00E95A7A" w:rsidRPr="00721DE8">
        <w:rPr>
          <w:rFonts w:asciiTheme="majorHAnsi" w:hAnsiTheme="majorHAnsi"/>
          <w:sz w:val="24"/>
          <w:szCs w:val="24"/>
          <w:lang w:val="en-US"/>
        </w:rPr>
        <w:t>Denver, USA</w:t>
      </w:r>
      <w:r>
        <w:rPr>
          <w:rFonts w:asciiTheme="majorHAnsi" w:hAnsiTheme="majorHAnsi"/>
          <w:sz w:val="24"/>
          <w:szCs w:val="24"/>
          <w:lang w:val="en-US"/>
        </w:rPr>
        <w:t xml:space="preserve">) </w:t>
      </w:r>
      <w:r w:rsidRPr="00876AB1">
        <w:rPr>
          <w:rFonts w:asciiTheme="majorHAnsi" w:hAnsiTheme="majorHAnsi"/>
          <w:sz w:val="24"/>
          <w:szCs w:val="24"/>
          <w:lang w:val="en-US"/>
        </w:rPr>
        <w:t xml:space="preserve">quantifies the time-dependent </w:t>
      </w:r>
      <w:r w:rsidR="00433783" w:rsidRPr="00876AB1">
        <w:rPr>
          <w:rFonts w:asciiTheme="majorHAnsi" w:hAnsiTheme="majorHAnsi"/>
          <w:sz w:val="24"/>
          <w:szCs w:val="24"/>
          <w:lang w:val="en-US"/>
        </w:rPr>
        <w:t>polymerization</w:t>
      </w:r>
      <w:r w:rsidRPr="00876AB1">
        <w:rPr>
          <w:rFonts w:asciiTheme="majorHAnsi" w:hAnsiTheme="majorHAnsi"/>
          <w:sz w:val="24"/>
          <w:szCs w:val="24"/>
          <w:lang w:val="en-US"/>
        </w:rPr>
        <w:t xml:space="preserve"> of tubulin to microtubules and thus the ability of tubulin inhibitors to disrupt this process. </w:t>
      </w:r>
    </w:p>
    <w:p w14:paraId="1023366E" w14:textId="0EE2E8B3" w:rsidR="003B2CE2" w:rsidRDefault="003B2CE2" w:rsidP="00EB3D34">
      <w:pPr>
        <w:spacing w:after="120" w:line="480" w:lineRule="auto"/>
        <w:ind w:firstLine="720"/>
        <w:rPr>
          <w:rFonts w:asciiTheme="majorHAnsi" w:eastAsia="Calibri" w:hAnsiTheme="majorHAnsi" w:cs="Times New Roman"/>
          <w:sz w:val="24"/>
          <w:szCs w:val="24"/>
          <w:lang w:val="en-US"/>
        </w:rPr>
      </w:pPr>
      <w:r>
        <w:rPr>
          <w:rFonts w:asciiTheme="majorHAnsi" w:hAnsiTheme="majorHAnsi"/>
          <w:sz w:val="24"/>
          <w:szCs w:val="24"/>
          <w:lang w:val="en-US"/>
        </w:rPr>
        <w:t>T</w:t>
      </w:r>
      <w:r w:rsidRPr="00876AB1">
        <w:rPr>
          <w:rFonts w:asciiTheme="majorHAnsi" w:hAnsiTheme="majorHAnsi"/>
          <w:sz w:val="24"/>
          <w:szCs w:val="24"/>
          <w:lang w:val="en-US"/>
        </w:rPr>
        <w:t xml:space="preserve">he </w:t>
      </w:r>
      <w:r>
        <w:rPr>
          <w:rFonts w:asciiTheme="majorHAnsi" w:hAnsiTheme="majorHAnsi"/>
          <w:sz w:val="24"/>
          <w:szCs w:val="24"/>
          <w:lang w:val="en-US"/>
        </w:rPr>
        <w:t>porcine tubulin</w:t>
      </w:r>
      <w:r w:rsidRPr="00876AB1">
        <w:rPr>
          <w:rFonts w:asciiTheme="majorHAnsi" w:hAnsiTheme="majorHAnsi"/>
          <w:sz w:val="24"/>
          <w:szCs w:val="24"/>
          <w:lang w:val="en-US"/>
        </w:rPr>
        <w:t xml:space="preserve"> assay was performed according to the manufacturer’s instructions</w:t>
      </w:r>
      <w:r w:rsidR="00E95A7A">
        <w:rPr>
          <w:rFonts w:asciiTheme="majorHAnsi" w:hAnsiTheme="majorHAnsi"/>
          <w:sz w:val="24"/>
          <w:szCs w:val="24"/>
          <w:lang w:val="en-US"/>
        </w:rPr>
        <w:t xml:space="preserve">. </w:t>
      </w:r>
      <w:r w:rsidRPr="00876AB1">
        <w:rPr>
          <w:rFonts w:asciiTheme="majorHAnsi" w:hAnsiTheme="majorHAnsi"/>
          <w:sz w:val="24"/>
          <w:szCs w:val="24"/>
          <w:lang w:val="en-US"/>
        </w:rPr>
        <w:t xml:space="preserve">Briefly, </w:t>
      </w:r>
      <w:r w:rsidRPr="00876AB1">
        <w:rPr>
          <w:rFonts w:asciiTheme="majorHAnsi" w:eastAsia="Calibri" w:hAnsiTheme="majorHAnsi" w:cs="Times New Roman"/>
          <w:sz w:val="24"/>
          <w:szCs w:val="24"/>
          <w:lang w:val="en-US"/>
        </w:rPr>
        <w:t>the 96-well assay plate was pre-warmed to 37°C prior to use</w:t>
      </w:r>
      <w:r>
        <w:rPr>
          <w:rFonts w:asciiTheme="majorHAnsi" w:eastAsia="Calibri" w:hAnsiTheme="majorHAnsi" w:cs="Times New Roman"/>
          <w:sz w:val="24"/>
          <w:szCs w:val="24"/>
          <w:lang w:val="en-US"/>
        </w:rPr>
        <w:t>.</w:t>
      </w:r>
      <w:r w:rsidRPr="00876AB1">
        <w:rPr>
          <w:rFonts w:asciiTheme="majorHAnsi" w:eastAsia="Calibri" w:hAnsiTheme="majorHAnsi" w:cs="Times New Roman"/>
          <w:sz w:val="24"/>
          <w:szCs w:val="24"/>
          <w:lang w:val="en-US"/>
        </w:rPr>
        <w:t xml:space="preserve"> </w:t>
      </w:r>
      <w:r>
        <w:rPr>
          <w:rFonts w:asciiTheme="majorHAnsi" w:eastAsia="Calibri" w:hAnsiTheme="majorHAnsi" w:cs="Times New Roman"/>
          <w:sz w:val="24"/>
          <w:szCs w:val="24"/>
          <w:lang w:val="en-US"/>
        </w:rPr>
        <w:t xml:space="preserve"> Five</w:t>
      </w:r>
      <w:r w:rsidRPr="00876AB1">
        <w:rPr>
          <w:rFonts w:asciiTheme="majorHAnsi" w:eastAsia="Calibri" w:hAnsiTheme="majorHAnsi" w:cs="Times New Roman"/>
          <w:sz w:val="24"/>
          <w:szCs w:val="24"/>
          <w:lang w:val="en-US"/>
        </w:rPr>
        <w:t xml:space="preserve"> </w:t>
      </w:r>
      <w:proofErr w:type="spellStart"/>
      <w:r w:rsidRPr="00876AB1">
        <w:rPr>
          <w:rFonts w:asciiTheme="majorHAnsi" w:eastAsia="Calibri" w:hAnsiTheme="majorHAnsi" w:cs="Times New Roman"/>
          <w:sz w:val="24"/>
          <w:szCs w:val="24"/>
          <w:lang w:val="en-US"/>
        </w:rPr>
        <w:t>μL</w:t>
      </w:r>
      <w:proofErr w:type="spellEnd"/>
      <w:r w:rsidRPr="00876AB1">
        <w:rPr>
          <w:rFonts w:asciiTheme="majorHAnsi" w:eastAsia="Calibri" w:hAnsiTheme="majorHAnsi" w:cs="Times New Roman"/>
          <w:sz w:val="24"/>
          <w:szCs w:val="24"/>
          <w:lang w:val="en-US"/>
        </w:rPr>
        <w:t xml:space="preserve"> of test </w:t>
      </w:r>
      <w:r w:rsidRPr="00876AB1">
        <w:rPr>
          <w:rFonts w:asciiTheme="majorHAnsi" w:eastAsia="Calibri" w:hAnsiTheme="majorHAnsi" w:cs="Times New Roman"/>
          <w:sz w:val="24"/>
          <w:szCs w:val="24"/>
          <w:lang w:val="en-US"/>
        </w:rPr>
        <w:lastRenderedPageBreak/>
        <w:t>compound</w:t>
      </w:r>
      <w:r>
        <w:rPr>
          <w:rFonts w:asciiTheme="majorHAnsi" w:eastAsia="Calibri" w:hAnsiTheme="majorHAnsi" w:cs="Times New Roman"/>
          <w:sz w:val="24"/>
          <w:szCs w:val="24"/>
          <w:lang w:val="en-US"/>
        </w:rPr>
        <w:t>(</w:t>
      </w:r>
      <w:r w:rsidRPr="00876AB1">
        <w:rPr>
          <w:rFonts w:asciiTheme="majorHAnsi" w:eastAsia="Calibri" w:hAnsiTheme="majorHAnsi" w:cs="Times New Roman"/>
          <w:sz w:val="24"/>
          <w:szCs w:val="24"/>
          <w:lang w:val="en-US"/>
        </w:rPr>
        <w:t>s</w:t>
      </w:r>
      <w:r>
        <w:rPr>
          <w:rFonts w:asciiTheme="majorHAnsi" w:eastAsia="Calibri" w:hAnsiTheme="majorHAnsi" w:cs="Times New Roman"/>
          <w:sz w:val="24"/>
          <w:szCs w:val="24"/>
          <w:lang w:val="en-US"/>
        </w:rPr>
        <w:t>)</w:t>
      </w:r>
      <w:r w:rsidRPr="00876AB1">
        <w:rPr>
          <w:rFonts w:asciiTheme="majorHAnsi" w:eastAsia="Calibri" w:hAnsiTheme="majorHAnsi" w:cs="Times New Roman"/>
          <w:sz w:val="24"/>
          <w:szCs w:val="24"/>
          <w:lang w:val="en-US"/>
        </w:rPr>
        <w:t xml:space="preserve"> and controls at 0, 1.25, 2.5, 5, 10 </w:t>
      </w:r>
      <w:proofErr w:type="spellStart"/>
      <w:r w:rsidRPr="00876AB1">
        <w:rPr>
          <w:rFonts w:asciiTheme="majorHAnsi" w:eastAsia="Calibri" w:hAnsiTheme="majorHAnsi" w:cs="Times New Roman"/>
          <w:sz w:val="24"/>
          <w:szCs w:val="24"/>
          <w:lang w:val="en-US"/>
        </w:rPr>
        <w:t>μM</w:t>
      </w:r>
      <w:proofErr w:type="spellEnd"/>
      <w:r w:rsidRPr="00876AB1">
        <w:rPr>
          <w:rFonts w:asciiTheme="majorHAnsi" w:eastAsia="Calibri" w:hAnsiTheme="majorHAnsi" w:cs="Times New Roman"/>
          <w:sz w:val="24"/>
          <w:szCs w:val="24"/>
          <w:lang w:val="en-US"/>
        </w:rPr>
        <w:t xml:space="preserve"> were aliquoted into each well and pre-warmed for 1 min. </w:t>
      </w:r>
      <w:r>
        <w:rPr>
          <w:rFonts w:asciiTheme="majorHAnsi" w:eastAsia="Calibri" w:hAnsiTheme="majorHAnsi" w:cs="Times New Roman"/>
          <w:sz w:val="24"/>
          <w:szCs w:val="24"/>
          <w:lang w:val="en-US"/>
        </w:rPr>
        <w:t xml:space="preserve"> </w:t>
      </w:r>
      <w:r w:rsidRPr="00876AB1">
        <w:rPr>
          <w:rFonts w:asciiTheme="majorHAnsi" w:eastAsia="Calibri" w:hAnsiTheme="majorHAnsi" w:cs="Times New Roman"/>
          <w:sz w:val="24"/>
          <w:szCs w:val="24"/>
          <w:lang w:val="en-US"/>
        </w:rPr>
        <w:t xml:space="preserve">Colchicine and DMSO were used as positive and negative controls, respectively.  Polymerization was initiated by </w:t>
      </w:r>
      <w:r w:rsidR="00165BCC">
        <w:rPr>
          <w:rFonts w:asciiTheme="majorHAnsi" w:eastAsia="Calibri" w:hAnsiTheme="majorHAnsi" w:cs="Times New Roman"/>
          <w:sz w:val="24"/>
          <w:szCs w:val="24"/>
          <w:lang w:val="en-US"/>
        </w:rPr>
        <w:t>mixing</w:t>
      </w:r>
      <w:r w:rsidRPr="00876AB1">
        <w:rPr>
          <w:rFonts w:asciiTheme="majorHAnsi" w:eastAsia="Calibri" w:hAnsiTheme="majorHAnsi" w:cs="Times New Roman"/>
          <w:sz w:val="24"/>
          <w:szCs w:val="24"/>
          <w:lang w:val="en-US"/>
        </w:rPr>
        <w:t xml:space="preserve"> 45 </w:t>
      </w:r>
      <w:proofErr w:type="spellStart"/>
      <w:r w:rsidRPr="00876AB1">
        <w:rPr>
          <w:rFonts w:asciiTheme="majorHAnsi" w:eastAsia="Calibri" w:hAnsiTheme="majorHAnsi" w:cs="Times New Roman"/>
          <w:sz w:val="24"/>
          <w:szCs w:val="24"/>
          <w:lang w:val="en-US"/>
        </w:rPr>
        <w:t>μL</w:t>
      </w:r>
      <w:proofErr w:type="spellEnd"/>
      <w:r w:rsidRPr="00876AB1">
        <w:rPr>
          <w:rFonts w:asciiTheme="majorHAnsi" w:eastAsia="Calibri" w:hAnsiTheme="majorHAnsi" w:cs="Times New Roman"/>
          <w:sz w:val="24"/>
          <w:szCs w:val="24"/>
          <w:lang w:val="en-US"/>
        </w:rPr>
        <w:t xml:space="preserve"> of reaction buffer</w:t>
      </w:r>
      <w:r>
        <w:rPr>
          <w:rFonts w:asciiTheme="majorHAnsi" w:eastAsia="Calibri" w:hAnsiTheme="majorHAnsi" w:cs="Times New Roman"/>
          <w:sz w:val="24"/>
          <w:szCs w:val="24"/>
          <w:lang w:val="en-US"/>
        </w:rPr>
        <w:t xml:space="preserve"> </w:t>
      </w:r>
      <w:r w:rsidR="00F9571D">
        <w:rPr>
          <w:rFonts w:asciiTheme="majorHAnsi" w:eastAsia="Calibri" w:hAnsiTheme="majorHAnsi" w:cs="Times New Roman"/>
          <w:sz w:val="24"/>
          <w:szCs w:val="24"/>
          <w:lang w:val="en-US"/>
        </w:rPr>
        <w:t>that contained</w:t>
      </w:r>
      <w:r w:rsidRPr="00876AB1">
        <w:rPr>
          <w:rFonts w:asciiTheme="majorHAnsi" w:eastAsia="Calibri" w:hAnsiTheme="majorHAnsi" w:cs="Times New Roman"/>
          <w:sz w:val="24"/>
          <w:szCs w:val="24"/>
          <w:lang w:val="en-US"/>
        </w:rPr>
        <w:t xml:space="preserve"> 2 mg/mL </w:t>
      </w:r>
      <w:r>
        <w:rPr>
          <w:rFonts w:asciiTheme="majorHAnsi" w:eastAsia="Calibri" w:hAnsiTheme="majorHAnsi" w:cs="Times New Roman"/>
          <w:sz w:val="24"/>
          <w:szCs w:val="24"/>
          <w:lang w:val="en-US"/>
        </w:rPr>
        <w:t xml:space="preserve">of </w:t>
      </w:r>
      <w:r w:rsidRPr="00876AB1">
        <w:rPr>
          <w:rFonts w:asciiTheme="majorHAnsi" w:eastAsia="Calibri" w:hAnsiTheme="majorHAnsi" w:cs="Times New Roman"/>
          <w:sz w:val="24"/>
          <w:szCs w:val="24"/>
          <w:lang w:val="en-US"/>
        </w:rPr>
        <w:t xml:space="preserve">purified porcine brain tubulin, 10 </w:t>
      </w:r>
      <w:proofErr w:type="spellStart"/>
      <w:r w:rsidRPr="00876AB1">
        <w:rPr>
          <w:rFonts w:asciiTheme="majorHAnsi" w:eastAsia="Calibri" w:hAnsiTheme="majorHAnsi" w:cs="Times New Roman"/>
          <w:sz w:val="24"/>
          <w:szCs w:val="24"/>
          <w:lang w:val="en-US"/>
        </w:rPr>
        <w:t>μM</w:t>
      </w:r>
      <w:proofErr w:type="spellEnd"/>
      <w:r w:rsidRPr="00876AB1">
        <w:rPr>
          <w:rFonts w:asciiTheme="majorHAnsi" w:eastAsia="Calibri" w:hAnsiTheme="majorHAnsi" w:cs="Times New Roman"/>
          <w:sz w:val="24"/>
          <w:szCs w:val="24"/>
          <w:lang w:val="en-US"/>
        </w:rPr>
        <w:t xml:space="preserve"> fluorescent reporter, PEM buffer (80 </w:t>
      </w:r>
      <w:proofErr w:type="spellStart"/>
      <w:r w:rsidRPr="00876AB1">
        <w:rPr>
          <w:rFonts w:asciiTheme="majorHAnsi" w:eastAsia="Calibri" w:hAnsiTheme="majorHAnsi" w:cs="Times New Roman"/>
          <w:sz w:val="24"/>
          <w:szCs w:val="24"/>
          <w:lang w:val="en-US"/>
        </w:rPr>
        <w:t>mM</w:t>
      </w:r>
      <w:proofErr w:type="spellEnd"/>
      <w:r w:rsidRPr="00876AB1">
        <w:rPr>
          <w:rFonts w:asciiTheme="majorHAnsi" w:eastAsia="Calibri" w:hAnsiTheme="majorHAnsi" w:cs="Times New Roman"/>
          <w:sz w:val="24"/>
          <w:szCs w:val="24"/>
          <w:lang w:val="en-US"/>
        </w:rPr>
        <w:t xml:space="preserve"> PIPES, 0.5 </w:t>
      </w:r>
      <w:proofErr w:type="spellStart"/>
      <w:r w:rsidRPr="00876AB1">
        <w:rPr>
          <w:rFonts w:asciiTheme="majorHAnsi" w:eastAsia="Calibri" w:hAnsiTheme="majorHAnsi" w:cs="Times New Roman"/>
          <w:sz w:val="24"/>
          <w:szCs w:val="24"/>
          <w:lang w:val="en-US"/>
        </w:rPr>
        <w:t>mM</w:t>
      </w:r>
      <w:proofErr w:type="spellEnd"/>
      <w:r w:rsidRPr="00876AB1">
        <w:rPr>
          <w:rFonts w:asciiTheme="majorHAnsi" w:eastAsia="Calibri" w:hAnsiTheme="majorHAnsi" w:cs="Times New Roman"/>
          <w:sz w:val="24"/>
          <w:szCs w:val="24"/>
          <w:lang w:val="en-US"/>
        </w:rPr>
        <w:t xml:space="preserve"> EGTA, 2 </w:t>
      </w:r>
      <w:proofErr w:type="spellStart"/>
      <w:r w:rsidRPr="00876AB1">
        <w:rPr>
          <w:rFonts w:asciiTheme="majorHAnsi" w:eastAsia="Calibri" w:hAnsiTheme="majorHAnsi" w:cs="Times New Roman"/>
          <w:sz w:val="24"/>
          <w:szCs w:val="24"/>
          <w:lang w:val="en-US"/>
        </w:rPr>
        <w:t>mM</w:t>
      </w:r>
      <w:proofErr w:type="spellEnd"/>
      <w:r w:rsidRPr="00876AB1">
        <w:rPr>
          <w:rFonts w:asciiTheme="majorHAnsi" w:eastAsia="Calibri" w:hAnsiTheme="majorHAnsi" w:cs="Times New Roman"/>
          <w:sz w:val="24"/>
          <w:szCs w:val="24"/>
          <w:lang w:val="en-US"/>
        </w:rPr>
        <w:t xml:space="preserve"> MgCl</w:t>
      </w:r>
      <w:r w:rsidRPr="00876AB1">
        <w:rPr>
          <w:rFonts w:asciiTheme="majorHAnsi" w:eastAsia="Calibri" w:hAnsiTheme="majorHAnsi" w:cs="Times New Roman"/>
          <w:sz w:val="24"/>
          <w:szCs w:val="24"/>
          <w:vertAlign w:val="subscript"/>
          <w:lang w:val="en-US"/>
        </w:rPr>
        <w:t>2</w:t>
      </w:r>
      <w:r w:rsidRPr="00876AB1">
        <w:rPr>
          <w:rFonts w:asciiTheme="majorHAnsi" w:eastAsia="Calibri" w:hAnsiTheme="majorHAnsi" w:cs="Times New Roman"/>
          <w:sz w:val="24"/>
          <w:szCs w:val="24"/>
          <w:lang w:val="en-US"/>
        </w:rPr>
        <w:t xml:space="preserve">, pH 6.9), 1mM GTP and 20.3% glycerol. </w:t>
      </w:r>
      <w:r>
        <w:rPr>
          <w:rFonts w:asciiTheme="majorHAnsi" w:eastAsia="Calibri" w:hAnsiTheme="majorHAnsi" w:cs="Times New Roman"/>
          <w:sz w:val="24"/>
          <w:szCs w:val="24"/>
          <w:lang w:val="en-US"/>
        </w:rPr>
        <w:t xml:space="preserve"> </w:t>
      </w:r>
      <w:r w:rsidRPr="00876AB1">
        <w:rPr>
          <w:rFonts w:asciiTheme="majorHAnsi" w:eastAsia="Calibri" w:hAnsiTheme="majorHAnsi" w:cs="Times New Roman"/>
          <w:sz w:val="24"/>
          <w:szCs w:val="24"/>
          <w:lang w:val="en-US"/>
        </w:rPr>
        <w:t xml:space="preserve">Tubulin </w:t>
      </w:r>
      <w:r w:rsidR="00165BCC" w:rsidRPr="00876AB1">
        <w:rPr>
          <w:rFonts w:asciiTheme="majorHAnsi" w:eastAsia="Calibri" w:hAnsiTheme="majorHAnsi" w:cs="Times New Roman"/>
          <w:sz w:val="24"/>
          <w:szCs w:val="24"/>
          <w:lang w:val="en-US"/>
        </w:rPr>
        <w:t>polymerization</w:t>
      </w:r>
      <w:r w:rsidRPr="00876AB1">
        <w:rPr>
          <w:rFonts w:asciiTheme="majorHAnsi" w:eastAsia="Calibri" w:hAnsiTheme="majorHAnsi" w:cs="Times New Roman"/>
          <w:sz w:val="24"/>
          <w:szCs w:val="24"/>
          <w:lang w:val="en-US"/>
        </w:rPr>
        <w:t xml:space="preserve"> was followed by an increase in fluorescence intensity due to the incorporation of a fluorescence reporter into microtubules as </w:t>
      </w:r>
      <w:r w:rsidR="00165BCC" w:rsidRPr="00876AB1">
        <w:rPr>
          <w:rFonts w:asciiTheme="majorHAnsi" w:eastAsia="Calibri" w:hAnsiTheme="majorHAnsi" w:cs="Times New Roman"/>
          <w:sz w:val="24"/>
          <w:szCs w:val="24"/>
          <w:lang w:val="en-US"/>
        </w:rPr>
        <w:t>polymerization</w:t>
      </w:r>
      <w:r w:rsidRPr="00876AB1">
        <w:rPr>
          <w:rFonts w:asciiTheme="majorHAnsi" w:eastAsia="Calibri" w:hAnsiTheme="majorHAnsi" w:cs="Times New Roman"/>
          <w:sz w:val="24"/>
          <w:szCs w:val="24"/>
          <w:lang w:val="en-US"/>
        </w:rPr>
        <w:t xml:space="preserve"> occur</w:t>
      </w:r>
      <w:r>
        <w:rPr>
          <w:rFonts w:asciiTheme="majorHAnsi" w:eastAsia="Calibri" w:hAnsiTheme="majorHAnsi" w:cs="Times New Roman"/>
          <w:sz w:val="24"/>
          <w:szCs w:val="24"/>
          <w:lang w:val="en-US"/>
        </w:rPr>
        <w:t>red</w:t>
      </w:r>
      <w:r w:rsidRPr="00876AB1">
        <w:rPr>
          <w:rFonts w:asciiTheme="majorHAnsi" w:eastAsia="Calibri" w:hAnsiTheme="majorHAnsi" w:cs="Times New Roman"/>
          <w:sz w:val="24"/>
          <w:szCs w:val="24"/>
          <w:lang w:val="en-US"/>
        </w:rPr>
        <w:t xml:space="preserve">. </w:t>
      </w:r>
      <w:r>
        <w:rPr>
          <w:rFonts w:asciiTheme="majorHAnsi" w:eastAsia="Calibri" w:hAnsiTheme="majorHAnsi" w:cs="Times New Roman"/>
          <w:sz w:val="24"/>
          <w:szCs w:val="24"/>
          <w:lang w:val="en-US"/>
        </w:rPr>
        <w:t xml:space="preserve"> </w:t>
      </w:r>
      <w:r w:rsidRPr="00876AB1">
        <w:rPr>
          <w:rFonts w:asciiTheme="majorHAnsi" w:eastAsia="Calibri" w:hAnsiTheme="majorHAnsi" w:cs="Times New Roman"/>
          <w:sz w:val="24"/>
          <w:szCs w:val="24"/>
          <w:lang w:val="en-US"/>
        </w:rPr>
        <w:t xml:space="preserve">The change in fluorescence was measured </w:t>
      </w:r>
      <w:r w:rsidR="00BA1E27">
        <w:rPr>
          <w:rFonts w:asciiTheme="majorHAnsi" w:eastAsia="Calibri" w:hAnsiTheme="majorHAnsi" w:cs="Times New Roman"/>
          <w:sz w:val="24"/>
          <w:szCs w:val="24"/>
          <w:lang w:val="en-US"/>
        </w:rPr>
        <w:t xml:space="preserve">using an excitation </w:t>
      </w:r>
      <w:r w:rsidR="00450DE4">
        <w:rPr>
          <w:rFonts w:asciiTheme="majorHAnsi" w:eastAsia="Calibri" w:hAnsiTheme="majorHAnsi" w:cs="Times New Roman"/>
          <w:sz w:val="24"/>
          <w:szCs w:val="24"/>
          <w:lang w:val="en-US"/>
        </w:rPr>
        <w:t xml:space="preserve">and emission </w:t>
      </w:r>
      <w:r w:rsidR="00BA1E27">
        <w:rPr>
          <w:rFonts w:asciiTheme="majorHAnsi" w:eastAsia="Calibri" w:hAnsiTheme="majorHAnsi" w:cs="Times New Roman"/>
          <w:sz w:val="24"/>
          <w:szCs w:val="24"/>
          <w:lang w:val="en-US"/>
        </w:rPr>
        <w:t xml:space="preserve">wavelength of </w:t>
      </w:r>
      <w:r w:rsidR="00BA1E27" w:rsidRPr="00721DE8">
        <w:rPr>
          <w:rFonts w:asciiTheme="majorHAnsi" w:eastAsia="Calibri" w:hAnsiTheme="majorHAnsi" w:cs="Times New Roman"/>
          <w:sz w:val="24"/>
          <w:szCs w:val="24"/>
          <w:lang w:val="en-US"/>
        </w:rPr>
        <w:t>360 nm</w:t>
      </w:r>
      <w:r w:rsidR="00BA1E27" w:rsidRPr="00E95A7A">
        <w:rPr>
          <w:rFonts w:asciiTheme="majorHAnsi" w:eastAsia="Calibri" w:hAnsiTheme="majorHAnsi" w:cs="Times New Roman"/>
          <w:sz w:val="24"/>
          <w:szCs w:val="24"/>
          <w:lang w:val="en-US"/>
        </w:rPr>
        <w:t xml:space="preserve"> </w:t>
      </w:r>
      <w:r w:rsidR="00450DE4" w:rsidRPr="00721DE8">
        <w:rPr>
          <w:rFonts w:asciiTheme="majorHAnsi" w:eastAsia="Calibri" w:hAnsiTheme="majorHAnsi" w:cs="Times New Roman"/>
          <w:sz w:val="24"/>
          <w:szCs w:val="24"/>
          <w:lang w:val="en-US"/>
        </w:rPr>
        <w:t xml:space="preserve">and </w:t>
      </w:r>
      <w:r w:rsidRPr="00721DE8">
        <w:rPr>
          <w:rFonts w:asciiTheme="majorHAnsi" w:eastAsia="Calibri" w:hAnsiTheme="majorHAnsi" w:cs="Times New Roman"/>
          <w:sz w:val="24"/>
          <w:szCs w:val="24"/>
          <w:lang w:val="en-US"/>
        </w:rPr>
        <w:t>450 nm</w:t>
      </w:r>
      <w:r w:rsidR="00450DE4">
        <w:rPr>
          <w:rFonts w:asciiTheme="majorHAnsi" w:eastAsia="Calibri" w:hAnsiTheme="majorHAnsi" w:cs="Times New Roman"/>
          <w:sz w:val="24"/>
          <w:szCs w:val="24"/>
          <w:lang w:val="en-US"/>
        </w:rPr>
        <w:t xml:space="preserve">, </w:t>
      </w:r>
      <w:r w:rsidR="00AC31F6">
        <w:rPr>
          <w:rFonts w:asciiTheme="majorHAnsi" w:eastAsia="Calibri" w:hAnsiTheme="majorHAnsi" w:cs="Times New Roman"/>
          <w:sz w:val="24"/>
          <w:szCs w:val="24"/>
          <w:lang w:val="en-US"/>
        </w:rPr>
        <w:t>respectively</w:t>
      </w:r>
      <w:r w:rsidRPr="00876AB1">
        <w:rPr>
          <w:rFonts w:asciiTheme="majorHAnsi" w:eastAsia="Calibri" w:hAnsiTheme="majorHAnsi" w:cs="Times New Roman"/>
          <w:sz w:val="24"/>
          <w:szCs w:val="24"/>
          <w:lang w:val="en-US"/>
        </w:rPr>
        <w:t xml:space="preserve"> </w:t>
      </w:r>
      <w:r w:rsidR="00F74AD1">
        <w:rPr>
          <w:rFonts w:asciiTheme="majorHAnsi" w:eastAsia="Calibri" w:hAnsiTheme="majorHAnsi" w:cs="Times New Roman"/>
          <w:sz w:val="24"/>
          <w:szCs w:val="24"/>
          <w:lang w:val="en-US"/>
        </w:rPr>
        <w:t>every</w:t>
      </w:r>
      <w:r w:rsidRPr="00876AB1">
        <w:rPr>
          <w:rFonts w:asciiTheme="majorHAnsi" w:eastAsia="Calibri" w:hAnsiTheme="majorHAnsi" w:cs="Times New Roman"/>
          <w:sz w:val="24"/>
          <w:szCs w:val="24"/>
          <w:lang w:val="en-US"/>
        </w:rPr>
        <w:t xml:space="preserve"> 1-min </w:t>
      </w:r>
      <w:r w:rsidR="00F74AD1">
        <w:rPr>
          <w:rFonts w:asciiTheme="majorHAnsi" w:eastAsia="Calibri" w:hAnsiTheme="majorHAnsi" w:cs="Times New Roman"/>
          <w:sz w:val="24"/>
          <w:szCs w:val="24"/>
          <w:lang w:val="en-US"/>
        </w:rPr>
        <w:t>for 1-hr.</w:t>
      </w:r>
      <w:r w:rsidRPr="00876AB1">
        <w:rPr>
          <w:rFonts w:asciiTheme="majorHAnsi" w:eastAsia="Calibri" w:hAnsiTheme="majorHAnsi" w:cs="Times New Roman"/>
          <w:sz w:val="24"/>
          <w:szCs w:val="24"/>
          <w:lang w:val="en-US"/>
        </w:rPr>
        <w:t xml:space="preserve"> at 37°C using a </w:t>
      </w:r>
      <w:proofErr w:type="spellStart"/>
      <w:r w:rsidRPr="00876AB1">
        <w:rPr>
          <w:rFonts w:asciiTheme="majorHAnsi" w:eastAsia="Calibri" w:hAnsiTheme="majorHAnsi" w:cs="Times New Roman"/>
          <w:sz w:val="24"/>
          <w:szCs w:val="24"/>
          <w:lang w:val="en-US"/>
        </w:rPr>
        <w:t>Varioskan</w:t>
      </w:r>
      <w:proofErr w:type="spellEnd"/>
      <w:r w:rsidRPr="00876AB1">
        <w:rPr>
          <w:rFonts w:asciiTheme="majorHAnsi" w:eastAsia="Calibri" w:hAnsiTheme="majorHAnsi" w:cs="Times New Roman"/>
          <w:sz w:val="24"/>
          <w:szCs w:val="24"/>
          <w:lang w:val="en-US"/>
        </w:rPr>
        <w:t xml:space="preserve"> multimode plate reader (</w:t>
      </w:r>
      <w:proofErr w:type="spellStart"/>
      <w:r w:rsidRPr="00876AB1">
        <w:rPr>
          <w:rFonts w:asciiTheme="majorHAnsi" w:eastAsia="Calibri" w:hAnsiTheme="majorHAnsi" w:cs="Times New Roman"/>
          <w:sz w:val="24"/>
          <w:szCs w:val="24"/>
          <w:lang w:val="en-US"/>
        </w:rPr>
        <w:t>Thermo</w:t>
      </w:r>
      <w:proofErr w:type="spellEnd"/>
      <w:r w:rsidRPr="00876AB1">
        <w:rPr>
          <w:rFonts w:asciiTheme="majorHAnsi" w:eastAsia="Calibri" w:hAnsiTheme="majorHAnsi" w:cs="Times New Roman"/>
          <w:sz w:val="24"/>
          <w:szCs w:val="24"/>
          <w:lang w:val="en-US"/>
        </w:rPr>
        <w:t xml:space="preserve"> scientific Inc.). </w:t>
      </w:r>
      <w:r>
        <w:rPr>
          <w:rFonts w:asciiTheme="majorHAnsi" w:eastAsia="Calibri" w:hAnsiTheme="majorHAnsi" w:cs="Times New Roman"/>
          <w:sz w:val="24"/>
          <w:szCs w:val="24"/>
          <w:lang w:val="en-US"/>
        </w:rPr>
        <w:t xml:space="preserve"> </w:t>
      </w:r>
      <w:r w:rsidRPr="00876AB1">
        <w:rPr>
          <w:rFonts w:asciiTheme="majorHAnsi" w:eastAsia="Calibri" w:hAnsiTheme="majorHAnsi" w:cs="Times New Roman"/>
          <w:sz w:val="24"/>
          <w:szCs w:val="24"/>
          <w:lang w:val="en-US"/>
        </w:rPr>
        <w:t xml:space="preserve">All data points were </w:t>
      </w:r>
      <w:r>
        <w:rPr>
          <w:rFonts w:asciiTheme="majorHAnsi" w:eastAsia="Calibri" w:hAnsiTheme="majorHAnsi" w:cs="Times New Roman"/>
          <w:sz w:val="24"/>
          <w:szCs w:val="24"/>
          <w:lang w:val="en-US"/>
        </w:rPr>
        <w:t xml:space="preserve">acquired </w:t>
      </w:r>
      <w:r w:rsidRPr="00876AB1">
        <w:rPr>
          <w:rFonts w:asciiTheme="majorHAnsi" w:eastAsia="Calibri" w:hAnsiTheme="majorHAnsi" w:cs="Times New Roman"/>
          <w:sz w:val="24"/>
          <w:szCs w:val="24"/>
          <w:lang w:val="en-US"/>
        </w:rPr>
        <w:t>in triplicate and IC</w:t>
      </w:r>
      <w:r w:rsidRPr="00876AB1">
        <w:rPr>
          <w:rFonts w:asciiTheme="majorHAnsi" w:eastAsia="Calibri" w:hAnsiTheme="majorHAnsi" w:cs="Times New Roman"/>
          <w:sz w:val="24"/>
          <w:szCs w:val="24"/>
          <w:vertAlign w:val="subscript"/>
          <w:lang w:val="en-US"/>
        </w:rPr>
        <w:t xml:space="preserve">50 </w:t>
      </w:r>
      <w:r w:rsidRPr="00876AB1">
        <w:rPr>
          <w:rFonts w:asciiTheme="majorHAnsi" w:eastAsia="Calibri" w:hAnsiTheme="majorHAnsi" w:cs="Times New Roman"/>
          <w:sz w:val="24"/>
          <w:szCs w:val="24"/>
          <w:lang w:val="en-US"/>
        </w:rPr>
        <w:t xml:space="preserve">values were calculated with </w:t>
      </w:r>
      <w:proofErr w:type="spellStart"/>
      <w:r w:rsidRPr="00876AB1">
        <w:rPr>
          <w:rFonts w:asciiTheme="majorHAnsi" w:eastAsia="Calibri" w:hAnsiTheme="majorHAnsi" w:cs="Times New Roman"/>
          <w:sz w:val="24"/>
          <w:szCs w:val="24"/>
          <w:lang w:val="en-US"/>
        </w:rPr>
        <w:t>GraphPad</w:t>
      </w:r>
      <w:proofErr w:type="spellEnd"/>
      <w:r w:rsidRPr="00876AB1">
        <w:rPr>
          <w:rFonts w:asciiTheme="majorHAnsi" w:eastAsia="Calibri" w:hAnsiTheme="majorHAnsi" w:cs="Times New Roman"/>
          <w:sz w:val="24"/>
          <w:szCs w:val="24"/>
          <w:lang w:val="en-US"/>
        </w:rPr>
        <w:t xml:space="preserve"> Prism. </w:t>
      </w:r>
      <w:r>
        <w:rPr>
          <w:rFonts w:asciiTheme="majorHAnsi" w:eastAsia="Calibri" w:hAnsiTheme="majorHAnsi" w:cs="Times New Roman"/>
          <w:sz w:val="24"/>
          <w:szCs w:val="24"/>
          <w:lang w:val="en-US"/>
        </w:rPr>
        <w:t xml:space="preserve"> </w:t>
      </w:r>
      <w:r w:rsidRPr="00876AB1">
        <w:rPr>
          <w:rFonts w:asciiTheme="majorHAnsi" w:eastAsia="Calibri" w:hAnsiTheme="majorHAnsi" w:cs="Times New Roman"/>
          <w:sz w:val="24"/>
          <w:szCs w:val="24"/>
          <w:lang w:val="en-US"/>
        </w:rPr>
        <w:t>The IC</w:t>
      </w:r>
      <w:r w:rsidRPr="00876AB1">
        <w:rPr>
          <w:rFonts w:asciiTheme="majorHAnsi" w:eastAsia="Calibri" w:hAnsiTheme="majorHAnsi" w:cs="Times New Roman"/>
          <w:sz w:val="24"/>
          <w:szCs w:val="24"/>
          <w:vertAlign w:val="subscript"/>
          <w:lang w:val="en-US"/>
        </w:rPr>
        <w:t xml:space="preserve">50 </w:t>
      </w:r>
      <w:r w:rsidRPr="00876AB1">
        <w:rPr>
          <w:rFonts w:asciiTheme="majorHAnsi" w:eastAsia="Calibri" w:hAnsiTheme="majorHAnsi" w:cs="Times New Roman"/>
          <w:sz w:val="24"/>
          <w:szCs w:val="24"/>
          <w:lang w:val="en-US"/>
        </w:rPr>
        <w:t xml:space="preserve">value was defined as the drug concentration required to inhibit tubulin polymerization by 50% compared </w:t>
      </w:r>
      <w:r>
        <w:rPr>
          <w:rFonts w:asciiTheme="majorHAnsi" w:eastAsia="Calibri" w:hAnsiTheme="majorHAnsi" w:cs="Times New Roman"/>
          <w:sz w:val="24"/>
          <w:szCs w:val="24"/>
          <w:lang w:val="en-US"/>
        </w:rPr>
        <w:t>with</w:t>
      </w:r>
      <w:r w:rsidRPr="00876AB1">
        <w:rPr>
          <w:rFonts w:asciiTheme="majorHAnsi" w:eastAsia="Calibri" w:hAnsiTheme="majorHAnsi" w:cs="Times New Roman"/>
          <w:sz w:val="24"/>
          <w:szCs w:val="24"/>
          <w:lang w:val="en-US"/>
        </w:rPr>
        <w:t xml:space="preserve"> </w:t>
      </w:r>
      <w:r w:rsidR="00450DE4">
        <w:rPr>
          <w:rFonts w:asciiTheme="majorHAnsi" w:eastAsia="Calibri" w:hAnsiTheme="majorHAnsi" w:cs="Times New Roman"/>
          <w:sz w:val="24"/>
          <w:szCs w:val="24"/>
          <w:lang w:val="en-US"/>
        </w:rPr>
        <w:t xml:space="preserve">negative </w:t>
      </w:r>
      <w:r w:rsidRPr="00876AB1">
        <w:rPr>
          <w:rFonts w:asciiTheme="majorHAnsi" w:eastAsia="Calibri" w:hAnsiTheme="majorHAnsi" w:cs="Times New Roman"/>
          <w:sz w:val="24"/>
          <w:szCs w:val="24"/>
          <w:lang w:val="en-US"/>
        </w:rPr>
        <w:t>control.</w:t>
      </w:r>
    </w:p>
    <w:p w14:paraId="6ACD2750" w14:textId="77777777" w:rsidR="00525CC5" w:rsidRPr="00876AB1" w:rsidRDefault="00525CC5" w:rsidP="00EB3D34">
      <w:pPr>
        <w:spacing w:after="120" w:line="480" w:lineRule="auto"/>
        <w:ind w:firstLine="720"/>
        <w:rPr>
          <w:rFonts w:asciiTheme="majorHAnsi" w:eastAsia="Calibri" w:hAnsiTheme="majorHAnsi" w:cs="Times New Roman"/>
          <w:sz w:val="24"/>
          <w:szCs w:val="24"/>
          <w:lang w:val="en-US"/>
        </w:rPr>
      </w:pPr>
    </w:p>
    <w:p w14:paraId="3C91663E" w14:textId="26E11C33" w:rsidR="003B2CE2" w:rsidRPr="00876AB1" w:rsidRDefault="0026138A" w:rsidP="00EB3D34">
      <w:pPr>
        <w:spacing w:after="120" w:line="480" w:lineRule="auto"/>
        <w:outlineLvl w:val="0"/>
        <w:rPr>
          <w:rFonts w:asciiTheme="majorHAnsi" w:hAnsiTheme="majorHAnsi"/>
          <w:b/>
          <w:i/>
          <w:sz w:val="24"/>
          <w:szCs w:val="24"/>
          <w:lang w:val="en-US"/>
        </w:rPr>
      </w:pPr>
      <w:r>
        <w:rPr>
          <w:rFonts w:asciiTheme="majorHAnsi" w:hAnsiTheme="majorHAnsi"/>
          <w:b/>
          <w:i/>
          <w:sz w:val="24"/>
          <w:szCs w:val="24"/>
          <w:lang w:val="en-US"/>
        </w:rPr>
        <w:t xml:space="preserve">Homology Modeling and </w:t>
      </w:r>
      <w:r w:rsidR="003B2CE2" w:rsidRPr="00876AB1">
        <w:rPr>
          <w:rFonts w:asciiTheme="majorHAnsi" w:hAnsiTheme="majorHAnsi"/>
          <w:b/>
          <w:i/>
          <w:sz w:val="24"/>
          <w:szCs w:val="24"/>
          <w:lang w:val="en-US"/>
        </w:rPr>
        <w:t>Docking Studies</w:t>
      </w:r>
    </w:p>
    <w:p w14:paraId="310C25C7" w14:textId="68EFFF29" w:rsidR="003B2CE2" w:rsidRPr="004E1625" w:rsidRDefault="003B2CE2" w:rsidP="006354DC">
      <w:pPr>
        <w:spacing w:after="120" w:line="480" w:lineRule="auto"/>
        <w:ind w:firstLine="720"/>
        <w:rPr>
          <w:rFonts w:asciiTheme="majorHAnsi" w:hAnsiTheme="majorHAnsi" w:cs="Arial"/>
          <w:sz w:val="24"/>
          <w:szCs w:val="24"/>
        </w:rPr>
      </w:pPr>
      <w:r w:rsidRPr="00876AB1">
        <w:rPr>
          <w:rFonts w:asciiTheme="majorHAnsi" w:hAnsiTheme="majorHAnsi"/>
          <w:sz w:val="24"/>
          <w:szCs w:val="24"/>
          <w:lang w:val="en-US"/>
        </w:rPr>
        <w:t xml:space="preserve">While the </w:t>
      </w:r>
      <w:r>
        <w:rPr>
          <w:rFonts w:asciiTheme="majorHAnsi" w:hAnsiTheme="majorHAnsi"/>
          <w:sz w:val="24"/>
          <w:szCs w:val="24"/>
          <w:lang w:val="en-US"/>
        </w:rPr>
        <w:t xml:space="preserve">amino acid </w:t>
      </w:r>
      <w:r w:rsidRPr="00876AB1">
        <w:rPr>
          <w:rFonts w:asciiTheme="majorHAnsi" w:hAnsiTheme="majorHAnsi"/>
          <w:sz w:val="24"/>
          <w:szCs w:val="24"/>
          <w:lang w:val="en-US"/>
        </w:rPr>
        <w:t>sequence of cryptococcal ß</w:t>
      </w:r>
      <w:r>
        <w:rPr>
          <w:rFonts w:asciiTheme="majorHAnsi" w:hAnsiTheme="majorHAnsi"/>
          <w:sz w:val="24"/>
          <w:szCs w:val="24"/>
          <w:lang w:val="en-US"/>
        </w:rPr>
        <w:t>-</w:t>
      </w:r>
      <w:r w:rsidRPr="00876AB1">
        <w:rPr>
          <w:rFonts w:asciiTheme="majorHAnsi" w:hAnsiTheme="majorHAnsi"/>
          <w:sz w:val="24"/>
          <w:szCs w:val="24"/>
          <w:lang w:val="en-US"/>
        </w:rPr>
        <w:t>tubulin is known (</w:t>
      </w:r>
      <w:r>
        <w:rPr>
          <w:rFonts w:asciiTheme="majorHAnsi" w:hAnsiTheme="majorHAnsi"/>
          <w:sz w:val="24"/>
          <w:szCs w:val="24"/>
          <w:lang w:val="en-US"/>
        </w:rPr>
        <w:t>74</w:t>
      </w:r>
      <w:r w:rsidRPr="00876AB1">
        <w:rPr>
          <w:rFonts w:asciiTheme="majorHAnsi" w:hAnsiTheme="majorHAnsi"/>
          <w:sz w:val="24"/>
          <w:szCs w:val="24"/>
          <w:lang w:val="en-US"/>
        </w:rPr>
        <w:t xml:space="preserve">% homology with human β-tubulin), </w:t>
      </w:r>
      <w:r>
        <w:rPr>
          <w:rFonts w:asciiTheme="majorHAnsi" w:hAnsiTheme="majorHAnsi"/>
          <w:sz w:val="24"/>
          <w:szCs w:val="24"/>
          <w:lang w:val="en-US"/>
        </w:rPr>
        <w:t>the protein</w:t>
      </w:r>
      <w:r w:rsidRPr="00876AB1">
        <w:rPr>
          <w:rFonts w:asciiTheme="majorHAnsi" w:hAnsiTheme="majorHAnsi"/>
          <w:sz w:val="24"/>
          <w:szCs w:val="24"/>
          <w:lang w:val="en-US"/>
        </w:rPr>
        <w:t xml:space="preserve"> has not been crystallized.  </w:t>
      </w:r>
      <w:r w:rsidR="00450DE4" w:rsidRPr="00876AB1">
        <w:rPr>
          <w:rFonts w:asciiTheme="majorHAnsi" w:hAnsiTheme="majorHAnsi" w:cs="Arial"/>
          <w:sz w:val="24"/>
          <w:szCs w:val="24"/>
          <w:lang w:val="en-US"/>
        </w:rPr>
        <w:t>A</w:t>
      </w:r>
      <w:r w:rsidRPr="00876AB1">
        <w:rPr>
          <w:rFonts w:asciiTheme="majorHAnsi" w:hAnsiTheme="majorHAnsi" w:cs="Arial"/>
          <w:sz w:val="24"/>
          <w:szCs w:val="24"/>
          <w:lang w:val="en-US"/>
        </w:rPr>
        <w:t xml:space="preserve"> homology model was</w:t>
      </w:r>
      <w:r>
        <w:rPr>
          <w:rFonts w:asciiTheme="majorHAnsi" w:hAnsiTheme="majorHAnsi" w:cs="Arial"/>
          <w:sz w:val="24"/>
          <w:szCs w:val="24"/>
          <w:lang w:val="en-US"/>
        </w:rPr>
        <w:t xml:space="preserve"> therefore</w:t>
      </w:r>
      <w:r w:rsidRPr="00876AB1">
        <w:rPr>
          <w:rFonts w:asciiTheme="majorHAnsi" w:hAnsiTheme="majorHAnsi" w:cs="Arial"/>
          <w:sz w:val="24"/>
          <w:szCs w:val="24"/>
          <w:lang w:val="en-US"/>
        </w:rPr>
        <w:t xml:space="preserve"> developed to investigate differential binding modes of flubendazole within </w:t>
      </w:r>
      <w:r w:rsidRPr="00876AB1">
        <w:rPr>
          <w:rFonts w:asciiTheme="majorHAnsi" w:hAnsiTheme="majorHAnsi" w:cs="Arial"/>
          <w:i/>
          <w:sz w:val="24"/>
          <w:szCs w:val="24"/>
          <w:lang w:val="en-US"/>
        </w:rPr>
        <w:t>C. neoformans</w:t>
      </w:r>
      <w:r w:rsidRPr="00876AB1">
        <w:rPr>
          <w:rFonts w:asciiTheme="majorHAnsi" w:hAnsiTheme="majorHAnsi" w:cs="Arial"/>
          <w:sz w:val="24"/>
          <w:szCs w:val="24"/>
          <w:lang w:val="en-US"/>
        </w:rPr>
        <w:t xml:space="preserve"> and human β-tubulin.  Molecular modelling (</w:t>
      </w:r>
      <w:proofErr w:type="spellStart"/>
      <w:r w:rsidRPr="00876AB1">
        <w:rPr>
          <w:rFonts w:asciiTheme="majorHAnsi" w:hAnsiTheme="majorHAnsi" w:cs="Arial"/>
          <w:sz w:val="24"/>
          <w:szCs w:val="24"/>
          <w:lang w:val="en-US"/>
        </w:rPr>
        <w:t>Modeller</w:t>
      </w:r>
      <w:proofErr w:type="spellEnd"/>
      <w:r w:rsidRPr="00876AB1">
        <w:rPr>
          <w:rFonts w:asciiTheme="majorHAnsi" w:hAnsiTheme="majorHAnsi" w:cs="Arial"/>
          <w:sz w:val="24"/>
          <w:szCs w:val="24"/>
          <w:lang w:val="en-US"/>
        </w:rPr>
        <w:t xml:space="preserve"> version 9.14</w:t>
      </w:r>
      <w:r w:rsidR="006354DC">
        <w:rPr>
          <w:rFonts w:asciiTheme="majorHAnsi" w:hAnsiTheme="majorHAnsi" w:cs="Arial"/>
          <w:sz w:val="24"/>
          <w:szCs w:val="24"/>
          <w:lang w:val="en-US"/>
        </w:rPr>
        <w:t xml:space="preserve">, </w:t>
      </w:r>
      <w:hyperlink r:id="rId8" w:history="1">
        <w:r w:rsidR="006354DC" w:rsidRPr="006354DC">
          <w:rPr>
            <w:rStyle w:val="Hyperlink"/>
            <w:rFonts w:asciiTheme="majorHAnsi" w:hAnsiTheme="majorHAnsi" w:cs="Arial"/>
            <w:sz w:val="24"/>
            <w:szCs w:val="24"/>
          </w:rPr>
          <w:t>https://salilab.org/modeller/</w:t>
        </w:r>
      </w:hyperlink>
      <w:r w:rsidRPr="00876AB1">
        <w:rPr>
          <w:rFonts w:asciiTheme="majorHAnsi" w:hAnsiTheme="majorHAnsi" w:cs="Arial"/>
          <w:sz w:val="24"/>
          <w:szCs w:val="24"/>
          <w:lang w:val="en-US"/>
        </w:rPr>
        <w:t>) of both human β-tubulin</w:t>
      </w:r>
      <w:r w:rsidR="002F1953">
        <w:rPr>
          <w:rFonts w:asciiTheme="majorHAnsi" w:hAnsiTheme="majorHAnsi" w:cs="Arial"/>
          <w:sz w:val="24"/>
          <w:szCs w:val="24"/>
          <w:lang w:val="en-US"/>
        </w:rPr>
        <w:t xml:space="preserve"> </w:t>
      </w:r>
      <w:r w:rsidR="002F1953">
        <w:rPr>
          <w:rFonts w:asciiTheme="majorHAnsi" w:hAnsiTheme="majorHAnsi" w:cs="Arial"/>
          <w:sz w:val="24"/>
          <w:szCs w:val="24"/>
          <w:lang w:val="en-US"/>
        </w:rPr>
        <w:fldChar w:fldCharType="begin" w:fldLock="1"/>
      </w:r>
      <w:r w:rsidR="005002A9">
        <w:rPr>
          <w:rFonts w:asciiTheme="majorHAnsi" w:hAnsiTheme="majorHAnsi" w:cs="Arial"/>
          <w:sz w:val="24"/>
          <w:szCs w:val="24"/>
          <w:lang w:val="en-US"/>
        </w:rPr>
        <w:instrText>ADDIN CSL_CITATION { "citationItems" : [ { "id" : "ITEM-1", "itemData" : { "DOI" : "10.1038/nature02393", "ISBN" : "110292001G", "ISSN" : "0028-0836", "PMID" : "10783887", "abstract" : "Ecologists and conservation biologists have used many measures of landscape structure to predict the population dynamic consequences of habitat loss and fragmentation, but these measures are not well justified by population dynamic theory. Here we introduce a new measure for highly fragmented landscapes, termed the metapopulation capacity, which is rigorously derived from metapopulation theory and can easily be applied to real networks of habitat fragments with known areas and connectivities. Technically, metapopulation capacity is the leading eigenvalue of an appropriate 'landscape' matrix. A species is predicted to persist in a landscape if the metapopulation capacity of that landscape is greater than a threshold value determined by the properties of the species. Therefore, metapopulation capacity can conveniently be used to rank different landscapes in terms of their capacity to support viable metapopulations. We present an empirical example on multiple networks occupied by an endangered species of butterfly. Using this theory, we may also calculate how the metapopulation capacity is changed by removing habitat fragments from or adding new ones into specific spatial locations, or by changing their areas. The metapopulation capacity should find many applications in metapopulation ecology, landscape ecology and conservation biology.", "author" : [ { "dropping-particle" : "", "family" : "Ravelli", "given" : "Raimond B.G.", "non-dropping-particle" : "", "parse-names" : false, "suffix" : "" }, { "dropping-particle" : "", "family" : "Gigant", "given" : "Beno\u00eet", "non-dropping-particle" : "", "parse-names" : false, "suffix" : "" }, { "dropping-particle" : "", "family" : "Curmi", "given" : "Patrick A.", "non-dropping-particle" : "", "parse-names" : false, "suffix" : "" }, { "dropping-particle" : "", "family" : "Jourdain", "given" : "Isabelle", "non-dropping-particle" : "", "parse-names" : false, "suffix" : "" }, { "dropping-particle" : "", "family" : "Lachkar", "given" : "Sylvie", "non-dropping-particle" : "", "parse-names" : false, "suffix" : "" }, { "dropping-particle" : "", "family" : "Sobel", "given" : "Andr\u00e9", "non-dropping-particle" : "", "parse-names" : false, "suffix" : "" }, { "dropping-particle" : "", "family" : "Knossow", "given" : "Marcel", "non-dropping-particle" : "", "parse-names" : false, "suffix" : "" } ], "container-title" : "Nature", "id" : "ITEM-1", "issue" : "6979", "issued" : { "date-parts" : [ [ "2004" ] ] }, "page" : "198-202", "title" : "Insight into tubulin regulation from a complex with colchicine and a stathmin-like domain", "type" : "article-journal", "volume" : "428" }, "uris" : [ "http://www.mendeley.com/documents/?uuid=3ed1af96-3449-4d73-ad2e-37f350d795b5", "http://www.mendeley.com/documents/?uuid=c9e74cd1-80b9-4e18-90b7-84dc22da10ae" ] } ], "mendeley" : { "formattedCitation" : "(20)", "plainTextFormattedCitation" : "(20)", "previouslyFormattedCitation" : "(20)" }, "properties" : { "noteIndex" : 0 }, "schema" : "https://github.com/citation-style-language/schema/raw/master/csl-citation.json" }</w:instrText>
      </w:r>
      <w:r w:rsidR="002F1953">
        <w:rPr>
          <w:rFonts w:asciiTheme="majorHAnsi" w:hAnsiTheme="majorHAnsi" w:cs="Arial"/>
          <w:sz w:val="24"/>
          <w:szCs w:val="24"/>
          <w:lang w:val="en-US"/>
        </w:rPr>
        <w:fldChar w:fldCharType="separate"/>
      </w:r>
      <w:r w:rsidR="005002A9" w:rsidRPr="005002A9">
        <w:rPr>
          <w:rFonts w:asciiTheme="majorHAnsi" w:hAnsiTheme="majorHAnsi" w:cs="Arial"/>
          <w:noProof/>
          <w:sz w:val="24"/>
          <w:szCs w:val="24"/>
          <w:lang w:val="en-US"/>
        </w:rPr>
        <w:t>(20)</w:t>
      </w:r>
      <w:r w:rsidR="002F1953">
        <w:rPr>
          <w:rFonts w:asciiTheme="majorHAnsi" w:hAnsiTheme="majorHAnsi" w:cs="Arial"/>
          <w:sz w:val="24"/>
          <w:szCs w:val="24"/>
          <w:lang w:val="en-US"/>
        </w:rPr>
        <w:fldChar w:fldCharType="end"/>
      </w:r>
      <w:r w:rsidR="00A05592">
        <w:rPr>
          <w:rFonts w:asciiTheme="majorHAnsi" w:hAnsiTheme="majorHAnsi" w:cs="Arial"/>
          <w:sz w:val="24"/>
          <w:szCs w:val="24"/>
          <w:lang w:val="en-US"/>
        </w:rPr>
        <w:t xml:space="preserve"> </w:t>
      </w:r>
      <w:r w:rsidRPr="00876AB1">
        <w:rPr>
          <w:rFonts w:asciiTheme="majorHAnsi" w:hAnsiTheme="majorHAnsi" w:cs="Arial"/>
          <w:sz w:val="24"/>
          <w:szCs w:val="24"/>
          <w:lang w:val="en-US"/>
        </w:rPr>
        <w:t xml:space="preserve">and </w:t>
      </w:r>
      <w:r w:rsidRPr="00876AB1">
        <w:rPr>
          <w:rFonts w:asciiTheme="majorHAnsi" w:hAnsiTheme="majorHAnsi" w:cs="Arial"/>
          <w:i/>
          <w:sz w:val="24"/>
          <w:szCs w:val="24"/>
          <w:lang w:val="en-US"/>
        </w:rPr>
        <w:t>C. neoformans</w:t>
      </w:r>
      <w:r w:rsidRPr="00876AB1">
        <w:rPr>
          <w:rFonts w:asciiTheme="majorHAnsi" w:hAnsiTheme="majorHAnsi" w:cs="Arial"/>
          <w:sz w:val="24"/>
          <w:szCs w:val="24"/>
          <w:lang w:val="en-US"/>
        </w:rPr>
        <w:t xml:space="preserve"> var. </w:t>
      </w:r>
      <w:proofErr w:type="spellStart"/>
      <w:r w:rsidRPr="00876AB1">
        <w:rPr>
          <w:rFonts w:asciiTheme="majorHAnsi" w:hAnsiTheme="majorHAnsi" w:cs="Arial"/>
          <w:sz w:val="24"/>
          <w:szCs w:val="24"/>
          <w:lang w:val="en-US"/>
        </w:rPr>
        <w:t>grubii</w:t>
      </w:r>
      <w:proofErr w:type="spellEnd"/>
      <w:r w:rsidRPr="00876AB1">
        <w:rPr>
          <w:rFonts w:asciiTheme="majorHAnsi" w:hAnsiTheme="majorHAnsi" w:cs="Arial"/>
          <w:sz w:val="24"/>
          <w:szCs w:val="24"/>
          <w:lang w:val="en-US"/>
        </w:rPr>
        <w:t xml:space="preserve"> serotype A (strain H99) β-tubulin</w:t>
      </w:r>
      <w:r w:rsidR="00846AB9">
        <w:rPr>
          <w:rFonts w:asciiTheme="majorHAnsi" w:hAnsiTheme="majorHAnsi" w:cs="Arial"/>
          <w:sz w:val="24"/>
          <w:szCs w:val="24"/>
          <w:lang w:val="en-US"/>
        </w:rPr>
        <w:t xml:space="preserve"> </w:t>
      </w:r>
      <w:r w:rsidR="00846AB9">
        <w:rPr>
          <w:rFonts w:asciiTheme="majorHAnsi" w:hAnsiTheme="majorHAnsi" w:cs="Arial"/>
          <w:sz w:val="24"/>
          <w:szCs w:val="24"/>
          <w:lang w:val="en-US"/>
        </w:rPr>
        <w:fldChar w:fldCharType="begin" w:fldLock="1"/>
      </w:r>
      <w:r w:rsidR="00810389">
        <w:rPr>
          <w:rFonts w:asciiTheme="majorHAnsi" w:hAnsiTheme="majorHAnsi" w:cs="Arial"/>
          <w:sz w:val="24"/>
          <w:szCs w:val="24"/>
          <w:lang w:val="en-US"/>
        </w:rPr>
        <w:instrText>ADDIN CSL_CITATION { "citationItems" : [ { "id" : "ITEM-1", "itemData" : { "DOI" : "10.1099/00221287-143-6-2003", "ISBN" : "1350-0872 (Print)\\r1350-0872 (Linking)", "ISSN" : "13500872", "PMID" : "9202476", "abstract" : "The basidiomycete Cryptococcus neoformans causes life-threatening infections in immunocompromised patients, and available chemotherapeutic agents are potentially toxic or have limited efficacy. In vitro, C. neoformans is very sensitive to selected benzimidazole compounds (e.g. albendazole), which act by disrupting microtubules through binding to the beta-tubulin subunit. To understand the basis for this benzimidazole sensitivity, we have characterized C. neoformans beta-tubulin genes and their expression. Analysis of PCR amplification products, genomic and cDNA clones and Southern blots identified two beta-tubulin genes. TUB1 contains seven introns, including one that splits the start codon, and encodes a 447 amino acid protein with &gt; 80% identity to most other beta-tubulins. A partial sequence of TUB2 revealed a higher density of introns and a considerably more divergent beta-tubulin. The relative expression of TUB1 to TUB2 determined by reverse-transcription PCR was about 3:1, consistent with a more limited role for the TUB2 product. Comparisons of beta-tubulin sequences from C. neoformans and from various benzimidazole-sensitive and -resistant organisms strongly suggest that the TUB1 product represents the primary benzimidazole target. This was supported by the identification of a His6 to Gln change in TUB1 from three independently isolated albendazole-resistant mutants.", "author" : [ { "dropping-particle" : "", "family" : "Cruz", "given" : "Maria Cristina", "non-dropping-particle" : "", "parse-names" : false, "suffix" : "" }, { "dropping-particle" : "", "family" : "Edlind", "given" : "Thomas", "non-dropping-particle" : "", "parse-names" : false, "suffix" : "" } ], "container-title" : "Microbiology", "id" : "ITEM-1", "issue" : "6", "issued" : { "date-parts" : [ [ "1997" ] ] }, "page" : "2003-2008", "title" : "\u00df-Tubulin genes and the basis for benzimidazole sensitivity of the opportunistic fungus Cryptococcus neoformans", "type" : "article-journal", "volume" : "143" }, "uris" : [ "http://www.mendeley.com/documents/?uuid=b9c1be54-f527-4182-9ff3-b9ce4e1ac1fa" ] } ], "mendeley" : { "formattedCitation" : "(14)", "plainTextFormattedCitation" : "(14)", "previouslyFormattedCitation" : "(14)" }, "properties" : { "noteIndex" : 0 }, "schema" : "https://github.com/citation-style-language/schema/raw/master/csl-citation.json" }</w:instrText>
      </w:r>
      <w:r w:rsidR="00846AB9">
        <w:rPr>
          <w:rFonts w:asciiTheme="majorHAnsi" w:hAnsiTheme="majorHAnsi" w:cs="Arial"/>
          <w:sz w:val="24"/>
          <w:szCs w:val="24"/>
          <w:lang w:val="en-US"/>
        </w:rPr>
        <w:fldChar w:fldCharType="separate"/>
      </w:r>
      <w:r w:rsidR="00846AB9" w:rsidRPr="00846AB9">
        <w:rPr>
          <w:rFonts w:asciiTheme="majorHAnsi" w:hAnsiTheme="majorHAnsi" w:cs="Arial"/>
          <w:noProof/>
          <w:sz w:val="24"/>
          <w:szCs w:val="24"/>
          <w:lang w:val="en-US"/>
        </w:rPr>
        <w:t>(14)</w:t>
      </w:r>
      <w:r w:rsidR="00846AB9">
        <w:rPr>
          <w:rFonts w:asciiTheme="majorHAnsi" w:hAnsiTheme="majorHAnsi" w:cs="Arial"/>
          <w:sz w:val="24"/>
          <w:szCs w:val="24"/>
          <w:lang w:val="en-US"/>
        </w:rPr>
        <w:fldChar w:fldCharType="end"/>
      </w:r>
      <w:r w:rsidRPr="00876AB1">
        <w:rPr>
          <w:rFonts w:asciiTheme="majorHAnsi" w:hAnsiTheme="majorHAnsi" w:cs="Arial"/>
          <w:sz w:val="24"/>
          <w:szCs w:val="24"/>
          <w:lang w:val="en-US"/>
        </w:rPr>
        <w:t xml:space="preserve"> was undertaken using the </w:t>
      </w:r>
      <w:proofErr w:type="spellStart"/>
      <w:r w:rsidRPr="00876AB1">
        <w:rPr>
          <w:rFonts w:asciiTheme="majorHAnsi" w:hAnsiTheme="majorHAnsi" w:cs="Arial"/>
          <w:sz w:val="24"/>
          <w:szCs w:val="24"/>
          <w:lang w:val="en-US"/>
        </w:rPr>
        <w:t>Bos</w:t>
      </w:r>
      <w:proofErr w:type="spellEnd"/>
      <w:r w:rsidRPr="00876AB1">
        <w:rPr>
          <w:rFonts w:asciiTheme="majorHAnsi" w:hAnsiTheme="majorHAnsi" w:cs="Arial"/>
          <w:sz w:val="24"/>
          <w:szCs w:val="24"/>
          <w:lang w:val="en-US"/>
        </w:rPr>
        <w:t xml:space="preserve"> Taurus 1SA0 β-tubulin crystal structure (identity: 364/447 (81.4%); similarity: 405/447 (90.6%)). </w:t>
      </w:r>
    </w:p>
    <w:p w14:paraId="3A12012F" w14:textId="160D8D97" w:rsidR="003B2CE2" w:rsidRPr="00876AB1" w:rsidRDefault="003B2CE2" w:rsidP="00EB3D34">
      <w:pPr>
        <w:spacing w:after="120" w:line="480" w:lineRule="auto"/>
        <w:ind w:firstLine="720"/>
        <w:rPr>
          <w:rFonts w:asciiTheme="majorHAnsi" w:hAnsiTheme="majorHAnsi"/>
          <w:sz w:val="24"/>
          <w:szCs w:val="24"/>
          <w:lang w:val="en-US"/>
        </w:rPr>
      </w:pPr>
      <w:r>
        <w:rPr>
          <w:rFonts w:asciiTheme="majorHAnsi" w:hAnsiTheme="majorHAnsi"/>
          <w:sz w:val="24"/>
          <w:szCs w:val="24"/>
          <w:lang w:val="en-US"/>
        </w:rPr>
        <w:lastRenderedPageBreak/>
        <w:t xml:space="preserve">Virtual flubendazole </w:t>
      </w:r>
      <w:r w:rsidRPr="00876AB1">
        <w:rPr>
          <w:rFonts w:asciiTheme="majorHAnsi" w:hAnsiTheme="majorHAnsi"/>
          <w:sz w:val="24"/>
          <w:szCs w:val="24"/>
          <w:lang w:val="en-US"/>
        </w:rPr>
        <w:t>w</w:t>
      </w:r>
      <w:r>
        <w:rPr>
          <w:rFonts w:asciiTheme="majorHAnsi" w:hAnsiTheme="majorHAnsi"/>
          <w:sz w:val="24"/>
          <w:szCs w:val="24"/>
          <w:lang w:val="en-US"/>
        </w:rPr>
        <w:t>as</w:t>
      </w:r>
      <w:r w:rsidRPr="00876AB1">
        <w:rPr>
          <w:rFonts w:asciiTheme="majorHAnsi" w:hAnsiTheme="majorHAnsi"/>
          <w:sz w:val="24"/>
          <w:szCs w:val="24"/>
          <w:lang w:val="en-US"/>
        </w:rPr>
        <w:t xml:space="preserve"> built in</w:t>
      </w:r>
      <w:r>
        <w:rPr>
          <w:rFonts w:asciiTheme="majorHAnsi" w:hAnsiTheme="majorHAnsi"/>
          <w:sz w:val="24"/>
          <w:szCs w:val="24"/>
          <w:lang w:val="en-US"/>
        </w:rPr>
        <w:t xml:space="preserve"> the molecular modelling software</w:t>
      </w:r>
      <w:r w:rsidRPr="00876AB1">
        <w:rPr>
          <w:rFonts w:asciiTheme="majorHAnsi" w:hAnsiTheme="majorHAnsi"/>
          <w:sz w:val="24"/>
          <w:szCs w:val="24"/>
          <w:lang w:val="en-US"/>
        </w:rPr>
        <w:t xml:space="preserve"> Spartan </w:t>
      </w:r>
      <w:r w:rsidR="00E95A7A">
        <w:rPr>
          <w:rFonts w:asciiTheme="majorHAnsi" w:hAnsiTheme="majorHAnsi"/>
          <w:sz w:val="24"/>
          <w:szCs w:val="24"/>
          <w:lang w:val="en-US"/>
        </w:rPr>
        <w:t>(</w:t>
      </w:r>
      <w:proofErr w:type="spellStart"/>
      <w:r w:rsidR="00E95A7A">
        <w:rPr>
          <w:rFonts w:asciiTheme="majorHAnsi" w:hAnsiTheme="majorHAnsi"/>
          <w:sz w:val="24"/>
          <w:szCs w:val="24"/>
          <w:lang w:val="en-US"/>
        </w:rPr>
        <w:t>Wavefunction</w:t>
      </w:r>
      <w:proofErr w:type="spellEnd"/>
      <w:r w:rsidR="00E95A7A">
        <w:rPr>
          <w:rFonts w:asciiTheme="majorHAnsi" w:hAnsiTheme="majorHAnsi"/>
          <w:sz w:val="24"/>
          <w:szCs w:val="24"/>
          <w:lang w:val="en-US"/>
        </w:rPr>
        <w:t xml:space="preserve"> Inc., Irvine, USA) </w:t>
      </w:r>
      <w:r w:rsidRPr="00876AB1">
        <w:rPr>
          <w:rFonts w:asciiTheme="majorHAnsi" w:hAnsiTheme="majorHAnsi"/>
          <w:sz w:val="24"/>
          <w:szCs w:val="24"/>
          <w:lang w:val="en-US"/>
        </w:rPr>
        <w:t xml:space="preserve">and energy </w:t>
      </w:r>
      <w:r>
        <w:rPr>
          <w:rFonts w:asciiTheme="majorHAnsi" w:hAnsiTheme="majorHAnsi"/>
          <w:sz w:val="24"/>
          <w:szCs w:val="24"/>
          <w:lang w:val="en-US"/>
        </w:rPr>
        <w:t>minimized</w:t>
      </w:r>
      <w:r w:rsidRPr="00876AB1">
        <w:rPr>
          <w:rFonts w:asciiTheme="majorHAnsi" w:hAnsiTheme="majorHAnsi"/>
          <w:sz w:val="24"/>
          <w:szCs w:val="24"/>
          <w:lang w:val="en-US"/>
        </w:rPr>
        <w:t xml:space="preserve">. </w:t>
      </w:r>
      <w:r>
        <w:rPr>
          <w:rFonts w:asciiTheme="majorHAnsi" w:hAnsiTheme="majorHAnsi"/>
          <w:sz w:val="24"/>
          <w:szCs w:val="24"/>
          <w:lang w:val="en-US"/>
        </w:rPr>
        <w:t xml:space="preserve"> Flubendazole was</w:t>
      </w:r>
      <w:r w:rsidRPr="00876AB1">
        <w:rPr>
          <w:rFonts w:asciiTheme="majorHAnsi" w:hAnsiTheme="majorHAnsi"/>
          <w:sz w:val="24"/>
          <w:szCs w:val="24"/>
          <w:lang w:val="en-US"/>
        </w:rPr>
        <w:t xml:space="preserve"> then subjected to a </w:t>
      </w:r>
      <w:r w:rsidR="00E60AD5">
        <w:rPr>
          <w:rFonts w:asciiTheme="majorHAnsi" w:hAnsiTheme="majorHAnsi"/>
          <w:sz w:val="24"/>
          <w:szCs w:val="24"/>
          <w:lang w:val="en-US"/>
        </w:rPr>
        <w:t>piecewise linear p</w:t>
      </w:r>
      <w:r w:rsidR="00E95A7A" w:rsidRPr="00E95A7A">
        <w:rPr>
          <w:rFonts w:asciiTheme="majorHAnsi" w:hAnsiTheme="majorHAnsi"/>
          <w:sz w:val="24"/>
          <w:szCs w:val="24"/>
          <w:lang w:val="en-US"/>
        </w:rPr>
        <w:t>otential</w:t>
      </w:r>
      <w:r w:rsidR="00E95A7A" w:rsidRPr="00E95A7A" w:rsidDel="00E95A7A">
        <w:rPr>
          <w:rFonts w:asciiTheme="majorHAnsi" w:hAnsiTheme="majorHAnsi"/>
          <w:sz w:val="24"/>
          <w:szCs w:val="24"/>
          <w:lang w:val="en-US"/>
        </w:rPr>
        <w:t xml:space="preserve"> </w:t>
      </w:r>
      <w:r>
        <w:rPr>
          <w:rFonts w:asciiTheme="majorHAnsi" w:hAnsiTheme="majorHAnsi"/>
          <w:sz w:val="24"/>
          <w:szCs w:val="24"/>
          <w:lang w:val="en-US"/>
        </w:rPr>
        <w:t>(</w:t>
      </w:r>
      <w:proofErr w:type="spellStart"/>
      <w:r w:rsidRPr="00876AB1">
        <w:rPr>
          <w:rFonts w:asciiTheme="majorHAnsi" w:hAnsiTheme="majorHAnsi"/>
          <w:sz w:val="24"/>
          <w:szCs w:val="24"/>
          <w:lang w:val="en-US"/>
        </w:rPr>
        <w:t>C</w:t>
      </w:r>
      <w:r w:rsidR="00E60AD5">
        <w:rPr>
          <w:rFonts w:asciiTheme="majorHAnsi" w:hAnsiTheme="majorHAnsi"/>
          <w:sz w:val="24"/>
          <w:szCs w:val="24"/>
          <w:lang w:val="en-US"/>
        </w:rPr>
        <w:t>hem</w:t>
      </w:r>
      <w:r w:rsidRPr="00876AB1">
        <w:rPr>
          <w:rFonts w:asciiTheme="majorHAnsi" w:hAnsiTheme="majorHAnsi"/>
          <w:sz w:val="24"/>
          <w:szCs w:val="24"/>
          <w:lang w:val="en-US"/>
        </w:rPr>
        <w:t>PLP</w:t>
      </w:r>
      <w:proofErr w:type="spellEnd"/>
      <w:r>
        <w:rPr>
          <w:rFonts w:asciiTheme="majorHAnsi" w:hAnsiTheme="majorHAnsi"/>
          <w:sz w:val="24"/>
          <w:szCs w:val="24"/>
          <w:lang w:val="en-US"/>
        </w:rPr>
        <w:t>)</w:t>
      </w:r>
      <w:r w:rsidRPr="00876AB1">
        <w:rPr>
          <w:rFonts w:asciiTheme="majorHAnsi" w:hAnsiTheme="majorHAnsi"/>
          <w:sz w:val="24"/>
          <w:szCs w:val="24"/>
          <w:lang w:val="en-US"/>
        </w:rPr>
        <w:t xml:space="preserve"> docking protocol</w:t>
      </w:r>
      <w:r>
        <w:rPr>
          <w:rFonts w:asciiTheme="majorHAnsi" w:hAnsiTheme="majorHAnsi"/>
          <w:sz w:val="24"/>
          <w:szCs w:val="24"/>
          <w:lang w:val="en-US"/>
        </w:rPr>
        <w:t xml:space="preserve"> (a scoring function to provide confidence in the docking pose adopted by the molecule)</w:t>
      </w:r>
      <w:r w:rsidRPr="00876AB1">
        <w:rPr>
          <w:rFonts w:asciiTheme="majorHAnsi" w:hAnsiTheme="majorHAnsi"/>
          <w:sz w:val="24"/>
          <w:szCs w:val="24"/>
          <w:lang w:val="en-US"/>
        </w:rPr>
        <w:t xml:space="preserve">, consisting of 10 </w:t>
      </w:r>
      <w:r>
        <w:rPr>
          <w:rFonts w:asciiTheme="majorHAnsi" w:hAnsiTheme="majorHAnsi"/>
          <w:sz w:val="24"/>
          <w:szCs w:val="24"/>
          <w:lang w:val="en-US"/>
        </w:rPr>
        <w:t>genetic algorithm (GA)</w:t>
      </w:r>
      <w:r w:rsidRPr="00876AB1">
        <w:rPr>
          <w:rFonts w:asciiTheme="majorHAnsi" w:hAnsiTheme="majorHAnsi"/>
          <w:sz w:val="24"/>
          <w:szCs w:val="24"/>
          <w:lang w:val="en-US"/>
        </w:rPr>
        <w:t xml:space="preserve"> runs before visualization using</w:t>
      </w:r>
      <w:r>
        <w:rPr>
          <w:rFonts w:asciiTheme="majorHAnsi" w:hAnsiTheme="majorHAnsi"/>
          <w:sz w:val="24"/>
          <w:szCs w:val="24"/>
          <w:lang w:val="en-US"/>
        </w:rPr>
        <w:t xml:space="preserve"> the </w:t>
      </w:r>
      <w:r w:rsidRPr="00D30254">
        <w:rPr>
          <w:rFonts w:asciiTheme="majorHAnsi" w:hAnsiTheme="majorHAnsi"/>
          <w:sz w:val="24"/>
          <w:szCs w:val="24"/>
          <w:lang w:val="en-US"/>
        </w:rPr>
        <w:t>molecular visuali</w:t>
      </w:r>
      <w:r>
        <w:rPr>
          <w:rFonts w:asciiTheme="majorHAnsi" w:hAnsiTheme="majorHAnsi"/>
          <w:sz w:val="24"/>
          <w:szCs w:val="24"/>
          <w:lang w:val="en-US"/>
        </w:rPr>
        <w:t>z</w:t>
      </w:r>
      <w:r w:rsidRPr="00D30254">
        <w:rPr>
          <w:rFonts w:asciiTheme="majorHAnsi" w:hAnsiTheme="majorHAnsi"/>
          <w:sz w:val="24"/>
          <w:szCs w:val="24"/>
          <w:lang w:val="en-US"/>
        </w:rPr>
        <w:t>ation system</w:t>
      </w:r>
      <w:r w:rsidRPr="00876AB1">
        <w:rPr>
          <w:rFonts w:asciiTheme="majorHAnsi" w:hAnsiTheme="majorHAnsi"/>
          <w:sz w:val="24"/>
          <w:szCs w:val="24"/>
          <w:lang w:val="en-US"/>
        </w:rPr>
        <w:t xml:space="preserve"> </w:t>
      </w:r>
      <w:proofErr w:type="spellStart"/>
      <w:r w:rsidRPr="00876AB1">
        <w:rPr>
          <w:rFonts w:asciiTheme="majorHAnsi" w:hAnsiTheme="majorHAnsi"/>
          <w:sz w:val="24"/>
          <w:szCs w:val="24"/>
          <w:lang w:val="en-US"/>
        </w:rPr>
        <w:t>PyMOL</w:t>
      </w:r>
      <w:proofErr w:type="spellEnd"/>
      <w:r w:rsidR="006354DC">
        <w:rPr>
          <w:rFonts w:asciiTheme="majorHAnsi" w:hAnsiTheme="majorHAnsi"/>
          <w:sz w:val="24"/>
          <w:szCs w:val="24"/>
          <w:lang w:val="en-US"/>
        </w:rPr>
        <w:t xml:space="preserve"> with the top scoring compound depicted in Figure 1</w:t>
      </w:r>
      <w:r w:rsidRPr="00876AB1">
        <w:rPr>
          <w:rFonts w:asciiTheme="majorHAnsi" w:hAnsiTheme="majorHAnsi"/>
          <w:sz w:val="24"/>
          <w:szCs w:val="24"/>
          <w:lang w:val="en-US"/>
        </w:rPr>
        <w:t xml:space="preserve">. The active site </w:t>
      </w:r>
      <w:r>
        <w:rPr>
          <w:rFonts w:asciiTheme="majorHAnsi" w:hAnsiTheme="majorHAnsi"/>
          <w:sz w:val="24"/>
          <w:szCs w:val="24"/>
          <w:lang w:val="en-US"/>
        </w:rPr>
        <w:t xml:space="preserve">binding interactions </w:t>
      </w:r>
      <w:r w:rsidRPr="00876AB1">
        <w:rPr>
          <w:rFonts w:asciiTheme="majorHAnsi" w:hAnsiTheme="majorHAnsi"/>
          <w:sz w:val="24"/>
          <w:szCs w:val="24"/>
          <w:lang w:val="en-US"/>
        </w:rPr>
        <w:t>w</w:t>
      </w:r>
      <w:r>
        <w:rPr>
          <w:rFonts w:asciiTheme="majorHAnsi" w:hAnsiTheme="majorHAnsi"/>
          <w:sz w:val="24"/>
          <w:szCs w:val="24"/>
          <w:lang w:val="en-US"/>
        </w:rPr>
        <w:t>ere</w:t>
      </w:r>
      <w:r w:rsidRPr="00876AB1">
        <w:rPr>
          <w:rFonts w:asciiTheme="majorHAnsi" w:hAnsiTheme="majorHAnsi"/>
          <w:sz w:val="24"/>
          <w:szCs w:val="24"/>
          <w:lang w:val="en-US"/>
        </w:rPr>
        <w:t xml:space="preserve"> selected by identifying those amino acid residues within 4Å of flubendazole </w:t>
      </w:r>
      <w:r>
        <w:rPr>
          <w:rFonts w:asciiTheme="majorHAnsi" w:hAnsiTheme="majorHAnsi"/>
          <w:sz w:val="24"/>
          <w:szCs w:val="24"/>
          <w:lang w:val="en-US"/>
        </w:rPr>
        <w:t xml:space="preserve">when </w:t>
      </w:r>
      <w:r w:rsidRPr="00876AB1">
        <w:rPr>
          <w:rFonts w:asciiTheme="majorHAnsi" w:hAnsiTheme="majorHAnsi"/>
          <w:sz w:val="24"/>
          <w:szCs w:val="24"/>
          <w:lang w:val="en-US"/>
        </w:rPr>
        <w:t xml:space="preserve">docked into the </w:t>
      </w:r>
      <w:r>
        <w:rPr>
          <w:rFonts w:asciiTheme="majorHAnsi" w:hAnsiTheme="majorHAnsi"/>
          <w:sz w:val="24"/>
          <w:szCs w:val="24"/>
          <w:lang w:val="en-US"/>
        </w:rPr>
        <w:t xml:space="preserve">β- tubulin </w:t>
      </w:r>
      <w:r w:rsidRPr="00876AB1">
        <w:rPr>
          <w:rFonts w:asciiTheme="majorHAnsi" w:hAnsiTheme="majorHAnsi"/>
          <w:sz w:val="24"/>
          <w:szCs w:val="24"/>
          <w:lang w:val="en-US"/>
        </w:rPr>
        <w:t xml:space="preserve">binding site.  Polar contacts between flubendazole and the surrounding amino acids were identified, which aided in the identification of hydrogen bonding interactions </w:t>
      </w:r>
      <w:r>
        <w:rPr>
          <w:rFonts w:asciiTheme="majorHAnsi" w:hAnsiTheme="majorHAnsi"/>
          <w:sz w:val="24"/>
          <w:szCs w:val="24"/>
          <w:lang w:val="en-US"/>
        </w:rPr>
        <w:t xml:space="preserve">that are key in determining the efficacy of a drug against its pharmacological target. </w:t>
      </w:r>
    </w:p>
    <w:p w14:paraId="5FC44343" w14:textId="212CDE19" w:rsidR="003B2CE2" w:rsidRDefault="003B2CE2" w:rsidP="006354DC">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Finally, hydrogen bond donor interactions, as well as hydrophobic interactions were identified using</w:t>
      </w:r>
      <w:r>
        <w:rPr>
          <w:rFonts w:asciiTheme="majorHAnsi" w:hAnsiTheme="majorHAnsi"/>
          <w:sz w:val="24"/>
          <w:szCs w:val="24"/>
          <w:lang w:val="en-US"/>
        </w:rPr>
        <w:t xml:space="preserve"> the pharmacophore (i.e. </w:t>
      </w:r>
      <w:r w:rsidRPr="005F3842">
        <w:rPr>
          <w:rFonts w:asciiTheme="majorHAnsi" w:hAnsiTheme="majorHAnsi"/>
          <w:sz w:val="24"/>
          <w:szCs w:val="24"/>
          <w:lang w:val="en-US"/>
        </w:rPr>
        <w:t>an abstract description of molecular features that</w:t>
      </w:r>
      <w:r>
        <w:rPr>
          <w:rFonts w:asciiTheme="majorHAnsi" w:hAnsiTheme="majorHAnsi"/>
          <w:sz w:val="24"/>
          <w:szCs w:val="24"/>
          <w:lang w:val="en-US"/>
        </w:rPr>
        <w:t xml:space="preserve"> in this case</w:t>
      </w:r>
      <w:r w:rsidRPr="005F3842">
        <w:rPr>
          <w:rFonts w:asciiTheme="majorHAnsi" w:hAnsiTheme="majorHAnsi"/>
          <w:sz w:val="24"/>
          <w:szCs w:val="24"/>
          <w:lang w:val="en-US"/>
        </w:rPr>
        <w:t xml:space="preserve"> are necessary for mo</w:t>
      </w:r>
      <w:r>
        <w:rPr>
          <w:rFonts w:asciiTheme="majorHAnsi" w:hAnsiTheme="majorHAnsi"/>
          <w:sz w:val="24"/>
          <w:szCs w:val="24"/>
          <w:lang w:val="en-US"/>
        </w:rPr>
        <w:t>lecular recognition of flubendazole by β-tubulin) search software</w:t>
      </w:r>
      <w:r w:rsidRPr="00876AB1">
        <w:rPr>
          <w:rFonts w:asciiTheme="majorHAnsi" w:hAnsiTheme="majorHAnsi"/>
          <w:sz w:val="24"/>
          <w:szCs w:val="24"/>
          <w:lang w:val="en-US"/>
        </w:rPr>
        <w:t xml:space="preserve"> Zinc </w:t>
      </w:r>
      <w:proofErr w:type="spellStart"/>
      <w:r w:rsidRPr="00876AB1">
        <w:rPr>
          <w:rFonts w:asciiTheme="majorHAnsi" w:hAnsiTheme="majorHAnsi"/>
          <w:sz w:val="24"/>
          <w:szCs w:val="24"/>
          <w:lang w:val="en-US"/>
        </w:rPr>
        <w:t>Pharmer</w:t>
      </w:r>
      <w:proofErr w:type="spellEnd"/>
      <w:r w:rsidRPr="00876AB1">
        <w:rPr>
          <w:rFonts w:asciiTheme="majorHAnsi" w:hAnsiTheme="majorHAnsi"/>
          <w:sz w:val="24"/>
          <w:szCs w:val="24"/>
          <w:lang w:val="en-US"/>
        </w:rPr>
        <w:t xml:space="preserve"> </w:t>
      </w:r>
      <w:r w:rsidR="006354DC">
        <w:rPr>
          <w:rFonts w:asciiTheme="majorHAnsi" w:hAnsiTheme="majorHAnsi"/>
          <w:sz w:val="24"/>
          <w:szCs w:val="24"/>
          <w:lang w:val="en-US"/>
        </w:rPr>
        <w:t>(</w:t>
      </w:r>
      <w:hyperlink r:id="rId9" w:history="1">
        <w:r w:rsidR="006354DC" w:rsidRPr="006354DC">
          <w:rPr>
            <w:rStyle w:val="Hyperlink"/>
            <w:rFonts w:asciiTheme="majorHAnsi" w:hAnsiTheme="majorHAnsi"/>
            <w:sz w:val="24"/>
            <w:szCs w:val="24"/>
          </w:rPr>
          <w:t>https://academic.oup.com/nar/article-lookup/doi/10.1093/nar/gks378</w:t>
        </w:r>
      </w:hyperlink>
      <w:r w:rsidR="006354DC">
        <w:rPr>
          <w:rFonts w:asciiTheme="majorHAnsi" w:hAnsiTheme="majorHAnsi"/>
          <w:sz w:val="24"/>
          <w:szCs w:val="24"/>
        </w:rPr>
        <w:t xml:space="preserve">) </w:t>
      </w:r>
      <w:r w:rsidRPr="00876AB1">
        <w:rPr>
          <w:rFonts w:asciiTheme="majorHAnsi" w:hAnsiTheme="majorHAnsi"/>
          <w:sz w:val="24"/>
          <w:szCs w:val="24"/>
          <w:lang w:val="en-US"/>
        </w:rPr>
        <w:t xml:space="preserve">at </w:t>
      </w:r>
      <w:r w:rsidR="006C1653" w:rsidRPr="00876AB1">
        <w:rPr>
          <w:rFonts w:asciiTheme="majorHAnsi" w:hAnsiTheme="majorHAnsi"/>
          <w:sz w:val="24"/>
          <w:szCs w:val="24"/>
          <w:lang w:val="en-US"/>
        </w:rPr>
        <w:t>4Å</w:t>
      </w:r>
      <w:r w:rsidRPr="00876AB1">
        <w:rPr>
          <w:rFonts w:asciiTheme="majorHAnsi" w:hAnsiTheme="majorHAnsi"/>
          <w:sz w:val="24"/>
          <w:szCs w:val="24"/>
          <w:lang w:val="en-US"/>
        </w:rPr>
        <w:t xml:space="preserve"> for hydrogen bonding interactions and 6Å for hydrophobic interactions. </w:t>
      </w:r>
    </w:p>
    <w:p w14:paraId="2F9E6D33" w14:textId="77777777" w:rsidR="00525CC5" w:rsidRPr="004E1625" w:rsidRDefault="00525CC5" w:rsidP="006354DC">
      <w:pPr>
        <w:spacing w:after="120" w:line="480" w:lineRule="auto"/>
        <w:ind w:firstLine="720"/>
        <w:rPr>
          <w:rFonts w:asciiTheme="majorHAnsi" w:hAnsiTheme="majorHAnsi"/>
          <w:sz w:val="24"/>
          <w:szCs w:val="24"/>
        </w:rPr>
      </w:pPr>
    </w:p>
    <w:p w14:paraId="6C1F81A1" w14:textId="562B3D4A" w:rsidR="003B2CE2" w:rsidRPr="00876AB1" w:rsidRDefault="003B2CE2" w:rsidP="00EB3D34">
      <w:pPr>
        <w:spacing w:after="120" w:line="480" w:lineRule="auto"/>
        <w:outlineLvl w:val="0"/>
        <w:rPr>
          <w:rFonts w:asciiTheme="majorHAnsi" w:hAnsiTheme="majorHAnsi"/>
          <w:b/>
          <w:i/>
          <w:sz w:val="24"/>
          <w:szCs w:val="24"/>
          <w:lang w:val="en-US"/>
        </w:rPr>
      </w:pPr>
      <w:r w:rsidRPr="00876AB1">
        <w:rPr>
          <w:rFonts w:asciiTheme="majorHAnsi" w:hAnsiTheme="majorHAnsi"/>
          <w:b/>
          <w:i/>
          <w:sz w:val="24"/>
          <w:szCs w:val="24"/>
          <w:lang w:val="en-US"/>
        </w:rPr>
        <w:t>Hollow Fib</w:t>
      </w:r>
      <w:r w:rsidR="003518CB">
        <w:rPr>
          <w:rFonts w:asciiTheme="majorHAnsi" w:hAnsiTheme="majorHAnsi"/>
          <w:b/>
          <w:i/>
          <w:sz w:val="24"/>
          <w:szCs w:val="24"/>
          <w:lang w:val="en-US"/>
        </w:rPr>
        <w:t>er</w:t>
      </w:r>
      <w:r w:rsidRPr="00876AB1">
        <w:rPr>
          <w:rFonts w:asciiTheme="majorHAnsi" w:hAnsiTheme="majorHAnsi"/>
          <w:b/>
          <w:i/>
          <w:sz w:val="24"/>
          <w:szCs w:val="24"/>
          <w:lang w:val="en-US"/>
        </w:rPr>
        <w:t xml:space="preserve"> Model of Cryptococcal Meningoencephalitis</w:t>
      </w:r>
    </w:p>
    <w:p w14:paraId="0FBCF8D3" w14:textId="033C54B4" w:rsidR="003B2CE2" w:rsidRPr="00876AB1" w:rsidRDefault="003B2CE2"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A new hollow fiber infection model (HFIM) was developed to investigate the </w:t>
      </w:r>
      <w:r w:rsidRPr="00876AB1">
        <w:rPr>
          <w:rFonts w:asciiTheme="majorHAnsi" w:hAnsiTheme="majorHAnsi"/>
          <w:i/>
          <w:sz w:val="24"/>
          <w:szCs w:val="24"/>
          <w:lang w:val="en-US"/>
        </w:rPr>
        <w:t>in vitro</w:t>
      </w:r>
      <w:r w:rsidRPr="00876AB1">
        <w:rPr>
          <w:rFonts w:asciiTheme="majorHAnsi" w:hAnsiTheme="majorHAnsi"/>
          <w:sz w:val="24"/>
          <w:szCs w:val="24"/>
          <w:lang w:val="en-US"/>
        </w:rPr>
        <w:t xml:space="preserve"> pharmacodynamics of flubendazole against </w:t>
      </w:r>
      <w:r w:rsidRPr="00876AB1">
        <w:rPr>
          <w:rFonts w:asciiTheme="majorHAnsi" w:hAnsiTheme="majorHAnsi"/>
          <w:i/>
          <w:sz w:val="24"/>
          <w:szCs w:val="24"/>
          <w:lang w:val="en-US"/>
        </w:rPr>
        <w:t>C. neoformans</w:t>
      </w:r>
      <w:r w:rsidRPr="00876AB1">
        <w:rPr>
          <w:rFonts w:asciiTheme="majorHAnsi" w:hAnsiTheme="majorHAnsi"/>
          <w:sz w:val="24"/>
          <w:szCs w:val="24"/>
          <w:lang w:val="en-US"/>
        </w:rPr>
        <w:t>.</w:t>
      </w:r>
      <w:r w:rsidR="00FB6F27">
        <w:rPr>
          <w:rFonts w:asciiTheme="majorHAnsi" w:hAnsiTheme="majorHAnsi"/>
          <w:sz w:val="24"/>
          <w:szCs w:val="24"/>
          <w:lang w:val="en-US"/>
        </w:rPr>
        <w:t xml:space="preserve"> </w:t>
      </w:r>
      <w:r w:rsidRPr="00876AB1">
        <w:rPr>
          <w:rFonts w:asciiTheme="majorHAnsi" w:hAnsiTheme="majorHAnsi"/>
          <w:sz w:val="24"/>
          <w:szCs w:val="24"/>
          <w:lang w:val="en-US"/>
        </w:rPr>
        <w:t xml:space="preserve"> The same cartridges (</w:t>
      </w:r>
      <w:proofErr w:type="spellStart"/>
      <w:r w:rsidRPr="00876AB1">
        <w:rPr>
          <w:rFonts w:asciiTheme="majorHAnsi" w:hAnsiTheme="majorHAnsi"/>
          <w:sz w:val="24"/>
          <w:szCs w:val="24"/>
          <w:lang w:val="en-US"/>
        </w:rPr>
        <w:t>FiberCell</w:t>
      </w:r>
      <w:proofErr w:type="spellEnd"/>
      <w:r w:rsidRPr="00876AB1">
        <w:rPr>
          <w:rFonts w:asciiTheme="majorHAnsi" w:hAnsiTheme="majorHAnsi"/>
          <w:sz w:val="24"/>
          <w:szCs w:val="24"/>
          <w:lang w:val="en-US"/>
        </w:rPr>
        <w:t xml:space="preserve"> Systems, Frederick, MD, USA) and configuration as previously described for bacterial pathogens was used</w:t>
      </w:r>
      <w:r w:rsidR="00FB6F27">
        <w:rPr>
          <w:rFonts w:asciiTheme="majorHAnsi" w:hAnsiTheme="majorHAnsi"/>
          <w:sz w:val="24"/>
          <w:szCs w:val="24"/>
          <w:lang w:val="en-US"/>
        </w:rPr>
        <w:t xml:space="preserve"> (see for example </w:t>
      </w:r>
      <w:r w:rsidR="00FB6F27">
        <w:rPr>
          <w:rFonts w:asciiTheme="majorHAnsi" w:hAnsiTheme="majorHAnsi"/>
          <w:sz w:val="24"/>
          <w:szCs w:val="24"/>
          <w:lang w:val="en-US"/>
        </w:rPr>
        <w:fldChar w:fldCharType="begin" w:fldLock="1"/>
      </w:r>
      <w:r w:rsidR="005002A9">
        <w:rPr>
          <w:rFonts w:asciiTheme="majorHAnsi" w:hAnsiTheme="majorHAnsi"/>
          <w:sz w:val="24"/>
          <w:szCs w:val="24"/>
          <w:lang w:val="en-US"/>
        </w:rPr>
        <w:instrText>ADDIN CSL_CITATION { "citationItems" : [ { "id" : "ITEM-1", "itemData" : { "author" : [ { "dropping-particle" : "", "family" : "Docobo-P\u00e9rez", "given" : "F", "non-dropping-particle" : "", "parse-names" : false, "suffix" : "" }, { "dropping-particle" : "", "family" : "Drusano", "given" : "G L", "non-dropping-particle" : "", "parse-names" : false, "suffix" : "" }, { "dropping-particle" : "", "family" : "Johnson", "given" : "A", "non-dropping-particle" : "", "parse-names" : false, "suffix" : "" }, { "dropping-particle" : "", "family" : "Goodwin", "given" : "J", "non-dropping-particle" : "", "parse-names" : false, "suffix" : "" }, { "dropping-particle" : "", "family" : "Whalley", "given" : "S", "non-dropping-particle" : "", "parse-names" : false, "suffix" : "" }, { "dropping-particle" : "", "family" : "Ramos-Mart\u00edn", "given" : "V", "non-dropping-particle" : "", "parse-names" : false, "suffix" : "" }, { "dropping-particle" : "", "family" : "Ballestero-Tellez", "given" : "M", "non-dropping-particle" : "", "parse-names" : false, "suffix" : "" }, { "dropping-particle" : "", "family" : "Rodriguez-Martinez", "given" : "J M", "non-dropping-particle" : "", "parse-names" : false, "suffix" : "" }, { "dropping-particle" : "", "family" : "Conejo", "given" : "M C", "non-dropping-particle" : "", "parse-names" : false, "suffix" : "" }, { "dropping-particle" : "", "family" : "Guilder", "given" : "M", "non-dropping-particle" : "Van", "parse-names" : false, "suffix" : "" }, { "dropping-particle" : "", "family" : "Rodr\u00edguez-Ba\u00f1o", "given" : "J", "non-dropping-particle" : "", "parse-names" : false, "suffix" : "" }, { "dropping-particle" : "", "family" : "Pascual", "given" : "A", "non-dropping-particle" : "", "parse-names" : false, "suffix" : "" }, { "dropping-particle" : "", "family" : "Hope", "given" : "W W", "non-dropping-particle" : "", "parse-names" : false, "suffix" : "" } ], "container-title" : "Antimicrobial Agents and Chemotherapy", "id" : "ITEM-1", "issue" : "9", "issued" : { "date-parts" : [ [ "2015" ] ] }, "page" : "5602-5610", "title" : "Pharmacodynamics of fosfomycin: Insights into clinical use for antimicrobial resistance", "type" : "article-journal", "volume" : "59" }, "uris" : [ "http://www.mendeley.com/documents/?uuid=bb33a236-9158-485e-84d2-bcec11e24631", "http://www.mendeley.com/documents/?uuid=9835be1c-0f89-41ed-bbff-f2edfd04a682" ] } ], "mendeley" : { "formattedCitation" : "(30)", "plainTextFormattedCitation" : "(30)", "previouslyFormattedCitation" : "(30)" }, "properties" : { "noteIndex" : 0 }, "schema" : "https://github.com/citation-style-language/schema/raw/master/csl-citation.json" }</w:instrText>
      </w:r>
      <w:r w:rsidR="00FB6F27">
        <w:rPr>
          <w:rFonts w:asciiTheme="majorHAnsi" w:hAnsiTheme="majorHAnsi"/>
          <w:sz w:val="24"/>
          <w:szCs w:val="24"/>
          <w:lang w:val="en-US"/>
        </w:rPr>
        <w:fldChar w:fldCharType="separate"/>
      </w:r>
      <w:r w:rsidR="005002A9" w:rsidRPr="005002A9">
        <w:rPr>
          <w:rFonts w:asciiTheme="majorHAnsi" w:hAnsiTheme="majorHAnsi"/>
          <w:noProof/>
          <w:sz w:val="24"/>
          <w:szCs w:val="24"/>
          <w:lang w:val="en-US"/>
        </w:rPr>
        <w:t>(30)</w:t>
      </w:r>
      <w:r w:rsidR="00FB6F27">
        <w:rPr>
          <w:rFonts w:asciiTheme="majorHAnsi" w:hAnsiTheme="majorHAnsi"/>
          <w:sz w:val="24"/>
          <w:szCs w:val="24"/>
          <w:lang w:val="en-US"/>
        </w:rPr>
        <w:fldChar w:fldCharType="end"/>
      </w:r>
      <w:r w:rsidR="00FB6F27">
        <w:rPr>
          <w:rFonts w:asciiTheme="majorHAnsi" w:hAnsiTheme="majorHAnsi"/>
          <w:sz w:val="24"/>
          <w:szCs w:val="24"/>
          <w:lang w:val="en-US"/>
        </w:rPr>
        <w:t>)</w:t>
      </w:r>
      <w:r w:rsidRPr="00876AB1">
        <w:rPr>
          <w:rFonts w:asciiTheme="majorHAnsi" w:hAnsiTheme="majorHAnsi"/>
          <w:sz w:val="24"/>
          <w:szCs w:val="24"/>
          <w:lang w:val="en-US"/>
        </w:rPr>
        <w:t xml:space="preserve">.  </w:t>
      </w:r>
      <w:r w:rsidRPr="00922D17">
        <w:rPr>
          <w:rFonts w:asciiTheme="majorHAnsi" w:hAnsiTheme="majorHAnsi"/>
          <w:sz w:val="24"/>
          <w:szCs w:val="24"/>
          <w:lang w:val="en-US"/>
        </w:rPr>
        <w:t>The extra-capillary space of each cartridge</w:t>
      </w:r>
      <w:r w:rsidR="00633167">
        <w:rPr>
          <w:rFonts w:asciiTheme="majorHAnsi" w:hAnsiTheme="majorHAnsi"/>
          <w:sz w:val="24"/>
          <w:szCs w:val="24"/>
          <w:lang w:val="en-US"/>
        </w:rPr>
        <w:t xml:space="preserve"> was inoculated with </w:t>
      </w:r>
      <w:r w:rsidR="00633167">
        <w:rPr>
          <w:rFonts w:asciiTheme="majorHAnsi" w:hAnsiTheme="majorHAnsi"/>
          <w:sz w:val="24"/>
          <w:szCs w:val="24"/>
          <w:lang w:val="en-US"/>
        </w:rPr>
        <w:lastRenderedPageBreak/>
        <w:t>40 mL of a</w:t>
      </w:r>
      <w:r w:rsidRPr="00922D17">
        <w:rPr>
          <w:rFonts w:asciiTheme="majorHAnsi" w:hAnsiTheme="majorHAnsi"/>
          <w:sz w:val="24"/>
          <w:szCs w:val="24"/>
          <w:lang w:val="en-US"/>
        </w:rPr>
        <w:t xml:space="preserve"> suspension containing </w:t>
      </w:r>
      <w:r>
        <w:rPr>
          <w:rFonts w:asciiTheme="majorHAnsi" w:hAnsiTheme="majorHAnsi"/>
          <w:sz w:val="24"/>
          <w:szCs w:val="24"/>
          <w:lang w:val="en-US"/>
        </w:rPr>
        <w:t>l</w:t>
      </w:r>
      <w:r w:rsidRPr="00922D17">
        <w:rPr>
          <w:rFonts w:asciiTheme="majorHAnsi" w:hAnsiTheme="majorHAnsi"/>
          <w:sz w:val="24"/>
          <w:szCs w:val="24"/>
          <w:lang w:val="en-US"/>
        </w:rPr>
        <w:t>og</w:t>
      </w:r>
      <w:r w:rsidRPr="00E762B4">
        <w:rPr>
          <w:rFonts w:asciiTheme="majorHAnsi" w:hAnsiTheme="majorHAnsi"/>
          <w:sz w:val="24"/>
          <w:szCs w:val="24"/>
          <w:vertAlign w:val="subscript"/>
          <w:lang w:val="en-US"/>
        </w:rPr>
        <w:t>10</w:t>
      </w:r>
      <w:r w:rsidRPr="00922D17">
        <w:rPr>
          <w:rFonts w:asciiTheme="majorHAnsi" w:hAnsiTheme="majorHAnsi"/>
          <w:sz w:val="24"/>
          <w:szCs w:val="24"/>
          <w:lang w:val="en-US"/>
        </w:rPr>
        <w:t xml:space="preserve">CFU/mL 6 of </w:t>
      </w:r>
      <w:r w:rsidRPr="00E762B4">
        <w:rPr>
          <w:rFonts w:asciiTheme="majorHAnsi" w:hAnsiTheme="majorHAnsi"/>
          <w:i/>
          <w:sz w:val="24"/>
          <w:szCs w:val="24"/>
          <w:lang w:val="en-US"/>
        </w:rPr>
        <w:t>C. neoformans</w:t>
      </w:r>
      <w:r w:rsidRPr="00922D17">
        <w:rPr>
          <w:rFonts w:asciiTheme="majorHAnsi" w:hAnsiTheme="majorHAnsi"/>
          <w:sz w:val="24"/>
          <w:szCs w:val="24"/>
          <w:lang w:val="en-US"/>
        </w:rPr>
        <w:t xml:space="preserve"> var. </w:t>
      </w:r>
      <w:proofErr w:type="spellStart"/>
      <w:r w:rsidRPr="00E762B4">
        <w:rPr>
          <w:rFonts w:asciiTheme="majorHAnsi" w:hAnsiTheme="majorHAnsi"/>
          <w:i/>
          <w:sz w:val="24"/>
          <w:szCs w:val="24"/>
          <w:lang w:val="en-US"/>
        </w:rPr>
        <w:t>grubii</w:t>
      </w:r>
      <w:proofErr w:type="spellEnd"/>
      <w:r w:rsidRPr="00922D17">
        <w:rPr>
          <w:rFonts w:asciiTheme="majorHAnsi" w:hAnsiTheme="majorHAnsi"/>
          <w:sz w:val="24"/>
          <w:szCs w:val="24"/>
          <w:lang w:val="en-US"/>
        </w:rPr>
        <w:t xml:space="preserve"> (ATCC 208821</w:t>
      </w:r>
      <w:r>
        <w:rPr>
          <w:rFonts w:asciiTheme="majorHAnsi" w:hAnsiTheme="majorHAnsi"/>
          <w:sz w:val="24"/>
          <w:szCs w:val="24"/>
          <w:lang w:val="en-US"/>
        </w:rPr>
        <w:t>;</w:t>
      </w:r>
      <w:r w:rsidRPr="00922D17">
        <w:rPr>
          <w:rFonts w:asciiTheme="majorHAnsi" w:hAnsiTheme="majorHAnsi"/>
          <w:sz w:val="24"/>
          <w:szCs w:val="24"/>
          <w:lang w:val="en-US"/>
        </w:rPr>
        <w:t xml:space="preserve"> H99).  </w:t>
      </w:r>
      <w:r w:rsidRPr="00876AB1">
        <w:rPr>
          <w:rFonts w:asciiTheme="majorHAnsi" w:hAnsiTheme="majorHAnsi"/>
          <w:sz w:val="24"/>
          <w:szCs w:val="24"/>
          <w:lang w:val="en-US"/>
        </w:rPr>
        <w:t>Yeast-extract-peptone-dextrose (YPD) medium was pumped from the central compartment through the cartridge and back again using a peristaltic pump (205 U; Watson-Marlow, United Kingdom).  The HFIM was incubated at 37</w:t>
      </w:r>
      <w:r w:rsidR="00FB6F27">
        <w:rPr>
          <w:rFonts w:ascii="Calibri Light" w:hAnsi="Calibri Light"/>
          <w:sz w:val="24"/>
          <w:szCs w:val="24"/>
          <w:lang w:val="en-US"/>
        </w:rPr>
        <w:t>°</w:t>
      </w:r>
      <w:r w:rsidRPr="00876AB1">
        <w:rPr>
          <w:rFonts w:asciiTheme="majorHAnsi" w:hAnsiTheme="majorHAnsi"/>
          <w:sz w:val="24"/>
          <w:szCs w:val="24"/>
          <w:lang w:val="en-US"/>
        </w:rPr>
        <w:t>C in ambient air.  The time-course of fungal growth was determined by removing 1 mL from the extra-capillary space of the cartridge and plating serial 10-fold dilutions to YPD agar.</w:t>
      </w:r>
    </w:p>
    <w:p w14:paraId="5FA26987" w14:textId="54B5F3EA" w:rsidR="003B2CE2" w:rsidRDefault="003B2CE2"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The relationship between flubendazole </w:t>
      </w:r>
      <w:r>
        <w:rPr>
          <w:rFonts w:asciiTheme="majorHAnsi" w:hAnsiTheme="majorHAnsi"/>
          <w:sz w:val="24"/>
          <w:szCs w:val="24"/>
          <w:lang w:val="en-US"/>
        </w:rPr>
        <w:t xml:space="preserve">drug </w:t>
      </w:r>
      <w:r w:rsidRPr="00876AB1">
        <w:rPr>
          <w:rFonts w:asciiTheme="majorHAnsi" w:hAnsiTheme="majorHAnsi"/>
          <w:sz w:val="24"/>
          <w:szCs w:val="24"/>
          <w:lang w:val="en-US"/>
        </w:rPr>
        <w:t xml:space="preserve">exposure and </w:t>
      </w:r>
      <w:r>
        <w:rPr>
          <w:rFonts w:asciiTheme="majorHAnsi" w:hAnsiTheme="majorHAnsi"/>
          <w:sz w:val="24"/>
          <w:szCs w:val="24"/>
          <w:lang w:val="en-US"/>
        </w:rPr>
        <w:t>it effect</w:t>
      </w:r>
      <w:r w:rsidRPr="00876AB1">
        <w:rPr>
          <w:rFonts w:asciiTheme="majorHAnsi" w:hAnsiTheme="majorHAnsi"/>
          <w:sz w:val="24"/>
          <w:szCs w:val="24"/>
          <w:lang w:val="en-US"/>
        </w:rPr>
        <w:t xml:space="preserve"> was explored using a range of drug </w:t>
      </w:r>
      <w:r>
        <w:rPr>
          <w:rFonts w:asciiTheme="majorHAnsi" w:hAnsiTheme="majorHAnsi"/>
          <w:sz w:val="24"/>
          <w:szCs w:val="24"/>
          <w:lang w:val="en-US"/>
        </w:rPr>
        <w:t>exposures</w:t>
      </w:r>
      <w:r w:rsidRPr="00876AB1">
        <w:rPr>
          <w:rFonts w:asciiTheme="majorHAnsi" w:hAnsiTheme="majorHAnsi"/>
          <w:sz w:val="24"/>
          <w:szCs w:val="24"/>
          <w:lang w:val="en-US"/>
        </w:rPr>
        <w:t xml:space="preserve">.  Since there is no information on the pharmacokinetics of flubendazole in humans, we attempted to produce AUCs that were comparable to those observed in mice.  </w:t>
      </w:r>
      <w:r w:rsidR="005B1DCA">
        <w:rPr>
          <w:rFonts w:asciiTheme="majorHAnsi" w:hAnsiTheme="majorHAnsi"/>
          <w:sz w:val="24"/>
          <w:szCs w:val="24"/>
          <w:lang w:val="en-US"/>
        </w:rPr>
        <w:t>Various dosages of f</w:t>
      </w:r>
      <w:r w:rsidR="005B1DCA">
        <w:rPr>
          <w:rFonts w:asciiTheme="majorHAnsi" w:hAnsiTheme="majorHAnsi"/>
          <w:sz w:val="24"/>
          <w:szCs w:val="24"/>
          <w:lang w:val="en-US"/>
        </w:rPr>
        <w:t>lubendazole</w:t>
      </w:r>
      <w:r w:rsidR="005B1DCA" w:rsidRPr="00876AB1">
        <w:rPr>
          <w:rFonts w:asciiTheme="majorHAnsi" w:hAnsiTheme="majorHAnsi"/>
          <w:sz w:val="24"/>
          <w:szCs w:val="24"/>
          <w:lang w:val="en-US"/>
        </w:rPr>
        <w:t xml:space="preserve"> </w:t>
      </w:r>
      <w:r w:rsidR="005B1DCA">
        <w:rPr>
          <w:rFonts w:asciiTheme="majorHAnsi" w:hAnsiTheme="majorHAnsi"/>
          <w:sz w:val="24"/>
          <w:szCs w:val="24"/>
          <w:lang w:val="en-US"/>
        </w:rPr>
        <w:t xml:space="preserve">were administered </w:t>
      </w:r>
      <w:r w:rsidR="00AC7771">
        <w:rPr>
          <w:rFonts w:asciiTheme="majorHAnsi" w:hAnsiTheme="majorHAnsi"/>
          <w:sz w:val="24"/>
          <w:szCs w:val="24"/>
          <w:lang w:val="en-US"/>
        </w:rPr>
        <w:t>q24h</w:t>
      </w:r>
      <w:r w:rsidR="00AC7771" w:rsidRPr="00876AB1">
        <w:rPr>
          <w:rFonts w:asciiTheme="majorHAnsi" w:hAnsiTheme="majorHAnsi"/>
          <w:sz w:val="24"/>
          <w:szCs w:val="24"/>
          <w:lang w:val="en-US"/>
        </w:rPr>
        <w:t xml:space="preserve"> </w:t>
      </w:r>
      <w:r w:rsidR="005B1DCA">
        <w:rPr>
          <w:rFonts w:asciiTheme="majorHAnsi" w:hAnsiTheme="majorHAnsi"/>
          <w:sz w:val="24"/>
          <w:szCs w:val="24"/>
          <w:lang w:val="en-US"/>
        </w:rPr>
        <w:t>by</w:t>
      </w:r>
      <w:r w:rsidR="005B1DCA" w:rsidRPr="00876AB1">
        <w:rPr>
          <w:rFonts w:asciiTheme="majorHAnsi" w:hAnsiTheme="majorHAnsi"/>
          <w:sz w:val="24"/>
          <w:szCs w:val="24"/>
          <w:lang w:val="en-US"/>
        </w:rPr>
        <w:t xml:space="preserve"> </w:t>
      </w:r>
      <w:r w:rsidR="003518CB">
        <w:rPr>
          <w:rFonts w:asciiTheme="majorHAnsi" w:hAnsiTheme="majorHAnsi"/>
          <w:sz w:val="24"/>
          <w:szCs w:val="24"/>
          <w:lang w:val="en-US"/>
        </w:rPr>
        <w:t>infus</w:t>
      </w:r>
      <w:r w:rsidR="005B1DCA">
        <w:rPr>
          <w:rFonts w:asciiTheme="majorHAnsi" w:hAnsiTheme="majorHAnsi"/>
          <w:sz w:val="24"/>
          <w:szCs w:val="24"/>
          <w:lang w:val="en-US"/>
        </w:rPr>
        <w:t>ion</w:t>
      </w:r>
      <w:r w:rsidR="003518CB">
        <w:rPr>
          <w:rFonts w:asciiTheme="majorHAnsi" w:hAnsiTheme="majorHAnsi"/>
          <w:sz w:val="24"/>
          <w:szCs w:val="24"/>
          <w:lang w:val="en-US"/>
        </w:rPr>
        <w:t xml:space="preserve"> over</w:t>
      </w:r>
      <w:r w:rsidRPr="00876AB1">
        <w:rPr>
          <w:rFonts w:asciiTheme="majorHAnsi" w:hAnsiTheme="majorHAnsi"/>
          <w:sz w:val="24"/>
          <w:szCs w:val="24"/>
          <w:lang w:val="en-US"/>
        </w:rPr>
        <w:t xml:space="preserve"> </w:t>
      </w:r>
      <w:r w:rsidR="003518CB">
        <w:rPr>
          <w:rFonts w:asciiTheme="majorHAnsi" w:hAnsiTheme="majorHAnsi"/>
          <w:sz w:val="24"/>
          <w:szCs w:val="24"/>
          <w:lang w:val="en-US"/>
        </w:rPr>
        <w:t>1 hour</w:t>
      </w:r>
      <w:r w:rsidR="00B5678D">
        <w:rPr>
          <w:rFonts w:asciiTheme="majorHAnsi" w:hAnsiTheme="majorHAnsi"/>
          <w:sz w:val="24"/>
          <w:szCs w:val="24"/>
          <w:lang w:val="en-US"/>
        </w:rPr>
        <w:t xml:space="preserve"> for </w:t>
      </w:r>
      <w:r w:rsidR="005B1DCA">
        <w:rPr>
          <w:rFonts w:asciiTheme="majorHAnsi" w:hAnsiTheme="majorHAnsi"/>
          <w:sz w:val="24"/>
          <w:szCs w:val="24"/>
          <w:lang w:val="en-US"/>
        </w:rPr>
        <w:t>8</w:t>
      </w:r>
      <w:r w:rsidR="00B5678D">
        <w:rPr>
          <w:rFonts w:asciiTheme="majorHAnsi" w:hAnsiTheme="majorHAnsi"/>
          <w:sz w:val="24"/>
          <w:szCs w:val="24"/>
          <w:lang w:val="en-US"/>
        </w:rPr>
        <w:t xml:space="preserve"> days</w:t>
      </w:r>
      <w:r w:rsidR="003518CB" w:rsidRPr="00876AB1">
        <w:rPr>
          <w:rFonts w:asciiTheme="majorHAnsi" w:hAnsiTheme="majorHAnsi"/>
          <w:sz w:val="24"/>
          <w:szCs w:val="24"/>
          <w:lang w:val="en-US"/>
        </w:rPr>
        <w:t xml:space="preserve"> </w:t>
      </w:r>
      <w:r w:rsidRPr="00876AB1">
        <w:rPr>
          <w:rFonts w:asciiTheme="majorHAnsi" w:hAnsiTheme="majorHAnsi"/>
          <w:sz w:val="24"/>
          <w:szCs w:val="24"/>
          <w:lang w:val="en-US"/>
        </w:rPr>
        <w:t>to the central compartment using a programmable syringe driver</w:t>
      </w:r>
      <w:r>
        <w:rPr>
          <w:rFonts w:asciiTheme="majorHAnsi" w:hAnsiTheme="majorHAnsi"/>
          <w:sz w:val="24"/>
          <w:szCs w:val="24"/>
          <w:lang w:val="en-US"/>
        </w:rPr>
        <w:t xml:space="preserve"> </w:t>
      </w:r>
      <w:r w:rsidRPr="00876AB1">
        <w:rPr>
          <w:rFonts w:asciiTheme="majorHAnsi" w:hAnsiTheme="majorHAnsi"/>
          <w:sz w:val="24"/>
          <w:szCs w:val="24"/>
          <w:lang w:val="en-US"/>
        </w:rPr>
        <w:t xml:space="preserve">(Aladdin pump; World Precision Instruments, United Kingdom).  </w:t>
      </w:r>
      <w:r w:rsidR="005B1DCA">
        <w:rPr>
          <w:rFonts w:asciiTheme="majorHAnsi" w:hAnsiTheme="majorHAnsi"/>
          <w:sz w:val="24"/>
          <w:szCs w:val="24"/>
          <w:lang w:val="en-US"/>
        </w:rPr>
        <w:t xml:space="preserve">There was a 24-hour delay in the initiation of flubendazole therapy post inoculation.  </w:t>
      </w:r>
      <w:r w:rsidRPr="00876AB1">
        <w:rPr>
          <w:rFonts w:asciiTheme="majorHAnsi" w:hAnsiTheme="majorHAnsi"/>
          <w:sz w:val="24"/>
          <w:szCs w:val="24"/>
          <w:lang w:val="en-US"/>
        </w:rPr>
        <w:t xml:space="preserve">To generate first-order pharmacokinetics, fresh YPD medium was pumped into the central compartment, and the same volume of drug-containing medium was simultaneously removed and discarded.  </w:t>
      </w:r>
      <w:r w:rsidR="00525CC5">
        <w:rPr>
          <w:rFonts w:asciiTheme="majorHAnsi" w:hAnsiTheme="majorHAnsi"/>
          <w:sz w:val="24"/>
          <w:szCs w:val="24"/>
          <w:lang w:val="en-US"/>
        </w:rPr>
        <w:t>Positive controls of currently licensed agents were not studied in these experiments.</w:t>
      </w:r>
    </w:p>
    <w:p w14:paraId="2504C23E" w14:textId="77777777" w:rsidR="00525CC5" w:rsidRDefault="00525CC5" w:rsidP="00EB3D34">
      <w:pPr>
        <w:spacing w:after="120" w:line="480" w:lineRule="auto"/>
        <w:ind w:firstLine="720"/>
        <w:rPr>
          <w:rFonts w:asciiTheme="majorHAnsi" w:hAnsiTheme="majorHAnsi"/>
          <w:sz w:val="24"/>
          <w:szCs w:val="24"/>
          <w:lang w:val="en-US"/>
        </w:rPr>
      </w:pPr>
    </w:p>
    <w:p w14:paraId="021394B4" w14:textId="77777777" w:rsidR="003B2CE2" w:rsidRPr="00876AB1" w:rsidRDefault="003B2CE2" w:rsidP="00EB3D34">
      <w:pPr>
        <w:spacing w:after="120" w:line="480" w:lineRule="auto"/>
        <w:outlineLvl w:val="0"/>
        <w:rPr>
          <w:rFonts w:asciiTheme="majorHAnsi" w:hAnsiTheme="majorHAnsi"/>
          <w:b/>
          <w:i/>
          <w:sz w:val="24"/>
          <w:szCs w:val="24"/>
          <w:lang w:val="en-US"/>
        </w:rPr>
      </w:pPr>
      <w:r w:rsidRPr="00876AB1">
        <w:rPr>
          <w:rFonts w:asciiTheme="majorHAnsi" w:hAnsiTheme="majorHAnsi"/>
          <w:b/>
          <w:i/>
          <w:sz w:val="24"/>
          <w:szCs w:val="24"/>
          <w:lang w:val="en-US"/>
        </w:rPr>
        <w:t xml:space="preserve">Murine model of cryptococcal meningoencephalitis </w:t>
      </w:r>
    </w:p>
    <w:p w14:paraId="443C5F8F" w14:textId="635B3105" w:rsidR="003B2CE2" w:rsidRPr="00876AB1" w:rsidRDefault="003B2CE2" w:rsidP="00EB3D34">
      <w:pPr>
        <w:pStyle w:val="p1"/>
        <w:spacing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A previously described </w:t>
      </w:r>
      <w:r w:rsidR="00FB6F27">
        <w:rPr>
          <w:rFonts w:asciiTheme="majorHAnsi" w:hAnsiTheme="majorHAnsi"/>
          <w:sz w:val="24"/>
          <w:szCs w:val="24"/>
          <w:lang w:val="en-US"/>
        </w:rPr>
        <w:fldChar w:fldCharType="begin" w:fldLock="1"/>
      </w:r>
      <w:r w:rsidR="005002A9">
        <w:rPr>
          <w:rFonts w:asciiTheme="majorHAnsi" w:hAnsiTheme="majorHAnsi"/>
          <w:sz w:val="24"/>
          <w:szCs w:val="24"/>
          <w:lang w:val="en-US"/>
        </w:rPr>
        <w:instrText>ADDIN CSL_CITATION { "citationItems" : [ { "id" : "ITEM-1", "itemData" : { "DOI" : "10.1128/AAC.00216-13", "ISSN" : "00664804", "abstract" : "Fluconazole is frequently the only antifungal agent that is available for induction therapy for cryptococcal meningitis. There is relatively little understanding of the pharmacokinetics and pharmacodynamics (PK-PD) of fluconazole in this setting. PK-PD relationships were estimated with 4 clinical isolates of Cryptococcus neoformans. MICs were determined using Clinical and Laboratory Standards Institute (CLSI) methodology. A nonimmunosuppressed murine model of cryptococcal meningitis was used. Mice received two different doses of fluconazole (125 mg/kg of body weight/day and 250 mg/kg of body weight/day) orally for 9 days; a control group of mice was not given fluconazole. Fluconazole concentrations in plasma and in the cerebrum were determined using high-performance liquid chromatography (HPLC). The cryptococcal density in the brain was estimated using quantitative cultures. A mathematical model was fitted to the PK-PD data. The experimental results were extrapolated to humans (bridging study). The PK were linear. A dose-dependent decline in fungal burden was observed, with near-maximal activity evident with dosages of 250 mg/kg/day. The MIC was important for understanding the exposure-response relationships. The mean AUC/MIC ratio associated with stasis was 389. The results of the bridging study suggested that only 66.7% of patients receiving 1,200 mg/kg would achieve or exceed an AUC/MIC ratio of 389. The potential breakpoints for fluconazole against Cryptococcus neoformans follow: susceptible,\u22642 mg/liter; resistant,&gt;2 mg/liter. Fluconazole may be an inferior agent for induction therapy because many patients cannot achieve the pharmacodynamic target. Clinical breakpoints are likely to be significantly lower than epidemiological cutoff values. The MIC may guide the appropriate use of fluconazole. If fluconazole is the only option for induction therapy, then the highest possible dose should be used. Copyright \u00a9 2013, American Society for Microbiology. All Rights Reserved.", "author" : [ { "dropping-particle" : "", "family" : "Sudan", "given" : "A.", "non-dropping-particle" : "", "parse-names" : false, "suffix" : "" }, { "dropping-particle" : "", "family" : "Livermore", "given" : "J.", "non-dropping-particle" : "", "parse-names" : false, "suffix" : "" }, { "dropping-particle" : "", "family" : "Howard", "given" : "S.J.", "non-dropping-particle" : "", "parse-names" : false, "suffix" : "" }, { "dropping-particle" : "", "family" : "Al-Nakeeb", "given" : "Z.", "non-dropping-particle" : "", "parse-names" : false, "suffix" : "" }, { "dropping-particle" : "", "family" : "Sharp", "given" : "A.", "non-dropping-particle" : "", "parse-names" : false, "suffix" : "" }, { "dropping-particle" : "", "family" : "Goodwin", "given" : "J.", "non-dropping-particle" : "", "parse-names" : false, "suffix" : "" }, { "dropping-particle" : "", "family" : "Gregson", "given" : "L.", "non-dropping-particle" : "", "parse-names" : false, "suffix" : "" }, { "dropping-particle" : "", "family" : "Warn", "given" : "P.A.", "non-dropping-particle" : "", "parse-names" : false, "suffix" : "" }, { "dropping-particle" : "", "family" : "Felton", "given" : "T.W.", "non-dropping-particle" : "", "parse-names" : false, "suffix" : "" }, { "dropping-particle" : "", "family" : "Perfect", "given" : "J.R.", "non-dropping-particle" : "", "parse-names" : false, "suffix" : "" }, { "dropping-particle" : "", "family" : "Harrison", "given" : "T.S.", "non-dropping-particle" : "", "parse-names" : false, "suffix" : "" }, { "dropping-particle" : "", "family" : "Hope", "given" : "W.W.", "non-dropping-particle" : "", "parse-names" : false, "suffix" : "" } ], "container-title" : "Antimicrobial Agents and Chemotherapy", "id" : "ITEM-1", "issue" : "6", "issued" : { "date-parts" : [ [ "2013" ] ] }, "title" : "Pharmacokinetics and pharmacodynamics of fluconazole for cryptococcal meningoencephalitis: Implications for antifungal therapy and in Vitro susceptibility breakpoints", "type" : "article-journal", "volume" : "57" }, "uris" : [ "http://www.mendeley.com/documents/?uuid=8a8afaa0-86d6-3bc1-8e6c-e1923a6e4382", "http://www.mendeley.com/documents/?uuid=a3f1a41d-5ef8-465d-9448-f9b8e7b40127" ] } ], "mendeley" : { "formattedCitation" : "(31)", "plainTextFormattedCitation" : "(31)", "previouslyFormattedCitation" : "(31)" }, "properties" : { "noteIndex" : 0 }, "schema" : "https://github.com/citation-style-language/schema/raw/master/csl-citation.json" }</w:instrText>
      </w:r>
      <w:r w:rsidR="00FB6F27">
        <w:rPr>
          <w:rFonts w:asciiTheme="majorHAnsi" w:hAnsiTheme="majorHAnsi"/>
          <w:sz w:val="24"/>
          <w:szCs w:val="24"/>
          <w:lang w:val="en-US"/>
        </w:rPr>
        <w:fldChar w:fldCharType="separate"/>
      </w:r>
      <w:r w:rsidR="005002A9" w:rsidRPr="005002A9">
        <w:rPr>
          <w:rFonts w:asciiTheme="majorHAnsi" w:hAnsiTheme="majorHAnsi"/>
          <w:noProof/>
          <w:sz w:val="24"/>
          <w:szCs w:val="24"/>
          <w:lang w:val="en-US"/>
        </w:rPr>
        <w:t>(31)</w:t>
      </w:r>
      <w:r w:rsidR="00FB6F27">
        <w:rPr>
          <w:rFonts w:asciiTheme="majorHAnsi" w:hAnsiTheme="majorHAnsi"/>
          <w:sz w:val="24"/>
          <w:szCs w:val="24"/>
          <w:lang w:val="en-US"/>
        </w:rPr>
        <w:fldChar w:fldCharType="end"/>
      </w:r>
      <w:r w:rsidR="00FB6F27">
        <w:rPr>
          <w:rFonts w:asciiTheme="majorHAnsi" w:hAnsiTheme="majorHAnsi"/>
          <w:sz w:val="24"/>
          <w:szCs w:val="24"/>
          <w:lang w:val="en-US"/>
        </w:rPr>
        <w:t xml:space="preserve"> </w:t>
      </w:r>
      <w:r w:rsidRPr="00876AB1">
        <w:rPr>
          <w:rFonts w:asciiTheme="majorHAnsi" w:hAnsiTheme="majorHAnsi"/>
          <w:sz w:val="24"/>
          <w:szCs w:val="24"/>
          <w:lang w:val="en-US"/>
        </w:rPr>
        <w:t>and well-</w:t>
      </w:r>
      <w:r w:rsidR="00AC7771" w:rsidRPr="00876AB1">
        <w:rPr>
          <w:rFonts w:asciiTheme="majorHAnsi" w:hAnsiTheme="majorHAnsi"/>
          <w:sz w:val="24"/>
          <w:szCs w:val="24"/>
          <w:lang w:val="en-US"/>
        </w:rPr>
        <w:t>characterized</w:t>
      </w:r>
      <w:r w:rsidRPr="00876AB1">
        <w:rPr>
          <w:rFonts w:asciiTheme="majorHAnsi" w:hAnsiTheme="majorHAnsi"/>
          <w:sz w:val="24"/>
          <w:szCs w:val="24"/>
          <w:lang w:val="en-US"/>
        </w:rPr>
        <w:t xml:space="preserve"> murine model of cryptococcal </w:t>
      </w:r>
      <w:r w:rsidR="003518CB">
        <w:rPr>
          <w:rFonts w:asciiTheme="majorHAnsi" w:hAnsiTheme="majorHAnsi"/>
          <w:sz w:val="24"/>
          <w:szCs w:val="24"/>
          <w:lang w:val="en-US"/>
        </w:rPr>
        <w:t>meningitis</w:t>
      </w:r>
      <w:r w:rsidRPr="00876AB1">
        <w:rPr>
          <w:rFonts w:asciiTheme="majorHAnsi" w:hAnsiTheme="majorHAnsi"/>
          <w:sz w:val="24"/>
          <w:szCs w:val="24"/>
          <w:lang w:val="en-US"/>
        </w:rPr>
        <w:t xml:space="preserve"> was used to investigate the pharmacodynamics of flubendazole.</w:t>
      </w:r>
      <w:r w:rsidR="00FB6F27">
        <w:rPr>
          <w:rFonts w:asciiTheme="majorHAnsi" w:hAnsiTheme="majorHAnsi"/>
          <w:sz w:val="24"/>
          <w:szCs w:val="24"/>
          <w:lang w:val="en-US"/>
        </w:rPr>
        <w:t xml:space="preserve"> </w:t>
      </w:r>
      <w:r w:rsidRPr="00876AB1">
        <w:rPr>
          <w:rFonts w:asciiTheme="majorHAnsi" w:hAnsiTheme="majorHAnsi"/>
          <w:sz w:val="24"/>
          <w:szCs w:val="24"/>
          <w:lang w:val="en-US"/>
        </w:rPr>
        <w:t xml:space="preserve"> All laboratory animal experiments were performed under UK Home Office project license PPL40/3630 and were </w:t>
      </w:r>
      <w:r w:rsidRPr="00876AB1">
        <w:rPr>
          <w:rFonts w:asciiTheme="majorHAnsi" w:hAnsiTheme="majorHAnsi"/>
          <w:sz w:val="24"/>
          <w:szCs w:val="24"/>
          <w:lang w:val="en-US"/>
        </w:rPr>
        <w:lastRenderedPageBreak/>
        <w:t>approved by the University of Liverpool’s</w:t>
      </w:r>
      <w:r w:rsidRPr="00876AB1" w:rsidDel="0040712D">
        <w:rPr>
          <w:rFonts w:asciiTheme="majorHAnsi" w:hAnsiTheme="majorHAnsi"/>
          <w:sz w:val="24"/>
          <w:szCs w:val="24"/>
          <w:lang w:val="en-US"/>
        </w:rPr>
        <w:t xml:space="preserve"> </w:t>
      </w:r>
      <w:r w:rsidRPr="00876AB1">
        <w:rPr>
          <w:rFonts w:asciiTheme="majorHAnsi" w:hAnsiTheme="majorHAnsi"/>
          <w:sz w:val="24"/>
          <w:szCs w:val="24"/>
          <w:lang w:val="en-US"/>
        </w:rPr>
        <w:t xml:space="preserve">Animal Welfare Ethics Review Board.  Male CD1 mice were purchased from Charles River and were 20-30 grams at the time of experimentation.  An </w:t>
      </w:r>
      <w:r w:rsidRPr="00C65CCA">
        <w:rPr>
          <w:rFonts w:asciiTheme="majorHAnsi" w:hAnsiTheme="majorHAnsi"/>
          <w:sz w:val="24"/>
          <w:szCs w:val="24"/>
          <w:lang w:val="en-US"/>
        </w:rPr>
        <w:t xml:space="preserve">inoculum of </w:t>
      </w:r>
      <w:r w:rsidR="00396C7C" w:rsidRPr="00EF774A">
        <w:rPr>
          <w:rFonts w:asciiTheme="majorHAnsi" w:hAnsiTheme="majorHAnsi"/>
          <w:sz w:val="24"/>
          <w:szCs w:val="24"/>
        </w:rPr>
        <w:t>3</w:t>
      </w:r>
      <w:r w:rsidR="00C65CCA">
        <w:rPr>
          <w:rFonts w:asciiTheme="majorHAnsi" w:hAnsiTheme="majorHAnsi"/>
          <w:sz w:val="24"/>
          <w:szCs w:val="24"/>
        </w:rPr>
        <w:t xml:space="preserve"> </w:t>
      </w:r>
      <w:r w:rsidR="00C65CCA" w:rsidRPr="00C65CCA">
        <w:rPr>
          <w:rFonts w:asciiTheme="majorHAnsi" w:hAnsiTheme="majorHAnsi"/>
          <w:sz w:val="24"/>
          <w:szCs w:val="24"/>
        </w:rPr>
        <w:t>x</w:t>
      </w:r>
      <w:r w:rsidR="00C65CCA">
        <w:rPr>
          <w:rFonts w:asciiTheme="majorHAnsi" w:hAnsiTheme="majorHAnsi"/>
          <w:sz w:val="24"/>
          <w:szCs w:val="24"/>
        </w:rPr>
        <w:t xml:space="preserve"> </w:t>
      </w:r>
      <w:r w:rsidR="00396C7C" w:rsidRPr="00EF774A">
        <w:rPr>
          <w:rFonts w:asciiTheme="majorHAnsi" w:hAnsiTheme="majorHAnsi"/>
          <w:sz w:val="24"/>
          <w:szCs w:val="24"/>
        </w:rPr>
        <w:t>10</w:t>
      </w:r>
      <w:r w:rsidR="00396C7C" w:rsidRPr="00EF774A">
        <w:rPr>
          <w:rStyle w:val="s1"/>
          <w:rFonts w:asciiTheme="majorHAnsi" w:hAnsiTheme="majorHAnsi"/>
          <w:sz w:val="24"/>
          <w:szCs w:val="24"/>
          <w:vertAlign w:val="superscript"/>
        </w:rPr>
        <w:t>8</w:t>
      </w:r>
      <w:r w:rsidR="00396C7C" w:rsidRPr="00EF774A">
        <w:rPr>
          <w:rStyle w:val="s1"/>
          <w:rFonts w:asciiTheme="majorHAnsi" w:hAnsiTheme="majorHAnsi"/>
          <w:sz w:val="24"/>
          <w:szCs w:val="24"/>
        </w:rPr>
        <w:t xml:space="preserve"> </w:t>
      </w:r>
      <w:r w:rsidR="00396C7C" w:rsidRPr="00EF774A">
        <w:rPr>
          <w:rFonts w:asciiTheme="majorHAnsi" w:hAnsiTheme="majorHAnsi"/>
          <w:sz w:val="24"/>
          <w:szCs w:val="24"/>
        </w:rPr>
        <w:t>CFU in 0.25 m</w:t>
      </w:r>
      <w:r w:rsidR="00C65CCA" w:rsidRPr="00763CB1">
        <w:rPr>
          <w:rFonts w:asciiTheme="majorHAnsi" w:hAnsiTheme="majorHAnsi"/>
          <w:sz w:val="24"/>
          <w:szCs w:val="24"/>
        </w:rPr>
        <w:t>L</w:t>
      </w:r>
      <w:r w:rsidRPr="00C65CCA">
        <w:rPr>
          <w:rFonts w:asciiTheme="majorHAnsi" w:hAnsiTheme="majorHAnsi"/>
          <w:sz w:val="24"/>
          <w:szCs w:val="24"/>
          <w:lang w:val="en-US"/>
        </w:rPr>
        <w:t xml:space="preserve"> was used</w:t>
      </w:r>
      <w:r w:rsidR="00763CB1">
        <w:rPr>
          <w:rFonts w:asciiTheme="majorHAnsi" w:hAnsiTheme="majorHAnsi"/>
          <w:sz w:val="24"/>
          <w:szCs w:val="24"/>
          <w:lang w:val="en-US"/>
        </w:rPr>
        <w:t xml:space="preserve"> for each mouse</w:t>
      </w:r>
      <w:r w:rsidRPr="00876AB1">
        <w:rPr>
          <w:rFonts w:asciiTheme="majorHAnsi" w:hAnsiTheme="majorHAnsi"/>
          <w:sz w:val="24"/>
          <w:szCs w:val="24"/>
          <w:lang w:val="en-US"/>
        </w:rPr>
        <w:t xml:space="preserve">.  Groups of mice (n=3) were serially sacrificed throughout the experimental period.  The brains were removed and </w:t>
      </w:r>
      <w:r w:rsidR="00F329F4" w:rsidRPr="00876AB1">
        <w:rPr>
          <w:rFonts w:asciiTheme="majorHAnsi" w:hAnsiTheme="majorHAnsi"/>
          <w:sz w:val="24"/>
          <w:szCs w:val="24"/>
          <w:lang w:val="en-US"/>
        </w:rPr>
        <w:t>homogenized</w:t>
      </w:r>
      <w:r w:rsidRPr="00876AB1">
        <w:rPr>
          <w:rFonts w:asciiTheme="majorHAnsi" w:hAnsiTheme="majorHAnsi"/>
          <w:sz w:val="24"/>
          <w:szCs w:val="24"/>
          <w:lang w:val="en-US"/>
        </w:rPr>
        <w:t>.  Serial 10-fold dilutions were plated to YPD agar supplemented with chloramphenicol to enumerate the total fungal burden.  Plates were incubated in air at 30</w:t>
      </w:r>
      <w:r w:rsidRPr="00876AB1">
        <w:rPr>
          <w:rFonts w:asciiTheme="majorHAnsi" w:hAnsiTheme="majorHAnsi"/>
          <w:sz w:val="24"/>
          <w:szCs w:val="24"/>
          <w:vertAlign w:val="superscript"/>
          <w:lang w:val="en-US"/>
        </w:rPr>
        <w:t>○</w:t>
      </w:r>
      <w:r w:rsidRPr="00876AB1">
        <w:rPr>
          <w:rFonts w:asciiTheme="majorHAnsi" w:hAnsiTheme="majorHAnsi"/>
          <w:sz w:val="24"/>
          <w:szCs w:val="24"/>
          <w:lang w:val="en-US"/>
        </w:rPr>
        <w:t>C for at least 48 hours.</w:t>
      </w:r>
    </w:p>
    <w:p w14:paraId="5B2AC432" w14:textId="77777777" w:rsidR="003B2CE2" w:rsidRDefault="003B2CE2" w:rsidP="00EB3D34">
      <w:pPr>
        <w:spacing w:after="120" w:line="480" w:lineRule="auto"/>
        <w:rPr>
          <w:rFonts w:asciiTheme="majorHAnsi" w:hAnsiTheme="majorHAnsi"/>
          <w:b/>
          <w:sz w:val="24"/>
          <w:szCs w:val="24"/>
          <w:lang w:val="en-US"/>
        </w:rPr>
      </w:pPr>
    </w:p>
    <w:p w14:paraId="12B59B71" w14:textId="604D140D" w:rsidR="003B2CE2" w:rsidRPr="00876AB1" w:rsidRDefault="003B2CE2" w:rsidP="00EB3D34">
      <w:pPr>
        <w:spacing w:after="120" w:line="480" w:lineRule="auto"/>
        <w:outlineLvl w:val="0"/>
        <w:rPr>
          <w:rFonts w:asciiTheme="majorHAnsi" w:hAnsiTheme="majorHAnsi"/>
          <w:b/>
          <w:i/>
          <w:sz w:val="24"/>
          <w:szCs w:val="24"/>
          <w:lang w:val="en-US"/>
        </w:rPr>
      </w:pPr>
      <w:r w:rsidRPr="00876AB1">
        <w:rPr>
          <w:rFonts w:asciiTheme="majorHAnsi" w:hAnsiTheme="majorHAnsi"/>
          <w:b/>
          <w:i/>
          <w:sz w:val="24"/>
          <w:szCs w:val="24"/>
          <w:lang w:val="en-US"/>
        </w:rPr>
        <w:t xml:space="preserve">Pharmacokinetic and </w:t>
      </w:r>
      <w:r w:rsidR="00FB6F27">
        <w:rPr>
          <w:rFonts w:asciiTheme="majorHAnsi" w:hAnsiTheme="majorHAnsi"/>
          <w:b/>
          <w:i/>
          <w:sz w:val="24"/>
          <w:szCs w:val="24"/>
          <w:lang w:val="en-US"/>
        </w:rPr>
        <w:t>P</w:t>
      </w:r>
      <w:r w:rsidRPr="00876AB1">
        <w:rPr>
          <w:rFonts w:asciiTheme="majorHAnsi" w:hAnsiTheme="majorHAnsi"/>
          <w:b/>
          <w:i/>
          <w:sz w:val="24"/>
          <w:szCs w:val="24"/>
          <w:lang w:val="en-US"/>
        </w:rPr>
        <w:t xml:space="preserve">harmacodynamic </w:t>
      </w:r>
      <w:r w:rsidR="00FB6F27">
        <w:rPr>
          <w:rFonts w:asciiTheme="majorHAnsi" w:hAnsiTheme="majorHAnsi"/>
          <w:b/>
          <w:i/>
          <w:sz w:val="24"/>
          <w:szCs w:val="24"/>
          <w:lang w:val="en-US"/>
        </w:rPr>
        <w:t>S</w:t>
      </w:r>
      <w:r w:rsidRPr="00876AB1">
        <w:rPr>
          <w:rFonts w:asciiTheme="majorHAnsi" w:hAnsiTheme="majorHAnsi"/>
          <w:b/>
          <w:i/>
          <w:sz w:val="24"/>
          <w:szCs w:val="24"/>
          <w:lang w:val="en-US"/>
        </w:rPr>
        <w:t xml:space="preserve">tudies of </w:t>
      </w:r>
      <w:r w:rsidR="00FB6F27">
        <w:rPr>
          <w:rFonts w:asciiTheme="majorHAnsi" w:hAnsiTheme="majorHAnsi"/>
          <w:b/>
          <w:i/>
          <w:sz w:val="24"/>
          <w:szCs w:val="24"/>
          <w:lang w:val="en-US"/>
        </w:rPr>
        <w:t>F</w:t>
      </w:r>
      <w:r w:rsidRPr="00876AB1">
        <w:rPr>
          <w:rFonts w:asciiTheme="majorHAnsi" w:hAnsiTheme="majorHAnsi"/>
          <w:b/>
          <w:i/>
          <w:sz w:val="24"/>
          <w:szCs w:val="24"/>
          <w:lang w:val="en-US"/>
        </w:rPr>
        <w:t xml:space="preserve">lubendazole in </w:t>
      </w:r>
      <w:r w:rsidR="00FB6F27">
        <w:rPr>
          <w:rFonts w:asciiTheme="majorHAnsi" w:hAnsiTheme="majorHAnsi"/>
          <w:b/>
          <w:i/>
          <w:sz w:val="24"/>
          <w:szCs w:val="24"/>
          <w:lang w:val="en-US"/>
        </w:rPr>
        <w:t>M</w:t>
      </w:r>
      <w:r w:rsidRPr="00876AB1">
        <w:rPr>
          <w:rFonts w:asciiTheme="majorHAnsi" w:hAnsiTheme="majorHAnsi"/>
          <w:b/>
          <w:i/>
          <w:sz w:val="24"/>
          <w:szCs w:val="24"/>
          <w:lang w:val="en-US"/>
        </w:rPr>
        <w:t xml:space="preserve">ice  </w:t>
      </w:r>
    </w:p>
    <w:p w14:paraId="5C18F965" w14:textId="7DBC9A18" w:rsidR="003B2CE2" w:rsidRPr="00876AB1" w:rsidRDefault="003B2CE2"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Preliminary evidence for the efficacy of flubendazole was obtained by dissolving pure compound in a variety of excipients that included </w:t>
      </w:r>
      <w:proofErr w:type="spellStart"/>
      <w:r w:rsidRPr="00876AB1">
        <w:rPr>
          <w:rFonts w:asciiTheme="majorHAnsi" w:hAnsiTheme="majorHAnsi"/>
          <w:sz w:val="24"/>
          <w:szCs w:val="24"/>
          <w:lang w:val="en-US"/>
        </w:rPr>
        <w:t>cyclodextrin</w:t>
      </w:r>
      <w:proofErr w:type="spellEnd"/>
      <w:r w:rsidRPr="00876AB1">
        <w:rPr>
          <w:rFonts w:asciiTheme="majorHAnsi" w:hAnsiTheme="majorHAnsi"/>
          <w:sz w:val="24"/>
          <w:szCs w:val="24"/>
          <w:lang w:val="en-US"/>
        </w:rPr>
        <w:t xml:space="preserve"> (</w:t>
      </w:r>
      <w:r w:rsidR="00434118">
        <w:rPr>
          <w:rFonts w:asciiTheme="majorHAnsi" w:hAnsiTheme="majorHAnsi"/>
          <w:sz w:val="24"/>
          <w:szCs w:val="24"/>
          <w:lang w:val="en-US"/>
        </w:rPr>
        <w:t>F2G, Eccles, UK</w:t>
      </w:r>
      <w:r w:rsidRPr="00876AB1">
        <w:rPr>
          <w:rFonts w:asciiTheme="majorHAnsi" w:hAnsiTheme="majorHAnsi"/>
          <w:sz w:val="24"/>
          <w:szCs w:val="24"/>
          <w:lang w:val="en-US"/>
        </w:rPr>
        <w:t xml:space="preserve">), DMSO </w:t>
      </w:r>
      <w:r w:rsidRPr="00721DE8">
        <w:rPr>
          <w:rFonts w:asciiTheme="majorHAnsi" w:hAnsiTheme="majorHAnsi"/>
          <w:sz w:val="24"/>
          <w:szCs w:val="24"/>
          <w:lang w:val="en-US"/>
        </w:rPr>
        <w:t>[</w:t>
      </w:r>
      <w:r w:rsidR="00434118" w:rsidRPr="00721DE8">
        <w:rPr>
          <w:rFonts w:asciiTheme="majorHAnsi" w:hAnsiTheme="majorHAnsi"/>
          <w:sz w:val="24"/>
          <w:szCs w:val="24"/>
          <w:lang w:val="en-US"/>
        </w:rPr>
        <w:t>5</w:t>
      </w:r>
      <w:r w:rsidRPr="00721DE8">
        <w:rPr>
          <w:rFonts w:asciiTheme="majorHAnsi" w:hAnsiTheme="majorHAnsi"/>
          <w:sz w:val="24"/>
          <w:szCs w:val="24"/>
          <w:lang w:val="en-US"/>
        </w:rPr>
        <w:t>%]</w:t>
      </w:r>
      <w:r w:rsidRPr="00876AB1">
        <w:rPr>
          <w:rFonts w:asciiTheme="majorHAnsi" w:hAnsiTheme="majorHAnsi"/>
          <w:sz w:val="24"/>
          <w:szCs w:val="24"/>
          <w:lang w:val="en-US"/>
        </w:rPr>
        <w:t xml:space="preserve"> and </w:t>
      </w:r>
      <w:proofErr w:type="spellStart"/>
      <w:r w:rsidRPr="00876AB1">
        <w:rPr>
          <w:rFonts w:asciiTheme="majorHAnsi" w:hAnsiTheme="majorHAnsi"/>
          <w:sz w:val="24"/>
          <w:szCs w:val="24"/>
          <w:lang w:val="en-US"/>
        </w:rPr>
        <w:t>polysorbate</w:t>
      </w:r>
      <w:proofErr w:type="spellEnd"/>
      <w:r w:rsidR="003518CB">
        <w:rPr>
          <w:rFonts w:asciiTheme="majorHAnsi" w:hAnsiTheme="majorHAnsi"/>
          <w:sz w:val="24"/>
          <w:szCs w:val="24"/>
          <w:lang w:val="en-US"/>
        </w:rPr>
        <w:t xml:space="preserve"> </w:t>
      </w:r>
      <w:r w:rsidRPr="00876AB1">
        <w:rPr>
          <w:rFonts w:asciiTheme="majorHAnsi" w:hAnsiTheme="majorHAnsi"/>
          <w:sz w:val="24"/>
          <w:szCs w:val="24"/>
          <w:lang w:val="en-US"/>
        </w:rPr>
        <w:t>80 [</w:t>
      </w:r>
      <w:r w:rsidR="00434118" w:rsidRPr="00721DE8">
        <w:rPr>
          <w:rFonts w:asciiTheme="majorHAnsi" w:hAnsiTheme="majorHAnsi"/>
          <w:sz w:val="24"/>
          <w:szCs w:val="24"/>
          <w:lang w:val="en-US"/>
        </w:rPr>
        <w:t>10%</w:t>
      </w:r>
      <w:r w:rsidRPr="00721DE8">
        <w:rPr>
          <w:rFonts w:asciiTheme="majorHAnsi" w:hAnsiTheme="majorHAnsi"/>
          <w:sz w:val="24"/>
          <w:szCs w:val="24"/>
          <w:lang w:val="en-US"/>
        </w:rPr>
        <w:t>]</w:t>
      </w:r>
      <w:r w:rsidRPr="00876AB1">
        <w:rPr>
          <w:rFonts w:asciiTheme="majorHAnsi" w:hAnsiTheme="majorHAnsi"/>
          <w:sz w:val="24"/>
          <w:szCs w:val="24"/>
          <w:lang w:val="en-US"/>
        </w:rPr>
        <w:t xml:space="preserve"> and injecting it subcutaneously q24h.  Ultimately, only </w:t>
      </w:r>
      <w:proofErr w:type="spellStart"/>
      <w:r w:rsidRPr="00876AB1">
        <w:rPr>
          <w:rFonts w:asciiTheme="majorHAnsi" w:hAnsiTheme="majorHAnsi"/>
          <w:sz w:val="24"/>
          <w:szCs w:val="24"/>
          <w:lang w:val="en-US"/>
        </w:rPr>
        <w:t>s.c.</w:t>
      </w:r>
      <w:proofErr w:type="spellEnd"/>
      <w:r w:rsidRPr="00876AB1">
        <w:rPr>
          <w:rFonts w:asciiTheme="majorHAnsi" w:hAnsiTheme="majorHAnsi"/>
          <w:sz w:val="24"/>
          <w:szCs w:val="24"/>
          <w:lang w:val="en-US"/>
        </w:rPr>
        <w:t xml:space="preserve"> injection w</w:t>
      </w:r>
      <w:r w:rsidR="00EA189D">
        <w:rPr>
          <w:rFonts w:asciiTheme="majorHAnsi" w:hAnsiTheme="majorHAnsi"/>
          <w:sz w:val="24"/>
          <w:szCs w:val="24"/>
          <w:lang w:val="en-US"/>
        </w:rPr>
        <w:t>ith Tween80 showed any effect.  T</w:t>
      </w:r>
      <w:r w:rsidRPr="00876AB1">
        <w:rPr>
          <w:rFonts w:asciiTheme="majorHAnsi" w:hAnsiTheme="majorHAnsi"/>
          <w:sz w:val="24"/>
          <w:szCs w:val="24"/>
          <w:lang w:val="en-US"/>
        </w:rPr>
        <w:t xml:space="preserve">his </w:t>
      </w:r>
      <w:r w:rsidR="00EA189D">
        <w:rPr>
          <w:rFonts w:asciiTheme="majorHAnsi" w:hAnsiTheme="majorHAnsi"/>
          <w:sz w:val="24"/>
          <w:szCs w:val="24"/>
          <w:lang w:val="en-US"/>
        </w:rPr>
        <w:t xml:space="preserve">experiment </w:t>
      </w:r>
      <w:r w:rsidRPr="00876AB1">
        <w:rPr>
          <w:rFonts w:asciiTheme="majorHAnsi" w:hAnsiTheme="majorHAnsi"/>
          <w:sz w:val="24"/>
          <w:szCs w:val="24"/>
          <w:lang w:val="en-US"/>
        </w:rPr>
        <w:t xml:space="preserve">provided the impetus to further examine the orally bioavailable formulation developed by Janssen (see above). </w:t>
      </w:r>
    </w:p>
    <w:p w14:paraId="6F55E442" w14:textId="0DC8708F" w:rsidR="00EA189D" w:rsidRDefault="003B2CE2"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The pharmacokinetics of oral flubendazole was </w:t>
      </w:r>
      <w:r>
        <w:rPr>
          <w:rFonts w:asciiTheme="majorHAnsi" w:hAnsiTheme="majorHAnsi"/>
          <w:sz w:val="24"/>
          <w:szCs w:val="24"/>
          <w:lang w:val="en-US"/>
        </w:rPr>
        <w:t>determined</w:t>
      </w:r>
      <w:r w:rsidRPr="00876AB1">
        <w:rPr>
          <w:rFonts w:asciiTheme="majorHAnsi" w:hAnsiTheme="majorHAnsi"/>
          <w:sz w:val="24"/>
          <w:szCs w:val="24"/>
          <w:lang w:val="en-US"/>
        </w:rPr>
        <w:t xml:space="preserve"> with </w:t>
      </w:r>
      <w:r>
        <w:rPr>
          <w:rFonts w:asciiTheme="majorHAnsi" w:hAnsiTheme="majorHAnsi"/>
          <w:sz w:val="24"/>
          <w:szCs w:val="24"/>
          <w:lang w:val="en-US"/>
        </w:rPr>
        <w:t>two independently conducted</w:t>
      </w:r>
      <w:r w:rsidRPr="00876AB1">
        <w:rPr>
          <w:rFonts w:asciiTheme="majorHAnsi" w:hAnsiTheme="majorHAnsi"/>
          <w:sz w:val="24"/>
          <w:szCs w:val="24"/>
          <w:lang w:val="en-US"/>
        </w:rPr>
        <w:t xml:space="preserve"> experiments.  </w:t>
      </w:r>
      <w:r w:rsidR="00EA189D">
        <w:rPr>
          <w:rFonts w:asciiTheme="majorHAnsi" w:hAnsiTheme="majorHAnsi"/>
          <w:sz w:val="24"/>
          <w:szCs w:val="24"/>
          <w:lang w:val="en-US"/>
        </w:rPr>
        <w:t>Trea</w:t>
      </w:r>
      <w:r w:rsidR="00667548">
        <w:rPr>
          <w:rFonts w:asciiTheme="majorHAnsi" w:hAnsiTheme="majorHAnsi"/>
          <w:sz w:val="24"/>
          <w:szCs w:val="24"/>
          <w:lang w:val="en-US"/>
        </w:rPr>
        <w:t>tment was initiated 24 h</w:t>
      </w:r>
      <w:r w:rsidR="00EA189D">
        <w:rPr>
          <w:rFonts w:asciiTheme="majorHAnsi" w:hAnsiTheme="majorHAnsi"/>
          <w:sz w:val="24"/>
          <w:szCs w:val="24"/>
          <w:lang w:val="en-US"/>
        </w:rPr>
        <w:t>rs</w:t>
      </w:r>
      <w:r w:rsidR="00667548">
        <w:rPr>
          <w:rFonts w:asciiTheme="majorHAnsi" w:hAnsiTheme="majorHAnsi"/>
          <w:sz w:val="24"/>
          <w:szCs w:val="24"/>
          <w:lang w:val="en-US"/>
        </w:rPr>
        <w:t>.</w:t>
      </w:r>
      <w:r w:rsidR="00EA189D">
        <w:rPr>
          <w:rFonts w:asciiTheme="majorHAnsi" w:hAnsiTheme="majorHAnsi"/>
          <w:sz w:val="24"/>
          <w:szCs w:val="24"/>
          <w:lang w:val="en-US"/>
        </w:rPr>
        <w:t xml:space="preserve"> post-inoculation.  </w:t>
      </w:r>
      <w:r w:rsidRPr="00876AB1">
        <w:rPr>
          <w:rFonts w:asciiTheme="majorHAnsi" w:hAnsiTheme="majorHAnsi"/>
          <w:sz w:val="24"/>
          <w:szCs w:val="24"/>
          <w:lang w:val="en-US"/>
        </w:rPr>
        <w:t xml:space="preserve">Dosages of </w:t>
      </w:r>
      <w:r w:rsidR="00EA189D">
        <w:rPr>
          <w:rFonts w:asciiTheme="majorHAnsi" w:hAnsiTheme="majorHAnsi"/>
          <w:sz w:val="24"/>
          <w:szCs w:val="24"/>
          <w:lang w:val="en-US"/>
        </w:rPr>
        <w:t>2-12 mg/kg</w:t>
      </w:r>
      <w:r w:rsidRPr="00876AB1">
        <w:rPr>
          <w:rFonts w:asciiTheme="majorHAnsi" w:hAnsiTheme="majorHAnsi"/>
          <w:sz w:val="24"/>
          <w:szCs w:val="24"/>
          <w:lang w:val="en-US"/>
        </w:rPr>
        <w:t xml:space="preserve"> were </w:t>
      </w:r>
      <w:r w:rsidR="00EA189D">
        <w:rPr>
          <w:rFonts w:asciiTheme="majorHAnsi" w:hAnsiTheme="majorHAnsi"/>
          <w:sz w:val="24"/>
          <w:szCs w:val="24"/>
          <w:lang w:val="en-US"/>
        </w:rPr>
        <w:t>used</w:t>
      </w:r>
      <w:r w:rsidRPr="00876AB1">
        <w:rPr>
          <w:rFonts w:asciiTheme="majorHAnsi" w:hAnsiTheme="majorHAnsi"/>
          <w:sz w:val="24"/>
          <w:szCs w:val="24"/>
          <w:lang w:val="en-US"/>
        </w:rPr>
        <w:t xml:space="preserve">.  </w:t>
      </w:r>
      <w:r w:rsidR="00EA189D">
        <w:rPr>
          <w:rFonts w:asciiTheme="majorHAnsi" w:hAnsiTheme="majorHAnsi"/>
          <w:sz w:val="24"/>
          <w:szCs w:val="24"/>
          <w:lang w:val="en-US"/>
        </w:rPr>
        <w:t xml:space="preserve">Only the first dosing interval was studied.  </w:t>
      </w:r>
      <w:r w:rsidRPr="00876AB1">
        <w:rPr>
          <w:rFonts w:asciiTheme="majorHAnsi" w:hAnsiTheme="majorHAnsi"/>
          <w:sz w:val="24"/>
          <w:szCs w:val="24"/>
          <w:lang w:val="en-US"/>
        </w:rPr>
        <w:t xml:space="preserve">A serial sacrifice design was used with groups of n=3 mice that were sacrificed at </w:t>
      </w:r>
      <w:r w:rsidR="00EA189D">
        <w:rPr>
          <w:rFonts w:asciiTheme="majorHAnsi" w:hAnsiTheme="majorHAnsi"/>
          <w:sz w:val="24"/>
          <w:szCs w:val="24"/>
          <w:lang w:val="en-US"/>
        </w:rPr>
        <w:t>0.5, 1, 2, 8</w:t>
      </w:r>
      <w:r w:rsidRPr="00876AB1">
        <w:rPr>
          <w:rFonts w:asciiTheme="majorHAnsi" w:hAnsiTheme="majorHAnsi"/>
          <w:sz w:val="24"/>
          <w:szCs w:val="24"/>
          <w:lang w:val="en-US"/>
        </w:rPr>
        <w:t xml:space="preserve"> and </w:t>
      </w:r>
      <w:r w:rsidR="00EA189D">
        <w:rPr>
          <w:rFonts w:asciiTheme="majorHAnsi" w:hAnsiTheme="majorHAnsi"/>
          <w:sz w:val="24"/>
          <w:szCs w:val="24"/>
          <w:lang w:val="en-US"/>
        </w:rPr>
        <w:t>24</w:t>
      </w:r>
      <w:r w:rsidRPr="00876AB1">
        <w:rPr>
          <w:rFonts w:asciiTheme="majorHAnsi" w:hAnsiTheme="majorHAnsi"/>
          <w:sz w:val="24"/>
          <w:szCs w:val="24"/>
          <w:lang w:val="en-US"/>
        </w:rPr>
        <w:t xml:space="preserve"> hrs</w:t>
      </w:r>
      <w:r w:rsidR="00667548">
        <w:rPr>
          <w:rFonts w:asciiTheme="majorHAnsi" w:hAnsiTheme="majorHAnsi"/>
          <w:sz w:val="24"/>
          <w:szCs w:val="24"/>
          <w:lang w:val="en-US"/>
        </w:rPr>
        <w:t>.</w:t>
      </w:r>
      <w:r w:rsidRPr="00876AB1">
        <w:rPr>
          <w:rFonts w:asciiTheme="majorHAnsi" w:hAnsiTheme="majorHAnsi"/>
          <w:sz w:val="24"/>
          <w:szCs w:val="24"/>
          <w:lang w:val="en-US"/>
        </w:rPr>
        <w:t xml:space="preserve"> post-inoculation.  </w:t>
      </w:r>
    </w:p>
    <w:p w14:paraId="45246C23" w14:textId="542A3B40" w:rsidR="003B2CE2" w:rsidRPr="00876AB1" w:rsidRDefault="003B2CE2"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The pharmacodynamics of oral flubendazole was estimated over the course of </w:t>
      </w:r>
      <w:r w:rsidR="00EA189D">
        <w:rPr>
          <w:rFonts w:asciiTheme="majorHAnsi" w:hAnsiTheme="majorHAnsi"/>
          <w:sz w:val="24"/>
          <w:szCs w:val="24"/>
          <w:lang w:val="en-US"/>
        </w:rPr>
        <w:t>three</w:t>
      </w:r>
      <w:r w:rsidRPr="00876AB1">
        <w:rPr>
          <w:rFonts w:asciiTheme="majorHAnsi" w:hAnsiTheme="majorHAnsi"/>
          <w:sz w:val="24"/>
          <w:szCs w:val="24"/>
          <w:lang w:val="en-US"/>
        </w:rPr>
        <w:t xml:space="preserve"> separate indepe</w:t>
      </w:r>
      <w:r w:rsidR="0045326C">
        <w:rPr>
          <w:rFonts w:asciiTheme="majorHAnsi" w:hAnsiTheme="majorHAnsi"/>
          <w:sz w:val="24"/>
          <w:szCs w:val="24"/>
          <w:lang w:val="en-US"/>
        </w:rPr>
        <w:t xml:space="preserve">ndently conducted experiments.  </w:t>
      </w:r>
      <w:r w:rsidRPr="00876AB1">
        <w:rPr>
          <w:rFonts w:asciiTheme="majorHAnsi" w:hAnsiTheme="majorHAnsi"/>
          <w:sz w:val="24"/>
          <w:szCs w:val="24"/>
          <w:lang w:val="en-US"/>
        </w:rPr>
        <w:t>Groups of n=3 mice were sacrificed at time = 2, 24, 48, 96, 144 a</w:t>
      </w:r>
      <w:r w:rsidR="0045326C">
        <w:rPr>
          <w:rFonts w:asciiTheme="majorHAnsi" w:hAnsiTheme="majorHAnsi"/>
          <w:sz w:val="24"/>
          <w:szCs w:val="24"/>
          <w:lang w:val="en-US"/>
        </w:rPr>
        <w:t xml:space="preserve">nd 168 hours post inoculation.  </w:t>
      </w:r>
      <w:r w:rsidRPr="00876AB1">
        <w:rPr>
          <w:rFonts w:asciiTheme="majorHAnsi" w:hAnsiTheme="majorHAnsi"/>
          <w:sz w:val="24"/>
          <w:szCs w:val="24"/>
          <w:lang w:val="en-US"/>
        </w:rPr>
        <w:t>Dose finding studies were performed using flubendazole 2, 4, 6</w:t>
      </w:r>
      <w:r w:rsidR="0045326C">
        <w:rPr>
          <w:rFonts w:asciiTheme="majorHAnsi" w:hAnsiTheme="majorHAnsi"/>
          <w:sz w:val="24"/>
          <w:szCs w:val="24"/>
          <w:lang w:val="en-US"/>
        </w:rPr>
        <w:t xml:space="preserve">, 8, and 12 mg/kg q24h orally.  </w:t>
      </w:r>
      <w:r w:rsidRPr="00876AB1">
        <w:rPr>
          <w:rFonts w:asciiTheme="majorHAnsi" w:hAnsiTheme="majorHAnsi"/>
          <w:sz w:val="24"/>
          <w:szCs w:val="24"/>
          <w:lang w:val="en-US"/>
        </w:rPr>
        <w:t xml:space="preserve">The upper dosage was limited by the volume </w:t>
      </w:r>
      <w:r w:rsidRPr="00876AB1">
        <w:rPr>
          <w:rFonts w:asciiTheme="majorHAnsi" w:hAnsiTheme="majorHAnsi"/>
          <w:sz w:val="24"/>
          <w:szCs w:val="24"/>
          <w:lang w:val="en-US"/>
        </w:rPr>
        <w:lastRenderedPageBreak/>
        <w:t>restrictions for mice imposed Home Of</w:t>
      </w:r>
      <w:r>
        <w:rPr>
          <w:rFonts w:asciiTheme="majorHAnsi" w:hAnsiTheme="majorHAnsi"/>
          <w:sz w:val="24"/>
          <w:szCs w:val="24"/>
          <w:lang w:val="en-US"/>
        </w:rPr>
        <w:t>fice project license PPL40/3630</w:t>
      </w:r>
      <w:r w:rsidRPr="00876AB1">
        <w:rPr>
          <w:rFonts w:asciiTheme="majorHAnsi" w:hAnsiTheme="majorHAnsi"/>
          <w:sz w:val="24"/>
          <w:szCs w:val="24"/>
          <w:lang w:val="en-US"/>
        </w:rPr>
        <w:t>.</w:t>
      </w:r>
      <w:r>
        <w:rPr>
          <w:rFonts w:asciiTheme="majorHAnsi" w:hAnsiTheme="majorHAnsi"/>
          <w:sz w:val="24"/>
          <w:szCs w:val="24"/>
          <w:lang w:val="en-US"/>
        </w:rPr>
        <w:t xml:space="preserve">  </w:t>
      </w:r>
      <w:r w:rsidRPr="00876AB1">
        <w:rPr>
          <w:rFonts w:asciiTheme="majorHAnsi" w:hAnsiTheme="majorHAnsi"/>
          <w:sz w:val="24"/>
          <w:szCs w:val="24"/>
          <w:lang w:val="en-US"/>
        </w:rPr>
        <w:t xml:space="preserve">A fourth experiment compared 12 mg/kg q24 with 6 mg/kg q12h to examine whether more fractionated regimens provided any additional antifungal effect. </w:t>
      </w:r>
    </w:p>
    <w:p w14:paraId="5FED5087" w14:textId="56B32E4F" w:rsidR="003B2CE2" w:rsidRPr="00876AB1" w:rsidRDefault="003B2CE2" w:rsidP="00EB3D34">
      <w:pPr>
        <w:spacing w:after="120" w:line="480" w:lineRule="auto"/>
        <w:outlineLvl w:val="0"/>
        <w:rPr>
          <w:rFonts w:asciiTheme="majorHAnsi" w:hAnsiTheme="majorHAnsi"/>
          <w:b/>
          <w:i/>
          <w:sz w:val="24"/>
          <w:szCs w:val="24"/>
          <w:lang w:val="en-US"/>
        </w:rPr>
      </w:pPr>
      <w:r w:rsidRPr="00876AB1">
        <w:rPr>
          <w:rFonts w:asciiTheme="majorHAnsi" w:hAnsiTheme="majorHAnsi"/>
          <w:b/>
          <w:i/>
          <w:sz w:val="24"/>
          <w:szCs w:val="24"/>
          <w:lang w:val="en-US"/>
        </w:rPr>
        <w:t xml:space="preserve">Rabbit model of cryptococcal </w:t>
      </w:r>
      <w:r w:rsidR="003518CB">
        <w:rPr>
          <w:rFonts w:asciiTheme="majorHAnsi" w:hAnsiTheme="majorHAnsi"/>
          <w:b/>
          <w:i/>
          <w:sz w:val="24"/>
          <w:szCs w:val="24"/>
          <w:lang w:val="en-US"/>
        </w:rPr>
        <w:t>meningitis</w:t>
      </w:r>
      <w:r w:rsidRPr="00876AB1">
        <w:rPr>
          <w:rFonts w:asciiTheme="majorHAnsi" w:hAnsiTheme="majorHAnsi"/>
          <w:b/>
          <w:i/>
          <w:sz w:val="24"/>
          <w:szCs w:val="24"/>
          <w:lang w:val="en-US"/>
        </w:rPr>
        <w:t xml:space="preserve"> </w:t>
      </w:r>
    </w:p>
    <w:p w14:paraId="2E3724A9" w14:textId="3C7484ED" w:rsidR="003B2CE2" w:rsidRPr="00876AB1" w:rsidRDefault="003B2CE2"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A previously described and well-</w:t>
      </w:r>
      <w:r w:rsidR="00AC7771" w:rsidRPr="00876AB1">
        <w:rPr>
          <w:rFonts w:asciiTheme="majorHAnsi" w:hAnsiTheme="majorHAnsi"/>
          <w:sz w:val="24"/>
          <w:szCs w:val="24"/>
          <w:lang w:val="en-US"/>
        </w:rPr>
        <w:t>characterized</w:t>
      </w:r>
      <w:r w:rsidRPr="00876AB1">
        <w:rPr>
          <w:rFonts w:asciiTheme="majorHAnsi" w:hAnsiTheme="majorHAnsi"/>
          <w:sz w:val="24"/>
          <w:szCs w:val="24"/>
          <w:lang w:val="en-US"/>
        </w:rPr>
        <w:t xml:space="preserve"> rabbit model of cryptococcal meningoencephalitis </w:t>
      </w:r>
      <w:r w:rsidR="0045326C">
        <w:rPr>
          <w:rFonts w:asciiTheme="majorHAnsi" w:hAnsiTheme="majorHAnsi"/>
          <w:sz w:val="24"/>
          <w:szCs w:val="24"/>
          <w:lang w:val="en-US"/>
        </w:rPr>
        <w:fldChar w:fldCharType="begin" w:fldLock="1"/>
      </w:r>
      <w:r w:rsidR="005002A9">
        <w:rPr>
          <w:rFonts w:asciiTheme="majorHAnsi" w:hAnsiTheme="majorHAnsi"/>
          <w:sz w:val="24"/>
          <w:szCs w:val="24"/>
          <w:lang w:val="en-US"/>
        </w:rPr>
        <w:instrText>ADDIN CSL_CITATION { "citationItems" : [ { "id" : "ITEM-1", "itemData" : { "ISBN" : "0002-9440 (Print) 0002-9440 (Linking)", "PMID" : "7004196", "abstract" : "This paper describes the salient features of a new model for chronic cryptococcal meningitis in cortisone-treated rabbits. Normal rabbits soon recovered after intracisternal inoculation of Cryptococcus neoformans, but cortisone-treated animals developed chronic progressive meningitis that was fatal in 2-12 weeks. Incidence and severity of infection was related to cortisone dose, not to inoculum size. The number of mononuclear cells that migrated into the subarachnoid spaces and cerebrospinal fluid of infected rabbits was strikingly reduced by cortisone treatment. Rabbits with cryptococcal meningitis were febrile; their high body temperature did not confer resistance to this infection. Cortisone-treated rabbits provide a new and expedient laboratory model for cryptococcal disease. Potential applications include study of the pathogenesis of cryptococcosis, investigation of the immunobiology of the CNS in chronic meningitis, and in vivo evaluation of newer anticryptococcal treatment regimens.", "author" : [ { "dropping-particle" : "", "family" : "Perfect", "given" : "J R", "non-dropping-particle" : "", "parse-names" : false, "suffix" : "" }, { "dropping-particle" : "", "family" : "Lang", "given" : "S D", "non-dropping-particle" : "", "parse-names" : false, "suffix" : "" }, { "dropping-particle" : "", "family" : "Durack", "given" : "D T", "non-dropping-particle" : "", "parse-names" : false, "suffix" : "" } ], "container-title" : "Am J Pathol", "id" : "ITEM-1", "issue" : "1", "issued" : { "date-parts" : [ [ "1980" ] ] }, "language" : "eng", "note" : "From Duplicate 1 ( \n\nChronic cryptococcal meningitis: a new experimental model in rabbits\n\n- Perfect, J R; Lang, S D; Durack, D T )\n\n\n\nPerfect, J R\nLang, S D\nDurack, D T\nAm J Pathol. 1980 Oct;101(1):177-94.\n\n\n\nFrom Duplicate 2 ( \n\nChronic cryptococcal meningitis: a new experimental model in rabbits\n\n- Perfect, J R; Lang, S D; Durack, D T )\n\n\n\n0002-9440 (Print)\nJournal Article", "page" : "177-194", "title" : "Chronic cryptococcal meningitis: a new experimental model in rabbits", "type" : "article-journal", "volume" : "101" }, "uris" : [ "http://www.mendeley.com/documents/?uuid=d364cee3-9d87-4a07-8c77-54bcfe31276d", "http://www.mendeley.com/documents/?uuid=441f81db-77ff-4511-b2a8-2d3183bf060d" ] } ], "mendeley" : { "formattedCitation" : "(32)", "plainTextFormattedCitation" : "(32)", "previouslyFormattedCitation" : "(32)" }, "properties" : { "noteIndex" : 0 }, "schema" : "https://github.com/citation-style-language/schema/raw/master/csl-citation.json" }</w:instrText>
      </w:r>
      <w:r w:rsidR="0045326C">
        <w:rPr>
          <w:rFonts w:asciiTheme="majorHAnsi" w:hAnsiTheme="majorHAnsi"/>
          <w:sz w:val="24"/>
          <w:szCs w:val="24"/>
          <w:lang w:val="en-US"/>
        </w:rPr>
        <w:fldChar w:fldCharType="separate"/>
      </w:r>
      <w:r w:rsidR="005002A9" w:rsidRPr="005002A9">
        <w:rPr>
          <w:rFonts w:asciiTheme="majorHAnsi" w:hAnsiTheme="majorHAnsi"/>
          <w:noProof/>
          <w:sz w:val="24"/>
          <w:szCs w:val="24"/>
          <w:lang w:val="en-US"/>
        </w:rPr>
        <w:t>(32)</w:t>
      </w:r>
      <w:r w:rsidR="0045326C">
        <w:rPr>
          <w:rFonts w:asciiTheme="majorHAnsi" w:hAnsiTheme="majorHAnsi"/>
          <w:sz w:val="24"/>
          <w:szCs w:val="24"/>
          <w:lang w:val="en-US"/>
        </w:rPr>
        <w:fldChar w:fldCharType="end"/>
      </w:r>
      <w:r w:rsidR="0045326C">
        <w:rPr>
          <w:rFonts w:asciiTheme="majorHAnsi" w:hAnsiTheme="majorHAnsi"/>
          <w:sz w:val="24"/>
          <w:szCs w:val="24"/>
          <w:lang w:val="en-US"/>
        </w:rPr>
        <w:t xml:space="preserve"> </w:t>
      </w:r>
      <w:r w:rsidRPr="00876AB1">
        <w:rPr>
          <w:rFonts w:asciiTheme="majorHAnsi" w:hAnsiTheme="majorHAnsi"/>
          <w:sz w:val="24"/>
          <w:szCs w:val="24"/>
          <w:lang w:val="en-US"/>
        </w:rPr>
        <w:t>was used to further investigate the pharmacodynamics of flubendazole.</w:t>
      </w:r>
      <w:r>
        <w:rPr>
          <w:rFonts w:asciiTheme="majorHAnsi" w:hAnsiTheme="majorHAnsi"/>
          <w:sz w:val="24"/>
          <w:szCs w:val="24"/>
          <w:lang w:val="en-US"/>
        </w:rPr>
        <w:t xml:space="preserve"> </w:t>
      </w:r>
      <w:r w:rsidRPr="00876AB1">
        <w:rPr>
          <w:rFonts w:asciiTheme="majorHAnsi" w:hAnsiTheme="majorHAnsi"/>
          <w:sz w:val="24"/>
          <w:szCs w:val="24"/>
          <w:lang w:val="en-US"/>
        </w:rPr>
        <w:t xml:space="preserve"> Male New Zealand White rabbits were purchased from Harlan.  Rabbits weighed 2.5-3 kg at the time of experimentation.  Rabbits were immunosuppressed intramuscularly with hydrocortisone 10mg/kg day -1 relative to </w:t>
      </w:r>
      <w:r w:rsidRPr="00EF774A">
        <w:rPr>
          <w:rFonts w:asciiTheme="majorHAnsi" w:hAnsiTheme="majorHAnsi"/>
          <w:sz w:val="24"/>
          <w:szCs w:val="24"/>
          <w:lang w:val="en-US"/>
        </w:rPr>
        <w:t>infection and then daily throughout the experiment</w:t>
      </w:r>
      <w:r w:rsidR="00E02F62">
        <w:rPr>
          <w:rFonts w:asciiTheme="majorHAnsi" w:hAnsiTheme="majorHAnsi"/>
          <w:sz w:val="24"/>
          <w:szCs w:val="24"/>
          <w:lang w:val="en-US"/>
        </w:rPr>
        <w:t>.</w:t>
      </w:r>
    </w:p>
    <w:p w14:paraId="1486242A" w14:textId="493A8A10" w:rsidR="003B2CE2" w:rsidRPr="00876AB1" w:rsidRDefault="003B2CE2"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Cryptococcal meningoencephalitis was induced with the intra</w:t>
      </w:r>
      <w:r w:rsidR="006576A3">
        <w:rPr>
          <w:rFonts w:asciiTheme="majorHAnsi" w:hAnsiTheme="majorHAnsi"/>
          <w:sz w:val="24"/>
          <w:szCs w:val="24"/>
          <w:lang w:val="en-US"/>
        </w:rPr>
        <w:t>-</w:t>
      </w:r>
      <w:proofErr w:type="spellStart"/>
      <w:r w:rsidRPr="00876AB1">
        <w:rPr>
          <w:rFonts w:asciiTheme="majorHAnsi" w:hAnsiTheme="majorHAnsi"/>
          <w:sz w:val="24"/>
          <w:szCs w:val="24"/>
          <w:lang w:val="en-US"/>
        </w:rPr>
        <w:t>cisternal</w:t>
      </w:r>
      <w:proofErr w:type="spellEnd"/>
      <w:r w:rsidRPr="00876AB1">
        <w:rPr>
          <w:rFonts w:asciiTheme="majorHAnsi" w:hAnsiTheme="majorHAnsi"/>
          <w:sz w:val="24"/>
          <w:szCs w:val="24"/>
          <w:lang w:val="en-US"/>
        </w:rPr>
        <w:t xml:space="preserve"> inoculation of </w:t>
      </w:r>
      <w:r w:rsidR="00F553C8">
        <w:rPr>
          <w:rFonts w:asciiTheme="majorHAnsi" w:hAnsiTheme="majorHAnsi"/>
          <w:sz w:val="24"/>
          <w:szCs w:val="24"/>
          <w:lang w:val="en-US"/>
        </w:rPr>
        <w:t>0.</w:t>
      </w:r>
      <w:r w:rsidR="00434118">
        <w:rPr>
          <w:rFonts w:asciiTheme="majorHAnsi" w:hAnsiTheme="majorHAnsi"/>
          <w:sz w:val="24"/>
          <w:szCs w:val="24"/>
          <w:lang w:val="en-US"/>
        </w:rPr>
        <w:t>25</w:t>
      </w:r>
      <w:r w:rsidRPr="00876AB1">
        <w:rPr>
          <w:rFonts w:asciiTheme="majorHAnsi" w:hAnsiTheme="majorHAnsi"/>
          <w:sz w:val="24"/>
          <w:szCs w:val="24"/>
          <w:lang w:val="en-US"/>
        </w:rPr>
        <w:t xml:space="preserve"> mL of a suspension containing 3</w:t>
      </w:r>
      <w:r w:rsidR="00434118">
        <w:rPr>
          <w:rFonts w:asciiTheme="majorHAnsi" w:hAnsiTheme="majorHAnsi"/>
          <w:sz w:val="24"/>
          <w:szCs w:val="24"/>
          <w:lang w:val="en-US"/>
        </w:rPr>
        <w:t>.8</w:t>
      </w:r>
      <w:r w:rsidRPr="00876AB1">
        <w:rPr>
          <w:rFonts w:asciiTheme="majorHAnsi" w:hAnsiTheme="majorHAnsi"/>
          <w:sz w:val="24"/>
          <w:szCs w:val="24"/>
          <w:lang w:val="en-US"/>
        </w:rPr>
        <w:t xml:space="preserve"> x 10</w:t>
      </w:r>
      <w:r w:rsidRPr="00876AB1">
        <w:rPr>
          <w:rFonts w:asciiTheme="majorHAnsi" w:hAnsiTheme="majorHAnsi"/>
          <w:sz w:val="24"/>
          <w:szCs w:val="24"/>
          <w:vertAlign w:val="superscript"/>
          <w:lang w:val="en-US"/>
        </w:rPr>
        <w:t>8</w:t>
      </w:r>
      <w:r w:rsidRPr="00876AB1">
        <w:rPr>
          <w:rFonts w:asciiTheme="majorHAnsi" w:hAnsiTheme="majorHAnsi"/>
          <w:sz w:val="24"/>
          <w:szCs w:val="24"/>
          <w:lang w:val="en-US"/>
        </w:rPr>
        <w:t xml:space="preserve"> CFU/mL under general anesthesia (induced with </w:t>
      </w:r>
      <w:proofErr w:type="spellStart"/>
      <w:r w:rsidRPr="00876AB1">
        <w:rPr>
          <w:rFonts w:asciiTheme="majorHAnsi" w:hAnsiTheme="majorHAnsi"/>
          <w:sz w:val="24"/>
          <w:szCs w:val="24"/>
          <w:lang w:val="en-US"/>
        </w:rPr>
        <w:t>metedomidine</w:t>
      </w:r>
      <w:proofErr w:type="spellEnd"/>
      <w:r w:rsidRPr="00876AB1">
        <w:rPr>
          <w:rFonts w:asciiTheme="majorHAnsi" w:hAnsiTheme="majorHAnsi"/>
          <w:sz w:val="24"/>
          <w:szCs w:val="24"/>
          <w:lang w:val="en-US"/>
        </w:rPr>
        <w:t xml:space="preserve"> and ketamine).  This inoculum results in progressive infection that manifests as an increase in fungal burden in the CSF and reproducible encephalitis.  There is minimal clinical disease with no demonstrable neurological sig</w:t>
      </w:r>
      <w:r w:rsidR="003518CB">
        <w:rPr>
          <w:rFonts w:asciiTheme="majorHAnsi" w:hAnsiTheme="majorHAnsi"/>
          <w:sz w:val="24"/>
          <w:szCs w:val="24"/>
          <w:lang w:val="en-US"/>
        </w:rPr>
        <w:t xml:space="preserve">ns in the experimental period.  </w:t>
      </w:r>
      <w:r w:rsidRPr="00876AB1">
        <w:rPr>
          <w:rFonts w:asciiTheme="majorHAnsi" w:hAnsiTheme="majorHAnsi"/>
          <w:sz w:val="24"/>
          <w:szCs w:val="24"/>
          <w:lang w:val="en-US"/>
        </w:rPr>
        <w:t xml:space="preserve">Mortality always occurred in the context of </w:t>
      </w:r>
      <w:proofErr w:type="spellStart"/>
      <w:r w:rsidRPr="00876AB1">
        <w:rPr>
          <w:rFonts w:asciiTheme="majorHAnsi" w:hAnsiTheme="majorHAnsi"/>
          <w:sz w:val="24"/>
          <w:szCs w:val="24"/>
          <w:lang w:val="en-US"/>
        </w:rPr>
        <w:t>cisternal</w:t>
      </w:r>
      <w:proofErr w:type="spellEnd"/>
      <w:r w:rsidRPr="00876AB1">
        <w:rPr>
          <w:rFonts w:asciiTheme="majorHAnsi" w:hAnsiTheme="majorHAnsi"/>
          <w:sz w:val="24"/>
          <w:szCs w:val="24"/>
          <w:lang w:val="en-US"/>
        </w:rPr>
        <w:t xml:space="preserve"> tapping and repeated anesthesia rather than </w:t>
      </w:r>
      <w:r>
        <w:rPr>
          <w:rFonts w:asciiTheme="majorHAnsi" w:hAnsiTheme="majorHAnsi"/>
          <w:sz w:val="24"/>
          <w:szCs w:val="24"/>
          <w:lang w:val="en-US"/>
        </w:rPr>
        <w:t>from</w:t>
      </w:r>
      <w:r w:rsidRPr="00876AB1">
        <w:rPr>
          <w:rFonts w:asciiTheme="majorHAnsi" w:hAnsiTheme="majorHAnsi"/>
          <w:sz w:val="24"/>
          <w:szCs w:val="24"/>
          <w:lang w:val="en-US"/>
        </w:rPr>
        <w:t xml:space="preserve"> progressive infection. </w:t>
      </w:r>
    </w:p>
    <w:p w14:paraId="46729368" w14:textId="77777777" w:rsidR="003B2CE2" w:rsidRPr="00876AB1" w:rsidRDefault="003B2CE2" w:rsidP="00EB3D34">
      <w:pPr>
        <w:spacing w:after="120" w:line="480" w:lineRule="auto"/>
        <w:outlineLvl w:val="0"/>
        <w:rPr>
          <w:rFonts w:asciiTheme="majorHAnsi" w:hAnsiTheme="majorHAnsi"/>
          <w:b/>
          <w:i/>
          <w:sz w:val="24"/>
          <w:szCs w:val="24"/>
          <w:lang w:val="en-US"/>
        </w:rPr>
      </w:pPr>
      <w:r w:rsidRPr="00876AB1">
        <w:rPr>
          <w:rFonts w:asciiTheme="majorHAnsi" w:hAnsiTheme="majorHAnsi"/>
          <w:b/>
          <w:i/>
          <w:sz w:val="24"/>
          <w:szCs w:val="24"/>
          <w:lang w:val="en-US"/>
        </w:rPr>
        <w:t>Pharmacodynamic and Pharmacokinetic studies in Rabbits</w:t>
      </w:r>
    </w:p>
    <w:p w14:paraId="348DD32D" w14:textId="6B333D34" w:rsidR="003B2CE2" w:rsidRDefault="003B2CE2" w:rsidP="00EB3D34">
      <w:pPr>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 xml:space="preserve">PK-PD relationships in the rabbit were estimated in two independently conducted experiments consisting of 6 rabbits in each experiment.  </w:t>
      </w:r>
      <w:r w:rsidR="003518CB">
        <w:rPr>
          <w:rFonts w:asciiTheme="majorHAnsi" w:hAnsiTheme="majorHAnsi"/>
          <w:sz w:val="24"/>
          <w:szCs w:val="24"/>
          <w:lang w:val="en-US"/>
        </w:rPr>
        <w:t>Rabbits were placed under general anesthesia for removal of CSF via intra-</w:t>
      </w:r>
      <w:proofErr w:type="spellStart"/>
      <w:r w:rsidR="003518CB">
        <w:rPr>
          <w:rFonts w:asciiTheme="majorHAnsi" w:hAnsiTheme="majorHAnsi"/>
          <w:sz w:val="24"/>
          <w:szCs w:val="24"/>
          <w:lang w:val="en-US"/>
        </w:rPr>
        <w:t>cisternal</w:t>
      </w:r>
      <w:proofErr w:type="spellEnd"/>
      <w:r w:rsidR="003518CB">
        <w:rPr>
          <w:rFonts w:asciiTheme="majorHAnsi" w:hAnsiTheme="majorHAnsi"/>
          <w:sz w:val="24"/>
          <w:szCs w:val="24"/>
          <w:lang w:val="en-US"/>
        </w:rPr>
        <w:t xml:space="preserve"> tapping at 48 hour intervals.  </w:t>
      </w:r>
      <w:r w:rsidRPr="00876AB1">
        <w:rPr>
          <w:rFonts w:asciiTheme="majorHAnsi" w:hAnsiTheme="majorHAnsi"/>
          <w:sz w:val="24"/>
          <w:szCs w:val="24"/>
          <w:lang w:val="en-US"/>
        </w:rPr>
        <w:t xml:space="preserve">Over the course of the two experiments there were n=3 controls (1 rabbit died after being tapped), flubendazole 6 </w:t>
      </w:r>
      <w:r w:rsidRPr="00876AB1">
        <w:rPr>
          <w:rFonts w:asciiTheme="majorHAnsi" w:hAnsiTheme="majorHAnsi"/>
          <w:sz w:val="24"/>
          <w:szCs w:val="24"/>
          <w:lang w:val="en-US"/>
        </w:rPr>
        <w:lastRenderedPageBreak/>
        <w:t>mg/kg q24h (n=6) and 22.5 mg/kg q24h (n=6).  The maximum dosage that was used was limited by the formulation provided by Janssen and the limits of oral gavage in rabbit (15 mL/kg/day).</w:t>
      </w:r>
      <w:r w:rsidR="00667548">
        <w:rPr>
          <w:rFonts w:asciiTheme="majorHAnsi" w:hAnsiTheme="majorHAnsi"/>
          <w:sz w:val="24"/>
          <w:szCs w:val="24"/>
          <w:lang w:val="en-US"/>
        </w:rPr>
        <w:t xml:space="preserve">  Treatment was initiated 48 h</w:t>
      </w:r>
      <w:r w:rsidRPr="00876AB1">
        <w:rPr>
          <w:rFonts w:asciiTheme="majorHAnsi" w:hAnsiTheme="majorHAnsi"/>
          <w:sz w:val="24"/>
          <w:szCs w:val="24"/>
          <w:lang w:val="en-US"/>
        </w:rPr>
        <w:t>rs</w:t>
      </w:r>
      <w:r w:rsidR="00667548">
        <w:rPr>
          <w:rFonts w:asciiTheme="majorHAnsi" w:hAnsiTheme="majorHAnsi"/>
          <w:sz w:val="24"/>
          <w:szCs w:val="24"/>
          <w:lang w:val="en-US"/>
        </w:rPr>
        <w:t>.</w:t>
      </w:r>
      <w:r w:rsidR="00721DE8">
        <w:rPr>
          <w:rFonts w:asciiTheme="majorHAnsi" w:hAnsiTheme="majorHAnsi"/>
          <w:sz w:val="24"/>
          <w:szCs w:val="24"/>
          <w:lang w:val="en-US"/>
        </w:rPr>
        <w:t xml:space="preserve"> post-</w:t>
      </w:r>
      <w:r w:rsidRPr="00876AB1">
        <w:rPr>
          <w:rFonts w:asciiTheme="majorHAnsi" w:hAnsiTheme="majorHAnsi"/>
          <w:sz w:val="24"/>
          <w:szCs w:val="24"/>
          <w:lang w:val="en-US"/>
        </w:rPr>
        <w:t>inoculation, and continued for 10 days, after which time all rabbits were sacrificed.  Thus, the total duration of the experiment was 288 hours.</w:t>
      </w:r>
    </w:p>
    <w:p w14:paraId="77CBA8C8" w14:textId="77777777" w:rsidR="00AC7771" w:rsidRDefault="00AC7771" w:rsidP="00EB3D34">
      <w:pPr>
        <w:spacing w:after="120" w:line="480" w:lineRule="auto"/>
        <w:ind w:firstLine="720"/>
        <w:rPr>
          <w:rFonts w:asciiTheme="majorHAnsi" w:hAnsiTheme="majorHAnsi"/>
          <w:sz w:val="24"/>
          <w:szCs w:val="24"/>
          <w:lang w:val="en-US"/>
        </w:rPr>
      </w:pPr>
    </w:p>
    <w:p w14:paraId="3B9F6BBE" w14:textId="77777777" w:rsidR="003B2CE2" w:rsidRPr="00876AB1" w:rsidRDefault="003B2CE2" w:rsidP="00EB3D34">
      <w:pPr>
        <w:spacing w:after="120" w:line="480" w:lineRule="auto"/>
        <w:outlineLvl w:val="0"/>
        <w:rPr>
          <w:rFonts w:asciiTheme="majorHAnsi" w:hAnsiTheme="majorHAnsi"/>
          <w:b/>
          <w:i/>
          <w:sz w:val="24"/>
          <w:szCs w:val="24"/>
          <w:lang w:val="en-US"/>
        </w:rPr>
      </w:pPr>
      <w:r w:rsidRPr="00876AB1">
        <w:rPr>
          <w:rFonts w:asciiTheme="majorHAnsi" w:hAnsiTheme="majorHAnsi"/>
          <w:b/>
          <w:i/>
          <w:sz w:val="24"/>
          <w:szCs w:val="24"/>
          <w:lang w:val="en-US"/>
        </w:rPr>
        <w:t>Measurement of flubendazole concentrations using LC/MS/MS</w:t>
      </w:r>
    </w:p>
    <w:p w14:paraId="6DF53B60" w14:textId="69391960" w:rsidR="003B2CE2" w:rsidRPr="00876AB1" w:rsidRDefault="003B2CE2" w:rsidP="00EB3D34">
      <w:pPr>
        <w:autoSpaceDE w:val="0"/>
        <w:autoSpaceDN w:val="0"/>
        <w:adjustRightInd w:val="0"/>
        <w:spacing w:after="120" w:line="480" w:lineRule="auto"/>
        <w:ind w:firstLine="720"/>
        <w:rPr>
          <w:rFonts w:asciiTheme="majorHAnsi" w:hAnsiTheme="majorHAnsi"/>
          <w:sz w:val="24"/>
          <w:szCs w:val="24"/>
          <w:lang w:val="en-US"/>
        </w:rPr>
      </w:pPr>
      <w:r w:rsidRPr="00876AB1">
        <w:rPr>
          <w:rFonts w:asciiTheme="majorHAnsi" w:hAnsiTheme="majorHAnsi"/>
          <w:sz w:val="24"/>
          <w:szCs w:val="24"/>
          <w:lang w:val="en-US"/>
        </w:rPr>
        <w:t>Flubendazole concentrations in all matrices were measured using a validated ultrahigh-performance liquid chromatography tandem mass spectrometry implemented on an Agilent 6420 Triple Quad Mass spectrometer and a</w:t>
      </w:r>
      <w:r w:rsidR="00393938">
        <w:rPr>
          <w:rFonts w:asciiTheme="majorHAnsi" w:hAnsiTheme="majorHAnsi"/>
          <w:sz w:val="24"/>
          <w:szCs w:val="24"/>
          <w:lang w:val="en-US"/>
        </w:rPr>
        <w:t>n</w:t>
      </w:r>
      <w:r w:rsidRPr="00876AB1">
        <w:rPr>
          <w:rFonts w:asciiTheme="majorHAnsi" w:hAnsiTheme="majorHAnsi"/>
          <w:sz w:val="24"/>
          <w:szCs w:val="24"/>
          <w:lang w:val="en-US"/>
        </w:rPr>
        <w:t xml:space="preserve"> Agilent 1290 infinity LC system (Agilent Technologies UK Ltd, Cheshire, UK).  Flubendazole was extracted by protein precipitation by adding 300 µL of a 50:50 mix of </w:t>
      </w:r>
      <w:proofErr w:type="spellStart"/>
      <w:proofErr w:type="gramStart"/>
      <w:r w:rsidRPr="00876AB1">
        <w:rPr>
          <w:rFonts w:asciiTheme="majorHAnsi" w:hAnsiTheme="majorHAnsi"/>
          <w:sz w:val="24"/>
          <w:szCs w:val="24"/>
          <w:lang w:val="en-US"/>
        </w:rPr>
        <w:t>acetonitrile:methanol</w:t>
      </w:r>
      <w:proofErr w:type="spellEnd"/>
      <w:proofErr w:type="gramEnd"/>
      <w:r w:rsidRPr="00876AB1">
        <w:rPr>
          <w:rFonts w:asciiTheme="majorHAnsi" w:hAnsiTheme="majorHAnsi"/>
          <w:sz w:val="24"/>
          <w:szCs w:val="24"/>
          <w:lang w:val="en-US"/>
        </w:rPr>
        <w:t xml:space="preserve"> that contained the internal standard (6,7-Dimethyl-2,3-di(2-pyridyl) </w:t>
      </w:r>
      <w:proofErr w:type="spellStart"/>
      <w:r w:rsidRPr="00876AB1">
        <w:rPr>
          <w:rFonts w:asciiTheme="majorHAnsi" w:hAnsiTheme="majorHAnsi"/>
          <w:sz w:val="24"/>
          <w:szCs w:val="24"/>
          <w:lang w:val="en-US"/>
        </w:rPr>
        <w:t>quinoxaline</w:t>
      </w:r>
      <w:proofErr w:type="spellEnd"/>
      <w:r w:rsidRPr="00876AB1">
        <w:rPr>
          <w:rFonts w:asciiTheme="majorHAnsi" w:hAnsiTheme="majorHAnsi"/>
          <w:sz w:val="24"/>
          <w:szCs w:val="24"/>
          <w:lang w:val="en-US"/>
        </w:rPr>
        <w:t xml:space="preserve">; Sigma Aldrich, Dorset, UK) at a final concentration of 1 mg/L to 30µL of each matrix.  </w:t>
      </w:r>
    </w:p>
    <w:p w14:paraId="73F3CC88" w14:textId="77777777" w:rsidR="003B2CE2" w:rsidRPr="00E762B4" w:rsidRDefault="003B2CE2" w:rsidP="00EB3D34">
      <w:pPr>
        <w:autoSpaceDE w:val="0"/>
        <w:autoSpaceDN w:val="0"/>
        <w:spacing w:after="120" w:line="480" w:lineRule="auto"/>
        <w:ind w:firstLine="720"/>
        <w:rPr>
          <w:sz w:val="24"/>
          <w:szCs w:val="24"/>
          <w:lang w:val="en-US"/>
        </w:rPr>
      </w:pPr>
      <w:r w:rsidRPr="00876AB1">
        <w:rPr>
          <w:rFonts w:asciiTheme="majorHAnsi" w:hAnsiTheme="majorHAnsi"/>
          <w:sz w:val="24"/>
          <w:szCs w:val="24"/>
          <w:lang w:val="en-US"/>
        </w:rPr>
        <w:t xml:space="preserve">The extraction was performed in 96-well Sirocco protein precipitation plates (Waters, UK).  Samples were then shaken for 2 mins and then extracted using a 96-postive pressure manifold (Waters, UK).  A total of 200 µL of the supernatant was removed and placed in a 96 well plate.  One µL was injected on an Agilent a </w:t>
      </w:r>
      <w:proofErr w:type="spellStart"/>
      <w:r w:rsidRPr="00876AB1">
        <w:rPr>
          <w:rFonts w:asciiTheme="majorHAnsi" w:hAnsiTheme="majorHAnsi"/>
          <w:sz w:val="24"/>
          <w:szCs w:val="24"/>
          <w:lang w:val="en-US"/>
        </w:rPr>
        <w:t>Zorbax</w:t>
      </w:r>
      <w:proofErr w:type="spellEnd"/>
      <w:r w:rsidRPr="00876AB1">
        <w:rPr>
          <w:rFonts w:asciiTheme="majorHAnsi" w:hAnsiTheme="majorHAnsi"/>
          <w:sz w:val="24"/>
          <w:szCs w:val="24"/>
          <w:lang w:val="en-US"/>
        </w:rPr>
        <w:t xml:space="preserve"> Eclipse Plus C18 column (2.1 by 50 mm, 1.8-m particle size; Agilent Technologies UK Ltd, Cheshire, UK).  Chromatographic separation was achieved using a gradient with the starting conditions of a 60:40 mix of A (0.1% formic acid in water) and B (0.1% formic acid in </w:t>
      </w:r>
      <w:r w:rsidRPr="00A85965">
        <w:rPr>
          <w:rFonts w:asciiTheme="majorHAnsi" w:hAnsiTheme="majorHAnsi"/>
          <w:sz w:val="24"/>
          <w:szCs w:val="24"/>
          <w:lang w:val="en-US"/>
        </w:rPr>
        <w:t xml:space="preserve">acetonitrile). </w:t>
      </w:r>
      <w:r>
        <w:rPr>
          <w:rFonts w:asciiTheme="majorHAnsi" w:hAnsiTheme="majorHAnsi"/>
          <w:sz w:val="24"/>
          <w:szCs w:val="24"/>
          <w:lang w:val="en-US"/>
        </w:rPr>
        <w:t xml:space="preserve"> </w:t>
      </w:r>
      <w:r w:rsidRPr="00E762B4">
        <w:rPr>
          <w:rFonts w:asciiTheme="majorHAnsi" w:hAnsiTheme="majorHAnsi"/>
          <w:sz w:val="24"/>
          <w:szCs w:val="24"/>
          <w:lang w:val="en-US"/>
        </w:rPr>
        <w:t xml:space="preserve">The ratio of </w:t>
      </w:r>
      <w:proofErr w:type="gramStart"/>
      <w:r w:rsidRPr="00E762B4">
        <w:rPr>
          <w:rFonts w:asciiTheme="majorHAnsi" w:hAnsiTheme="majorHAnsi"/>
          <w:sz w:val="24"/>
          <w:szCs w:val="24"/>
          <w:lang w:val="en-US"/>
        </w:rPr>
        <w:t>A:B</w:t>
      </w:r>
      <w:proofErr w:type="gramEnd"/>
      <w:r w:rsidRPr="00E762B4">
        <w:rPr>
          <w:rFonts w:asciiTheme="majorHAnsi" w:hAnsiTheme="majorHAnsi"/>
          <w:sz w:val="24"/>
          <w:szCs w:val="24"/>
          <w:lang w:val="en-US"/>
        </w:rPr>
        <w:t xml:space="preserve"> changed to 20:80 over 2 minutes and then returned to the starting conditions (60:40) for 1 minute of equilibration.</w:t>
      </w:r>
      <w:r>
        <w:rPr>
          <w:sz w:val="24"/>
          <w:szCs w:val="24"/>
          <w:lang w:val="en-US"/>
        </w:rPr>
        <w:t xml:space="preserve"> </w:t>
      </w:r>
    </w:p>
    <w:p w14:paraId="6AFA6495" w14:textId="77777777" w:rsidR="003B2CE2" w:rsidRPr="00876AB1" w:rsidRDefault="003B2CE2" w:rsidP="00EB3D34">
      <w:pPr>
        <w:autoSpaceDE w:val="0"/>
        <w:autoSpaceDN w:val="0"/>
        <w:adjustRightInd w:val="0"/>
        <w:spacing w:after="120" w:line="480" w:lineRule="auto"/>
        <w:rPr>
          <w:rFonts w:asciiTheme="majorHAnsi" w:hAnsiTheme="majorHAnsi"/>
          <w:sz w:val="24"/>
          <w:szCs w:val="24"/>
          <w:lang w:val="en-US"/>
        </w:rPr>
      </w:pPr>
      <w:r w:rsidRPr="00876AB1">
        <w:rPr>
          <w:rFonts w:asciiTheme="majorHAnsi" w:hAnsiTheme="majorHAnsi"/>
          <w:sz w:val="24"/>
          <w:szCs w:val="24"/>
          <w:lang w:val="en-US"/>
        </w:rPr>
        <w:lastRenderedPageBreak/>
        <w:tab/>
        <w:t xml:space="preserve">The mass spectrometer was operated in multiple reaction monitoring (MRM) scan mode in positive polarity. The precursor ion for flubendazole and internal standard was 314.1m/z, and 313.15 m/z, respectively. The product ion for flubendazole and internal standard was 282.1 m/z and 284.1 m/z, respectively.  The source parameters were set as 4000 V for capillary voltage, 350°C for gas temperature, and 60 </w:t>
      </w:r>
      <w:proofErr w:type="spellStart"/>
      <w:r w:rsidRPr="00876AB1">
        <w:rPr>
          <w:rFonts w:asciiTheme="majorHAnsi" w:hAnsiTheme="majorHAnsi"/>
          <w:sz w:val="24"/>
          <w:szCs w:val="24"/>
          <w:lang w:val="en-US"/>
        </w:rPr>
        <w:t>lb</w:t>
      </w:r>
      <w:proofErr w:type="spellEnd"/>
      <w:r w:rsidRPr="00876AB1">
        <w:rPr>
          <w:rFonts w:asciiTheme="majorHAnsi" w:hAnsiTheme="majorHAnsi"/>
          <w:sz w:val="24"/>
          <w:szCs w:val="24"/>
          <w:lang w:val="en-US"/>
        </w:rPr>
        <w:t>/in</w:t>
      </w:r>
      <w:r w:rsidRPr="00876AB1">
        <w:rPr>
          <w:rFonts w:asciiTheme="majorHAnsi" w:hAnsiTheme="majorHAnsi"/>
          <w:sz w:val="24"/>
          <w:szCs w:val="24"/>
          <w:vertAlign w:val="superscript"/>
          <w:lang w:val="en-US"/>
        </w:rPr>
        <w:t>2</w:t>
      </w:r>
      <w:r w:rsidRPr="00876AB1">
        <w:rPr>
          <w:rFonts w:asciiTheme="majorHAnsi" w:hAnsiTheme="majorHAnsi"/>
          <w:sz w:val="24"/>
          <w:szCs w:val="24"/>
          <w:lang w:val="en-US"/>
        </w:rPr>
        <w:t xml:space="preserve"> for the nebulizer gas.  </w:t>
      </w:r>
    </w:p>
    <w:p w14:paraId="22F1869E" w14:textId="77777777" w:rsidR="003B2CE2" w:rsidRPr="00876AB1" w:rsidRDefault="003B2CE2" w:rsidP="00EB3D34">
      <w:pPr>
        <w:autoSpaceDE w:val="0"/>
        <w:autoSpaceDN w:val="0"/>
        <w:adjustRightInd w:val="0"/>
        <w:spacing w:after="120" w:line="480" w:lineRule="auto"/>
        <w:ind w:firstLine="720"/>
        <w:rPr>
          <w:rFonts w:asciiTheme="majorHAnsi" w:hAnsiTheme="majorHAnsi" w:cs="Times New Roman"/>
          <w:sz w:val="24"/>
          <w:szCs w:val="24"/>
          <w:lang w:val="en-US"/>
        </w:rPr>
      </w:pPr>
      <w:r w:rsidRPr="00876AB1">
        <w:rPr>
          <w:rFonts w:asciiTheme="majorHAnsi" w:hAnsiTheme="majorHAnsi"/>
          <w:sz w:val="24"/>
          <w:szCs w:val="24"/>
          <w:lang w:val="en-US"/>
        </w:rPr>
        <w:t xml:space="preserve">The standard curve for flubendazole encompassed the concentration range of 0.0005-8.0 mg/L and was constructed using the respective blank matrix.  </w:t>
      </w:r>
      <w:r w:rsidRPr="00876AB1">
        <w:rPr>
          <w:rFonts w:asciiTheme="majorHAnsi" w:eastAsia="Calibri" w:hAnsiTheme="majorHAnsi" w:cs="Times New Roman"/>
          <w:sz w:val="24"/>
          <w:szCs w:val="24"/>
          <w:lang w:val="en-US"/>
        </w:rPr>
        <w:t>The limit of quantitation was 0.0005 mg/L and the CV% was 12.7% over the concentration range 0.0005-8 mg/L. and the intra and inter-day variation was &lt;12% for all matrices.</w:t>
      </w:r>
    </w:p>
    <w:p w14:paraId="178035B0" w14:textId="11F0CA5E" w:rsidR="003B2CE2" w:rsidRPr="00876AB1" w:rsidRDefault="00DC4232" w:rsidP="00EB3D34">
      <w:pPr>
        <w:spacing w:after="120" w:line="480" w:lineRule="auto"/>
        <w:outlineLvl w:val="0"/>
        <w:rPr>
          <w:rFonts w:asciiTheme="majorHAnsi" w:hAnsiTheme="majorHAnsi"/>
          <w:b/>
          <w:i/>
          <w:sz w:val="24"/>
          <w:szCs w:val="24"/>
          <w:lang w:val="en-US"/>
        </w:rPr>
      </w:pPr>
      <w:r>
        <w:rPr>
          <w:rFonts w:asciiTheme="majorHAnsi" w:hAnsiTheme="majorHAnsi"/>
          <w:b/>
          <w:i/>
          <w:sz w:val="24"/>
          <w:szCs w:val="24"/>
          <w:lang w:val="en-US"/>
        </w:rPr>
        <w:t>Mathematical mode</w:t>
      </w:r>
      <w:r w:rsidR="003B2CE2" w:rsidRPr="00876AB1">
        <w:rPr>
          <w:rFonts w:asciiTheme="majorHAnsi" w:hAnsiTheme="majorHAnsi"/>
          <w:b/>
          <w:i/>
          <w:sz w:val="24"/>
          <w:szCs w:val="24"/>
          <w:lang w:val="en-US"/>
        </w:rPr>
        <w:t>ling</w:t>
      </w:r>
    </w:p>
    <w:p w14:paraId="2C985BE8" w14:textId="32E660A6" w:rsidR="003B2CE2" w:rsidRPr="00876AB1" w:rsidRDefault="003B2CE2" w:rsidP="00EB3D34">
      <w:pPr>
        <w:spacing w:after="120" w:line="480" w:lineRule="auto"/>
        <w:ind w:firstLine="720"/>
        <w:rPr>
          <w:rFonts w:asciiTheme="majorHAnsi" w:eastAsia="Calibri" w:hAnsiTheme="majorHAnsi" w:cs="Times New Roman"/>
          <w:sz w:val="24"/>
          <w:szCs w:val="24"/>
          <w:lang w:val="en-US"/>
        </w:rPr>
      </w:pPr>
      <w:r w:rsidRPr="00876AB1">
        <w:rPr>
          <w:rFonts w:asciiTheme="majorHAnsi" w:eastAsia="Calibri" w:hAnsiTheme="majorHAnsi" w:cs="Times New Roman"/>
          <w:sz w:val="24"/>
          <w:szCs w:val="24"/>
          <w:lang w:val="en-US"/>
        </w:rPr>
        <w:t xml:space="preserve">The pharmacokinetic and pharmacodynamic datasets from mice were modelled using the </w:t>
      </w:r>
      <w:r w:rsidR="0045326C">
        <w:rPr>
          <w:rFonts w:asciiTheme="majorHAnsi" w:eastAsia="Calibri" w:hAnsiTheme="majorHAnsi" w:cs="Times New Roman"/>
          <w:sz w:val="24"/>
          <w:szCs w:val="24"/>
          <w:lang w:val="en-US"/>
        </w:rPr>
        <w:t xml:space="preserve">program </w:t>
      </w:r>
      <w:proofErr w:type="spellStart"/>
      <w:r w:rsidR="0045326C">
        <w:rPr>
          <w:rFonts w:asciiTheme="majorHAnsi" w:eastAsia="Calibri" w:hAnsiTheme="majorHAnsi" w:cs="Times New Roman"/>
          <w:sz w:val="24"/>
          <w:szCs w:val="24"/>
          <w:lang w:val="en-US"/>
        </w:rPr>
        <w:t>Pmetrics</w:t>
      </w:r>
      <w:proofErr w:type="spellEnd"/>
      <w:r w:rsidR="0045326C">
        <w:rPr>
          <w:rFonts w:asciiTheme="majorHAnsi" w:eastAsia="Calibri" w:hAnsiTheme="majorHAnsi" w:cs="Times New Roman"/>
          <w:sz w:val="24"/>
          <w:szCs w:val="24"/>
          <w:lang w:val="en-US"/>
        </w:rPr>
        <w:t xml:space="preserve"> </w:t>
      </w:r>
      <w:r w:rsidR="0045326C">
        <w:rPr>
          <w:rFonts w:asciiTheme="majorHAnsi" w:eastAsia="Calibri" w:hAnsiTheme="majorHAnsi" w:cs="Times New Roman"/>
          <w:sz w:val="24"/>
          <w:szCs w:val="24"/>
          <w:lang w:val="en-US"/>
        </w:rPr>
        <w:fldChar w:fldCharType="begin" w:fldLock="1"/>
      </w:r>
      <w:r w:rsidR="005002A9">
        <w:rPr>
          <w:rFonts w:asciiTheme="majorHAnsi" w:eastAsia="Calibri" w:hAnsiTheme="majorHAnsi" w:cs="Times New Roman"/>
          <w:sz w:val="24"/>
          <w:szCs w:val="24"/>
          <w:lang w:val="en-US"/>
        </w:rPr>
        <w:instrText>ADDIN CSL_CITATION { "citationItems" : [ { "id" : "ITEM-1", "itemData" : { "DOI" : "10.1097/FTD.0b013e31825c4ba6", "ISSN" : "1536-3694", "PMID" : "22722776", "abstract" : "INTRODUCTION: Nonparametric population modeling algorithms have a theoretical superiority over parametric methods to detect pharmacokinetic and pharmacodynamic subgroups and outliers within a study population.\n\nMETHODS: The authors created \"Pmetrics,\" a new Windows and Unix R software package that updates the older MM-USCPACK software for nonparametric and parametric population modeling and simulation of pharmacokinetic and pharmacodynamic systems. The parametric iterative 2-stage Bayesian and the nonparametric adaptive grid (NPAG) approaches in Pmetrics were used to fit a simulated population with bimodal elimination (Kel) and unimodal volume of distribution (Vd), plus an extreme outlier, for a 1-compartment model of an intravenous drug.\n\nRESULTS: The true means (SD) for Kel and Vd in the population sample were 0.19 (0.17) and 102 (22.3), respectively. Those found by NPAG were 0.19 (0.16) and 104 (22.6). The iterative 2-stage Bayesian estimated them to be 0.18 (0.16) and 104 (24.4). However, given the bimodality of Kel, no subject had a value near the mean for the population. Only NPAG was able to accurately detect the bimodal distribution for Kel and to find the outlier in both the population model and in the Bayesian posterior parameter estimates.\n\nCONCLUSIONS: Built on over 3 decades of work, Pmetrics adopts a robust, reliable, and mature nonparametric approach to population modeling, which was better than the parametric method at discovering true pharmacokinetic subgroups and an outlier.", "author" : [ { "dropping-particle" : "", "family" : "Neely", "given" : "Michael N", "non-dropping-particle" : "", "parse-names" : false, "suffix" : "" }, { "dropping-particle" : "", "family" : "Guilder", "given" : "Michael G", "non-dropping-particle" : "van", "parse-names" : false, "suffix" : "" }, { "dropping-particle" : "", "family" : "Yamada", "given" : "Walter M", "non-dropping-particle" : "", "parse-names" : false, "suffix" : "" }, { "dropping-particle" : "", "family" : "Schumitzky", "given" : "Alan", "non-dropping-particle" : "", "parse-names" : false, "suffix" : "" }, { "dropping-particle" : "", "family" : "Jelliffe", "given" : "Roger W", "non-dropping-particle" : "", "parse-names" : false, "suffix" : "" } ], "container-title" : "Therapeutic drug monitoring", "id" : "ITEM-1", "issue" : "4", "issued" : { "date-parts" : [ [ "2012", "8" ] ] }, "page" : "467-76", "title" : "Accurate detection of outliers and subpopulations with Pmetrics, a nonparametric and parametric pharmacometric modeling and simulation package for R.", "type" : "article-journal", "volume" : "34" }, "uris" : [ "http://www.mendeley.com/documents/?uuid=4021f5ba-f15e-4ebb-bfda-7ecc07bba315", "http://www.mendeley.com/documents/?uuid=b7995a2d-b74b-40f8-8334-bc7b7fe9d8a6" ] } ], "mendeley" : { "formattedCitation" : "(33)", "plainTextFormattedCitation" : "(33)", "previouslyFormattedCitation" : "(33)" }, "properties" : { "noteIndex" : 0 }, "schema" : "https://github.com/citation-style-language/schema/raw/master/csl-citation.json" }</w:instrText>
      </w:r>
      <w:r w:rsidR="0045326C">
        <w:rPr>
          <w:rFonts w:asciiTheme="majorHAnsi" w:eastAsia="Calibri" w:hAnsiTheme="majorHAnsi" w:cs="Times New Roman"/>
          <w:sz w:val="24"/>
          <w:szCs w:val="24"/>
          <w:lang w:val="en-US"/>
        </w:rPr>
        <w:fldChar w:fldCharType="separate"/>
      </w:r>
      <w:r w:rsidR="005002A9" w:rsidRPr="005002A9">
        <w:rPr>
          <w:rFonts w:asciiTheme="majorHAnsi" w:eastAsia="Calibri" w:hAnsiTheme="majorHAnsi" w:cs="Times New Roman"/>
          <w:noProof/>
          <w:sz w:val="24"/>
          <w:szCs w:val="24"/>
          <w:lang w:val="en-US"/>
        </w:rPr>
        <w:t>(33)</w:t>
      </w:r>
      <w:r w:rsidR="0045326C">
        <w:rPr>
          <w:rFonts w:asciiTheme="majorHAnsi" w:eastAsia="Calibri" w:hAnsiTheme="majorHAnsi" w:cs="Times New Roman"/>
          <w:sz w:val="24"/>
          <w:szCs w:val="24"/>
          <w:lang w:val="en-US"/>
        </w:rPr>
        <w:fldChar w:fldCharType="end"/>
      </w:r>
      <w:r w:rsidR="0045326C">
        <w:rPr>
          <w:rFonts w:asciiTheme="majorHAnsi" w:eastAsia="Calibri" w:hAnsiTheme="majorHAnsi" w:cs="Times New Roman"/>
          <w:sz w:val="24"/>
          <w:szCs w:val="24"/>
          <w:lang w:val="en-US"/>
        </w:rPr>
        <w:t xml:space="preserve"> and the </w:t>
      </w:r>
      <w:r w:rsidRPr="00876AB1">
        <w:rPr>
          <w:rFonts w:asciiTheme="majorHAnsi" w:eastAsia="Calibri" w:hAnsiTheme="majorHAnsi" w:cs="Times New Roman"/>
          <w:sz w:val="24"/>
          <w:szCs w:val="24"/>
          <w:lang w:val="en-US"/>
        </w:rPr>
        <w:t>following five inhomogeneous differential equations:</w:t>
      </w:r>
    </w:p>
    <w:p w14:paraId="6C0AAB3F" w14:textId="77777777" w:rsidR="003B2CE2" w:rsidRPr="00876AB1" w:rsidRDefault="003B2CE2" w:rsidP="00EB3D34">
      <w:pPr>
        <w:spacing w:after="120" w:line="480" w:lineRule="auto"/>
        <w:rPr>
          <w:rFonts w:asciiTheme="majorHAnsi" w:eastAsia="Calibri" w:hAnsiTheme="majorHAnsi" w:cs="Times New Roman"/>
          <w:sz w:val="24"/>
          <w:szCs w:val="24"/>
          <w:lang w:val="en-US"/>
        </w:rPr>
      </w:pPr>
      <w:r w:rsidRPr="00876AB1">
        <w:rPr>
          <w:rFonts w:asciiTheme="majorHAnsi" w:eastAsia="Calibri" w:hAnsiTheme="majorHAnsi" w:cs="Times New Roman"/>
          <w:sz w:val="24"/>
          <w:szCs w:val="24"/>
          <w:lang w:val="en-US"/>
        </w:rPr>
        <w:t>Eq. 1</w:t>
      </w:r>
      <w:r w:rsidRPr="00876AB1">
        <w:rPr>
          <w:rFonts w:asciiTheme="majorHAnsi" w:eastAsia="Calibri" w:hAnsiTheme="majorHAnsi" w:cs="Times New Roman"/>
          <w:sz w:val="24"/>
          <w:szCs w:val="24"/>
          <w:lang w:val="en-US"/>
        </w:rPr>
        <w:tab/>
      </w:r>
      <m:oMath>
        <m:r>
          <w:rPr>
            <w:rFonts w:ascii="Cambria Math" w:eastAsia="Calibri" w:hAnsi="Cambria Math" w:cs="Times New Roman"/>
            <w:sz w:val="24"/>
            <w:szCs w:val="24"/>
            <w:lang w:val="en-US"/>
          </w:rPr>
          <m:t>XP</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1</m:t>
            </m:r>
          </m:e>
        </m:d>
        <m:r>
          <m:rPr>
            <m:sty m:val="p"/>
          </m:rPr>
          <w:rPr>
            <w:rFonts w:ascii="Cambria Math" w:eastAsia="Calibri" w:hAnsi="Cambria Math" w:cs="Times New Roman"/>
            <w:sz w:val="24"/>
            <w:szCs w:val="24"/>
            <w:lang w:val="en-US"/>
          </w:rPr>
          <m:t xml:space="preserve">= </m:t>
        </m:r>
        <m:r>
          <w:rPr>
            <w:rFonts w:ascii="Cambria Math" w:eastAsia="Calibri" w:hAnsi="Cambria Math" w:cs="Times New Roman"/>
            <w:sz w:val="24"/>
            <w:szCs w:val="24"/>
            <w:lang w:val="en-US"/>
          </w:rPr>
          <m:t>B</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1</m:t>
            </m:r>
          </m:e>
        </m:d>
        <m:r>
          <w:rPr>
            <w:rFonts w:ascii="Cambria Math" w:eastAsia="Calibri" w:hAnsi="Cambria Math" w:cs="Times New Roman"/>
            <w:sz w:val="24"/>
            <w:szCs w:val="24"/>
            <w:lang w:val="en-US"/>
          </w:rPr>
          <m:t>-Ka*X</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1</m:t>
            </m:r>
          </m:e>
        </m:d>
      </m:oMath>
    </w:p>
    <w:p w14:paraId="7058732A" w14:textId="77777777" w:rsidR="003B2CE2" w:rsidRPr="00876AB1" w:rsidRDefault="003B2CE2" w:rsidP="00EB3D34">
      <w:pPr>
        <w:spacing w:after="120" w:line="480" w:lineRule="auto"/>
        <w:rPr>
          <w:rFonts w:asciiTheme="majorHAnsi" w:eastAsia="Calibri" w:hAnsiTheme="majorHAnsi" w:cs="Times New Roman"/>
          <w:sz w:val="24"/>
          <w:szCs w:val="24"/>
          <w:lang w:val="en-US"/>
        </w:rPr>
      </w:pPr>
      <w:r w:rsidRPr="00876AB1">
        <w:rPr>
          <w:rFonts w:asciiTheme="majorHAnsi" w:eastAsia="Calibri" w:hAnsiTheme="majorHAnsi" w:cs="Times New Roman"/>
          <w:sz w:val="24"/>
          <w:szCs w:val="24"/>
          <w:lang w:val="en-US"/>
        </w:rPr>
        <w:t xml:space="preserve">Eq. 2 </w:t>
      </w:r>
      <w:r w:rsidRPr="00876AB1">
        <w:rPr>
          <w:rFonts w:asciiTheme="majorHAnsi" w:eastAsia="Calibri" w:hAnsiTheme="majorHAnsi" w:cs="Times New Roman"/>
          <w:sz w:val="24"/>
          <w:szCs w:val="24"/>
          <w:lang w:val="en-US"/>
        </w:rPr>
        <w:tab/>
      </w:r>
      <m:oMath>
        <m:r>
          <w:rPr>
            <w:rFonts w:ascii="Cambria Math" w:eastAsia="Calibri" w:hAnsi="Cambria Math" w:cs="Times New Roman"/>
            <w:sz w:val="24"/>
            <w:szCs w:val="24"/>
            <w:lang w:val="en-US"/>
          </w:rPr>
          <m:t>XP</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2</m:t>
            </m:r>
          </m:e>
        </m:d>
        <m:r>
          <m:rPr>
            <m:sty m:val="p"/>
          </m:rPr>
          <w:rPr>
            <w:rFonts w:ascii="Cambria Math" w:eastAsia="Calibri" w:hAnsi="Cambria Math" w:cs="Times New Roman"/>
            <w:sz w:val="24"/>
            <w:szCs w:val="24"/>
            <w:lang w:val="en-US"/>
          </w:rPr>
          <m:t xml:space="preserve">= </m:t>
        </m:r>
        <m:r>
          <w:rPr>
            <w:rFonts w:ascii="Cambria Math" w:eastAsia="Calibri" w:hAnsi="Cambria Math" w:cs="Times New Roman"/>
            <w:sz w:val="24"/>
            <w:szCs w:val="24"/>
            <w:lang w:val="en-US"/>
          </w:rPr>
          <m:t>Ka*X</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1</m:t>
            </m:r>
          </m:e>
        </m:d>
        <m:r>
          <m:rPr>
            <m:sty m:val="p"/>
          </m:rPr>
          <w:rPr>
            <w:rFonts w:ascii="Cambria Math" w:eastAsia="Calibri" w:hAnsi="Cambria Math" w:cs="Times New Roman"/>
            <w:sz w:val="24"/>
            <w:szCs w:val="24"/>
            <w:lang w:val="en-US"/>
          </w:rPr>
          <m:t>-</m:t>
        </m:r>
        <m:d>
          <m:dPr>
            <m:ctrlPr>
              <w:rPr>
                <w:rFonts w:ascii="Cambria Math" w:eastAsia="Calibri" w:hAnsi="Cambria Math" w:cs="Times New Roman"/>
                <w:sz w:val="24"/>
                <w:szCs w:val="24"/>
                <w:lang w:val="en-US"/>
              </w:rPr>
            </m:ctrlPr>
          </m:dPr>
          <m:e>
            <m:f>
              <m:fPr>
                <m:ctrlPr>
                  <w:rPr>
                    <w:rFonts w:ascii="Cambria Math" w:eastAsia="Calibri" w:hAnsi="Cambria Math" w:cs="Times New Roman"/>
                    <w:sz w:val="24"/>
                    <w:szCs w:val="24"/>
                    <w:lang w:val="en-US"/>
                  </w:rPr>
                </m:ctrlPr>
              </m:fPr>
              <m:num>
                <m:r>
                  <w:rPr>
                    <w:rFonts w:ascii="Cambria Math" w:eastAsia="Calibri" w:hAnsi="Cambria Math" w:cs="Times New Roman"/>
                    <w:sz w:val="24"/>
                    <w:szCs w:val="24"/>
                    <w:lang w:val="en-US"/>
                  </w:rPr>
                  <m:t>SCL</m:t>
                </m:r>
              </m:num>
              <m:den>
                <m:r>
                  <w:rPr>
                    <w:rFonts w:ascii="Cambria Math" w:eastAsia="Calibri" w:hAnsi="Cambria Math" w:cs="Times New Roman"/>
                    <w:sz w:val="24"/>
                    <w:szCs w:val="24"/>
                    <w:lang w:val="en-US"/>
                  </w:rPr>
                  <m:t>V</m:t>
                </m:r>
              </m:den>
            </m:f>
          </m:e>
        </m:d>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X</m:t>
        </m:r>
        <m:r>
          <m:rPr>
            <m:sty m:val="p"/>
          </m:rPr>
          <w:rPr>
            <w:rFonts w:ascii="Cambria Math" w:eastAsia="Calibri" w:hAnsi="Cambria Math" w:cs="Times New Roman"/>
            <w:sz w:val="24"/>
            <w:szCs w:val="24"/>
            <w:lang w:val="en-US"/>
          </w:rPr>
          <m:t>(</m:t>
        </m:r>
        <w:proofErr w:type="gramStart"/>
        <m:r>
          <m:rPr>
            <m:sty m:val="p"/>
          </m:rPr>
          <w:rPr>
            <w:rFonts w:ascii="Cambria Math" w:eastAsia="Calibri" w:hAnsi="Cambria Math" w:cs="Times New Roman"/>
            <w:sz w:val="24"/>
            <w:szCs w:val="24"/>
            <w:lang w:val="en-US"/>
          </w:rPr>
          <m:t>2)-</m:t>
        </m:r>
        <w:proofErr w:type="gramEnd"/>
        <m:r>
          <w:rPr>
            <w:rFonts w:ascii="Cambria Math" w:eastAsia="Calibri" w:hAnsi="Cambria Math" w:cs="Times New Roman"/>
            <w:sz w:val="24"/>
            <w:szCs w:val="24"/>
            <w:lang w:val="en-US"/>
          </w:rPr>
          <m:t>Kcp</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X</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2</m:t>
            </m:r>
          </m:e>
        </m:d>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Kpc</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X</m:t>
        </m:r>
        <m:r>
          <m:rPr>
            <m:sty m:val="p"/>
          </m:rPr>
          <w:rPr>
            <w:rFonts w:ascii="Cambria Math" w:eastAsia="Calibri" w:hAnsi="Cambria Math" w:cs="Times New Roman"/>
            <w:sz w:val="24"/>
            <w:szCs w:val="24"/>
            <w:lang w:val="en-US"/>
          </w:rPr>
          <m:t>(3) -</m:t>
        </m:r>
        <m:r>
          <w:rPr>
            <w:rFonts w:ascii="Cambria Math" w:eastAsia="Calibri" w:hAnsi="Cambria Math" w:cs="Times New Roman"/>
            <w:sz w:val="24"/>
            <w:szCs w:val="24"/>
            <w:lang w:val="en-US"/>
          </w:rPr>
          <m:t>Kcb</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X</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2</m:t>
            </m:r>
          </m:e>
        </m:d>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Kbc</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X</m:t>
        </m:r>
        <m:r>
          <m:rPr>
            <m:sty m:val="p"/>
          </m:rPr>
          <w:rPr>
            <w:rFonts w:ascii="Cambria Math" w:eastAsia="Calibri" w:hAnsi="Cambria Math" w:cs="Times New Roman"/>
            <w:sz w:val="24"/>
            <w:szCs w:val="24"/>
            <w:lang w:val="en-US"/>
          </w:rPr>
          <m:t>(4)</m:t>
        </m:r>
      </m:oMath>
      <w:r w:rsidRPr="00876AB1">
        <w:rPr>
          <w:rFonts w:asciiTheme="majorHAnsi" w:eastAsia="Calibri" w:hAnsiTheme="majorHAnsi" w:cs="Times New Roman"/>
          <w:sz w:val="24"/>
          <w:szCs w:val="24"/>
          <w:lang w:val="en-US"/>
        </w:rPr>
        <w:t xml:space="preserve"> </w:t>
      </w:r>
    </w:p>
    <w:p w14:paraId="0C470607" w14:textId="77777777" w:rsidR="003B2CE2" w:rsidRPr="00876AB1" w:rsidRDefault="003B2CE2" w:rsidP="00EB3D34">
      <w:pPr>
        <w:spacing w:after="120" w:line="480" w:lineRule="auto"/>
        <w:rPr>
          <w:rFonts w:asciiTheme="majorHAnsi" w:eastAsia="Calibri" w:hAnsiTheme="majorHAnsi" w:cs="Times New Roman"/>
          <w:sz w:val="24"/>
          <w:szCs w:val="24"/>
          <w:lang w:val="en-US"/>
        </w:rPr>
      </w:pPr>
      <w:r w:rsidRPr="00876AB1">
        <w:rPr>
          <w:rFonts w:asciiTheme="majorHAnsi" w:eastAsia="Calibri" w:hAnsiTheme="majorHAnsi" w:cs="Times New Roman"/>
          <w:sz w:val="24"/>
          <w:szCs w:val="24"/>
          <w:lang w:val="en-US"/>
        </w:rPr>
        <w:t>Eq. 3</w:t>
      </w:r>
      <w:r w:rsidRPr="00876AB1">
        <w:rPr>
          <w:rFonts w:asciiTheme="majorHAnsi" w:eastAsia="Calibri" w:hAnsiTheme="majorHAnsi" w:cs="Times New Roman"/>
          <w:sz w:val="24"/>
          <w:szCs w:val="24"/>
          <w:lang w:val="en-US"/>
        </w:rPr>
        <w:tab/>
      </w:r>
      <m:oMath>
        <m:r>
          <w:rPr>
            <w:rFonts w:ascii="Cambria Math" w:eastAsia="Calibri" w:hAnsi="Cambria Math" w:cs="Times New Roman"/>
            <w:sz w:val="24"/>
            <w:szCs w:val="24"/>
            <w:lang w:val="en-US"/>
          </w:rPr>
          <m:t>XP</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3</m:t>
            </m:r>
          </m:e>
        </m:d>
        <m:r>
          <m:rPr>
            <m:sty m:val="p"/>
          </m:rPr>
          <w:rPr>
            <w:rFonts w:ascii="Cambria Math" w:eastAsia="Calibri" w:hAnsi="Cambria Math" w:cs="Times New Roman"/>
            <w:sz w:val="24"/>
            <w:szCs w:val="24"/>
            <w:lang w:val="en-US"/>
          </w:rPr>
          <m:t xml:space="preserve">= </m:t>
        </m:r>
        <m:r>
          <w:rPr>
            <w:rFonts w:ascii="Cambria Math" w:eastAsia="Calibri" w:hAnsi="Cambria Math" w:cs="Times New Roman"/>
            <w:sz w:val="24"/>
            <w:szCs w:val="24"/>
            <w:lang w:val="en-US"/>
          </w:rPr>
          <m:t>Kcp</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X</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2</m:t>
            </m:r>
          </m:e>
        </m:d>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Kpc</m:t>
        </m:r>
        <m:r>
          <m:rPr>
            <m:sty m:val="p"/>
          </m:rPr>
          <w:rPr>
            <w:rFonts w:ascii="Cambria Math" w:eastAsia="Calibri" w:hAnsi="Cambria Math" w:cs="Times New Roman"/>
            <w:sz w:val="24"/>
            <w:szCs w:val="24"/>
            <w:lang w:val="en-US"/>
          </w:rPr>
          <m:t>∙</m:t>
        </m:r>
        <w:proofErr w:type="gramStart"/>
        <m:r>
          <w:rPr>
            <w:rFonts w:ascii="Cambria Math" w:eastAsia="Calibri" w:hAnsi="Cambria Math" w:cs="Times New Roman"/>
            <w:sz w:val="24"/>
            <w:szCs w:val="24"/>
            <w:lang w:val="en-US"/>
          </w:rPr>
          <m:t>X</m:t>
        </m:r>
        <m:r>
          <m:rPr>
            <m:sty m:val="p"/>
          </m:rPr>
          <w:rPr>
            <w:rFonts w:ascii="Cambria Math" w:eastAsia="Calibri" w:hAnsi="Cambria Math" w:cs="Times New Roman"/>
            <w:sz w:val="24"/>
            <w:szCs w:val="24"/>
            <w:lang w:val="en-US"/>
          </w:rPr>
          <m:t>(</m:t>
        </m:r>
        <w:proofErr w:type="gramEnd"/>
        <m:r>
          <m:rPr>
            <m:sty m:val="p"/>
          </m:rPr>
          <w:rPr>
            <w:rFonts w:ascii="Cambria Math" w:eastAsia="Calibri" w:hAnsi="Cambria Math" w:cs="Times New Roman"/>
            <w:sz w:val="24"/>
            <w:szCs w:val="24"/>
            <w:lang w:val="en-US"/>
          </w:rPr>
          <m:t>3)</m:t>
        </m:r>
      </m:oMath>
    </w:p>
    <w:p w14:paraId="1BBEE016" w14:textId="77777777" w:rsidR="003B2CE2" w:rsidRPr="00876AB1" w:rsidRDefault="003B2CE2" w:rsidP="00EB3D34">
      <w:pPr>
        <w:spacing w:after="120" w:line="480" w:lineRule="auto"/>
        <w:rPr>
          <w:rFonts w:asciiTheme="majorHAnsi" w:eastAsia="Calibri" w:hAnsiTheme="majorHAnsi" w:cs="Times New Roman"/>
          <w:sz w:val="24"/>
          <w:szCs w:val="24"/>
          <w:lang w:val="en-US"/>
        </w:rPr>
      </w:pPr>
      <w:r w:rsidRPr="00876AB1">
        <w:rPr>
          <w:rFonts w:asciiTheme="majorHAnsi" w:eastAsia="Calibri" w:hAnsiTheme="majorHAnsi" w:cs="Times New Roman"/>
          <w:sz w:val="24"/>
          <w:szCs w:val="24"/>
          <w:lang w:val="en-US"/>
        </w:rPr>
        <w:t>Eq. 4</w:t>
      </w:r>
      <w:r w:rsidRPr="00876AB1">
        <w:rPr>
          <w:rFonts w:asciiTheme="majorHAnsi" w:eastAsia="Calibri" w:hAnsiTheme="majorHAnsi" w:cs="Times New Roman"/>
          <w:sz w:val="24"/>
          <w:szCs w:val="24"/>
          <w:lang w:val="en-US"/>
        </w:rPr>
        <w:tab/>
      </w:r>
      <m:oMath>
        <m:r>
          <w:rPr>
            <w:rFonts w:ascii="Cambria Math" w:eastAsia="Calibri" w:hAnsi="Cambria Math" w:cs="Times New Roman"/>
            <w:sz w:val="24"/>
            <w:szCs w:val="24"/>
            <w:lang w:val="en-US"/>
          </w:rPr>
          <m:t>XP</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4</m:t>
            </m:r>
          </m:e>
        </m:d>
        <m:r>
          <m:rPr>
            <m:sty m:val="p"/>
          </m:rPr>
          <w:rPr>
            <w:rFonts w:ascii="Cambria Math" w:eastAsia="Calibri" w:hAnsi="Cambria Math" w:cs="Times New Roman"/>
            <w:sz w:val="24"/>
            <w:szCs w:val="24"/>
            <w:lang w:val="en-US"/>
          </w:rPr>
          <m:t xml:space="preserve">= </m:t>
        </m:r>
        <m:r>
          <w:rPr>
            <w:rFonts w:ascii="Cambria Math" w:eastAsia="Calibri" w:hAnsi="Cambria Math" w:cs="Times New Roman"/>
            <w:sz w:val="24"/>
            <w:szCs w:val="24"/>
            <w:lang w:val="en-US"/>
          </w:rPr>
          <m:t>Kcp</m:t>
        </m:r>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X</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2</m:t>
            </m:r>
          </m:e>
        </m:d>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Kpc</m:t>
        </m:r>
        <m:r>
          <m:rPr>
            <m:sty m:val="p"/>
          </m:rPr>
          <w:rPr>
            <w:rFonts w:ascii="Cambria Math" w:eastAsia="Calibri" w:hAnsi="Cambria Math" w:cs="Times New Roman"/>
            <w:sz w:val="24"/>
            <w:szCs w:val="24"/>
            <w:lang w:val="en-US"/>
          </w:rPr>
          <m:t>∙</m:t>
        </m:r>
        <w:proofErr w:type="gramStart"/>
        <m:r>
          <w:rPr>
            <w:rFonts w:ascii="Cambria Math" w:eastAsia="Calibri" w:hAnsi="Cambria Math" w:cs="Times New Roman"/>
            <w:sz w:val="24"/>
            <w:szCs w:val="24"/>
            <w:lang w:val="en-US"/>
          </w:rPr>
          <m:t>X</m:t>
        </m:r>
        <m:r>
          <m:rPr>
            <m:sty m:val="p"/>
          </m:rPr>
          <w:rPr>
            <w:rFonts w:ascii="Cambria Math" w:eastAsia="Calibri" w:hAnsi="Cambria Math" w:cs="Times New Roman"/>
            <w:sz w:val="24"/>
            <w:szCs w:val="24"/>
            <w:lang w:val="en-US"/>
          </w:rPr>
          <m:t>(</m:t>
        </m:r>
        <w:proofErr w:type="gramEnd"/>
        <m:r>
          <m:rPr>
            <m:sty m:val="p"/>
          </m:rPr>
          <w:rPr>
            <w:rFonts w:ascii="Cambria Math" w:eastAsia="Calibri" w:hAnsi="Cambria Math" w:cs="Times New Roman"/>
            <w:sz w:val="24"/>
            <w:szCs w:val="24"/>
            <w:lang w:val="en-US"/>
          </w:rPr>
          <m:t>4)</m:t>
        </m:r>
      </m:oMath>
    </w:p>
    <w:p w14:paraId="04A75F8C" w14:textId="28EB5189" w:rsidR="003B2CE2" w:rsidRPr="00876AB1" w:rsidRDefault="003B2CE2" w:rsidP="00EB3D34">
      <w:pPr>
        <w:spacing w:after="120" w:line="480" w:lineRule="auto"/>
        <w:rPr>
          <w:rFonts w:asciiTheme="majorHAnsi" w:eastAsia="Calibri" w:hAnsiTheme="majorHAnsi" w:cs="Times New Roman"/>
          <w:sz w:val="24"/>
          <w:szCs w:val="24"/>
          <w:lang w:val="en-US"/>
        </w:rPr>
      </w:pPr>
      <w:r w:rsidRPr="00876AB1">
        <w:rPr>
          <w:rFonts w:asciiTheme="majorHAnsi" w:eastAsia="Calibri" w:hAnsiTheme="majorHAnsi" w:cs="Times New Roman"/>
          <w:sz w:val="24"/>
          <w:szCs w:val="24"/>
          <w:lang w:val="en-US"/>
        </w:rPr>
        <w:t>Eq. 5</w:t>
      </w:r>
      <w:r w:rsidRPr="00876AB1">
        <w:rPr>
          <w:rFonts w:asciiTheme="majorHAnsi" w:eastAsia="Calibri" w:hAnsiTheme="majorHAnsi" w:cs="Times New Roman"/>
          <w:sz w:val="24"/>
          <w:szCs w:val="24"/>
          <w:lang w:val="en-US"/>
        </w:rPr>
        <w:tab/>
      </w:r>
      <m:oMath>
        <m:r>
          <w:rPr>
            <w:rFonts w:ascii="Cambria Math" w:eastAsia="Calibri" w:hAnsi="Cambria Math" w:cs="Times New Roman"/>
            <w:sz w:val="24"/>
            <w:szCs w:val="24"/>
            <w:lang w:val="en-US"/>
          </w:rPr>
          <m:t>XP</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5</m:t>
            </m:r>
          </m:e>
        </m:d>
        <m:r>
          <m:rPr>
            <m:sty m:val="p"/>
          </m:rPr>
          <w:rPr>
            <w:rFonts w:ascii="Cambria Math" w:eastAsia="Calibri" w:hAnsi="Cambria Math" w:cs="Times New Roman"/>
            <w:sz w:val="24"/>
            <w:szCs w:val="24"/>
            <w:lang w:val="en-US"/>
          </w:rPr>
          <m:t xml:space="preserve">= </m:t>
        </m:r>
        <m:r>
          <w:rPr>
            <w:rFonts w:ascii="Cambria Math" w:eastAsia="Calibri" w:hAnsi="Cambria Math" w:cs="Times New Roman"/>
            <w:sz w:val="24"/>
            <w:szCs w:val="24"/>
            <w:lang w:val="en-US"/>
          </w:rPr>
          <m:t>Kgmax</m:t>
        </m:r>
        <m:r>
          <m:rPr>
            <m:sty m:val="p"/>
          </m:rPr>
          <w:rPr>
            <w:rFonts w:ascii="Cambria Math" w:eastAsia="Calibri" w:hAnsi="Cambria Math" w:cs="Times New Roman"/>
            <w:sz w:val="24"/>
            <w:szCs w:val="24"/>
            <w:lang w:val="en-US"/>
          </w:rPr>
          <m:t>∙</m:t>
        </m:r>
        <m:sSup>
          <m:sSupPr>
            <m:ctrlPr>
              <w:rPr>
                <w:rFonts w:ascii="Cambria Math" w:eastAsia="Calibri" w:hAnsi="Cambria Math" w:cs="Times New Roman"/>
                <w:sz w:val="24"/>
                <w:szCs w:val="24"/>
                <w:lang w:val="en-US"/>
              </w:rPr>
            </m:ctrlPr>
          </m:sSupPr>
          <m:e>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1-</m:t>
                </m:r>
                <m:d>
                  <m:dPr>
                    <m:ctrlPr>
                      <w:rPr>
                        <w:rFonts w:ascii="Cambria Math" w:eastAsia="Calibri" w:hAnsi="Cambria Math" w:cs="Times New Roman"/>
                        <w:sz w:val="24"/>
                        <w:szCs w:val="24"/>
                        <w:lang w:val="en-US"/>
                      </w:rPr>
                    </m:ctrlPr>
                  </m:dPr>
                  <m:e>
                    <m:f>
                      <m:fPr>
                        <m:ctrlPr>
                          <w:rPr>
                            <w:rFonts w:ascii="Cambria Math" w:eastAsia="Calibri" w:hAnsi="Cambria Math" w:cs="Times New Roman"/>
                            <w:sz w:val="24"/>
                            <w:szCs w:val="24"/>
                            <w:lang w:val="en-US"/>
                          </w:rPr>
                        </m:ctrlPr>
                      </m:fPr>
                      <m:num>
                        <m:sSup>
                          <m:sSupPr>
                            <m:ctrlPr>
                              <w:rPr>
                                <w:rFonts w:ascii="Cambria Math" w:eastAsia="Calibri" w:hAnsi="Cambria Math" w:cs="Times New Roman"/>
                                <w:sz w:val="24"/>
                                <w:szCs w:val="24"/>
                                <w:lang w:val="en-US"/>
                              </w:rPr>
                            </m:ctrlPr>
                          </m:sSupPr>
                          <m:e>
                            <m:d>
                              <m:dPr>
                                <m:ctrlPr>
                                  <w:rPr>
                                    <w:rFonts w:ascii="Cambria Math" w:eastAsia="Calibri" w:hAnsi="Cambria Math" w:cs="Times New Roman"/>
                                    <w:sz w:val="24"/>
                                    <w:szCs w:val="24"/>
                                    <w:lang w:val="en-US"/>
                                  </w:rPr>
                                </m:ctrlPr>
                              </m:dPr>
                              <m:e>
                                <m:f>
                                  <m:fPr>
                                    <m:ctrlPr>
                                      <w:rPr>
                                        <w:rFonts w:ascii="Cambria Math" w:eastAsia="Calibri" w:hAnsi="Cambria Math" w:cs="Times New Roman"/>
                                        <w:sz w:val="24"/>
                                        <w:szCs w:val="24"/>
                                        <w:lang w:val="en-US"/>
                                      </w:rPr>
                                    </m:ctrlPr>
                                  </m:fPr>
                                  <m:num>
                                    <m:r>
                                      <w:rPr>
                                        <w:rFonts w:ascii="Cambria Math" w:eastAsia="Calibri" w:hAnsi="Cambria Math" w:cs="Times New Roman"/>
                                        <w:sz w:val="24"/>
                                        <w:szCs w:val="24"/>
                                        <w:lang w:val="en-US"/>
                                      </w:rPr>
                                      <m:t>X</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4</m:t>
                                        </m:r>
                                      </m:e>
                                    </m:d>
                                  </m:num>
                                  <m:den>
                                    <m:r>
                                      <w:rPr>
                                        <w:rFonts w:ascii="Cambria Math" w:eastAsia="Calibri" w:hAnsi="Cambria Math" w:cs="Times New Roman"/>
                                        <w:sz w:val="24"/>
                                        <w:szCs w:val="24"/>
                                        <w:lang w:val="en-US"/>
                                      </w:rPr>
                                      <m:t>V</m:t>
                                    </m:r>
                                  </m:den>
                                </m:f>
                              </m:e>
                            </m:d>
                          </m:e>
                          <m:sup>
                            <m:r>
                              <w:rPr>
                                <w:rFonts w:ascii="Cambria Math" w:eastAsia="Calibri" w:hAnsi="Cambria Math" w:cs="Times New Roman"/>
                                <w:sz w:val="24"/>
                                <w:szCs w:val="24"/>
                                <w:lang w:val="en-US"/>
                              </w:rPr>
                              <m:t>Hg</m:t>
                            </m:r>
                          </m:sup>
                        </m:sSup>
                      </m:num>
                      <m:den>
                        <m:r>
                          <w:rPr>
                            <w:rFonts w:ascii="Cambria Math" w:eastAsia="Calibri" w:hAnsi="Cambria Math" w:cs="Times New Roman"/>
                            <w:sz w:val="24"/>
                            <w:szCs w:val="24"/>
                            <w:lang w:val="en-US"/>
                          </w:rPr>
                          <m:t>C</m:t>
                        </m:r>
                        <m:r>
                          <m:rPr>
                            <m:sty m:val="p"/>
                          </m:rPr>
                          <w:rPr>
                            <w:rFonts w:ascii="Cambria Math" w:eastAsia="Calibri" w:hAnsi="Cambria Math" w:cs="Times New Roman"/>
                            <w:sz w:val="24"/>
                            <w:szCs w:val="24"/>
                            <w:lang w:val="en-US"/>
                          </w:rPr>
                          <m:t>50</m:t>
                        </m:r>
                        <m:sSup>
                          <m:sSupPr>
                            <m:ctrlPr>
                              <w:rPr>
                                <w:rFonts w:ascii="Cambria Math" w:eastAsia="Calibri" w:hAnsi="Cambria Math" w:cs="Times New Roman"/>
                                <w:sz w:val="24"/>
                                <w:szCs w:val="24"/>
                                <w:lang w:val="en-US"/>
                              </w:rPr>
                            </m:ctrlPr>
                          </m:sSupPr>
                          <m:e>
                            <m:r>
                              <w:rPr>
                                <w:rFonts w:ascii="Cambria Math" w:eastAsia="Calibri" w:hAnsi="Cambria Math" w:cs="Times New Roman"/>
                                <w:sz w:val="24"/>
                                <w:szCs w:val="24"/>
                                <w:lang w:val="en-US"/>
                              </w:rPr>
                              <m:t>g</m:t>
                            </m:r>
                          </m:e>
                          <m:sup>
                            <m:r>
                              <w:rPr>
                                <w:rFonts w:ascii="Cambria Math" w:eastAsia="Calibri" w:hAnsi="Cambria Math" w:cs="Times New Roman"/>
                                <w:sz w:val="24"/>
                                <w:szCs w:val="24"/>
                                <w:lang w:val="en-US"/>
                              </w:rPr>
                              <m:t>Hg</m:t>
                            </m:r>
                          </m:sup>
                        </m:sSup>
                        <m:r>
                          <m:rPr>
                            <m:sty m:val="p"/>
                          </m:rPr>
                          <w:rPr>
                            <w:rFonts w:ascii="Cambria Math" w:eastAsia="Calibri" w:hAnsi="Cambria Math" w:cs="Times New Roman"/>
                            <w:sz w:val="24"/>
                            <w:szCs w:val="24"/>
                            <w:lang w:val="en-US"/>
                          </w:rPr>
                          <m:t>+</m:t>
                        </m:r>
                        <m:sSup>
                          <m:sSupPr>
                            <m:ctrlPr>
                              <w:rPr>
                                <w:rFonts w:ascii="Cambria Math" w:eastAsia="Calibri" w:hAnsi="Cambria Math" w:cs="Times New Roman"/>
                                <w:sz w:val="24"/>
                                <w:szCs w:val="24"/>
                                <w:lang w:val="en-US"/>
                              </w:rPr>
                            </m:ctrlPr>
                          </m:sSupPr>
                          <m:e>
                            <m:d>
                              <m:dPr>
                                <m:ctrlPr>
                                  <w:rPr>
                                    <w:rFonts w:ascii="Cambria Math" w:eastAsia="Calibri" w:hAnsi="Cambria Math" w:cs="Times New Roman"/>
                                    <w:sz w:val="24"/>
                                    <w:szCs w:val="24"/>
                                    <w:lang w:val="en-US"/>
                                  </w:rPr>
                                </m:ctrlPr>
                              </m:dPr>
                              <m:e>
                                <m:f>
                                  <m:fPr>
                                    <m:ctrlPr>
                                      <w:rPr>
                                        <w:rFonts w:ascii="Cambria Math" w:eastAsia="Calibri" w:hAnsi="Cambria Math" w:cs="Times New Roman"/>
                                        <w:sz w:val="24"/>
                                        <w:szCs w:val="24"/>
                                        <w:lang w:val="en-US"/>
                                      </w:rPr>
                                    </m:ctrlPr>
                                  </m:fPr>
                                  <m:num>
                                    <m:r>
                                      <w:rPr>
                                        <w:rFonts w:ascii="Cambria Math" w:eastAsia="Calibri" w:hAnsi="Cambria Math" w:cs="Times New Roman"/>
                                        <w:sz w:val="24"/>
                                        <w:szCs w:val="24"/>
                                        <w:lang w:val="en-US"/>
                                      </w:rPr>
                                      <m:t>X</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4</m:t>
                                        </m:r>
                                      </m:e>
                                    </m:d>
                                  </m:num>
                                  <m:den>
                                    <m:r>
                                      <w:rPr>
                                        <w:rFonts w:ascii="Cambria Math" w:eastAsia="Calibri" w:hAnsi="Cambria Math" w:cs="Times New Roman"/>
                                        <w:sz w:val="24"/>
                                        <w:szCs w:val="24"/>
                                        <w:lang w:val="en-US"/>
                                      </w:rPr>
                                      <m:t>V</m:t>
                                    </m:r>
                                  </m:den>
                                </m:f>
                              </m:e>
                            </m:d>
                          </m:e>
                          <m:sup>
                            <m:r>
                              <w:rPr>
                                <w:rFonts w:ascii="Cambria Math" w:eastAsia="Calibri" w:hAnsi="Cambria Math" w:cs="Times New Roman"/>
                                <w:sz w:val="24"/>
                                <w:szCs w:val="24"/>
                                <w:lang w:val="en-US"/>
                              </w:rPr>
                              <m:t>Hg</m:t>
                            </m:r>
                          </m:sup>
                        </m:sSup>
                      </m:den>
                    </m:f>
                  </m:e>
                </m:d>
              </m:e>
            </m:d>
          </m:e>
          <m:sup>
            <m:r>
              <w:rPr>
                <w:rFonts w:ascii="Cambria Math" w:eastAsia="Calibri" w:hAnsi="Cambria Math" w:cs="Times New Roman"/>
                <w:sz w:val="24"/>
                <w:szCs w:val="24"/>
                <w:lang w:val="en-US"/>
              </w:rPr>
              <m:t xml:space="preserve"> </m:t>
            </m:r>
          </m:sup>
        </m:sSup>
        <m:r>
          <m:rPr>
            <m:sty m:val="p"/>
          </m:rPr>
          <w:rPr>
            <w:rFonts w:ascii="Cambria Math" w:eastAsia="Calibri" w:hAnsi="Cambria Math" w:cs="Times New Roman"/>
            <w:sz w:val="24"/>
            <w:szCs w:val="24"/>
            <w:lang w:val="en-US"/>
          </w:rPr>
          <m:t>*</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1-</m:t>
            </m:r>
            <m:d>
              <m:dPr>
                <m:ctrlPr>
                  <w:rPr>
                    <w:rFonts w:ascii="Cambria Math" w:eastAsia="Calibri" w:hAnsi="Cambria Math" w:cs="Times New Roman"/>
                    <w:sz w:val="24"/>
                    <w:szCs w:val="24"/>
                    <w:lang w:val="en-US"/>
                  </w:rPr>
                </m:ctrlPr>
              </m:dPr>
              <m:e>
                <m:f>
                  <m:fPr>
                    <m:ctrlPr>
                      <w:rPr>
                        <w:rFonts w:ascii="Cambria Math" w:eastAsia="Calibri" w:hAnsi="Cambria Math" w:cs="Times New Roman"/>
                        <w:sz w:val="24"/>
                        <w:szCs w:val="24"/>
                        <w:lang w:val="en-US"/>
                      </w:rPr>
                    </m:ctrlPr>
                  </m:fPr>
                  <m:num>
                    <m:r>
                      <w:rPr>
                        <w:rFonts w:ascii="Cambria Math" w:eastAsia="Calibri" w:hAnsi="Cambria Math" w:cs="Times New Roman"/>
                        <w:sz w:val="24"/>
                        <w:szCs w:val="24"/>
                        <w:lang w:val="en-US"/>
                      </w:rPr>
                      <m:t>X</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5</m:t>
                        </m:r>
                      </m:e>
                    </m:d>
                  </m:num>
                  <m:den>
                    <m:r>
                      <w:rPr>
                        <w:rFonts w:ascii="Cambria Math" w:eastAsia="Calibri" w:hAnsi="Cambria Math" w:cs="Times New Roman"/>
                        <w:sz w:val="24"/>
                        <w:szCs w:val="24"/>
                        <w:lang w:val="en-US"/>
                      </w:rPr>
                      <m:t>popmax</m:t>
                    </m:r>
                  </m:den>
                </m:f>
              </m:e>
            </m:d>
          </m:e>
        </m:d>
        <m:r>
          <m:rPr>
            <m:sty m:val="p"/>
          </m:rPr>
          <w:rPr>
            <w:rFonts w:ascii="Cambria Math" w:eastAsia="Calibri" w:hAnsi="Cambria Math" w:cs="Times New Roman"/>
            <w:sz w:val="24"/>
            <w:szCs w:val="24"/>
            <w:lang w:val="en-US"/>
          </w:rPr>
          <m:t>*</m:t>
        </m:r>
        <m:r>
          <w:rPr>
            <w:rFonts w:ascii="Cambria Math" w:eastAsia="Calibri" w:hAnsi="Cambria Math" w:cs="Times New Roman"/>
            <w:sz w:val="24"/>
            <w:szCs w:val="24"/>
            <w:lang w:val="en-US"/>
          </w:rPr>
          <m:t>X</m:t>
        </m:r>
        <m:d>
          <m:dPr>
            <m:ctrlPr>
              <w:rPr>
                <w:rFonts w:ascii="Cambria Math" w:eastAsia="Calibri" w:hAnsi="Cambria Math" w:cs="Times New Roman"/>
                <w:sz w:val="24"/>
                <w:szCs w:val="24"/>
                <w:lang w:val="en-US"/>
              </w:rPr>
            </m:ctrlPr>
          </m:dPr>
          <m:e>
            <m:r>
              <m:rPr>
                <m:sty m:val="p"/>
              </m:rPr>
              <w:rPr>
                <w:rFonts w:ascii="Cambria Math" w:eastAsia="Calibri" w:hAnsi="Cambria Math" w:cs="Times New Roman"/>
                <w:sz w:val="24"/>
                <w:szCs w:val="24"/>
                <w:lang w:val="en-US"/>
              </w:rPr>
              <m:t>5</m:t>
            </m:r>
          </m:e>
        </m:d>
      </m:oMath>
      <w:r w:rsidRPr="00876AB1">
        <w:rPr>
          <w:rFonts w:asciiTheme="majorHAnsi" w:eastAsia="Calibri" w:hAnsiTheme="majorHAnsi" w:cs="Times New Roman"/>
          <w:sz w:val="24"/>
          <w:szCs w:val="24"/>
          <w:lang w:val="en-US"/>
        </w:rPr>
        <w:t xml:space="preserve"> </w:t>
      </w:r>
    </w:p>
    <w:p w14:paraId="24093023" w14:textId="77777777" w:rsidR="003B2CE2" w:rsidRPr="00876AB1" w:rsidRDefault="003B2CE2" w:rsidP="00EB3D34">
      <w:pPr>
        <w:spacing w:after="120" w:line="480" w:lineRule="auto"/>
        <w:ind w:firstLine="720"/>
        <w:rPr>
          <w:rFonts w:asciiTheme="majorHAnsi" w:eastAsia="Calibri" w:hAnsiTheme="majorHAnsi" w:cs="Times New Roman"/>
          <w:sz w:val="24"/>
          <w:szCs w:val="24"/>
          <w:lang w:val="en-US"/>
        </w:rPr>
      </w:pPr>
      <w:r w:rsidRPr="00876AB1">
        <w:rPr>
          <w:rFonts w:asciiTheme="majorHAnsi" w:eastAsia="Calibri" w:hAnsiTheme="majorHAnsi" w:cs="Times New Roman"/>
          <w:sz w:val="24"/>
          <w:szCs w:val="24"/>
          <w:lang w:val="en-US"/>
        </w:rPr>
        <w:lastRenderedPageBreak/>
        <w:t xml:space="preserve">The system parameters and their units are as follows: </w:t>
      </w:r>
      <w:proofErr w:type="gramStart"/>
      <w:r w:rsidRPr="00876AB1">
        <w:rPr>
          <w:rFonts w:asciiTheme="majorHAnsi" w:eastAsia="Calibri" w:hAnsiTheme="majorHAnsi" w:cs="Times New Roman"/>
          <w:i/>
          <w:sz w:val="24"/>
          <w:szCs w:val="24"/>
          <w:lang w:val="en-US"/>
        </w:rPr>
        <w:t>B(</w:t>
      </w:r>
      <w:proofErr w:type="gramEnd"/>
      <w:r w:rsidRPr="00876AB1">
        <w:rPr>
          <w:rFonts w:asciiTheme="majorHAnsi" w:eastAsia="Calibri" w:hAnsiTheme="majorHAnsi" w:cs="Times New Roman"/>
          <w:i/>
          <w:sz w:val="24"/>
          <w:szCs w:val="24"/>
          <w:lang w:val="en-US"/>
        </w:rPr>
        <w:t>1)</w:t>
      </w:r>
      <w:r w:rsidRPr="00876AB1">
        <w:rPr>
          <w:rFonts w:asciiTheme="majorHAnsi" w:eastAsia="Calibri" w:hAnsiTheme="majorHAnsi" w:cs="Times New Roman"/>
          <w:sz w:val="24"/>
          <w:szCs w:val="24"/>
          <w:lang w:val="en-US"/>
        </w:rPr>
        <w:t xml:space="preserve"> </w:t>
      </w:r>
      <w:r>
        <w:rPr>
          <w:rFonts w:asciiTheme="majorHAnsi" w:eastAsia="Calibri" w:hAnsiTheme="majorHAnsi" w:cs="Times New Roman"/>
          <w:sz w:val="24"/>
          <w:szCs w:val="24"/>
          <w:lang w:val="en-US"/>
        </w:rPr>
        <w:t xml:space="preserve">(mg) </w:t>
      </w:r>
      <w:r w:rsidRPr="00876AB1">
        <w:rPr>
          <w:rFonts w:asciiTheme="majorHAnsi" w:eastAsia="Calibri" w:hAnsiTheme="majorHAnsi" w:cs="Times New Roman"/>
          <w:sz w:val="24"/>
          <w:szCs w:val="24"/>
          <w:lang w:val="en-US"/>
        </w:rPr>
        <w:t xml:space="preserve">represents the bolus input of flubendazole into the gut.  </w:t>
      </w:r>
      <w:proofErr w:type="spellStart"/>
      <w:r w:rsidRPr="00876AB1">
        <w:rPr>
          <w:rFonts w:asciiTheme="majorHAnsi" w:eastAsia="Calibri" w:hAnsiTheme="majorHAnsi" w:cs="Times New Roman"/>
          <w:sz w:val="24"/>
          <w:szCs w:val="24"/>
          <w:lang w:val="en-US"/>
        </w:rPr>
        <w:t>Ka</w:t>
      </w:r>
      <w:proofErr w:type="spellEnd"/>
      <w:r w:rsidRPr="00876AB1">
        <w:rPr>
          <w:rFonts w:asciiTheme="majorHAnsi" w:eastAsia="Calibri" w:hAnsiTheme="majorHAnsi" w:cs="Times New Roman"/>
          <w:sz w:val="24"/>
          <w:szCs w:val="24"/>
          <w:lang w:val="en-US"/>
        </w:rPr>
        <w:t xml:space="preserve"> (h</w:t>
      </w:r>
      <w:r w:rsidRPr="00876AB1">
        <w:rPr>
          <w:rFonts w:asciiTheme="majorHAnsi" w:eastAsia="Calibri" w:hAnsiTheme="majorHAnsi" w:cs="Times New Roman"/>
          <w:sz w:val="24"/>
          <w:szCs w:val="24"/>
          <w:vertAlign w:val="superscript"/>
          <w:lang w:val="en-US"/>
        </w:rPr>
        <w:t>-1</w:t>
      </w:r>
      <w:r w:rsidRPr="00876AB1">
        <w:rPr>
          <w:rFonts w:asciiTheme="majorHAnsi" w:eastAsia="Calibri" w:hAnsiTheme="majorHAnsi" w:cs="Times New Roman"/>
          <w:sz w:val="24"/>
          <w:szCs w:val="24"/>
          <w:lang w:val="en-US"/>
        </w:rPr>
        <w:t xml:space="preserve">) is the first order rate constant collecting the gut and the central compartment; SCL (L/h) is the clearance of flubendazole from the central compartment; V (L) is the volume of the central compartment; </w:t>
      </w:r>
      <w:proofErr w:type="spellStart"/>
      <w:r w:rsidRPr="00876AB1">
        <w:rPr>
          <w:rFonts w:asciiTheme="majorHAnsi" w:eastAsia="Calibri" w:hAnsiTheme="majorHAnsi" w:cs="Times New Roman"/>
          <w:sz w:val="24"/>
          <w:szCs w:val="24"/>
          <w:lang w:val="en-US"/>
        </w:rPr>
        <w:t>Kcp</w:t>
      </w:r>
      <w:proofErr w:type="spellEnd"/>
      <w:r w:rsidRPr="00876AB1">
        <w:rPr>
          <w:rFonts w:asciiTheme="majorHAnsi" w:eastAsia="Calibri" w:hAnsiTheme="majorHAnsi" w:cs="Times New Roman"/>
          <w:sz w:val="24"/>
          <w:szCs w:val="24"/>
          <w:lang w:val="en-US"/>
        </w:rPr>
        <w:t xml:space="preserve"> (h</w:t>
      </w:r>
      <w:r w:rsidRPr="00876AB1">
        <w:rPr>
          <w:rFonts w:asciiTheme="majorHAnsi" w:eastAsia="Calibri" w:hAnsiTheme="majorHAnsi" w:cs="Times New Roman"/>
          <w:sz w:val="24"/>
          <w:szCs w:val="24"/>
          <w:vertAlign w:val="superscript"/>
          <w:lang w:val="en-US"/>
        </w:rPr>
        <w:t>-1</w:t>
      </w:r>
      <w:r w:rsidRPr="00876AB1">
        <w:rPr>
          <w:rFonts w:asciiTheme="majorHAnsi" w:eastAsia="Calibri" w:hAnsiTheme="majorHAnsi" w:cs="Times New Roman"/>
          <w:sz w:val="24"/>
          <w:szCs w:val="24"/>
          <w:lang w:val="en-US"/>
        </w:rPr>
        <w:t xml:space="preserve">) and </w:t>
      </w:r>
      <w:proofErr w:type="spellStart"/>
      <w:r w:rsidRPr="00876AB1">
        <w:rPr>
          <w:rFonts w:asciiTheme="majorHAnsi" w:eastAsia="Calibri" w:hAnsiTheme="majorHAnsi" w:cs="Times New Roman"/>
          <w:sz w:val="24"/>
          <w:szCs w:val="24"/>
          <w:lang w:val="en-US"/>
        </w:rPr>
        <w:t>Kpc</w:t>
      </w:r>
      <w:proofErr w:type="spellEnd"/>
      <w:r w:rsidRPr="00876AB1">
        <w:rPr>
          <w:rFonts w:asciiTheme="majorHAnsi" w:eastAsia="Calibri" w:hAnsiTheme="majorHAnsi" w:cs="Times New Roman"/>
          <w:sz w:val="24"/>
          <w:szCs w:val="24"/>
          <w:lang w:val="en-US"/>
        </w:rPr>
        <w:t xml:space="preserve"> (h</w:t>
      </w:r>
      <w:r w:rsidRPr="00876AB1">
        <w:rPr>
          <w:rFonts w:asciiTheme="majorHAnsi" w:eastAsia="Calibri" w:hAnsiTheme="majorHAnsi" w:cs="Times New Roman"/>
          <w:sz w:val="24"/>
          <w:szCs w:val="24"/>
          <w:vertAlign w:val="superscript"/>
          <w:lang w:val="en-US"/>
        </w:rPr>
        <w:t>-1</w:t>
      </w:r>
      <w:r w:rsidRPr="00876AB1">
        <w:rPr>
          <w:rFonts w:asciiTheme="majorHAnsi" w:eastAsia="Calibri" w:hAnsiTheme="majorHAnsi" w:cs="Times New Roman"/>
          <w:sz w:val="24"/>
          <w:szCs w:val="24"/>
          <w:lang w:val="en-US"/>
        </w:rPr>
        <w:t xml:space="preserve">) are the first-order inter-compartmental rate constants.  </w:t>
      </w:r>
      <w:proofErr w:type="spellStart"/>
      <w:r w:rsidRPr="00876AB1">
        <w:rPr>
          <w:rFonts w:asciiTheme="majorHAnsi" w:eastAsia="Calibri" w:hAnsiTheme="majorHAnsi" w:cs="Times New Roman"/>
          <w:sz w:val="24"/>
          <w:szCs w:val="24"/>
          <w:lang w:val="en-US"/>
        </w:rPr>
        <w:t>Kgmax</w:t>
      </w:r>
      <w:proofErr w:type="spellEnd"/>
      <w:r w:rsidRPr="00876AB1">
        <w:rPr>
          <w:rFonts w:asciiTheme="majorHAnsi" w:eastAsia="Calibri" w:hAnsiTheme="majorHAnsi" w:cs="Times New Roman"/>
          <w:sz w:val="24"/>
          <w:szCs w:val="24"/>
          <w:lang w:val="en-US"/>
        </w:rPr>
        <w:t xml:space="preserve"> (log</w:t>
      </w:r>
      <w:r w:rsidRPr="00876AB1">
        <w:rPr>
          <w:rFonts w:asciiTheme="majorHAnsi" w:eastAsia="Calibri" w:hAnsiTheme="majorHAnsi" w:cs="Times New Roman"/>
          <w:sz w:val="24"/>
          <w:szCs w:val="24"/>
          <w:vertAlign w:val="subscript"/>
          <w:lang w:val="en-US"/>
        </w:rPr>
        <w:t>10</w:t>
      </w:r>
      <w:r w:rsidRPr="00876AB1">
        <w:rPr>
          <w:rFonts w:asciiTheme="majorHAnsi" w:eastAsia="Calibri" w:hAnsiTheme="majorHAnsi" w:cs="Times New Roman"/>
          <w:sz w:val="24"/>
          <w:szCs w:val="24"/>
          <w:lang w:val="en-US"/>
        </w:rPr>
        <w:t xml:space="preserve">CFU/g/h) and </w:t>
      </w:r>
      <w:proofErr w:type="spellStart"/>
      <w:r w:rsidRPr="00876AB1">
        <w:rPr>
          <w:rFonts w:asciiTheme="majorHAnsi" w:eastAsia="Calibri" w:hAnsiTheme="majorHAnsi" w:cs="Times New Roman"/>
          <w:sz w:val="24"/>
          <w:szCs w:val="24"/>
          <w:lang w:val="en-US"/>
        </w:rPr>
        <w:t>kkillmax</w:t>
      </w:r>
      <w:proofErr w:type="spellEnd"/>
      <w:r w:rsidRPr="00876AB1">
        <w:rPr>
          <w:rFonts w:asciiTheme="majorHAnsi" w:eastAsia="Calibri" w:hAnsiTheme="majorHAnsi" w:cs="Times New Roman"/>
          <w:sz w:val="24"/>
          <w:szCs w:val="24"/>
          <w:lang w:val="en-US"/>
        </w:rPr>
        <w:t xml:space="preserve"> (log</w:t>
      </w:r>
      <w:r w:rsidRPr="00876AB1">
        <w:rPr>
          <w:rFonts w:asciiTheme="majorHAnsi" w:eastAsia="Calibri" w:hAnsiTheme="majorHAnsi" w:cs="Times New Roman"/>
          <w:sz w:val="24"/>
          <w:szCs w:val="24"/>
          <w:vertAlign w:val="subscript"/>
          <w:lang w:val="en-US"/>
        </w:rPr>
        <w:t>10</w:t>
      </w:r>
      <w:r w:rsidRPr="00876AB1">
        <w:rPr>
          <w:rFonts w:asciiTheme="majorHAnsi" w:eastAsia="Calibri" w:hAnsiTheme="majorHAnsi" w:cs="Times New Roman"/>
          <w:sz w:val="24"/>
          <w:szCs w:val="24"/>
          <w:lang w:val="en-US"/>
        </w:rPr>
        <w:t xml:space="preserve">CFU/g/h) are the maximal rates of cryptococcal growth and flubendazole-induced kill, respectively.  POPMAX (CFU/g) is the maximum theoretical fungal density.  C50g (mg/L) and C50k (mg/L) are the concentrations of flubendazole that induce half-maximal effects on growth and kill, respectively.  Hg and </w:t>
      </w:r>
      <w:proofErr w:type="spellStart"/>
      <w:r w:rsidRPr="00876AB1">
        <w:rPr>
          <w:rFonts w:asciiTheme="majorHAnsi" w:eastAsia="Calibri" w:hAnsiTheme="majorHAnsi" w:cs="Times New Roman"/>
          <w:sz w:val="24"/>
          <w:szCs w:val="24"/>
          <w:lang w:val="en-US"/>
        </w:rPr>
        <w:t>Hk</w:t>
      </w:r>
      <w:proofErr w:type="spellEnd"/>
      <w:r w:rsidRPr="00876AB1">
        <w:rPr>
          <w:rFonts w:asciiTheme="majorHAnsi" w:eastAsia="Calibri" w:hAnsiTheme="majorHAnsi" w:cs="Times New Roman"/>
          <w:sz w:val="24"/>
          <w:szCs w:val="24"/>
          <w:lang w:val="en-US"/>
        </w:rPr>
        <w:t xml:space="preserve"> are the respective slope functions for growth and kill.  The initial condition (CFU/g; not shown in the equations) is the fungal density immediately following inoculation, and is estimated along with other parameters. </w:t>
      </w:r>
    </w:p>
    <w:p w14:paraId="0F8883FD" w14:textId="5D1C5874" w:rsidR="003B2CE2" w:rsidRPr="00876AB1" w:rsidRDefault="003B2CE2" w:rsidP="00EB3D34">
      <w:pPr>
        <w:spacing w:after="120" w:line="480" w:lineRule="auto"/>
        <w:ind w:firstLine="720"/>
        <w:rPr>
          <w:rFonts w:asciiTheme="majorHAnsi" w:eastAsia="Calibri" w:hAnsiTheme="majorHAnsi" w:cs="Times New Roman"/>
          <w:sz w:val="24"/>
          <w:szCs w:val="24"/>
          <w:lang w:val="en-US"/>
        </w:rPr>
      </w:pPr>
      <w:r w:rsidRPr="00876AB1">
        <w:rPr>
          <w:rFonts w:asciiTheme="majorHAnsi" w:eastAsia="Calibri" w:hAnsiTheme="majorHAnsi" w:cs="Times New Roman"/>
          <w:sz w:val="24"/>
          <w:szCs w:val="24"/>
          <w:lang w:val="en-US"/>
        </w:rPr>
        <w:t xml:space="preserve">Equations 1, 2, 3 and 4 are pharmacokinetic equations that describe the movement of drug from the gut, throughout the body and into the brain.  Equation 1 describes the movement of drug from the gut.  Equation 2 describes the rate if change of flubendazole in the central compartment (plasma) with first-order clearance and movement of drug to and from both a peripheral (unmeasured) compartment and the cerebrum.  Equations 3 and 4 describe the rate of change of drug in the peripheral and cerebral compartments, respectively.  The pharmacodynamics of flubendazole against </w:t>
      </w:r>
      <w:r w:rsidRPr="00876AB1">
        <w:rPr>
          <w:rFonts w:asciiTheme="majorHAnsi" w:eastAsia="Calibri" w:hAnsiTheme="majorHAnsi" w:cs="Times New Roman"/>
          <w:i/>
          <w:sz w:val="24"/>
          <w:szCs w:val="24"/>
          <w:lang w:val="en-US"/>
        </w:rPr>
        <w:t>Cryptococcus neoformans</w:t>
      </w:r>
      <w:r w:rsidRPr="00876AB1">
        <w:rPr>
          <w:rFonts w:asciiTheme="majorHAnsi" w:eastAsia="Calibri" w:hAnsiTheme="majorHAnsi" w:cs="Times New Roman"/>
          <w:sz w:val="24"/>
          <w:szCs w:val="24"/>
          <w:lang w:val="en-US"/>
        </w:rPr>
        <w:t xml:space="preserve"> is described by Equation 5, which has terms that describe the capacity limited growth of </w:t>
      </w:r>
      <w:r w:rsidRPr="00876AB1">
        <w:rPr>
          <w:rFonts w:asciiTheme="majorHAnsi" w:eastAsia="Calibri" w:hAnsiTheme="majorHAnsi" w:cs="Times New Roman"/>
          <w:i/>
          <w:sz w:val="24"/>
          <w:szCs w:val="24"/>
          <w:lang w:val="en-US"/>
        </w:rPr>
        <w:t>Cryptococcus</w:t>
      </w:r>
      <w:r w:rsidRPr="00876AB1">
        <w:rPr>
          <w:rFonts w:asciiTheme="majorHAnsi" w:eastAsia="Calibri" w:hAnsiTheme="majorHAnsi" w:cs="Times New Roman"/>
          <w:sz w:val="24"/>
          <w:szCs w:val="24"/>
          <w:lang w:val="en-US"/>
        </w:rPr>
        <w:t xml:space="preserve">, flubendazole-induced suppression of growth and drug-induced fungal killing.  The antifungal activity in the cerebrum is </w:t>
      </w:r>
      <w:r w:rsidR="00525CC5">
        <w:rPr>
          <w:rFonts w:asciiTheme="majorHAnsi" w:eastAsia="Calibri" w:hAnsiTheme="majorHAnsi" w:cs="Times New Roman"/>
          <w:sz w:val="24"/>
          <w:szCs w:val="24"/>
          <w:lang w:val="en-US"/>
        </w:rPr>
        <w:t>primarily related to</w:t>
      </w:r>
      <w:r w:rsidRPr="00876AB1">
        <w:rPr>
          <w:rFonts w:asciiTheme="majorHAnsi" w:eastAsia="Calibri" w:hAnsiTheme="majorHAnsi" w:cs="Times New Roman"/>
          <w:sz w:val="24"/>
          <w:szCs w:val="24"/>
          <w:lang w:val="en-US"/>
        </w:rPr>
        <w:t xml:space="preserve"> concentrations in the cerebrum.  </w:t>
      </w:r>
    </w:p>
    <w:p w14:paraId="033C2927" w14:textId="77777777" w:rsidR="003B2CE2" w:rsidRPr="00876AB1" w:rsidRDefault="003B2CE2" w:rsidP="00EB3D34">
      <w:pPr>
        <w:spacing w:after="120" w:line="480" w:lineRule="auto"/>
        <w:ind w:firstLine="720"/>
        <w:rPr>
          <w:rFonts w:asciiTheme="majorHAnsi" w:eastAsia="Calibri" w:hAnsiTheme="majorHAnsi" w:cs="Times New Roman"/>
          <w:sz w:val="24"/>
          <w:szCs w:val="24"/>
          <w:lang w:val="en-US"/>
        </w:rPr>
      </w:pPr>
      <w:r w:rsidRPr="00876AB1">
        <w:rPr>
          <w:rFonts w:asciiTheme="majorHAnsi" w:eastAsia="Calibri" w:hAnsiTheme="majorHAnsi" w:cs="Times New Roman"/>
          <w:sz w:val="24"/>
          <w:szCs w:val="24"/>
          <w:lang w:val="en-US"/>
        </w:rPr>
        <w:lastRenderedPageBreak/>
        <w:t xml:space="preserve">A similar model was used to model the PK-PD data from rabbits, but there were some differences.  Firstly, no drug was detectable in the brain or the CSF.  Therefore, we let plasma concentrations of drug drive the antifungal effect and did not attempt to model the concentration of drug in the central nervous system (as was the case for mice).  We directly linked plasma concentrations with the antifungal effect.  </w:t>
      </w:r>
    </w:p>
    <w:p w14:paraId="7B733DEE" w14:textId="638CD6DF" w:rsidR="003B2CE2" w:rsidRDefault="003B2CE2" w:rsidP="00EB3D34">
      <w:pPr>
        <w:spacing w:after="0" w:line="480" w:lineRule="auto"/>
        <w:rPr>
          <w:rFonts w:asciiTheme="majorHAnsi" w:hAnsiTheme="majorHAnsi"/>
          <w:sz w:val="24"/>
          <w:szCs w:val="24"/>
          <w:lang w:val="en-US"/>
        </w:rPr>
      </w:pPr>
      <w:r>
        <w:rPr>
          <w:rFonts w:asciiTheme="majorHAnsi" w:hAnsiTheme="majorHAnsi"/>
          <w:sz w:val="24"/>
          <w:szCs w:val="24"/>
          <w:lang w:val="en-US"/>
        </w:rPr>
        <w:br w:type="page"/>
      </w:r>
    </w:p>
    <w:p w14:paraId="0F1BBC4A" w14:textId="7467D650" w:rsidR="00900889" w:rsidRDefault="00633167" w:rsidP="00EB3D34">
      <w:pPr>
        <w:pStyle w:val="EndNoteBibliography"/>
        <w:spacing w:line="480" w:lineRule="auto"/>
        <w:outlineLvl w:val="0"/>
        <w:rPr>
          <w:rFonts w:asciiTheme="majorHAnsi" w:hAnsiTheme="majorHAnsi"/>
          <w:b/>
          <w:noProof w:val="0"/>
          <w:sz w:val="24"/>
          <w:szCs w:val="24"/>
        </w:rPr>
      </w:pPr>
      <w:r>
        <w:rPr>
          <w:rFonts w:asciiTheme="majorHAnsi" w:hAnsiTheme="majorHAnsi"/>
          <w:b/>
          <w:noProof w:val="0"/>
          <w:sz w:val="24"/>
          <w:szCs w:val="24"/>
        </w:rPr>
        <w:lastRenderedPageBreak/>
        <w:t>REFERENCES</w:t>
      </w:r>
    </w:p>
    <w:p w14:paraId="1B5183E0" w14:textId="45D09208" w:rsidR="00393938" w:rsidRPr="00393938" w:rsidRDefault="008E73C2"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Pr>
          <w:rFonts w:asciiTheme="majorHAnsi" w:hAnsiTheme="majorHAnsi"/>
          <w:b/>
          <w:sz w:val="24"/>
          <w:szCs w:val="24"/>
        </w:rPr>
        <w:fldChar w:fldCharType="begin" w:fldLock="1"/>
      </w:r>
      <w:r>
        <w:rPr>
          <w:rFonts w:asciiTheme="majorHAnsi" w:hAnsiTheme="majorHAnsi"/>
          <w:b/>
          <w:sz w:val="24"/>
          <w:szCs w:val="24"/>
        </w:rPr>
        <w:instrText xml:space="preserve">ADDIN Mendeley Bibliography CSL_BIBLIOGRAPHY </w:instrText>
      </w:r>
      <w:r>
        <w:rPr>
          <w:rFonts w:asciiTheme="majorHAnsi" w:hAnsiTheme="majorHAnsi"/>
          <w:b/>
          <w:sz w:val="24"/>
          <w:szCs w:val="24"/>
        </w:rPr>
        <w:fldChar w:fldCharType="separate"/>
      </w:r>
      <w:r w:rsidR="00393938" w:rsidRPr="00393938">
        <w:rPr>
          <w:rFonts w:ascii="Calibri Light" w:eastAsia="Times New Roman" w:hAnsi="Calibri Light" w:cs="Times New Roman"/>
          <w:noProof/>
          <w:sz w:val="24"/>
        </w:rPr>
        <w:t xml:space="preserve">1. </w:t>
      </w:r>
      <w:r w:rsidR="00393938" w:rsidRPr="00393938">
        <w:rPr>
          <w:rFonts w:ascii="Calibri Light" w:eastAsia="Times New Roman" w:hAnsi="Calibri Light" w:cs="Times New Roman"/>
          <w:noProof/>
          <w:sz w:val="24"/>
        </w:rPr>
        <w:tab/>
      </w:r>
      <w:r w:rsidR="00393938" w:rsidRPr="00393938">
        <w:rPr>
          <w:rFonts w:ascii="Calibri Light" w:eastAsia="Times New Roman" w:hAnsi="Calibri Light" w:cs="Times New Roman"/>
          <w:b/>
          <w:bCs/>
          <w:noProof/>
          <w:sz w:val="24"/>
        </w:rPr>
        <w:t>Rajasingham R</w:t>
      </w:r>
      <w:r w:rsidR="00393938" w:rsidRPr="00393938">
        <w:rPr>
          <w:rFonts w:ascii="Calibri Light" w:eastAsia="Times New Roman" w:hAnsi="Calibri Light" w:cs="Times New Roman"/>
          <w:noProof/>
          <w:sz w:val="24"/>
        </w:rPr>
        <w:t xml:space="preserve">, </w:t>
      </w:r>
      <w:r w:rsidR="00393938" w:rsidRPr="00393938">
        <w:rPr>
          <w:rFonts w:ascii="Calibri Light" w:eastAsia="Times New Roman" w:hAnsi="Calibri Light" w:cs="Times New Roman"/>
          <w:b/>
          <w:bCs/>
          <w:noProof/>
          <w:sz w:val="24"/>
        </w:rPr>
        <w:t>Smith RM</w:t>
      </w:r>
      <w:r w:rsidR="00393938" w:rsidRPr="00393938">
        <w:rPr>
          <w:rFonts w:ascii="Calibri Light" w:eastAsia="Times New Roman" w:hAnsi="Calibri Light" w:cs="Times New Roman"/>
          <w:noProof/>
          <w:sz w:val="24"/>
        </w:rPr>
        <w:t xml:space="preserve">, </w:t>
      </w:r>
      <w:r w:rsidR="00393938" w:rsidRPr="00393938">
        <w:rPr>
          <w:rFonts w:ascii="Calibri Light" w:eastAsia="Times New Roman" w:hAnsi="Calibri Light" w:cs="Times New Roman"/>
          <w:b/>
          <w:bCs/>
          <w:noProof/>
          <w:sz w:val="24"/>
        </w:rPr>
        <w:t>Park BJ</w:t>
      </w:r>
      <w:r w:rsidR="00393938" w:rsidRPr="00393938">
        <w:rPr>
          <w:rFonts w:ascii="Calibri Light" w:eastAsia="Times New Roman" w:hAnsi="Calibri Light" w:cs="Times New Roman"/>
          <w:noProof/>
          <w:sz w:val="24"/>
        </w:rPr>
        <w:t xml:space="preserve">, </w:t>
      </w:r>
      <w:r w:rsidR="00393938" w:rsidRPr="00393938">
        <w:rPr>
          <w:rFonts w:ascii="Calibri Light" w:eastAsia="Times New Roman" w:hAnsi="Calibri Light" w:cs="Times New Roman"/>
          <w:b/>
          <w:bCs/>
          <w:noProof/>
          <w:sz w:val="24"/>
        </w:rPr>
        <w:t>Jarvis JN</w:t>
      </w:r>
      <w:r w:rsidR="00393938" w:rsidRPr="00393938">
        <w:rPr>
          <w:rFonts w:ascii="Calibri Light" w:eastAsia="Times New Roman" w:hAnsi="Calibri Light" w:cs="Times New Roman"/>
          <w:noProof/>
          <w:sz w:val="24"/>
        </w:rPr>
        <w:t xml:space="preserve">, </w:t>
      </w:r>
      <w:r w:rsidR="00393938" w:rsidRPr="00393938">
        <w:rPr>
          <w:rFonts w:ascii="Calibri Light" w:eastAsia="Times New Roman" w:hAnsi="Calibri Light" w:cs="Times New Roman"/>
          <w:b/>
          <w:bCs/>
          <w:noProof/>
          <w:sz w:val="24"/>
        </w:rPr>
        <w:t>Govender NP</w:t>
      </w:r>
      <w:r w:rsidR="00393938" w:rsidRPr="00393938">
        <w:rPr>
          <w:rFonts w:ascii="Calibri Light" w:eastAsia="Times New Roman" w:hAnsi="Calibri Light" w:cs="Times New Roman"/>
          <w:noProof/>
          <w:sz w:val="24"/>
        </w:rPr>
        <w:t xml:space="preserve">, </w:t>
      </w:r>
      <w:r w:rsidR="00393938" w:rsidRPr="00393938">
        <w:rPr>
          <w:rFonts w:ascii="Calibri Light" w:eastAsia="Times New Roman" w:hAnsi="Calibri Light" w:cs="Times New Roman"/>
          <w:b/>
          <w:bCs/>
          <w:noProof/>
          <w:sz w:val="24"/>
        </w:rPr>
        <w:t>Chiller TM</w:t>
      </w:r>
      <w:r w:rsidR="00393938" w:rsidRPr="00393938">
        <w:rPr>
          <w:rFonts w:ascii="Calibri Light" w:eastAsia="Times New Roman" w:hAnsi="Calibri Light" w:cs="Times New Roman"/>
          <w:noProof/>
          <w:sz w:val="24"/>
        </w:rPr>
        <w:t xml:space="preserve">, </w:t>
      </w:r>
      <w:r w:rsidR="00393938" w:rsidRPr="00393938">
        <w:rPr>
          <w:rFonts w:ascii="Calibri Light" w:eastAsia="Times New Roman" w:hAnsi="Calibri Light" w:cs="Times New Roman"/>
          <w:b/>
          <w:bCs/>
          <w:noProof/>
          <w:sz w:val="24"/>
        </w:rPr>
        <w:t>Denning DW</w:t>
      </w:r>
      <w:r w:rsidR="00393938" w:rsidRPr="00393938">
        <w:rPr>
          <w:rFonts w:ascii="Calibri Light" w:eastAsia="Times New Roman" w:hAnsi="Calibri Light" w:cs="Times New Roman"/>
          <w:noProof/>
          <w:sz w:val="24"/>
        </w:rPr>
        <w:t xml:space="preserve">, </w:t>
      </w:r>
      <w:r w:rsidR="00393938" w:rsidRPr="00393938">
        <w:rPr>
          <w:rFonts w:ascii="Calibri Light" w:eastAsia="Times New Roman" w:hAnsi="Calibri Light" w:cs="Times New Roman"/>
          <w:b/>
          <w:bCs/>
          <w:noProof/>
          <w:sz w:val="24"/>
        </w:rPr>
        <w:t>Loyse A</w:t>
      </w:r>
      <w:r w:rsidR="00393938" w:rsidRPr="00393938">
        <w:rPr>
          <w:rFonts w:ascii="Calibri Light" w:eastAsia="Times New Roman" w:hAnsi="Calibri Light" w:cs="Times New Roman"/>
          <w:noProof/>
          <w:sz w:val="24"/>
        </w:rPr>
        <w:t xml:space="preserve">, </w:t>
      </w:r>
      <w:r w:rsidR="00393938" w:rsidRPr="00393938">
        <w:rPr>
          <w:rFonts w:ascii="Calibri Light" w:eastAsia="Times New Roman" w:hAnsi="Calibri Light" w:cs="Times New Roman"/>
          <w:b/>
          <w:bCs/>
          <w:noProof/>
          <w:sz w:val="24"/>
        </w:rPr>
        <w:t>Boulware DR</w:t>
      </w:r>
      <w:r w:rsidR="00393938" w:rsidRPr="00393938">
        <w:rPr>
          <w:rFonts w:ascii="Calibri Light" w:eastAsia="Times New Roman" w:hAnsi="Calibri Light" w:cs="Times New Roman"/>
          <w:noProof/>
          <w:sz w:val="24"/>
        </w:rPr>
        <w:t xml:space="preserve">. 2017. Global burden of disease of HIV-associated cryptococcal meningitis: An updated analysis. Lancet Infect Dis </w:t>
      </w:r>
      <w:r w:rsidR="00393938" w:rsidRPr="00393938">
        <w:rPr>
          <w:rFonts w:ascii="Calibri Light" w:eastAsia="Times New Roman" w:hAnsi="Calibri Light" w:cs="Times New Roman"/>
          <w:b/>
          <w:bCs/>
          <w:noProof/>
          <w:sz w:val="24"/>
        </w:rPr>
        <w:t>3099</w:t>
      </w:r>
      <w:r w:rsidR="00393938" w:rsidRPr="00393938">
        <w:rPr>
          <w:rFonts w:ascii="Calibri Light" w:eastAsia="Times New Roman" w:hAnsi="Calibri Light" w:cs="Times New Roman"/>
          <w:noProof/>
          <w:sz w:val="24"/>
        </w:rPr>
        <w:t>:1–9.</w:t>
      </w:r>
    </w:p>
    <w:p w14:paraId="213CF88D"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2.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Jarvis JN</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Bicanic T</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Loyse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Namarika D</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Jackson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Nussbaum JC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Longley N</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Muzoora 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Phulusa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Taseera K</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Kanyembe 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Wilson D</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Hosseinipour MC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Brouwer AE</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Limmathurotsakul D</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White N</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Van Der Horst 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Wood 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Meintjes G</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Bradley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Jaffar 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Harrison T</w:t>
      </w:r>
      <w:r w:rsidRPr="00393938">
        <w:rPr>
          <w:rFonts w:ascii="Calibri Light" w:eastAsia="Times New Roman" w:hAnsi="Calibri Light" w:cs="Times New Roman"/>
          <w:noProof/>
          <w:sz w:val="24"/>
        </w:rPr>
        <w:t xml:space="preserve">. 2014. Determinants of mortality in a combined cohort of 501 patients with HIV-associated cryptococcal meningitis: Implications for improving outcomes. Clin Infect Dis </w:t>
      </w:r>
      <w:r w:rsidRPr="00393938">
        <w:rPr>
          <w:rFonts w:ascii="Calibri Light" w:eastAsia="Times New Roman" w:hAnsi="Calibri Light" w:cs="Times New Roman"/>
          <w:b/>
          <w:bCs/>
          <w:noProof/>
          <w:sz w:val="24"/>
        </w:rPr>
        <w:t>58</w:t>
      </w:r>
      <w:r w:rsidRPr="00393938">
        <w:rPr>
          <w:rFonts w:ascii="Calibri Light" w:eastAsia="Times New Roman" w:hAnsi="Calibri Light" w:cs="Times New Roman"/>
          <w:noProof/>
          <w:sz w:val="24"/>
        </w:rPr>
        <w:t>:736–745.</w:t>
      </w:r>
    </w:p>
    <w:p w14:paraId="3B17FA56"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3.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Denning DW</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Hope WW</w:t>
      </w:r>
      <w:r w:rsidRPr="00393938">
        <w:rPr>
          <w:rFonts w:ascii="Calibri Light" w:eastAsia="Times New Roman" w:hAnsi="Calibri Light" w:cs="Times New Roman"/>
          <w:noProof/>
          <w:sz w:val="24"/>
        </w:rPr>
        <w:t xml:space="preserve">. 2010. Therapy for fungal diseases: Opportunities and priorities. Trends Microbiol </w:t>
      </w:r>
      <w:r w:rsidRPr="00393938">
        <w:rPr>
          <w:rFonts w:ascii="Calibri Light" w:eastAsia="Times New Roman" w:hAnsi="Calibri Light" w:cs="Times New Roman"/>
          <w:b/>
          <w:bCs/>
          <w:noProof/>
          <w:sz w:val="24"/>
        </w:rPr>
        <w:t>18</w:t>
      </w:r>
      <w:r w:rsidRPr="00393938">
        <w:rPr>
          <w:rFonts w:ascii="Calibri Light" w:eastAsia="Times New Roman" w:hAnsi="Calibri Light" w:cs="Times New Roman"/>
          <w:noProof/>
          <w:sz w:val="24"/>
        </w:rPr>
        <w:t>.</w:t>
      </w:r>
    </w:p>
    <w:p w14:paraId="21EB892A"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4.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Perfect JR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Dismukes WE</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Dromer F</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Goldman DL</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Graybill JR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Hamill RJ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Harrison TS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Larsen RA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Lortholary O</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Nguyen MH</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Pappas PG</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Powderly WG</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Singh N</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Sobel JD</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Sorrell TC</w:t>
      </w:r>
      <w:r w:rsidRPr="00393938">
        <w:rPr>
          <w:rFonts w:ascii="Calibri Light" w:eastAsia="Times New Roman" w:hAnsi="Calibri Light" w:cs="Times New Roman"/>
          <w:noProof/>
          <w:sz w:val="24"/>
        </w:rPr>
        <w:t xml:space="preserve">. 2010. Clinical practice guidelines for the management of cryptococcal disease: 2010 update by the infectious diseases society of america. Clin Infect Dis </w:t>
      </w:r>
      <w:r w:rsidRPr="00393938">
        <w:rPr>
          <w:rFonts w:ascii="Calibri Light" w:eastAsia="Times New Roman" w:hAnsi="Calibri Light" w:cs="Times New Roman"/>
          <w:b/>
          <w:bCs/>
          <w:noProof/>
          <w:sz w:val="24"/>
        </w:rPr>
        <w:t>50</w:t>
      </w:r>
      <w:r w:rsidRPr="00393938">
        <w:rPr>
          <w:rFonts w:ascii="Calibri Light" w:eastAsia="Times New Roman" w:hAnsi="Calibri Light" w:cs="Times New Roman"/>
          <w:noProof/>
          <w:sz w:val="24"/>
        </w:rPr>
        <w:t>:291–322.</w:t>
      </w:r>
    </w:p>
    <w:p w14:paraId="63F9D484"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5.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Bicanic T</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Bottomley 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Loyse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Brouwer AE</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Muzoora 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Taseera K</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Jackson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Phulusa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Hosseinipour MC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Van Der Horst 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Limmathurotsakul D</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White NJ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Wilson D</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Wood 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Meintjes G</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Harrison TS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Jarvis JN</w:t>
      </w:r>
      <w:r w:rsidRPr="00393938">
        <w:rPr>
          <w:rFonts w:ascii="Calibri Light" w:eastAsia="Times New Roman" w:hAnsi="Calibri Light" w:cs="Times New Roman"/>
          <w:noProof/>
          <w:sz w:val="24"/>
        </w:rPr>
        <w:t xml:space="preserve">. 2015. Toxicity of amphotericin B deoxycholate-based induction therapy in patients with HIV-associated cryptococcal meningitis. Antimicrob Agents Chemother </w:t>
      </w:r>
      <w:r w:rsidRPr="00393938">
        <w:rPr>
          <w:rFonts w:ascii="Calibri Light" w:eastAsia="Times New Roman" w:hAnsi="Calibri Light" w:cs="Times New Roman"/>
          <w:b/>
          <w:bCs/>
          <w:noProof/>
          <w:sz w:val="24"/>
        </w:rPr>
        <w:t>59</w:t>
      </w:r>
      <w:r w:rsidRPr="00393938">
        <w:rPr>
          <w:rFonts w:ascii="Calibri Light" w:eastAsia="Times New Roman" w:hAnsi="Calibri Light" w:cs="Times New Roman"/>
          <w:noProof/>
          <w:sz w:val="24"/>
        </w:rPr>
        <w:t>:7224–7231.</w:t>
      </w:r>
    </w:p>
    <w:p w14:paraId="025AB801"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lastRenderedPageBreak/>
        <w:t xml:space="preserve">6.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Stamm AM</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Diasio RB</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Dismukes WE</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Shadomy 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Cloud GA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Bowles CA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Karam GH</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Espinel-Ingroff A</w:t>
      </w:r>
      <w:r w:rsidRPr="00393938">
        <w:rPr>
          <w:rFonts w:ascii="Calibri Light" w:eastAsia="Times New Roman" w:hAnsi="Calibri Light" w:cs="Times New Roman"/>
          <w:noProof/>
          <w:sz w:val="24"/>
        </w:rPr>
        <w:t xml:space="preserve">. 1987. Toxicity of amphotericin B plus flucytosine in 194 patients with cryptococcal meningitis. Am J Med </w:t>
      </w:r>
      <w:r w:rsidRPr="00393938">
        <w:rPr>
          <w:rFonts w:ascii="Calibri Light" w:eastAsia="Times New Roman" w:hAnsi="Calibri Light" w:cs="Times New Roman"/>
          <w:b/>
          <w:bCs/>
          <w:noProof/>
          <w:sz w:val="24"/>
        </w:rPr>
        <w:t>83</w:t>
      </w:r>
      <w:r w:rsidRPr="00393938">
        <w:rPr>
          <w:rFonts w:ascii="Calibri Light" w:eastAsia="Times New Roman" w:hAnsi="Calibri Light" w:cs="Times New Roman"/>
          <w:noProof/>
          <w:sz w:val="24"/>
        </w:rPr>
        <w:t>:236–242.</w:t>
      </w:r>
    </w:p>
    <w:p w14:paraId="6D51AEFD"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7.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Milefchik E</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Leal MA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Haubrich 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Bozzette S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Tilles JG</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Leedom JM</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McCutchan JA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Larsen R a</w:t>
      </w:r>
      <w:r w:rsidRPr="00393938">
        <w:rPr>
          <w:rFonts w:ascii="Calibri Light" w:eastAsia="Times New Roman" w:hAnsi="Calibri Light" w:cs="Times New Roman"/>
          <w:noProof/>
          <w:sz w:val="24"/>
        </w:rPr>
        <w:t xml:space="preserve">. 2008. Fluconazole alone or combined with flucytosine for the treatment of AIDS-associated cryptococcal meningitis. Med Mycol </w:t>
      </w:r>
      <w:r w:rsidRPr="00393938">
        <w:rPr>
          <w:rFonts w:ascii="Calibri Light" w:eastAsia="Times New Roman" w:hAnsi="Calibri Light" w:cs="Times New Roman"/>
          <w:b/>
          <w:bCs/>
          <w:noProof/>
          <w:sz w:val="24"/>
        </w:rPr>
        <w:t>46</w:t>
      </w:r>
      <w:r w:rsidRPr="00393938">
        <w:rPr>
          <w:rFonts w:ascii="Calibri Light" w:eastAsia="Times New Roman" w:hAnsi="Calibri Light" w:cs="Times New Roman"/>
          <w:noProof/>
          <w:sz w:val="24"/>
        </w:rPr>
        <w:t>:393–5.</w:t>
      </w:r>
    </w:p>
    <w:p w14:paraId="71B31BB1"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8.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Sudan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Livermore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Howard SJ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Al-Nakeeb Z</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Sharp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Goodwin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Gregson L</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Warn PA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Felton TW</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Perfect JR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others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Harrison TS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Hope WW</w:t>
      </w:r>
      <w:r w:rsidRPr="00393938">
        <w:rPr>
          <w:rFonts w:ascii="Calibri Light" w:eastAsia="Times New Roman" w:hAnsi="Calibri Light" w:cs="Times New Roman"/>
          <w:noProof/>
          <w:sz w:val="24"/>
        </w:rPr>
        <w:t xml:space="preserve">. 2013. Pharmacokinetics and pharmacodynamics of fluconazole for cryptococcal meningoencephalitis: implications for antifungal therapy and in vitro susceptibility breakpoints. Antimicrob Agents Chemother </w:t>
      </w:r>
      <w:r w:rsidRPr="00393938">
        <w:rPr>
          <w:rFonts w:ascii="Calibri Light" w:eastAsia="Times New Roman" w:hAnsi="Calibri Light" w:cs="Times New Roman"/>
          <w:b/>
          <w:bCs/>
          <w:noProof/>
          <w:sz w:val="24"/>
        </w:rPr>
        <w:t>57</w:t>
      </w:r>
      <w:r w:rsidRPr="00393938">
        <w:rPr>
          <w:rFonts w:ascii="Calibri Light" w:eastAsia="Times New Roman" w:hAnsi="Calibri Light" w:cs="Times New Roman"/>
          <w:noProof/>
          <w:sz w:val="24"/>
        </w:rPr>
        <w:t>:2793–2800.</w:t>
      </w:r>
    </w:p>
    <w:p w14:paraId="7F3A48E9"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9.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Bicanic T</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Harrison T</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Niepieklo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Dyakopu N</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Meintjes G</w:t>
      </w:r>
      <w:r w:rsidRPr="00393938">
        <w:rPr>
          <w:rFonts w:ascii="Calibri Light" w:eastAsia="Times New Roman" w:hAnsi="Calibri Light" w:cs="Times New Roman"/>
          <w:noProof/>
          <w:sz w:val="24"/>
        </w:rPr>
        <w:t xml:space="preserve">. 2006. Symptomatic relapse of HIV-associated cryptococcal meningitis after initial fluconazole monotherapy: the role of fluconazole resistance and immune reconstitution. Clin Infect Dis </w:t>
      </w:r>
      <w:r w:rsidRPr="00393938">
        <w:rPr>
          <w:rFonts w:ascii="Calibri Light" w:eastAsia="Times New Roman" w:hAnsi="Calibri Light" w:cs="Times New Roman"/>
          <w:b/>
          <w:bCs/>
          <w:noProof/>
          <w:sz w:val="24"/>
        </w:rPr>
        <w:t>43</w:t>
      </w:r>
      <w:r w:rsidRPr="00393938">
        <w:rPr>
          <w:rFonts w:ascii="Calibri Light" w:eastAsia="Times New Roman" w:hAnsi="Calibri Light" w:cs="Times New Roman"/>
          <w:noProof/>
          <w:sz w:val="24"/>
        </w:rPr>
        <w:t>:1069–1073.</w:t>
      </w:r>
    </w:p>
    <w:p w14:paraId="7A0C1D55"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10.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Scholer HJ</w:t>
      </w:r>
      <w:r w:rsidRPr="00393938">
        <w:rPr>
          <w:rFonts w:ascii="Calibri Light" w:eastAsia="Times New Roman" w:hAnsi="Calibri Light" w:cs="Times New Roman"/>
          <w:noProof/>
          <w:sz w:val="24"/>
        </w:rPr>
        <w:t>. 1980. FlucytosineAntifungal Chemotherapy. John Wiley &amp; Sons.</w:t>
      </w:r>
    </w:p>
    <w:p w14:paraId="3DCE4E79"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11.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Polak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Scholer HJ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Wall M</w:t>
      </w:r>
      <w:r w:rsidRPr="00393938">
        <w:rPr>
          <w:rFonts w:ascii="Calibri Light" w:eastAsia="Times New Roman" w:hAnsi="Calibri Light" w:cs="Times New Roman"/>
          <w:noProof/>
          <w:sz w:val="24"/>
        </w:rPr>
        <w:t xml:space="preserve">. 1982. Combination therapy of experimental candidiasis, cryptococcosis and aspergillosis in mice. Chemotherapy </w:t>
      </w:r>
      <w:r w:rsidRPr="00393938">
        <w:rPr>
          <w:rFonts w:ascii="Calibri Light" w:eastAsia="Times New Roman" w:hAnsi="Calibri Light" w:cs="Times New Roman"/>
          <w:b/>
          <w:bCs/>
          <w:noProof/>
          <w:sz w:val="24"/>
        </w:rPr>
        <w:t>28</w:t>
      </w:r>
      <w:r w:rsidRPr="00393938">
        <w:rPr>
          <w:rFonts w:ascii="Calibri Light" w:eastAsia="Times New Roman" w:hAnsi="Calibri Light" w:cs="Times New Roman"/>
          <w:noProof/>
          <w:sz w:val="24"/>
        </w:rPr>
        <w:t>:461–479.</w:t>
      </w:r>
    </w:p>
    <w:p w14:paraId="2EA556E4"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12.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Cruz MC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Bartlett MS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Edlind TD</w:t>
      </w:r>
      <w:r w:rsidRPr="00393938">
        <w:rPr>
          <w:rFonts w:ascii="Calibri Light" w:eastAsia="Times New Roman" w:hAnsi="Calibri Light" w:cs="Times New Roman"/>
          <w:noProof/>
          <w:sz w:val="24"/>
        </w:rPr>
        <w:t xml:space="preserve">. 1994. In vitro susceptibility of the opportunistic fungus Cryptococcus neoformans to anthelmintic benzimidazoles. Antimicrob Agents Chemother </w:t>
      </w:r>
      <w:r w:rsidRPr="00393938">
        <w:rPr>
          <w:rFonts w:ascii="Calibri Light" w:eastAsia="Times New Roman" w:hAnsi="Calibri Light" w:cs="Times New Roman"/>
          <w:b/>
          <w:bCs/>
          <w:noProof/>
          <w:sz w:val="24"/>
        </w:rPr>
        <w:t>38</w:t>
      </w:r>
      <w:r w:rsidRPr="00393938">
        <w:rPr>
          <w:rFonts w:ascii="Calibri Light" w:eastAsia="Times New Roman" w:hAnsi="Calibri Light" w:cs="Times New Roman"/>
          <w:noProof/>
          <w:sz w:val="24"/>
        </w:rPr>
        <w:t>:378–380.</w:t>
      </w:r>
    </w:p>
    <w:p w14:paraId="180347FD"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lastRenderedPageBreak/>
        <w:t xml:space="preserve">13.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Joffe LS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Schneider 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Lopes W</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Azevedo 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Staats CC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Kmetzsch L</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Schrank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Poeta M Del</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Vainstein MH</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Rodrigues ML</w:t>
      </w:r>
      <w:r w:rsidRPr="00393938">
        <w:rPr>
          <w:rFonts w:ascii="Calibri Light" w:eastAsia="Times New Roman" w:hAnsi="Calibri Light" w:cs="Times New Roman"/>
          <w:noProof/>
          <w:sz w:val="24"/>
        </w:rPr>
        <w:t xml:space="preserve">. 2017. The anti-helminthic compound mebendazole has multiple antifungal effects against Cryptococcus neoformans. Front Microbiol </w:t>
      </w:r>
      <w:r w:rsidRPr="00393938">
        <w:rPr>
          <w:rFonts w:ascii="Calibri Light" w:eastAsia="Times New Roman" w:hAnsi="Calibri Light" w:cs="Times New Roman"/>
          <w:b/>
          <w:bCs/>
          <w:noProof/>
          <w:sz w:val="24"/>
        </w:rPr>
        <w:t>8</w:t>
      </w:r>
      <w:r w:rsidRPr="00393938">
        <w:rPr>
          <w:rFonts w:ascii="Calibri Light" w:eastAsia="Times New Roman" w:hAnsi="Calibri Light" w:cs="Times New Roman"/>
          <w:noProof/>
          <w:sz w:val="24"/>
        </w:rPr>
        <w:t>:1–14.</w:t>
      </w:r>
    </w:p>
    <w:p w14:paraId="50ED829C"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14.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Cruz MC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Edlind T</w:t>
      </w:r>
      <w:r w:rsidRPr="00393938">
        <w:rPr>
          <w:rFonts w:ascii="Calibri Light" w:eastAsia="Times New Roman" w:hAnsi="Calibri Light" w:cs="Times New Roman"/>
          <w:noProof/>
          <w:sz w:val="24"/>
        </w:rPr>
        <w:t xml:space="preserve">. 1997. ß-Tubulin genes and the basis for benzimidazole sensitivity of the opportunistic fungus Cryptococcus neoformans. Microbiology </w:t>
      </w:r>
      <w:r w:rsidRPr="00393938">
        <w:rPr>
          <w:rFonts w:ascii="Calibri Light" w:eastAsia="Times New Roman" w:hAnsi="Calibri Light" w:cs="Times New Roman"/>
          <w:b/>
          <w:bCs/>
          <w:noProof/>
          <w:sz w:val="24"/>
        </w:rPr>
        <w:t>143</w:t>
      </w:r>
      <w:r w:rsidRPr="00393938">
        <w:rPr>
          <w:rFonts w:ascii="Calibri Light" w:eastAsia="Times New Roman" w:hAnsi="Calibri Light" w:cs="Times New Roman"/>
          <w:noProof/>
          <w:sz w:val="24"/>
        </w:rPr>
        <w:t>:2003–2008.</w:t>
      </w:r>
    </w:p>
    <w:p w14:paraId="42B8825F"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15.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Gertsch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Meier 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Tschopp N</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Altmann K-H</w:t>
      </w:r>
      <w:r w:rsidRPr="00393938">
        <w:rPr>
          <w:rFonts w:ascii="Calibri Light" w:eastAsia="Times New Roman" w:hAnsi="Calibri Light" w:cs="Times New Roman"/>
          <w:noProof/>
          <w:sz w:val="24"/>
        </w:rPr>
        <w:t xml:space="preserve">. 2007. New Tubulin Inhibitors from Plants – A Critical Assessment. Chim Int J Chem </w:t>
      </w:r>
      <w:r w:rsidRPr="00393938">
        <w:rPr>
          <w:rFonts w:ascii="Calibri Light" w:eastAsia="Times New Roman" w:hAnsi="Calibri Light" w:cs="Times New Roman"/>
          <w:b/>
          <w:bCs/>
          <w:noProof/>
          <w:sz w:val="24"/>
        </w:rPr>
        <w:t>61</w:t>
      </w:r>
      <w:r w:rsidRPr="00393938">
        <w:rPr>
          <w:rFonts w:ascii="Calibri Light" w:eastAsia="Times New Roman" w:hAnsi="Calibri Light" w:cs="Times New Roman"/>
          <w:noProof/>
          <w:sz w:val="24"/>
        </w:rPr>
        <w:t>:368–372.</w:t>
      </w:r>
    </w:p>
    <w:p w14:paraId="3B6E5F56"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16.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Mackenzie CD</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Geary TG</w:t>
      </w:r>
      <w:r w:rsidRPr="00393938">
        <w:rPr>
          <w:rFonts w:ascii="Calibri Light" w:eastAsia="Times New Roman" w:hAnsi="Calibri Light" w:cs="Times New Roman"/>
          <w:noProof/>
          <w:sz w:val="24"/>
        </w:rPr>
        <w:t xml:space="preserve">. 2011. Flubendazole: a candidate macrofilaricide for lymphatic filariasis and onchocerciasis field programs. Expert Rev Anti Infect Ther </w:t>
      </w:r>
      <w:r w:rsidRPr="00393938">
        <w:rPr>
          <w:rFonts w:ascii="Calibri Light" w:eastAsia="Times New Roman" w:hAnsi="Calibri Light" w:cs="Times New Roman"/>
          <w:b/>
          <w:bCs/>
          <w:noProof/>
          <w:sz w:val="24"/>
        </w:rPr>
        <w:t>9</w:t>
      </w:r>
      <w:r w:rsidRPr="00393938">
        <w:rPr>
          <w:rFonts w:ascii="Calibri Light" w:eastAsia="Times New Roman" w:hAnsi="Calibri Light" w:cs="Times New Roman"/>
          <w:noProof/>
          <w:sz w:val="24"/>
        </w:rPr>
        <w:t>:497–501.</w:t>
      </w:r>
    </w:p>
    <w:p w14:paraId="144C4481"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17.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Tweats DJ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Johnson GE</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Scandale I</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Whitwell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Evans DB</w:t>
      </w:r>
      <w:r w:rsidRPr="00393938">
        <w:rPr>
          <w:rFonts w:ascii="Calibri Light" w:eastAsia="Times New Roman" w:hAnsi="Calibri Light" w:cs="Times New Roman"/>
          <w:noProof/>
          <w:sz w:val="24"/>
        </w:rPr>
        <w:t xml:space="preserve">. 2016. Genotoxicity of flubendazole and its metabolites in vitro and the impact of a new formulation on in vivo aneugenicity. Mutagenesis </w:t>
      </w:r>
      <w:r w:rsidRPr="00393938">
        <w:rPr>
          <w:rFonts w:ascii="Calibri Light" w:eastAsia="Times New Roman" w:hAnsi="Calibri Light" w:cs="Times New Roman"/>
          <w:b/>
          <w:bCs/>
          <w:noProof/>
          <w:sz w:val="24"/>
        </w:rPr>
        <w:t>31</w:t>
      </w:r>
      <w:r w:rsidRPr="00393938">
        <w:rPr>
          <w:rFonts w:ascii="Calibri Light" w:eastAsia="Times New Roman" w:hAnsi="Calibri Light" w:cs="Times New Roman"/>
          <w:noProof/>
          <w:sz w:val="24"/>
        </w:rPr>
        <w:t>:309–321.</w:t>
      </w:r>
    </w:p>
    <w:p w14:paraId="4CECCFAC"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18.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Livermore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Howard SJ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Sharp AD</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Goodwin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Gregson L</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Felton T</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Schwartz JA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Walker 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Moser B</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Müller W</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Harrison TS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Perfect JR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Hope WW</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Muller W</w:t>
      </w:r>
      <w:r w:rsidRPr="00393938">
        <w:rPr>
          <w:rFonts w:ascii="Calibri Light" w:eastAsia="Times New Roman" w:hAnsi="Calibri Light" w:cs="Times New Roman"/>
          <w:noProof/>
          <w:sz w:val="24"/>
        </w:rPr>
        <w:t xml:space="preserve">. 2013. Efficacy of an abbreviated induction regimen of amphotericin B deoxycholate for cryptococcal meningoencephalitis: 3 days of therapy is equivalent to 14 days. MBio </w:t>
      </w:r>
      <w:r w:rsidRPr="00393938">
        <w:rPr>
          <w:rFonts w:ascii="Calibri Light" w:eastAsia="Times New Roman" w:hAnsi="Calibri Light" w:cs="Times New Roman"/>
          <w:b/>
          <w:bCs/>
          <w:noProof/>
          <w:sz w:val="24"/>
        </w:rPr>
        <w:t>5</w:t>
      </w:r>
      <w:r w:rsidRPr="00393938">
        <w:rPr>
          <w:rFonts w:ascii="Calibri Light" w:eastAsia="Times New Roman" w:hAnsi="Calibri Light" w:cs="Times New Roman"/>
          <w:noProof/>
          <w:sz w:val="24"/>
        </w:rPr>
        <w:t>:e00725-13.</w:t>
      </w:r>
    </w:p>
    <w:p w14:paraId="33E7C5EA"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19.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Lestner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McEntee L</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Johnson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Livermore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Whalley 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Schwartz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Perfect JR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Harrison T</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Hope W</w:t>
      </w:r>
      <w:r w:rsidRPr="00393938">
        <w:rPr>
          <w:rFonts w:ascii="Calibri Light" w:eastAsia="Times New Roman" w:hAnsi="Calibri Light" w:cs="Times New Roman"/>
          <w:noProof/>
          <w:sz w:val="24"/>
        </w:rPr>
        <w:t>. 2017. Experimental Models of Short Courses of Liposomal Amphotericin B for Induction Therapy for Cryptococcal Meningitis.</w:t>
      </w:r>
    </w:p>
    <w:p w14:paraId="5DA05FF9"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20.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Ravelli RBG</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Gigant B</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Curmi PA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Jourdain I</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Lachkar 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Sobel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Knossow M</w:t>
      </w:r>
      <w:r w:rsidRPr="00393938">
        <w:rPr>
          <w:rFonts w:ascii="Calibri Light" w:eastAsia="Times New Roman" w:hAnsi="Calibri Light" w:cs="Times New Roman"/>
          <w:noProof/>
          <w:sz w:val="24"/>
        </w:rPr>
        <w:t xml:space="preserve">. 2004. Insight </w:t>
      </w:r>
      <w:r w:rsidRPr="00393938">
        <w:rPr>
          <w:rFonts w:ascii="Calibri Light" w:eastAsia="Times New Roman" w:hAnsi="Calibri Light" w:cs="Times New Roman"/>
          <w:noProof/>
          <w:sz w:val="24"/>
        </w:rPr>
        <w:lastRenderedPageBreak/>
        <w:t xml:space="preserve">into tubulin regulation from a complex with colchicine and a stathmin-like domain. Nature </w:t>
      </w:r>
      <w:r w:rsidRPr="00393938">
        <w:rPr>
          <w:rFonts w:ascii="Calibri Light" w:eastAsia="Times New Roman" w:hAnsi="Calibri Light" w:cs="Times New Roman"/>
          <w:b/>
          <w:bCs/>
          <w:noProof/>
          <w:sz w:val="24"/>
        </w:rPr>
        <w:t>428</w:t>
      </w:r>
      <w:r w:rsidRPr="00393938">
        <w:rPr>
          <w:rFonts w:ascii="Calibri Light" w:eastAsia="Times New Roman" w:hAnsi="Calibri Light" w:cs="Times New Roman"/>
          <w:noProof/>
          <w:sz w:val="24"/>
        </w:rPr>
        <w:t>:198–202.</w:t>
      </w:r>
    </w:p>
    <w:p w14:paraId="6C8EB59C"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21.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Janupally 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Jeankumar VU</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Bobesh KA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Soni V</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Devi PB</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Pulla VK</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Suryadevara P</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Chennubhotla KS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Kulkarni P</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Yogeeswari P</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Sriram D</w:t>
      </w:r>
      <w:r w:rsidRPr="00393938">
        <w:rPr>
          <w:rFonts w:ascii="Calibri Light" w:eastAsia="Times New Roman" w:hAnsi="Calibri Light" w:cs="Times New Roman"/>
          <w:noProof/>
          <w:sz w:val="24"/>
        </w:rPr>
        <w:t xml:space="preserve">. 2014. Structure-guided design and development of novel benzimidazole class of compounds targeting DNA gyraseB enzyme of Staphylococcus aureus. Bioorganic Med Chem </w:t>
      </w:r>
      <w:r w:rsidRPr="00393938">
        <w:rPr>
          <w:rFonts w:ascii="Calibri Light" w:eastAsia="Times New Roman" w:hAnsi="Calibri Light" w:cs="Times New Roman"/>
          <w:b/>
          <w:bCs/>
          <w:noProof/>
          <w:sz w:val="24"/>
        </w:rPr>
        <w:t>22</w:t>
      </w:r>
      <w:r w:rsidRPr="00393938">
        <w:rPr>
          <w:rFonts w:ascii="Calibri Light" w:eastAsia="Times New Roman" w:hAnsi="Calibri Light" w:cs="Times New Roman"/>
          <w:noProof/>
          <w:sz w:val="24"/>
        </w:rPr>
        <w:t>:5970–5987.</w:t>
      </w:r>
    </w:p>
    <w:p w14:paraId="39DA1FED"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22.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Kaur G</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Kaur M</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Silakari O</w:t>
      </w:r>
      <w:r w:rsidRPr="00393938">
        <w:rPr>
          <w:rFonts w:ascii="Calibri Light" w:eastAsia="Times New Roman" w:hAnsi="Calibri Light" w:cs="Times New Roman"/>
          <w:noProof/>
          <w:sz w:val="24"/>
        </w:rPr>
        <w:t xml:space="preserve">. 2014. Benzimidazoles: An Ideal Privileged Drug Scaffold for the Design of Multi-targeted Anti-inflammatory Ligands. Mini-Reviews Med Chem </w:t>
      </w:r>
      <w:r w:rsidRPr="00393938">
        <w:rPr>
          <w:rFonts w:ascii="Calibri Light" w:eastAsia="Times New Roman" w:hAnsi="Calibri Light" w:cs="Times New Roman"/>
          <w:b/>
          <w:bCs/>
          <w:noProof/>
          <w:sz w:val="24"/>
        </w:rPr>
        <w:t>14</w:t>
      </w:r>
      <w:r w:rsidRPr="00393938">
        <w:rPr>
          <w:rFonts w:ascii="Calibri Light" w:eastAsia="Times New Roman" w:hAnsi="Calibri Light" w:cs="Times New Roman"/>
          <w:noProof/>
          <w:sz w:val="24"/>
        </w:rPr>
        <w:t>:747–767.</w:t>
      </w:r>
    </w:p>
    <w:p w14:paraId="0007A37D"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23.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Li Y</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Tan 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Gao 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Zhang 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Luan X</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Chen X</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Liu H</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Chen Y</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Jiang Y</w:t>
      </w:r>
      <w:r w:rsidRPr="00393938">
        <w:rPr>
          <w:rFonts w:ascii="Calibri Light" w:eastAsia="Times New Roman" w:hAnsi="Calibri Light" w:cs="Times New Roman"/>
          <w:noProof/>
          <w:sz w:val="24"/>
        </w:rPr>
        <w:t xml:space="preserve">. 2011. Discovery of benzimidazole derivatives as novel multi-target EGFR, VEGFR-2 and PDGFR kinase inhibitors. Bioorganic Med Chem </w:t>
      </w:r>
      <w:r w:rsidRPr="00393938">
        <w:rPr>
          <w:rFonts w:ascii="Calibri Light" w:eastAsia="Times New Roman" w:hAnsi="Calibri Light" w:cs="Times New Roman"/>
          <w:b/>
          <w:bCs/>
          <w:noProof/>
          <w:sz w:val="24"/>
        </w:rPr>
        <w:t>19</w:t>
      </w:r>
      <w:r w:rsidRPr="00393938">
        <w:rPr>
          <w:rFonts w:ascii="Calibri Light" w:eastAsia="Times New Roman" w:hAnsi="Calibri Light" w:cs="Times New Roman"/>
          <w:noProof/>
          <w:sz w:val="24"/>
        </w:rPr>
        <w:t>:4529–4535.</w:t>
      </w:r>
    </w:p>
    <w:p w14:paraId="4017A476"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24.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Matsumoto Y</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Kakuda 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Koizumi M</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Mizuno T</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Muroga Y</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Kawamura T</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Takimoto-Kamimura M</w:t>
      </w:r>
      <w:r w:rsidRPr="00393938">
        <w:rPr>
          <w:rFonts w:ascii="Calibri Light" w:eastAsia="Times New Roman" w:hAnsi="Calibri Light" w:cs="Times New Roman"/>
          <w:noProof/>
          <w:sz w:val="24"/>
        </w:rPr>
        <w:t xml:space="preserve">. 2013. Crystal structure of a complex of human chymase with its benzimidazole derived inhibitor. J Synchrotron Radiat </w:t>
      </w:r>
      <w:r w:rsidRPr="00393938">
        <w:rPr>
          <w:rFonts w:ascii="Calibri Light" w:eastAsia="Times New Roman" w:hAnsi="Calibri Light" w:cs="Times New Roman"/>
          <w:b/>
          <w:bCs/>
          <w:noProof/>
          <w:sz w:val="24"/>
        </w:rPr>
        <w:t>20</w:t>
      </w:r>
      <w:r w:rsidRPr="00393938">
        <w:rPr>
          <w:rFonts w:ascii="Calibri Light" w:eastAsia="Times New Roman" w:hAnsi="Calibri Light" w:cs="Times New Roman"/>
          <w:noProof/>
          <w:sz w:val="24"/>
        </w:rPr>
        <w:t>:914–918.</w:t>
      </w:r>
    </w:p>
    <w:p w14:paraId="660D2998"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25.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Arendrup MC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Cuenca-Estrella M</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Lass-Flörl 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Hope W</w:t>
      </w:r>
      <w:r w:rsidRPr="00393938">
        <w:rPr>
          <w:rFonts w:ascii="Calibri Light" w:eastAsia="Times New Roman" w:hAnsi="Calibri Light" w:cs="Times New Roman"/>
          <w:noProof/>
          <w:sz w:val="24"/>
        </w:rPr>
        <w:t xml:space="preserve">. 2012. EUCAST technical note on the EUCAST definitive document EDef 7.2: method for the determination of broth dilution minimum inhibitory concentrations of antifungal agents for yeasts EDef 7.2 (EUCAST-AFST). Clin Microbiol Infect </w:t>
      </w:r>
      <w:r w:rsidRPr="00393938">
        <w:rPr>
          <w:rFonts w:ascii="Calibri Light" w:eastAsia="Times New Roman" w:hAnsi="Calibri Light" w:cs="Times New Roman"/>
          <w:b/>
          <w:bCs/>
          <w:noProof/>
          <w:sz w:val="24"/>
        </w:rPr>
        <w:t>18</w:t>
      </w:r>
      <w:r w:rsidRPr="00393938">
        <w:rPr>
          <w:rFonts w:ascii="Calibri Light" w:eastAsia="Times New Roman" w:hAnsi="Calibri Light" w:cs="Times New Roman"/>
          <w:noProof/>
          <w:sz w:val="24"/>
        </w:rPr>
        <w:t>:E246--E247.</w:t>
      </w:r>
    </w:p>
    <w:p w14:paraId="220194D2"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26.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National NC for CLS</w:t>
      </w:r>
      <w:r w:rsidRPr="00393938">
        <w:rPr>
          <w:rFonts w:ascii="Calibri Light" w:eastAsia="Times New Roman" w:hAnsi="Calibri Light" w:cs="Times New Roman"/>
          <w:noProof/>
          <w:sz w:val="24"/>
        </w:rPr>
        <w:t xml:space="preserve">. 1997.  Reference method for broth dilution antifungal susceptibility </w:t>
      </w:r>
      <w:r w:rsidRPr="00393938">
        <w:rPr>
          <w:rFonts w:ascii="Calibri Light" w:eastAsia="Times New Roman" w:hAnsi="Calibri Light" w:cs="Times New Roman"/>
          <w:noProof/>
          <w:sz w:val="24"/>
        </w:rPr>
        <w:lastRenderedPageBreak/>
        <w:t>testing of yeasts. Approved standard M27-A2. NCCLS, Wayne, PA.</w:t>
      </w:r>
    </w:p>
    <w:p w14:paraId="31B705A5"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27.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Hall JL</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Dudley L</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Dobner PR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Lewis S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Cowan NJ</w:t>
      </w:r>
      <w:r w:rsidRPr="00393938">
        <w:rPr>
          <w:rFonts w:ascii="Calibri Light" w:eastAsia="Times New Roman" w:hAnsi="Calibri Light" w:cs="Times New Roman"/>
          <w:noProof/>
          <w:sz w:val="24"/>
        </w:rPr>
        <w:t xml:space="preserve">. 1983. Identification of two human beta-tubulin isotypes. Mol Cell Biol </w:t>
      </w:r>
      <w:r w:rsidRPr="00393938">
        <w:rPr>
          <w:rFonts w:ascii="Calibri Light" w:eastAsia="Times New Roman" w:hAnsi="Calibri Light" w:cs="Times New Roman"/>
          <w:b/>
          <w:bCs/>
          <w:noProof/>
          <w:sz w:val="24"/>
        </w:rPr>
        <w:t>3</w:t>
      </w:r>
      <w:r w:rsidRPr="00393938">
        <w:rPr>
          <w:rFonts w:ascii="Calibri Light" w:eastAsia="Times New Roman" w:hAnsi="Calibri Light" w:cs="Times New Roman"/>
          <w:noProof/>
          <w:sz w:val="24"/>
        </w:rPr>
        <w:t>:854–62.</w:t>
      </w:r>
    </w:p>
    <w:p w14:paraId="55605E1C"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28.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Brunner M</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Albertini 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Würgler FE</w:t>
      </w:r>
      <w:r w:rsidRPr="00393938">
        <w:rPr>
          <w:rFonts w:ascii="Calibri Light" w:eastAsia="Times New Roman" w:hAnsi="Calibri Light" w:cs="Times New Roman"/>
          <w:noProof/>
          <w:sz w:val="24"/>
        </w:rPr>
        <w:t xml:space="preserve">. 1991. Effects of 10 known or suspected spindle poisons in the in vitro porcine brain tubulin assembly assay. Mutagenesis </w:t>
      </w:r>
      <w:r w:rsidRPr="00393938">
        <w:rPr>
          <w:rFonts w:ascii="Calibri Light" w:eastAsia="Times New Roman" w:hAnsi="Calibri Light" w:cs="Times New Roman"/>
          <w:b/>
          <w:bCs/>
          <w:noProof/>
          <w:sz w:val="24"/>
        </w:rPr>
        <w:t>6</w:t>
      </w:r>
      <w:r w:rsidRPr="00393938">
        <w:rPr>
          <w:rFonts w:ascii="Calibri Light" w:eastAsia="Times New Roman" w:hAnsi="Calibri Light" w:cs="Times New Roman"/>
          <w:noProof/>
          <w:sz w:val="24"/>
        </w:rPr>
        <w:t>:65–70.</w:t>
      </w:r>
    </w:p>
    <w:p w14:paraId="6D0749D6"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29.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Owellen RJ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Hartke CA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Dickerson RM</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Hains FO</w:t>
      </w:r>
      <w:r w:rsidRPr="00393938">
        <w:rPr>
          <w:rFonts w:ascii="Calibri Light" w:eastAsia="Times New Roman" w:hAnsi="Calibri Light" w:cs="Times New Roman"/>
          <w:noProof/>
          <w:sz w:val="24"/>
        </w:rPr>
        <w:t xml:space="preserve">. 1976. Inhibition of Tubulin-Microtubule Polymerization by Drugs of the Vinca Alkaloid Class. Cancer Res </w:t>
      </w:r>
      <w:r w:rsidRPr="00393938">
        <w:rPr>
          <w:rFonts w:ascii="Calibri Light" w:eastAsia="Times New Roman" w:hAnsi="Calibri Light" w:cs="Times New Roman"/>
          <w:b/>
          <w:bCs/>
          <w:noProof/>
          <w:sz w:val="24"/>
        </w:rPr>
        <w:t>36</w:t>
      </w:r>
      <w:r w:rsidRPr="00393938">
        <w:rPr>
          <w:rFonts w:ascii="Calibri Light" w:eastAsia="Times New Roman" w:hAnsi="Calibri Light" w:cs="Times New Roman"/>
          <w:noProof/>
          <w:sz w:val="24"/>
        </w:rPr>
        <w:t>:1499–1502.</w:t>
      </w:r>
    </w:p>
    <w:p w14:paraId="4BA885A3"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30.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Docobo-Pérez F</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Drusano GL</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Johnson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Goodwin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Whalley 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Ramos-Martín V</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Ballestero-Tellez M</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Rodriguez-Martinez JM</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Conejo MC</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Van Guilder M</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Rodríguez-Baño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Pascual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Hope WW</w:t>
      </w:r>
      <w:r w:rsidRPr="00393938">
        <w:rPr>
          <w:rFonts w:ascii="Calibri Light" w:eastAsia="Times New Roman" w:hAnsi="Calibri Light" w:cs="Times New Roman"/>
          <w:noProof/>
          <w:sz w:val="24"/>
        </w:rPr>
        <w:t xml:space="preserve">. 2015. Pharmacodynamics of fosfomycin: Insights into clinical use for antimicrobial resistance. Antimicrob Agents Chemother </w:t>
      </w:r>
      <w:r w:rsidRPr="00393938">
        <w:rPr>
          <w:rFonts w:ascii="Calibri Light" w:eastAsia="Times New Roman" w:hAnsi="Calibri Light" w:cs="Times New Roman"/>
          <w:b/>
          <w:bCs/>
          <w:noProof/>
          <w:sz w:val="24"/>
        </w:rPr>
        <w:t>59</w:t>
      </w:r>
      <w:r w:rsidRPr="00393938">
        <w:rPr>
          <w:rFonts w:ascii="Calibri Light" w:eastAsia="Times New Roman" w:hAnsi="Calibri Light" w:cs="Times New Roman"/>
          <w:noProof/>
          <w:sz w:val="24"/>
        </w:rPr>
        <w:t>:5602–5610.</w:t>
      </w:r>
    </w:p>
    <w:p w14:paraId="1B1B9176"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31.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Sudan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Livermore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Howard SJ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Al-Nakeeb Z</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Sharp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Goodwin J</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Gregson L</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Warn PA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Felton TW</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Perfect JR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Harrison TS</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Hope WW</w:t>
      </w:r>
      <w:r w:rsidRPr="00393938">
        <w:rPr>
          <w:rFonts w:ascii="Calibri Light" w:eastAsia="Times New Roman" w:hAnsi="Calibri Light" w:cs="Times New Roman"/>
          <w:noProof/>
          <w:sz w:val="24"/>
        </w:rPr>
        <w:t xml:space="preserve">. 2013. Pharmacokinetics and pharmacodynamics of fluconazole for cryptococcal meningoencephalitis: Implications for antifungal therapy and in Vitro susceptibility breakpoints. Antimicrob Agents Chemother </w:t>
      </w:r>
      <w:r w:rsidRPr="00393938">
        <w:rPr>
          <w:rFonts w:ascii="Calibri Light" w:eastAsia="Times New Roman" w:hAnsi="Calibri Light" w:cs="Times New Roman"/>
          <w:b/>
          <w:bCs/>
          <w:noProof/>
          <w:sz w:val="24"/>
        </w:rPr>
        <w:t>57</w:t>
      </w:r>
      <w:r w:rsidRPr="00393938">
        <w:rPr>
          <w:rFonts w:ascii="Calibri Light" w:eastAsia="Times New Roman" w:hAnsi="Calibri Light" w:cs="Times New Roman"/>
          <w:noProof/>
          <w:sz w:val="24"/>
        </w:rPr>
        <w:t>.</w:t>
      </w:r>
    </w:p>
    <w:p w14:paraId="0BA82E24" w14:textId="77777777" w:rsidR="00393938" w:rsidRPr="00393938" w:rsidRDefault="00393938" w:rsidP="00393938">
      <w:pPr>
        <w:widowControl w:val="0"/>
        <w:autoSpaceDE w:val="0"/>
        <w:autoSpaceDN w:val="0"/>
        <w:adjustRightInd w:val="0"/>
        <w:spacing w:line="480" w:lineRule="auto"/>
        <w:ind w:left="640" w:hanging="640"/>
        <w:rPr>
          <w:rFonts w:ascii="Calibri Light" w:eastAsia="Times New Roman" w:hAnsi="Calibri Light" w:cs="Times New Roman"/>
          <w:noProof/>
          <w:sz w:val="24"/>
        </w:rPr>
      </w:pPr>
      <w:r w:rsidRPr="00393938">
        <w:rPr>
          <w:rFonts w:ascii="Calibri Light" w:eastAsia="Times New Roman" w:hAnsi="Calibri Light" w:cs="Times New Roman"/>
          <w:noProof/>
          <w:sz w:val="24"/>
        </w:rPr>
        <w:t xml:space="preserve">32.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Perfect JR</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Lang SD</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Durack DT</w:t>
      </w:r>
      <w:r w:rsidRPr="00393938">
        <w:rPr>
          <w:rFonts w:ascii="Calibri Light" w:eastAsia="Times New Roman" w:hAnsi="Calibri Light" w:cs="Times New Roman"/>
          <w:noProof/>
          <w:sz w:val="24"/>
        </w:rPr>
        <w:t xml:space="preserve">. 1980. Chronic cryptococcal meningitis: a new experimental model in rabbits. Am J Pathol </w:t>
      </w:r>
      <w:r w:rsidRPr="00393938">
        <w:rPr>
          <w:rFonts w:ascii="Calibri Light" w:eastAsia="Times New Roman" w:hAnsi="Calibri Light" w:cs="Times New Roman"/>
          <w:b/>
          <w:bCs/>
          <w:noProof/>
          <w:sz w:val="24"/>
        </w:rPr>
        <w:t>101</w:t>
      </w:r>
      <w:r w:rsidRPr="00393938">
        <w:rPr>
          <w:rFonts w:ascii="Calibri Light" w:eastAsia="Times New Roman" w:hAnsi="Calibri Light" w:cs="Times New Roman"/>
          <w:noProof/>
          <w:sz w:val="24"/>
        </w:rPr>
        <w:t>:177–194.</w:t>
      </w:r>
    </w:p>
    <w:p w14:paraId="4DFEDF7D" w14:textId="77777777" w:rsidR="00393938" w:rsidRPr="00393938" w:rsidRDefault="00393938" w:rsidP="00393938">
      <w:pPr>
        <w:widowControl w:val="0"/>
        <w:autoSpaceDE w:val="0"/>
        <w:autoSpaceDN w:val="0"/>
        <w:adjustRightInd w:val="0"/>
        <w:spacing w:line="480" w:lineRule="auto"/>
        <w:ind w:left="640" w:hanging="640"/>
        <w:rPr>
          <w:rFonts w:ascii="Calibri Light" w:hAnsi="Calibri Light"/>
          <w:noProof/>
          <w:sz w:val="24"/>
        </w:rPr>
      </w:pPr>
      <w:r w:rsidRPr="00393938">
        <w:rPr>
          <w:rFonts w:ascii="Calibri Light" w:eastAsia="Times New Roman" w:hAnsi="Calibri Light" w:cs="Times New Roman"/>
          <w:noProof/>
          <w:sz w:val="24"/>
        </w:rPr>
        <w:t xml:space="preserve">33. </w:t>
      </w:r>
      <w:r w:rsidRPr="00393938">
        <w:rPr>
          <w:rFonts w:ascii="Calibri Light" w:eastAsia="Times New Roman" w:hAnsi="Calibri Light" w:cs="Times New Roman"/>
          <w:noProof/>
          <w:sz w:val="24"/>
        </w:rPr>
        <w:tab/>
      </w:r>
      <w:r w:rsidRPr="00393938">
        <w:rPr>
          <w:rFonts w:ascii="Calibri Light" w:eastAsia="Times New Roman" w:hAnsi="Calibri Light" w:cs="Times New Roman"/>
          <w:b/>
          <w:bCs/>
          <w:noProof/>
          <w:sz w:val="24"/>
        </w:rPr>
        <w:t>Neely MN</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van Guilder MG</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Yamada WM</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Schumitzky A</w:t>
      </w:r>
      <w:r w:rsidRPr="00393938">
        <w:rPr>
          <w:rFonts w:ascii="Calibri Light" w:eastAsia="Times New Roman" w:hAnsi="Calibri Light" w:cs="Times New Roman"/>
          <w:noProof/>
          <w:sz w:val="24"/>
        </w:rPr>
        <w:t xml:space="preserve">, </w:t>
      </w:r>
      <w:r w:rsidRPr="00393938">
        <w:rPr>
          <w:rFonts w:ascii="Calibri Light" w:eastAsia="Times New Roman" w:hAnsi="Calibri Light" w:cs="Times New Roman"/>
          <w:b/>
          <w:bCs/>
          <w:noProof/>
          <w:sz w:val="24"/>
        </w:rPr>
        <w:t>Jelliffe RW</w:t>
      </w:r>
      <w:r w:rsidRPr="00393938">
        <w:rPr>
          <w:rFonts w:ascii="Calibri Light" w:eastAsia="Times New Roman" w:hAnsi="Calibri Light" w:cs="Times New Roman"/>
          <w:noProof/>
          <w:sz w:val="24"/>
        </w:rPr>
        <w:t xml:space="preserve">. 2012. Accurate detection of outliers and subpopulations with Pmetrics, a nonparametric and parametric </w:t>
      </w:r>
      <w:r w:rsidRPr="00393938">
        <w:rPr>
          <w:rFonts w:ascii="Calibri Light" w:eastAsia="Times New Roman" w:hAnsi="Calibri Light" w:cs="Times New Roman"/>
          <w:noProof/>
          <w:sz w:val="24"/>
        </w:rPr>
        <w:lastRenderedPageBreak/>
        <w:t xml:space="preserve">pharmacometric modeling and simulation package for R. Ther Drug Monit </w:t>
      </w:r>
      <w:r w:rsidRPr="00393938">
        <w:rPr>
          <w:rFonts w:ascii="Calibri Light" w:eastAsia="Times New Roman" w:hAnsi="Calibri Light" w:cs="Times New Roman"/>
          <w:b/>
          <w:bCs/>
          <w:noProof/>
          <w:sz w:val="24"/>
        </w:rPr>
        <w:t>34</w:t>
      </w:r>
      <w:r w:rsidRPr="00393938">
        <w:rPr>
          <w:rFonts w:ascii="Calibri Light" w:eastAsia="Times New Roman" w:hAnsi="Calibri Light" w:cs="Times New Roman"/>
          <w:noProof/>
          <w:sz w:val="24"/>
        </w:rPr>
        <w:t>:467–76.</w:t>
      </w:r>
    </w:p>
    <w:p w14:paraId="55FC74D5" w14:textId="2DB2061C" w:rsidR="008E73C2" w:rsidRDefault="008E73C2" w:rsidP="00EB3D34">
      <w:pPr>
        <w:widowControl w:val="0"/>
        <w:autoSpaceDE w:val="0"/>
        <w:autoSpaceDN w:val="0"/>
        <w:adjustRightInd w:val="0"/>
        <w:spacing w:line="480" w:lineRule="auto"/>
        <w:ind w:left="640" w:hanging="640"/>
        <w:rPr>
          <w:rFonts w:asciiTheme="majorHAnsi" w:hAnsiTheme="majorHAnsi"/>
          <w:b/>
          <w:sz w:val="24"/>
          <w:szCs w:val="24"/>
        </w:rPr>
      </w:pPr>
      <w:r>
        <w:rPr>
          <w:rFonts w:asciiTheme="majorHAnsi" w:hAnsiTheme="majorHAnsi"/>
          <w:b/>
          <w:sz w:val="24"/>
          <w:szCs w:val="24"/>
        </w:rPr>
        <w:fldChar w:fldCharType="end"/>
      </w:r>
    </w:p>
    <w:p w14:paraId="7C05DBD7" w14:textId="47B3DC98" w:rsidR="00900889" w:rsidRPr="00876AB1" w:rsidRDefault="00900889" w:rsidP="00EB3D34">
      <w:pPr>
        <w:spacing w:after="120" w:line="480" w:lineRule="auto"/>
        <w:rPr>
          <w:rFonts w:asciiTheme="majorHAnsi" w:hAnsiTheme="majorHAnsi"/>
          <w:sz w:val="24"/>
          <w:szCs w:val="24"/>
          <w:lang w:val="en-US"/>
        </w:rPr>
      </w:pPr>
    </w:p>
    <w:p w14:paraId="07CFB46E" w14:textId="77777777" w:rsidR="00900889" w:rsidRPr="00876AB1" w:rsidRDefault="00900889" w:rsidP="00EB3D34">
      <w:pPr>
        <w:spacing w:line="480" w:lineRule="auto"/>
        <w:rPr>
          <w:rFonts w:asciiTheme="majorHAnsi" w:hAnsiTheme="majorHAnsi"/>
          <w:sz w:val="24"/>
          <w:szCs w:val="24"/>
          <w:lang w:val="en-US"/>
        </w:rPr>
      </w:pPr>
      <w:r w:rsidRPr="00876AB1">
        <w:rPr>
          <w:rFonts w:asciiTheme="majorHAnsi" w:hAnsiTheme="majorHAnsi"/>
          <w:sz w:val="24"/>
          <w:szCs w:val="24"/>
          <w:lang w:val="en-US"/>
        </w:rPr>
        <w:br w:type="page"/>
      </w:r>
    </w:p>
    <w:p w14:paraId="46499409" w14:textId="77777777" w:rsidR="00900889" w:rsidRPr="00876AB1" w:rsidRDefault="00900889" w:rsidP="00EB3D34">
      <w:pPr>
        <w:spacing w:after="120" w:line="480" w:lineRule="auto"/>
        <w:rPr>
          <w:rFonts w:asciiTheme="majorHAnsi" w:hAnsiTheme="majorHAnsi"/>
          <w:b/>
          <w:sz w:val="24"/>
          <w:szCs w:val="24"/>
          <w:lang w:val="en-US"/>
        </w:rPr>
      </w:pPr>
    </w:p>
    <w:p w14:paraId="7A364EEF" w14:textId="319832A5" w:rsidR="00900889" w:rsidRPr="00876AB1" w:rsidRDefault="00900889" w:rsidP="00EB3D34">
      <w:pPr>
        <w:spacing w:after="120" w:line="480" w:lineRule="auto"/>
        <w:outlineLvl w:val="0"/>
        <w:rPr>
          <w:rFonts w:asciiTheme="majorHAnsi" w:hAnsiTheme="majorHAnsi"/>
          <w:sz w:val="24"/>
          <w:szCs w:val="24"/>
          <w:lang w:val="en-US"/>
        </w:rPr>
      </w:pPr>
      <w:r w:rsidRPr="00876AB1">
        <w:rPr>
          <w:rFonts w:asciiTheme="majorHAnsi" w:hAnsiTheme="majorHAnsi"/>
          <w:b/>
          <w:sz w:val="24"/>
          <w:szCs w:val="24"/>
          <w:lang w:val="en-US"/>
        </w:rPr>
        <w:t>Table 1.</w:t>
      </w:r>
      <w:r w:rsidRPr="00876AB1">
        <w:rPr>
          <w:rFonts w:asciiTheme="majorHAnsi" w:hAnsiTheme="majorHAnsi"/>
          <w:sz w:val="24"/>
          <w:szCs w:val="24"/>
          <w:lang w:val="en-US"/>
        </w:rPr>
        <w:t xml:space="preserve"> MIC distributions </w:t>
      </w:r>
      <w:r w:rsidR="000A417B">
        <w:rPr>
          <w:rFonts w:asciiTheme="majorHAnsi" w:hAnsiTheme="majorHAnsi"/>
          <w:sz w:val="24"/>
          <w:szCs w:val="24"/>
          <w:lang w:val="en-US"/>
        </w:rPr>
        <w:t xml:space="preserve">of </w:t>
      </w:r>
      <w:r w:rsidR="008565D5">
        <w:rPr>
          <w:rFonts w:asciiTheme="majorHAnsi" w:hAnsiTheme="majorHAnsi"/>
          <w:sz w:val="24"/>
          <w:szCs w:val="24"/>
          <w:lang w:val="en-US"/>
        </w:rPr>
        <w:t xml:space="preserve">flubendazole against </w:t>
      </w:r>
      <w:r w:rsidR="000A417B" w:rsidRPr="00EF774A">
        <w:rPr>
          <w:rFonts w:asciiTheme="majorHAnsi" w:hAnsiTheme="majorHAnsi"/>
          <w:i/>
          <w:sz w:val="24"/>
          <w:szCs w:val="24"/>
          <w:lang w:val="en-US"/>
        </w:rPr>
        <w:t>C. neoformans</w:t>
      </w:r>
      <w:r w:rsidR="000A417B">
        <w:rPr>
          <w:rFonts w:asciiTheme="majorHAnsi" w:hAnsiTheme="majorHAnsi"/>
          <w:sz w:val="24"/>
          <w:szCs w:val="24"/>
          <w:lang w:val="en-US"/>
        </w:rPr>
        <w:t xml:space="preserve"> isolates </w:t>
      </w:r>
      <w:r w:rsidRPr="00876AB1">
        <w:rPr>
          <w:rFonts w:asciiTheme="majorHAnsi" w:hAnsiTheme="majorHAnsi"/>
          <w:sz w:val="24"/>
          <w:szCs w:val="24"/>
          <w:lang w:val="en-US"/>
        </w:rPr>
        <w:t>using CLSI and EUCAST methodologies.</w:t>
      </w:r>
    </w:p>
    <w:tbl>
      <w:tblPr>
        <w:tblW w:w="9660" w:type="dxa"/>
        <w:tblLayout w:type="fixed"/>
        <w:tblLook w:val="04A0" w:firstRow="1" w:lastRow="0" w:firstColumn="1" w:lastColumn="0" w:noHBand="0" w:noVBand="1"/>
      </w:tblPr>
      <w:tblGrid>
        <w:gridCol w:w="1860"/>
        <w:gridCol w:w="1300"/>
        <w:gridCol w:w="1300"/>
        <w:gridCol w:w="1300"/>
        <w:gridCol w:w="1300"/>
        <w:gridCol w:w="1300"/>
        <w:gridCol w:w="1300"/>
      </w:tblGrid>
      <w:tr w:rsidR="001F6E08" w:rsidRPr="001F6E08" w14:paraId="0FFE15ED" w14:textId="77777777" w:rsidTr="001F6E08">
        <w:trPr>
          <w:trHeight w:val="320"/>
        </w:trPr>
        <w:tc>
          <w:tcPr>
            <w:tcW w:w="1860" w:type="dxa"/>
            <w:tcBorders>
              <w:top w:val="nil"/>
              <w:left w:val="nil"/>
              <w:bottom w:val="single" w:sz="4" w:space="0" w:color="auto"/>
              <w:right w:val="nil"/>
            </w:tcBorders>
            <w:shd w:val="clear" w:color="auto" w:fill="auto"/>
            <w:noWrap/>
            <w:vAlign w:val="bottom"/>
            <w:hideMark/>
          </w:tcPr>
          <w:p w14:paraId="2A0CA6A2" w14:textId="77777777" w:rsidR="001F6E08" w:rsidRPr="001F6E08" w:rsidRDefault="001F6E08" w:rsidP="00EB3D34">
            <w:pPr>
              <w:spacing w:after="0" w:line="480" w:lineRule="auto"/>
              <w:rPr>
                <w:rFonts w:ascii="Calibri" w:eastAsia="Times New Roman" w:hAnsi="Calibri" w:cs="Times New Roman"/>
                <w:color w:val="000000"/>
                <w:sz w:val="24"/>
                <w:szCs w:val="24"/>
                <w:lang w:eastAsia="en-GB"/>
              </w:rPr>
            </w:pPr>
            <w:r w:rsidRPr="001F6E08">
              <w:rPr>
                <w:rFonts w:ascii="Calibri" w:eastAsia="Times New Roman" w:hAnsi="Calibri" w:cs="Times New Roman"/>
                <w:color w:val="000000"/>
                <w:sz w:val="24"/>
                <w:szCs w:val="24"/>
                <w:lang w:eastAsia="en-GB"/>
              </w:rPr>
              <w:t> </w:t>
            </w:r>
          </w:p>
        </w:tc>
        <w:tc>
          <w:tcPr>
            <w:tcW w:w="1300" w:type="dxa"/>
            <w:tcBorders>
              <w:top w:val="nil"/>
              <w:left w:val="nil"/>
              <w:bottom w:val="single" w:sz="4" w:space="0" w:color="auto"/>
              <w:right w:val="nil"/>
            </w:tcBorders>
            <w:shd w:val="clear" w:color="auto" w:fill="auto"/>
            <w:noWrap/>
            <w:vAlign w:val="bottom"/>
            <w:hideMark/>
          </w:tcPr>
          <w:p w14:paraId="42616626" w14:textId="77777777" w:rsidR="001F6E08" w:rsidRPr="001F6E08" w:rsidRDefault="001F6E08" w:rsidP="00EB3D34">
            <w:pPr>
              <w:spacing w:after="0" w:line="480" w:lineRule="auto"/>
              <w:rPr>
                <w:rFonts w:ascii="Calibri" w:eastAsia="Times New Roman" w:hAnsi="Calibri" w:cs="Times New Roman"/>
                <w:color w:val="000000"/>
                <w:sz w:val="24"/>
                <w:szCs w:val="24"/>
                <w:lang w:eastAsia="en-GB"/>
              </w:rPr>
            </w:pPr>
            <w:r w:rsidRPr="001F6E08">
              <w:rPr>
                <w:rFonts w:ascii="Calibri" w:eastAsia="Times New Roman" w:hAnsi="Calibri" w:cs="Times New Roman"/>
                <w:color w:val="000000"/>
                <w:sz w:val="24"/>
                <w:szCs w:val="24"/>
                <w:lang w:eastAsia="en-GB"/>
              </w:rPr>
              <w:t> </w:t>
            </w:r>
          </w:p>
        </w:tc>
        <w:tc>
          <w:tcPr>
            <w:tcW w:w="1300" w:type="dxa"/>
            <w:tcBorders>
              <w:top w:val="nil"/>
              <w:left w:val="nil"/>
              <w:bottom w:val="single" w:sz="4" w:space="0" w:color="auto"/>
              <w:right w:val="nil"/>
            </w:tcBorders>
            <w:shd w:val="clear" w:color="auto" w:fill="auto"/>
            <w:noWrap/>
            <w:vAlign w:val="bottom"/>
            <w:hideMark/>
          </w:tcPr>
          <w:p w14:paraId="2D989CB8" w14:textId="77777777" w:rsidR="001F6E08" w:rsidRPr="001F6E08" w:rsidRDefault="001F6E08" w:rsidP="00EB3D34">
            <w:pPr>
              <w:spacing w:after="0" w:line="480" w:lineRule="auto"/>
              <w:rPr>
                <w:rFonts w:ascii="Calibri" w:eastAsia="Times New Roman" w:hAnsi="Calibri" w:cs="Times New Roman"/>
                <w:color w:val="000000"/>
                <w:sz w:val="24"/>
                <w:szCs w:val="24"/>
                <w:lang w:eastAsia="en-GB"/>
              </w:rPr>
            </w:pPr>
            <w:r w:rsidRPr="001F6E08">
              <w:rPr>
                <w:rFonts w:ascii="Calibri" w:eastAsia="Times New Roman" w:hAnsi="Calibri" w:cs="Times New Roman"/>
                <w:color w:val="000000"/>
                <w:sz w:val="24"/>
                <w:szCs w:val="24"/>
                <w:lang w:eastAsia="en-GB"/>
              </w:rPr>
              <w:t> </w:t>
            </w:r>
          </w:p>
        </w:tc>
        <w:tc>
          <w:tcPr>
            <w:tcW w:w="1300" w:type="dxa"/>
            <w:tcBorders>
              <w:top w:val="nil"/>
              <w:left w:val="nil"/>
              <w:bottom w:val="single" w:sz="4" w:space="0" w:color="auto"/>
              <w:right w:val="nil"/>
            </w:tcBorders>
            <w:shd w:val="clear" w:color="auto" w:fill="auto"/>
            <w:noWrap/>
            <w:vAlign w:val="bottom"/>
            <w:hideMark/>
          </w:tcPr>
          <w:p w14:paraId="52C0FB4F" w14:textId="77777777" w:rsidR="001F6E08" w:rsidRPr="001F6E08" w:rsidRDefault="001F6E08" w:rsidP="00EB3D34">
            <w:pPr>
              <w:spacing w:after="0" w:line="480" w:lineRule="auto"/>
              <w:rPr>
                <w:rFonts w:ascii="Calibri" w:eastAsia="Times New Roman" w:hAnsi="Calibri" w:cs="Times New Roman"/>
                <w:color w:val="000000"/>
                <w:sz w:val="24"/>
                <w:szCs w:val="24"/>
                <w:lang w:eastAsia="en-GB"/>
              </w:rPr>
            </w:pPr>
            <w:r w:rsidRPr="001F6E08">
              <w:rPr>
                <w:rFonts w:ascii="Calibri" w:eastAsia="Times New Roman" w:hAnsi="Calibri" w:cs="Times New Roman"/>
                <w:color w:val="000000"/>
                <w:sz w:val="24"/>
                <w:szCs w:val="24"/>
                <w:lang w:eastAsia="en-GB"/>
              </w:rPr>
              <w:t> </w:t>
            </w:r>
          </w:p>
        </w:tc>
        <w:tc>
          <w:tcPr>
            <w:tcW w:w="1300" w:type="dxa"/>
            <w:tcBorders>
              <w:top w:val="nil"/>
              <w:left w:val="nil"/>
              <w:bottom w:val="single" w:sz="4" w:space="0" w:color="auto"/>
              <w:right w:val="nil"/>
            </w:tcBorders>
            <w:shd w:val="clear" w:color="auto" w:fill="auto"/>
            <w:noWrap/>
            <w:vAlign w:val="bottom"/>
            <w:hideMark/>
          </w:tcPr>
          <w:p w14:paraId="5075F5F1" w14:textId="77777777" w:rsidR="001F6E08" w:rsidRPr="001F6E08" w:rsidRDefault="001F6E08" w:rsidP="00EB3D34">
            <w:pPr>
              <w:spacing w:after="0" w:line="480" w:lineRule="auto"/>
              <w:rPr>
                <w:rFonts w:ascii="Calibri" w:eastAsia="Times New Roman" w:hAnsi="Calibri" w:cs="Times New Roman"/>
                <w:color w:val="000000"/>
                <w:sz w:val="24"/>
                <w:szCs w:val="24"/>
                <w:lang w:eastAsia="en-GB"/>
              </w:rPr>
            </w:pPr>
            <w:r w:rsidRPr="001F6E08">
              <w:rPr>
                <w:rFonts w:ascii="Calibri" w:eastAsia="Times New Roman" w:hAnsi="Calibri" w:cs="Times New Roman"/>
                <w:color w:val="000000"/>
                <w:sz w:val="24"/>
                <w:szCs w:val="24"/>
                <w:lang w:eastAsia="en-GB"/>
              </w:rPr>
              <w:t> </w:t>
            </w:r>
          </w:p>
        </w:tc>
        <w:tc>
          <w:tcPr>
            <w:tcW w:w="1300" w:type="dxa"/>
            <w:tcBorders>
              <w:top w:val="nil"/>
              <w:left w:val="nil"/>
              <w:bottom w:val="single" w:sz="4" w:space="0" w:color="auto"/>
              <w:right w:val="nil"/>
            </w:tcBorders>
            <w:shd w:val="clear" w:color="auto" w:fill="auto"/>
            <w:noWrap/>
            <w:vAlign w:val="bottom"/>
            <w:hideMark/>
          </w:tcPr>
          <w:p w14:paraId="5868FC23" w14:textId="77777777" w:rsidR="001F6E08" w:rsidRPr="001F6E08" w:rsidRDefault="001F6E08" w:rsidP="00EB3D34">
            <w:pPr>
              <w:spacing w:after="0" w:line="480" w:lineRule="auto"/>
              <w:rPr>
                <w:rFonts w:ascii="Calibri" w:eastAsia="Times New Roman" w:hAnsi="Calibri" w:cs="Times New Roman"/>
                <w:color w:val="000000"/>
                <w:sz w:val="24"/>
                <w:szCs w:val="24"/>
                <w:lang w:eastAsia="en-GB"/>
              </w:rPr>
            </w:pPr>
            <w:r w:rsidRPr="001F6E08">
              <w:rPr>
                <w:rFonts w:ascii="Calibri" w:eastAsia="Times New Roman" w:hAnsi="Calibri" w:cs="Times New Roman"/>
                <w:color w:val="000000"/>
                <w:sz w:val="24"/>
                <w:szCs w:val="24"/>
                <w:lang w:eastAsia="en-GB"/>
              </w:rPr>
              <w:t> </w:t>
            </w:r>
          </w:p>
        </w:tc>
        <w:tc>
          <w:tcPr>
            <w:tcW w:w="1300" w:type="dxa"/>
            <w:tcBorders>
              <w:top w:val="nil"/>
              <w:left w:val="nil"/>
              <w:bottom w:val="single" w:sz="4" w:space="0" w:color="auto"/>
              <w:right w:val="nil"/>
            </w:tcBorders>
            <w:shd w:val="clear" w:color="auto" w:fill="auto"/>
            <w:noWrap/>
            <w:vAlign w:val="bottom"/>
            <w:hideMark/>
          </w:tcPr>
          <w:p w14:paraId="4E9D9F88" w14:textId="77777777" w:rsidR="001F6E08" w:rsidRPr="001F6E08" w:rsidRDefault="001F6E08" w:rsidP="00EB3D34">
            <w:pPr>
              <w:spacing w:after="0" w:line="480" w:lineRule="auto"/>
              <w:rPr>
                <w:rFonts w:ascii="Calibri" w:eastAsia="Times New Roman" w:hAnsi="Calibri" w:cs="Times New Roman"/>
                <w:color w:val="000000"/>
                <w:sz w:val="24"/>
                <w:szCs w:val="24"/>
                <w:lang w:eastAsia="en-GB"/>
              </w:rPr>
            </w:pPr>
            <w:r w:rsidRPr="001F6E08">
              <w:rPr>
                <w:rFonts w:ascii="Calibri" w:eastAsia="Times New Roman" w:hAnsi="Calibri" w:cs="Times New Roman"/>
                <w:color w:val="000000"/>
                <w:sz w:val="24"/>
                <w:szCs w:val="24"/>
                <w:lang w:eastAsia="en-GB"/>
              </w:rPr>
              <w:t> </w:t>
            </w:r>
          </w:p>
        </w:tc>
      </w:tr>
      <w:tr w:rsidR="001F6E08" w:rsidRPr="001F6E08" w14:paraId="5DE611BC" w14:textId="77777777" w:rsidTr="001F6E08">
        <w:trPr>
          <w:trHeight w:val="560"/>
        </w:trPr>
        <w:tc>
          <w:tcPr>
            <w:tcW w:w="1860" w:type="dxa"/>
            <w:vMerge w:val="restart"/>
            <w:tcBorders>
              <w:top w:val="nil"/>
              <w:left w:val="nil"/>
              <w:bottom w:val="single" w:sz="4" w:space="0" w:color="000000"/>
              <w:right w:val="nil"/>
            </w:tcBorders>
            <w:shd w:val="clear" w:color="auto" w:fill="auto"/>
            <w:noWrap/>
            <w:vAlign w:val="center"/>
            <w:hideMark/>
          </w:tcPr>
          <w:p w14:paraId="219BDFB2"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Methodology</w:t>
            </w:r>
          </w:p>
        </w:tc>
        <w:tc>
          <w:tcPr>
            <w:tcW w:w="1300" w:type="dxa"/>
            <w:vMerge w:val="restart"/>
            <w:tcBorders>
              <w:top w:val="nil"/>
              <w:left w:val="nil"/>
              <w:bottom w:val="single" w:sz="4" w:space="0" w:color="000000"/>
              <w:right w:val="nil"/>
            </w:tcBorders>
            <w:shd w:val="clear" w:color="auto" w:fill="auto"/>
            <w:vAlign w:val="center"/>
            <w:hideMark/>
          </w:tcPr>
          <w:p w14:paraId="73E164C9"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Number of strains</w:t>
            </w:r>
          </w:p>
        </w:tc>
        <w:tc>
          <w:tcPr>
            <w:tcW w:w="6500" w:type="dxa"/>
            <w:gridSpan w:val="5"/>
            <w:tcBorders>
              <w:top w:val="single" w:sz="4" w:space="0" w:color="auto"/>
              <w:left w:val="nil"/>
              <w:bottom w:val="single" w:sz="4" w:space="0" w:color="auto"/>
              <w:right w:val="nil"/>
            </w:tcBorders>
            <w:shd w:val="clear" w:color="auto" w:fill="auto"/>
            <w:noWrap/>
            <w:vAlign w:val="bottom"/>
            <w:hideMark/>
          </w:tcPr>
          <w:p w14:paraId="28E46AE8"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Number of isolates with MIC (mg/L) of:</w:t>
            </w:r>
          </w:p>
        </w:tc>
      </w:tr>
      <w:tr w:rsidR="001F6E08" w:rsidRPr="001F6E08" w14:paraId="4CF9C6BD" w14:textId="77777777" w:rsidTr="001F6E08">
        <w:trPr>
          <w:trHeight w:val="640"/>
        </w:trPr>
        <w:tc>
          <w:tcPr>
            <w:tcW w:w="1860" w:type="dxa"/>
            <w:vMerge/>
            <w:tcBorders>
              <w:top w:val="nil"/>
              <w:left w:val="nil"/>
              <w:bottom w:val="single" w:sz="4" w:space="0" w:color="000000"/>
              <w:right w:val="nil"/>
            </w:tcBorders>
            <w:vAlign w:val="center"/>
            <w:hideMark/>
          </w:tcPr>
          <w:p w14:paraId="5E432FC3"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p>
        </w:tc>
        <w:tc>
          <w:tcPr>
            <w:tcW w:w="1300" w:type="dxa"/>
            <w:vMerge/>
            <w:tcBorders>
              <w:top w:val="nil"/>
              <w:left w:val="nil"/>
              <w:bottom w:val="single" w:sz="4" w:space="0" w:color="000000"/>
              <w:right w:val="nil"/>
            </w:tcBorders>
            <w:vAlign w:val="center"/>
            <w:hideMark/>
          </w:tcPr>
          <w:p w14:paraId="528C3D35"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p>
        </w:tc>
        <w:tc>
          <w:tcPr>
            <w:tcW w:w="1300" w:type="dxa"/>
            <w:tcBorders>
              <w:top w:val="nil"/>
              <w:left w:val="nil"/>
              <w:bottom w:val="single" w:sz="4" w:space="0" w:color="auto"/>
              <w:right w:val="nil"/>
            </w:tcBorders>
            <w:shd w:val="clear" w:color="auto" w:fill="auto"/>
            <w:noWrap/>
            <w:vAlign w:val="bottom"/>
            <w:hideMark/>
          </w:tcPr>
          <w:p w14:paraId="6914ED46"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0.03</w:t>
            </w:r>
          </w:p>
        </w:tc>
        <w:tc>
          <w:tcPr>
            <w:tcW w:w="1300" w:type="dxa"/>
            <w:tcBorders>
              <w:top w:val="nil"/>
              <w:left w:val="nil"/>
              <w:bottom w:val="single" w:sz="4" w:space="0" w:color="auto"/>
              <w:right w:val="nil"/>
            </w:tcBorders>
            <w:shd w:val="clear" w:color="auto" w:fill="auto"/>
            <w:noWrap/>
            <w:vAlign w:val="bottom"/>
            <w:hideMark/>
          </w:tcPr>
          <w:p w14:paraId="62DF7A28"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0.06</w:t>
            </w:r>
          </w:p>
        </w:tc>
        <w:tc>
          <w:tcPr>
            <w:tcW w:w="1300" w:type="dxa"/>
            <w:tcBorders>
              <w:top w:val="nil"/>
              <w:left w:val="nil"/>
              <w:bottom w:val="single" w:sz="4" w:space="0" w:color="auto"/>
              <w:right w:val="nil"/>
            </w:tcBorders>
            <w:shd w:val="clear" w:color="auto" w:fill="auto"/>
            <w:noWrap/>
            <w:vAlign w:val="bottom"/>
            <w:hideMark/>
          </w:tcPr>
          <w:p w14:paraId="325E47AB"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0.125</w:t>
            </w:r>
          </w:p>
        </w:tc>
        <w:tc>
          <w:tcPr>
            <w:tcW w:w="1300" w:type="dxa"/>
            <w:tcBorders>
              <w:top w:val="nil"/>
              <w:left w:val="nil"/>
              <w:bottom w:val="single" w:sz="4" w:space="0" w:color="auto"/>
              <w:right w:val="nil"/>
            </w:tcBorders>
            <w:shd w:val="clear" w:color="auto" w:fill="auto"/>
            <w:noWrap/>
            <w:vAlign w:val="bottom"/>
            <w:hideMark/>
          </w:tcPr>
          <w:p w14:paraId="65F03D9D"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0.25</w:t>
            </w:r>
          </w:p>
        </w:tc>
        <w:tc>
          <w:tcPr>
            <w:tcW w:w="1300" w:type="dxa"/>
            <w:tcBorders>
              <w:top w:val="nil"/>
              <w:left w:val="nil"/>
              <w:bottom w:val="single" w:sz="4" w:space="0" w:color="auto"/>
              <w:right w:val="nil"/>
            </w:tcBorders>
            <w:shd w:val="clear" w:color="auto" w:fill="auto"/>
            <w:noWrap/>
            <w:vAlign w:val="bottom"/>
            <w:hideMark/>
          </w:tcPr>
          <w:p w14:paraId="4C78AFB6"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0.5</w:t>
            </w:r>
          </w:p>
        </w:tc>
      </w:tr>
      <w:tr w:rsidR="001F6E08" w:rsidRPr="001F6E08" w14:paraId="080D0EA3" w14:textId="77777777" w:rsidTr="001F6E08">
        <w:trPr>
          <w:trHeight w:val="500"/>
        </w:trPr>
        <w:tc>
          <w:tcPr>
            <w:tcW w:w="1860" w:type="dxa"/>
            <w:tcBorders>
              <w:top w:val="nil"/>
              <w:left w:val="nil"/>
              <w:bottom w:val="nil"/>
              <w:right w:val="nil"/>
            </w:tcBorders>
            <w:shd w:val="clear" w:color="auto" w:fill="auto"/>
            <w:noWrap/>
            <w:vAlign w:val="bottom"/>
            <w:hideMark/>
          </w:tcPr>
          <w:p w14:paraId="254A1089" w14:textId="66F19E48" w:rsidR="001F6E08" w:rsidRPr="001F6E08" w:rsidRDefault="001F6E08" w:rsidP="00EB3D34">
            <w:pPr>
              <w:spacing w:after="0" w:line="480" w:lineRule="auto"/>
              <w:rPr>
                <w:rFonts w:ascii="Calibri" w:eastAsia="Times New Roman" w:hAnsi="Calibri" w:cs="Times New Roman"/>
                <w:color w:val="000000"/>
                <w:sz w:val="28"/>
                <w:szCs w:val="28"/>
                <w:lang w:eastAsia="en-GB"/>
              </w:rPr>
            </w:pPr>
            <w:proofErr w:type="spellStart"/>
            <w:r w:rsidRPr="001F6E08">
              <w:rPr>
                <w:rFonts w:ascii="Calibri" w:eastAsia="Times New Roman" w:hAnsi="Calibri" w:cs="Times New Roman"/>
                <w:color w:val="000000"/>
                <w:sz w:val="28"/>
                <w:szCs w:val="28"/>
                <w:lang w:eastAsia="en-GB"/>
              </w:rPr>
              <w:t>EUCAST</w:t>
            </w:r>
            <w:r w:rsidR="00315439" w:rsidRPr="00315439">
              <w:rPr>
                <w:rFonts w:ascii="Calibri" w:eastAsia="Times New Roman" w:hAnsi="Calibri" w:cs="Times New Roman"/>
                <w:color w:val="000000"/>
                <w:sz w:val="28"/>
                <w:szCs w:val="28"/>
                <w:vertAlign w:val="superscript"/>
                <w:lang w:eastAsia="en-GB"/>
              </w:rPr>
              <w:t>a</w:t>
            </w:r>
            <w:proofErr w:type="spellEnd"/>
          </w:p>
        </w:tc>
        <w:tc>
          <w:tcPr>
            <w:tcW w:w="1300" w:type="dxa"/>
            <w:tcBorders>
              <w:top w:val="nil"/>
              <w:left w:val="nil"/>
              <w:bottom w:val="nil"/>
              <w:right w:val="nil"/>
            </w:tcBorders>
            <w:shd w:val="clear" w:color="auto" w:fill="auto"/>
            <w:noWrap/>
            <w:vAlign w:val="bottom"/>
            <w:hideMark/>
          </w:tcPr>
          <w:p w14:paraId="25692360"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50</w:t>
            </w:r>
          </w:p>
        </w:tc>
        <w:tc>
          <w:tcPr>
            <w:tcW w:w="1300" w:type="dxa"/>
            <w:tcBorders>
              <w:top w:val="nil"/>
              <w:left w:val="nil"/>
              <w:bottom w:val="nil"/>
              <w:right w:val="nil"/>
            </w:tcBorders>
            <w:shd w:val="clear" w:color="auto" w:fill="auto"/>
            <w:noWrap/>
            <w:vAlign w:val="bottom"/>
            <w:hideMark/>
          </w:tcPr>
          <w:p w14:paraId="4D7ED7EA" w14:textId="759CB7E3" w:rsidR="001F6E08" w:rsidRPr="001F6E08" w:rsidRDefault="000A417B" w:rsidP="00EB3D34">
            <w:pPr>
              <w:spacing w:after="0" w:line="480" w:lineRule="auto"/>
              <w:rPr>
                <w:rFonts w:ascii="Calibri" w:eastAsia="Times New Roman" w:hAnsi="Calibri" w:cs="Times New Roman"/>
                <w:color w:val="000000"/>
                <w:sz w:val="28"/>
                <w:szCs w:val="28"/>
                <w:lang w:eastAsia="en-GB"/>
              </w:rPr>
            </w:pPr>
            <w:r>
              <w:rPr>
                <w:rFonts w:ascii="Calibri" w:eastAsia="Times New Roman" w:hAnsi="Calibri" w:cs="Times New Roman"/>
                <w:color w:val="000000"/>
                <w:sz w:val="28"/>
                <w:szCs w:val="28"/>
                <w:lang w:eastAsia="en-GB"/>
              </w:rPr>
              <w:t>1</w:t>
            </w:r>
          </w:p>
        </w:tc>
        <w:tc>
          <w:tcPr>
            <w:tcW w:w="1300" w:type="dxa"/>
            <w:tcBorders>
              <w:top w:val="nil"/>
              <w:left w:val="nil"/>
              <w:bottom w:val="nil"/>
              <w:right w:val="nil"/>
            </w:tcBorders>
            <w:shd w:val="clear" w:color="auto" w:fill="auto"/>
            <w:noWrap/>
            <w:vAlign w:val="bottom"/>
            <w:hideMark/>
          </w:tcPr>
          <w:p w14:paraId="162E1523"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19</w:t>
            </w:r>
          </w:p>
        </w:tc>
        <w:tc>
          <w:tcPr>
            <w:tcW w:w="1300" w:type="dxa"/>
            <w:tcBorders>
              <w:top w:val="nil"/>
              <w:left w:val="nil"/>
              <w:bottom w:val="nil"/>
              <w:right w:val="nil"/>
            </w:tcBorders>
            <w:shd w:val="clear" w:color="auto" w:fill="auto"/>
            <w:noWrap/>
            <w:vAlign w:val="bottom"/>
            <w:hideMark/>
          </w:tcPr>
          <w:p w14:paraId="00ED8D20"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25</w:t>
            </w:r>
          </w:p>
        </w:tc>
        <w:tc>
          <w:tcPr>
            <w:tcW w:w="1300" w:type="dxa"/>
            <w:tcBorders>
              <w:top w:val="nil"/>
              <w:left w:val="nil"/>
              <w:bottom w:val="nil"/>
              <w:right w:val="nil"/>
            </w:tcBorders>
            <w:shd w:val="clear" w:color="auto" w:fill="auto"/>
            <w:noWrap/>
            <w:vAlign w:val="bottom"/>
            <w:hideMark/>
          </w:tcPr>
          <w:p w14:paraId="344BBAF3"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5</w:t>
            </w:r>
          </w:p>
        </w:tc>
        <w:tc>
          <w:tcPr>
            <w:tcW w:w="1300" w:type="dxa"/>
            <w:tcBorders>
              <w:top w:val="nil"/>
              <w:left w:val="nil"/>
              <w:bottom w:val="nil"/>
              <w:right w:val="nil"/>
            </w:tcBorders>
            <w:shd w:val="clear" w:color="auto" w:fill="auto"/>
            <w:noWrap/>
            <w:vAlign w:val="bottom"/>
            <w:hideMark/>
          </w:tcPr>
          <w:p w14:paraId="584FCA34"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0</w:t>
            </w:r>
          </w:p>
        </w:tc>
      </w:tr>
      <w:tr w:rsidR="001F6E08" w:rsidRPr="001F6E08" w14:paraId="30239525" w14:textId="77777777" w:rsidTr="001F6E08">
        <w:trPr>
          <w:trHeight w:val="620"/>
        </w:trPr>
        <w:tc>
          <w:tcPr>
            <w:tcW w:w="1860" w:type="dxa"/>
            <w:tcBorders>
              <w:top w:val="nil"/>
              <w:left w:val="nil"/>
              <w:bottom w:val="single" w:sz="4" w:space="0" w:color="auto"/>
              <w:right w:val="nil"/>
            </w:tcBorders>
            <w:shd w:val="clear" w:color="auto" w:fill="auto"/>
            <w:noWrap/>
            <w:vAlign w:val="bottom"/>
            <w:hideMark/>
          </w:tcPr>
          <w:p w14:paraId="77F747FF" w14:textId="793DE97B" w:rsidR="001F6E08" w:rsidRPr="001F6E08" w:rsidRDefault="001F6E08" w:rsidP="00EB3D34">
            <w:pPr>
              <w:spacing w:after="0" w:line="480" w:lineRule="auto"/>
              <w:rPr>
                <w:rFonts w:ascii="Calibri" w:eastAsia="Times New Roman" w:hAnsi="Calibri" w:cs="Times New Roman"/>
                <w:color w:val="000000"/>
                <w:sz w:val="28"/>
                <w:szCs w:val="28"/>
                <w:lang w:eastAsia="en-GB"/>
              </w:rPr>
            </w:pPr>
            <w:proofErr w:type="spellStart"/>
            <w:r w:rsidRPr="001F6E08">
              <w:rPr>
                <w:rFonts w:ascii="Calibri" w:eastAsia="Times New Roman" w:hAnsi="Calibri" w:cs="Times New Roman"/>
                <w:color w:val="000000"/>
                <w:sz w:val="28"/>
                <w:szCs w:val="28"/>
                <w:lang w:eastAsia="en-GB"/>
              </w:rPr>
              <w:t>CLSI</w:t>
            </w:r>
            <w:r w:rsidR="00315439" w:rsidRPr="00315439">
              <w:rPr>
                <w:rFonts w:ascii="Calibri" w:eastAsia="Times New Roman" w:hAnsi="Calibri" w:cs="Times New Roman"/>
                <w:color w:val="000000"/>
                <w:sz w:val="28"/>
                <w:szCs w:val="28"/>
                <w:vertAlign w:val="superscript"/>
                <w:lang w:eastAsia="en-GB"/>
              </w:rPr>
              <w:t>b</w:t>
            </w:r>
            <w:proofErr w:type="spellEnd"/>
          </w:p>
        </w:tc>
        <w:tc>
          <w:tcPr>
            <w:tcW w:w="1300" w:type="dxa"/>
            <w:tcBorders>
              <w:top w:val="nil"/>
              <w:left w:val="nil"/>
              <w:bottom w:val="single" w:sz="4" w:space="0" w:color="auto"/>
              <w:right w:val="nil"/>
            </w:tcBorders>
            <w:shd w:val="clear" w:color="auto" w:fill="auto"/>
            <w:noWrap/>
            <w:vAlign w:val="bottom"/>
            <w:hideMark/>
          </w:tcPr>
          <w:p w14:paraId="6491F819"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50</w:t>
            </w:r>
          </w:p>
        </w:tc>
        <w:tc>
          <w:tcPr>
            <w:tcW w:w="1300" w:type="dxa"/>
            <w:tcBorders>
              <w:top w:val="nil"/>
              <w:left w:val="nil"/>
              <w:bottom w:val="single" w:sz="4" w:space="0" w:color="auto"/>
              <w:right w:val="nil"/>
            </w:tcBorders>
            <w:shd w:val="clear" w:color="auto" w:fill="auto"/>
            <w:noWrap/>
            <w:vAlign w:val="bottom"/>
            <w:hideMark/>
          </w:tcPr>
          <w:p w14:paraId="4EE7B7AA"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2</w:t>
            </w:r>
          </w:p>
        </w:tc>
        <w:tc>
          <w:tcPr>
            <w:tcW w:w="1300" w:type="dxa"/>
            <w:tcBorders>
              <w:top w:val="nil"/>
              <w:left w:val="nil"/>
              <w:bottom w:val="single" w:sz="4" w:space="0" w:color="auto"/>
              <w:right w:val="nil"/>
            </w:tcBorders>
            <w:shd w:val="clear" w:color="auto" w:fill="auto"/>
            <w:noWrap/>
            <w:vAlign w:val="bottom"/>
            <w:hideMark/>
          </w:tcPr>
          <w:p w14:paraId="2A7DD3C5"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40</w:t>
            </w:r>
          </w:p>
        </w:tc>
        <w:tc>
          <w:tcPr>
            <w:tcW w:w="1300" w:type="dxa"/>
            <w:tcBorders>
              <w:top w:val="nil"/>
              <w:left w:val="nil"/>
              <w:bottom w:val="single" w:sz="4" w:space="0" w:color="auto"/>
              <w:right w:val="nil"/>
            </w:tcBorders>
            <w:shd w:val="clear" w:color="auto" w:fill="auto"/>
            <w:noWrap/>
            <w:vAlign w:val="bottom"/>
            <w:hideMark/>
          </w:tcPr>
          <w:p w14:paraId="3831EC55"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8</w:t>
            </w:r>
          </w:p>
        </w:tc>
        <w:tc>
          <w:tcPr>
            <w:tcW w:w="1300" w:type="dxa"/>
            <w:tcBorders>
              <w:top w:val="nil"/>
              <w:left w:val="nil"/>
              <w:bottom w:val="single" w:sz="4" w:space="0" w:color="auto"/>
              <w:right w:val="nil"/>
            </w:tcBorders>
            <w:shd w:val="clear" w:color="auto" w:fill="auto"/>
            <w:noWrap/>
            <w:vAlign w:val="bottom"/>
            <w:hideMark/>
          </w:tcPr>
          <w:p w14:paraId="6E444275"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0</w:t>
            </w:r>
          </w:p>
        </w:tc>
        <w:tc>
          <w:tcPr>
            <w:tcW w:w="1300" w:type="dxa"/>
            <w:tcBorders>
              <w:top w:val="nil"/>
              <w:left w:val="nil"/>
              <w:bottom w:val="single" w:sz="4" w:space="0" w:color="auto"/>
              <w:right w:val="nil"/>
            </w:tcBorders>
            <w:shd w:val="clear" w:color="auto" w:fill="auto"/>
            <w:noWrap/>
            <w:vAlign w:val="bottom"/>
            <w:hideMark/>
          </w:tcPr>
          <w:p w14:paraId="4BB66A94"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r w:rsidRPr="001F6E08">
              <w:rPr>
                <w:rFonts w:ascii="Calibri" w:eastAsia="Times New Roman" w:hAnsi="Calibri" w:cs="Times New Roman"/>
                <w:color w:val="000000"/>
                <w:sz w:val="28"/>
                <w:szCs w:val="28"/>
                <w:lang w:eastAsia="en-GB"/>
              </w:rPr>
              <w:t>0</w:t>
            </w:r>
          </w:p>
        </w:tc>
      </w:tr>
      <w:tr w:rsidR="001F6E08" w:rsidRPr="001F6E08" w14:paraId="744733A3" w14:textId="77777777" w:rsidTr="001F6E08">
        <w:trPr>
          <w:trHeight w:val="320"/>
        </w:trPr>
        <w:tc>
          <w:tcPr>
            <w:tcW w:w="1860" w:type="dxa"/>
            <w:tcBorders>
              <w:top w:val="nil"/>
              <w:left w:val="nil"/>
              <w:bottom w:val="nil"/>
              <w:right w:val="nil"/>
            </w:tcBorders>
            <w:shd w:val="clear" w:color="auto" w:fill="auto"/>
            <w:noWrap/>
            <w:vAlign w:val="bottom"/>
            <w:hideMark/>
          </w:tcPr>
          <w:p w14:paraId="601D7D10" w14:textId="77777777" w:rsidR="001F6E08" w:rsidRPr="001F6E08" w:rsidRDefault="001F6E08" w:rsidP="00EB3D34">
            <w:pPr>
              <w:spacing w:after="0" w:line="480" w:lineRule="auto"/>
              <w:rPr>
                <w:rFonts w:ascii="Calibri" w:eastAsia="Times New Roman" w:hAnsi="Calibri" w:cs="Times New Roman"/>
                <w:color w:val="000000"/>
                <w:sz w:val="28"/>
                <w:szCs w:val="28"/>
                <w:lang w:eastAsia="en-GB"/>
              </w:rPr>
            </w:pPr>
          </w:p>
        </w:tc>
        <w:tc>
          <w:tcPr>
            <w:tcW w:w="1300" w:type="dxa"/>
            <w:tcBorders>
              <w:top w:val="nil"/>
              <w:left w:val="nil"/>
              <w:bottom w:val="nil"/>
              <w:right w:val="nil"/>
            </w:tcBorders>
            <w:shd w:val="clear" w:color="auto" w:fill="auto"/>
            <w:noWrap/>
            <w:vAlign w:val="bottom"/>
            <w:hideMark/>
          </w:tcPr>
          <w:p w14:paraId="6653B9BC" w14:textId="77777777" w:rsidR="001F6E08" w:rsidRPr="001F6E08" w:rsidRDefault="001F6E08" w:rsidP="00EB3D34">
            <w:pPr>
              <w:spacing w:after="0" w:line="480" w:lineRule="auto"/>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350942DB" w14:textId="77777777" w:rsidR="001F6E08" w:rsidRPr="001F6E08" w:rsidRDefault="001F6E08" w:rsidP="00EB3D34">
            <w:pPr>
              <w:spacing w:after="0" w:line="480" w:lineRule="auto"/>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3F569211" w14:textId="77777777" w:rsidR="001F6E08" w:rsidRPr="001F6E08" w:rsidRDefault="001F6E08" w:rsidP="00EB3D34">
            <w:pPr>
              <w:spacing w:after="0" w:line="480" w:lineRule="auto"/>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772E6D17" w14:textId="77777777" w:rsidR="001F6E08" w:rsidRPr="001F6E08" w:rsidRDefault="001F6E08" w:rsidP="00EB3D34">
            <w:pPr>
              <w:spacing w:after="0" w:line="480" w:lineRule="auto"/>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4B1C002B" w14:textId="77777777" w:rsidR="001F6E08" w:rsidRPr="001F6E08" w:rsidRDefault="001F6E08" w:rsidP="00EB3D34">
            <w:pPr>
              <w:spacing w:after="0" w:line="480" w:lineRule="auto"/>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0C3F525B" w14:textId="77777777" w:rsidR="001F6E08" w:rsidRPr="001F6E08" w:rsidRDefault="001F6E08" w:rsidP="00EB3D34">
            <w:pPr>
              <w:spacing w:after="0" w:line="480" w:lineRule="auto"/>
              <w:rPr>
                <w:rFonts w:ascii="Times New Roman" w:eastAsia="Times New Roman" w:hAnsi="Times New Roman" w:cs="Times New Roman"/>
                <w:sz w:val="20"/>
                <w:szCs w:val="20"/>
                <w:lang w:eastAsia="en-GB"/>
              </w:rPr>
            </w:pPr>
          </w:p>
        </w:tc>
      </w:tr>
    </w:tbl>
    <w:p w14:paraId="624E6A8F" w14:textId="77777777" w:rsidR="009D2CDD" w:rsidRDefault="009D2CDD" w:rsidP="00EB3D34">
      <w:pPr>
        <w:spacing w:after="120" w:line="480" w:lineRule="auto"/>
        <w:rPr>
          <w:rFonts w:asciiTheme="majorHAnsi" w:hAnsiTheme="majorHAnsi"/>
          <w:sz w:val="24"/>
          <w:szCs w:val="24"/>
          <w:lang w:val="en-US"/>
        </w:rPr>
      </w:pPr>
    </w:p>
    <w:p w14:paraId="73B7BF35" w14:textId="0680EE70" w:rsidR="009D2CDD" w:rsidRDefault="00315439" w:rsidP="00EB3D34">
      <w:pPr>
        <w:spacing w:after="120" w:line="480" w:lineRule="auto"/>
        <w:rPr>
          <w:rFonts w:asciiTheme="majorHAnsi" w:hAnsiTheme="majorHAnsi"/>
          <w:sz w:val="24"/>
          <w:szCs w:val="24"/>
          <w:lang w:val="en-US"/>
        </w:rPr>
      </w:pPr>
      <w:r w:rsidRPr="00315439">
        <w:rPr>
          <w:rFonts w:asciiTheme="majorHAnsi" w:hAnsiTheme="majorHAnsi"/>
          <w:sz w:val="24"/>
          <w:szCs w:val="24"/>
          <w:vertAlign w:val="superscript"/>
          <w:lang w:val="en-US"/>
        </w:rPr>
        <w:t>a</w:t>
      </w:r>
      <w:r>
        <w:rPr>
          <w:rFonts w:asciiTheme="majorHAnsi" w:hAnsiTheme="majorHAnsi"/>
          <w:sz w:val="24"/>
          <w:szCs w:val="24"/>
          <w:vertAlign w:val="superscript"/>
          <w:lang w:val="en-US"/>
        </w:rPr>
        <w:t xml:space="preserve"> </w:t>
      </w:r>
      <w:r>
        <w:rPr>
          <w:rFonts w:asciiTheme="majorHAnsi" w:hAnsiTheme="majorHAnsi"/>
          <w:sz w:val="24"/>
          <w:szCs w:val="24"/>
          <w:lang w:val="en-US"/>
        </w:rPr>
        <w:t>European Committee for Antimicrobial Susceptibility Testing</w:t>
      </w:r>
    </w:p>
    <w:p w14:paraId="3C095694" w14:textId="555DB0CC" w:rsidR="009D2CDD" w:rsidRDefault="0014141A" w:rsidP="00EB3D34">
      <w:pPr>
        <w:spacing w:after="120" w:line="480" w:lineRule="auto"/>
        <w:rPr>
          <w:rFonts w:asciiTheme="majorHAnsi" w:hAnsiTheme="majorHAnsi"/>
          <w:sz w:val="24"/>
          <w:szCs w:val="24"/>
          <w:lang w:val="en-US"/>
        </w:rPr>
      </w:pPr>
      <w:r w:rsidRPr="0014141A">
        <w:rPr>
          <w:rFonts w:asciiTheme="majorHAnsi" w:hAnsiTheme="majorHAnsi"/>
          <w:sz w:val="24"/>
          <w:szCs w:val="24"/>
          <w:vertAlign w:val="superscript"/>
          <w:lang w:val="en-US"/>
        </w:rPr>
        <w:t>b</w:t>
      </w:r>
      <w:r>
        <w:rPr>
          <w:rFonts w:asciiTheme="majorHAnsi" w:hAnsiTheme="majorHAnsi"/>
          <w:sz w:val="24"/>
          <w:szCs w:val="24"/>
          <w:lang w:val="en-US"/>
        </w:rPr>
        <w:t xml:space="preserve"> Clinical Laboratory Sciences Institute</w:t>
      </w:r>
    </w:p>
    <w:p w14:paraId="37C46658" w14:textId="77777777" w:rsidR="009D2CDD" w:rsidRDefault="009D2CDD" w:rsidP="00EB3D34">
      <w:pPr>
        <w:spacing w:after="120" w:line="480" w:lineRule="auto"/>
        <w:rPr>
          <w:rFonts w:asciiTheme="majorHAnsi" w:hAnsiTheme="majorHAnsi"/>
          <w:sz w:val="24"/>
          <w:szCs w:val="24"/>
          <w:lang w:val="en-US"/>
        </w:rPr>
      </w:pPr>
    </w:p>
    <w:p w14:paraId="263954F9" w14:textId="77777777" w:rsidR="00900889" w:rsidRPr="00876AB1" w:rsidRDefault="00900889" w:rsidP="00EB3D34">
      <w:pPr>
        <w:spacing w:line="480" w:lineRule="auto"/>
        <w:rPr>
          <w:rFonts w:asciiTheme="majorHAnsi" w:hAnsiTheme="majorHAnsi"/>
          <w:sz w:val="24"/>
          <w:szCs w:val="24"/>
          <w:lang w:val="en-US"/>
        </w:rPr>
      </w:pPr>
      <w:r w:rsidRPr="00876AB1">
        <w:rPr>
          <w:rFonts w:asciiTheme="majorHAnsi" w:hAnsiTheme="majorHAnsi"/>
          <w:sz w:val="24"/>
          <w:szCs w:val="24"/>
          <w:lang w:val="en-US"/>
        </w:rPr>
        <w:br w:type="page"/>
      </w:r>
    </w:p>
    <w:p w14:paraId="007DA575" w14:textId="77777777" w:rsidR="00900889" w:rsidRDefault="00900889" w:rsidP="00EB3D34">
      <w:pPr>
        <w:spacing w:after="120" w:line="480" w:lineRule="auto"/>
        <w:rPr>
          <w:rFonts w:asciiTheme="majorHAnsi" w:hAnsiTheme="majorHAnsi"/>
          <w:sz w:val="24"/>
          <w:szCs w:val="24"/>
          <w:lang w:val="en-US"/>
        </w:rPr>
      </w:pPr>
    </w:p>
    <w:p w14:paraId="1FEC5928" w14:textId="2D4749F8" w:rsidR="002D3BE4" w:rsidRPr="00EF774A" w:rsidRDefault="00D34CE3" w:rsidP="00EB3D34">
      <w:pPr>
        <w:spacing w:after="120" w:line="480" w:lineRule="auto"/>
        <w:outlineLvl w:val="0"/>
        <w:rPr>
          <w:rFonts w:asciiTheme="majorHAnsi" w:hAnsiTheme="majorHAnsi"/>
          <w:sz w:val="24"/>
          <w:szCs w:val="24"/>
          <w:lang w:val="en-US"/>
        </w:rPr>
      </w:pPr>
      <w:r w:rsidRPr="002D3BE4">
        <w:rPr>
          <w:rFonts w:asciiTheme="majorHAnsi" w:hAnsiTheme="majorHAnsi"/>
          <w:sz w:val="24"/>
          <w:szCs w:val="24"/>
          <w:lang w:val="en-US"/>
        </w:rPr>
        <w:t>Table 2</w:t>
      </w:r>
      <w:r w:rsidR="002D3BE4" w:rsidRPr="002D3BE4">
        <w:rPr>
          <w:rFonts w:asciiTheme="majorHAnsi" w:hAnsiTheme="majorHAnsi"/>
          <w:sz w:val="24"/>
          <w:szCs w:val="24"/>
          <w:lang w:val="en-US"/>
        </w:rPr>
        <w:t xml:space="preserve">. </w:t>
      </w:r>
      <w:r w:rsidR="002D3BE4" w:rsidRPr="00EF774A">
        <w:rPr>
          <w:rFonts w:asciiTheme="majorHAnsi" w:hAnsiTheme="majorHAnsi"/>
          <w:sz w:val="24"/>
          <w:szCs w:val="24"/>
        </w:rPr>
        <w:t>Parameter Values from the PK-PD model fitted to mice</w:t>
      </w:r>
    </w:p>
    <w:p w14:paraId="49250A14" w14:textId="77777777" w:rsidR="002D3BE4" w:rsidRPr="00EF774A" w:rsidRDefault="002D3BE4" w:rsidP="00EB3D34">
      <w:pPr>
        <w:spacing w:line="480" w:lineRule="auto"/>
        <w:rPr>
          <w:rFonts w:asciiTheme="majorHAnsi" w:hAnsiTheme="majorHAnsi"/>
          <w:sz w:val="24"/>
          <w:szCs w:val="24"/>
        </w:rPr>
      </w:pPr>
    </w:p>
    <w:tbl>
      <w:tblPr>
        <w:tblStyle w:val="TableGrid"/>
        <w:tblW w:w="0" w:type="auto"/>
        <w:tblLook w:val="04A0" w:firstRow="1" w:lastRow="0" w:firstColumn="1" w:lastColumn="0" w:noHBand="0" w:noVBand="1"/>
      </w:tblPr>
      <w:tblGrid>
        <w:gridCol w:w="2405"/>
        <w:gridCol w:w="2099"/>
        <w:gridCol w:w="2253"/>
        <w:gridCol w:w="2253"/>
      </w:tblGrid>
      <w:tr w:rsidR="002D3BE4" w:rsidRPr="002D3BE4" w14:paraId="2385A106" w14:textId="77777777" w:rsidTr="00BD2750">
        <w:tc>
          <w:tcPr>
            <w:tcW w:w="2405" w:type="dxa"/>
          </w:tcPr>
          <w:p w14:paraId="2D008419" w14:textId="77777777" w:rsidR="002D3BE4" w:rsidRPr="00EF774A" w:rsidRDefault="002D3BE4" w:rsidP="00EB3D34">
            <w:pPr>
              <w:spacing w:line="480" w:lineRule="auto"/>
              <w:rPr>
                <w:rFonts w:asciiTheme="majorHAnsi" w:hAnsiTheme="majorHAnsi"/>
                <w:sz w:val="24"/>
                <w:szCs w:val="24"/>
              </w:rPr>
            </w:pPr>
            <w:r w:rsidRPr="00EF774A">
              <w:rPr>
                <w:rFonts w:asciiTheme="majorHAnsi" w:hAnsiTheme="majorHAnsi"/>
                <w:sz w:val="24"/>
                <w:szCs w:val="24"/>
              </w:rPr>
              <w:t>Parameter (Units)</w:t>
            </w:r>
          </w:p>
        </w:tc>
        <w:tc>
          <w:tcPr>
            <w:tcW w:w="2099" w:type="dxa"/>
          </w:tcPr>
          <w:p w14:paraId="07D87CF7" w14:textId="77777777" w:rsidR="002D3BE4" w:rsidRPr="00EF774A" w:rsidRDefault="002D3BE4" w:rsidP="00EB3D34">
            <w:pPr>
              <w:spacing w:line="480" w:lineRule="auto"/>
              <w:rPr>
                <w:rFonts w:asciiTheme="majorHAnsi" w:hAnsiTheme="majorHAnsi"/>
                <w:sz w:val="24"/>
                <w:szCs w:val="24"/>
              </w:rPr>
            </w:pPr>
            <w:r w:rsidRPr="00EF774A">
              <w:rPr>
                <w:rFonts w:asciiTheme="majorHAnsi" w:hAnsiTheme="majorHAnsi"/>
                <w:sz w:val="24"/>
                <w:szCs w:val="24"/>
              </w:rPr>
              <w:t>Mean</w:t>
            </w:r>
          </w:p>
        </w:tc>
        <w:tc>
          <w:tcPr>
            <w:tcW w:w="2253" w:type="dxa"/>
          </w:tcPr>
          <w:p w14:paraId="173EC6F5" w14:textId="77777777" w:rsidR="002D3BE4" w:rsidRPr="00EF774A" w:rsidRDefault="002D3BE4" w:rsidP="00EB3D34">
            <w:pPr>
              <w:spacing w:line="480" w:lineRule="auto"/>
              <w:rPr>
                <w:rFonts w:asciiTheme="majorHAnsi" w:hAnsiTheme="majorHAnsi"/>
                <w:sz w:val="24"/>
                <w:szCs w:val="24"/>
              </w:rPr>
            </w:pPr>
            <w:r w:rsidRPr="00EF774A">
              <w:rPr>
                <w:rFonts w:asciiTheme="majorHAnsi" w:hAnsiTheme="majorHAnsi"/>
                <w:sz w:val="24"/>
                <w:szCs w:val="24"/>
              </w:rPr>
              <w:t>Median</w:t>
            </w:r>
          </w:p>
        </w:tc>
        <w:tc>
          <w:tcPr>
            <w:tcW w:w="2253" w:type="dxa"/>
          </w:tcPr>
          <w:p w14:paraId="5E635375" w14:textId="77777777" w:rsidR="002D3BE4" w:rsidRPr="00EF774A" w:rsidRDefault="002D3BE4" w:rsidP="00EB3D34">
            <w:pPr>
              <w:spacing w:line="480" w:lineRule="auto"/>
              <w:rPr>
                <w:rFonts w:asciiTheme="majorHAnsi" w:hAnsiTheme="majorHAnsi"/>
                <w:sz w:val="24"/>
                <w:szCs w:val="24"/>
              </w:rPr>
            </w:pPr>
            <w:r w:rsidRPr="00EF774A">
              <w:rPr>
                <w:rFonts w:asciiTheme="majorHAnsi" w:hAnsiTheme="majorHAnsi"/>
                <w:sz w:val="24"/>
                <w:szCs w:val="24"/>
              </w:rPr>
              <w:t>Standard Deviation</w:t>
            </w:r>
          </w:p>
        </w:tc>
      </w:tr>
      <w:tr w:rsidR="002D3BE4" w:rsidRPr="002D3BE4" w14:paraId="60E351E8" w14:textId="77777777" w:rsidTr="00BD2750">
        <w:tc>
          <w:tcPr>
            <w:tcW w:w="2405" w:type="dxa"/>
            <w:vAlign w:val="bottom"/>
          </w:tcPr>
          <w:p w14:paraId="587F1DC6" w14:textId="77777777" w:rsidR="002D3BE4" w:rsidRPr="00EF774A" w:rsidRDefault="002D3BE4" w:rsidP="00EB3D34">
            <w:pPr>
              <w:spacing w:line="480" w:lineRule="auto"/>
              <w:rPr>
                <w:rFonts w:asciiTheme="majorHAnsi" w:hAnsiTheme="majorHAnsi"/>
                <w:sz w:val="24"/>
                <w:szCs w:val="24"/>
              </w:rPr>
            </w:pPr>
            <w:proofErr w:type="spellStart"/>
            <w:r w:rsidRPr="00EF774A">
              <w:rPr>
                <w:rFonts w:asciiTheme="majorHAnsi" w:eastAsia="Times New Roman" w:hAnsiTheme="majorHAnsi" w:cs="Times New Roman"/>
                <w:color w:val="000000"/>
                <w:sz w:val="24"/>
                <w:szCs w:val="24"/>
                <w:lang w:eastAsia="en-GB"/>
              </w:rPr>
              <w:t>Ka</w:t>
            </w:r>
            <w:proofErr w:type="spellEnd"/>
            <w:r w:rsidRPr="00EF774A">
              <w:rPr>
                <w:rFonts w:asciiTheme="majorHAnsi" w:eastAsia="Times New Roman" w:hAnsiTheme="majorHAnsi" w:cs="Times New Roman"/>
                <w:color w:val="000000"/>
                <w:sz w:val="24"/>
                <w:szCs w:val="24"/>
                <w:lang w:eastAsia="en-GB"/>
              </w:rPr>
              <w:t xml:space="preserve"> (h</w:t>
            </w:r>
            <w:r w:rsidRPr="00EF774A">
              <w:rPr>
                <w:rFonts w:asciiTheme="majorHAnsi" w:eastAsia="Times New Roman" w:hAnsiTheme="majorHAnsi" w:cs="Times New Roman"/>
                <w:color w:val="000000"/>
                <w:sz w:val="24"/>
                <w:szCs w:val="24"/>
                <w:vertAlign w:val="superscript"/>
                <w:lang w:eastAsia="en-GB"/>
              </w:rPr>
              <w:t>-1</w:t>
            </w:r>
            <w:r w:rsidRPr="00EF774A">
              <w:rPr>
                <w:rFonts w:asciiTheme="majorHAnsi" w:eastAsia="Times New Roman" w:hAnsiTheme="majorHAnsi" w:cs="Times New Roman"/>
                <w:color w:val="000000"/>
                <w:sz w:val="24"/>
                <w:szCs w:val="24"/>
                <w:lang w:eastAsia="en-GB"/>
              </w:rPr>
              <w:t>)</w:t>
            </w:r>
          </w:p>
        </w:tc>
        <w:tc>
          <w:tcPr>
            <w:tcW w:w="2099" w:type="dxa"/>
            <w:vAlign w:val="bottom"/>
          </w:tcPr>
          <w:p w14:paraId="1FA6106B"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11.312</w:t>
            </w:r>
          </w:p>
        </w:tc>
        <w:tc>
          <w:tcPr>
            <w:tcW w:w="2253" w:type="dxa"/>
            <w:vAlign w:val="bottom"/>
          </w:tcPr>
          <w:p w14:paraId="40D0AA65"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14.895</w:t>
            </w:r>
          </w:p>
        </w:tc>
        <w:tc>
          <w:tcPr>
            <w:tcW w:w="2253" w:type="dxa"/>
            <w:vAlign w:val="bottom"/>
          </w:tcPr>
          <w:p w14:paraId="2025B025"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6.594</w:t>
            </w:r>
          </w:p>
        </w:tc>
      </w:tr>
      <w:tr w:rsidR="002D3BE4" w:rsidRPr="002D3BE4" w14:paraId="07690606" w14:textId="77777777" w:rsidTr="00BD2750">
        <w:tc>
          <w:tcPr>
            <w:tcW w:w="2405" w:type="dxa"/>
            <w:vAlign w:val="bottom"/>
          </w:tcPr>
          <w:p w14:paraId="0BCA22A7"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s="Times New Roman"/>
                <w:color w:val="000000"/>
                <w:sz w:val="24"/>
                <w:szCs w:val="24"/>
                <w:lang w:eastAsia="en-GB"/>
              </w:rPr>
              <w:t>SCL/F (L/h)</w:t>
            </w:r>
          </w:p>
        </w:tc>
        <w:tc>
          <w:tcPr>
            <w:tcW w:w="2099" w:type="dxa"/>
            <w:vAlign w:val="bottom"/>
          </w:tcPr>
          <w:p w14:paraId="64A00D53"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0.039</w:t>
            </w:r>
          </w:p>
        </w:tc>
        <w:tc>
          <w:tcPr>
            <w:tcW w:w="2253" w:type="dxa"/>
            <w:vAlign w:val="bottom"/>
          </w:tcPr>
          <w:p w14:paraId="6B2C0CE1"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0.026</w:t>
            </w:r>
          </w:p>
        </w:tc>
        <w:tc>
          <w:tcPr>
            <w:tcW w:w="2253" w:type="dxa"/>
            <w:vAlign w:val="bottom"/>
          </w:tcPr>
          <w:p w14:paraId="13F70AE1"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0.031</w:t>
            </w:r>
          </w:p>
        </w:tc>
      </w:tr>
      <w:tr w:rsidR="002D3BE4" w:rsidRPr="002D3BE4" w14:paraId="2B5A7DE8" w14:textId="77777777" w:rsidTr="00BD2750">
        <w:tc>
          <w:tcPr>
            <w:tcW w:w="2405" w:type="dxa"/>
            <w:vAlign w:val="bottom"/>
          </w:tcPr>
          <w:p w14:paraId="6318D511" w14:textId="77777777" w:rsidR="002D3BE4" w:rsidRPr="00EF774A" w:rsidRDefault="002D3BE4" w:rsidP="00EB3D34">
            <w:pPr>
              <w:spacing w:line="480" w:lineRule="auto"/>
              <w:rPr>
                <w:rFonts w:asciiTheme="majorHAnsi" w:hAnsiTheme="majorHAnsi"/>
                <w:sz w:val="24"/>
                <w:szCs w:val="24"/>
              </w:rPr>
            </w:pPr>
            <w:proofErr w:type="spellStart"/>
            <w:r w:rsidRPr="00EF774A">
              <w:rPr>
                <w:rFonts w:asciiTheme="majorHAnsi" w:eastAsia="Times New Roman" w:hAnsiTheme="majorHAnsi" w:cs="Times New Roman"/>
                <w:color w:val="000000"/>
                <w:sz w:val="24"/>
                <w:szCs w:val="24"/>
                <w:lang w:eastAsia="en-GB"/>
              </w:rPr>
              <w:t>Vc</w:t>
            </w:r>
            <w:proofErr w:type="spellEnd"/>
            <w:r w:rsidRPr="00EF774A">
              <w:rPr>
                <w:rFonts w:asciiTheme="majorHAnsi" w:eastAsia="Times New Roman" w:hAnsiTheme="majorHAnsi" w:cs="Times New Roman"/>
                <w:color w:val="000000"/>
                <w:sz w:val="24"/>
                <w:szCs w:val="24"/>
                <w:lang w:eastAsia="en-GB"/>
              </w:rPr>
              <w:t>/F (L)</w:t>
            </w:r>
          </w:p>
        </w:tc>
        <w:tc>
          <w:tcPr>
            <w:tcW w:w="2099" w:type="dxa"/>
            <w:vAlign w:val="bottom"/>
          </w:tcPr>
          <w:p w14:paraId="4AB2D28E"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0.051</w:t>
            </w:r>
          </w:p>
        </w:tc>
        <w:tc>
          <w:tcPr>
            <w:tcW w:w="2253" w:type="dxa"/>
            <w:vAlign w:val="bottom"/>
          </w:tcPr>
          <w:p w14:paraId="49446235"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0.069</w:t>
            </w:r>
          </w:p>
        </w:tc>
        <w:tc>
          <w:tcPr>
            <w:tcW w:w="2253" w:type="dxa"/>
            <w:vAlign w:val="bottom"/>
          </w:tcPr>
          <w:p w14:paraId="5F78762D"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0.033</w:t>
            </w:r>
          </w:p>
        </w:tc>
      </w:tr>
      <w:tr w:rsidR="002D3BE4" w:rsidRPr="002D3BE4" w14:paraId="14AB8ACF" w14:textId="77777777" w:rsidTr="00BD2750">
        <w:tc>
          <w:tcPr>
            <w:tcW w:w="2405" w:type="dxa"/>
            <w:vAlign w:val="bottom"/>
          </w:tcPr>
          <w:p w14:paraId="499CF3CA" w14:textId="77777777" w:rsidR="002D3BE4" w:rsidRPr="00EF774A" w:rsidRDefault="002D3BE4" w:rsidP="00EB3D34">
            <w:pPr>
              <w:spacing w:line="480" w:lineRule="auto"/>
              <w:rPr>
                <w:rFonts w:asciiTheme="majorHAnsi" w:hAnsiTheme="majorHAnsi"/>
                <w:sz w:val="24"/>
                <w:szCs w:val="24"/>
              </w:rPr>
            </w:pPr>
            <w:proofErr w:type="spellStart"/>
            <w:r w:rsidRPr="00EF774A">
              <w:rPr>
                <w:rFonts w:asciiTheme="majorHAnsi" w:eastAsia="Times New Roman" w:hAnsiTheme="majorHAnsi" w:cs="Times New Roman"/>
                <w:color w:val="000000"/>
                <w:sz w:val="24"/>
                <w:szCs w:val="24"/>
                <w:lang w:eastAsia="en-GB"/>
              </w:rPr>
              <w:t>Kcp</w:t>
            </w:r>
            <w:proofErr w:type="spellEnd"/>
            <w:r w:rsidRPr="00EF774A">
              <w:rPr>
                <w:rFonts w:asciiTheme="majorHAnsi" w:eastAsia="Times New Roman" w:hAnsiTheme="majorHAnsi" w:cs="Times New Roman"/>
                <w:color w:val="000000"/>
                <w:sz w:val="24"/>
                <w:szCs w:val="24"/>
                <w:lang w:eastAsia="en-GB"/>
              </w:rPr>
              <w:t xml:space="preserve"> (h</w:t>
            </w:r>
            <w:r w:rsidRPr="00EF774A">
              <w:rPr>
                <w:rFonts w:asciiTheme="majorHAnsi" w:eastAsia="Times New Roman" w:hAnsiTheme="majorHAnsi" w:cs="Times New Roman"/>
                <w:color w:val="000000"/>
                <w:sz w:val="24"/>
                <w:szCs w:val="24"/>
                <w:vertAlign w:val="superscript"/>
                <w:lang w:eastAsia="en-GB"/>
              </w:rPr>
              <w:t>-1</w:t>
            </w:r>
            <w:r w:rsidRPr="00EF774A">
              <w:rPr>
                <w:rFonts w:asciiTheme="majorHAnsi" w:eastAsia="Times New Roman" w:hAnsiTheme="majorHAnsi" w:cs="Times New Roman"/>
                <w:color w:val="000000"/>
                <w:sz w:val="24"/>
                <w:szCs w:val="24"/>
                <w:lang w:eastAsia="en-GB"/>
              </w:rPr>
              <w:t>)</w:t>
            </w:r>
          </w:p>
        </w:tc>
        <w:tc>
          <w:tcPr>
            <w:tcW w:w="2099" w:type="dxa"/>
            <w:vAlign w:val="bottom"/>
          </w:tcPr>
          <w:p w14:paraId="2541634D"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15.741</w:t>
            </w:r>
          </w:p>
        </w:tc>
        <w:tc>
          <w:tcPr>
            <w:tcW w:w="2253" w:type="dxa"/>
            <w:vAlign w:val="bottom"/>
          </w:tcPr>
          <w:p w14:paraId="588B4F6C"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15.404</w:t>
            </w:r>
          </w:p>
        </w:tc>
        <w:tc>
          <w:tcPr>
            <w:tcW w:w="2253" w:type="dxa"/>
            <w:vAlign w:val="bottom"/>
          </w:tcPr>
          <w:p w14:paraId="7372C2E4"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6.806</w:t>
            </w:r>
          </w:p>
        </w:tc>
      </w:tr>
      <w:tr w:rsidR="002D3BE4" w:rsidRPr="002D3BE4" w14:paraId="4BB6FB86" w14:textId="77777777" w:rsidTr="007851BA">
        <w:trPr>
          <w:trHeight w:val="730"/>
        </w:trPr>
        <w:tc>
          <w:tcPr>
            <w:tcW w:w="2405" w:type="dxa"/>
            <w:vAlign w:val="bottom"/>
          </w:tcPr>
          <w:p w14:paraId="13F8E2EC" w14:textId="77777777" w:rsidR="002D3BE4" w:rsidRPr="00EF774A" w:rsidRDefault="002D3BE4" w:rsidP="00EB3D34">
            <w:pPr>
              <w:spacing w:line="480" w:lineRule="auto"/>
              <w:rPr>
                <w:rFonts w:asciiTheme="majorHAnsi" w:hAnsiTheme="majorHAnsi"/>
                <w:sz w:val="24"/>
                <w:szCs w:val="24"/>
              </w:rPr>
            </w:pPr>
            <w:proofErr w:type="spellStart"/>
            <w:r w:rsidRPr="00EF774A">
              <w:rPr>
                <w:rFonts w:asciiTheme="majorHAnsi" w:eastAsia="Times New Roman" w:hAnsiTheme="majorHAnsi" w:cs="Times New Roman"/>
                <w:color w:val="000000"/>
                <w:sz w:val="24"/>
                <w:szCs w:val="24"/>
                <w:lang w:eastAsia="en-GB"/>
              </w:rPr>
              <w:t>Kpc</w:t>
            </w:r>
            <w:proofErr w:type="spellEnd"/>
            <w:r w:rsidRPr="00EF774A">
              <w:rPr>
                <w:rFonts w:asciiTheme="majorHAnsi" w:eastAsia="Times New Roman" w:hAnsiTheme="majorHAnsi" w:cs="Times New Roman"/>
                <w:color w:val="000000"/>
                <w:sz w:val="24"/>
                <w:szCs w:val="24"/>
                <w:lang w:eastAsia="en-GB"/>
              </w:rPr>
              <w:t xml:space="preserve"> (h</w:t>
            </w:r>
            <w:r w:rsidRPr="00EF774A">
              <w:rPr>
                <w:rFonts w:asciiTheme="majorHAnsi" w:eastAsia="Times New Roman" w:hAnsiTheme="majorHAnsi" w:cs="Times New Roman"/>
                <w:color w:val="000000"/>
                <w:sz w:val="24"/>
                <w:szCs w:val="24"/>
                <w:vertAlign w:val="superscript"/>
                <w:lang w:eastAsia="en-GB"/>
              </w:rPr>
              <w:t>-1</w:t>
            </w:r>
            <w:r w:rsidRPr="00EF774A">
              <w:rPr>
                <w:rFonts w:asciiTheme="majorHAnsi" w:eastAsia="Times New Roman" w:hAnsiTheme="majorHAnsi" w:cs="Times New Roman"/>
                <w:color w:val="000000"/>
                <w:sz w:val="24"/>
                <w:szCs w:val="24"/>
                <w:lang w:eastAsia="en-GB"/>
              </w:rPr>
              <w:t>)</w:t>
            </w:r>
          </w:p>
        </w:tc>
        <w:tc>
          <w:tcPr>
            <w:tcW w:w="2099" w:type="dxa"/>
            <w:vAlign w:val="bottom"/>
          </w:tcPr>
          <w:p w14:paraId="4E26224B"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16.997</w:t>
            </w:r>
          </w:p>
        </w:tc>
        <w:tc>
          <w:tcPr>
            <w:tcW w:w="2253" w:type="dxa"/>
            <w:vAlign w:val="bottom"/>
          </w:tcPr>
          <w:p w14:paraId="27FE77AE"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16.915</w:t>
            </w:r>
          </w:p>
        </w:tc>
        <w:tc>
          <w:tcPr>
            <w:tcW w:w="2253" w:type="dxa"/>
            <w:vAlign w:val="bottom"/>
          </w:tcPr>
          <w:p w14:paraId="68421F48"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5.962</w:t>
            </w:r>
          </w:p>
        </w:tc>
      </w:tr>
      <w:tr w:rsidR="002D3BE4" w:rsidRPr="002D3BE4" w14:paraId="0518AF73" w14:textId="77777777" w:rsidTr="00BD2750">
        <w:tc>
          <w:tcPr>
            <w:tcW w:w="2405" w:type="dxa"/>
            <w:vAlign w:val="bottom"/>
          </w:tcPr>
          <w:p w14:paraId="45DC32E0" w14:textId="77777777" w:rsidR="002D3BE4" w:rsidRPr="00EF774A" w:rsidRDefault="002D3BE4" w:rsidP="00EB3D34">
            <w:pPr>
              <w:spacing w:line="480" w:lineRule="auto"/>
              <w:rPr>
                <w:rFonts w:asciiTheme="majorHAnsi" w:hAnsiTheme="majorHAnsi"/>
                <w:sz w:val="24"/>
                <w:szCs w:val="24"/>
              </w:rPr>
            </w:pPr>
            <w:proofErr w:type="spellStart"/>
            <w:r w:rsidRPr="00EF774A">
              <w:rPr>
                <w:rFonts w:asciiTheme="majorHAnsi" w:eastAsia="Times New Roman" w:hAnsiTheme="majorHAnsi" w:cs="Times New Roman"/>
                <w:color w:val="000000"/>
                <w:sz w:val="24"/>
                <w:szCs w:val="24"/>
                <w:lang w:eastAsia="en-GB"/>
              </w:rPr>
              <w:t>Kcb</w:t>
            </w:r>
            <w:proofErr w:type="spellEnd"/>
            <w:r w:rsidRPr="00EF774A">
              <w:rPr>
                <w:rFonts w:asciiTheme="majorHAnsi" w:eastAsia="Times New Roman" w:hAnsiTheme="majorHAnsi" w:cs="Times New Roman"/>
                <w:color w:val="000000"/>
                <w:sz w:val="24"/>
                <w:szCs w:val="24"/>
                <w:lang w:eastAsia="en-GB"/>
              </w:rPr>
              <w:t xml:space="preserve"> (h</w:t>
            </w:r>
            <w:r w:rsidRPr="00EF774A">
              <w:rPr>
                <w:rFonts w:asciiTheme="majorHAnsi" w:eastAsia="Times New Roman" w:hAnsiTheme="majorHAnsi" w:cs="Times New Roman"/>
                <w:color w:val="000000"/>
                <w:sz w:val="24"/>
                <w:szCs w:val="24"/>
                <w:vertAlign w:val="superscript"/>
                <w:lang w:eastAsia="en-GB"/>
              </w:rPr>
              <w:t>-1</w:t>
            </w:r>
            <w:r w:rsidRPr="00EF774A">
              <w:rPr>
                <w:rFonts w:asciiTheme="majorHAnsi" w:eastAsia="Times New Roman" w:hAnsiTheme="majorHAnsi" w:cs="Times New Roman"/>
                <w:color w:val="000000"/>
                <w:sz w:val="24"/>
                <w:szCs w:val="24"/>
                <w:lang w:eastAsia="en-GB"/>
              </w:rPr>
              <w:t>)</w:t>
            </w:r>
          </w:p>
        </w:tc>
        <w:tc>
          <w:tcPr>
            <w:tcW w:w="2099" w:type="dxa"/>
            <w:vAlign w:val="bottom"/>
          </w:tcPr>
          <w:p w14:paraId="2B988422" w14:textId="77777777" w:rsidR="002D3BE4" w:rsidRPr="00C51F6E" w:rsidRDefault="002D3BE4" w:rsidP="00EB3D34">
            <w:pPr>
              <w:spacing w:line="480" w:lineRule="auto"/>
              <w:rPr>
                <w:rFonts w:asciiTheme="majorHAnsi" w:hAnsiTheme="majorHAnsi"/>
                <w:sz w:val="24"/>
                <w:szCs w:val="24"/>
              </w:rPr>
            </w:pPr>
            <w:r w:rsidRPr="00C51F6E">
              <w:rPr>
                <w:rFonts w:asciiTheme="majorHAnsi" w:eastAsia="Times New Roman" w:hAnsiTheme="majorHAnsi"/>
                <w:color w:val="000000"/>
                <w:sz w:val="24"/>
                <w:szCs w:val="24"/>
              </w:rPr>
              <w:t>3.446</w:t>
            </w:r>
          </w:p>
        </w:tc>
        <w:tc>
          <w:tcPr>
            <w:tcW w:w="2253" w:type="dxa"/>
            <w:vAlign w:val="bottom"/>
          </w:tcPr>
          <w:p w14:paraId="1511CE24" w14:textId="77777777" w:rsidR="002D3BE4" w:rsidRPr="00C51F6E" w:rsidRDefault="002D3BE4" w:rsidP="00EB3D34">
            <w:pPr>
              <w:spacing w:line="480" w:lineRule="auto"/>
              <w:rPr>
                <w:rFonts w:asciiTheme="majorHAnsi" w:hAnsiTheme="majorHAnsi"/>
                <w:sz w:val="24"/>
                <w:szCs w:val="24"/>
              </w:rPr>
            </w:pPr>
            <w:r w:rsidRPr="00C51F6E">
              <w:rPr>
                <w:rFonts w:asciiTheme="majorHAnsi" w:eastAsia="Times New Roman" w:hAnsiTheme="majorHAnsi"/>
                <w:color w:val="000000"/>
                <w:sz w:val="24"/>
                <w:szCs w:val="24"/>
              </w:rPr>
              <w:t>0.594</w:t>
            </w:r>
          </w:p>
        </w:tc>
        <w:tc>
          <w:tcPr>
            <w:tcW w:w="2253" w:type="dxa"/>
            <w:vAlign w:val="bottom"/>
          </w:tcPr>
          <w:p w14:paraId="671E00FC" w14:textId="77777777" w:rsidR="002D3BE4" w:rsidRPr="00C51F6E" w:rsidRDefault="002D3BE4" w:rsidP="00EB3D34">
            <w:pPr>
              <w:spacing w:line="480" w:lineRule="auto"/>
              <w:rPr>
                <w:rFonts w:asciiTheme="majorHAnsi" w:hAnsiTheme="majorHAnsi"/>
                <w:sz w:val="24"/>
                <w:szCs w:val="24"/>
              </w:rPr>
            </w:pPr>
            <w:r w:rsidRPr="00C51F6E">
              <w:rPr>
                <w:rFonts w:asciiTheme="majorHAnsi" w:eastAsia="Times New Roman" w:hAnsiTheme="majorHAnsi"/>
                <w:color w:val="000000"/>
                <w:sz w:val="24"/>
                <w:szCs w:val="24"/>
              </w:rPr>
              <w:t>4.709</w:t>
            </w:r>
          </w:p>
        </w:tc>
      </w:tr>
      <w:tr w:rsidR="002D3BE4" w:rsidRPr="002D3BE4" w14:paraId="6D495A1B" w14:textId="77777777" w:rsidTr="00BD2750">
        <w:tc>
          <w:tcPr>
            <w:tcW w:w="2405" w:type="dxa"/>
            <w:vAlign w:val="bottom"/>
          </w:tcPr>
          <w:p w14:paraId="1F0F7179" w14:textId="77777777" w:rsidR="002D3BE4" w:rsidRPr="00EF774A" w:rsidRDefault="002D3BE4" w:rsidP="00EB3D34">
            <w:pPr>
              <w:spacing w:line="480" w:lineRule="auto"/>
              <w:rPr>
                <w:rFonts w:asciiTheme="majorHAnsi" w:hAnsiTheme="majorHAnsi"/>
                <w:sz w:val="24"/>
                <w:szCs w:val="24"/>
              </w:rPr>
            </w:pPr>
            <w:proofErr w:type="spellStart"/>
            <w:r w:rsidRPr="00EF774A">
              <w:rPr>
                <w:rFonts w:asciiTheme="majorHAnsi" w:eastAsia="Times New Roman" w:hAnsiTheme="majorHAnsi" w:cs="Times New Roman"/>
                <w:color w:val="000000"/>
                <w:sz w:val="24"/>
                <w:szCs w:val="24"/>
                <w:lang w:eastAsia="en-GB"/>
              </w:rPr>
              <w:t>Kbc</w:t>
            </w:r>
            <w:proofErr w:type="spellEnd"/>
            <w:r w:rsidRPr="00EF774A">
              <w:rPr>
                <w:rFonts w:asciiTheme="majorHAnsi" w:eastAsia="Times New Roman" w:hAnsiTheme="majorHAnsi" w:cs="Times New Roman"/>
                <w:color w:val="000000"/>
                <w:sz w:val="24"/>
                <w:szCs w:val="24"/>
                <w:lang w:eastAsia="en-GB"/>
              </w:rPr>
              <w:t xml:space="preserve"> (h</w:t>
            </w:r>
            <w:r w:rsidRPr="00EF774A">
              <w:rPr>
                <w:rFonts w:asciiTheme="majorHAnsi" w:eastAsia="Times New Roman" w:hAnsiTheme="majorHAnsi" w:cs="Times New Roman"/>
                <w:color w:val="000000"/>
                <w:sz w:val="24"/>
                <w:szCs w:val="24"/>
                <w:vertAlign w:val="superscript"/>
                <w:lang w:eastAsia="en-GB"/>
              </w:rPr>
              <w:t>-1</w:t>
            </w:r>
            <w:r w:rsidRPr="00EF774A">
              <w:rPr>
                <w:rFonts w:asciiTheme="majorHAnsi" w:eastAsia="Times New Roman" w:hAnsiTheme="majorHAnsi" w:cs="Times New Roman"/>
                <w:color w:val="000000"/>
                <w:sz w:val="24"/>
                <w:szCs w:val="24"/>
                <w:lang w:eastAsia="en-GB"/>
              </w:rPr>
              <w:t>)</w:t>
            </w:r>
          </w:p>
        </w:tc>
        <w:tc>
          <w:tcPr>
            <w:tcW w:w="2099" w:type="dxa"/>
            <w:vAlign w:val="bottom"/>
          </w:tcPr>
          <w:p w14:paraId="2E80E641" w14:textId="77777777" w:rsidR="002D3BE4" w:rsidRPr="00C51F6E" w:rsidRDefault="002D3BE4" w:rsidP="00EB3D34">
            <w:pPr>
              <w:spacing w:line="480" w:lineRule="auto"/>
              <w:rPr>
                <w:rFonts w:asciiTheme="majorHAnsi" w:hAnsiTheme="majorHAnsi"/>
                <w:sz w:val="24"/>
                <w:szCs w:val="24"/>
              </w:rPr>
            </w:pPr>
            <w:r w:rsidRPr="00C51F6E">
              <w:rPr>
                <w:rFonts w:asciiTheme="majorHAnsi" w:eastAsia="Times New Roman" w:hAnsiTheme="majorHAnsi"/>
                <w:color w:val="000000"/>
                <w:sz w:val="24"/>
                <w:szCs w:val="24"/>
              </w:rPr>
              <w:t>0.056</w:t>
            </w:r>
          </w:p>
        </w:tc>
        <w:tc>
          <w:tcPr>
            <w:tcW w:w="2253" w:type="dxa"/>
            <w:vAlign w:val="bottom"/>
          </w:tcPr>
          <w:p w14:paraId="220E2767" w14:textId="77777777" w:rsidR="002D3BE4" w:rsidRPr="00C51F6E" w:rsidRDefault="002D3BE4" w:rsidP="00EB3D34">
            <w:pPr>
              <w:spacing w:line="480" w:lineRule="auto"/>
              <w:rPr>
                <w:rFonts w:asciiTheme="majorHAnsi" w:hAnsiTheme="majorHAnsi"/>
                <w:sz w:val="24"/>
                <w:szCs w:val="24"/>
              </w:rPr>
            </w:pPr>
            <w:r w:rsidRPr="00C51F6E">
              <w:rPr>
                <w:rFonts w:asciiTheme="majorHAnsi" w:eastAsia="Times New Roman" w:hAnsiTheme="majorHAnsi"/>
                <w:color w:val="000000"/>
                <w:sz w:val="24"/>
                <w:szCs w:val="24"/>
              </w:rPr>
              <w:t>0.056</w:t>
            </w:r>
          </w:p>
        </w:tc>
        <w:tc>
          <w:tcPr>
            <w:tcW w:w="2253" w:type="dxa"/>
            <w:vAlign w:val="bottom"/>
          </w:tcPr>
          <w:p w14:paraId="140A6174" w14:textId="77777777" w:rsidR="002D3BE4" w:rsidRPr="00C51F6E" w:rsidRDefault="002D3BE4" w:rsidP="00EB3D34">
            <w:pPr>
              <w:spacing w:line="480" w:lineRule="auto"/>
              <w:rPr>
                <w:rFonts w:asciiTheme="majorHAnsi" w:hAnsiTheme="majorHAnsi"/>
                <w:sz w:val="24"/>
                <w:szCs w:val="24"/>
              </w:rPr>
            </w:pPr>
            <w:r w:rsidRPr="00C51F6E">
              <w:rPr>
                <w:rFonts w:asciiTheme="majorHAnsi" w:eastAsia="Times New Roman" w:hAnsiTheme="majorHAnsi"/>
                <w:color w:val="000000"/>
                <w:sz w:val="24"/>
                <w:szCs w:val="24"/>
              </w:rPr>
              <w:t>0.030</w:t>
            </w:r>
          </w:p>
        </w:tc>
      </w:tr>
      <w:tr w:rsidR="002D3BE4" w:rsidRPr="002D3BE4" w14:paraId="76D83C53" w14:textId="77777777" w:rsidTr="00BD2750">
        <w:tc>
          <w:tcPr>
            <w:tcW w:w="2405" w:type="dxa"/>
            <w:vAlign w:val="bottom"/>
          </w:tcPr>
          <w:p w14:paraId="3212BC24" w14:textId="77777777" w:rsidR="002D3BE4" w:rsidRPr="00EF774A" w:rsidRDefault="002D3BE4" w:rsidP="00EB3D34">
            <w:pPr>
              <w:spacing w:line="480" w:lineRule="auto"/>
              <w:rPr>
                <w:rFonts w:asciiTheme="majorHAnsi" w:hAnsiTheme="majorHAnsi"/>
                <w:sz w:val="24"/>
                <w:szCs w:val="24"/>
              </w:rPr>
            </w:pPr>
            <w:proofErr w:type="spellStart"/>
            <w:r w:rsidRPr="00EF774A">
              <w:rPr>
                <w:rFonts w:asciiTheme="majorHAnsi" w:eastAsia="Times New Roman" w:hAnsiTheme="majorHAnsi" w:cs="Times New Roman"/>
                <w:color w:val="000000"/>
                <w:sz w:val="24"/>
                <w:szCs w:val="24"/>
                <w:lang w:eastAsia="en-GB"/>
              </w:rPr>
              <w:t>Kgmax</w:t>
            </w:r>
            <w:proofErr w:type="spellEnd"/>
            <w:r w:rsidRPr="00EF774A">
              <w:rPr>
                <w:rFonts w:asciiTheme="majorHAnsi" w:eastAsia="Times New Roman" w:hAnsiTheme="majorHAnsi" w:cs="Times New Roman"/>
                <w:color w:val="000000"/>
                <w:sz w:val="24"/>
                <w:szCs w:val="24"/>
                <w:lang w:eastAsia="en-GB"/>
              </w:rPr>
              <w:t xml:space="preserve"> (log</w:t>
            </w:r>
            <w:r w:rsidRPr="00EF774A">
              <w:rPr>
                <w:rFonts w:asciiTheme="majorHAnsi" w:eastAsia="Times New Roman" w:hAnsiTheme="majorHAnsi" w:cs="Times New Roman"/>
                <w:color w:val="000000"/>
                <w:sz w:val="24"/>
                <w:szCs w:val="24"/>
                <w:vertAlign w:val="subscript"/>
                <w:lang w:eastAsia="en-GB"/>
              </w:rPr>
              <w:t>10</w:t>
            </w:r>
            <w:r w:rsidRPr="00EF774A">
              <w:rPr>
                <w:rFonts w:asciiTheme="majorHAnsi" w:eastAsia="Times New Roman" w:hAnsiTheme="majorHAnsi" w:cs="Times New Roman"/>
                <w:color w:val="000000"/>
                <w:sz w:val="24"/>
                <w:szCs w:val="24"/>
                <w:lang w:eastAsia="en-GB"/>
              </w:rPr>
              <w:t>CFU/g/h)</w:t>
            </w:r>
          </w:p>
        </w:tc>
        <w:tc>
          <w:tcPr>
            <w:tcW w:w="2099" w:type="dxa"/>
            <w:vAlign w:val="bottom"/>
          </w:tcPr>
          <w:p w14:paraId="13C86E26"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0.107</w:t>
            </w:r>
          </w:p>
        </w:tc>
        <w:tc>
          <w:tcPr>
            <w:tcW w:w="2253" w:type="dxa"/>
            <w:vAlign w:val="bottom"/>
          </w:tcPr>
          <w:p w14:paraId="0B365CB5"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0.098</w:t>
            </w:r>
          </w:p>
        </w:tc>
        <w:tc>
          <w:tcPr>
            <w:tcW w:w="2253" w:type="dxa"/>
            <w:vAlign w:val="bottom"/>
          </w:tcPr>
          <w:p w14:paraId="3F8F485F"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0.025</w:t>
            </w:r>
          </w:p>
        </w:tc>
      </w:tr>
      <w:tr w:rsidR="002D3BE4" w:rsidRPr="002D3BE4" w14:paraId="4D0CC7CB" w14:textId="77777777" w:rsidTr="00BD2750">
        <w:tc>
          <w:tcPr>
            <w:tcW w:w="2405" w:type="dxa"/>
            <w:vAlign w:val="bottom"/>
          </w:tcPr>
          <w:p w14:paraId="608F37DB"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s="Times New Roman"/>
                <w:color w:val="000000"/>
                <w:sz w:val="24"/>
                <w:szCs w:val="24"/>
                <w:lang w:eastAsia="en-GB"/>
              </w:rPr>
              <w:t>Hg</w:t>
            </w:r>
          </w:p>
        </w:tc>
        <w:tc>
          <w:tcPr>
            <w:tcW w:w="2099" w:type="dxa"/>
            <w:vAlign w:val="bottom"/>
          </w:tcPr>
          <w:p w14:paraId="715EC890"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10.338</w:t>
            </w:r>
          </w:p>
        </w:tc>
        <w:tc>
          <w:tcPr>
            <w:tcW w:w="2253" w:type="dxa"/>
            <w:vAlign w:val="bottom"/>
          </w:tcPr>
          <w:p w14:paraId="5C412DC1"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5.096</w:t>
            </w:r>
          </w:p>
        </w:tc>
        <w:tc>
          <w:tcPr>
            <w:tcW w:w="2253" w:type="dxa"/>
            <w:vAlign w:val="bottom"/>
          </w:tcPr>
          <w:p w14:paraId="4B851F40"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9.782</w:t>
            </w:r>
          </w:p>
        </w:tc>
      </w:tr>
      <w:tr w:rsidR="002D3BE4" w:rsidRPr="002D3BE4" w14:paraId="26104EB2" w14:textId="77777777" w:rsidTr="00BD2750">
        <w:tc>
          <w:tcPr>
            <w:tcW w:w="2405" w:type="dxa"/>
            <w:vAlign w:val="bottom"/>
          </w:tcPr>
          <w:p w14:paraId="7E59A603"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s="Times New Roman"/>
                <w:color w:val="000000"/>
                <w:sz w:val="24"/>
                <w:szCs w:val="24"/>
                <w:lang w:eastAsia="en-GB"/>
              </w:rPr>
              <w:t>C</w:t>
            </w:r>
            <w:r w:rsidRPr="00EF774A">
              <w:rPr>
                <w:rFonts w:asciiTheme="majorHAnsi" w:eastAsia="Times New Roman" w:hAnsiTheme="majorHAnsi" w:cs="Times New Roman"/>
                <w:color w:val="000000"/>
                <w:sz w:val="24"/>
                <w:szCs w:val="24"/>
                <w:vertAlign w:val="subscript"/>
                <w:lang w:eastAsia="en-GB"/>
              </w:rPr>
              <w:t>50</w:t>
            </w:r>
            <w:r w:rsidRPr="00EF774A">
              <w:rPr>
                <w:rFonts w:asciiTheme="majorHAnsi" w:eastAsia="Times New Roman" w:hAnsiTheme="majorHAnsi" w:cs="Times New Roman"/>
                <w:color w:val="000000"/>
                <w:sz w:val="24"/>
                <w:szCs w:val="24"/>
                <w:lang w:eastAsia="en-GB"/>
              </w:rPr>
              <w:t>g (L/h)</w:t>
            </w:r>
          </w:p>
        </w:tc>
        <w:tc>
          <w:tcPr>
            <w:tcW w:w="2099" w:type="dxa"/>
            <w:vAlign w:val="bottom"/>
          </w:tcPr>
          <w:p w14:paraId="5042B72D"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2.036</w:t>
            </w:r>
          </w:p>
        </w:tc>
        <w:tc>
          <w:tcPr>
            <w:tcW w:w="2253" w:type="dxa"/>
            <w:vAlign w:val="bottom"/>
          </w:tcPr>
          <w:p w14:paraId="2A7A1D61"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1.681</w:t>
            </w:r>
          </w:p>
        </w:tc>
        <w:tc>
          <w:tcPr>
            <w:tcW w:w="2253" w:type="dxa"/>
            <w:vAlign w:val="bottom"/>
          </w:tcPr>
          <w:p w14:paraId="29C5D886"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1.517</w:t>
            </w:r>
          </w:p>
        </w:tc>
      </w:tr>
      <w:tr w:rsidR="002D3BE4" w:rsidRPr="002D3BE4" w14:paraId="2A392DA1" w14:textId="77777777" w:rsidTr="00BD2750">
        <w:tc>
          <w:tcPr>
            <w:tcW w:w="2405" w:type="dxa"/>
            <w:vAlign w:val="bottom"/>
          </w:tcPr>
          <w:p w14:paraId="5AA7B71D"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s="Times New Roman"/>
                <w:color w:val="000000"/>
                <w:sz w:val="24"/>
                <w:szCs w:val="24"/>
                <w:lang w:eastAsia="en-GB"/>
              </w:rPr>
              <w:t>POPMAX (CFU/g)</w:t>
            </w:r>
          </w:p>
        </w:tc>
        <w:tc>
          <w:tcPr>
            <w:tcW w:w="2099" w:type="dxa"/>
            <w:vAlign w:val="bottom"/>
          </w:tcPr>
          <w:p w14:paraId="6F28B311"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982934669.178</w:t>
            </w:r>
          </w:p>
        </w:tc>
        <w:tc>
          <w:tcPr>
            <w:tcW w:w="2253" w:type="dxa"/>
            <w:vAlign w:val="bottom"/>
          </w:tcPr>
          <w:p w14:paraId="076A83B9"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427055621.187</w:t>
            </w:r>
          </w:p>
        </w:tc>
        <w:tc>
          <w:tcPr>
            <w:tcW w:w="2253" w:type="dxa"/>
            <w:vAlign w:val="bottom"/>
          </w:tcPr>
          <w:p w14:paraId="1C4BFD17"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2281967059.602</w:t>
            </w:r>
          </w:p>
        </w:tc>
      </w:tr>
      <w:tr w:rsidR="002D3BE4" w:rsidRPr="002D3BE4" w14:paraId="410686BE" w14:textId="77777777" w:rsidTr="00BD2750">
        <w:tc>
          <w:tcPr>
            <w:tcW w:w="2405" w:type="dxa"/>
            <w:vAlign w:val="bottom"/>
          </w:tcPr>
          <w:p w14:paraId="6E983DE5" w14:textId="77777777" w:rsidR="002D3BE4" w:rsidRPr="00EF774A" w:rsidRDefault="002D3BE4" w:rsidP="00EB3D34">
            <w:pPr>
              <w:spacing w:line="480" w:lineRule="auto"/>
              <w:rPr>
                <w:rFonts w:asciiTheme="majorHAnsi" w:eastAsia="Times New Roman" w:hAnsiTheme="majorHAnsi" w:cs="Times New Roman"/>
                <w:color w:val="000000"/>
                <w:sz w:val="24"/>
                <w:szCs w:val="24"/>
                <w:lang w:eastAsia="en-GB"/>
              </w:rPr>
            </w:pPr>
            <w:r w:rsidRPr="00EF774A">
              <w:rPr>
                <w:rFonts w:asciiTheme="majorHAnsi" w:eastAsia="Times New Roman" w:hAnsiTheme="majorHAnsi" w:cs="Times New Roman"/>
                <w:color w:val="000000"/>
                <w:sz w:val="24"/>
                <w:szCs w:val="24"/>
                <w:lang w:eastAsia="en-GB"/>
              </w:rPr>
              <w:t>IC (CFU/g)</w:t>
            </w:r>
          </w:p>
        </w:tc>
        <w:tc>
          <w:tcPr>
            <w:tcW w:w="2099" w:type="dxa"/>
            <w:vAlign w:val="bottom"/>
          </w:tcPr>
          <w:p w14:paraId="618B742C" w14:textId="77777777" w:rsidR="002D3BE4" w:rsidRPr="00EF774A" w:rsidRDefault="002D3BE4" w:rsidP="00EB3D34">
            <w:pPr>
              <w:spacing w:line="480" w:lineRule="auto"/>
              <w:rPr>
                <w:rFonts w:asciiTheme="majorHAnsi" w:eastAsia="Times New Roman" w:hAnsiTheme="majorHAnsi" w:cs="Times New Roman"/>
                <w:color w:val="000000"/>
                <w:sz w:val="24"/>
                <w:szCs w:val="24"/>
                <w:lang w:eastAsia="en-GB"/>
              </w:rPr>
            </w:pPr>
            <w:r w:rsidRPr="00EF774A">
              <w:rPr>
                <w:rFonts w:asciiTheme="majorHAnsi" w:eastAsia="Times New Roman" w:hAnsiTheme="majorHAnsi"/>
                <w:color w:val="000000"/>
                <w:sz w:val="24"/>
                <w:szCs w:val="24"/>
              </w:rPr>
              <w:t>102.255</w:t>
            </w:r>
          </w:p>
        </w:tc>
        <w:tc>
          <w:tcPr>
            <w:tcW w:w="2253" w:type="dxa"/>
            <w:vAlign w:val="bottom"/>
          </w:tcPr>
          <w:p w14:paraId="3DF4B119"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116.462</w:t>
            </w:r>
          </w:p>
        </w:tc>
        <w:tc>
          <w:tcPr>
            <w:tcW w:w="2253" w:type="dxa"/>
            <w:vAlign w:val="bottom"/>
          </w:tcPr>
          <w:p w14:paraId="6F3AE23F"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60.966</w:t>
            </w:r>
          </w:p>
        </w:tc>
      </w:tr>
      <w:tr w:rsidR="002D3BE4" w:rsidRPr="002D3BE4" w14:paraId="5EAA2BF6" w14:textId="77777777" w:rsidTr="00BD2750">
        <w:tc>
          <w:tcPr>
            <w:tcW w:w="2405" w:type="dxa"/>
            <w:vAlign w:val="bottom"/>
          </w:tcPr>
          <w:p w14:paraId="326C0A9B" w14:textId="4E2BFB84" w:rsidR="002D3BE4" w:rsidRPr="00EF774A" w:rsidRDefault="002D3BE4" w:rsidP="00EB3D34">
            <w:pPr>
              <w:spacing w:line="480" w:lineRule="auto"/>
              <w:rPr>
                <w:rFonts w:asciiTheme="majorHAnsi" w:eastAsia="Times New Roman" w:hAnsiTheme="majorHAnsi" w:cs="Times New Roman"/>
                <w:color w:val="000000"/>
                <w:sz w:val="24"/>
                <w:szCs w:val="24"/>
                <w:lang w:eastAsia="en-GB"/>
              </w:rPr>
            </w:pPr>
            <w:proofErr w:type="spellStart"/>
            <w:r w:rsidRPr="00EF774A">
              <w:rPr>
                <w:rFonts w:asciiTheme="majorHAnsi" w:eastAsia="Times New Roman" w:hAnsiTheme="majorHAnsi" w:cs="Times New Roman"/>
                <w:color w:val="000000"/>
                <w:sz w:val="24"/>
                <w:szCs w:val="24"/>
                <w:lang w:eastAsia="en-GB"/>
              </w:rPr>
              <w:t>Vb</w:t>
            </w:r>
            <w:proofErr w:type="spellEnd"/>
            <w:r w:rsidR="008E769A">
              <w:rPr>
                <w:rFonts w:asciiTheme="majorHAnsi" w:eastAsia="Times New Roman" w:hAnsiTheme="majorHAnsi" w:cs="Times New Roman"/>
                <w:color w:val="000000"/>
                <w:sz w:val="24"/>
                <w:szCs w:val="24"/>
                <w:lang w:eastAsia="en-GB"/>
              </w:rPr>
              <w:t>/F</w:t>
            </w:r>
            <w:r w:rsidRPr="00EF774A">
              <w:rPr>
                <w:rFonts w:asciiTheme="majorHAnsi" w:eastAsia="Times New Roman" w:hAnsiTheme="majorHAnsi" w:cs="Times New Roman"/>
                <w:color w:val="000000"/>
                <w:sz w:val="24"/>
                <w:szCs w:val="24"/>
                <w:lang w:eastAsia="en-GB"/>
              </w:rPr>
              <w:t xml:space="preserve"> (L)</w:t>
            </w:r>
          </w:p>
        </w:tc>
        <w:tc>
          <w:tcPr>
            <w:tcW w:w="2099" w:type="dxa"/>
            <w:vAlign w:val="bottom"/>
          </w:tcPr>
          <w:p w14:paraId="75DF9F24" w14:textId="77777777" w:rsidR="002D3BE4" w:rsidRPr="00EF774A" w:rsidRDefault="002D3BE4" w:rsidP="00EB3D34">
            <w:pPr>
              <w:spacing w:line="480" w:lineRule="auto"/>
              <w:rPr>
                <w:rFonts w:asciiTheme="majorHAnsi" w:eastAsia="Times New Roman" w:hAnsiTheme="majorHAnsi" w:cs="Times New Roman"/>
                <w:color w:val="000000"/>
                <w:sz w:val="24"/>
                <w:szCs w:val="24"/>
                <w:lang w:eastAsia="en-GB"/>
              </w:rPr>
            </w:pPr>
            <w:r w:rsidRPr="00EF774A">
              <w:rPr>
                <w:rFonts w:asciiTheme="majorHAnsi" w:eastAsia="Times New Roman" w:hAnsiTheme="majorHAnsi"/>
                <w:color w:val="000000"/>
                <w:sz w:val="24"/>
                <w:szCs w:val="24"/>
              </w:rPr>
              <w:t>0.277</w:t>
            </w:r>
          </w:p>
        </w:tc>
        <w:tc>
          <w:tcPr>
            <w:tcW w:w="2253" w:type="dxa"/>
            <w:vAlign w:val="bottom"/>
          </w:tcPr>
          <w:p w14:paraId="1EE9292F"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0.146</w:t>
            </w:r>
          </w:p>
        </w:tc>
        <w:tc>
          <w:tcPr>
            <w:tcW w:w="2253" w:type="dxa"/>
            <w:vAlign w:val="bottom"/>
          </w:tcPr>
          <w:p w14:paraId="71DDA259" w14:textId="77777777" w:rsidR="002D3BE4" w:rsidRPr="00EF774A" w:rsidRDefault="002D3BE4" w:rsidP="00EB3D34">
            <w:pPr>
              <w:spacing w:line="480" w:lineRule="auto"/>
              <w:rPr>
                <w:rFonts w:asciiTheme="majorHAnsi" w:hAnsiTheme="majorHAnsi"/>
                <w:sz w:val="24"/>
                <w:szCs w:val="24"/>
              </w:rPr>
            </w:pPr>
            <w:r w:rsidRPr="00EF774A">
              <w:rPr>
                <w:rFonts w:asciiTheme="majorHAnsi" w:eastAsia="Times New Roman" w:hAnsiTheme="majorHAnsi"/>
                <w:color w:val="000000"/>
                <w:sz w:val="24"/>
                <w:szCs w:val="24"/>
              </w:rPr>
              <w:t>0.335</w:t>
            </w:r>
          </w:p>
        </w:tc>
      </w:tr>
    </w:tbl>
    <w:p w14:paraId="481E6F23" w14:textId="3C76AF4E" w:rsidR="00D34CE3" w:rsidRDefault="00B9368B" w:rsidP="00EB3D34">
      <w:pPr>
        <w:spacing w:after="120" w:line="480" w:lineRule="auto"/>
        <w:rPr>
          <w:rFonts w:asciiTheme="majorHAnsi" w:hAnsiTheme="majorHAnsi"/>
          <w:sz w:val="24"/>
          <w:szCs w:val="24"/>
          <w:lang w:val="en-US"/>
        </w:rPr>
      </w:pPr>
      <w:proofErr w:type="spellStart"/>
      <w:r w:rsidRPr="00876AB1">
        <w:rPr>
          <w:rFonts w:asciiTheme="majorHAnsi" w:eastAsia="Calibri" w:hAnsiTheme="majorHAnsi" w:cs="Times New Roman"/>
          <w:sz w:val="24"/>
          <w:szCs w:val="24"/>
          <w:lang w:val="en-US"/>
        </w:rPr>
        <w:lastRenderedPageBreak/>
        <w:t>Ka</w:t>
      </w:r>
      <w:proofErr w:type="spellEnd"/>
      <w:r w:rsidRPr="00876AB1">
        <w:rPr>
          <w:rFonts w:asciiTheme="majorHAnsi" w:eastAsia="Calibri" w:hAnsiTheme="majorHAnsi" w:cs="Times New Roman"/>
          <w:sz w:val="24"/>
          <w:szCs w:val="24"/>
          <w:lang w:val="en-US"/>
        </w:rPr>
        <w:t xml:space="preserve"> (h</w:t>
      </w:r>
      <w:r w:rsidRPr="00876AB1">
        <w:rPr>
          <w:rFonts w:asciiTheme="majorHAnsi" w:eastAsia="Calibri" w:hAnsiTheme="majorHAnsi" w:cs="Times New Roman"/>
          <w:sz w:val="24"/>
          <w:szCs w:val="24"/>
          <w:vertAlign w:val="superscript"/>
          <w:lang w:val="en-US"/>
        </w:rPr>
        <w:t>-1</w:t>
      </w:r>
      <w:r w:rsidRPr="00876AB1">
        <w:rPr>
          <w:rFonts w:asciiTheme="majorHAnsi" w:eastAsia="Calibri" w:hAnsiTheme="majorHAnsi" w:cs="Times New Roman"/>
          <w:sz w:val="24"/>
          <w:szCs w:val="24"/>
          <w:lang w:val="en-US"/>
        </w:rPr>
        <w:t>) is the first order rate constant collecting the gut and the central compartment; SCL</w:t>
      </w:r>
      <w:r>
        <w:rPr>
          <w:rFonts w:asciiTheme="majorHAnsi" w:eastAsia="Calibri" w:hAnsiTheme="majorHAnsi" w:cs="Times New Roman"/>
          <w:sz w:val="24"/>
          <w:szCs w:val="24"/>
          <w:lang w:val="en-US"/>
        </w:rPr>
        <w:t>/F</w:t>
      </w:r>
      <w:r w:rsidRPr="00876AB1">
        <w:rPr>
          <w:rFonts w:asciiTheme="majorHAnsi" w:eastAsia="Calibri" w:hAnsiTheme="majorHAnsi" w:cs="Times New Roman"/>
          <w:sz w:val="24"/>
          <w:szCs w:val="24"/>
          <w:lang w:val="en-US"/>
        </w:rPr>
        <w:t xml:space="preserve"> (L/h) is the </w:t>
      </w:r>
      <w:r w:rsidR="008E769A">
        <w:rPr>
          <w:rFonts w:asciiTheme="majorHAnsi" w:eastAsia="Calibri" w:hAnsiTheme="majorHAnsi" w:cs="Times New Roman"/>
          <w:sz w:val="24"/>
          <w:szCs w:val="24"/>
          <w:lang w:val="en-US"/>
        </w:rPr>
        <w:t xml:space="preserve">apparent </w:t>
      </w:r>
      <w:r w:rsidRPr="00876AB1">
        <w:rPr>
          <w:rFonts w:asciiTheme="majorHAnsi" w:eastAsia="Calibri" w:hAnsiTheme="majorHAnsi" w:cs="Times New Roman"/>
          <w:sz w:val="24"/>
          <w:szCs w:val="24"/>
          <w:lang w:val="en-US"/>
        </w:rPr>
        <w:t>clearance of flubendazole from the central compartment; V</w:t>
      </w:r>
      <w:r w:rsidR="008E769A">
        <w:rPr>
          <w:rFonts w:asciiTheme="majorHAnsi" w:eastAsia="Calibri" w:hAnsiTheme="majorHAnsi" w:cs="Times New Roman"/>
          <w:sz w:val="24"/>
          <w:szCs w:val="24"/>
          <w:lang w:val="en-US"/>
        </w:rPr>
        <w:t>/F</w:t>
      </w:r>
      <w:r w:rsidRPr="00876AB1">
        <w:rPr>
          <w:rFonts w:asciiTheme="majorHAnsi" w:eastAsia="Calibri" w:hAnsiTheme="majorHAnsi" w:cs="Times New Roman"/>
          <w:sz w:val="24"/>
          <w:szCs w:val="24"/>
          <w:lang w:val="en-US"/>
        </w:rPr>
        <w:t xml:space="preserve"> </w:t>
      </w:r>
      <w:r w:rsidR="008E769A">
        <w:rPr>
          <w:rFonts w:asciiTheme="majorHAnsi" w:eastAsia="Calibri" w:hAnsiTheme="majorHAnsi" w:cs="Times New Roman"/>
          <w:sz w:val="24"/>
          <w:szCs w:val="24"/>
          <w:lang w:val="en-US"/>
        </w:rPr>
        <w:t xml:space="preserve">and </w:t>
      </w:r>
      <w:proofErr w:type="spellStart"/>
      <w:r w:rsidR="008E769A">
        <w:rPr>
          <w:rFonts w:asciiTheme="majorHAnsi" w:eastAsia="Calibri" w:hAnsiTheme="majorHAnsi" w:cs="Times New Roman"/>
          <w:sz w:val="24"/>
          <w:szCs w:val="24"/>
          <w:lang w:val="en-US"/>
        </w:rPr>
        <w:t>Vb</w:t>
      </w:r>
      <w:proofErr w:type="spellEnd"/>
      <w:r w:rsidR="008E769A">
        <w:rPr>
          <w:rFonts w:asciiTheme="majorHAnsi" w:eastAsia="Calibri" w:hAnsiTheme="majorHAnsi" w:cs="Times New Roman"/>
          <w:sz w:val="24"/>
          <w:szCs w:val="24"/>
          <w:lang w:val="en-US"/>
        </w:rPr>
        <w:t xml:space="preserve">/F </w:t>
      </w:r>
      <w:r w:rsidRPr="00876AB1">
        <w:rPr>
          <w:rFonts w:asciiTheme="majorHAnsi" w:eastAsia="Calibri" w:hAnsiTheme="majorHAnsi" w:cs="Times New Roman"/>
          <w:sz w:val="24"/>
          <w:szCs w:val="24"/>
          <w:lang w:val="en-US"/>
        </w:rPr>
        <w:t xml:space="preserve">(L) </w:t>
      </w:r>
      <w:r w:rsidR="008E769A">
        <w:rPr>
          <w:rFonts w:asciiTheme="majorHAnsi" w:eastAsia="Calibri" w:hAnsiTheme="majorHAnsi" w:cs="Times New Roman"/>
          <w:sz w:val="24"/>
          <w:szCs w:val="24"/>
          <w:lang w:val="en-US"/>
        </w:rPr>
        <w:t>are</w:t>
      </w:r>
      <w:r w:rsidRPr="00876AB1">
        <w:rPr>
          <w:rFonts w:asciiTheme="majorHAnsi" w:eastAsia="Calibri" w:hAnsiTheme="majorHAnsi" w:cs="Times New Roman"/>
          <w:sz w:val="24"/>
          <w:szCs w:val="24"/>
          <w:lang w:val="en-US"/>
        </w:rPr>
        <w:t xml:space="preserve"> the </w:t>
      </w:r>
      <w:r w:rsidR="008E769A">
        <w:rPr>
          <w:rFonts w:asciiTheme="majorHAnsi" w:eastAsia="Calibri" w:hAnsiTheme="majorHAnsi" w:cs="Times New Roman"/>
          <w:sz w:val="24"/>
          <w:szCs w:val="24"/>
          <w:lang w:val="en-US"/>
        </w:rPr>
        <w:t xml:space="preserve">apparent </w:t>
      </w:r>
      <w:r w:rsidRPr="00876AB1">
        <w:rPr>
          <w:rFonts w:asciiTheme="majorHAnsi" w:eastAsia="Calibri" w:hAnsiTheme="majorHAnsi" w:cs="Times New Roman"/>
          <w:sz w:val="24"/>
          <w:szCs w:val="24"/>
          <w:lang w:val="en-US"/>
        </w:rPr>
        <w:t>volume</w:t>
      </w:r>
      <w:r w:rsidR="008E769A">
        <w:rPr>
          <w:rFonts w:asciiTheme="majorHAnsi" w:eastAsia="Calibri" w:hAnsiTheme="majorHAnsi" w:cs="Times New Roman"/>
          <w:sz w:val="24"/>
          <w:szCs w:val="24"/>
          <w:lang w:val="en-US"/>
        </w:rPr>
        <w:t>s</w:t>
      </w:r>
      <w:r w:rsidRPr="00876AB1">
        <w:rPr>
          <w:rFonts w:asciiTheme="majorHAnsi" w:eastAsia="Calibri" w:hAnsiTheme="majorHAnsi" w:cs="Times New Roman"/>
          <w:sz w:val="24"/>
          <w:szCs w:val="24"/>
          <w:lang w:val="en-US"/>
        </w:rPr>
        <w:t xml:space="preserve"> of the central compartment</w:t>
      </w:r>
      <w:r w:rsidR="008E769A">
        <w:rPr>
          <w:rFonts w:asciiTheme="majorHAnsi" w:eastAsia="Calibri" w:hAnsiTheme="majorHAnsi" w:cs="Times New Roman"/>
          <w:sz w:val="24"/>
          <w:szCs w:val="24"/>
          <w:lang w:val="en-US"/>
        </w:rPr>
        <w:t xml:space="preserve"> and brain, respectively</w:t>
      </w:r>
      <w:r w:rsidRPr="00876AB1">
        <w:rPr>
          <w:rFonts w:asciiTheme="majorHAnsi" w:eastAsia="Calibri" w:hAnsiTheme="majorHAnsi" w:cs="Times New Roman"/>
          <w:sz w:val="24"/>
          <w:szCs w:val="24"/>
          <w:lang w:val="en-US"/>
        </w:rPr>
        <w:t xml:space="preserve">; </w:t>
      </w:r>
      <w:proofErr w:type="spellStart"/>
      <w:r w:rsidRPr="00876AB1">
        <w:rPr>
          <w:rFonts w:asciiTheme="majorHAnsi" w:eastAsia="Calibri" w:hAnsiTheme="majorHAnsi" w:cs="Times New Roman"/>
          <w:sz w:val="24"/>
          <w:szCs w:val="24"/>
          <w:lang w:val="en-US"/>
        </w:rPr>
        <w:t>Kcp</w:t>
      </w:r>
      <w:proofErr w:type="spellEnd"/>
      <w:r w:rsidRPr="00876AB1">
        <w:rPr>
          <w:rFonts w:asciiTheme="majorHAnsi" w:eastAsia="Calibri" w:hAnsiTheme="majorHAnsi" w:cs="Times New Roman"/>
          <w:sz w:val="24"/>
          <w:szCs w:val="24"/>
          <w:lang w:val="en-US"/>
        </w:rPr>
        <w:t xml:space="preserve"> (h</w:t>
      </w:r>
      <w:r w:rsidRPr="00876AB1">
        <w:rPr>
          <w:rFonts w:asciiTheme="majorHAnsi" w:eastAsia="Calibri" w:hAnsiTheme="majorHAnsi" w:cs="Times New Roman"/>
          <w:sz w:val="24"/>
          <w:szCs w:val="24"/>
          <w:vertAlign w:val="superscript"/>
          <w:lang w:val="en-US"/>
        </w:rPr>
        <w:t>-1</w:t>
      </w:r>
      <w:r w:rsidRPr="00876AB1">
        <w:rPr>
          <w:rFonts w:asciiTheme="majorHAnsi" w:eastAsia="Calibri" w:hAnsiTheme="majorHAnsi" w:cs="Times New Roman"/>
          <w:sz w:val="24"/>
          <w:szCs w:val="24"/>
          <w:lang w:val="en-US"/>
        </w:rPr>
        <w:t xml:space="preserve">) and </w:t>
      </w:r>
      <w:proofErr w:type="spellStart"/>
      <w:r w:rsidRPr="00876AB1">
        <w:rPr>
          <w:rFonts w:asciiTheme="majorHAnsi" w:eastAsia="Calibri" w:hAnsiTheme="majorHAnsi" w:cs="Times New Roman"/>
          <w:sz w:val="24"/>
          <w:szCs w:val="24"/>
          <w:lang w:val="en-US"/>
        </w:rPr>
        <w:t>Kpc</w:t>
      </w:r>
      <w:proofErr w:type="spellEnd"/>
      <w:r w:rsidRPr="00876AB1">
        <w:rPr>
          <w:rFonts w:asciiTheme="majorHAnsi" w:eastAsia="Calibri" w:hAnsiTheme="majorHAnsi" w:cs="Times New Roman"/>
          <w:sz w:val="24"/>
          <w:szCs w:val="24"/>
          <w:lang w:val="en-US"/>
        </w:rPr>
        <w:t xml:space="preserve"> (h</w:t>
      </w:r>
      <w:r w:rsidRPr="00876AB1">
        <w:rPr>
          <w:rFonts w:asciiTheme="majorHAnsi" w:eastAsia="Calibri" w:hAnsiTheme="majorHAnsi" w:cs="Times New Roman"/>
          <w:sz w:val="24"/>
          <w:szCs w:val="24"/>
          <w:vertAlign w:val="superscript"/>
          <w:lang w:val="en-US"/>
        </w:rPr>
        <w:t>-1</w:t>
      </w:r>
      <w:r w:rsidRPr="00876AB1">
        <w:rPr>
          <w:rFonts w:asciiTheme="majorHAnsi" w:eastAsia="Calibri" w:hAnsiTheme="majorHAnsi" w:cs="Times New Roman"/>
          <w:sz w:val="24"/>
          <w:szCs w:val="24"/>
          <w:lang w:val="en-US"/>
        </w:rPr>
        <w:t xml:space="preserve">) are the first-order inter-compartmental rate constants.  </w:t>
      </w:r>
      <w:proofErr w:type="spellStart"/>
      <w:r w:rsidRPr="00876AB1">
        <w:rPr>
          <w:rFonts w:asciiTheme="majorHAnsi" w:eastAsia="Calibri" w:hAnsiTheme="majorHAnsi" w:cs="Times New Roman"/>
          <w:sz w:val="24"/>
          <w:szCs w:val="24"/>
          <w:lang w:val="en-US"/>
        </w:rPr>
        <w:t>Kgmax</w:t>
      </w:r>
      <w:proofErr w:type="spellEnd"/>
      <w:r w:rsidRPr="00876AB1">
        <w:rPr>
          <w:rFonts w:asciiTheme="majorHAnsi" w:eastAsia="Calibri" w:hAnsiTheme="majorHAnsi" w:cs="Times New Roman"/>
          <w:sz w:val="24"/>
          <w:szCs w:val="24"/>
          <w:lang w:val="en-US"/>
        </w:rPr>
        <w:t xml:space="preserve"> (log</w:t>
      </w:r>
      <w:r w:rsidRPr="00876AB1">
        <w:rPr>
          <w:rFonts w:asciiTheme="majorHAnsi" w:eastAsia="Calibri" w:hAnsiTheme="majorHAnsi" w:cs="Times New Roman"/>
          <w:sz w:val="24"/>
          <w:szCs w:val="24"/>
          <w:vertAlign w:val="subscript"/>
          <w:lang w:val="en-US"/>
        </w:rPr>
        <w:t>10</w:t>
      </w:r>
      <w:r w:rsidRPr="00876AB1">
        <w:rPr>
          <w:rFonts w:asciiTheme="majorHAnsi" w:eastAsia="Calibri" w:hAnsiTheme="majorHAnsi" w:cs="Times New Roman"/>
          <w:sz w:val="24"/>
          <w:szCs w:val="24"/>
          <w:lang w:val="en-US"/>
        </w:rPr>
        <w:t xml:space="preserve">CFU/g/h) and </w:t>
      </w:r>
      <w:proofErr w:type="spellStart"/>
      <w:r w:rsidRPr="00876AB1">
        <w:rPr>
          <w:rFonts w:asciiTheme="majorHAnsi" w:eastAsia="Calibri" w:hAnsiTheme="majorHAnsi" w:cs="Times New Roman"/>
          <w:sz w:val="24"/>
          <w:szCs w:val="24"/>
          <w:lang w:val="en-US"/>
        </w:rPr>
        <w:t>kkillmax</w:t>
      </w:r>
      <w:proofErr w:type="spellEnd"/>
      <w:r w:rsidRPr="00876AB1">
        <w:rPr>
          <w:rFonts w:asciiTheme="majorHAnsi" w:eastAsia="Calibri" w:hAnsiTheme="majorHAnsi" w:cs="Times New Roman"/>
          <w:sz w:val="24"/>
          <w:szCs w:val="24"/>
          <w:lang w:val="en-US"/>
        </w:rPr>
        <w:t xml:space="preserve"> (log</w:t>
      </w:r>
      <w:r w:rsidRPr="00876AB1">
        <w:rPr>
          <w:rFonts w:asciiTheme="majorHAnsi" w:eastAsia="Calibri" w:hAnsiTheme="majorHAnsi" w:cs="Times New Roman"/>
          <w:sz w:val="24"/>
          <w:szCs w:val="24"/>
          <w:vertAlign w:val="subscript"/>
          <w:lang w:val="en-US"/>
        </w:rPr>
        <w:t>10</w:t>
      </w:r>
      <w:r w:rsidRPr="00876AB1">
        <w:rPr>
          <w:rFonts w:asciiTheme="majorHAnsi" w:eastAsia="Calibri" w:hAnsiTheme="majorHAnsi" w:cs="Times New Roman"/>
          <w:sz w:val="24"/>
          <w:szCs w:val="24"/>
          <w:lang w:val="en-US"/>
        </w:rPr>
        <w:t xml:space="preserve">CFU/g/h) are the maximal rates of cryptococcal growth and flubendazole-induced kill, respectively.  POPMAX (CFU/g) is the maximum theoretical fungal density.  C50g (mg/L) and C50k (mg/L) are the concentrations of flubendazole that induce half-maximal effects on growth and kill, respectively.  Hg and </w:t>
      </w:r>
      <w:proofErr w:type="spellStart"/>
      <w:r w:rsidRPr="00876AB1">
        <w:rPr>
          <w:rFonts w:asciiTheme="majorHAnsi" w:eastAsia="Calibri" w:hAnsiTheme="majorHAnsi" w:cs="Times New Roman"/>
          <w:sz w:val="24"/>
          <w:szCs w:val="24"/>
          <w:lang w:val="en-US"/>
        </w:rPr>
        <w:t>Hk</w:t>
      </w:r>
      <w:proofErr w:type="spellEnd"/>
      <w:r w:rsidRPr="00876AB1">
        <w:rPr>
          <w:rFonts w:asciiTheme="majorHAnsi" w:eastAsia="Calibri" w:hAnsiTheme="majorHAnsi" w:cs="Times New Roman"/>
          <w:sz w:val="24"/>
          <w:szCs w:val="24"/>
          <w:lang w:val="en-US"/>
        </w:rPr>
        <w:t xml:space="preserve"> are the respective slope functions for growth and kill.</w:t>
      </w:r>
    </w:p>
    <w:p w14:paraId="561F1E4F" w14:textId="65CC6DEA" w:rsidR="00D34CE3" w:rsidRDefault="00D34CE3" w:rsidP="00EB3D34">
      <w:pPr>
        <w:spacing w:after="0" w:line="480" w:lineRule="auto"/>
        <w:rPr>
          <w:rFonts w:asciiTheme="majorHAnsi" w:hAnsiTheme="majorHAnsi"/>
          <w:sz w:val="24"/>
          <w:szCs w:val="24"/>
          <w:lang w:val="en-US"/>
        </w:rPr>
      </w:pPr>
      <w:r>
        <w:rPr>
          <w:rFonts w:asciiTheme="majorHAnsi" w:hAnsiTheme="majorHAnsi"/>
          <w:sz w:val="24"/>
          <w:szCs w:val="24"/>
          <w:lang w:val="en-US"/>
        </w:rPr>
        <w:br w:type="page"/>
      </w:r>
    </w:p>
    <w:p w14:paraId="6EA1A9E8" w14:textId="77777777" w:rsidR="00D34CE3" w:rsidRPr="00876AB1" w:rsidRDefault="00D34CE3" w:rsidP="00EB3D34">
      <w:pPr>
        <w:spacing w:after="120" w:line="480" w:lineRule="auto"/>
        <w:rPr>
          <w:rFonts w:asciiTheme="majorHAnsi" w:hAnsiTheme="majorHAnsi"/>
          <w:sz w:val="24"/>
          <w:szCs w:val="24"/>
          <w:lang w:val="en-US"/>
        </w:rPr>
      </w:pPr>
    </w:p>
    <w:p w14:paraId="2BF2291A" w14:textId="42254AFB" w:rsidR="00900889" w:rsidRPr="00876AB1" w:rsidRDefault="00977C4D" w:rsidP="00EB3D34">
      <w:pPr>
        <w:spacing w:after="120" w:line="480" w:lineRule="auto"/>
        <w:rPr>
          <w:rFonts w:asciiTheme="majorHAnsi" w:hAnsiTheme="majorHAnsi"/>
          <w:sz w:val="24"/>
          <w:szCs w:val="24"/>
          <w:lang w:val="en-US"/>
        </w:rPr>
      </w:pPr>
      <w:r w:rsidRPr="00EF774A">
        <w:rPr>
          <w:rFonts w:asciiTheme="majorHAnsi" w:hAnsiTheme="majorHAnsi"/>
          <w:noProof/>
          <w:sz w:val="24"/>
          <w:szCs w:val="24"/>
          <w:lang w:eastAsia="en-GB"/>
        </w:rPr>
        <w:drawing>
          <wp:inline distT="0" distB="0" distL="0" distR="0" wp14:anchorId="3D588889" wp14:editId="14F44EFB">
            <wp:extent cx="6815795" cy="46958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825318" cy="4702386"/>
                    </a:xfrm>
                    <a:prstGeom prst="rect">
                      <a:avLst/>
                    </a:prstGeom>
                    <a:noFill/>
                  </pic:spPr>
                </pic:pic>
              </a:graphicData>
            </a:graphic>
          </wp:inline>
        </w:drawing>
      </w:r>
    </w:p>
    <w:p w14:paraId="041FA14B" w14:textId="6EE160E3" w:rsidR="00900889" w:rsidRPr="00876AB1" w:rsidRDefault="00900889" w:rsidP="00EB3D34">
      <w:pPr>
        <w:spacing w:after="0" w:line="480" w:lineRule="auto"/>
        <w:rPr>
          <w:rFonts w:asciiTheme="majorHAnsi" w:eastAsia="Calibri" w:hAnsiTheme="majorHAnsi" w:cs="Times New Roman"/>
          <w:b/>
          <w:sz w:val="24"/>
          <w:szCs w:val="24"/>
          <w:lang w:val="en-US"/>
        </w:rPr>
      </w:pPr>
    </w:p>
    <w:p w14:paraId="336CE391" w14:textId="7E310E40" w:rsidR="00900889" w:rsidRPr="008C46A9" w:rsidRDefault="00900889" w:rsidP="00EB3D34">
      <w:pPr>
        <w:spacing w:after="0" w:line="480" w:lineRule="auto"/>
        <w:rPr>
          <w:rFonts w:asciiTheme="majorHAnsi" w:eastAsia="Calibri" w:hAnsiTheme="majorHAnsi" w:cs="Times New Roman"/>
          <w:sz w:val="24"/>
          <w:szCs w:val="24"/>
          <w:highlight w:val="yellow"/>
        </w:rPr>
      </w:pPr>
      <w:r w:rsidRPr="00876AB1">
        <w:rPr>
          <w:rFonts w:asciiTheme="majorHAnsi" w:eastAsia="Calibri" w:hAnsiTheme="majorHAnsi" w:cs="Times New Roman"/>
          <w:b/>
          <w:sz w:val="24"/>
          <w:szCs w:val="24"/>
          <w:lang w:val="en-US"/>
        </w:rPr>
        <w:t xml:space="preserve">Figure 1. </w:t>
      </w:r>
      <w:r w:rsidRPr="00876AB1">
        <w:rPr>
          <w:rFonts w:asciiTheme="majorHAnsi" w:eastAsia="Calibri" w:hAnsiTheme="majorHAnsi" w:cs="Times New Roman"/>
          <w:sz w:val="24"/>
          <w:szCs w:val="24"/>
          <w:lang w:val="en-US"/>
        </w:rPr>
        <w:t xml:space="preserve">Homology model of flubendazole docked with both </w:t>
      </w:r>
      <w:r w:rsidRPr="00876AB1">
        <w:rPr>
          <w:rFonts w:asciiTheme="majorHAnsi" w:eastAsia="Calibri" w:hAnsiTheme="majorHAnsi" w:cs="Times New Roman"/>
          <w:i/>
          <w:sz w:val="24"/>
          <w:szCs w:val="24"/>
          <w:lang w:val="en-US"/>
        </w:rPr>
        <w:t>C. neoformans</w:t>
      </w:r>
      <w:r w:rsidRPr="00876AB1">
        <w:rPr>
          <w:rFonts w:asciiTheme="majorHAnsi" w:eastAsia="Calibri" w:hAnsiTheme="majorHAnsi" w:cs="Times New Roman"/>
          <w:sz w:val="24"/>
          <w:szCs w:val="24"/>
          <w:lang w:val="en-US"/>
        </w:rPr>
        <w:t xml:space="preserve"> and human β- </w:t>
      </w:r>
      <w:r w:rsidRPr="00F464DC">
        <w:rPr>
          <w:rFonts w:asciiTheme="majorHAnsi" w:eastAsia="Calibri" w:hAnsiTheme="majorHAnsi" w:cs="Times New Roman"/>
          <w:sz w:val="24"/>
          <w:szCs w:val="24"/>
          <w:lang w:val="en-US"/>
        </w:rPr>
        <w:t>tubulin.</w:t>
      </w:r>
      <w:r w:rsidR="0012380C" w:rsidRPr="00F464DC">
        <w:rPr>
          <w:rFonts w:asciiTheme="majorHAnsi" w:eastAsia="Calibri" w:hAnsiTheme="majorHAnsi" w:cs="Times New Roman"/>
          <w:sz w:val="24"/>
          <w:szCs w:val="24"/>
          <w:lang w:val="en-US"/>
        </w:rPr>
        <w:t xml:space="preserve"> </w:t>
      </w:r>
      <w:r w:rsidR="00977C4D" w:rsidRPr="00EF774A">
        <w:rPr>
          <w:rFonts w:asciiTheme="majorHAnsi" w:eastAsiaTheme="minorEastAsia" w:hAnsiTheme="majorHAnsi" w:cs="Arial"/>
          <w:sz w:val="24"/>
          <w:szCs w:val="24"/>
        </w:rPr>
        <w:t xml:space="preserve"> </w:t>
      </w:r>
      <w:r w:rsidR="00720C6F" w:rsidRPr="00EF774A">
        <w:rPr>
          <w:rFonts w:asciiTheme="majorHAnsi" w:eastAsiaTheme="minorEastAsia" w:hAnsiTheme="majorHAnsi" w:cs="Arial"/>
          <w:sz w:val="24"/>
          <w:szCs w:val="24"/>
        </w:rPr>
        <w:t xml:space="preserve">The colours are as follows: </w:t>
      </w:r>
      <w:r w:rsidR="00720C6F" w:rsidRPr="00F464DC">
        <w:rPr>
          <w:rFonts w:asciiTheme="majorHAnsi" w:eastAsia="Calibri" w:hAnsiTheme="majorHAnsi" w:cs="Times New Roman"/>
          <w:sz w:val="24"/>
          <w:szCs w:val="24"/>
        </w:rPr>
        <w:t>r</w:t>
      </w:r>
      <w:r w:rsidR="00977C4D" w:rsidRPr="00EF774A">
        <w:rPr>
          <w:rFonts w:asciiTheme="majorHAnsi" w:eastAsia="Calibri" w:hAnsiTheme="majorHAnsi" w:cs="Times New Roman"/>
          <w:sz w:val="24"/>
          <w:szCs w:val="24"/>
        </w:rPr>
        <w:t>ed</w:t>
      </w:r>
      <w:r w:rsidR="00977C4D" w:rsidRPr="00F464DC">
        <w:rPr>
          <w:rFonts w:asciiTheme="majorHAnsi" w:eastAsia="Calibri" w:hAnsiTheme="majorHAnsi" w:cs="Times New Roman"/>
          <w:sz w:val="24"/>
          <w:szCs w:val="24"/>
        </w:rPr>
        <w:t xml:space="preserve"> sphere</w:t>
      </w:r>
      <w:r w:rsidR="00F464DC">
        <w:rPr>
          <w:rFonts w:asciiTheme="majorHAnsi" w:eastAsia="Calibri" w:hAnsiTheme="majorHAnsi" w:cs="Times New Roman"/>
          <w:sz w:val="24"/>
          <w:szCs w:val="24"/>
        </w:rPr>
        <w:t>:</w:t>
      </w:r>
      <w:r w:rsidR="00977C4D" w:rsidRPr="00EF774A">
        <w:rPr>
          <w:rFonts w:asciiTheme="majorHAnsi" w:eastAsia="Calibri" w:hAnsiTheme="majorHAnsi" w:cs="Times New Roman"/>
          <w:sz w:val="24"/>
          <w:szCs w:val="24"/>
        </w:rPr>
        <w:t xml:space="preserve"> hydrogen bond donors</w:t>
      </w:r>
      <w:r w:rsidR="00F464DC">
        <w:rPr>
          <w:rFonts w:asciiTheme="majorHAnsi" w:eastAsia="Calibri" w:hAnsiTheme="majorHAnsi" w:cs="Times New Roman"/>
          <w:sz w:val="24"/>
          <w:szCs w:val="24"/>
        </w:rPr>
        <w:t>;</w:t>
      </w:r>
      <w:r w:rsidR="00977C4D" w:rsidRPr="00EF774A">
        <w:rPr>
          <w:rFonts w:asciiTheme="majorHAnsi" w:eastAsia="Calibri" w:hAnsiTheme="majorHAnsi" w:cs="Times New Roman"/>
          <w:sz w:val="24"/>
          <w:szCs w:val="24"/>
        </w:rPr>
        <w:t xml:space="preserve"> blue</w:t>
      </w:r>
      <w:r w:rsidR="00977C4D">
        <w:rPr>
          <w:rFonts w:asciiTheme="majorHAnsi" w:eastAsia="Calibri" w:hAnsiTheme="majorHAnsi" w:cs="Times New Roman"/>
          <w:sz w:val="24"/>
          <w:szCs w:val="24"/>
        </w:rPr>
        <w:t xml:space="preserve"> sphere</w:t>
      </w:r>
      <w:r w:rsidR="00F464DC">
        <w:rPr>
          <w:rFonts w:asciiTheme="majorHAnsi" w:eastAsia="Calibri" w:hAnsiTheme="majorHAnsi" w:cs="Times New Roman"/>
          <w:sz w:val="24"/>
          <w:szCs w:val="24"/>
        </w:rPr>
        <w:t xml:space="preserve">: </w:t>
      </w:r>
      <w:r w:rsidR="00977C4D" w:rsidRPr="00EF774A">
        <w:rPr>
          <w:rFonts w:asciiTheme="majorHAnsi" w:eastAsia="Calibri" w:hAnsiTheme="majorHAnsi" w:cs="Times New Roman"/>
          <w:sz w:val="24"/>
          <w:szCs w:val="24"/>
        </w:rPr>
        <w:t>hydrogen bond acceptors</w:t>
      </w:r>
      <w:r w:rsidR="00F464DC">
        <w:rPr>
          <w:rFonts w:asciiTheme="majorHAnsi" w:eastAsia="Calibri" w:hAnsiTheme="majorHAnsi" w:cs="Times New Roman"/>
          <w:sz w:val="24"/>
          <w:szCs w:val="24"/>
        </w:rPr>
        <w:t>;</w:t>
      </w:r>
      <w:r w:rsidR="00977C4D" w:rsidRPr="00EF774A">
        <w:rPr>
          <w:rFonts w:asciiTheme="majorHAnsi" w:eastAsia="Calibri" w:hAnsiTheme="majorHAnsi" w:cs="Times New Roman"/>
          <w:sz w:val="24"/>
          <w:szCs w:val="24"/>
        </w:rPr>
        <w:t xml:space="preserve"> yellow</w:t>
      </w:r>
      <w:r w:rsidR="00977C4D">
        <w:rPr>
          <w:rFonts w:asciiTheme="majorHAnsi" w:eastAsia="Calibri" w:hAnsiTheme="majorHAnsi" w:cs="Times New Roman"/>
          <w:sz w:val="24"/>
          <w:szCs w:val="24"/>
        </w:rPr>
        <w:t xml:space="preserve"> sphere</w:t>
      </w:r>
      <w:r w:rsidR="00F464DC">
        <w:rPr>
          <w:rFonts w:asciiTheme="majorHAnsi" w:eastAsia="Calibri" w:hAnsiTheme="majorHAnsi" w:cs="Times New Roman"/>
          <w:sz w:val="24"/>
          <w:szCs w:val="24"/>
        </w:rPr>
        <w:t xml:space="preserve">: </w:t>
      </w:r>
      <w:r w:rsidR="00977C4D" w:rsidRPr="00EF774A">
        <w:rPr>
          <w:rFonts w:asciiTheme="majorHAnsi" w:eastAsia="Calibri" w:hAnsiTheme="majorHAnsi" w:cs="Times New Roman"/>
          <w:sz w:val="24"/>
          <w:szCs w:val="24"/>
        </w:rPr>
        <w:t xml:space="preserve">hydrophobic interactions. </w:t>
      </w:r>
      <w:r w:rsidR="00F464DC">
        <w:rPr>
          <w:rFonts w:asciiTheme="majorHAnsi" w:eastAsia="Calibri" w:hAnsiTheme="majorHAnsi" w:cs="Times New Roman"/>
          <w:sz w:val="24"/>
          <w:szCs w:val="24"/>
        </w:rPr>
        <w:t xml:space="preserve"> The d</w:t>
      </w:r>
      <w:r w:rsidR="00977C4D" w:rsidRPr="00EF774A">
        <w:rPr>
          <w:rFonts w:asciiTheme="majorHAnsi" w:eastAsia="Calibri" w:hAnsiTheme="majorHAnsi" w:cs="Times New Roman"/>
          <w:sz w:val="24"/>
          <w:szCs w:val="24"/>
        </w:rPr>
        <w:t xml:space="preserve">ocking pose is visualized with </w:t>
      </w:r>
      <w:proofErr w:type="spellStart"/>
      <w:r w:rsidR="00977C4D" w:rsidRPr="00EF774A">
        <w:rPr>
          <w:rFonts w:asciiTheme="majorHAnsi" w:eastAsia="Calibri" w:hAnsiTheme="majorHAnsi" w:cs="Times New Roman"/>
          <w:sz w:val="24"/>
          <w:szCs w:val="24"/>
        </w:rPr>
        <w:t>PyMOL</w:t>
      </w:r>
      <w:proofErr w:type="spellEnd"/>
      <w:r w:rsidR="00977C4D" w:rsidRPr="00EF774A">
        <w:rPr>
          <w:rFonts w:asciiTheme="majorHAnsi" w:eastAsia="Calibri" w:hAnsiTheme="majorHAnsi" w:cs="Times New Roman"/>
          <w:sz w:val="24"/>
          <w:szCs w:val="24"/>
        </w:rPr>
        <w:t xml:space="preserve">. </w:t>
      </w:r>
      <w:r w:rsidR="00F464DC">
        <w:rPr>
          <w:rFonts w:asciiTheme="majorHAnsi" w:eastAsia="Calibri" w:hAnsiTheme="majorHAnsi" w:cs="Times New Roman"/>
          <w:sz w:val="24"/>
          <w:szCs w:val="24"/>
        </w:rPr>
        <w:t xml:space="preserve"> </w:t>
      </w:r>
      <w:r w:rsidR="00977C4D" w:rsidRPr="00EF774A">
        <w:rPr>
          <w:rFonts w:asciiTheme="majorHAnsi" w:eastAsia="Calibri" w:hAnsiTheme="majorHAnsi" w:cs="Times New Roman"/>
          <w:sz w:val="24"/>
          <w:szCs w:val="24"/>
        </w:rPr>
        <w:t>Protein is shown as a surface representation coloured 40% tra</w:t>
      </w:r>
      <w:r w:rsidR="00977C4D" w:rsidRPr="00977C4D">
        <w:rPr>
          <w:rFonts w:asciiTheme="majorHAnsi" w:eastAsia="Calibri" w:hAnsiTheme="majorHAnsi" w:cs="Times New Roman"/>
          <w:sz w:val="24"/>
          <w:szCs w:val="24"/>
        </w:rPr>
        <w:t xml:space="preserve">nsparent light blue. </w:t>
      </w:r>
      <w:r w:rsidR="00F464DC">
        <w:rPr>
          <w:rFonts w:asciiTheme="majorHAnsi" w:eastAsia="Calibri" w:hAnsiTheme="majorHAnsi" w:cs="Times New Roman"/>
          <w:sz w:val="24"/>
          <w:szCs w:val="24"/>
        </w:rPr>
        <w:t xml:space="preserve"> </w:t>
      </w:r>
      <w:r w:rsidR="00977C4D" w:rsidRPr="00977C4D">
        <w:rPr>
          <w:rFonts w:asciiTheme="majorHAnsi" w:eastAsia="Calibri" w:hAnsiTheme="majorHAnsi" w:cs="Times New Roman"/>
          <w:sz w:val="24"/>
          <w:szCs w:val="24"/>
        </w:rPr>
        <w:t>Flubendazole</w:t>
      </w:r>
      <w:r w:rsidR="00977C4D" w:rsidRPr="00EF774A">
        <w:rPr>
          <w:rFonts w:asciiTheme="majorHAnsi" w:eastAsia="Calibri" w:hAnsiTheme="majorHAnsi" w:cs="Times New Roman"/>
          <w:sz w:val="24"/>
          <w:szCs w:val="24"/>
        </w:rPr>
        <w:t xml:space="preserve"> is represented </w:t>
      </w:r>
      <w:r w:rsidR="00977C4D" w:rsidRPr="00977C4D">
        <w:rPr>
          <w:rFonts w:asciiTheme="majorHAnsi" w:eastAsia="Calibri" w:hAnsiTheme="majorHAnsi" w:cs="Times New Roman"/>
          <w:sz w:val="24"/>
          <w:szCs w:val="24"/>
        </w:rPr>
        <w:t xml:space="preserve">as sticks </w:t>
      </w:r>
      <w:r w:rsidR="00F464DC">
        <w:rPr>
          <w:rFonts w:asciiTheme="majorHAnsi" w:eastAsia="Calibri" w:hAnsiTheme="majorHAnsi" w:cs="Times New Roman"/>
          <w:sz w:val="24"/>
          <w:szCs w:val="24"/>
        </w:rPr>
        <w:t>composed of carbon (</w:t>
      </w:r>
      <w:r w:rsidR="00977C4D">
        <w:rPr>
          <w:rFonts w:asciiTheme="majorHAnsi" w:eastAsia="Calibri" w:hAnsiTheme="majorHAnsi" w:cs="Times New Roman"/>
          <w:sz w:val="24"/>
          <w:szCs w:val="24"/>
        </w:rPr>
        <w:t xml:space="preserve">light </w:t>
      </w:r>
      <w:r w:rsidR="00977C4D" w:rsidRPr="00977C4D">
        <w:rPr>
          <w:rFonts w:asciiTheme="majorHAnsi" w:eastAsia="Calibri" w:hAnsiTheme="majorHAnsi" w:cs="Times New Roman"/>
          <w:sz w:val="24"/>
          <w:szCs w:val="24"/>
        </w:rPr>
        <w:t>b</w:t>
      </w:r>
      <w:r w:rsidR="00977C4D" w:rsidRPr="00EF774A">
        <w:rPr>
          <w:rFonts w:asciiTheme="majorHAnsi" w:eastAsia="Calibri" w:hAnsiTheme="majorHAnsi" w:cs="Times New Roman"/>
          <w:sz w:val="24"/>
          <w:szCs w:val="24"/>
        </w:rPr>
        <w:t>lue</w:t>
      </w:r>
      <w:r w:rsidR="00F464DC">
        <w:rPr>
          <w:rFonts w:asciiTheme="majorHAnsi" w:eastAsia="Calibri" w:hAnsiTheme="majorHAnsi" w:cs="Times New Roman"/>
          <w:sz w:val="24"/>
          <w:szCs w:val="24"/>
        </w:rPr>
        <w:t>);</w:t>
      </w:r>
      <w:r w:rsidR="00977C4D" w:rsidRPr="00EF774A">
        <w:rPr>
          <w:rFonts w:asciiTheme="majorHAnsi" w:eastAsia="Calibri" w:hAnsiTheme="majorHAnsi" w:cs="Times New Roman"/>
          <w:sz w:val="24"/>
          <w:szCs w:val="24"/>
        </w:rPr>
        <w:t xml:space="preserve"> hydrogen</w:t>
      </w:r>
      <w:r w:rsidR="00F464DC">
        <w:rPr>
          <w:rFonts w:asciiTheme="majorHAnsi" w:eastAsia="Calibri" w:hAnsiTheme="majorHAnsi" w:cs="Times New Roman"/>
          <w:sz w:val="24"/>
          <w:szCs w:val="24"/>
        </w:rPr>
        <w:t xml:space="preserve"> (</w:t>
      </w:r>
      <w:r w:rsidR="00977C4D" w:rsidRPr="00EF774A">
        <w:rPr>
          <w:rFonts w:asciiTheme="majorHAnsi" w:eastAsia="Calibri" w:hAnsiTheme="majorHAnsi" w:cs="Times New Roman"/>
          <w:sz w:val="24"/>
          <w:szCs w:val="24"/>
        </w:rPr>
        <w:t>white</w:t>
      </w:r>
      <w:r w:rsidR="00F464DC">
        <w:rPr>
          <w:rFonts w:asciiTheme="majorHAnsi" w:eastAsia="Calibri" w:hAnsiTheme="majorHAnsi" w:cs="Times New Roman"/>
          <w:sz w:val="24"/>
          <w:szCs w:val="24"/>
        </w:rPr>
        <w:t>);</w:t>
      </w:r>
      <w:r w:rsidR="00977C4D" w:rsidRPr="00EF774A">
        <w:rPr>
          <w:rFonts w:asciiTheme="majorHAnsi" w:eastAsia="Calibri" w:hAnsiTheme="majorHAnsi" w:cs="Times New Roman"/>
          <w:sz w:val="24"/>
          <w:szCs w:val="24"/>
        </w:rPr>
        <w:t xml:space="preserve"> nitrogen</w:t>
      </w:r>
      <w:r w:rsidR="00F464DC">
        <w:rPr>
          <w:rFonts w:asciiTheme="majorHAnsi" w:eastAsia="Calibri" w:hAnsiTheme="majorHAnsi" w:cs="Times New Roman"/>
          <w:sz w:val="24"/>
          <w:szCs w:val="24"/>
        </w:rPr>
        <w:t xml:space="preserve"> (</w:t>
      </w:r>
      <w:r w:rsidR="00977C4D" w:rsidRPr="00EF774A">
        <w:rPr>
          <w:rFonts w:asciiTheme="majorHAnsi" w:eastAsia="Calibri" w:hAnsiTheme="majorHAnsi" w:cs="Times New Roman"/>
          <w:sz w:val="24"/>
          <w:szCs w:val="24"/>
        </w:rPr>
        <w:t>dark blue</w:t>
      </w:r>
      <w:r w:rsidR="00F464DC">
        <w:rPr>
          <w:rFonts w:asciiTheme="majorHAnsi" w:eastAsia="Calibri" w:hAnsiTheme="majorHAnsi" w:cs="Times New Roman"/>
          <w:sz w:val="24"/>
          <w:szCs w:val="24"/>
        </w:rPr>
        <w:t>);</w:t>
      </w:r>
      <w:r w:rsidR="00977C4D" w:rsidRPr="00EF774A">
        <w:rPr>
          <w:rFonts w:asciiTheme="majorHAnsi" w:eastAsia="Calibri" w:hAnsiTheme="majorHAnsi" w:cs="Times New Roman"/>
          <w:sz w:val="24"/>
          <w:szCs w:val="24"/>
        </w:rPr>
        <w:t xml:space="preserve"> oxygen</w:t>
      </w:r>
      <w:r w:rsidR="00F464DC">
        <w:rPr>
          <w:rFonts w:asciiTheme="majorHAnsi" w:eastAsia="Calibri" w:hAnsiTheme="majorHAnsi" w:cs="Times New Roman"/>
          <w:sz w:val="24"/>
          <w:szCs w:val="24"/>
        </w:rPr>
        <w:t xml:space="preserve"> (</w:t>
      </w:r>
      <w:r w:rsidR="00977C4D" w:rsidRPr="00EF774A">
        <w:rPr>
          <w:rFonts w:asciiTheme="majorHAnsi" w:eastAsia="Calibri" w:hAnsiTheme="majorHAnsi" w:cs="Times New Roman"/>
          <w:sz w:val="24"/>
          <w:szCs w:val="24"/>
        </w:rPr>
        <w:t>red</w:t>
      </w:r>
      <w:r w:rsidR="00F464DC">
        <w:rPr>
          <w:rFonts w:asciiTheme="majorHAnsi" w:eastAsia="Calibri" w:hAnsiTheme="majorHAnsi" w:cs="Times New Roman"/>
          <w:sz w:val="24"/>
          <w:szCs w:val="24"/>
        </w:rPr>
        <w:t>); and</w:t>
      </w:r>
      <w:r w:rsidR="00977C4D" w:rsidRPr="00EF774A">
        <w:rPr>
          <w:rFonts w:asciiTheme="majorHAnsi" w:eastAsia="Calibri" w:hAnsiTheme="majorHAnsi" w:cs="Times New Roman"/>
          <w:sz w:val="24"/>
          <w:szCs w:val="24"/>
        </w:rPr>
        <w:t xml:space="preserve"> fluorine</w:t>
      </w:r>
      <w:r w:rsidR="00F464DC">
        <w:rPr>
          <w:rFonts w:asciiTheme="majorHAnsi" w:eastAsia="Calibri" w:hAnsiTheme="majorHAnsi" w:cs="Times New Roman"/>
          <w:sz w:val="24"/>
          <w:szCs w:val="24"/>
        </w:rPr>
        <w:t xml:space="preserve"> (</w:t>
      </w:r>
      <w:r w:rsidR="00977C4D" w:rsidRPr="00EF774A">
        <w:rPr>
          <w:rFonts w:asciiTheme="majorHAnsi" w:eastAsia="Calibri" w:hAnsiTheme="majorHAnsi" w:cs="Times New Roman"/>
          <w:sz w:val="24"/>
          <w:szCs w:val="24"/>
        </w:rPr>
        <w:t>cyan</w:t>
      </w:r>
      <w:r w:rsidR="00F464DC">
        <w:rPr>
          <w:rFonts w:asciiTheme="majorHAnsi" w:eastAsia="Calibri" w:hAnsiTheme="majorHAnsi" w:cs="Times New Roman"/>
          <w:sz w:val="24"/>
          <w:szCs w:val="24"/>
        </w:rPr>
        <w:t>)</w:t>
      </w:r>
      <w:r w:rsidR="00977C4D" w:rsidRPr="00EF774A">
        <w:rPr>
          <w:rFonts w:asciiTheme="majorHAnsi" w:eastAsia="Calibri" w:hAnsiTheme="majorHAnsi" w:cs="Times New Roman"/>
          <w:sz w:val="24"/>
          <w:szCs w:val="24"/>
        </w:rPr>
        <w:t>.</w:t>
      </w:r>
      <w:r w:rsidR="00F464DC">
        <w:rPr>
          <w:rFonts w:asciiTheme="majorHAnsi" w:eastAsia="Calibri" w:hAnsiTheme="majorHAnsi" w:cs="Times New Roman"/>
          <w:sz w:val="24"/>
          <w:szCs w:val="24"/>
        </w:rPr>
        <w:t xml:space="preserve"> </w:t>
      </w:r>
      <w:r w:rsidR="00977C4D" w:rsidRPr="00EF774A">
        <w:rPr>
          <w:rFonts w:asciiTheme="majorHAnsi" w:eastAsia="Calibri" w:hAnsiTheme="majorHAnsi" w:cs="Times New Roman"/>
          <w:sz w:val="24"/>
          <w:szCs w:val="24"/>
        </w:rPr>
        <w:t xml:space="preserve"> Binding site residues selected around 4 </w:t>
      </w:r>
      <w:r w:rsidR="00977C4D" w:rsidRPr="00EF774A">
        <w:rPr>
          <w:rFonts w:asciiTheme="majorHAnsi" w:eastAsia="Calibri" w:hAnsiTheme="majorHAnsi" w:cs="Times New Roman"/>
          <w:sz w:val="24"/>
          <w:szCs w:val="24"/>
          <w:lang w:val="en"/>
        </w:rPr>
        <w:t>Å</w:t>
      </w:r>
      <w:r w:rsidR="00F464DC">
        <w:rPr>
          <w:rFonts w:asciiTheme="majorHAnsi" w:eastAsia="Calibri" w:hAnsiTheme="majorHAnsi" w:cs="Times New Roman"/>
          <w:sz w:val="24"/>
          <w:szCs w:val="24"/>
          <w:lang w:val="en"/>
        </w:rPr>
        <w:t xml:space="preserve"> are</w:t>
      </w:r>
      <w:r w:rsidR="00977C4D" w:rsidRPr="00EF774A">
        <w:rPr>
          <w:rFonts w:asciiTheme="majorHAnsi" w:eastAsia="Calibri" w:hAnsiTheme="majorHAnsi" w:cs="Times New Roman"/>
          <w:sz w:val="24"/>
          <w:szCs w:val="24"/>
          <w:lang w:val="en"/>
        </w:rPr>
        <w:t xml:space="preserve"> represented as sticks </w:t>
      </w:r>
      <w:r w:rsidR="00F464DC">
        <w:rPr>
          <w:rFonts w:asciiTheme="majorHAnsi" w:eastAsia="Calibri" w:hAnsiTheme="majorHAnsi" w:cs="Times New Roman"/>
          <w:sz w:val="24"/>
          <w:szCs w:val="24"/>
          <w:lang w:val="en"/>
        </w:rPr>
        <w:t>with</w:t>
      </w:r>
      <w:r w:rsidR="00977C4D" w:rsidRPr="00EF774A">
        <w:rPr>
          <w:rFonts w:asciiTheme="majorHAnsi" w:eastAsia="Calibri" w:hAnsiTheme="majorHAnsi" w:cs="Times New Roman"/>
          <w:sz w:val="24"/>
          <w:szCs w:val="24"/>
          <w:lang w:val="en"/>
        </w:rPr>
        <w:t xml:space="preserve"> carbon</w:t>
      </w:r>
      <w:r w:rsidR="00F464DC">
        <w:rPr>
          <w:rFonts w:asciiTheme="majorHAnsi" w:eastAsia="Calibri" w:hAnsiTheme="majorHAnsi" w:cs="Times New Roman"/>
          <w:sz w:val="24"/>
          <w:szCs w:val="24"/>
          <w:lang w:val="en"/>
        </w:rPr>
        <w:t xml:space="preserve"> (</w:t>
      </w:r>
      <w:r w:rsidR="00977C4D" w:rsidRPr="00EF774A">
        <w:rPr>
          <w:rFonts w:asciiTheme="majorHAnsi" w:eastAsia="Calibri" w:hAnsiTheme="majorHAnsi" w:cs="Times New Roman"/>
          <w:sz w:val="24"/>
          <w:szCs w:val="24"/>
          <w:lang w:val="en"/>
        </w:rPr>
        <w:t>green</w:t>
      </w:r>
      <w:r w:rsidR="00F464DC">
        <w:rPr>
          <w:rFonts w:asciiTheme="majorHAnsi" w:eastAsia="Calibri" w:hAnsiTheme="majorHAnsi" w:cs="Times New Roman"/>
          <w:sz w:val="24"/>
          <w:szCs w:val="24"/>
          <w:lang w:val="en"/>
        </w:rPr>
        <w:t>);</w:t>
      </w:r>
      <w:r w:rsidR="00977C4D" w:rsidRPr="00EF774A">
        <w:rPr>
          <w:rFonts w:asciiTheme="majorHAnsi" w:eastAsia="Calibri" w:hAnsiTheme="majorHAnsi" w:cs="Times New Roman"/>
          <w:sz w:val="24"/>
          <w:szCs w:val="24"/>
          <w:lang w:val="en"/>
        </w:rPr>
        <w:t xml:space="preserve"> nitrogen</w:t>
      </w:r>
      <w:r w:rsidR="00F464DC">
        <w:rPr>
          <w:rFonts w:asciiTheme="majorHAnsi" w:eastAsia="Calibri" w:hAnsiTheme="majorHAnsi" w:cs="Times New Roman"/>
          <w:sz w:val="24"/>
          <w:szCs w:val="24"/>
          <w:lang w:val="en"/>
        </w:rPr>
        <w:t xml:space="preserve"> (</w:t>
      </w:r>
      <w:r w:rsidR="00977C4D" w:rsidRPr="00EF774A">
        <w:rPr>
          <w:rFonts w:asciiTheme="majorHAnsi" w:eastAsia="Calibri" w:hAnsiTheme="majorHAnsi" w:cs="Times New Roman"/>
          <w:sz w:val="24"/>
          <w:szCs w:val="24"/>
          <w:lang w:val="en"/>
        </w:rPr>
        <w:t>blue</w:t>
      </w:r>
      <w:r w:rsidR="00F464DC">
        <w:rPr>
          <w:rFonts w:asciiTheme="majorHAnsi" w:eastAsia="Calibri" w:hAnsiTheme="majorHAnsi" w:cs="Times New Roman"/>
          <w:sz w:val="24"/>
          <w:szCs w:val="24"/>
          <w:lang w:val="en"/>
        </w:rPr>
        <w:t>);</w:t>
      </w:r>
      <w:r w:rsidR="00977C4D" w:rsidRPr="00EF774A">
        <w:rPr>
          <w:rFonts w:asciiTheme="majorHAnsi" w:eastAsia="Calibri" w:hAnsiTheme="majorHAnsi" w:cs="Times New Roman"/>
          <w:sz w:val="24"/>
          <w:szCs w:val="24"/>
          <w:lang w:val="en"/>
        </w:rPr>
        <w:t xml:space="preserve"> oxygen </w:t>
      </w:r>
      <w:r w:rsidR="00F464DC">
        <w:rPr>
          <w:rFonts w:asciiTheme="majorHAnsi" w:eastAsia="Calibri" w:hAnsiTheme="majorHAnsi" w:cs="Times New Roman"/>
          <w:sz w:val="24"/>
          <w:szCs w:val="24"/>
          <w:lang w:val="en"/>
        </w:rPr>
        <w:t>(</w:t>
      </w:r>
      <w:r w:rsidR="00977C4D" w:rsidRPr="00EF774A">
        <w:rPr>
          <w:rFonts w:asciiTheme="majorHAnsi" w:eastAsia="Calibri" w:hAnsiTheme="majorHAnsi" w:cs="Times New Roman"/>
          <w:sz w:val="24"/>
          <w:szCs w:val="24"/>
          <w:lang w:val="en"/>
        </w:rPr>
        <w:t>red</w:t>
      </w:r>
      <w:r w:rsidR="00F464DC">
        <w:rPr>
          <w:rFonts w:asciiTheme="majorHAnsi" w:eastAsia="Calibri" w:hAnsiTheme="majorHAnsi" w:cs="Times New Roman"/>
          <w:sz w:val="24"/>
          <w:szCs w:val="24"/>
          <w:lang w:val="en"/>
        </w:rPr>
        <w:t>); and</w:t>
      </w:r>
      <w:r w:rsidR="00977C4D" w:rsidRPr="00EF774A">
        <w:rPr>
          <w:rFonts w:asciiTheme="majorHAnsi" w:eastAsia="Calibri" w:hAnsiTheme="majorHAnsi" w:cs="Times New Roman"/>
          <w:sz w:val="24"/>
          <w:szCs w:val="24"/>
          <w:lang w:val="en"/>
        </w:rPr>
        <w:t xml:space="preserve"> sulfur</w:t>
      </w:r>
      <w:r w:rsidR="00F464DC">
        <w:rPr>
          <w:rFonts w:asciiTheme="majorHAnsi" w:eastAsia="Calibri" w:hAnsiTheme="majorHAnsi" w:cs="Times New Roman"/>
          <w:sz w:val="24"/>
          <w:szCs w:val="24"/>
          <w:lang w:val="en"/>
        </w:rPr>
        <w:t xml:space="preserve"> (</w:t>
      </w:r>
      <w:r w:rsidR="00977C4D" w:rsidRPr="00EF774A">
        <w:rPr>
          <w:rFonts w:asciiTheme="majorHAnsi" w:eastAsia="Calibri" w:hAnsiTheme="majorHAnsi" w:cs="Times New Roman"/>
          <w:sz w:val="24"/>
          <w:szCs w:val="24"/>
          <w:lang w:val="en"/>
        </w:rPr>
        <w:t>yellow</w:t>
      </w:r>
      <w:r w:rsidR="00F464DC">
        <w:rPr>
          <w:rFonts w:asciiTheme="majorHAnsi" w:eastAsia="Calibri" w:hAnsiTheme="majorHAnsi" w:cs="Times New Roman"/>
          <w:sz w:val="24"/>
          <w:szCs w:val="24"/>
          <w:lang w:val="en"/>
        </w:rPr>
        <w:t>)</w:t>
      </w:r>
      <w:r w:rsidR="00977C4D" w:rsidRPr="00EF774A">
        <w:rPr>
          <w:rFonts w:asciiTheme="majorHAnsi" w:eastAsia="Calibri" w:hAnsiTheme="majorHAnsi" w:cs="Times New Roman"/>
          <w:sz w:val="24"/>
          <w:szCs w:val="24"/>
          <w:lang w:val="en"/>
        </w:rPr>
        <w:t>.</w:t>
      </w:r>
    </w:p>
    <w:p w14:paraId="35C12689" w14:textId="237A4A9C" w:rsidR="00900889" w:rsidRPr="00876AB1" w:rsidRDefault="000D4A9E" w:rsidP="00EB3D34">
      <w:pPr>
        <w:spacing w:after="0" w:line="480" w:lineRule="auto"/>
        <w:rPr>
          <w:rFonts w:asciiTheme="majorHAnsi" w:eastAsia="Calibri" w:hAnsiTheme="majorHAnsi" w:cs="Times New Roman"/>
          <w:b/>
          <w:sz w:val="24"/>
          <w:szCs w:val="24"/>
          <w:lang w:val="en-US"/>
        </w:rPr>
      </w:pPr>
      <w:bookmarkStart w:id="2" w:name="_GoBack"/>
      <w:r>
        <w:rPr>
          <w:rFonts w:asciiTheme="majorHAnsi" w:eastAsia="Calibri" w:hAnsiTheme="majorHAnsi" w:cs="Times New Roman"/>
          <w:b/>
          <w:noProof/>
          <w:sz w:val="24"/>
          <w:szCs w:val="24"/>
          <w:lang w:eastAsia="en-GB"/>
        </w:rPr>
        <w:lastRenderedPageBreak/>
        <w:drawing>
          <wp:inline distT="0" distB="0" distL="0" distR="0" wp14:anchorId="77A20A0E" wp14:editId="559B553B">
            <wp:extent cx="3096006" cy="437616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2_flat.tif"/>
                    <pic:cNvPicPr/>
                  </pic:nvPicPr>
                  <pic:blipFill>
                    <a:blip r:embed="rId11" cstate="screen">
                      <a:extLst>
                        <a:ext uri="{28A0092B-C50C-407E-A947-70E740481C1C}">
                          <a14:useLocalDpi xmlns:a14="http://schemas.microsoft.com/office/drawing/2010/main"/>
                        </a:ext>
                      </a:extLst>
                    </a:blip>
                    <a:stretch>
                      <a:fillRect/>
                    </a:stretch>
                  </pic:blipFill>
                  <pic:spPr>
                    <a:xfrm>
                      <a:off x="0" y="0"/>
                      <a:ext cx="3096006" cy="4376166"/>
                    </a:xfrm>
                    <a:prstGeom prst="rect">
                      <a:avLst/>
                    </a:prstGeom>
                  </pic:spPr>
                </pic:pic>
              </a:graphicData>
            </a:graphic>
          </wp:inline>
        </w:drawing>
      </w:r>
      <w:bookmarkEnd w:id="2"/>
    </w:p>
    <w:p w14:paraId="7D8E935B" w14:textId="4F7BBCFF" w:rsidR="00900889" w:rsidRPr="008C46A9" w:rsidRDefault="00900889" w:rsidP="00EB3D34">
      <w:pPr>
        <w:spacing w:line="480" w:lineRule="auto"/>
        <w:rPr>
          <w:rFonts w:asciiTheme="majorHAnsi" w:eastAsia="Calibri" w:hAnsiTheme="majorHAnsi" w:cs="Times New Roman"/>
          <w:b/>
          <w:sz w:val="24"/>
          <w:szCs w:val="24"/>
          <w:lang w:val="en-US"/>
        </w:rPr>
      </w:pPr>
      <w:r w:rsidRPr="00876AB1">
        <w:rPr>
          <w:rFonts w:asciiTheme="majorHAnsi" w:eastAsia="Calibri" w:hAnsiTheme="majorHAnsi" w:cs="Times New Roman"/>
          <w:b/>
          <w:sz w:val="24"/>
          <w:szCs w:val="24"/>
          <w:lang w:val="en-US"/>
        </w:rPr>
        <w:t>Figure 2.</w:t>
      </w:r>
      <w:r w:rsidRPr="00876AB1">
        <w:rPr>
          <w:rFonts w:asciiTheme="majorHAnsi" w:eastAsia="Calibri" w:hAnsiTheme="majorHAnsi" w:cs="Times New Roman"/>
          <w:sz w:val="24"/>
          <w:szCs w:val="24"/>
          <w:lang w:val="en-US"/>
        </w:rPr>
        <w:t xml:space="preserve"> Hollow fib</w:t>
      </w:r>
      <w:r w:rsidR="007D0CE0">
        <w:rPr>
          <w:rFonts w:asciiTheme="majorHAnsi" w:eastAsia="Calibri" w:hAnsiTheme="majorHAnsi" w:cs="Times New Roman"/>
          <w:sz w:val="24"/>
          <w:szCs w:val="24"/>
          <w:lang w:val="en-US"/>
        </w:rPr>
        <w:t>er</w:t>
      </w:r>
      <w:r w:rsidRPr="00876AB1">
        <w:rPr>
          <w:rFonts w:asciiTheme="majorHAnsi" w:eastAsia="Calibri" w:hAnsiTheme="majorHAnsi" w:cs="Times New Roman"/>
          <w:sz w:val="24"/>
          <w:szCs w:val="24"/>
          <w:lang w:val="en-US"/>
        </w:rPr>
        <w:t xml:space="preserve"> infection model of cryptococcal meningitis.  A, </w:t>
      </w:r>
      <w:r w:rsidR="003537C2">
        <w:rPr>
          <w:rFonts w:asciiTheme="majorHAnsi" w:eastAsia="Calibri" w:hAnsiTheme="majorHAnsi" w:cs="Times New Roman"/>
          <w:sz w:val="24"/>
          <w:szCs w:val="24"/>
          <w:lang w:val="en-US"/>
        </w:rPr>
        <w:t>p</w:t>
      </w:r>
      <w:r w:rsidR="003537C2" w:rsidRPr="00876AB1">
        <w:rPr>
          <w:rFonts w:asciiTheme="majorHAnsi" w:eastAsia="Calibri" w:hAnsiTheme="majorHAnsi" w:cs="Times New Roman"/>
          <w:sz w:val="24"/>
          <w:szCs w:val="24"/>
          <w:lang w:val="en-US"/>
        </w:rPr>
        <w:t>harmacokinetics</w:t>
      </w:r>
      <w:r w:rsidR="003537C2">
        <w:rPr>
          <w:rFonts w:asciiTheme="majorHAnsi" w:eastAsia="Calibri" w:hAnsiTheme="majorHAnsi" w:cs="Times New Roman"/>
          <w:sz w:val="24"/>
          <w:szCs w:val="24"/>
          <w:lang w:val="en-US"/>
        </w:rPr>
        <w:t xml:space="preserve"> of flubendazole with th</w:t>
      </w:r>
      <w:r w:rsidR="003A36DD">
        <w:rPr>
          <w:rFonts w:asciiTheme="majorHAnsi" w:eastAsia="Calibri" w:hAnsiTheme="majorHAnsi" w:cs="Times New Roman"/>
          <w:sz w:val="24"/>
          <w:szCs w:val="24"/>
          <w:lang w:val="en-US"/>
        </w:rPr>
        <w:t>e three arms with intended peak concentrations of</w:t>
      </w:r>
      <w:r w:rsidR="003537C2">
        <w:rPr>
          <w:rFonts w:asciiTheme="majorHAnsi" w:eastAsia="Calibri" w:hAnsiTheme="majorHAnsi" w:cs="Times New Roman"/>
          <w:sz w:val="24"/>
          <w:szCs w:val="24"/>
          <w:lang w:val="en-US"/>
        </w:rPr>
        <w:t xml:space="preserve"> 1.25, 2.5 and 10 mg/L</w:t>
      </w:r>
      <w:r w:rsidRPr="00876AB1">
        <w:rPr>
          <w:rFonts w:asciiTheme="majorHAnsi" w:eastAsia="Calibri" w:hAnsiTheme="majorHAnsi" w:cs="Times New Roman"/>
          <w:sz w:val="24"/>
          <w:szCs w:val="24"/>
          <w:lang w:val="en-US"/>
        </w:rPr>
        <w:t xml:space="preserve">; </w:t>
      </w:r>
      <w:r w:rsidR="003537C2">
        <w:rPr>
          <w:rFonts w:asciiTheme="majorHAnsi" w:eastAsia="Calibri" w:hAnsiTheme="majorHAnsi" w:cs="Times New Roman"/>
          <w:sz w:val="24"/>
          <w:szCs w:val="24"/>
          <w:lang w:val="en-US"/>
        </w:rPr>
        <w:t xml:space="preserve">and </w:t>
      </w:r>
      <w:r w:rsidRPr="00876AB1">
        <w:rPr>
          <w:rFonts w:asciiTheme="majorHAnsi" w:eastAsia="Calibri" w:hAnsiTheme="majorHAnsi" w:cs="Times New Roman"/>
          <w:sz w:val="24"/>
          <w:szCs w:val="24"/>
          <w:lang w:val="en-US"/>
        </w:rPr>
        <w:t xml:space="preserve">B, </w:t>
      </w:r>
      <w:r w:rsidR="003537C2">
        <w:rPr>
          <w:rFonts w:asciiTheme="majorHAnsi" w:eastAsia="Calibri" w:hAnsiTheme="majorHAnsi" w:cs="Times New Roman"/>
          <w:sz w:val="24"/>
          <w:szCs w:val="24"/>
          <w:lang w:val="en-US"/>
        </w:rPr>
        <w:t>p</w:t>
      </w:r>
      <w:r w:rsidR="003537C2" w:rsidRPr="00876AB1">
        <w:rPr>
          <w:rFonts w:asciiTheme="majorHAnsi" w:eastAsia="Calibri" w:hAnsiTheme="majorHAnsi" w:cs="Times New Roman"/>
          <w:sz w:val="24"/>
          <w:szCs w:val="24"/>
          <w:lang w:val="en-US"/>
        </w:rPr>
        <w:t>harmacodynamics</w:t>
      </w:r>
      <w:r w:rsidR="003537C2">
        <w:rPr>
          <w:rFonts w:asciiTheme="majorHAnsi" w:eastAsia="Calibri" w:hAnsiTheme="majorHAnsi" w:cs="Times New Roman"/>
          <w:sz w:val="24"/>
          <w:szCs w:val="24"/>
          <w:lang w:val="en-US"/>
        </w:rPr>
        <w:t xml:space="preserve"> in response to flubendazole administered </w:t>
      </w:r>
      <w:r w:rsidR="00A40D0C">
        <w:rPr>
          <w:rFonts w:asciiTheme="majorHAnsi" w:eastAsia="Calibri" w:hAnsiTheme="majorHAnsi" w:cs="Times New Roman"/>
          <w:sz w:val="24"/>
          <w:szCs w:val="24"/>
          <w:lang w:val="en-US"/>
        </w:rPr>
        <w:t xml:space="preserve">at various dosages </w:t>
      </w:r>
      <w:r w:rsidR="003537C2">
        <w:rPr>
          <w:rFonts w:asciiTheme="majorHAnsi" w:eastAsia="Calibri" w:hAnsiTheme="majorHAnsi" w:cs="Times New Roman"/>
          <w:sz w:val="24"/>
          <w:szCs w:val="24"/>
          <w:lang w:val="en-US"/>
        </w:rPr>
        <w:t>q24h</w:t>
      </w:r>
      <w:r w:rsidRPr="00876AB1">
        <w:rPr>
          <w:rFonts w:asciiTheme="majorHAnsi" w:eastAsia="Calibri" w:hAnsiTheme="majorHAnsi" w:cs="Times New Roman"/>
          <w:sz w:val="24"/>
          <w:szCs w:val="24"/>
          <w:lang w:val="en-US"/>
        </w:rPr>
        <w:t>.</w:t>
      </w:r>
      <w:r w:rsidR="003537C2">
        <w:rPr>
          <w:rFonts w:asciiTheme="majorHAnsi" w:eastAsia="Calibri" w:hAnsiTheme="majorHAnsi" w:cs="Times New Roman"/>
          <w:sz w:val="24"/>
          <w:szCs w:val="24"/>
          <w:lang w:val="en-US"/>
        </w:rPr>
        <w:t xml:space="preserve">  Therapy was initiated 2</w:t>
      </w:r>
      <w:r w:rsidR="003A36DD">
        <w:rPr>
          <w:rFonts w:asciiTheme="majorHAnsi" w:eastAsia="Calibri" w:hAnsiTheme="majorHAnsi" w:cs="Times New Roman"/>
          <w:sz w:val="24"/>
          <w:szCs w:val="24"/>
          <w:lang w:val="en-US"/>
        </w:rPr>
        <w:t>4 h</w:t>
      </w:r>
      <w:r w:rsidR="003537C2">
        <w:rPr>
          <w:rFonts w:asciiTheme="majorHAnsi" w:eastAsia="Calibri" w:hAnsiTheme="majorHAnsi" w:cs="Times New Roman"/>
          <w:sz w:val="24"/>
          <w:szCs w:val="24"/>
          <w:lang w:val="en-US"/>
        </w:rPr>
        <w:t>rs</w:t>
      </w:r>
      <w:r w:rsidR="003A36DD">
        <w:rPr>
          <w:rFonts w:asciiTheme="majorHAnsi" w:eastAsia="Calibri" w:hAnsiTheme="majorHAnsi" w:cs="Times New Roman"/>
          <w:sz w:val="24"/>
          <w:szCs w:val="24"/>
          <w:lang w:val="en-US"/>
        </w:rPr>
        <w:t>.</w:t>
      </w:r>
      <w:r w:rsidR="003537C2">
        <w:rPr>
          <w:rFonts w:asciiTheme="majorHAnsi" w:eastAsia="Calibri" w:hAnsiTheme="majorHAnsi" w:cs="Times New Roman"/>
          <w:sz w:val="24"/>
          <w:szCs w:val="24"/>
          <w:lang w:val="en-US"/>
        </w:rPr>
        <w:t xml:space="preserve"> post inoculation after which time </w:t>
      </w:r>
      <w:r w:rsidR="003537C2" w:rsidRPr="0014141A">
        <w:rPr>
          <w:rFonts w:asciiTheme="majorHAnsi" w:eastAsia="Calibri" w:hAnsiTheme="majorHAnsi" w:cs="Times New Roman"/>
          <w:i/>
          <w:sz w:val="24"/>
          <w:szCs w:val="24"/>
          <w:lang w:val="en-US"/>
        </w:rPr>
        <w:t>Cryptococcus</w:t>
      </w:r>
      <w:r w:rsidR="003537C2">
        <w:rPr>
          <w:rFonts w:asciiTheme="majorHAnsi" w:eastAsia="Calibri" w:hAnsiTheme="majorHAnsi" w:cs="Times New Roman"/>
          <w:sz w:val="24"/>
          <w:szCs w:val="24"/>
          <w:lang w:val="en-US"/>
        </w:rPr>
        <w:t xml:space="preserve"> had grown from </w:t>
      </w:r>
      <w:r w:rsidR="003537C2">
        <w:rPr>
          <w:rFonts w:ascii="Calibri Light" w:eastAsia="Calibri" w:hAnsi="Calibri Light" w:cs="Times New Roman"/>
          <w:sz w:val="24"/>
          <w:szCs w:val="24"/>
          <w:lang w:val="en-US"/>
        </w:rPr>
        <w:t>~6 log</w:t>
      </w:r>
      <w:r w:rsidR="003537C2" w:rsidRPr="00EF774A">
        <w:rPr>
          <w:rFonts w:ascii="Calibri Light" w:eastAsia="Calibri" w:hAnsi="Calibri Light" w:cs="Times New Roman"/>
          <w:sz w:val="24"/>
          <w:szCs w:val="24"/>
          <w:vertAlign w:val="subscript"/>
          <w:lang w:val="en-US"/>
        </w:rPr>
        <w:t>10</w:t>
      </w:r>
      <w:r w:rsidR="003537C2">
        <w:rPr>
          <w:rFonts w:ascii="Calibri Light" w:eastAsia="Calibri" w:hAnsi="Calibri Light" w:cs="Times New Roman"/>
          <w:sz w:val="24"/>
          <w:szCs w:val="24"/>
          <w:lang w:val="en-US"/>
        </w:rPr>
        <w:t>CFU/mL to 8 log</w:t>
      </w:r>
      <w:r w:rsidR="003537C2" w:rsidRPr="00EF774A">
        <w:rPr>
          <w:rFonts w:ascii="Calibri Light" w:eastAsia="Calibri" w:hAnsi="Calibri Light" w:cs="Times New Roman"/>
          <w:sz w:val="24"/>
          <w:szCs w:val="24"/>
          <w:vertAlign w:val="subscript"/>
          <w:lang w:val="en-US"/>
        </w:rPr>
        <w:t>10</w:t>
      </w:r>
      <w:r w:rsidR="003537C2">
        <w:rPr>
          <w:rFonts w:ascii="Calibri Light" w:eastAsia="Calibri" w:hAnsi="Calibri Light" w:cs="Times New Roman"/>
          <w:sz w:val="24"/>
          <w:szCs w:val="24"/>
          <w:lang w:val="en-US"/>
        </w:rPr>
        <w:t>CFU/</w:t>
      </w:r>
      <w:proofErr w:type="spellStart"/>
      <w:r w:rsidR="003537C2">
        <w:rPr>
          <w:rFonts w:ascii="Calibri Light" w:eastAsia="Calibri" w:hAnsi="Calibri Light" w:cs="Times New Roman"/>
          <w:sz w:val="24"/>
          <w:szCs w:val="24"/>
          <w:lang w:val="en-US"/>
        </w:rPr>
        <w:t>mL.</w:t>
      </w:r>
      <w:proofErr w:type="spellEnd"/>
    </w:p>
    <w:p w14:paraId="4552A042" w14:textId="5306A46B" w:rsidR="007D0CE0" w:rsidRDefault="007D0CE0">
      <w:pPr>
        <w:spacing w:after="0" w:line="240" w:lineRule="auto"/>
        <w:rPr>
          <w:rFonts w:asciiTheme="majorHAnsi" w:eastAsia="Calibri" w:hAnsiTheme="majorHAnsi" w:cs="Times New Roman"/>
          <w:sz w:val="24"/>
          <w:szCs w:val="24"/>
          <w:lang w:val="en-US"/>
        </w:rPr>
      </w:pPr>
      <w:r>
        <w:rPr>
          <w:rFonts w:asciiTheme="majorHAnsi" w:eastAsia="Calibri" w:hAnsiTheme="majorHAnsi" w:cs="Times New Roman"/>
          <w:sz w:val="24"/>
          <w:szCs w:val="24"/>
          <w:lang w:val="en-US"/>
        </w:rPr>
        <w:br w:type="page"/>
      </w:r>
    </w:p>
    <w:p w14:paraId="40DE7656" w14:textId="77777777" w:rsidR="00900889" w:rsidRPr="00876AB1" w:rsidRDefault="00900889" w:rsidP="00EB3D34">
      <w:pPr>
        <w:spacing w:after="0" w:line="480" w:lineRule="auto"/>
        <w:rPr>
          <w:rFonts w:asciiTheme="majorHAnsi" w:eastAsia="Calibri" w:hAnsiTheme="majorHAnsi" w:cs="Times New Roman"/>
          <w:sz w:val="24"/>
          <w:szCs w:val="24"/>
          <w:lang w:val="en-US"/>
        </w:rPr>
      </w:pPr>
    </w:p>
    <w:p w14:paraId="6E48C8AC" w14:textId="29538B87" w:rsidR="00900889" w:rsidRPr="00876AB1" w:rsidRDefault="000C07C1" w:rsidP="00EB3D34">
      <w:pPr>
        <w:spacing w:after="0" w:line="480" w:lineRule="auto"/>
        <w:rPr>
          <w:rFonts w:asciiTheme="majorHAnsi" w:eastAsia="Calibri" w:hAnsiTheme="majorHAnsi" w:cs="Times New Roman"/>
          <w:b/>
          <w:sz w:val="24"/>
          <w:szCs w:val="24"/>
          <w:lang w:val="en-US"/>
        </w:rPr>
      </w:pPr>
      <w:r>
        <w:rPr>
          <w:rFonts w:asciiTheme="majorHAnsi" w:hAnsiTheme="majorHAnsi"/>
          <w:noProof/>
          <w:sz w:val="24"/>
          <w:szCs w:val="24"/>
          <w:lang w:eastAsia="en-GB"/>
        </w:rPr>
        <w:drawing>
          <wp:inline distT="0" distB="0" distL="0" distR="0" wp14:anchorId="57F87BB1" wp14:editId="22044F8C">
            <wp:extent cx="2343025" cy="477312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_flat.tif"/>
                    <pic:cNvPicPr/>
                  </pic:nvPicPr>
                  <pic:blipFill>
                    <a:blip r:embed="rId12" cstate="screen">
                      <a:extLst>
                        <a:ext uri="{28A0092B-C50C-407E-A947-70E740481C1C}">
                          <a14:useLocalDpi xmlns:a14="http://schemas.microsoft.com/office/drawing/2010/main"/>
                        </a:ext>
                      </a:extLst>
                    </a:blip>
                    <a:stretch>
                      <a:fillRect/>
                    </a:stretch>
                  </pic:blipFill>
                  <pic:spPr>
                    <a:xfrm>
                      <a:off x="0" y="0"/>
                      <a:ext cx="2358831" cy="4805328"/>
                    </a:xfrm>
                    <a:prstGeom prst="rect">
                      <a:avLst/>
                    </a:prstGeom>
                  </pic:spPr>
                </pic:pic>
              </a:graphicData>
            </a:graphic>
          </wp:inline>
        </w:drawing>
      </w:r>
    </w:p>
    <w:p w14:paraId="5E50EF1A" w14:textId="7E2EBA52" w:rsidR="00900889" w:rsidRPr="00876AB1" w:rsidRDefault="00900889" w:rsidP="00EB3D34">
      <w:pPr>
        <w:spacing w:after="120" w:line="480" w:lineRule="auto"/>
        <w:rPr>
          <w:rFonts w:asciiTheme="majorHAnsi" w:eastAsia="Calibri" w:hAnsiTheme="majorHAnsi" w:cs="Times New Roman"/>
          <w:sz w:val="24"/>
          <w:szCs w:val="24"/>
          <w:lang w:val="en-US"/>
        </w:rPr>
      </w:pPr>
      <w:r w:rsidRPr="00876AB1">
        <w:rPr>
          <w:rFonts w:asciiTheme="majorHAnsi" w:eastAsia="Calibri" w:hAnsiTheme="majorHAnsi" w:cs="Times New Roman"/>
          <w:b/>
          <w:sz w:val="24"/>
          <w:szCs w:val="24"/>
          <w:lang w:val="en-US"/>
        </w:rPr>
        <w:t>Figure 3.</w:t>
      </w:r>
      <w:r w:rsidRPr="00876AB1">
        <w:rPr>
          <w:rFonts w:asciiTheme="majorHAnsi" w:eastAsia="Calibri" w:hAnsiTheme="majorHAnsi" w:cs="Times New Roman"/>
          <w:sz w:val="24"/>
          <w:szCs w:val="24"/>
          <w:lang w:val="en-US"/>
        </w:rPr>
        <w:t xml:space="preserve"> Flubendazole pharmacokinetics</w:t>
      </w:r>
      <w:r w:rsidR="00F35880">
        <w:rPr>
          <w:rFonts w:asciiTheme="majorHAnsi" w:eastAsia="Calibri" w:hAnsiTheme="majorHAnsi" w:cs="Times New Roman"/>
          <w:sz w:val="24"/>
          <w:szCs w:val="24"/>
          <w:lang w:val="en-US"/>
        </w:rPr>
        <w:t xml:space="preserve"> in mice and rabbits</w:t>
      </w:r>
      <w:r w:rsidRPr="00876AB1">
        <w:rPr>
          <w:rFonts w:asciiTheme="majorHAnsi" w:eastAsia="Calibri" w:hAnsiTheme="majorHAnsi" w:cs="Times New Roman"/>
          <w:sz w:val="24"/>
          <w:szCs w:val="24"/>
          <w:lang w:val="en-US"/>
        </w:rPr>
        <w:t xml:space="preserve">. A, </w:t>
      </w:r>
      <w:r w:rsidR="003537C2">
        <w:rPr>
          <w:rFonts w:asciiTheme="majorHAnsi" w:eastAsia="Calibri" w:hAnsiTheme="majorHAnsi" w:cs="Times New Roman"/>
          <w:sz w:val="24"/>
          <w:szCs w:val="24"/>
          <w:lang w:val="en-US"/>
        </w:rPr>
        <w:t>m</w:t>
      </w:r>
      <w:r w:rsidR="003537C2" w:rsidRPr="00876AB1">
        <w:rPr>
          <w:rFonts w:asciiTheme="majorHAnsi" w:eastAsia="Calibri" w:hAnsiTheme="majorHAnsi" w:cs="Times New Roman"/>
          <w:sz w:val="24"/>
          <w:szCs w:val="24"/>
          <w:lang w:val="en-US"/>
        </w:rPr>
        <w:t xml:space="preserve">ouse </w:t>
      </w:r>
      <w:r w:rsidR="003537C2">
        <w:rPr>
          <w:rFonts w:asciiTheme="majorHAnsi" w:eastAsia="Calibri" w:hAnsiTheme="majorHAnsi" w:cs="Times New Roman"/>
          <w:sz w:val="24"/>
          <w:szCs w:val="24"/>
          <w:lang w:val="en-US"/>
        </w:rPr>
        <w:t>pl</w:t>
      </w:r>
      <w:r w:rsidR="003537C2" w:rsidRPr="00876AB1">
        <w:rPr>
          <w:rFonts w:asciiTheme="majorHAnsi" w:eastAsia="Calibri" w:hAnsiTheme="majorHAnsi" w:cs="Times New Roman"/>
          <w:sz w:val="24"/>
          <w:szCs w:val="24"/>
          <w:lang w:val="en-US"/>
        </w:rPr>
        <w:t>asma</w:t>
      </w:r>
      <w:r w:rsidR="000C07C1">
        <w:rPr>
          <w:rFonts w:asciiTheme="majorHAnsi" w:eastAsia="Calibri" w:hAnsiTheme="majorHAnsi" w:cs="Times New Roman"/>
          <w:sz w:val="24"/>
          <w:szCs w:val="24"/>
          <w:lang w:val="en-US"/>
        </w:rPr>
        <w:t xml:space="preserve"> concentration-</w:t>
      </w:r>
      <w:r w:rsidR="003537C2">
        <w:rPr>
          <w:rFonts w:asciiTheme="majorHAnsi" w:eastAsia="Calibri" w:hAnsiTheme="majorHAnsi" w:cs="Times New Roman"/>
          <w:sz w:val="24"/>
          <w:szCs w:val="24"/>
          <w:lang w:val="en-US"/>
        </w:rPr>
        <w:t xml:space="preserve">time profiles following the administration of </w:t>
      </w:r>
      <w:r w:rsidR="000C07C1">
        <w:rPr>
          <w:rFonts w:asciiTheme="majorHAnsi" w:eastAsia="Calibri" w:hAnsiTheme="majorHAnsi" w:cs="Times New Roman"/>
          <w:sz w:val="24"/>
          <w:szCs w:val="24"/>
          <w:lang w:val="en-US"/>
        </w:rPr>
        <w:t xml:space="preserve">flubendazole </w:t>
      </w:r>
      <w:r w:rsidR="003537C2">
        <w:rPr>
          <w:rFonts w:asciiTheme="majorHAnsi" w:eastAsia="Calibri" w:hAnsiTheme="majorHAnsi" w:cs="Times New Roman"/>
          <w:sz w:val="24"/>
          <w:szCs w:val="24"/>
          <w:lang w:val="en-US"/>
        </w:rPr>
        <w:t>2, 4, 6, 8 and 12 mg/kg</w:t>
      </w:r>
      <w:r w:rsidRPr="00876AB1">
        <w:rPr>
          <w:rFonts w:asciiTheme="majorHAnsi" w:eastAsia="Calibri" w:hAnsiTheme="majorHAnsi" w:cs="Times New Roman"/>
          <w:sz w:val="24"/>
          <w:szCs w:val="24"/>
          <w:lang w:val="en-US"/>
        </w:rPr>
        <w:t xml:space="preserve">; B, </w:t>
      </w:r>
      <w:r w:rsidR="003537C2">
        <w:rPr>
          <w:rFonts w:asciiTheme="majorHAnsi" w:eastAsia="Calibri" w:hAnsiTheme="majorHAnsi" w:cs="Times New Roman"/>
          <w:sz w:val="24"/>
          <w:szCs w:val="24"/>
          <w:lang w:val="en-US"/>
        </w:rPr>
        <w:t>m</w:t>
      </w:r>
      <w:r w:rsidR="003537C2" w:rsidRPr="00876AB1">
        <w:rPr>
          <w:rFonts w:asciiTheme="majorHAnsi" w:eastAsia="Calibri" w:hAnsiTheme="majorHAnsi" w:cs="Times New Roman"/>
          <w:sz w:val="24"/>
          <w:szCs w:val="24"/>
          <w:lang w:val="en-US"/>
        </w:rPr>
        <w:t xml:space="preserve">ouse </w:t>
      </w:r>
      <w:r w:rsidR="003537C2">
        <w:rPr>
          <w:rFonts w:asciiTheme="majorHAnsi" w:eastAsia="Calibri" w:hAnsiTheme="majorHAnsi" w:cs="Times New Roman"/>
          <w:sz w:val="24"/>
          <w:szCs w:val="24"/>
          <w:lang w:val="en-US"/>
        </w:rPr>
        <w:t>concentration-time profiles in the b</w:t>
      </w:r>
      <w:r w:rsidR="003537C2" w:rsidRPr="00876AB1">
        <w:rPr>
          <w:rFonts w:asciiTheme="majorHAnsi" w:eastAsia="Calibri" w:hAnsiTheme="majorHAnsi" w:cs="Times New Roman"/>
          <w:sz w:val="24"/>
          <w:szCs w:val="24"/>
          <w:lang w:val="en-US"/>
        </w:rPr>
        <w:t>rain</w:t>
      </w:r>
      <w:r w:rsidR="000C07C1" w:rsidRPr="000C07C1">
        <w:rPr>
          <w:rFonts w:asciiTheme="majorHAnsi" w:eastAsia="Calibri" w:hAnsiTheme="majorHAnsi" w:cs="Times New Roman"/>
          <w:sz w:val="24"/>
          <w:szCs w:val="24"/>
          <w:lang w:val="en-US"/>
        </w:rPr>
        <w:t xml:space="preserve"> </w:t>
      </w:r>
      <w:r w:rsidR="000C07C1">
        <w:rPr>
          <w:rFonts w:asciiTheme="majorHAnsi" w:eastAsia="Calibri" w:hAnsiTheme="majorHAnsi" w:cs="Times New Roman"/>
          <w:sz w:val="24"/>
          <w:szCs w:val="24"/>
          <w:lang w:val="en-US"/>
        </w:rPr>
        <w:t>following the administration of flubendazole 2, 4, 6, 8 and 12 mg/kg</w:t>
      </w:r>
      <w:r w:rsidR="003537C2">
        <w:rPr>
          <w:rFonts w:asciiTheme="majorHAnsi" w:eastAsia="Calibri" w:hAnsiTheme="majorHAnsi" w:cs="Times New Roman"/>
          <w:sz w:val="24"/>
          <w:szCs w:val="24"/>
          <w:lang w:val="en-US"/>
        </w:rPr>
        <w:t xml:space="preserve">.  Data are mean </w:t>
      </w:r>
      <w:r w:rsidR="003537C2">
        <w:rPr>
          <w:rFonts w:ascii="Calibri Light" w:eastAsia="Calibri" w:hAnsi="Calibri Light" w:cs="Times New Roman"/>
          <w:sz w:val="24"/>
          <w:szCs w:val="24"/>
          <w:lang w:val="en-US"/>
        </w:rPr>
        <w:t>±</w:t>
      </w:r>
      <w:r w:rsidR="003537C2">
        <w:rPr>
          <w:rFonts w:asciiTheme="majorHAnsi" w:eastAsia="Calibri" w:hAnsiTheme="majorHAnsi" w:cs="Times New Roman"/>
          <w:sz w:val="24"/>
          <w:szCs w:val="24"/>
          <w:lang w:val="en-US"/>
        </w:rPr>
        <w:t xml:space="preserve"> standard deviation of n=3 mice</w:t>
      </w:r>
      <w:r w:rsidR="000C07C1">
        <w:rPr>
          <w:rFonts w:asciiTheme="majorHAnsi" w:eastAsia="Calibri" w:hAnsiTheme="majorHAnsi" w:cs="Times New Roman"/>
          <w:sz w:val="24"/>
          <w:szCs w:val="24"/>
          <w:lang w:val="en-US"/>
        </w:rPr>
        <w:t xml:space="preserve">. </w:t>
      </w:r>
      <w:r w:rsidRPr="00876AB1">
        <w:rPr>
          <w:rFonts w:asciiTheme="majorHAnsi" w:eastAsia="Calibri" w:hAnsiTheme="majorHAnsi" w:cs="Times New Roman"/>
          <w:sz w:val="24"/>
          <w:szCs w:val="24"/>
          <w:lang w:val="en-US"/>
        </w:rPr>
        <w:t xml:space="preserve"> C</w:t>
      </w:r>
      <w:r w:rsidR="003537C2">
        <w:rPr>
          <w:rFonts w:asciiTheme="majorHAnsi" w:eastAsia="Calibri" w:hAnsiTheme="majorHAnsi" w:cs="Times New Roman"/>
          <w:sz w:val="24"/>
          <w:szCs w:val="24"/>
          <w:lang w:val="en-US"/>
        </w:rPr>
        <w:t>,</w:t>
      </w:r>
      <w:r w:rsidRPr="00876AB1">
        <w:rPr>
          <w:rFonts w:asciiTheme="majorHAnsi" w:eastAsia="Calibri" w:hAnsiTheme="majorHAnsi" w:cs="Times New Roman"/>
          <w:sz w:val="24"/>
          <w:szCs w:val="24"/>
          <w:lang w:val="en-US"/>
        </w:rPr>
        <w:t xml:space="preserve"> </w:t>
      </w:r>
      <w:r w:rsidR="003537C2">
        <w:rPr>
          <w:rFonts w:asciiTheme="majorHAnsi" w:eastAsia="Calibri" w:hAnsiTheme="majorHAnsi" w:cs="Times New Roman"/>
          <w:sz w:val="24"/>
          <w:szCs w:val="24"/>
          <w:lang w:val="en-US"/>
        </w:rPr>
        <w:t>p</w:t>
      </w:r>
      <w:r w:rsidR="003537C2" w:rsidRPr="00876AB1">
        <w:rPr>
          <w:rFonts w:asciiTheme="majorHAnsi" w:eastAsia="Calibri" w:hAnsiTheme="majorHAnsi" w:cs="Times New Roman"/>
          <w:sz w:val="24"/>
          <w:szCs w:val="24"/>
          <w:lang w:val="en-US"/>
        </w:rPr>
        <w:t xml:space="preserve">lasma </w:t>
      </w:r>
      <w:r w:rsidR="003537C2">
        <w:rPr>
          <w:rFonts w:asciiTheme="majorHAnsi" w:eastAsia="Calibri" w:hAnsiTheme="majorHAnsi" w:cs="Times New Roman"/>
          <w:sz w:val="24"/>
          <w:szCs w:val="24"/>
          <w:lang w:val="en-US"/>
        </w:rPr>
        <w:t xml:space="preserve">pharmacokinetics in the serum for individual rabbits receiving </w:t>
      </w:r>
      <w:r w:rsidR="003537C2" w:rsidRPr="00876AB1">
        <w:rPr>
          <w:rFonts w:asciiTheme="majorHAnsi" w:eastAsia="Calibri" w:hAnsiTheme="majorHAnsi" w:cs="Times New Roman"/>
          <w:sz w:val="24"/>
          <w:szCs w:val="24"/>
          <w:lang w:val="en-US"/>
        </w:rPr>
        <w:t xml:space="preserve">6 mg/kg/day </w:t>
      </w:r>
      <w:r w:rsidR="003537C2">
        <w:rPr>
          <w:rFonts w:asciiTheme="majorHAnsi" w:eastAsia="Calibri" w:hAnsiTheme="majorHAnsi" w:cs="Times New Roman"/>
          <w:sz w:val="24"/>
          <w:szCs w:val="24"/>
          <w:lang w:val="en-US"/>
        </w:rPr>
        <w:t>(</w:t>
      </w:r>
      <w:r w:rsidR="000C07C1">
        <w:rPr>
          <w:rFonts w:asciiTheme="majorHAnsi" w:eastAsia="Calibri" w:hAnsiTheme="majorHAnsi" w:cs="Times New Roman"/>
          <w:sz w:val="24"/>
          <w:szCs w:val="24"/>
          <w:lang w:val="en-US"/>
        </w:rPr>
        <w:t>broken</w:t>
      </w:r>
      <w:r w:rsidR="000C07C1">
        <w:rPr>
          <w:rFonts w:asciiTheme="majorHAnsi" w:eastAsia="Calibri" w:hAnsiTheme="majorHAnsi" w:cs="Times New Roman"/>
          <w:sz w:val="24"/>
          <w:szCs w:val="24"/>
          <w:lang w:val="en-US"/>
        </w:rPr>
        <w:t xml:space="preserve"> </w:t>
      </w:r>
      <w:r w:rsidR="003537C2">
        <w:rPr>
          <w:rFonts w:asciiTheme="majorHAnsi" w:eastAsia="Calibri" w:hAnsiTheme="majorHAnsi" w:cs="Times New Roman"/>
          <w:sz w:val="24"/>
          <w:szCs w:val="24"/>
          <w:lang w:val="en-US"/>
        </w:rPr>
        <w:t>lines</w:t>
      </w:r>
      <w:r w:rsidR="000C07C1">
        <w:rPr>
          <w:rFonts w:asciiTheme="majorHAnsi" w:eastAsia="Calibri" w:hAnsiTheme="majorHAnsi" w:cs="Times New Roman"/>
          <w:sz w:val="24"/>
          <w:szCs w:val="24"/>
          <w:lang w:val="en-US"/>
        </w:rPr>
        <w:t>, solid triangles</w:t>
      </w:r>
      <w:r w:rsidR="003537C2">
        <w:rPr>
          <w:rFonts w:asciiTheme="majorHAnsi" w:eastAsia="Calibri" w:hAnsiTheme="majorHAnsi" w:cs="Times New Roman"/>
          <w:sz w:val="24"/>
          <w:szCs w:val="24"/>
          <w:lang w:val="en-US"/>
        </w:rPr>
        <w:t xml:space="preserve">) and 22.5 mg/kg </w:t>
      </w:r>
      <w:r w:rsidRPr="00876AB1">
        <w:rPr>
          <w:rFonts w:asciiTheme="majorHAnsi" w:eastAsia="Calibri" w:hAnsiTheme="majorHAnsi" w:cs="Times New Roman"/>
          <w:sz w:val="24"/>
          <w:szCs w:val="24"/>
          <w:lang w:val="en-US"/>
        </w:rPr>
        <w:t>(</w:t>
      </w:r>
      <w:r w:rsidR="000C07C1">
        <w:rPr>
          <w:rFonts w:asciiTheme="majorHAnsi" w:eastAsia="Calibri" w:hAnsiTheme="majorHAnsi" w:cs="Times New Roman"/>
          <w:sz w:val="24"/>
          <w:szCs w:val="24"/>
          <w:lang w:val="en-US"/>
        </w:rPr>
        <w:t>solid</w:t>
      </w:r>
      <w:r w:rsidR="000C07C1" w:rsidRPr="00876AB1">
        <w:rPr>
          <w:rFonts w:asciiTheme="majorHAnsi" w:eastAsia="Calibri" w:hAnsiTheme="majorHAnsi" w:cs="Times New Roman"/>
          <w:sz w:val="24"/>
          <w:szCs w:val="24"/>
          <w:lang w:val="en-US"/>
        </w:rPr>
        <w:t xml:space="preserve"> </w:t>
      </w:r>
      <w:r w:rsidRPr="00876AB1">
        <w:rPr>
          <w:rFonts w:asciiTheme="majorHAnsi" w:eastAsia="Calibri" w:hAnsiTheme="majorHAnsi" w:cs="Times New Roman"/>
          <w:sz w:val="24"/>
          <w:szCs w:val="24"/>
          <w:lang w:val="en-US"/>
        </w:rPr>
        <w:t>lines</w:t>
      </w:r>
      <w:r w:rsidR="000C07C1">
        <w:rPr>
          <w:rFonts w:asciiTheme="majorHAnsi" w:eastAsia="Calibri" w:hAnsiTheme="majorHAnsi" w:cs="Times New Roman"/>
          <w:sz w:val="24"/>
          <w:szCs w:val="24"/>
          <w:lang w:val="en-US"/>
        </w:rPr>
        <w:t>, solid squares</w:t>
      </w:r>
      <w:r w:rsidR="003537C2">
        <w:rPr>
          <w:rFonts w:asciiTheme="majorHAnsi" w:eastAsia="Calibri" w:hAnsiTheme="majorHAnsi" w:cs="Times New Roman"/>
          <w:sz w:val="24"/>
          <w:szCs w:val="24"/>
          <w:lang w:val="en-US"/>
        </w:rPr>
        <w:t>).</w:t>
      </w:r>
    </w:p>
    <w:p w14:paraId="61F195F4" w14:textId="0C50F3CA" w:rsidR="006C1653" w:rsidRDefault="006C1653">
      <w:pPr>
        <w:spacing w:after="0" w:line="240" w:lineRule="auto"/>
        <w:rPr>
          <w:rFonts w:asciiTheme="majorHAnsi" w:eastAsia="Calibri" w:hAnsiTheme="majorHAnsi" w:cs="Times New Roman"/>
          <w:sz w:val="24"/>
          <w:szCs w:val="24"/>
          <w:lang w:val="en-US"/>
        </w:rPr>
      </w:pPr>
      <w:r>
        <w:rPr>
          <w:rFonts w:asciiTheme="majorHAnsi" w:eastAsia="Calibri" w:hAnsiTheme="majorHAnsi" w:cs="Times New Roman"/>
          <w:sz w:val="24"/>
          <w:szCs w:val="24"/>
          <w:lang w:val="en-US"/>
        </w:rPr>
        <w:br w:type="page"/>
      </w:r>
    </w:p>
    <w:p w14:paraId="18A533B9" w14:textId="77777777" w:rsidR="00900889" w:rsidRPr="00876AB1" w:rsidRDefault="00900889" w:rsidP="00EB3D34">
      <w:pPr>
        <w:spacing w:after="0" w:line="480" w:lineRule="auto"/>
        <w:rPr>
          <w:rFonts w:asciiTheme="majorHAnsi" w:eastAsia="Calibri" w:hAnsiTheme="majorHAnsi" w:cs="Times New Roman"/>
          <w:sz w:val="24"/>
          <w:szCs w:val="24"/>
          <w:lang w:val="en-US"/>
        </w:rPr>
      </w:pPr>
    </w:p>
    <w:p w14:paraId="0C12A5DC" w14:textId="77777777" w:rsidR="00900889" w:rsidRPr="00876AB1" w:rsidRDefault="00900889" w:rsidP="00EB3D34">
      <w:pPr>
        <w:spacing w:after="0" w:line="480" w:lineRule="auto"/>
        <w:rPr>
          <w:rFonts w:asciiTheme="majorHAnsi" w:eastAsia="Calibri" w:hAnsiTheme="majorHAnsi" w:cs="Times New Roman"/>
          <w:sz w:val="24"/>
          <w:szCs w:val="24"/>
          <w:lang w:val="en-US"/>
        </w:rPr>
      </w:pPr>
      <w:r w:rsidRPr="00876AB1">
        <w:rPr>
          <w:rFonts w:asciiTheme="majorHAnsi" w:eastAsia="Calibri" w:hAnsiTheme="majorHAnsi" w:cs="Times New Roman"/>
          <w:noProof/>
          <w:sz w:val="24"/>
          <w:szCs w:val="24"/>
          <w:lang w:eastAsia="en-GB"/>
        </w:rPr>
        <w:drawing>
          <wp:inline distT="0" distB="0" distL="0" distR="0" wp14:anchorId="1C9BA4EA" wp14:editId="1A126D64">
            <wp:extent cx="5727700" cy="378523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Mouse.tif"/>
                    <pic:cNvPicPr/>
                  </pic:nvPicPr>
                  <pic:blipFill>
                    <a:blip r:embed="rId13" cstate="screen">
                      <a:extLst>
                        <a:ext uri="{28A0092B-C50C-407E-A947-70E740481C1C}">
                          <a14:useLocalDpi xmlns:a14="http://schemas.microsoft.com/office/drawing/2010/main"/>
                        </a:ext>
                      </a:extLst>
                    </a:blip>
                    <a:stretch>
                      <a:fillRect/>
                    </a:stretch>
                  </pic:blipFill>
                  <pic:spPr>
                    <a:xfrm>
                      <a:off x="0" y="0"/>
                      <a:ext cx="5727700" cy="3785235"/>
                    </a:xfrm>
                    <a:prstGeom prst="rect">
                      <a:avLst/>
                    </a:prstGeom>
                  </pic:spPr>
                </pic:pic>
              </a:graphicData>
            </a:graphic>
          </wp:inline>
        </w:drawing>
      </w:r>
    </w:p>
    <w:p w14:paraId="427191D5" w14:textId="77777777" w:rsidR="00900889" w:rsidRPr="00876AB1" w:rsidRDefault="00900889" w:rsidP="00EB3D34">
      <w:pPr>
        <w:spacing w:after="0" w:line="480" w:lineRule="auto"/>
        <w:rPr>
          <w:rFonts w:asciiTheme="majorHAnsi" w:eastAsia="Calibri" w:hAnsiTheme="majorHAnsi" w:cs="Times New Roman"/>
          <w:sz w:val="24"/>
          <w:szCs w:val="24"/>
          <w:lang w:val="en-US"/>
        </w:rPr>
      </w:pPr>
    </w:p>
    <w:p w14:paraId="27F9DACF" w14:textId="5DF396D0" w:rsidR="00763C47" w:rsidRDefault="00900889" w:rsidP="00EB3D34">
      <w:pPr>
        <w:spacing w:after="0" w:line="480" w:lineRule="auto"/>
        <w:rPr>
          <w:rFonts w:asciiTheme="majorHAnsi" w:eastAsia="Calibri" w:hAnsiTheme="majorHAnsi" w:cs="Times New Roman"/>
          <w:sz w:val="24"/>
          <w:szCs w:val="24"/>
          <w:lang w:val="en-US"/>
        </w:rPr>
      </w:pPr>
      <w:r w:rsidRPr="00876AB1">
        <w:rPr>
          <w:rFonts w:asciiTheme="majorHAnsi" w:eastAsia="Calibri" w:hAnsiTheme="majorHAnsi" w:cs="Times New Roman"/>
          <w:b/>
          <w:sz w:val="24"/>
          <w:szCs w:val="24"/>
          <w:lang w:val="en-US"/>
        </w:rPr>
        <w:t>Figure 4.</w:t>
      </w:r>
      <w:r w:rsidRPr="00876AB1">
        <w:rPr>
          <w:rFonts w:asciiTheme="majorHAnsi" w:eastAsia="Calibri" w:hAnsiTheme="majorHAnsi" w:cs="Times New Roman"/>
          <w:sz w:val="24"/>
          <w:szCs w:val="24"/>
          <w:lang w:val="en-US"/>
        </w:rPr>
        <w:t xml:space="preserve"> Pharmacodynamics of flubendazole in a </w:t>
      </w:r>
      <w:r w:rsidR="000824BC">
        <w:rPr>
          <w:rFonts w:asciiTheme="majorHAnsi" w:eastAsia="Calibri" w:hAnsiTheme="majorHAnsi" w:cs="Times New Roman"/>
          <w:sz w:val="24"/>
          <w:szCs w:val="24"/>
          <w:lang w:val="en-US"/>
        </w:rPr>
        <w:t>murine</w:t>
      </w:r>
      <w:r w:rsidR="000824BC" w:rsidRPr="00876AB1">
        <w:rPr>
          <w:rFonts w:asciiTheme="majorHAnsi" w:eastAsia="Calibri" w:hAnsiTheme="majorHAnsi" w:cs="Times New Roman"/>
          <w:sz w:val="24"/>
          <w:szCs w:val="24"/>
          <w:lang w:val="en-US"/>
        </w:rPr>
        <w:t xml:space="preserve"> </w:t>
      </w:r>
      <w:r w:rsidRPr="00876AB1">
        <w:rPr>
          <w:rFonts w:asciiTheme="majorHAnsi" w:eastAsia="Calibri" w:hAnsiTheme="majorHAnsi" w:cs="Times New Roman"/>
          <w:sz w:val="24"/>
          <w:szCs w:val="24"/>
          <w:lang w:val="en-US"/>
        </w:rPr>
        <w:t>model of cryptococcal mening</w:t>
      </w:r>
      <w:r w:rsidR="003518CB">
        <w:rPr>
          <w:rFonts w:asciiTheme="majorHAnsi" w:eastAsia="Calibri" w:hAnsiTheme="majorHAnsi" w:cs="Times New Roman"/>
          <w:sz w:val="24"/>
          <w:szCs w:val="24"/>
          <w:lang w:val="en-US"/>
        </w:rPr>
        <w:t>it</w:t>
      </w:r>
      <w:r w:rsidRPr="00876AB1">
        <w:rPr>
          <w:rFonts w:asciiTheme="majorHAnsi" w:eastAsia="Calibri" w:hAnsiTheme="majorHAnsi" w:cs="Times New Roman"/>
          <w:sz w:val="24"/>
          <w:szCs w:val="24"/>
          <w:lang w:val="en-US"/>
        </w:rPr>
        <w:t xml:space="preserve">is.  </w:t>
      </w:r>
      <w:r w:rsidR="000824BC">
        <w:rPr>
          <w:rFonts w:asciiTheme="majorHAnsi" w:eastAsia="Calibri" w:hAnsiTheme="majorHAnsi" w:cs="Times New Roman"/>
          <w:sz w:val="24"/>
          <w:szCs w:val="24"/>
          <w:lang w:val="en-US"/>
        </w:rPr>
        <w:t>Flubendazole</w:t>
      </w:r>
      <w:r w:rsidR="00D07FF7">
        <w:rPr>
          <w:rFonts w:asciiTheme="majorHAnsi" w:eastAsia="Calibri" w:hAnsiTheme="majorHAnsi" w:cs="Times New Roman"/>
          <w:sz w:val="24"/>
          <w:szCs w:val="24"/>
          <w:lang w:val="en-US"/>
        </w:rPr>
        <w:t xml:space="preserve"> is administered orally once daily.  Data (open squares) are mean </w:t>
      </w:r>
      <w:r w:rsidR="00763C47">
        <w:rPr>
          <w:rFonts w:ascii="Calibri Light" w:eastAsia="Calibri" w:hAnsi="Calibri Light" w:cs="Times New Roman"/>
          <w:sz w:val="24"/>
          <w:szCs w:val="24"/>
          <w:lang w:val="en-US"/>
        </w:rPr>
        <w:t>±</w:t>
      </w:r>
      <w:r w:rsidR="00763C47">
        <w:rPr>
          <w:rFonts w:asciiTheme="majorHAnsi" w:eastAsia="Calibri" w:hAnsiTheme="majorHAnsi" w:cs="Times New Roman"/>
          <w:sz w:val="24"/>
          <w:szCs w:val="24"/>
          <w:lang w:val="en-US"/>
        </w:rPr>
        <w:t xml:space="preserve"> standard deviation from n=3 mice.  The solid line is the fit of the population predicted pharmacokinetic-pharmacodynamic model.  The maximally administered dose in this study (12 mg/kg/day) slowed, but did not prevent fungal growth in the brain.</w:t>
      </w:r>
    </w:p>
    <w:p w14:paraId="19F478F7" w14:textId="374BF95D" w:rsidR="00900889" w:rsidRPr="00876AB1" w:rsidRDefault="00763C47" w:rsidP="00EB3D34">
      <w:pPr>
        <w:spacing w:after="0" w:line="480" w:lineRule="auto"/>
        <w:rPr>
          <w:rFonts w:asciiTheme="majorHAnsi" w:eastAsia="Calibri" w:hAnsiTheme="majorHAnsi" w:cs="Times New Roman"/>
          <w:sz w:val="24"/>
          <w:szCs w:val="24"/>
          <w:lang w:val="en-US"/>
        </w:rPr>
      </w:pPr>
      <w:r>
        <w:rPr>
          <w:rFonts w:asciiTheme="majorHAnsi" w:eastAsia="Calibri" w:hAnsiTheme="majorHAnsi" w:cs="Times New Roman"/>
          <w:sz w:val="24"/>
          <w:szCs w:val="24"/>
          <w:lang w:val="en-US"/>
        </w:rPr>
        <w:t xml:space="preserve"> </w:t>
      </w:r>
      <w:r w:rsidR="00900889" w:rsidRPr="00876AB1">
        <w:rPr>
          <w:rFonts w:asciiTheme="majorHAnsi" w:eastAsia="Calibri" w:hAnsiTheme="majorHAnsi" w:cs="Times New Roman"/>
          <w:sz w:val="24"/>
          <w:szCs w:val="24"/>
          <w:lang w:val="en-US"/>
        </w:rPr>
        <w:br w:type="page"/>
      </w:r>
    </w:p>
    <w:p w14:paraId="52D15460" w14:textId="77777777" w:rsidR="00900889" w:rsidRPr="00876AB1" w:rsidRDefault="00900889" w:rsidP="00EB3D34">
      <w:pPr>
        <w:spacing w:after="0" w:line="480" w:lineRule="auto"/>
        <w:rPr>
          <w:rFonts w:asciiTheme="majorHAnsi" w:eastAsia="Calibri" w:hAnsiTheme="majorHAnsi" w:cs="Times New Roman"/>
          <w:sz w:val="24"/>
          <w:szCs w:val="24"/>
          <w:lang w:val="en-US"/>
        </w:rPr>
      </w:pPr>
    </w:p>
    <w:p w14:paraId="439ECD01" w14:textId="77777777" w:rsidR="00900889" w:rsidRPr="00876AB1" w:rsidRDefault="00900889" w:rsidP="00EB3D34">
      <w:pPr>
        <w:spacing w:after="0" w:line="480" w:lineRule="auto"/>
        <w:rPr>
          <w:rFonts w:asciiTheme="majorHAnsi" w:eastAsia="Calibri" w:hAnsiTheme="majorHAnsi" w:cs="Times New Roman"/>
          <w:sz w:val="24"/>
          <w:szCs w:val="24"/>
          <w:lang w:val="en-US"/>
        </w:rPr>
      </w:pPr>
    </w:p>
    <w:p w14:paraId="3E2B68F1" w14:textId="77777777" w:rsidR="00900889" w:rsidRPr="00876AB1" w:rsidRDefault="00900889" w:rsidP="00EB3D34">
      <w:pPr>
        <w:spacing w:after="0" w:line="480" w:lineRule="auto"/>
        <w:rPr>
          <w:rFonts w:asciiTheme="majorHAnsi" w:eastAsia="Calibri" w:hAnsiTheme="majorHAnsi" w:cs="Times New Roman"/>
          <w:sz w:val="24"/>
          <w:szCs w:val="24"/>
          <w:lang w:val="en-US"/>
        </w:rPr>
      </w:pPr>
      <w:r w:rsidRPr="00876AB1">
        <w:rPr>
          <w:rFonts w:asciiTheme="majorHAnsi" w:eastAsia="Calibri" w:hAnsiTheme="majorHAnsi" w:cs="Times New Roman"/>
          <w:noProof/>
          <w:sz w:val="24"/>
          <w:szCs w:val="24"/>
          <w:lang w:eastAsia="en-GB"/>
        </w:rPr>
        <w:drawing>
          <wp:inline distT="0" distB="0" distL="0" distR="0" wp14:anchorId="4FFB5AA3" wp14:editId="78D0F9BA">
            <wp:extent cx="5727700" cy="386397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Rabbit.tif"/>
                    <pic:cNvPicPr/>
                  </pic:nvPicPr>
                  <pic:blipFill>
                    <a:blip r:embed="rId14" cstate="screen">
                      <a:extLst>
                        <a:ext uri="{28A0092B-C50C-407E-A947-70E740481C1C}">
                          <a14:useLocalDpi xmlns:a14="http://schemas.microsoft.com/office/drawing/2010/main"/>
                        </a:ext>
                      </a:extLst>
                    </a:blip>
                    <a:stretch>
                      <a:fillRect/>
                    </a:stretch>
                  </pic:blipFill>
                  <pic:spPr>
                    <a:xfrm>
                      <a:off x="0" y="0"/>
                      <a:ext cx="5727700" cy="3863975"/>
                    </a:xfrm>
                    <a:prstGeom prst="rect">
                      <a:avLst/>
                    </a:prstGeom>
                  </pic:spPr>
                </pic:pic>
              </a:graphicData>
            </a:graphic>
          </wp:inline>
        </w:drawing>
      </w:r>
    </w:p>
    <w:p w14:paraId="2265CDA1" w14:textId="77777777" w:rsidR="00900889" w:rsidRPr="00876AB1" w:rsidRDefault="00900889" w:rsidP="00EB3D34">
      <w:pPr>
        <w:spacing w:after="0" w:line="480" w:lineRule="auto"/>
        <w:rPr>
          <w:rFonts w:asciiTheme="majorHAnsi" w:eastAsia="Calibri" w:hAnsiTheme="majorHAnsi" w:cs="Times New Roman"/>
          <w:sz w:val="24"/>
          <w:szCs w:val="24"/>
          <w:lang w:val="en-US"/>
        </w:rPr>
      </w:pPr>
    </w:p>
    <w:p w14:paraId="368E586E" w14:textId="6FBE651C" w:rsidR="00900889" w:rsidRPr="00876AB1" w:rsidRDefault="00900889" w:rsidP="00EB3D34">
      <w:pPr>
        <w:spacing w:after="120" w:line="480" w:lineRule="auto"/>
        <w:rPr>
          <w:rFonts w:asciiTheme="majorHAnsi" w:eastAsia="Calibri" w:hAnsiTheme="majorHAnsi" w:cs="Times New Roman"/>
          <w:sz w:val="24"/>
          <w:szCs w:val="24"/>
          <w:lang w:val="en-US"/>
        </w:rPr>
      </w:pPr>
      <w:r w:rsidRPr="00876AB1">
        <w:rPr>
          <w:rFonts w:asciiTheme="majorHAnsi" w:eastAsia="Calibri" w:hAnsiTheme="majorHAnsi" w:cs="Times New Roman"/>
          <w:b/>
          <w:sz w:val="24"/>
          <w:szCs w:val="24"/>
          <w:lang w:val="en-US"/>
        </w:rPr>
        <w:t>Figure 5.</w:t>
      </w:r>
      <w:r w:rsidRPr="00876AB1">
        <w:rPr>
          <w:rFonts w:asciiTheme="majorHAnsi" w:eastAsia="Calibri" w:hAnsiTheme="majorHAnsi" w:cs="Times New Roman"/>
          <w:sz w:val="24"/>
          <w:szCs w:val="24"/>
          <w:lang w:val="en-US"/>
        </w:rPr>
        <w:t xml:space="preserve"> Pharmacodynamics of flubendazole in a rabbit model of cryptococcal meningitis.  </w:t>
      </w:r>
      <w:r w:rsidRPr="00876AB1">
        <w:rPr>
          <w:rFonts w:asciiTheme="majorHAnsi" w:eastAsia="Calibri" w:hAnsiTheme="majorHAnsi" w:cs="Times New Roman"/>
          <w:i/>
          <w:sz w:val="24"/>
          <w:szCs w:val="24"/>
          <w:lang w:val="en-US"/>
        </w:rPr>
        <w:t>A,</w:t>
      </w:r>
      <w:r w:rsidRPr="00876AB1">
        <w:rPr>
          <w:rFonts w:asciiTheme="majorHAnsi" w:eastAsia="Calibri" w:hAnsiTheme="majorHAnsi" w:cs="Times New Roman"/>
          <w:sz w:val="24"/>
          <w:szCs w:val="24"/>
          <w:lang w:val="en-US"/>
        </w:rPr>
        <w:t xml:space="preserve"> time-course of fungal burden in the CSF of untreated controls; </w:t>
      </w:r>
      <w:r w:rsidRPr="00876AB1">
        <w:rPr>
          <w:rFonts w:asciiTheme="majorHAnsi" w:eastAsia="Calibri" w:hAnsiTheme="majorHAnsi" w:cs="Times New Roman"/>
          <w:i/>
          <w:sz w:val="24"/>
          <w:szCs w:val="24"/>
          <w:lang w:val="en-US"/>
        </w:rPr>
        <w:t>B,</w:t>
      </w:r>
      <w:r w:rsidRPr="00876AB1">
        <w:rPr>
          <w:rFonts w:asciiTheme="majorHAnsi" w:eastAsia="Calibri" w:hAnsiTheme="majorHAnsi" w:cs="Times New Roman"/>
          <w:sz w:val="24"/>
          <w:szCs w:val="24"/>
          <w:lang w:val="en-US"/>
        </w:rPr>
        <w:t xml:space="preserve"> time-course of fungal burden in the CSF rabbits treated with flubendazole 6 mg/kg q24h orally; </w:t>
      </w:r>
      <w:r w:rsidRPr="00876AB1">
        <w:rPr>
          <w:rFonts w:asciiTheme="majorHAnsi" w:eastAsia="Calibri" w:hAnsiTheme="majorHAnsi" w:cs="Times New Roman"/>
          <w:i/>
          <w:sz w:val="24"/>
          <w:szCs w:val="24"/>
          <w:lang w:val="en-US"/>
        </w:rPr>
        <w:t>C,</w:t>
      </w:r>
      <w:r w:rsidRPr="00876AB1">
        <w:rPr>
          <w:rFonts w:asciiTheme="majorHAnsi" w:eastAsia="Calibri" w:hAnsiTheme="majorHAnsi" w:cs="Times New Roman"/>
          <w:sz w:val="24"/>
          <w:szCs w:val="24"/>
          <w:lang w:val="en-US"/>
        </w:rPr>
        <w:t xml:space="preserve"> time-course of fungal burden in the CSF rabbits treated with flubendazole 22.5 mg/kg q24h orally; D, the fungal burden in the cerebrum of rabbits at the end o</w:t>
      </w:r>
      <w:r w:rsidR="008740A2">
        <w:rPr>
          <w:rFonts w:asciiTheme="majorHAnsi" w:eastAsia="Calibri" w:hAnsiTheme="majorHAnsi" w:cs="Times New Roman"/>
          <w:sz w:val="24"/>
          <w:szCs w:val="24"/>
          <w:lang w:val="en-US"/>
        </w:rPr>
        <w:t>f the experiment (time = 288 h</w:t>
      </w:r>
      <w:r w:rsidRPr="00876AB1">
        <w:rPr>
          <w:rFonts w:asciiTheme="majorHAnsi" w:eastAsia="Calibri" w:hAnsiTheme="majorHAnsi" w:cs="Times New Roman"/>
          <w:sz w:val="24"/>
          <w:szCs w:val="24"/>
          <w:lang w:val="en-US"/>
        </w:rPr>
        <w:t>rs</w:t>
      </w:r>
      <w:r w:rsidR="008740A2">
        <w:rPr>
          <w:rFonts w:asciiTheme="majorHAnsi" w:eastAsia="Calibri" w:hAnsiTheme="majorHAnsi" w:cs="Times New Roman"/>
          <w:sz w:val="24"/>
          <w:szCs w:val="24"/>
          <w:lang w:val="en-US"/>
        </w:rPr>
        <w:t>.</w:t>
      </w:r>
      <w:r w:rsidRPr="00876AB1">
        <w:rPr>
          <w:rFonts w:asciiTheme="majorHAnsi" w:eastAsia="Calibri" w:hAnsiTheme="majorHAnsi" w:cs="Times New Roman"/>
          <w:sz w:val="24"/>
          <w:szCs w:val="24"/>
          <w:lang w:val="en-US"/>
        </w:rPr>
        <w:t xml:space="preserve"> post inoculation and after 10 days of treatment with flubendazole)</w:t>
      </w:r>
      <w:r w:rsidR="008740A2">
        <w:rPr>
          <w:rFonts w:asciiTheme="majorHAnsi" w:eastAsia="Calibri" w:hAnsiTheme="majorHAnsi" w:cs="Times New Roman"/>
          <w:sz w:val="24"/>
          <w:szCs w:val="24"/>
          <w:lang w:val="en-US"/>
        </w:rPr>
        <w:t>.  There are no differences in the three groups (p=0.464</w:t>
      </w:r>
      <w:r w:rsidR="00E3720D">
        <w:rPr>
          <w:rFonts w:asciiTheme="majorHAnsi" w:eastAsia="Calibri" w:hAnsiTheme="majorHAnsi" w:cs="Times New Roman"/>
          <w:sz w:val="24"/>
          <w:szCs w:val="24"/>
          <w:lang w:val="en-US"/>
        </w:rPr>
        <w:t>,</w:t>
      </w:r>
      <w:r w:rsidR="008740A2">
        <w:rPr>
          <w:rFonts w:asciiTheme="majorHAnsi" w:eastAsia="Calibri" w:hAnsiTheme="majorHAnsi" w:cs="Times New Roman"/>
          <w:sz w:val="24"/>
          <w:szCs w:val="24"/>
          <w:lang w:val="en-US"/>
        </w:rPr>
        <w:t xml:space="preserve"> ANOVA).</w:t>
      </w:r>
    </w:p>
    <w:p w14:paraId="23F93CCF" w14:textId="628FEB08" w:rsidR="006C350C" w:rsidRPr="00876AB1" w:rsidRDefault="006C350C" w:rsidP="00EB3D34">
      <w:pPr>
        <w:spacing w:line="480" w:lineRule="auto"/>
        <w:rPr>
          <w:lang w:val="en-US"/>
        </w:rPr>
      </w:pPr>
    </w:p>
    <w:sectPr w:rsidR="006C350C" w:rsidRPr="00876AB1" w:rsidSect="006C350C">
      <w:footerReference w:type="even" r:id="rId15"/>
      <w:footerReference w:type="default" r:id="rId16"/>
      <w:pgSz w:w="12240" w:h="15840" w:code="1"/>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A3F542" w16cid:durableId="1D6219C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07B6F" w14:textId="77777777" w:rsidR="003F4764" w:rsidRDefault="003F4764">
      <w:pPr>
        <w:spacing w:after="0" w:line="240" w:lineRule="auto"/>
      </w:pPr>
      <w:r>
        <w:separator/>
      </w:r>
    </w:p>
  </w:endnote>
  <w:endnote w:type="continuationSeparator" w:id="0">
    <w:p w14:paraId="45265029" w14:textId="77777777" w:rsidR="003F4764" w:rsidRDefault="003F4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457DB" w14:textId="77777777" w:rsidR="00525CC5" w:rsidRDefault="00525CC5" w:rsidP="00525C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D72006" w14:textId="77777777" w:rsidR="00525CC5" w:rsidRDefault="00525CC5" w:rsidP="00AB6B4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9245" w14:textId="4DF09729" w:rsidR="00525CC5" w:rsidRDefault="00525CC5" w:rsidP="00525C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09A8">
      <w:rPr>
        <w:rStyle w:val="PageNumber"/>
        <w:noProof/>
      </w:rPr>
      <w:t>5</w:t>
    </w:r>
    <w:r>
      <w:rPr>
        <w:rStyle w:val="PageNumber"/>
      </w:rPr>
      <w:fldChar w:fldCharType="end"/>
    </w:r>
  </w:p>
  <w:p w14:paraId="152AB171" w14:textId="373E3B37" w:rsidR="00525CC5" w:rsidRDefault="00525CC5" w:rsidP="00AB6B4B">
    <w:pPr>
      <w:pStyle w:val="Footer"/>
      <w:ind w:right="360"/>
      <w:jc w:val="center"/>
    </w:pPr>
  </w:p>
  <w:p w14:paraId="21E5E809" w14:textId="77777777" w:rsidR="00525CC5" w:rsidRDefault="00525CC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A2768" w14:textId="77777777" w:rsidR="003F4764" w:rsidRDefault="003F4764">
      <w:pPr>
        <w:spacing w:after="0" w:line="240" w:lineRule="auto"/>
      </w:pPr>
      <w:r>
        <w:separator/>
      </w:r>
    </w:p>
  </w:footnote>
  <w:footnote w:type="continuationSeparator" w:id="0">
    <w:p w14:paraId="71759445" w14:textId="77777777" w:rsidR="003F4764" w:rsidRDefault="003F476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A5AE9"/>
    <w:multiLevelType w:val="hybridMultilevel"/>
    <w:tmpl w:val="37F6593A"/>
    <w:lvl w:ilvl="0" w:tplc="394A1684">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A50D99"/>
    <w:multiLevelType w:val="hybridMultilevel"/>
    <w:tmpl w:val="8D3CA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F420E62"/>
    <w:multiLevelType w:val="hybridMultilevel"/>
    <w:tmpl w:val="0956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1365CD"/>
    <w:multiLevelType w:val="hybridMultilevel"/>
    <w:tmpl w:val="7E9ED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BE94110"/>
    <w:multiLevelType w:val="hybridMultilevel"/>
    <w:tmpl w:val="86AE3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timicrobial Agents Chem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9vz599p1ew05ge09ssvtz9ytfpszv5tt0d2&quot;&gt;Flubendazole paper&lt;record-ids&gt;&lt;item&gt;123&lt;/item&gt;&lt;/record-ids&gt;&lt;/item&gt;&lt;/Libraries&gt;"/>
  </w:docVars>
  <w:rsids>
    <w:rsidRoot w:val="00900889"/>
    <w:rsid w:val="0000523E"/>
    <w:rsid w:val="00005D8C"/>
    <w:rsid w:val="00013E07"/>
    <w:rsid w:val="00047488"/>
    <w:rsid w:val="000623B5"/>
    <w:rsid w:val="00074E28"/>
    <w:rsid w:val="00080BD5"/>
    <w:rsid w:val="000824BC"/>
    <w:rsid w:val="000A052E"/>
    <w:rsid w:val="000A417B"/>
    <w:rsid w:val="000A68A8"/>
    <w:rsid w:val="000B340A"/>
    <w:rsid w:val="000C07C1"/>
    <w:rsid w:val="000C6A3A"/>
    <w:rsid w:val="000D4A9E"/>
    <w:rsid w:val="000D6FC0"/>
    <w:rsid w:val="000E250B"/>
    <w:rsid w:val="000E5F1C"/>
    <w:rsid w:val="00101F4C"/>
    <w:rsid w:val="00103079"/>
    <w:rsid w:val="001058F0"/>
    <w:rsid w:val="00110778"/>
    <w:rsid w:val="00122613"/>
    <w:rsid w:val="0012380C"/>
    <w:rsid w:val="001262DD"/>
    <w:rsid w:val="00130AF2"/>
    <w:rsid w:val="0013318C"/>
    <w:rsid w:val="001359F9"/>
    <w:rsid w:val="0014141A"/>
    <w:rsid w:val="001425C7"/>
    <w:rsid w:val="00152456"/>
    <w:rsid w:val="00165BCC"/>
    <w:rsid w:val="0017170D"/>
    <w:rsid w:val="00174ADD"/>
    <w:rsid w:val="00187072"/>
    <w:rsid w:val="001A60CE"/>
    <w:rsid w:val="001D1F73"/>
    <w:rsid w:val="001D5C74"/>
    <w:rsid w:val="001D5DA0"/>
    <w:rsid w:val="001E0875"/>
    <w:rsid w:val="001E2FF9"/>
    <w:rsid w:val="001E334E"/>
    <w:rsid w:val="001F0E07"/>
    <w:rsid w:val="001F6E08"/>
    <w:rsid w:val="00200FD2"/>
    <w:rsid w:val="00224579"/>
    <w:rsid w:val="002277E0"/>
    <w:rsid w:val="0025133D"/>
    <w:rsid w:val="0026138A"/>
    <w:rsid w:val="0026212C"/>
    <w:rsid w:val="00270FF9"/>
    <w:rsid w:val="00294D4A"/>
    <w:rsid w:val="002A027C"/>
    <w:rsid w:val="002A0F06"/>
    <w:rsid w:val="002A70A2"/>
    <w:rsid w:val="002B6DEB"/>
    <w:rsid w:val="002D3BE4"/>
    <w:rsid w:val="002E08EC"/>
    <w:rsid w:val="002E2ED9"/>
    <w:rsid w:val="002E7D82"/>
    <w:rsid w:val="002F1953"/>
    <w:rsid w:val="002F4448"/>
    <w:rsid w:val="003052DE"/>
    <w:rsid w:val="003129F1"/>
    <w:rsid w:val="00315439"/>
    <w:rsid w:val="00317DAD"/>
    <w:rsid w:val="00325246"/>
    <w:rsid w:val="003252C7"/>
    <w:rsid w:val="00330999"/>
    <w:rsid w:val="003333C8"/>
    <w:rsid w:val="00346282"/>
    <w:rsid w:val="003518CB"/>
    <w:rsid w:val="0035218A"/>
    <w:rsid w:val="003537C2"/>
    <w:rsid w:val="003858A8"/>
    <w:rsid w:val="0039164E"/>
    <w:rsid w:val="00393938"/>
    <w:rsid w:val="0039408F"/>
    <w:rsid w:val="00396C7C"/>
    <w:rsid w:val="003A36DD"/>
    <w:rsid w:val="003B2CE2"/>
    <w:rsid w:val="003B66FE"/>
    <w:rsid w:val="003C4ED7"/>
    <w:rsid w:val="003D1463"/>
    <w:rsid w:val="003D2B6A"/>
    <w:rsid w:val="003D64B9"/>
    <w:rsid w:val="003F2D2E"/>
    <w:rsid w:val="003F4764"/>
    <w:rsid w:val="003F6968"/>
    <w:rsid w:val="0041013B"/>
    <w:rsid w:val="00414E5C"/>
    <w:rsid w:val="00430021"/>
    <w:rsid w:val="00433783"/>
    <w:rsid w:val="00434118"/>
    <w:rsid w:val="0044155D"/>
    <w:rsid w:val="00450A75"/>
    <w:rsid w:val="00450DE4"/>
    <w:rsid w:val="0045326C"/>
    <w:rsid w:val="00484353"/>
    <w:rsid w:val="00487C54"/>
    <w:rsid w:val="004A7DE6"/>
    <w:rsid w:val="004B147A"/>
    <w:rsid w:val="004B1A11"/>
    <w:rsid w:val="004B3EB1"/>
    <w:rsid w:val="004B7125"/>
    <w:rsid w:val="004C76AC"/>
    <w:rsid w:val="004C79FE"/>
    <w:rsid w:val="004C7B7F"/>
    <w:rsid w:val="004E0F99"/>
    <w:rsid w:val="004E15B7"/>
    <w:rsid w:val="004E1625"/>
    <w:rsid w:val="004E4912"/>
    <w:rsid w:val="004E7F54"/>
    <w:rsid w:val="004F19B9"/>
    <w:rsid w:val="005002A9"/>
    <w:rsid w:val="005078DA"/>
    <w:rsid w:val="0051094E"/>
    <w:rsid w:val="00516E56"/>
    <w:rsid w:val="00525CC5"/>
    <w:rsid w:val="00530D6D"/>
    <w:rsid w:val="00533C4A"/>
    <w:rsid w:val="00535F58"/>
    <w:rsid w:val="005361C3"/>
    <w:rsid w:val="00541235"/>
    <w:rsid w:val="00541BC9"/>
    <w:rsid w:val="005435BC"/>
    <w:rsid w:val="005559EE"/>
    <w:rsid w:val="00572811"/>
    <w:rsid w:val="00573AF1"/>
    <w:rsid w:val="005766F0"/>
    <w:rsid w:val="00580AD1"/>
    <w:rsid w:val="00595F50"/>
    <w:rsid w:val="00597119"/>
    <w:rsid w:val="005A1327"/>
    <w:rsid w:val="005A4298"/>
    <w:rsid w:val="005A7889"/>
    <w:rsid w:val="005B1DCA"/>
    <w:rsid w:val="005C75F2"/>
    <w:rsid w:val="005D292D"/>
    <w:rsid w:val="005D5C9E"/>
    <w:rsid w:val="005E5D67"/>
    <w:rsid w:val="005E5E5C"/>
    <w:rsid w:val="005E74D9"/>
    <w:rsid w:val="005F3842"/>
    <w:rsid w:val="00613619"/>
    <w:rsid w:val="00622198"/>
    <w:rsid w:val="0062757A"/>
    <w:rsid w:val="00633167"/>
    <w:rsid w:val="006354DC"/>
    <w:rsid w:val="006576A3"/>
    <w:rsid w:val="00657B51"/>
    <w:rsid w:val="00667548"/>
    <w:rsid w:val="00667DAA"/>
    <w:rsid w:val="006738E2"/>
    <w:rsid w:val="006749E5"/>
    <w:rsid w:val="00681954"/>
    <w:rsid w:val="00683776"/>
    <w:rsid w:val="006B3E1C"/>
    <w:rsid w:val="006C1653"/>
    <w:rsid w:val="006C350C"/>
    <w:rsid w:val="006C61AA"/>
    <w:rsid w:val="006D063A"/>
    <w:rsid w:val="006D196D"/>
    <w:rsid w:val="006D4C3A"/>
    <w:rsid w:val="006E2022"/>
    <w:rsid w:val="006E242F"/>
    <w:rsid w:val="006E7186"/>
    <w:rsid w:val="006F3A55"/>
    <w:rsid w:val="006F7502"/>
    <w:rsid w:val="007057F6"/>
    <w:rsid w:val="00720C6F"/>
    <w:rsid w:val="00721DE8"/>
    <w:rsid w:val="007338BB"/>
    <w:rsid w:val="007367FB"/>
    <w:rsid w:val="00763C47"/>
    <w:rsid w:val="00763CB1"/>
    <w:rsid w:val="007851BA"/>
    <w:rsid w:val="00792D37"/>
    <w:rsid w:val="0079730E"/>
    <w:rsid w:val="007B3066"/>
    <w:rsid w:val="007C32E0"/>
    <w:rsid w:val="007D0CE0"/>
    <w:rsid w:val="007D1736"/>
    <w:rsid w:val="007E6EBF"/>
    <w:rsid w:val="007F3F08"/>
    <w:rsid w:val="008013EA"/>
    <w:rsid w:val="00807D53"/>
    <w:rsid w:val="00810389"/>
    <w:rsid w:val="0081772B"/>
    <w:rsid w:val="00846AB9"/>
    <w:rsid w:val="00847AA5"/>
    <w:rsid w:val="00854164"/>
    <w:rsid w:val="008565D5"/>
    <w:rsid w:val="008721BD"/>
    <w:rsid w:val="008740A2"/>
    <w:rsid w:val="00875890"/>
    <w:rsid w:val="00876AB1"/>
    <w:rsid w:val="00894629"/>
    <w:rsid w:val="008968E3"/>
    <w:rsid w:val="008A2026"/>
    <w:rsid w:val="008A6859"/>
    <w:rsid w:val="008B5A1B"/>
    <w:rsid w:val="008B7F3A"/>
    <w:rsid w:val="008C365D"/>
    <w:rsid w:val="008C46A9"/>
    <w:rsid w:val="008C5FEE"/>
    <w:rsid w:val="008E5F9E"/>
    <w:rsid w:val="008E66EE"/>
    <w:rsid w:val="008E73C2"/>
    <w:rsid w:val="008E769A"/>
    <w:rsid w:val="00900889"/>
    <w:rsid w:val="00913BB9"/>
    <w:rsid w:val="009217AD"/>
    <w:rsid w:val="00922D17"/>
    <w:rsid w:val="0094660F"/>
    <w:rsid w:val="00950BCA"/>
    <w:rsid w:val="009523D6"/>
    <w:rsid w:val="0097406C"/>
    <w:rsid w:val="00977C4D"/>
    <w:rsid w:val="00987E87"/>
    <w:rsid w:val="009A4632"/>
    <w:rsid w:val="009A6188"/>
    <w:rsid w:val="009D2CDD"/>
    <w:rsid w:val="009E5FF1"/>
    <w:rsid w:val="009F0D3C"/>
    <w:rsid w:val="009F2737"/>
    <w:rsid w:val="009F62C6"/>
    <w:rsid w:val="00A05592"/>
    <w:rsid w:val="00A14140"/>
    <w:rsid w:val="00A264C1"/>
    <w:rsid w:val="00A40D0C"/>
    <w:rsid w:val="00A4119B"/>
    <w:rsid w:val="00A71757"/>
    <w:rsid w:val="00A76022"/>
    <w:rsid w:val="00A8177A"/>
    <w:rsid w:val="00A85965"/>
    <w:rsid w:val="00AA6126"/>
    <w:rsid w:val="00AB0D09"/>
    <w:rsid w:val="00AB6B4B"/>
    <w:rsid w:val="00AB7BC8"/>
    <w:rsid w:val="00AC31F6"/>
    <w:rsid w:val="00AC7771"/>
    <w:rsid w:val="00AE06D3"/>
    <w:rsid w:val="00AE09A8"/>
    <w:rsid w:val="00AE1E14"/>
    <w:rsid w:val="00AE4602"/>
    <w:rsid w:val="00B03ACC"/>
    <w:rsid w:val="00B06092"/>
    <w:rsid w:val="00B14CD8"/>
    <w:rsid w:val="00B27A77"/>
    <w:rsid w:val="00B34BD6"/>
    <w:rsid w:val="00B34D08"/>
    <w:rsid w:val="00B50686"/>
    <w:rsid w:val="00B52176"/>
    <w:rsid w:val="00B5678D"/>
    <w:rsid w:val="00B622BB"/>
    <w:rsid w:val="00B76270"/>
    <w:rsid w:val="00B77E9E"/>
    <w:rsid w:val="00B83A6F"/>
    <w:rsid w:val="00B83C0F"/>
    <w:rsid w:val="00B920E8"/>
    <w:rsid w:val="00B9368B"/>
    <w:rsid w:val="00B93891"/>
    <w:rsid w:val="00BA05FB"/>
    <w:rsid w:val="00BA1E27"/>
    <w:rsid w:val="00BA32FF"/>
    <w:rsid w:val="00BA42DF"/>
    <w:rsid w:val="00BB29D7"/>
    <w:rsid w:val="00BD2750"/>
    <w:rsid w:val="00BD4F93"/>
    <w:rsid w:val="00BD6D67"/>
    <w:rsid w:val="00BE25B7"/>
    <w:rsid w:val="00C00B05"/>
    <w:rsid w:val="00C03497"/>
    <w:rsid w:val="00C17C1E"/>
    <w:rsid w:val="00C23A72"/>
    <w:rsid w:val="00C319A1"/>
    <w:rsid w:val="00C51F6E"/>
    <w:rsid w:val="00C5323F"/>
    <w:rsid w:val="00C5446A"/>
    <w:rsid w:val="00C65CCA"/>
    <w:rsid w:val="00C67317"/>
    <w:rsid w:val="00C70C05"/>
    <w:rsid w:val="00C73CF7"/>
    <w:rsid w:val="00C824CA"/>
    <w:rsid w:val="00C8383E"/>
    <w:rsid w:val="00CA0C95"/>
    <w:rsid w:val="00CA0CE4"/>
    <w:rsid w:val="00CA1E64"/>
    <w:rsid w:val="00CA20E5"/>
    <w:rsid w:val="00CB06CA"/>
    <w:rsid w:val="00CC7F50"/>
    <w:rsid w:val="00CD1B57"/>
    <w:rsid w:val="00CD44B3"/>
    <w:rsid w:val="00D01895"/>
    <w:rsid w:val="00D07FF7"/>
    <w:rsid w:val="00D1534F"/>
    <w:rsid w:val="00D23FF2"/>
    <w:rsid w:val="00D24175"/>
    <w:rsid w:val="00D2766A"/>
    <w:rsid w:val="00D30254"/>
    <w:rsid w:val="00D34CE3"/>
    <w:rsid w:val="00D44755"/>
    <w:rsid w:val="00D64E3E"/>
    <w:rsid w:val="00D723BA"/>
    <w:rsid w:val="00D778B3"/>
    <w:rsid w:val="00D85CF5"/>
    <w:rsid w:val="00DA3681"/>
    <w:rsid w:val="00DA54F6"/>
    <w:rsid w:val="00DC10B3"/>
    <w:rsid w:val="00DC4232"/>
    <w:rsid w:val="00DC4729"/>
    <w:rsid w:val="00DD485E"/>
    <w:rsid w:val="00DF2840"/>
    <w:rsid w:val="00E02F62"/>
    <w:rsid w:val="00E05E2B"/>
    <w:rsid w:val="00E07C0B"/>
    <w:rsid w:val="00E10EC4"/>
    <w:rsid w:val="00E15F55"/>
    <w:rsid w:val="00E20939"/>
    <w:rsid w:val="00E26DDA"/>
    <w:rsid w:val="00E3720D"/>
    <w:rsid w:val="00E449A3"/>
    <w:rsid w:val="00E47B7C"/>
    <w:rsid w:val="00E52EF3"/>
    <w:rsid w:val="00E542A7"/>
    <w:rsid w:val="00E56F21"/>
    <w:rsid w:val="00E60AD5"/>
    <w:rsid w:val="00E70D5C"/>
    <w:rsid w:val="00E73324"/>
    <w:rsid w:val="00E75020"/>
    <w:rsid w:val="00E95A7A"/>
    <w:rsid w:val="00E9714A"/>
    <w:rsid w:val="00E97A1D"/>
    <w:rsid w:val="00EA189D"/>
    <w:rsid w:val="00EB3D34"/>
    <w:rsid w:val="00EC2F48"/>
    <w:rsid w:val="00EC30F1"/>
    <w:rsid w:val="00EC6CAC"/>
    <w:rsid w:val="00ED0513"/>
    <w:rsid w:val="00EE56E7"/>
    <w:rsid w:val="00EF1F0F"/>
    <w:rsid w:val="00EF774A"/>
    <w:rsid w:val="00F029B4"/>
    <w:rsid w:val="00F1128B"/>
    <w:rsid w:val="00F12290"/>
    <w:rsid w:val="00F22003"/>
    <w:rsid w:val="00F25652"/>
    <w:rsid w:val="00F27C43"/>
    <w:rsid w:val="00F30C00"/>
    <w:rsid w:val="00F329F4"/>
    <w:rsid w:val="00F344AF"/>
    <w:rsid w:val="00F35880"/>
    <w:rsid w:val="00F44615"/>
    <w:rsid w:val="00F464DC"/>
    <w:rsid w:val="00F52AA1"/>
    <w:rsid w:val="00F553C8"/>
    <w:rsid w:val="00F5547C"/>
    <w:rsid w:val="00F65497"/>
    <w:rsid w:val="00F674BD"/>
    <w:rsid w:val="00F7394B"/>
    <w:rsid w:val="00F740E8"/>
    <w:rsid w:val="00F74AD1"/>
    <w:rsid w:val="00F811A1"/>
    <w:rsid w:val="00F86C69"/>
    <w:rsid w:val="00F952D0"/>
    <w:rsid w:val="00F9571D"/>
    <w:rsid w:val="00F97704"/>
    <w:rsid w:val="00FA24D1"/>
    <w:rsid w:val="00FA61D8"/>
    <w:rsid w:val="00FB6F27"/>
    <w:rsid w:val="00FD1CDB"/>
    <w:rsid w:val="00FE745E"/>
    <w:rsid w:val="00FF16E7"/>
    <w:rsid w:val="00FF5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979BF"/>
  <w14:defaultImageDpi w14:val="32767"/>
  <w15:chartTrackingRefBased/>
  <w15:docId w15:val="{216D8990-7A77-46F3-BAD5-3020C9777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73CF7"/>
    <w:pPr>
      <w:spacing w:after="160" w:line="259" w:lineRule="auto"/>
    </w:pPr>
    <w:rPr>
      <w:sz w:val="22"/>
      <w:szCs w:val="22"/>
    </w:rPr>
  </w:style>
  <w:style w:type="paragraph" w:styleId="Heading2">
    <w:name w:val="heading 2"/>
    <w:basedOn w:val="Normal"/>
    <w:next w:val="Normal"/>
    <w:link w:val="Heading2Char"/>
    <w:uiPriority w:val="9"/>
    <w:unhideWhenUsed/>
    <w:qFormat/>
    <w:rsid w:val="009008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0088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00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889"/>
    <w:rPr>
      <w:sz w:val="22"/>
      <w:szCs w:val="22"/>
    </w:rPr>
  </w:style>
  <w:style w:type="paragraph" w:styleId="Footer">
    <w:name w:val="footer"/>
    <w:basedOn w:val="Normal"/>
    <w:link w:val="FooterChar"/>
    <w:uiPriority w:val="99"/>
    <w:unhideWhenUsed/>
    <w:rsid w:val="00900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889"/>
    <w:rPr>
      <w:sz w:val="22"/>
      <w:szCs w:val="22"/>
    </w:rPr>
  </w:style>
  <w:style w:type="character" w:styleId="LineNumber">
    <w:name w:val="line number"/>
    <w:basedOn w:val="DefaultParagraphFont"/>
    <w:uiPriority w:val="99"/>
    <w:semiHidden/>
    <w:unhideWhenUsed/>
    <w:rsid w:val="00900889"/>
  </w:style>
  <w:style w:type="table" w:styleId="TableGrid">
    <w:name w:val="Table Grid"/>
    <w:basedOn w:val="TableNormal"/>
    <w:uiPriority w:val="39"/>
    <w:rsid w:val="0090088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088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900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08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889"/>
    <w:rPr>
      <w:rFonts w:ascii="Segoe UI" w:hAnsi="Segoe UI" w:cs="Segoe UI"/>
      <w:sz w:val="18"/>
      <w:szCs w:val="18"/>
    </w:rPr>
  </w:style>
  <w:style w:type="character" w:styleId="CommentReference">
    <w:name w:val="annotation reference"/>
    <w:basedOn w:val="DefaultParagraphFont"/>
    <w:uiPriority w:val="99"/>
    <w:semiHidden/>
    <w:unhideWhenUsed/>
    <w:rsid w:val="00900889"/>
    <w:rPr>
      <w:sz w:val="16"/>
      <w:szCs w:val="16"/>
    </w:rPr>
  </w:style>
  <w:style w:type="paragraph" w:styleId="CommentText">
    <w:name w:val="annotation text"/>
    <w:basedOn w:val="Normal"/>
    <w:link w:val="CommentTextChar"/>
    <w:uiPriority w:val="99"/>
    <w:semiHidden/>
    <w:unhideWhenUsed/>
    <w:rsid w:val="00900889"/>
    <w:pPr>
      <w:spacing w:line="240" w:lineRule="auto"/>
    </w:pPr>
    <w:rPr>
      <w:sz w:val="20"/>
      <w:szCs w:val="20"/>
    </w:rPr>
  </w:style>
  <w:style w:type="character" w:customStyle="1" w:styleId="CommentTextChar">
    <w:name w:val="Comment Text Char"/>
    <w:basedOn w:val="DefaultParagraphFont"/>
    <w:link w:val="CommentText"/>
    <w:uiPriority w:val="99"/>
    <w:semiHidden/>
    <w:rsid w:val="00900889"/>
    <w:rPr>
      <w:sz w:val="20"/>
      <w:szCs w:val="20"/>
    </w:rPr>
  </w:style>
  <w:style w:type="paragraph" w:styleId="CommentSubject">
    <w:name w:val="annotation subject"/>
    <w:basedOn w:val="CommentText"/>
    <w:next w:val="CommentText"/>
    <w:link w:val="CommentSubjectChar"/>
    <w:uiPriority w:val="99"/>
    <w:semiHidden/>
    <w:unhideWhenUsed/>
    <w:rsid w:val="00900889"/>
    <w:rPr>
      <w:b/>
      <w:bCs/>
    </w:rPr>
  </w:style>
  <w:style w:type="character" w:customStyle="1" w:styleId="CommentSubjectChar">
    <w:name w:val="Comment Subject Char"/>
    <w:basedOn w:val="CommentTextChar"/>
    <w:link w:val="CommentSubject"/>
    <w:uiPriority w:val="99"/>
    <w:semiHidden/>
    <w:rsid w:val="00900889"/>
    <w:rPr>
      <w:b/>
      <w:bCs/>
      <w:sz w:val="20"/>
      <w:szCs w:val="20"/>
    </w:rPr>
  </w:style>
  <w:style w:type="paragraph" w:styleId="ListParagraph">
    <w:name w:val="List Paragraph"/>
    <w:basedOn w:val="Normal"/>
    <w:uiPriority w:val="34"/>
    <w:qFormat/>
    <w:rsid w:val="00900889"/>
    <w:pPr>
      <w:ind w:left="720"/>
      <w:contextualSpacing/>
    </w:pPr>
  </w:style>
  <w:style w:type="paragraph" w:customStyle="1" w:styleId="EndNoteBibliographyTitle">
    <w:name w:val="EndNote Bibliography Title"/>
    <w:basedOn w:val="Normal"/>
    <w:link w:val="EndNoteBibliographyTitleChar"/>
    <w:rsid w:val="00900889"/>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900889"/>
    <w:rPr>
      <w:rFonts w:ascii="Calibri" w:hAnsi="Calibri"/>
      <w:noProof/>
      <w:sz w:val="22"/>
      <w:szCs w:val="22"/>
      <w:lang w:val="en-US"/>
    </w:rPr>
  </w:style>
  <w:style w:type="paragraph" w:customStyle="1" w:styleId="EndNoteBibliography">
    <w:name w:val="EndNote Bibliography"/>
    <w:basedOn w:val="Normal"/>
    <w:link w:val="EndNoteBibliographyChar"/>
    <w:rsid w:val="00900889"/>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900889"/>
    <w:rPr>
      <w:rFonts w:ascii="Calibri" w:hAnsi="Calibri"/>
      <w:noProof/>
      <w:sz w:val="22"/>
      <w:szCs w:val="22"/>
      <w:lang w:val="en-US"/>
    </w:rPr>
  </w:style>
  <w:style w:type="character" w:styleId="Hyperlink">
    <w:name w:val="Hyperlink"/>
    <w:basedOn w:val="DefaultParagraphFont"/>
    <w:uiPriority w:val="99"/>
    <w:unhideWhenUsed/>
    <w:rsid w:val="00900889"/>
    <w:rPr>
      <w:color w:val="0563C1" w:themeColor="hyperlink"/>
      <w:u w:val="single"/>
    </w:rPr>
  </w:style>
  <w:style w:type="paragraph" w:customStyle="1" w:styleId="p1">
    <w:name w:val="p1"/>
    <w:basedOn w:val="Normal"/>
    <w:rsid w:val="00396C7C"/>
    <w:pPr>
      <w:spacing w:after="0" w:line="240" w:lineRule="auto"/>
    </w:pPr>
    <w:rPr>
      <w:rFonts w:ascii="Helvetica" w:hAnsi="Helvetica" w:cs="Times New Roman"/>
      <w:sz w:val="11"/>
      <w:szCs w:val="11"/>
      <w:lang w:eastAsia="en-GB"/>
    </w:rPr>
  </w:style>
  <w:style w:type="character" w:customStyle="1" w:styleId="s1">
    <w:name w:val="s1"/>
    <w:basedOn w:val="DefaultParagraphFont"/>
    <w:rsid w:val="00396C7C"/>
    <w:rPr>
      <w:rFonts w:ascii="Helvetica" w:hAnsi="Helvetica" w:hint="default"/>
      <w:sz w:val="7"/>
      <w:szCs w:val="7"/>
    </w:rPr>
  </w:style>
  <w:style w:type="character" w:customStyle="1" w:styleId="apple-converted-space">
    <w:name w:val="apple-converted-space"/>
    <w:basedOn w:val="DefaultParagraphFont"/>
    <w:rsid w:val="00396C7C"/>
  </w:style>
  <w:style w:type="paragraph" w:styleId="Revision">
    <w:name w:val="Revision"/>
    <w:hidden/>
    <w:uiPriority w:val="99"/>
    <w:semiHidden/>
    <w:rsid w:val="006738E2"/>
    <w:rPr>
      <w:sz w:val="22"/>
      <w:szCs w:val="22"/>
    </w:rPr>
  </w:style>
  <w:style w:type="character" w:styleId="Strong">
    <w:name w:val="Strong"/>
    <w:basedOn w:val="DefaultParagraphFont"/>
    <w:uiPriority w:val="22"/>
    <w:qFormat/>
    <w:rsid w:val="00807D53"/>
    <w:rPr>
      <w:b/>
      <w:bCs/>
    </w:rPr>
  </w:style>
  <w:style w:type="character" w:styleId="PageNumber">
    <w:name w:val="page number"/>
    <w:basedOn w:val="DefaultParagraphFont"/>
    <w:uiPriority w:val="99"/>
    <w:semiHidden/>
    <w:unhideWhenUsed/>
    <w:rsid w:val="00AB6B4B"/>
  </w:style>
  <w:style w:type="character" w:customStyle="1" w:styleId="UnresolvedMention">
    <w:name w:val="Unresolved Mention"/>
    <w:basedOn w:val="DefaultParagraphFont"/>
    <w:uiPriority w:val="99"/>
    <w:rsid w:val="006354D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55613">
      <w:bodyDiv w:val="1"/>
      <w:marLeft w:val="0"/>
      <w:marRight w:val="0"/>
      <w:marTop w:val="0"/>
      <w:marBottom w:val="0"/>
      <w:divBdr>
        <w:top w:val="none" w:sz="0" w:space="0" w:color="auto"/>
        <w:left w:val="none" w:sz="0" w:space="0" w:color="auto"/>
        <w:bottom w:val="none" w:sz="0" w:space="0" w:color="auto"/>
        <w:right w:val="none" w:sz="0" w:space="0" w:color="auto"/>
      </w:divBdr>
    </w:div>
    <w:div w:id="1215969699">
      <w:bodyDiv w:val="1"/>
      <w:marLeft w:val="0"/>
      <w:marRight w:val="0"/>
      <w:marTop w:val="0"/>
      <w:marBottom w:val="0"/>
      <w:divBdr>
        <w:top w:val="none" w:sz="0" w:space="0" w:color="auto"/>
        <w:left w:val="none" w:sz="0" w:space="0" w:color="auto"/>
        <w:bottom w:val="none" w:sz="0" w:space="0" w:color="auto"/>
        <w:right w:val="none" w:sz="0" w:space="0" w:color="auto"/>
      </w:divBdr>
    </w:div>
    <w:div w:id="1324040329">
      <w:bodyDiv w:val="1"/>
      <w:marLeft w:val="0"/>
      <w:marRight w:val="0"/>
      <w:marTop w:val="0"/>
      <w:marBottom w:val="0"/>
      <w:divBdr>
        <w:top w:val="none" w:sz="0" w:space="0" w:color="auto"/>
        <w:left w:val="none" w:sz="0" w:space="0" w:color="auto"/>
        <w:bottom w:val="none" w:sz="0" w:space="0" w:color="auto"/>
        <w:right w:val="none" w:sz="0" w:space="0" w:color="auto"/>
      </w:divBdr>
    </w:div>
    <w:div w:id="2003196581">
      <w:bodyDiv w:val="1"/>
      <w:marLeft w:val="0"/>
      <w:marRight w:val="0"/>
      <w:marTop w:val="0"/>
      <w:marBottom w:val="0"/>
      <w:divBdr>
        <w:top w:val="none" w:sz="0" w:space="0" w:color="auto"/>
        <w:left w:val="none" w:sz="0" w:space="0" w:color="auto"/>
        <w:bottom w:val="none" w:sz="0" w:space="0" w:color="auto"/>
        <w:right w:val="none" w:sz="0" w:space="0" w:color="auto"/>
      </w:divBdr>
    </w:div>
    <w:div w:id="20774351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21"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salilab.org/modeller/" TargetMode="External"/><Relationship Id="rId9" Type="http://schemas.openxmlformats.org/officeDocument/2006/relationships/hyperlink" Target="https://academic.oup.com/nar/article-lookup/doi/10.1093/nar/gks378"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5BEA2C-2A58-484E-A5E5-DECD26CBB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28321</Words>
  <Characters>161431</Characters>
  <Application>Microsoft Macintosh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UoL</Company>
  <LinksUpToDate>false</LinksUpToDate>
  <CharactersWithSpaces>189374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Hope</dc:creator>
  <cp:keywords/>
  <dc:description/>
  <cp:lastModifiedBy>Hope, William</cp:lastModifiedBy>
  <cp:revision>2</cp:revision>
  <dcterms:created xsi:type="dcterms:W3CDTF">2017-12-30T16:19:00Z</dcterms:created>
  <dcterms:modified xsi:type="dcterms:W3CDTF">2017-12-30T16:19:00Z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119875e6-7452-32db-8cec-984c0e477120</vt:lpwstr>
  </property>
  <property fmtid="{D5CDD505-2E9C-101B-9397-08002B2CF9AE}" pid="4" name="Mendeley Citation Style_1">
    <vt:lpwstr>http://www.zotero.org/styles/antimicrobial-agents-and-chemotherapy</vt:lpwstr>
  </property>
  <property fmtid="{D5CDD505-2E9C-101B-9397-08002B2CF9AE}" pid="5" name="Mendeley Recent Style Id 0_1">
    <vt:lpwstr>http://csl.mendeley.com/styles/111843481/american-society-for-microbiology-ed</vt:lpwstr>
  </property>
  <property fmtid="{D5CDD505-2E9C-101B-9397-08002B2CF9AE}" pid="6" name="Mendeley Recent Style Name 0_1">
    <vt:lpwstr>American Society for Microbiology - William Hope</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http://www.zotero.org/styles/antimicrobial-agents-and-chemotherapy</vt:lpwstr>
  </property>
  <property fmtid="{D5CDD505-2E9C-101B-9397-08002B2CF9AE}" pid="10" name="Mendeley Recent Style Name 2_1">
    <vt:lpwstr>Antimicrobial Agents and Chemotherapy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http://www.zotero.org/styles/journal-of-antimicrobial-chemotherapy</vt:lpwstr>
  </property>
  <property fmtid="{D5CDD505-2E9C-101B-9397-08002B2CF9AE}" pid="18" name="Mendeley Recent Style Name 6_1">
    <vt:lpwstr>Journal of Antimicrobial Chemotherapy</vt:lpwstr>
  </property>
  <property fmtid="{D5CDD505-2E9C-101B-9397-08002B2CF9AE}" pid="19" name="Mendeley Recent Style Id 7_1">
    <vt:lpwstr>http://csl.mendeley.com/styles/111843481/journal-of-antimicrobial-chemotherapy</vt:lpwstr>
  </property>
  <property fmtid="{D5CDD505-2E9C-101B-9397-08002B2CF9AE}" pid="20" name="Mendeley Recent Style Name 7_1">
    <vt:lpwstr>Journal of Antimicrobial Chemotherapy - William Hope</vt:lpwstr>
  </property>
  <property fmtid="{D5CDD505-2E9C-101B-9397-08002B2CF9AE}" pid="21" name="Mendeley Recent Style Id 8_1">
    <vt:lpwstr>http://www.zotero.org/styles/journal-of-infectious-diseases</vt:lpwstr>
  </property>
  <property fmtid="{D5CDD505-2E9C-101B-9397-08002B2CF9AE}" pid="22" name="Mendeley Recent Style Name 8_1">
    <vt:lpwstr>Journal of Infectious Diseases</vt:lpwstr>
  </property>
  <property fmtid="{D5CDD505-2E9C-101B-9397-08002B2CF9AE}" pid="23" name="Mendeley Recent Style Id 9_1">
    <vt:lpwstr>http://www.zotero.org/styles/mbio</vt:lpwstr>
  </property>
  <property fmtid="{D5CDD505-2E9C-101B-9397-08002B2CF9AE}" pid="24" name="Mendeley Recent Style Name 9_1">
    <vt:lpwstr>mBio</vt:lpwstr>
  </property>
</Properties>
</file>