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4934" w14:textId="5997EE30" w:rsidR="000C00B3" w:rsidRPr="002F09C4" w:rsidRDefault="00991872" w:rsidP="00C82105">
      <w:pPr>
        <w:spacing w:after="0" w:line="480" w:lineRule="auto"/>
        <w:jc w:val="center"/>
        <w:rPr>
          <w:b/>
          <w:sz w:val="28"/>
          <w:szCs w:val="28"/>
        </w:rPr>
      </w:pPr>
      <w:bookmarkStart w:id="0" w:name="_GoBack"/>
      <w:bookmarkEnd w:id="0"/>
      <w:r w:rsidRPr="002F09C4">
        <w:rPr>
          <w:b/>
          <w:sz w:val="28"/>
          <w:szCs w:val="28"/>
        </w:rPr>
        <w:t xml:space="preserve">Considerations for Effect Site Pharmacokinetics to Estimate Drug Exposure: </w:t>
      </w:r>
      <w:r w:rsidR="00C82105" w:rsidRPr="002F09C4">
        <w:rPr>
          <w:b/>
          <w:sz w:val="28"/>
          <w:szCs w:val="28"/>
        </w:rPr>
        <w:t xml:space="preserve">Concentrations of Antibiotics in the Lung </w:t>
      </w:r>
    </w:p>
    <w:p w14:paraId="3387155A" w14:textId="2962F071" w:rsidR="000C00B3" w:rsidRPr="00123769" w:rsidRDefault="000C00B3" w:rsidP="00C82105">
      <w:pPr>
        <w:spacing w:after="0" w:line="480" w:lineRule="auto"/>
        <w:jc w:val="center"/>
      </w:pPr>
      <w:r w:rsidRPr="002F09C4">
        <w:t>Keith A. Rodvold</w:t>
      </w:r>
      <w:r w:rsidRPr="002F09C4">
        <w:rPr>
          <w:vertAlign w:val="superscript"/>
        </w:rPr>
        <w:t>1</w:t>
      </w:r>
      <w:r w:rsidR="00C82105" w:rsidRPr="002F09C4">
        <w:t xml:space="preserve">, Sara </w:t>
      </w:r>
      <w:r w:rsidR="003C6892" w:rsidRPr="002F09C4">
        <w:t xml:space="preserve">E. </w:t>
      </w:r>
      <w:r w:rsidR="00C82105" w:rsidRPr="002F09C4">
        <w:t>Boyd</w:t>
      </w:r>
      <w:r w:rsidR="00C82105" w:rsidRPr="002F09C4">
        <w:rPr>
          <w:vertAlign w:val="superscript"/>
        </w:rPr>
        <w:t>2</w:t>
      </w:r>
      <w:r w:rsidR="0019213D" w:rsidRPr="002F09C4">
        <w:rPr>
          <w:vertAlign w:val="superscript"/>
        </w:rPr>
        <w:t>,3</w:t>
      </w:r>
      <w:r w:rsidR="00123769">
        <w:t xml:space="preserve">, </w:t>
      </w:r>
      <w:r w:rsidR="00123769" w:rsidRPr="002F09C4">
        <w:t>William W. Hope</w:t>
      </w:r>
      <w:r w:rsidR="00123769" w:rsidRPr="002F09C4">
        <w:rPr>
          <w:vertAlign w:val="superscript"/>
        </w:rPr>
        <w:t>2</w:t>
      </w:r>
    </w:p>
    <w:p w14:paraId="604ADFC8" w14:textId="77777777" w:rsidR="00C82105" w:rsidRPr="002F09C4" w:rsidRDefault="00C82105" w:rsidP="00C82105">
      <w:pPr>
        <w:spacing w:after="0" w:line="480" w:lineRule="auto"/>
        <w:jc w:val="center"/>
      </w:pPr>
    </w:p>
    <w:p w14:paraId="3377DD70" w14:textId="75E01179" w:rsidR="000C00B3" w:rsidRPr="002F09C4" w:rsidRDefault="000C00B3" w:rsidP="0019213D">
      <w:pPr>
        <w:spacing w:after="0" w:line="480" w:lineRule="auto"/>
        <w:jc w:val="center"/>
      </w:pPr>
      <w:r w:rsidRPr="002F09C4">
        <w:rPr>
          <w:vertAlign w:val="superscript"/>
        </w:rPr>
        <w:t xml:space="preserve">1 </w:t>
      </w:r>
      <w:r w:rsidR="0072434A" w:rsidRPr="002F09C4">
        <w:t xml:space="preserve">Colleges of </w:t>
      </w:r>
      <w:r w:rsidRPr="002F09C4">
        <w:t xml:space="preserve">Pharmacy and Medicine, University of Illinois at Chicago, Chicago, Illinois, USA and </w:t>
      </w:r>
      <w:r w:rsidRPr="002F09C4">
        <w:rPr>
          <w:vertAlign w:val="superscript"/>
        </w:rPr>
        <w:t>2</w:t>
      </w:r>
      <w:r w:rsidRPr="002F09C4">
        <w:t>Antimicrobial Pharmacodynamics and Therapeutics, Department of Molecular and Clinical Pharmacology, University of Liverpool, Liverpool, United Kingdom</w:t>
      </w:r>
    </w:p>
    <w:p w14:paraId="3EBAD299" w14:textId="0DC159E5" w:rsidR="0019213D" w:rsidRPr="002F09C4" w:rsidRDefault="0019213D" w:rsidP="0019213D">
      <w:pPr>
        <w:spacing w:after="0" w:line="480" w:lineRule="auto"/>
        <w:jc w:val="center"/>
      </w:pPr>
      <w:r w:rsidRPr="002F09C4">
        <w:rPr>
          <w:vertAlign w:val="superscript"/>
        </w:rPr>
        <w:t>3</w:t>
      </w:r>
      <w:r w:rsidRPr="002F09C4">
        <w:t xml:space="preserve"> </w:t>
      </w:r>
      <w:r w:rsidR="00F96589" w:rsidRPr="002F09C4">
        <w:t xml:space="preserve">Division of Infectious Diseases </w:t>
      </w:r>
      <w:r w:rsidR="00B824EF" w:rsidRPr="002F09C4">
        <w:t>&amp; Immunity</w:t>
      </w:r>
      <w:r w:rsidRPr="002F09C4">
        <w:t>, Imperial College</w:t>
      </w:r>
      <w:r w:rsidR="00FD1661" w:rsidRPr="002F09C4">
        <w:t xml:space="preserve"> London</w:t>
      </w:r>
      <w:r w:rsidRPr="002F09C4">
        <w:t>, London, United Kingdom</w:t>
      </w:r>
    </w:p>
    <w:p w14:paraId="3991602C" w14:textId="77777777" w:rsidR="0019213D" w:rsidRPr="002F09C4" w:rsidRDefault="0019213D" w:rsidP="00C82105">
      <w:pPr>
        <w:spacing w:after="0" w:line="480" w:lineRule="auto"/>
        <w:jc w:val="center"/>
      </w:pPr>
    </w:p>
    <w:p w14:paraId="1876ED1A" w14:textId="77777777" w:rsidR="00C82105" w:rsidRPr="002F09C4" w:rsidRDefault="00C82105" w:rsidP="00C82105">
      <w:pPr>
        <w:spacing w:after="0" w:line="480" w:lineRule="auto"/>
        <w:jc w:val="center"/>
        <w:rPr>
          <w:b/>
        </w:rPr>
      </w:pPr>
    </w:p>
    <w:p w14:paraId="2572C900" w14:textId="77777777" w:rsidR="000C00B3" w:rsidRPr="002F09C4" w:rsidRDefault="000C00B3" w:rsidP="00C82105">
      <w:pPr>
        <w:spacing w:after="0" w:line="480" w:lineRule="auto"/>
        <w:rPr>
          <w:i/>
        </w:rPr>
      </w:pPr>
      <w:r w:rsidRPr="002F09C4">
        <w:rPr>
          <w:b/>
        </w:rPr>
        <w:t>Journal Submission:</w:t>
      </w:r>
      <w:r w:rsidRPr="002F09C4">
        <w:t xml:space="preserve">  </w:t>
      </w:r>
      <w:r w:rsidRPr="002F09C4">
        <w:rPr>
          <w:i/>
        </w:rPr>
        <w:t>Current Opinion in Pharmacology</w:t>
      </w:r>
    </w:p>
    <w:p w14:paraId="3F95D493" w14:textId="77777777" w:rsidR="00C82105" w:rsidRPr="002F09C4" w:rsidRDefault="00C82105" w:rsidP="00C82105">
      <w:pPr>
        <w:spacing w:after="0" w:line="480" w:lineRule="auto"/>
      </w:pPr>
    </w:p>
    <w:p w14:paraId="7208E17E" w14:textId="77777777" w:rsidR="00C82105" w:rsidRPr="002F09C4" w:rsidRDefault="00C82105" w:rsidP="00C82105">
      <w:pPr>
        <w:spacing w:after="0" w:line="480" w:lineRule="auto"/>
      </w:pPr>
      <w:r w:rsidRPr="002F09C4">
        <w:rPr>
          <w:b/>
        </w:rPr>
        <w:t>Running title:</w:t>
      </w:r>
      <w:r w:rsidRPr="002F09C4">
        <w:t xml:space="preserve">  Intrapulmonary concentrations of antibiotics</w:t>
      </w:r>
    </w:p>
    <w:p w14:paraId="59BF93A9" w14:textId="77777777" w:rsidR="00C82105" w:rsidRPr="002F09C4" w:rsidRDefault="00C82105" w:rsidP="00C82105">
      <w:pPr>
        <w:spacing w:after="0" w:line="480" w:lineRule="auto"/>
      </w:pPr>
      <w:r w:rsidRPr="002F09C4">
        <w:rPr>
          <w:b/>
        </w:rPr>
        <w:t>Key words:</w:t>
      </w:r>
      <w:r w:rsidRPr="002F09C4">
        <w:t xml:space="preserve">  Antibiotics, epithelial lining fluid, bronchoalveolar lavage, microdialysis</w:t>
      </w:r>
    </w:p>
    <w:p w14:paraId="2590A206" w14:textId="77777777" w:rsidR="00C82105" w:rsidRPr="002F09C4" w:rsidRDefault="00C82105" w:rsidP="00C82105">
      <w:pPr>
        <w:spacing w:after="0" w:line="480" w:lineRule="auto"/>
        <w:jc w:val="center"/>
      </w:pPr>
    </w:p>
    <w:p w14:paraId="38A47BAC" w14:textId="77777777" w:rsidR="00C82105" w:rsidRPr="002F09C4" w:rsidRDefault="00C82105" w:rsidP="00C82105">
      <w:pPr>
        <w:spacing w:after="0" w:line="480" w:lineRule="auto"/>
        <w:rPr>
          <w:b/>
        </w:rPr>
      </w:pPr>
      <w:r w:rsidRPr="002F09C4">
        <w:rPr>
          <w:b/>
        </w:rPr>
        <w:t>Address correspondence to:</w:t>
      </w:r>
    </w:p>
    <w:p w14:paraId="192957DE" w14:textId="77777777" w:rsidR="00C82105" w:rsidRPr="002F09C4" w:rsidRDefault="00C82105" w:rsidP="00C82105">
      <w:pPr>
        <w:spacing w:after="0" w:line="480" w:lineRule="auto"/>
      </w:pPr>
      <w:r w:rsidRPr="002F09C4">
        <w:t>Keith A. Rodvold, Pharm.D. FCCP, FIDSA</w:t>
      </w:r>
    </w:p>
    <w:p w14:paraId="621CA614" w14:textId="77777777" w:rsidR="00C82105" w:rsidRPr="002F09C4" w:rsidRDefault="00C82105" w:rsidP="00C82105">
      <w:pPr>
        <w:spacing w:after="0" w:line="480" w:lineRule="auto"/>
      </w:pPr>
      <w:r w:rsidRPr="002F09C4">
        <w:t>University of Illinois at Chicago, College of Pharmacy</w:t>
      </w:r>
    </w:p>
    <w:p w14:paraId="001C4395" w14:textId="77777777" w:rsidR="00C82105" w:rsidRPr="002F09C4" w:rsidRDefault="00C82105" w:rsidP="00C82105">
      <w:pPr>
        <w:spacing w:after="0" w:line="480" w:lineRule="auto"/>
      </w:pPr>
      <w:r w:rsidRPr="002F09C4">
        <w:t>833 South Wood Street, Room 164, m/c 886</w:t>
      </w:r>
    </w:p>
    <w:p w14:paraId="57595756" w14:textId="77777777" w:rsidR="00C82105" w:rsidRPr="002F09C4" w:rsidRDefault="00C82105" w:rsidP="00C82105">
      <w:pPr>
        <w:spacing w:after="0" w:line="480" w:lineRule="auto"/>
      </w:pPr>
      <w:r w:rsidRPr="002F09C4">
        <w:t>Chicago, Illinois  60612  USA</w:t>
      </w:r>
    </w:p>
    <w:p w14:paraId="19785E87" w14:textId="77777777" w:rsidR="00C82105" w:rsidRPr="002F09C4" w:rsidRDefault="00C82105" w:rsidP="00C82105">
      <w:pPr>
        <w:spacing w:after="0" w:line="480" w:lineRule="auto"/>
      </w:pPr>
      <w:r w:rsidRPr="002F09C4">
        <w:t>Phone:</w:t>
      </w:r>
      <w:r w:rsidRPr="002F09C4">
        <w:tab/>
        <w:t>312-996-3341</w:t>
      </w:r>
    </w:p>
    <w:p w14:paraId="39CF3291" w14:textId="77777777" w:rsidR="00C82105" w:rsidRPr="002F09C4" w:rsidRDefault="00C82105" w:rsidP="00C82105">
      <w:pPr>
        <w:spacing w:after="0" w:line="480" w:lineRule="auto"/>
      </w:pPr>
      <w:r w:rsidRPr="002F09C4">
        <w:t>Fax:</w:t>
      </w:r>
      <w:r w:rsidRPr="002F09C4">
        <w:tab/>
        <w:t>312-413-1797</w:t>
      </w:r>
    </w:p>
    <w:p w14:paraId="4018B875" w14:textId="48EB9FB0" w:rsidR="000C00B3" w:rsidRPr="002F09C4" w:rsidRDefault="00C82105" w:rsidP="00BB1831">
      <w:pPr>
        <w:spacing w:after="0" w:line="480" w:lineRule="auto"/>
      </w:pPr>
      <w:r w:rsidRPr="002F09C4">
        <w:t>Email:</w:t>
      </w:r>
      <w:r w:rsidRPr="002F09C4">
        <w:tab/>
        <w:t>kar@uic.edu</w:t>
      </w:r>
      <w:r w:rsidR="000C00B3" w:rsidRPr="002F09C4">
        <w:br w:type="page"/>
      </w:r>
    </w:p>
    <w:p w14:paraId="0F692B83" w14:textId="77777777" w:rsidR="00356FFF" w:rsidRPr="002F09C4" w:rsidRDefault="00356FFF" w:rsidP="006D79DD">
      <w:pPr>
        <w:tabs>
          <w:tab w:val="left" w:pos="360"/>
        </w:tabs>
        <w:spacing w:after="0" w:line="480" w:lineRule="auto"/>
        <w:rPr>
          <w:b/>
        </w:rPr>
      </w:pPr>
      <w:r w:rsidRPr="002F09C4">
        <w:rPr>
          <w:b/>
        </w:rPr>
        <w:lastRenderedPageBreak/>
        <w:t>ABSTRACT</w:t>
      </w:r>
    </w:p>
    <w:p w14:paraId="09751CE4" w14:textId="3D80C0D6" w:rsidR="00586159" w:rsidRPr="002F09C4" w:rsidRDefault="006D79DD" w:rsidP="008E5183">
      <w:pPr>
        <w:tabs>
          <w:tab w:val="left" w:pos="360"/>
        </w:tabs>
        <w:spacing w:after="0" w:line="480" w:lineRule="auto"/>
        <w:rPr>
          <w:b/>
        </w:rPr>
      </w:pPr>
      <w:r w:rsidRPr="002F09C4">
        <w:tab/>
      </w:r>
      <w:r w:rsidR="00A02018" w:rsidRPr="002F09C4">
        <w:t>B</w:t>
      </w:r>
      <w:r w:rsidR="00147876" w:rsidRPr="002F09C4">
        <w:t>ronchoalveolar lavage (BAL) and microdialysis have become the most reliable and relevant methods for measuring lung concentrations of antibiotics</w:t>
      </w:r>
      <w:r w:rsidR="00A02018" w:rsidRPr="002F09C4">
        <w:t>, with t</w:t>
      </w:r>
      <w:r w:rsidR="00147876" w:rsidRPr="002F09C4">
        <w:t>he majority of BAL studies</w:t>
      </w:r>
      <w:r w:rsidR="003C6892" w:rsidRPr="002F09C4">
        <w:t xml:space="preserve"> </w:t>
      </w:r>
      <w:r w:rsidR="00147876" w:rsidRPr="002F09C4">
        <w:t>involv</w:t>
      </w:r>
      <w:r w:rsidR="00A02018" w:rsidRPr="002F09C4">
        <w:t>ing</w:t>
      </w:r>
      <w:r w:rsidR="00147876" w:rsidRPr="002F09C4">
        <w:t xml:space="preserve"> either healthy adult subjects or patients undergoing diagnostic bronchoscopy. </w:t>
      </w:r>
      <w:r w:rsidR="00A02018" w:rsidRPr="002F09C4">
        <w:t>E</w:t>
      </w:r>
      <w:r w:rsidR="00147876" w:rsidRPr="002F09C4">
        <w:t xml:space="preserve">mphasis on the amount of drug that reaches the site of infection </w:t>
      </w:r>
      <w:r w:rsidR="0049787A" w:rsidRPr="002F09C4">
        <w:t>is increasingly</w:t>
      </w:r>
      <w:r w:rsidR="00326AEC" w:rsidRPr="002F09C4">
        <w:t xml:space="preserve"> </w:t>
      </w:r>
      <w:r w:rsidR="0049787A" w:rsidRPr="002F09C4">
        <w:t>recognized as necessary to</w:t>
      </w:r>
      <w:r w:rsidR="003C6892" w:rsidRPr="002F09C4">
        <w:t xml:space="preserve"> </w:t>
      </w:r>
      <w:r w:rsidR="00147876" w:rsidRPr="002F09C4">
        <w:t xml:space="preserve">determine whether a dose selection will </w:t>
      </w:r>
      <w:r w:rsidR="003C6892" w:rsidRPr="002F09C4">
        <w:t>translate to good clinical outcome</w:t>
      </w:r>
      <w:r w:rsidR="00104E68" w:rsidRPr="002F09C4">
        <w:t>s</w:t>
      </w:r>
      <w:r w:rsidR="003C6892" w:rsidRPr="002F09C4">
        <w:t xml:space="preserve"> in the treatment of </w:t>
      </w:r>
      <w:r w:rsidR="00326AEC" w:rsidRPr="002F09C4">
        <w:t xml:space="preserve">patients with </w:t>
      </w:r>
      <w:r w:rsidR="00104E68" w:rsidRPr="002F09C4">
        <w:t>pneumonia</w:t>
      </w:r>
      <w:r w:rsidR="00147876" w:rsidRPr="002F09C4">
        <w:t xml:space="preserve">. </w:t>
      </w:r>
      <w:r w:rsidR="00104E68" w:rsidRPr="002F09C4">
        <w:t>O</w:t>
      </w:r>
      <w:r w:rsidR="00147876" w:rsidRPr="002F09C4">
        <w:t xml:space="preserve">bserved concentrations and/or parameters of exposure (e.g., area-under-the-curve) need to be incorporated with pharmacokinetic-pharmacodynamic indices so that rational dose selection can be </w:t>
      </w:r>
      <w:r w:rsidR="0049787A" w:rsidRPr="002F09C4">
        <w:t xml:space="preserve">identified </w:t>
      </w:r>
      <w:r w:rsidR="00147876" w:rsidRPr="002F09C4">
        <w:t>for</w:t>
      </w:r>
      <w:r w:rsidR="0049787A" w:rsidRPr="002F09C4">
        <w:t xml:space="preserve"> </w:t>
      </w:r>
      <w:r w:rsidR="00147876" w:rsidRPr="002F09C4">
        <w:t>specific pathogen</w:t>
      </w:r>
      <w:r w:rsidR="0049787A" w:rsidRPr="002F09C4">
        <w:t>s</w:t>
      </w:r>
      <w:r w:rsidR="00147876" w:rsidRPr="002F09C4">
        <w:t xml:space="preserve"> and type</w:t>
      </w:r>
      <w:r w:rsidR="0049787A" w:rsidRPr="002F09C4">
        <w:t>s</w:t>
      </w:r>
      <w:r w:rsidR="00147876" w:rsidRPr="002F09C4">
        <w:t xml:space="preserve"> of pneumonic infection (community-acquired versus hospital-acquired bacterial pneumonia, including ventilator-associated bacterial pneumonia).  </w:t>
      </w:r>
      <w:r w:rsidRPr="002F09C4">
        <w:t>While having measured plasma or lung concentration-time data from critically ill patients to incorporate into pharmacokinetic-pharmacodynamic models is very unlikely during drug development</w:t>
      </w:r>
      <w:r w:rsidR="002F09C4">
        <w:t>,</w:t>
      </w:r>
      <w:r w:rsidRPr="002F09C4">
        <w:t xml:space="preserve"> </w:t>
      </w:r>
      <w:r w:rsidR="0049787A" w:rsidRPr="002F09C4">
        <w:t xml:space="preserve">it is essential that </w:t>
      </w:r>
      <w:r w:rsidRPr="002F09C4">
        <w:t>altered distribution, augmented renal clearance, and renal or hepatic dysfunction should be considered.</w:t>
      </w:r>
      <w:r w:rsidR="00147876" w:rsidRPr="002F09C4">
        <w:t xml:space="preserve"> </w:t>
      </w:r>
      <w:r w:rsidR="0049787A" w:rsidRPr="002F09C4">
        <w:t>Notably, t</w:t>
      </w:r>
      <w:r w:rsidR="00147876" w:rsidRPr="002F09C4">
        <w:t>he number of published studies involving microdialysis and intrapulmonary penetration of antibiotics has been limited and mainly involve beta-lactam agents, levofloxacin, and fosfomycin</w:t>
      </w:r>
      <w:r w:rsidR="0049787A" w:rsidRPr="002F09C4">
        <w:t>.</w:t>
      </w:r>
      <w:r w:rsidR="00147876" w:rsidRPr="002F09C4">
        <w:t xml:space="preserve"> </w:t>
      </w:r>
      <w:r w:rsidR="004C3E87" w:rsidRPr="002F09C4">
        <w:t>O</w:t>
      </w:r>
      <w:r w:rsidR="006B5EEB" w:rsidRPr="002F09C4">
        <w:t xml:space="preserve">pportunities to measure </w:t>
      </w:r>
      <w:r w:rsidR="007637BA" w:rsidRPr="002F09C4">
        <w:t xml:space="preserve">in </w:t>
      </w:r>
      <w:r w:rsidR="006B5EEB" w:rsidRPr="002F09C4">
        <w:t>high</w:t>
      </w:r>
      <w:r w:rsidR="00B7159C" w:rsidRPr="002F09C4">
        <w:t>-</w:t>
      </w:r>
      <w:r w:rsidR="006B5EEB" w:rsidRPr="002F09C4">
        <w:t>resolution effect site spatial pharmacokinetics (</w:t>
      </w:r>
      <w:r w:rsidR="00DA6C7D" w:rsidRPr="002F09C4">
        <w:t xml:space="preserve">e.g. </w:t>
      </w:r>
      <w:r w:rsidR="00B7159C" w:rsidRPr="002F09C4">
        <w:t xml:space="preserve">with </w:t>
      </w:r>
      <w:r w:rsidR="006B5EEB" w:rsidRPr="002F09C4">
        <w:t>MALDI-MSI</w:t>
      </w:r>
      <w:r w:rsidR="00B7159C" w:rsidRPr="002F09C4">
        <w:t xml:space="preserve"> or</w:t>
      </w:r>
      <w:r w:rsidR="00DA6C7D" w:rsidRPr="002F09C4">
        <w:t xml:space="preserve"> PET imaging</w:t>
      </w:r>
      <w:r w:rsidR="006B5EEB" w:rsidRPr="002F09C4">
        <w:t>) and in vivo continuous drug concentrations (</w:t>
      </w:r>
      <w:r w:rsidR="00B7159C" w:rsidRPr="002F09C4">
        <w:t xml:space="preserve">e.g. with </w:t>
      </w:r>
      <w:r w:rsidR="006B5EEB" w:rsidRPr="002F09C4">
        <w:t>aptamer</w:t>
      </w:r>
      <w:r w:rsidR="007637BA" w:rsidRPr="002F09C4">
        <w:t>-based probes) now exist.</w:t>
      </w:r>
      <w:r w:rsidR="006B5EEB" w:rsidRPr="002F09C4">
        <w:t xml:space="preserve"> </w:t>
      </w:r>
      <w:r w:rsidR="00634510" w:rsidRPr="002F09C4">
        <w:t>Going forward t</w:t>
      </w:r>
      <w:r w:rsidR="00AE7301" w:rsidRPr="002F09C4">
        <w:t>hese studies c</w:t>
      </w:r>
      <w:r w:rsidR="009C6F2C" w:rsidRPr="002F09C4">
        <w:t xml:space="preserve">ould be </w:t>
      </w:r>
      <w:r w:rsidR="00634510" w:rsidRPr="002F09C4">
        <w:t>incorporated</w:t>
      </w:r>
      <w:r w:rsidR="009C6F2C" w:rsidRPr="002F09C4">
        <w:t xml:space="preserve"> </w:t>
      </w:r>
      <w:r w:rsidR="00634510" w:rsidRPr="002F09C4">
        <w:t xml:space="preserve">into antibiotic </w:t>
      </w:r>
      <w:r w:rsidR="009630F6" w:rsidRPr="002F09C4">
        <w:t xml:space="preserve">development </w:t>
      </w:r>
      <w:r w:rsidR="00634510" w:rsidRPr="002F09C4">
        <w:t xml:space="preserve">programs </w:t>
      </w:r>
      <w:r w:rsidR="009630F6" w:rsidRPr="002F09C4">
        <w:t xml:space="preserve">for </w:t>
      </w:r>
      <w:r w:rsidR="009C6F2C" w:rsidRPr="002F09C4">
        <w:t>pneumonia</w:t>
      </w:r>
      <w:r w:rsidR="00634510" w:rsidRPr="002F09C4">
        <w:t xml:space="preserve"> in order to </w:t>
      </w:r>
      <w:r w:rsidR="00B7159C" w:rsidRPr="002F09C4">
        <w:t xml:space="preserve">further </w:t>
      </w:r>
      <w:r w:rsidR="00634510" w:rsidRPr="002F09C4">
        <w:t>increase the probability of candidate success</w:t>
      </w:r>
      <w:r w:rsidR="009C6F2C" w:rsidRPr="002F09C4">
        <w:t>.</w:t>
      </w:r>
    </w:p>
    <w:p w14:paraId="38F6C9E2" w14:textId="77777777" w:rsidR="00586159" w:rsidRPr="002F09C4" w:rsidRDefault="00586159" w:rsidP="008E5183">
      <w:pPr>
        <w:tabs>
          <w:tab w:val="left" w:pos="360"/>
        </w:tabs>
        <w:spacing w:after="0" w:line="480" w:lineRule="auto"/>
        <w:rPr>
          <w:b/>
        </w:rPr>
      </w:pPr>
    </w:p>
    <w:p w14:paraId="6EABC807" w14:textId="77777777" w:rsidR="00586159" w:rsidRPr="002F09C4" w:rsidRDefault="00586159" w:rsidP="008E5183">
      <w:pPr>
        <w:tabs>
          <w:tab w:val="left" w:pos="360"/>
        </w:tabs>
        <w:spacing w:after="0" w:line="480" w:lineRule="auto"/>
        <w:rPr>
          <w:b/>
        </w:rPr>
      </w:pPr>
    </w:p>
    <w:p w14:paraId="4F25A815" w14:textId="77777777" w:rsidR="00586159" w:rsidRPr="002F09C4" w:rsidRDefault="00586159" w:rsidP="008E5183">
      <w:pPr>
        <w:tabs>
          <w:tab w:val="left" w:pos="360"/>
        </w:tabs>
        <w:spacing w:after="0" w:line="480" w:lineRule="auto"/>
        <w:rPr>
          <w:b/>
        </w:rPr>
      </w:pPr>
    </w:p>
    <w:p w14:paraId="72AE0B10" w14:textId="77777777" w:rsidR="00586159" w:rsidRPr="002F09C4" w:rsidRDefault="00586159" w:rsidP="008E5183">
      <w:pPr>
        <w:tabs>
          <w:tab w:val="left" w:pos="360"/>
        </w:tabs>
        <w:spacing w:after="0" w:line="480" w:lineRule="auto"/>
        <w:rPr>
          <w:b/>
        </w:rPr>
      </w:pPr>
    </w:p>
    <w:p w14:paraId="19EB5210" w14:textId="77777777" w:rsidR="00586159" w:rsidRPr="002F09C4" w:rsidRDefault="00586159" w:rsidP="008E5183">
      <w:pPr>
        <w:tabs>
          <w:tab w:val="left" w:pos="360"/>
        </w:tabs>
        <w:spacing w:after="0" w:line="480" w:lineRule="auto"/>
        <w:rPr>
          <w:b/>
        </w:rPr>
      </w:pPr>
    </w:p>
    <w:p w14:paraId="14B86D9F" w14:textId="6CE21970" w:rsidR="00E35445" w:rsidRPr="002F09C4" w:rsidRDefault="009A1895" w:rsidP="008E5183">
      <w:pPr>
        <w:tabs>
          <w:tab w:val="left" w:pos="360"/>
        </w:tabs>
        <w:spacing w:after="0" w:line="480" w:lineRule="auto"/>
        <w:rPr>
          <w:b/>
        </w:rPr>
      </w:pPr>
      <w:r w:rsidRPr="002F09C4">
        <w:rPr>
          <w:b/>
        </w:rPr>
        <w:lastRenderedPageBreak/>
        <w:t>INTRODUCTION</w:t>
      </w:r>
    </w:p>
    <w:p w14:paraId="0252172D" w14:textId="0046A26B" w:rsidR="006B23C5" w:rsidRPr="002F09C4" w:rsidRDefault="00E35445" w:rsidP="008E5183">
      <w:pPr>
        <w:tabs>
          <w:tab w:val="left" w:pos="360"/>
        </w:tabs>
        <w:spacing w:after="0" w:line="480" w:lineRule="auto"/>
      </w:pPr>
      <w:r w:rsidRPr="002F09C4">
        <w:rPr>
          <w:b/>
        </w:rPr>
        <w:tab/>
      </w:r>
      <w:r w:rsidR="001C5E1B" w:rsidRPr="002F09C4">
        <w:t>A</w:t>
      </w:r>
      <w:r w:rsidR="00C46269" w:rsidRPr="002F09C4">
        <w:t>n a</w:t>
      </w:r>
      <w:r w:rsidR="001C5E1B" w:rsidRPr="002F09C4">
        <w:t xml:space="preserve">dequate </w:t>
      </w:r>
      <w:r w:rsidR="00EF55E2" w:rsidRPr="002F09C4">
        <w:t>drug</w:t>
      </w:r>
      <w:r w:rsidR="001E7B4E" w:rsidRPr="002F09C4">
        <w:t xml:space="preserve"> concentration </w:t>
      </w:r>
      <w:r w:rsidR="001C5E1B" w:rsidRPr="002F09C4">
        <w:t xml:space="preserve">at the site of </w:t>
      </w:r>
      <w:r w:rsidR="008E5183" w:rsidRPr="002F09C4">
        <w:t xml:space="preserve">an </w:t>
      </w:r>
      <w:r w:rsidR="001C5E1B" w:rsidRPr="002F09C4">
        <w:t xml:space="preserve">infection </w:t>
      </w:r>
      <w:r w:rsidR="00EF55E2" w:rsidRPr="002F09C4">
        <w:t>continues to have an important role in our ability to unde</w:t>
      </w:r>
      <w:r w:rsidR="004362D5" w:rsidRPr="002F09C4">
        <w:t>rstand the pharmacokinetic-pharmacodynamic (PK-PD) relationships</w:t>
      </w:r>
      <w:r w:rsidR="00EF55E2" w:rsidRPr="002F09C4">
        <w:t xml:space="preserve"> of antibiotic</w:t>
      </w:r>
      <w:r w:rsidR="008E5183" w:rsidRPr="002F09C4">
        <w:t>s</w:t>
      </w:r>
      <w:r w:rsidR="006B23C5" w:rsidRPr="002F09C4">
        <w:t xml:space="preserve"> [1]</w:t>
      </w:r>
      <w:r w:rsidR="00EF55E2" w:rsidRPr="002F09C4">
        <w:t>.</w:t>
      </w:r>
      <w:r w:rsidR="001C5E1B" w:rsidRPr="002F09C4">
        <w:t xml:space="preserve"> </w:t>
      </w:r>
      <w:r w:rsidR="007F6E5E" w:rsidRPr="002F09C4">
        <w:t>During the past 50 years, numerous</w:t>
      </w:r>
      <w:r w:rsidR="00DC1E0E" w:rsidRPr="002F09C4">
        <w:t xml:space="preserve"> studies </w:t>
      </w:r>
      <w:r w:rsidR="008E5183" w:rsidRPr="002F09C4">
        <w:t xml:space="preserve">have been </w:t>
      </w:r>
      <w:r w:rsidR="00DC1E0E" w:rsidRPr="002F09C4">
        <w:t xml:space="preserve">conducted </w:t>
      </w:r>
      <w:r w:rsidR="008E5183" w:rsidRPr="002F09C4">
        <w:t xml:space="preserve">to </w:t>
      </w:r>
      <w:r w:rsidR="007F6E5E" w:rsidRPr="002F09C4">
        <w:t>measure</w:t>
      </w:r>
      <w:r w:rsidR="00456340" w:rsidRPr="002F09C4">
        <w:t xml:space="preserve"> tissue</w:t>
      </w:r>
      <w:r w:rsidR="007F6E5E" w:rsidRPr="002F09C4">
        <w:t>, cell</w:t>
      </w:r>
      <w:r w:rsidR="00456340" w:rsidRPr="002F09C4">
        <w:t xml:space="preserve"> or fluid concentrations of antibiotics in the lung</w:t>
      </w:r>
      <w:r w:rsidR="006B23C5" w:rsidRPr="002F09C4">
        <w:t xml:space="preserve"> [2</w:t>
      </w:r>
      <w:r w:rsidR="00196CE1" w:rsidRPr="002F09C4">
        <w:t>,3,4••,5,6••,7•, 8••</w:t>
      </w:r>
      <w:r w:rsidR="006B23C5" w:rsidRPr="002F09C4">
        <w:t>]</w:t>
      </w:r>
      <w:r w:rsidR="00DC1E0E" w:rsidRPr="002F09C4">
        <w:t>.</w:t>
      </w:r>
      <w:r w:rsidR="0074341B" w:rsidRPr="002F09C4">
        <w:t xml:space="preserve"> </w:t>
      </w:r>
      <w:r w:rsidR="00C14A29" w:rsidRPr="002F09C4">
        <w:t xml:space="preserve"> Various methods and sampling sites</w:t>
      </w:r>
      <w:r w:rsidR="007536B5" w:rsidRPr="002F09C4">
        <w:t xml:space="preserve"> have been</w:t>
      </w:r>
      <w:r w:rsidR="00126C5B" w:rsidRPr="002F09C4">
        <w:t xml:space="preserve"> used</w:t>
      </w:r>
      <w:r w:rsidR="0066794C" w:rsidRPr="002F09C4">
        <w:t>.</w:t>
      </w:r>
      <w:r w:rsidR="007536B5" w:rsidRPr="002F09C4">
        <w:t xml:space="preserve"> </w:t>
      </w:r>
      <w:r w:rsidR="0066794C" w:rsidRPr="002F09C4">
        <w:t xml:space="preserve"> Nevertheless,</w:t>
      </w:r>
      <w:r w:rsidR="00326AEC" w:rsidRPr="002F09C4">
        <w:t xml:space="preserve"> </w:t>
      </w:r>
      <w:r w:rsidR="00126C5B" w:rsidRPr="002F09C4">
        <w:t xml:space="preserve">no clear </w:t>
      </w:r>
      <w:r w:rsidR="00C14A29" w:rsidRPr="002F09C4">
        <w:t xml:space="preserve">consensus </w:t>
      </w:r>
      <w:r w:rsidR="00326AEC" w:rsidRPr="002F09C4">
        <w:t>exists</w:t>
      </w:r>
      <w:r w:rsidR="00C14A29" w:rsidRPr="002F09C4">
        <w:t xml:space="preserve"> </w:t>
      </w:r>
      <w:r w:rsidR="00104E68" w:rsidRPr="002F09C4">
        <w:t>on</w:t>
      </w:r>
      <w:r w:rsidR="00C00D2D" w:rsidRPr="002F09C4">
        <w:t xml:space="preserve"> </w:t>
      </w:r>
      <w:r w:rsidR="008E5183" w:rsidRPr="002F09C4">
        <w:t>the</w:t>
      </w:r>
      <w:r w:rsidR="00C00D2D" w:rsidRPr="002F09C4">
        <w:t xml:space="preserve"> </w:t>
      </w:r>
      <w:r w:rsidR="00126C5B" w:rsidRPr="002F09C4">
        <w:t xml:space="preserve">optimal approach </w:t>
      </w:r>
      <w:r w:rsidR="00104E68" w:rsidRPr="002F09C4">
        <w:t>for</w:t>
      </w:r>
      <w:r w:rsidR="00126C5B" w:rsidRPr="002F09C4">
        <w:t xml:space="preserve"> measuring </w:t>
      </w:r>
      <w:r w:rsidR="007536B5" w:rsidRPr="002F09C4">
        <w:t xml:space="preserve">the </w:t>
      </w:r>
      <w:r w:rsidR="00126C5B" w:rsidRPr="002F09C4">
        <w:t xml:space="preserve">concentrations of antibiotics in the lung </w:t>
      </w:r>
      <w:r w:rsidR="006B23C5" w:rsidRPr="002F09C4">
        <w:t>[</w:t>
      </w:r>
      <w:r w:rsidR="00F108FC" w:rsidRPr="002F09C4">
        <w:t>3</w:t>
      </w:r>
      <w:r w:rsidR="00196CE1" w:rsidRPr="002F09C4">
        <w:t>, 4••,5,6••,</w:t>
      </w:r>
      <w:r w:rsidR="008E5183" w:rsidRPr="002F09C4">
        <w:t>7</w:t>
      </w:r>
      <w:r w:rsidR="00196CE1" w:rsidRPr="002F09C4">
        <w:t>•</w:t>
      </w:r>
      <w:r w:rsidR="008E5183" w:rsidRPr="002F09C4">
        <w:t>,9</w:t>
      </w:r>
      <w:r w:rsidR="006B23C5" w:rsidRPr="002F09C4">
        <w:t>]</w:t>
      </w:r>
      <w:r w:rsidR="00C14A29" w:rsidRPr="002F09C4">
        <w:t>.</w:t>
      </w:r>
      <w:r w:rsidR="00126C5B" w:rsidRPr="002F09C4">
        <w:t xml:space="preserve">  </w:t>
      </w:r>
      <w:r w:rsidR="0066794C" w:rsidRPr="002F09C4">
        <w:t>M</w:t>
      </w:r>
      <w:r w:rsidR="00C00D2D" w:rsidRPr="002F09C4">
        <w:t xml:space="preserve">ethods that </w:t>
      </w:r>
      <w:r w:rsidR="007536B5" w:rsidRPr="002F09C4">
        <w:t xml:space="preserve">involve </w:t>
      </w:r>
      <w:r w:rsidR="00C00D2D" w:rsidRPr="002F09C4">
        <w:t>measur</w:t>
      </w:r>
      <w:r w:rsidR="007536B5" w:rsidRPr="002F09C4">
        <w:t xml:space="preserve">ing the </w:t>
      </w:r>
      <w:r w:rsidR="00C00D2D" w:rsidRPr="002F09C4">
        <w:t xml:space="preserve">concentrations of antibiotics </w:t>
      </w:r>
      <w:r w:rsidR="0066794C" w:rsidRPr="002F09C4">
        <w:t>with</w:t>
      </w:r>
      <w:r w:rsidR="00C00D2D" w:rsidRPr="002F09C4">
        <w:t xml:space="preserve">in specific </w:t>
      </w:r>
      <w:r w:rsidR="0066794C" w:rsidRPr="002F09C4">
        <w:t>sub</w:t>
      </w:r>
      <w:r w:rsidR="00C00D2D" w:rsidRPr="002F09C4">
        <w:t xml:space="preserve">compartments of the lung provide </w:t>
      </w:r>
      <w:r w:rsidR="007536B5" w:rsidRPr="002F09C4">
        <w:t xml:space="preserve">important </w:t>
      </w:r>
      <w:r w:rsidR="00C00D2D" w:rsidRPr="002F09C4">
        <w:t>insight</w:t>
      </w:r>
      <w:r w:rsidR="0066794C" w:rsidRPr="002F09C4">
        <w:t>s</w:t>
      </w:r>
      <w:r w:rsidR="00C00D2D" w:rsidRPr="002F09C4">
        <w:t xml:space="preserve"> </w:t>
      </w:r>
      <w:r w:rsidR="0066794C" w:rsidRPr="002F09C4">
        <w:t>into antimicrobial efficacy</w:t>
      </w:r>
      <w:r w:rsidR="00C00D2D" w:rsidRPr="002F09C4">
        <w:t xml:space="preserve">. </w:t>
      </w:r>
      <w:r w:rsidR="00D87080" w:rsidRPr="002F09C4">
        <w:t>B</w:t>
      </w:r>
      <w:r w:rsidR="00126C5B" w:rsidRPr="002F09C4">
        <w:t xml:space="preserve">ronchoalveolar lavage (BAL) and microdialysis </w:t>
      </w:r>
      <w:r w:rsidR="00D87080" w:rsidRPr="002F09C4">
        <w:t>are currently</w:t>
      </w:r>
      <w:r w:rsidR="00126C5B" w:rsidRPr="002F09C4">
        <w:t xml:space="preserve"> the most</w:t>
      </w:r>
      <w:r w:rsidR="00456340" w:rsidRPr="002F09C4">
        <w:t xml:space="preserve"> reliable and relevant methods for </w:t>
      </w:r>
      <w:r w:rsidR="00126C5B" w:rsidRPr="002F09C4">
        <w:t>measur</w:t>
      </w:r>
      <w:r w:rsidR="00456340" w:rsidRPr="002F09C4">
        <w:t xml:space="preserve">ing lung concentrations of antibiotics </w:t>
      </w:r>
      <w:r w:rsidR="00F108FC" w:rsidRPr="002F09C4">
        <w:t>[4</w:t>
      </w:r>
      <w:r w:rsidR="008E5183" w:rsidRPr="002F09C4">
        <w:t>••</w:t>
      </w:r>
      <w:r w:rsidR="00F108FC" w:rsidRPr="002F09C4">
        <w:t>,5,7</w:t>
      </w:r>
      <w:r w:rsidR="00196CE1" w:rsidRPr="002F09C4">
        <w:t>•</w:t>
      </w:r>
      <w:r w:rsidR="00F108FC" w:rsidRPr="002F09C4">
        <w:t>,8</w:t>
      </w:r>
      <w:r w:rsidR="008E5183" w:rsidRPr="002F09C4">
        <w:t>••</w:t>
      </w:r>
      <w:r w:rsidR="00F108FC" w:rsidRPr="002F09C4">
        <w:t>]</w:t>
      </w:r>
      <w:r w:rsidR="00500618" w:rsidRPr="002F09C4">
        <w:t xml:space="preserve">. </w:t>
      </w:r>
      <w:r w:rsidR="00BB223A" w:rsidRPr="002F09C4">
        <w:t xml:space="preserve">This review will focus on human studies </w:t>
      </w:r>
      <w:r w:rsidR="00D87080" w:rsidRPr="002F09C4">
        <w:t xml:space="preserve">that have </w:t>
      </w:r>
      <w:r w:rsidR="00BB223A" w:rsidRPr="002F09C4">
        <w:t>us</w:t>
      </w:r>
      <w:r w:rsidR="00D87080" w:rsidRPr="002F09C4">
        <w:t>ed</w:t>
      </w:r>
      <w:r w:rsidR="00BB223A" w:rsidRPr="002F09C4">
        <w:t xml:space="preserve"> these two techniques to measure intrapulmonary concentrations </w:t>
      </w:r>
      <w:r w:rsidR="000E73CC" w:rsidRPr="002F09C4">
        <w:t>of antibiotics</w:t>
      </w:r>
      <w:r w:rsidR="00FE1DDD" w:rsidRPr="002F09C4">
        <w:t>.</w:t>
      </w:r>
    </w:p>
    <w:p w14:paraId="224FC57C" w14:textId="77777777" w:rsidR="00E112DC" w:rsidRPr="002F09C4" w:rsidRDefault="00E112DC" w:rsidP="008E5183">
      <w:pPr>
        <w:tabs>
          <w:tab w:val="left" w:pos="360"/>
        </w:tabs>
        <w:spacing w:after="0" w:line="480" w:lineRule="auto"/>
      </w:pPr>
    </w:p>
    <w:p w14:paraId="6957D900" w14:textId="77777777" w:rsidR="00E112DC" w:rsidRPr="002F09C4" w:rsidRDefault="00F841D7" w:rsidP="008E5183">
      <w:pPr>
        <w:tabs>
          <w:tab w:val="left" w:pos="360"/>
        </w:tabs>
        <w:spacing w:after="0" w:line="480" w:lineRule="auto"/>
        <w:rPr>
          <w:b/>
        </w:rPr>
      </w:pPr>
      <w:r w:rsidRPr="002F09C4">
        <w:rPr>
          <w:b/>
        </w:rPr>
        <w:t>INTRAPULMONARY PENETRATION</w:t>
      </w:r>
    </w:p>
    <w:p w14:paraId="6A2CB342" w14:textId="42C832BA" w:rsidR="002D16FC" w:rsidRPr="002F09C4" w:rsidRDefault="00E112DC" w:rsidP="008E5183">
      <w:pPr>
        <w:tabs>
          <w:tab w:val="left" w:pos="360"/>
        </w:tabs>
        <w:spacing w:after="0" w:line="480" w:lineRule="auto"/>
        <w:rPr>
          <w:rFonts w:ascii="Arial" w:eastAsia="Times New Roman" w:hAnsi="Arial" w:cs="Arial"/>
          <w:sz w:val="23"/>
          <w:szCs w:val="23"/>
        </w:rPr>
      </w:pPr>
      <w:r w:rsidRPr="002F09C4">
        <w:rPr>
          <w:b/>
        </w:rPr>
        <w:tab/>
      </w:r>
      <w:r w:rsidR="00E35445" w:rsidRPr="002F09C4">
        <w:t xml:space="preserve">A variety of methodologies have been used for measuring concentrations of </w:t>
      </w:r>
      <w:r w:rsidR="008E5183" w:rsidRPr="002F09C4">
        <w:t>antibiotics</w:t>
      </w:r>
      <w:r w:rsidR="00E35445" w:rsidRPr="002F09C4">
        <w:t xml:space="preserve"> and </w:t>
      </w:r>
      <w:r w:rsidR="008E5183" w:rsidRPr="002F09C4">
        <w:t>determining their</w:t>
      </w:r>
      <w:r w:rsidR="00E35445" w:rsidRPr="002F09C4">
        <w:t xml:space="preserve"> distribution patterns in the lungs</w:t>
      </w:r>
      <w:r w:rsidR="008E5183" w:rsidRPr="002F09C4">
        <w:t xml:space="preserve"> [6••,8••]</w:t>
      </w:r>
      <w:r w:rsidR="00FE1DDD" w:rsidRPr="002F09C4">
        <w:t xml:space="preserve">. </w:t>
      </w:r>
      <w:r w:rsidR="0066794C" w:rsidRPr="002F09C4">
        <w:t>Each has its</w:t>
      </w:r>
      <w:r w:rsidR="00341A44" w:rsidRPr="002F09C4">
        <w:t xml:space="preserve"> advantages, potential limitations, and methodological issues. </w:t>
      </w:r>
      <w:r w:rsidR="00E35445" w:rsidRPr="002F09C4">
        <w:t xml:space="preserve">Historically, anti-infective drug concentrations were measured by obtaining lung tissue during a surgical procedure. Although this is one of the oldest methods for measuring drug concentrations in the lung, whole-tissue concentrations </w:t>
      </w:r>
      <w:r w:rsidR="0066794C" w:rsidRPr="002F09C4">
        <w:t>may be difficult to interpret</w:t>
      </w:r>
      <w:r w:rsidR="007371A2" w:rsidRPr="002F09C4">
        <w:t xml:space="preserve"> </w:t>
      </w:r>
      <w:r w:rsidR="00E35445" w:rsidRPr="002F09C4">
        <w:t>[</w:t>
      </w:r>
      <w:r w:rsidR="007371A2" w:rsidRPr="002F09C4">
        <w:t>9</w:t>
      </w:r>
      <w:r w:rsidR="00E35445" w:rsidRPr="002F09C4">
        <w:t>]</w:t>
      </w:r>
      <w:r w:rsidR="007371A2" w:rsidRPr="002F09C4">
        <w:t>.</w:t>
      </w:r>
      <w:r w:rsidR="00E35445" w:rsidRPr="002F09C4">
        <w:t xml:space="preserve"> The major drawback of drug concentrations reported from whole lung tissue, bronchial tissues and/or secretions is the assumption that </w:t>
      </w:r>
      <w:r w:rsidR="00570080" w:rsidRPr="002F09C4">
        <w:t>antibiotics</w:t>
      </w:r>
      <w:r w:rsidR="00E35445" w:rsidRPr="002F09C4">
        <w:t xml:space="preserve"> are uniformly distributed </w:t>
      </w:r>
      <w:r w:rsidR="0066794C" w:rsidRPr="002F09C4">
        <w:t xml:space="preserve">within </w:t>
      </w:r>
      <w:r w:rsidR="00E35445" w:rsidRPr="002F09C4">
        <w:t>all lung compartments (e.g. extracellular, intracellular</w:t>
      </w:r>
      <w:r w:rsidR="00BB55AF" w:rsidRPr="002F09C4">
        <w:t>, interstitium</w:t>
      </w:r>
      <w:r w:rsidR="00E35445" w:rsidRPr="002F09C4">
        <w:t xml:space="preserve">). </w:t>
      </w:r>
      <w:r w:rsidR="00326AEC" w:rsidRPr="002F09C4">
        <w:t>T</w:t>
      </w:r>
      <w:r w:rsidR="00E35445" w:rsidRPr="002F09C4">
        <w:t xml:space="preserve">he </w:t>
      </w:r>
      <w:r w:rsidR="0066794C" w:rsidRPr="002F09C4">
        <w:t xml:space="preserve">measured </w:t>
      </w:r>
      <w:r w:rsidR="00E35445" w:rsidRPr="002F09C4">
        <w:t xml:space="preserve">drug concentration </w:t>
      </w:r>
      <w:r w:rsidR="00326AEC" w:rsidRPr="002F09C4">
        <w:t xml:space="preserve">will therefore </w:t>
      </w:r>
      <w:r w:rsidR="00E35445" w:rsidRPr="002F09C4">
        <w:t xml:space="preserve">represent a mixture from all compartments </w:t>
      </w:r>
      <w:r w:rsidR="00326AEC" w:rsidRPr="002F09C4">
        <w:t>instead of the</w:t>
      </w:r>
      <w:r w:rsidR="00E35445" w:rsidRPr="002F09C4">
        <w:t xml:space="preserve"> </w:t>
      </w:r>
      <w:r w:rsidR="00AA30C0" w:rsidRPr="002F09C4">
        <w:t xml:space="preserve">drug </w:t>
      </w:r>
      <w:r w:rsidR="00BB55AF" w:rsidRPr="002F09C4">
        <w:t>concentration</w:t>
      </w:r>
      <w:r w:rsidR="00E35445" w:rsidRPr="002F09C4">
        <w:t xml:space="preserve"> </w:t>
      </w:r>
      <w:r w:rsidR="00326AEC" w:rsidRPr="002F09C4">
        <w:t xml:space="preserve">at </w:t>
      </w:r>
      <w:r w:rsidR="00AA30C0" w:rsidRPr="002F09C4">
        <w:t>the</w:t>
      </w:r>
      <w:r w:rsidR="00E35445" w:rsidRPr="002F09C4">
        <w:t xml:space="preserve"> </w:t>
      </w:r>
      <w:r w:rsidR="00AA30C0" w:rsidRPr="002F09C4">
        <w:t xml:space="preserve">clinically relevant </w:t>
      </w:r>
      <w:r w:rsidR="00326AEC" w:rsidRPr="002F09C4">
        <w:t>site of infection</w:t>
      </w:r>
      <w:r w:rsidR="00E35445" w:rsidRPr="002F09C4">
        <w:t>.</w:t>
      </w:r>
      <w:r w:rsidR="00983D61" w:rsidRPr="002F09C4">
        <w:t xml:space="preserve">  </w:t>
      </w:r>
      <w:r w:rsidR="00F35302" w:rsidRPr="002F09C4">
        <w:t>Currently, t</w:t>
      </w:r>
      <w:r w:rsidR="00983D61" w:rsidRPr="002F09C4">
        <w:t xml:space="preserve">he two </w:t>
      </w:r>
      <w:r w:rsidR="00326AEC" w:rsidRPr="002F09C4">
        <w:t xml:space="preserve">preferred </w:t>
      </w:r>
      <w:r w:rsidR="00983D61" w:rsidRPr="002F09C4">
        <w:t xml:space="preserve">methods for measuring antibiotic concentrations in the lung </w:t>
      </w:r>
      <w:r w:rsidR="00326AEC" w:rsidRPr="002F09C4">
        <w:t xml:space="preserve">are </w:t>
      </w:r>
      <w:r w:rsidR="00983D61" w:rsidRPr="002F09C4">
        <w:lastRenderedPageBreak/>
        <w:t xml:space="preserve">BAL and microdialysis.  Bronchoscopy with BAL can </w:t>
      </w:r>
      <w:r w:rsidR="00FE1DDD" w:rsidRPr="002F09C4">
        <w:t xml:space="preserve">determine concentrations in </w:t>
      </w:r>
      <w:r w:rsidR="00983D61" w:rsidRPr="002F09C4">
        <w:t xml:space="preserve">both </w:t>
      </w:r>
      <w:r w:rsidR="00FE1DDD" w:rsidRPr="002F09C4">
        <w:t xml:space="preserve">the </w:t>
      </w:r>
      <w:r w:rsidR="00983D61" w:rsidRPr="002F09C4">
        <w:t>epithelial lining fluid (ELF) and alveolar macrophage</w:t>
      </w:r>
      <w:r w:rsidR="00AA30C0" w:rsidRPr="002F09C4">
        <w:t>s</w:t>
      </w:r>
      <w:r w:rsidR="00983D61" w:rsidRPr="002F09C4">
        <w:t xml:space="preserve"> (AM)</w:t>
      </w:r>
      <w:r w:rsidR="00AA30C0" w:rsidRPr="002F09C4">
        <w:t>,</w:t>
      </w:r>
      <w:r w:rsidR="00983D61" w:rsidRPr="002F09C4">
        <w:t xml:space="preserve"> whereas microdialysis measures concentrations in the interstitial fluid of the lung</w:t>
      </w:r>
      <w:r w:rsidR="00196CE1" w:rsidRPr="002F09C4">
        <w:t xml:space="preserve"> [4••,8••].</w:t>
      </w:r>
      <w:r w:rsidR="00983D61" w:rsidRPr="002F09C4">
        <w:t xml:space="preserve"> </w:t>
      </w:r>
      <w:r w:rsidR="002D16FC" w:rsidRPr="002F09C4">
        <w:t xml:space="preserve"> The </w:t>
      </w:r>
      <w:r w:rsidR="00E35445" w:rsidRPr="002F09C4">
        <w:t xml:space="preserve">ELF </w:t>
      </w:r>
      <w:r w:rsidR="0066794C" w:rsidRPr="002F09C4">
        <w:t>is the relevant</w:t>
      </w:r>
      <w:r w:rsidR="00FE1DDD" w:rsidRPr="002F09C4">
        <w:t xml:space="preserve"> site for</w:t>
      </w:r>
      <w:r w:rsidR="00E35445" w:rsidRPr="002F09C4">
        <w:t xml:space="preserve"> </w:t>
      </w:r>
      <w:r w:rsidR="0063131E" w:rsidRPr="002F09C4">
        <w:t xml:space="preserve">the </w:t>
      </w:r>
      <w:r w:rsidR="00E35445" w:rsidRPr="002F09C4">
        <w:t xml:space="preserve">extracellular respiratory </w:t>
      </w:r>
      <w:r w:rsidR="00FE1DDD" w:rsidRPr="002F09C4">
        <w:t>pathogens</w:t>
      </w:r>
      <w:r w:rsidR="0063131E" w:rsidRPr="002F09C4">
        <w:t xml:space="preserve"> that are</w:t>
      </w:r>
      <w:r w:rsidR="00E35445" w:rsidRPr="002F09C4">
        <w:t xml:space="preserve"> </w:t>
      </w:r>
      <w:r w:rsidR="00FE1DDD" w:rsidRPr="002F09C4">
        <w:t xml:space="preserve">causative </w:t>
      </w:r>
      <w:r w:rsidR="00E35445" w:rsidRPr="002F09C4">
        <w:t xml:space="preserve">in </w:t>
      </w:r>
      <w:r w:rsidR="00D9182E" w:rsidRPr="002F09C4">
        <w:t xml:space="preserve">acute </w:t>
      </w:r>
      <w:r w:rsidR="00E35445" w:rsidRPr="002F09C4">
        <w:t xml:space="preserve">bacterial pneumonia and </w:t>
      </w:r>
      <w:r w:rsidR="00FE1DDD" w:rsidRPr="002F09C4">
        <w:t xml:space="preserve">infective </w:t>
      </w:r>
      <w:r w:rsidR="00E35445" w:rsidRPr="002F09C4">
        <w:t xml:space="preserve">exacerbation of chronic bronchitis. </w:t>
      </w:r>
      <w:r w:rsidR="002D16FC" w:rsidRPr="002F09C4">
        <w:t xml:space="preserve"> </w:t>
      </w:r>
      <w:r w:rsidR="00D9182E" w:rsidRPr="002F09C4">
        <w:t xml:space="preserve">These lower respiratory tract infections </w:t>
      </w:r>
      <w:r w:rsidR="0066794C" w:rsidRPr="002F09C4">
        <w:t>may</w:t>
      </w:r>
      <w:r w:rsidR="00D9182E" w:rsidRPr="002F09C4">
        <w:t xml:space="preserve"> progress </w:t>
      </w:r>
      <w:r w:rsidR="0066794C" w:rsidRPr="002F09C4">
        <w:t xml:space="preserve">to involve </w:t>
      </w:r>
      <w:r w:rsidR="00D9182E" w:rsidRPr="002F09C4">
        <w:t xml:space="preserve">the </w:t>
      </w:r>
      <w:r w:rsidR="00333343" w:rsidRPr="002F09C4">
        <w:t>interstitial fluid</w:t>
      </w:r>
      <w:r w:rsidR="00D9182E" w:rsidRPr="002F09C4">
        <w:t xml:space="preserve"> of the lung. </w:t>
      </w:r>
      <w:r w:rsidR="002D16FC" w:rsidRPr="002F09C4">
        <w:rPr>
          <w:rFonts w:eastAsia="Times New Roman" w:cs="Arial"/>
        </w:rPr>
        <w:t xml:space="preserve"> </w:t>
      </w:r>
      <w:r w:rsidR="00196CE1" w:rsidRPr="002F09C4">
        <w:rPr>
          <w:rFonts w:eastAsia="Times New Roman" w:cs="Arial"/>
        </w:rPr>
        <w:t xml:space="preserve">In contrast, </w:t>
      </w:r>
      <w:r w:rsidR="00D9182E" w:rsidRPr="002F09C4">
        <w:rPr>
          <w:rFonts w:eastAsia="Times New Roman" w:cs="Arial"/>
        </w:rPr>
        <w:t>infections caused by i</w:t>
      </w:r>
      <w:r w:rsidR="00D9182E" w:rsidRPr="002F09C4">
        <w:t>ntracellular pathogens such</w:t>
      </w:r>
      <w:r w:rsidR="00D9182E" w:rsidRPr="002F09C4">
        <w:rPr>
          <w:rFonts w:eastAsia="Times New Roman" w:cs="Arial"/>
          <w:i/>
        </w:rPr>
        <w:t xml:space="preserve"> Legionella pneumophila</w:t>
      </w:r>
      <w:r w:rsidR="00D9182E" w:rsidRPr="002F09C4">
        <w:rPr>
          <w:rFonts w:eastAsia="Times New Roman" w:cs="Arial"/>
        </w:rPr>
        <w:t xml:space="preserve"> and </w:t>
      </w:r>
      <w:r w:rsidR="00D9182E" w:rsidRPr="002F09C4">
        <w:rPr>
          <w:rFonts w:eastAsia="Times New Roman" w:cs="Arial"/>
          <w:i/>
        </w:rPr>
        <w:t>Chlamydophila pneumoniae</w:t>
      </w:r>
      <w:r w:rsidR="00D9182E" w:rsidRPr="002F09C4">
        <w:t xml:space="preserve"> </w:t>
      </w:r>
      <w:r w:rsidR="00333343" w:rsidRPr="002F09C4">
        <w:t>exist</w:t>
      </w:r>
      <w:r w:rsidR="00D9182E" w:rsidRPr="002F09C4">
        <w:t xml:space="preserve"> </w:t>
      </w:r>
      <w:r w:rsidR="0066794C" w:rsidRPr="002F09C4">
        <w:t>with</w:t>
      </w:r>
      <w:r w:rsidR="00D9182E" w:rsidRPr="002F09C4">
        <w:t>in AM.</w:t>
      </w:r>
    </w:p>
    <w:p w14:paraId="4FE5D825" w14:textId="77777777" w:rsidR="007371A2" w:rsidRPr="002F09C4" w:rsidRDefault="007371A2" w:rsidP="008E5183">
      <w:pPr>
        <w:tabs>
          <w:tab w:val="left" w:pos="360"/>
        </w:tabs>
        <w:spacing w:after="0" w:line="480" w:lineRule="auto"/>
      </w:pPr>
    </w:p>
    <w:p w14:paraId="3FA1F63B" w14:textId="77777777" w:rsidR="009A1895" w:rsidRPr="002F09C4" w:rsidRDefault="00F841D7" w:rsidP="008E5183">
      <w:pPr>
        <w:spacing w:after="0" w:line="480" w:lineRule="auto"/>
        <w:rPr>
          <w:b/>
        </w:rPr>
      </w:pPr>
      <w:r w:rsidRPr="002F09C4">
        <w:rPr>
          <w:b/>
        </w:rPr>
        <w:t>Assessment of Antimicrobial Drug Concentrations in Lungs</w:t>
      </w:r>
    </w:p>
    <w:p w14:paraId="437019C3" w14:textId="08275A2E" w:rsidR="00004AC0" w:rsidRPr="002F09C4" w:rsidRDefault="00D152B6" w:rsidP="008E5183">
      <w:pPr>
        <w:tabs>
          <w:tab w:val="left" w:pos="360"/>
        </w:tabs>
        <w:spacing w:after="0" w:line="480" w:lineRule="auto"/>
      </w:pPr>
      <w:r w:rsidRPr="002F09C4">
        <w:tab/>
      </w:r>
      <w:r w:rsidR="00333343" w:rsidRPr="002F09C4">
        <w:t>Most studies</w:t>
      </w:r>
      <w:r w:rsidR="00B70910" w:rsidRPr="002F09C4">
        <w:t xml:space="preserve"> that </w:t>
      </w:r>
      <w:r w:rsidR="0036059E" w:rsidRPr="002F09C4">
        <w:t>measure</w:t>
      </w:r>
      <w:r w:rsidR="00333343" w:rsidRPr="002F09C4">
        <w:t xml:space="preserve"> drug concentrations at an infection site </w:t>
      </w:r>
      <w:r w:rsidR="00004AC0" w:rsidRPr="002F09C4">
        <w:t>often place too much</w:t>
      </w:r>
      <w:r w:rsidR="00B70910" w:rsidRPr="002F09C4">
        <w:t xml:space="preserve"> </w:t>
      </w:r>
      <w:r w:rsidR="00333343" w:rsidRPr="002F09C4">
        <w:t>emphasi</w:t>
      </w:r>
      <w:r w:rsidR="00004AC0" w:rsidRPr="002F09C4">
        <w:t>s</w:t>
      </w:r>
      <w:r w:rsidR="00B70910" w:rsidRPr="002F09C4">
        <w:t xml:space="preserve"> </w:t>
      </w:r>
      <w:r w:rsidR="00004AC0" w:rsidRPr="002F09C4">
        <w:t xml:space="preserve">on </w:t>
      </w:r>
      <w:r w:rsidR="00196CE1" w:rsidRPr="002F09C4">
        <w:t>the value of the</w:t>
      </w:r>
      <w:r w:rsidR="00B70910" w:rsidRPr="002F09C4">
        <w:t xml:space="preserve"> </w:t>
      </w:r>
      <w:r w:rsidR="00333343" w:rsidRPr="002F09C4">
        <w:t>penetration ratio.</w:t>
      </w:r>
      <w:r w:rsidR="00196CE1" w:rsidRPr="002F09C4">
        <w:t xml:space="preserve">  </w:t>
      </w:r>
      <w:r w:rsidR="008C0041" w:rsidRPr="002F09C4">
        <w:t xml:space="preserve">Unfortunately, </w:t>
      </w:r>
      <w:r w:rsidR="00947262" w:rsidRPr="002F09C4">
        <w:t>ratios are used to claim</w:t>
      </w:r>
      <w:r w:rsidR="0063131E" w:rsidRPr="002F09C4">
        <w:t xml:space="preserve"> that </w:t>
      </w:r>
      <w:r w:rsidR="00AA30C0" w:rsidRPr="002F09C4">
        <w:t>specific</w:t>
      </w:r>
      <w:r w:rsidR="00196CE1" w:rsidRPr="002F09C4">
        <w:t xml:space="preserve"> antibiotic</w:t>
      </w:r>
      <w:r w:rsidR="00947262" w:rsidRPr="002F09C4">
        <w:t>s</w:t>
      </w:r>
      <w:r w:rsidR="00004AC0" w:rsidRPr="002F09C4">
        <w:t xml:space="preserve"> </w:t>
      </w:r>
      <w:r w:rsidR="00947262" w:rsidRPr="002F09C4">
        <w:t>may be better</w:t>
      </w:r>
      <w:r w:rsidR="00004AC0" w:rsidRPr="002F09C4">
        <w:t xml:space="preserve"> for treating </w:t>
      </w:r>
      <w:r w:rsidR="008A6835" w:rsidRPr="002F09C4">
        <w:t>pneumonia</w:t>
      </w:r>
      <w:r w:rsidR="00196CE1" w:rsidRPr="002F09C4">
        <w:t>.</w:t>
      </w:r>
      <w:r w:rsidR="00333343" w:rsidRPr="002F09C4">
        <w:t xml:space="preserve"> </w:t>
      </w:r>
      <w:r w:rsidR="008A6835" w:rsidRPr="002F09C4">
        <w:t xml:space="preserve"> T</w:t>
      </w:r>
      <w:r w:rsidR="00B70910" w:rsidRPr="002F09C4">
        <w:t>h</w:t>
      </w:r>
      <w:r w:rsidR="0036059E" w:rsidRPr="002F09C4">
        <w:t>e</w:t>
      </w:r>
      <w:r w:rsidR="00B70910" w:rsidRPr="002F09C4">
        <w:t xml:space="preserve"> </w:t>
      </w:r>
      <w:r w:rsidR="00333343" w:rsidRPr="002F09C4">
        <w:t>ratio of site-to-plasma concentrations provides an important</w:t>
      </w:r>
      <w:r w:rsidR="00B70910" w:rsidRPr="002F09C4">
        <w:t xml:space="preserve"> </w:t>
      </w:r>
      <w:r w:rsidR="00333343" w:rsidRPr="002F09C4">
        <w:t>pharmacological characteristic</w:t>
      </w:r>
      <w:r w:rsidR="00947262" w:rsidRPr="002F09C4">
        <w:t>.</w:t>
      </w:r>
      <w:r w:rsidR="00B70910" w:rsidRPr="002F09C4">
        <w:t xml:space="preserve"> </w:t>
      </w:r>
      <w:r w:rsidR="008A6835" w:rsidRPr="002F09C4">
        <w:t xml:space="preserve">However, in isolation </w:t>
      </w:r>
      <w:r w:rsidR="00B70910" w:rsidRPr="002F09C4">
        <w:t xml:space="preserve">it is not adequate to </w:t>
      </w:r>
      <w:r w:rsidR="008A6835" w:rsidRPr="002F09C4">
        <w:t>determine</w:t>
      </w:r>
      <w:r w:rsidR="00B70910" w:rsidRPr="002F09C4">
        <w:t xml:space="preserve"> whether </w:t>
      </w:r>
      <w:r w:rsidR="008A6835" w:rsidRPr="002F09C4">
        <w:t>an</w:t>
      </w:r>
      <w:r w:rsidR="00B70910" w:rsidRPr="002F09C4">
        <w:t xml:space="preserve"> agent will be </w:t>
      </w:r>
      <w:r w:rsidR="008A6835" w:rsidRPr="002F09C4">
        <w:t xml:space="preserve">effective </w:t>
      </w:r>
      <w:r w:rsidR="0063131E" w:rsidRPr="002F09C4">
        <w:t>at</w:t>
      </w:r>
      <w:r w:rsidR="008A6835" w:rsidRPr="002F09C4">
        <w:t xml:space="preserve"> treating pulmonary infection</w:t>
      </w:r>
      <w:r w:rsidR="0036059E" w:rsidRPr="002F09C4">
        <w:t xml:space="preserve"> </w:t>
      </w:r>
      <w:r w:rsidR="00F70753" w:rsidRPr="002F09C4">
        <w:t>and</w:t>
      </w:r>
      <w:r w:rsidR="0063131E" w:rsidRPr="002F09C4">
        <w:t xml:space="preserve"> </w:t>
      </w:r>
      <w:r w:rsidR="000A50D8" w:rsidRPr="002F09C4">
        <w:t xml:space="preserve">also </w:t>
      </w:r>
      <w:r w:rsidR="0063131E" w:rsidRPr="002F09C4">
        <w:t xml:space="preserve">does not </w:t>
      </w:r>
      <w:r w:rsidR="008A6835" w:rsidRPr="002F09C4">
        <w:t xml:space="preserve">identify </w:t>
      </w:r>
      <w:r w:rsidR="0036059E" w:rsidRPr="002F09C4">
        <w:t>how much drug needs to be administered</w:t>
      </w:r>
      <w:r w:rsidR="00B70910" w:rsidRPr="002F09C4">
        <w:t>.</w:t>
      </w:r>
    </w:p>
    <w:p w14:paraId="3E992FFF" w14:textId="2063A8A8" w:rsidR="00D152B6" w:rsidRPr="002F09C4" w:rsidRDefault="00004AC0" w:rsidP="008E5183">
      <w:pPr>
        <w:tabs>
          <w:tab w:val="left" w:pos="360"/>
        </w:tabs>
        <w:spacing w:after="0" w:line="480" w:lineRule="auto"/>
      </w:pPr>
      <w:r w:rsidRPr="002F09C4">
        <w:tab/>
        <w:t>P</w:t>
      </w:r>
      <w:r w:rsidR="009A1895" w:rsidRPr="002F09C4">
        <w:t xml:space="preserve">enetration ratios change as a function of time because concentrations in plasma and </w:t>
      </w:r>
      <w:r w:rsidRPr="002F09C4">
        <w:t xml:space="preserve">at the </w:t>
      </w:r>
      <w:r w:rsidR="0036059E" w:rsidRPr="002F09C4">
        <w:t>site</w:t>
      </w:r>
      <w:r w:rsidRPr="002F09C4">
        <w:t xml:space="preserve"> </w:t>
      </w:r>
      <w:r w:rsidR="008141DB" w:rsidRPr="002F09C4">
        <w:t xml:space="preserve">of infection </w:t>
      </w:r>
      <w:r w:rsidRPr="002F09C4">
        <w:t xml:space="preserve">demonstrate system hysteresis (e.g., </w:t>
      </w:r>
      <w:r w:rsidR="009A1895" w:rsidRPr="002F09C4">
        <w:t>increase</w:t>
      </w:r>
      <w:r w:rsidRPr="002F09C4">
        <w:t>s</w:t>
      </w:r>
      <w:r w:rsidR="009A1895" w:rsidRPr="002F09C4">
        <w:t xml:space="preserve"> and decrease</w:t>
      </w:r>
      <w:r w:rsidRPr="002F09C4">
        <w:t>s</w:t>
      </w:r>
      <w:r w:rsidR="009A1895" w:rsidRPr="002F09C4">
        <w:t xml:space="preserve"> at different </w:t>
      </w:r>
      <w:r w:rsidR="00947262" w:rsidRPr="002F09C4">
        <w:t xml:space="preserve">rates </w:t>
      </w:r>
      <w:r w:rsidR="009A1895" w:rsidRPr="002F09C4">
        <w:t>from each other</w:t>
      </w:r>
      <w:r w:rsidRPr="002F09C4">
        <w:t>)</w:t>
      </w:r>
      <w:r w:rsidR="009A1895" w:rsidRPr="002F09C4">
        <w:t>. Such time</w:t>
      </w:r>
      <w:r w:rsidRPr="002F09C4">
        <w:t>-</w:t>
      </w:r>
      <w:r w:rsidR="009A1895" w:rsidRPr="002F09C4">
        <w:t xml:space="preserve">dependency </w:t>
      </w:r>
      <w:r w:rsidR="00947262" w:rsidRPr="002F09C4">
        <w:t xml:space="preserve">limits the interpretability of measures from a </w:t>
      </w:r>
      <w:r w:rsidR="009A1895" w:rsidRPr="002F09C4">
        <w:t xml:space="preserve">single sampling time </w:t>
      </w:r>
      <w:r w:rsidR="00947262" w:rsidRPr="002F09C4">
        <w:t>and the true penetration of a drug into the lung</w:t>
      </w:r>
      <w:r w:rsidR="009A1895" w:rsidRPr="002F09C4">
        <w:t xml:space="preserve">. To overcome this limitation, samples should be collected </w:t>
      </w:r>
      <w:r w:rsidR="00947262" w:rsidRPr="002F09C4">
        <w:t xml:space="preserve">from a population of patients </w:t>
      </w:r>
      <w:r w:rsidR="009A1895" w:rsidRPr="002F09C4">
        <w:t>throughout the dosing interval</w:t>
      </w:r>
      <w:r w:rsidR="00947262" w:rsidRPr="002F09C4">
        <w:t xml:space="preserve"> (even though an individual patient only contributes a single lung concentration)</w:t>
      </w:r>
      <w:r w:rsidR="009A1895" w:rsidRPr="002F09C4">
        <w:t xml:space="preserve">. In addition, </w:t>
      </w:r>
      <w:r w:rsidR="00947262" w:rsidRPr="002F09C4">
        <w:t xml:space="preserve">an overall measure of drug </w:t>
      </w:r>
      <w:r w:rsidR="009A1895" w:rsidRPr="002F09C4">
        <w:t>exposure (i.e. the</w:t>
      </w:r>
      <w:r w:rsidR="0036059E" w:rsidRPr="002F09C4">
        <w:t xml:space="preserve"> area-under-the-curve</w:t>
      </w:r>
      <w:r w:rsidR="009A1895" w:rsidRPr="002F09C4">
        <w:t xml:space="preserve"> </w:t>
      </w:r>
      <w:r w:rsidR="0036059E" w:rsidRPr="002F09C4">
        <w:t>[</w:t>
      </w:r>
      <w:r w:rsidR="009A1895" w:rsidRPr="002F09C4">
        <w:t>AUC</w:t>
      </w:r>
      <w:r w:rsidR="0036059E" w:rsidRPr="002F09C4">
        <w:t>]</w:t>
      </w:r>
      <w:r w:rsidR="009A1895" w:rsidRPr="002F09C4">
        <w:t>) in each compartment should be calculated and used to determine the penetration ratio.</w:t>
      </w:r>
    </w:p>
    <w:p w14:paraId="02996945" w14:textId="60FCE5E9" w:rsidR="006454D8" w:rsidRPr="002F09C4" w:rsidRDefault="00D152B6" w:rsidP="008E5183">
      <w:pPr>
        <w:tabs>
          <w:tab w:val="left" w:pos="360"/>
        </w:tabs>
        <w:spacing w:after="0" w:line="480" w:lineRule="auto"/>
      </w:pPr>
      <w:r w:rsidRPr="002F09C4">
        <w:lastRenderedPageBreak/>
        <w:tab/>
      </w:r>
      <w:r w:rsidR="00BF76AE" w:rsidRPr="002F09C4">
        <w:t>T</w:t>
      </w:r>
      <w:r w:rsidR="00A51476" w:rsidRPr="002F09C4">
        <w:t xml:space="preserve">he amount of drug that reaches the site of infection </w:t>
      </w:r>
      <w:r w:rsidR="00BF76AE" w:rsidRPr="002F09C4">
        <w:t>is an important determinant of</w:t>
      </w:r>
      <w:r w:rsidR="008C0041" w:rsidRPr="002F09C4">
        <w:t xml:space="preserve"> dose selection</w:t>
      </w:r>
      <w:r w:rsidR="00A51476" w:rsidRPr="002F09C4">
        <w:t xml:space="preserve">. </w:t>
      </w:r>
      <w:r w:rsidR="00BF76AE" w:rsidRPr="002F09C4">
        <w:t>O</w:t>
      </w:r>
      <w:r w:rsidR="00A51476" w:rsidRPr="002F09C4">
        <w:t xml:space="preserve">bserved concentrations and/or </w:t>
      </w:r>
      <w:r w:rsidR="00BF76AE" w:rsidRPr="002F09C4">
        <w:t xml:space="preserve">measures </w:t>
      </w:r>
      <w:r w:rsidR="00A51476" w:rsidRPr="002F09C4">
        <w:t xml:space="preserve">of </w:t>
      </w:r>
      <w:r w:rsidR="00BF76AE" w:rsidRPr="002F09C4">
        <w:t xml:space="preserve">drug </w:t>
      </w:r>
      <w:r w:rsidR="00A51476" w:rsidRPr="002F09C4">
        <w:t>exposure</w:t>
      </w:r>
      <w:r w:rsidR="008C0041" w:rsidRPr="002F09C4">
        <w:t xml:space="preserve"> (e.g., area-under-the-curve, AUC)</w:t>
      </w:r>
      <w:r w:rsidR="00A51476" w:rsidRPr="002F09C4">
        <w:t xml:space="preserve"> </w:t>
      </w:r>
      <w:r w:rsidR="00BF76AE" w:rsidRPr="002F09C4">
        <w:t xml:space="preserve">are </w:t>
      </w:r>
      <w:r w:rsidR="00DA39E4" w:rsidRPr="002F09C4">
        <w:t>fundamental</w:t>
      </w:r>
      <w:r w:rsidR="00BF76AE" w:rsidRPr="002F09C4">
        <w:t xml:space="preserve"> to</w:t>
      </w:r>
      <w:r w:rsidR="00A51476" w:rsidRPr="002F09C4">
        <w:t xml:space="preserve"> rational dose selection for</w:t>
      </w:r>
      <w:r w:rsidR="00E112DC" w:rsidRPr="002F09C4">
        <w:t xml:space="preserve"> specific</w:t>
      </w:r>
      <w:r w:rsidR="00A51476" w:rsidRPr="002F09C4">
        <w:t xml:space="preserve"> </w:t>
      </w:r>
      <w:r w:rsidR="008C0041" w:rsidRPr="002F09C4">
        <w:t>pathogen</w:t>
      </w:r>
      <w:r w:rsidR="008141DB" w:rsidRPr="002F09C4">
        <w:t>s</w:t>
      </w:r>
      <w:r w:rsidR="008C0041" w:rsidRPr="002F09C4">
        <w:t xml:space="preserve"> and </w:t>
      </w:r>
      <w:r w:rsidR="00E112DC" w:rsidRPr="002F09C4">
        <w:t xml:space="preserve">pneumonic </w:t>
      </w:r>
      <w:r w:rsidR="00BF76AE" w:rsidRPr="002F09C4">
        <w:t xml:space="preserve">diseases </w:t>
      </w:r>
      <w:r w:rsidR="008C0041" w:rsidRPr="002F09C4">
        <w:t>(</w:t>
      </w:r>
      <w:r w:rsidR="00BF76AE" w:rsidRPr="002F09C4">
        <w:t xml:space="preserve">e.g. </w:t>
      </w:r>
      <w:r w:rsidR="00E112DC" w:rsidRPr="002F09C4">
        <w:t>community-</w:t>
      </w:r>
      <w:r w:rsidR="008C0041" w:rsidRPr="002F09C4">
        <w:t>acquired</w:t>
      </w:r>
      <w:r w:rsidR="00E112DC" w:rsidRPr="002F09C4">
        <w:t xml:space="preserve"> </w:t>
      </w:r>
      <w:r w:rsidR="008C0041" w:rsidRPr="002F09C4">
        <w:t>[</w:t>
      </w:r>
      <w:r w:rsidR="00E112DC" w:rsidRPr="002F09C4">
        <w:t>CABP</w:t>
      </w:r>
      <w:r w:rsidR="008C0041" w:rsidRPr="002F09C4">
        <w:t>]</w:t>
      </w:r>
      <w:r w:rsidR="00E112DC" w:rsidRPr="002F09C4">
        <w:t xml:space="preserve"> </w:t>
      </w:r>
      <w:r w:rsidR="008C0041" w:rsidRPr="002F09C4">
        <w:t>versus</w:t>
      </w:r>
      <w:r w:rsidR="00E112DC" w:rsidRPr="002F09C4">
        <w:t xml:space="preserve"> hospital-acquired </w:t>
      </w:r>
      <w:r w:rsidR="008C0041" w:rsidRPr="002F09C4">
        <w:t>[</w:t>
      </w:r>
      <w:r w:rsidR="00E112DC" w:rsidRPr="002F09C4">
        <w:t>HABP</w:t>
      </w:r>
      <w:r w:rsidR="008C0041" w:rsidRPr="002F09C4">
        <w:t>]</w:t>
      </w:r>
      <w:r w:rsidR="00E112DC" w:rsidRPr="002F09C4">
        <w:t xml:space="preserve"> bacterial pneumonia, including ventilator-associated bacterial pneumonia </w:t>
      </w:r>
      <w:r w:rsidR="008C0041" w:rsidRPr="002F09C4">
        <w:t>[</w:t>
      </w:r>
      <w:r w:rsidR="00E112DC" w:rsidRPr="002F09C4">
        <w:t>VABP</w:t>
      </w:r>
      <w:r w:rsidR="008C0041" w:rsidRPr="002F09C4">
        <w:t>])</w:t>
      </w:r>
      <w:r w:rsidR="00E112DC" w:rsidRPr="002F09C4">
        <w:t xml:space="preserve">.  </w:t>
      </w:r>
    </w:p>
    <w:p w14:paraId="15D32188" w14:textId="70CA4ED6" w:rsidR="00B22EE0" w:rsidRPr="002F09C4" w:rsidRDefault="006454D8" w:rsidP="008E5183">
      <w:pPr>
        <w:tabs>
          <w:tab w:val="left" w:pos="360"/>
        </w:tabs>
        <w:spacing w:after="0" w:line="480" w:lineRule="auto"/>
      </w:pPr>
      <w:r w:rsidRPr="002F09C4">
        <w:tab/>
      </w:r>
      <w:r w:rsidR="00BF76AE" w:rsidRPr="002F09C4">
        <w:t>T</w:t>
      </w:r>
      <w:r w:rsidR="00B22EE0" w:rsidRPr="002F09C4">
        <w:t>he following aspects</w:t>
      </w:r>
      <w:r w:rsidR="00004AC0" w:rsidRPr="002F09C4">
        <w:t xml:space="preserve"> in study design</w:t>
      </w:r>
      <w:r w:rsidR="00B22EE0" w:rsidRPr="002F09C4">
        <w:t xml:space="preserve"> </w:t>
      </w:r>
      <w:r w:rsidR="00BF76AE" w:rsidRPr="002F09C4">
        <w:t>are critical</w:t>
      </w:r>
      <w:r w:rsidRPr="002F09C4">
        <w:t xml:space="preserve"> for a precise estimate of drug exposure</w:t>
      </w:r>
      <w:r w:rsidR="00DD150E" w:rsidRPr="002F09C4">
        <w:t xml:space="preserve"> and to support clinical dose and candidate regimen selection</w:t>
      </w:r>
      <w:r w:rsidR="007F1B76" w:rsidRPr="002F09C4">
        <w:t xml:space="preserve"> for new agents</w:t>
      </w:r>
      <w:r w:rsidR="00B22EE0" w:rsidRPr="002F09C4">
        <w:t xml:space="preserve">: (i) </w:t>
      </w:r>
      <w:r w:rsidR="005050FB" w:rsidRPr="002F09C4">
        <w:t>investiga</w:t>
      </w:r>
      <w:r w:rsidR="007F1B76" w:rsidRPr="002F09C4">
        <w:t xml:space="preserve">ting </w:t>
      </w:r>
      <w:r w:rsidR="00B22EE0" w:rsidRPr="002F09C4">
        <w:t>regimens</w:t>
      </w:r>
      <w:r w:rsidR="00004AC0" w:rsidRPr="002F09C4">
        <w:t xml:space="preserve"> </w:t>
      </w:r>
      <w:r w:rsidR="007F1B76" w:rsidRPr="002F09C4">
        <w:t xml:space="preserve">that are </w:t>
      </w:r>
      <w:r w:rsidR="00DD150E" w:rsidRPr="002F09C4">
        <w:t xml:space="preserve">most </w:t>
      </w:r>
      <w:r w:rsidR="00004AC0" w:rsidRPr="002F09C4">
        <w:t xml:space="preserve">likely to be </w:t>
      </w:r>
      <w:r w:rsidR="00D10CCB" w:rsidRPr="002F09C4">
        <w:t>progressed to</w:t>
      </w:r>
      <w:r w:rsidR="00004AC0" w:rsidRPr="002F09C4">
        <w:t xml:space="preserve"> subsequent clinical trials</w:t>
      </w:r>
      <w:r w:rsidR="00B22EE0" w:rsidRPr="002F09C4">
        <w:t xml:space="preserve">; (ii) </w:t>
      </w:r>
      <w:r w:rsidR="005050FB" w:rsidRPr="002F09C4">
        <w:t xml:space="preserve">ensuring </w:t>
      </w:r>
      <w:r w:rsidR="006038F6" w:rsidRPr="002F09C4">
        <w:t xml:space="preserve">serial sampling </w:t>
      </w:r>
      <w:r w:rsidRPr="002F09C4">
        <w:t>from plasma</w:t>
      </w:r>
      <w:r w:rsidRPr="002F09C4" w:rsidDel="006454D8">
        <w:t xml:space="preserve"> </w:t>
      </w:r>
      <w:r w:rsidRPr="002F09C4">
        <w:t>throughout the</w:t>
      </w:r>
      <w:r w:rsidR="00B22EE0" w:rsidRPr="002F09C4">
        <w:t xml:space="preserve"> dosing interval</w:t>
      </w:r>
      <w:r w:rsidRPr="002F09C4">
        <w:t xml:space="preserve"> in individual patients; (</w:t>
      </w:r>
      <w:r w:rsidR="00575A10" w:rsidRPr="002F09C4">
        <w:t>iii</w:t>
      </w:r>
      <w:r w:rsidRPr="002F09C4">
        <w:t>) sampling from the lung that covers the dosing interval at a population level (because each patient can only contribute a single lung conc</w:t>
      </w:r>
      <w:r w:rsidR="00BB1831" w:rsidRPr="002F09C4">
        <w:t>en</w:t>
      </w:r>
      <w:r w:rsidRPr="002F09C4">
        <w:t>tration)</w:t>
      </w:r>
      <w:r w:rsidR="00B22EE0" w:rsidRPr="002F09C4">
        <w:t>; (</w:t>
      </w:r>
      <w:r w:rsidR="00575A10" w:rsidRPr="002F09C4">
        <w:t>i</w:t>
      </w:r>
      <w:r w:rsidRPr="002F09C4">
        <w:t>v</w:t>
      </w:r>
      <w:r w:rsidR="00B22EE0" w:rsidRPr="002F09C4">
        <w:t xml:space="preserve">) </w:t>
      </w:r>
      <w:r w:rsidR="00DD150E" w:rsidRPr="002F09C4">
        <w:t>determining</w:t>
      </w:r>
      <w:r w:rsidR="006038F6" w:rsidRPr="002F09C4">
        <w:t xml:space="preserve"> </w:t>
      </w:r>
      <w:r w:rsidR="00B22EE0" w:rsidRPr="002F09C4">
        <w:t xml:space="preserve">concentration ratios from </w:t>
      </w:r>
      <w:r w:rsidRPr="002F09C4">
        <w:t>robust estimates</w:t>
      </w:r>
      <w:r w:rsidR="00B22EE0" w:rsidRPr="002F09C4">
        <w:t xml:space="preserve"> of AUC in plasma and </w:t>
      </w:r>
      <w:r w:rsidR="006862CC" w:rsidRPr="002F09C4">
        <w:t>the</w:t>
      </w:r>
      <w:r w:rsidRPr="002F09C4">
        <w:t xml:space="preserve"> relevant</w:t>
      </w:r>
      <w:r w:rsidR="006862CC" w:rsidRPr="002F09C4">
        <w:t xml:space="preserve"> pulmonary subcompartment</w:t>
      </w:r>
      <w:r w:rsidR="00B22EE0" w:rsidRPr="002F09C4">
        <w:t xml:space="preserve">; </w:t>
      </w:r>
      <w:r w:rsidR="00D152B6" w:rsidRPr="002F09C4">
        <w:t>(</w:t>
      </w:r>
      <w:r w:rsidRPr="002F09C4">
        <w:t>v</w:t>
      </w:r>
      <w:r w:rsidR="00D152B6" w:rsidRPr="002F09C4">
        <w:t xml:space="preserve">) </w:t>
      </w:r>
      <w:r w:rsidR="006038F6" w:rsidRPr="002F09C4">
        <w:t>consider</w:t>
      </w:r>
      <w:r w:rsidR="00DD150E" w:rsidRPr="002F09C4">
        <w:t>ing</w:t>
      </w:r>
      <w:r w:rsidR="006038F6" w:rsidRPr="002F09C4">
        <w:t xml:space="preserve"> </w:t>
      </w:r>
      <w:r w:rsidR="00D152B6" w:rsidRPr="002F09C4">
        <w:t xml:space="preserve">plasma protein binding </w:t>
      </w:r>
      <w:r w:rsidR="00DA39E4" w:rsidRPr="002F09C4">
        <w:t>with</w:t>
      </w:r>
      <w:r w:rsidRPr="002F09C4">
        <w:t xml:space="preserve"> both</w:t>
      </w:r>
      <w:r w:rsidR="008141DB" w:rsidRPr="002F09C4">
        <w:t xml:space="preserve"> </w:t>
      </w:r>
      <w:r w:rsidR="00D152B6" w:rsidRPr="002F09C4">
        <w:t xml:space="preserve">unbound </w:t>
      </w:r>
      <w:r w:rsidR="00004AC0" w:rsidRPr="002F09C4">
        <w:t xml:space="preserve">and total </w:t>
      </w:r>
      <w:r w:rsidR="00D152B6" w:rsidRPr="002F09C4">
        <w:t>drug concentration</w:t>
      </w:r>
      <w:r w:rsidR="00004AC0" w:rsidRPr="002F09C4">
        <w:t>s</w:t>
      </w:r>
      <w:r w:rsidR="00D152B6" w:rsidRPr="002F09C4">
        <w:t xml:space="preserve"> in plasma </w:t>
      </w:r>
      <w:r w:rsidR="00DD150E" w:rsidRPr="002F09C4">
        <w:t>and using these data to better understand</w:t>
      </w:r>
      <w:r w:rsidR="008141DB" w:rsidRPr="002F09C4">
        <w:t xml:space="preserve"> </w:t>
      </w:r>
      <w:r w:rsidR="00003279" w:rsidRPr="002F09C4">
        <w:t>penetration characteristics</w:t>
      </w:r>
      <w:r w:rsidR="00D152B6" w:rsidRPr="002F09C4">
        <w:t xml:space="preserve">; </w:t>
      </w:r>
      <w:r w:rsidR="00B22EE0" w:rsidRPr="002F09C4">
        <w:t>(v</w:t>
      </w:r>
      <w:r w:rsidRPr="002F09C4">
        <w:t>i</w:t>
      </w:r>
      <w:r w:rsidR="00B22EE0" w:rsidRPr="002F09C4">
        <w:t xml:space="preserve">) </w:t>
      </w:r>
      <w:r w:rsidR="00DD150E" w:rsidRPr="002F09C4">
        <w:t>using</w:t>
      </w:r>
      <w:r w:rsidR="006038F6" w:rsidRPr="002F09C4">
        <w:t xml:space="preserve"> </w:t>
      </w:r>
      <w:r w:rsidR="00B22EE0" w:rsidRPr="002F09C4">
        <w:t xml:space="preserve">analytical procedures that </w:t>
      </w:r>
      <w:r w:rsidR="00BB1831" w:rsidRPr="002F09C4">
        <w:t>are</w:t>
      </w:r>
      <w:r w:rsidR="00B22EE0" w:rsidRPr="002F09C4">
        <w:t xml:space="preserve"> </w:t>
      </w:r>
      <w:r w:rsidR="006038F6" w:rsidRPr="002F09C4">
        <w:t xml:space="preserve">both </w:t>
      </w:r>
      <w:r w:rsidR="00B22EE0" w:rsidRPr="002F09C4">
        <w:t xml:space="preserve">sensitive </w:t>
      </w:r>
      <w:r w:rsidR="00DA39E4" w:rsidRPr="002F09C4">
        <w:t xml:space="preserve">and specific </w:t>
      </w:r>
      <w:r w:rsidR="00BB1831" w:rsidRPr="002F09C4">
        <w:t>for</w:t>
      </w:r>
      <w:r w:rsidR="00B22EE0" w:rsidRPr="002F09C4">
        <w:t xml:space="preserve"> </w:t>
      </w:r>
      <w:r w:rsidR="00BB1831" w:rsidRPr="002F09C4">
        <w:t xml:space="preserve">plasma and </w:t>
      </w:r>
      <w:r w:rsidR="00DD150E" w:rsidRPr="002F09C4">
        <w:t xml:space="preserve">effect </w:t>
      </w:r>
      <w:r w:rsidR="00BB1831" w:rsidRPr="002F09C4">
        <w:t>site concentrations</w:t>
      </w:r>
      <w:r w:rsidR="00B22EE0" w:rsidRPr="002F09C4">
        <w:t>;</w:t>
      </w:r>
      <w:r w:rsidR="008435F0" w:rsidRPr="002F09C4">
        <w:t xml:space="preserve"> </w:t>
      </w:r>
      <w:r w:rsidR="00B22EE0" w:rsidRPr="002F09C4">
        <w:t>(v</w:t>
      </w:r>
      <w:r w:rsidR="008141DB" w:rsidRPr="002F09C4">
        <w:t>i</w:t>
      </w:r>
      <w:r w:rsidRPr="002F09C4">
        <w:t>i</w:t>
      </w:r>
      <w:r w:rsidR="00B22EE0" w:rsidRPr="002F09C4">
        <w:t xml:space="preserve">) </w:t>
      </w:r>
      <w:r w:rsidR="006038F6" w:rsidRPr="002F09C4">
        <w:t>correct</w:t>
      </w:r>
      <w:r w:rsidR="00DD150E" w:rsidRPr="002F09C4">
        <w:t>ing</w:t>
      </w:r>
      <w:r w:rsidRPr="002F09C4">
        <w:t xml:space="preserve"> for dilution </w:t>
      </w:r>
      <w:r w:rsidR="00ED512F" w:rsidRPr="002F09C4">
        <w:t>from sampling (i.e</w:t>
      </w:r>
      <w:r w:rsidR="006038F6" w:rsidRPr="002F09C4">
        <w:t>. BAL) with urea estimation being the</w:t>
      </w:r>
      <w:r w:rsidR="00ED512F" w:rsidRPr="002F09C4">
        <w:t xml:space="preserve"> most commonly used procedure; </w:t>
      </w:r>
      <w:r w:rsidR="00575A10" w:rsidRPr="002F09C4">
        <w:t>(viii) tr</w:t>
      </w:r>
      <w:r w:rsidR="00CA248E" w:rsidRPr="002F09C4">
        <w:t>anslating</w:t>
      </w:r>
      <w:r w:rsidR="00575A10" w:rsidRPr="002F09C4">
        <w:t xml:space="preserve"> effect site exposures using non-clinical PK-PD targets, for example relating human ELF exposure to ELF PK-PD targets from highly predictive murine models of pneumonia; </w:t>
      </w:r>
      <w:r w:rsidR="008435F0" w:rsidRPr="002F09C4">
        <w:t xml:space="preserve">and (ix) </w:t>
      </w:r>
      <w:r w:rsidR="006038F6" w:rsidRPr="002F09C4">
        <w:t>perform</w:t>
      </w:r>
      <w:r w:rsidR="00D10CCB" w:rsidRPr="002F09C4">
        <w:t>ing</w:t>
      </w:r>
      <w:r w:rsidR="006038F6" w:rsidRPr="002F09C4">
        <w:t xml:space="preserve"> </w:t>
      </w:r>
      <w:r w:rsidR="00D10CCB" w:rsidRPr="002F09C4">
        <w:t>PK-PD</w:t>
      </w:r>
      <w:r w:rsidR="00B22EE0" w:rsidRPr="002F09C4">
        <w:t xml:space="preserve"> modell</w:t>
      </w:r>
      <w:r w:rsidR="00D10CCB" w:rsidRPr="002F09C4">
        <w:t>ing and simulation</w:t>
      </w:r>
      <w:r w:rsidR="00B22EE0" w:rsidRPr="002F09C4">
        <w:t xml:space="preserve"> </w:t>
      </w:r>
      <w:r w:rsidR="00ED512F" w:rsidRPr="002F09C4">
        <w:t>to assess</w:t>
      </w:r>
      <w:r w:rsidR="000D19B0" w:rsidRPr="002F09C4">
        <w:t xml:space="preserve"> and predict</w:t>
      </w:r>
      <w:r w:rsidR="00ED512F" w:rsidRPr="002F09C4">
        <w:t xml:space="preserve"> the perf</w:t>
      </w:r>
      <w:r w:rsidR="00BB1831" w:rsidRPr="002F09C4">
        <w:t>or</w:t>
      </w:r>
      <w:r w:rsidR="00ED512F" w:rsidRPr="002F09C4">
        <w:t xml:space="preserve">mance of </w:t>
      </w:r>
      <w:r w:rsidR="00DA39E4" w:rsidRPr="002F09C4">
        <w:t>various can</w:t>
      </w:r>
      <w:r w:rsidRPr="002F09C4">
        <w:t>di</w:t>
      </w:r>
      <w:r w:rsidR="00DA39E4" w:rsidRPr="002F09C4">
        <w:t>d</w:t>
      </w:r>
      <w:r w:rsidRPr="002F09C4">
        <w:t>ate regimens</w:t>
      </w:r>
      <w:r w:rsidR="008435F0" w:rsidRPr="002F09C4">
        <w:t>.</w:t>
      </w:r>
    </w:p>
    <w:p w14:paraId="5FBA145A" w14:textId="77777777" w:rsidR="00E112DC" w:rsidRPr="002F09C4" w:rsidRDefault="00E112DC" w:rsidP="008E5183">
      <w:pPr>
        <w:tabs>
          <w:tab w:val="left" w:pos="360"/>
        </w:tabs>
        <w:spacing w:after="0" w:line="480" w:lineRule="auto"/>
        <w:rPr>
          <w:b/>
        </w:rPr>
      </w:pPr>
    </w:p>
    <w:p w14:paraId="00ABB883" w14:textId="77777777" w:rsidR="00E35445" w:rsidRPr="002F09C4" w:rsidRDefault="00F841D7" w:rsidP="008E5183">
      <w:pPr>
        <w:tabs>
          <w:tab w:val="left" w:pos="360"/>
        </w:tabs>
        <w:spacing w:after="0" w:line="480" w:lineRule="auto"/>
        <w:rPr>
          <w:b/>
        </w:rPr>
      </w:pPr>
      <w:r w:rsidRPr="002F09C4">
        <w:rPr>
          <w:b/>
        </w:rPr>
        <w:t>Bronchoalveolar Lavage</w:t>
      </w:r>
      <w:r w:rsidR="00B8257C" w:rsidRPr="002F09C4">
        <w:rPr>
          <w:b/>
        </w:rPr>
        <w:t xml:space="preserve"> </w:t>
      </w:r>
      <w:r w:rsidR="001A2AC7" w:rsidRPr="002F09C4">
        <w:rPr>
          <w:b/>
        </w:rPr>
        <w:t xml:space="preserve">(BAL) </w:t>
      </w:r>
      <w:r w:rsidR="00B8257C" w:rsidRPr="002F09C4">
        <w:rPr>
          <w:b/>
        </w:rPr>
        <w:t>Studies</w:t>
      </w:r>
    </w:p>
    <w:p w14:paraId="56D217B6" w14:textId="173B632F" w:rsidR="004E14E8" w:rsidRPr="002F09C4" w:rsidRDefault="00E35445" w:rsidP="008E5183">
      <w:pPr>
        <w:tabs>
          <w:tab w:val="left" w:pos="360"/>
        </w:tabs>
        <w:spacing w:after="0" w:line="480" w:lineRule="auto"/>
      </w:pPr>
      <w:r w:rsidRPr="002F09C4">
        <w:rPr>
          <w:b/>
        </w:rPr>
        <w:tab/>
      </w:r>
      <w:r w:rsidR="00003279" w:rsidRPr="002F09C4">
        <w:t>Bronchoscopy with BAL has become a reliable technique for m</w:t>
      </w:r>
      <w:r w:rsidR="00B93E8E" w:rsidRPr="002F09C4">
        <w:t xml:space="preserve">easuring concentrations of </w:t>
      </w:r>
      <w:r w:rsidR="00E112DC" w:rsidRPr="002F09C4">
        <w:t>antibiotics</w:t>
      </w:r>
      <w:r w:rsidR="00B93E8E" w:rsidRPr="002F09C4">
        <w:t xml:space="preserve"> in </w:t>
      </w:r>
      <w:r w:rsidR="00E112DC" w:rsidRPr="002F09C4">
        <w:t>ELF</w:t>
      </w:r>
      <w:r w:rsidR="00B93E8E" w:rsidRPr="002F09C4">
        <w:t xml:space="preserve">. </w:t>
      </w:r>
      <w:r w:rsidR="00E112DC" w:rsidRPr="002F09C4">
        <w:t>During the past two decades, several groups of investigators have used th</w:t>
      </w:r>
      <w:r w:rsidR="00003279" w:rsidRPr="002F09C4">
        <w:t>is</w:t>
      </w:r>
      <w:r w:rsidR="00E112DC" w:rsidRPr="002F09C4">
        <w:t xml:space="preserve"> method to</w:t>
      </w:r>
      <w:r w:rsidR="00003279" w:rsidRPr="002F09C4">
        <w:t xml:space="preserve"> determine drug penetration into ELF and to compare plasma and ELF concentrations of antibiotics [4••, 10].  Using </w:t>
      </w:r>
      <w:r w:rsidR="00003279" w:rsidRPr="002F09C4">
        <w:lastRenderedPageBreak/>
        <w:t xml:space="preserve">BAL studies to assess ELF concentrations </w:t>
      </w:r>
      <w:r w:rsidR="00332E81" w:rsidRPr="002F09C4">
        <w:t xml:space="preserve">has become an important </w:t>
      </w:r>
      <w:r w:rsidR="004A0BD6" w:rsidRPr="002F09C4">
        <w:t xml:space="preserve">component of </w:t>
      </w:r>
      <w:r w:rsidR="00332E81" w:rsidRPr="002F09C4">
        <w:t>antibacterial drug development programs</w:t>
      </w:r>
      <w:r w:rsidR="00003279" w:rsidRPr="002F09C4">
        <w:t xml:space="preserve"> </w:t>
      </w:r>
      <w:r w:rsidR="00E112DC" w:rsidRPr="002F09C4">
        <w:t xml:space="preserve">since the majority of </w:t>
      </w:r>
      <w:r w:rsidR="00332E81" w:rsidRPr="002F09C4">
        <w:t>pneumonic</w:t>
      </w:r>
      <w:r w:rsidR="00E112DC" w:rsidRPr="002F09C4">
        <w:t xml:space="preserve"> infections are caused by extracellular pathogens</w:t>
      </w:r>
      <w:r w:rsidR="00332E81" w:rsidRPr="002F09C4">
        <w:t xml:space="preserve"> [11</w:t>
      </w:r>
      <w:r w:rsidR="00B22B60" w:rsidRPr="002F09C4">
        <w:t>••</w:t>
      </w:r>
      <w:r w:rsidR="00332E81" w:rsidRPr="002F09C4">
        <w:t>,12]</w:t>
      </w:r>
      <w:r w:rsidR="00E112DC" w:rsidRPr="002F09C4">
        <w:t xml:space="preserve">. Table 1 provides an update on published studies evaluating plasma and ELF exposures of antibiotics that have recently been </w:t>
      </w:r>
      <w:r w:rsidR="004E14E8" w:rsidRPr="002F09C4">
        <w:t xml:space="preserve">approved </w:t>
      </w:r>
      <w:r w:rsidR="00E112DC" w:rsidRPr="002F09C4">
        <w:t xml:space="preserve">or are currently in development </w:t>
      </w:r>
      <w:r w:rsidR="00332E81" w:rsidRPr="002F09C4">
        <w:t>[13-25]</w:t>
      </w:r>
      <w:r w:rsidR="00E112DC" w:rsidRPr="002F09C4">
        <w:t>. We direct the reader to our previous review publications regarding</w:t>
      </w:r>
      <w:r w:rsidR="004E14E8" w:rsidRPr="002F09C4">
        <w:t xml:space="preserve"> data for other anti-infective agents as well as </w:t>
      </w:r>
      <w:r w:rsidR="008141DB" w:rsidRPr="002F09C4">
        <w:t xml:space="preserve">a </w:t>
      </w:r>
      <w:r w:rsidR="004E14E8" w:rsidRPr="002F09C4">
        <w:t xml:space="preserve">detailed description of using </w:t>
      </w:r>
      <w:r w:rsidR="004E14E8" w:rsidRPr="002F09C4">
        <w:rPr>
          <w:rFonts w:eastAsia="Times New Roman" w:cs="Times New Roman"/>
        </w:rPr>
        <w:t>bronchoscopy and BAL</w:t>
      </w:r>
      <w:r w:rsidR="004E14E8" w:rsidRPr="002F09C4">
        <w:t xml:space="preserve"> for measuring </w:t>
      </w:r>
      <w:r w:rsidR="00E112DC" w:rsidRPr="002F09C4">
        <w:t xml:space="preserve">ELF </w:t>
      </w:r>
      <w:r w:rsidR="004E14E8" w:rsidRPr="002F09C4">
        <w:t xml:space="preserve">drug </w:t>
      </w:r>
      <w:r w:rsidR="00E112DC" w:rsidRPr="002F09C4">
        <w:t>concentrations and</w:t>
      </w:r>
      <w:r w:rsidR="004E14E8" w:rsidRPr="002F09C4">
        <w:t xml:space="preserve"> determining</w:t>
      </w:r>
      <w:r w:rsidR="00E112DC" w:rsidRPr="002F09C4">
        <w:t xml:space="preserve"> intrapulmonary penetration [4</w:t>
      </w:r>
      <w:r w:rsidR="00332E81" w:rsidRPr="002F09C4">
        <w:t>••</w:t>
      </w:r>
      <w:r w:rsidR="00E112DC" w:rsidRPr="002F09C4">
        <w:t xml:space="preserve">,5]. </w:t>
      </w:r>
    </w:p>
    <w:p w14:paraId="54E47BB5" w14:textId="77777777" w:rsidR="00E35445" w:rsidRPr="002F09C4" w:rsidRDefault="00E35445" w:rsidP="008E5183">
      <w:pPr>
        <w:tabs>
          <w:tab w:val="left" w:pos="360"/>
        </w:tabs>
        <w:spacing w:after="0" w:line="480" w:lineRule="auto"/>
        <w:rPr>
          <w:b/>
        </w:rPr>
      </w:pPr>
    </w:p>
    <w:p w14:paraId="5C6AA4D8" w14:textId="4EC3827F" w:rsidR="00781F96" w:rsidRPr="002F09C4" w:rsidRDefault="00B8257C" w:rsidP="008E5183">
      <w:pPr>
        <w:tabs>
          <w:tab w:val="left" w:pos="360"/>
        </w:tabs>
        <w:spacing w:after="0" w:line="480" w:lineRule="auto"/>
      </w:pPr>
      <w:r w:rsidRPr="002F09C4">
        <w:rPr>
          <w:b/>
        </w:rPr>
        <w:tab/>
      </w:r>
      <w:r w:rsidR="00F841D7" w:rsidRPr="002F09C4">
        <w:rPr>
          <w:b/>
          <w:i/>
        </w:rPr>
        <w:t>Healthy Subjects</w:t>
      </w:r>
      <w:r w:rsidRPr="002F09C4">
        <w:rPr>
          <w:b/>
          <w:i/>
        </w:rPr>
        <w:t>.</w:t>
      </w:r>
      <w:r w:rsidR="00E35445" w:rsidRPr="002F09C4">
        <w:t xml:space="preserve">  </w:t>
      </w:r>
      <w:r w:rsidR="00073B3F" w:rsidRPr="002F09C4">
        <w:t xml:space="preserve">The majority of </w:t>
      </w:r>
      <w:r w:rsidR="00E112DC" w:rsidRPr="002F09C4">
        <w:t xml:space="preserve">BAL </w:t>
      </w:r>
      <w:r w:rsidR="00073B3F" w:rsidRPr="002F09C4">
        <w:t xml:space="preserve">studies </w:t>
      </w:r>
      <w:r w:rsidR="007C68A6" w:rsidRPr="002F09C4">
        <w:t xml:space="preserve">have </w:t>
      </w:r>
      <w:r w:rsidR="00073B3F" w:rsidRPr="002F09C4">
        <w:t>involved either healthy adult subjects or patients undergoing diagnostic bronchoscopy</w:t>
      </w:r>
      <w:r w:rsidR="00332E81" w:rsidRPr="002F09C4">
        <w:t xml:space="preserve"> (Table 1) </w:t>
      </w:r>
      <w:r w:rsidR="00B22B60" w:rsidRPr="002F09C4">
        <w:t>[</w:t>
      </w:r>
      <w:r w:rsidR="00332E81" w:rsidRPr="002F09C4">
        <w:t>4••</w:t>
      </w:r>
      <w:r w:rsidR="009458A7" w:rsidRPr="002F09C4">
        <w:t>, 13-25</w:t>
      </w:r>
      <w:r w:rsidR="00332E81" w:rsidRPr="002F09C4">
        <w:t>]</w:t>
      </w:r>
      <w:r w:rsidR="00073B3F" w:rsidRPr="002F09C4">
        <w:t>.  A few studies have targeted older outpatients or patients with a clinical diagnosis of mild to moderate chronic bronchitis, chronic obstructive pulmonary disease</w:t>
      </w:r>
      <w:r w:rsidR="00570EF1" w:rsidRPr="002F09C4">
        <w:t>,</w:t>
      </w:r>
      <w:r w:rsidR="00073B3F" w:rsidRPr="002F09C4">
        <w:t xml:space="preserve"> or community-acquired bacterial pneumonia</w:t>
      </w:r>
      <w:r w:rsidR="00B22B60" w:rsidRPr="002F09C4">
        <w:t xml:space="preserve"> [4••]</w:t>
      </w:r>
      <w:r w:rsidR="00073B3F" w:rsidRPr="002F09C4">
        <w:t>.  A comparison</w:t>
      </w:r>
      <w:r w:rsidR="00781F96" w:rsidRPr="002F09C4">
        <w:t xml:space="preserve"> </w:t>
      </w:r>
      <w:r w:rsidR="007C68A6" w:rsidRPr="002F09C4">
        <w:t>of</w:t>
      </w:r>
      <w:r w:rsidR="00781F96" w:rsidRPr="002F09C4">
        <w:t xml:space="preserve"> these patients with</w:t>
      </w:r>
      <w:r w:rsidR="00073B3F" w:rsidRPr="002F09C4">
        <w:t xml:space="preserve"> mild to moderate respiratory tract infections and/or </w:t>
      </w:r>
      <w:r w:rsidR="004A0BD6" w:rsidRPr="002F09C4">
        <w:t>in</w:t>
      </w:r>
      <w:r w:rsidR="00FE5A01" w:rsidRPr="002F09C4">
        <w:t>f</w:t>
      </w:r>
      <w:r w:rsidR="004A0BD6" w:rsidRPr="002F09C4">
        <w:t>lammatory</w:t>
      </w:r>
      <w:r w:rsidR="00073B3F" w:rsidRPr="002F09C4">
        <w:t xml:space="preserve"> process</w:t>
      </w:r>
      <w:r w:rsidR="00781F96" w:rsidRPr="002F09C4">
        <w:t>es</w:t>
      </w:r>
      <w:r w:rsidR="00073B3F" w:rsidRPr="002F09C4">
        <w:t xml:space="preserve"> has suggested that ELF concentrations were similar</w:t>
      </w:r>
      <w:r w:rsidR="00781F96" w:rsidRPr="002F09C4">
        <w:t xml:space="preserve"> in magnitude and time course</w:t>
      </w:r>
      <w:r w:rsidR="00073B3F" w:rsidRPr="002F09C4">
        <w:t xml:space="preserve"> to those observed in healthy subjects. Thus</w:t>
      </w:r>
      <w:r w:rsidR="007C68A6" w:rsidRPr="002F09C4">
        <w:t>,</w:t>
      </w:r>
      <w:r w:rsidR="00073B3F" w:rsidRPr="002F09C4">
        <w:t xml:space="preserve"> antibacterial concentrations in ELF from </w:t>
      </w:r>
      <w:r w:rsidR="00781F96" w:rsidRPr="002F09C4">
        <w:t>healthy</w:t>
      </w:r>
      <w:r w:rsidR="00073B3F" w:rsidRPr="002F09C4">
        <w:t xml:space="preserve"> subjects </w:t>
      </w:r>
      <w:r w:rsidR="009275A1" w:rsidRPr="002F09C4">
        <w:t xml:space="preserve">tend </w:t>
      </w:r>
      <w:r w:rsidR="00073B3F" w:rsidRPr="002F09C4">
        <w:t>to serve as</w:t>
      </w:r>
      <w:r w:rsidR="007C68A6" w:rsidRPr="002F09C4">
        <w:t xml:space="preserve"> </w:t>
      </w:r>
      <w:r w:rsidR="004A0BD6" w:rsidRPr="002F09C4">
        <w:t xml:space="preserve">an </w:t>
      </w:r>
      <w:r w:rsidR="00073B3F" w:rsidRPr="002F09C4">
        <w:t xml:space="preserve">estimate of the </w:t>
      </w:r>
      <w:r w:rsidR="004A0BD6" w:rsidRPr="002F09C4">
        <w:t xml:space="preserve">average </w:t>
      </w:r>
      <w:r w:rsidR="00073B3F" w:rsidRPr="002F09C4">
        <w:t xml:space="preserve">drug </w:t>
      </w:r>
      <w:r w:rsidR="007C68A6" w:rsidRPr="002F09C4">
        <w:t xml:space="preserve">exposure </w:t>
      </w:r>
      <w:r w:rsidR="00073B3F" w:rsidRPr="002F09C4">
        <w:t>at extracellular sites of lung infection.</w:t>
      </w:r>
    </w:p>
    <w:p w14:paraId="0242E75C" w14:textId="223B32C9" w:rsidR="005819AD" w:rsidRPr="002F09C4" w:rsidRDefault="00F377FE" w:rsidP="008E5183">
      <w:pPr>
        <w:tabs>
          <w:tab w:val="left" w:pos="360"/>
        </w:tabs>
        <w:spacing w:after="0" w:line="480" w:lineRule="auto"/>
      </w:pPr>
      <w:r w:rsidRPr="002F09C4">
        <w:tab/>
        <w:t xml:space="preserve">Pharmacokinetics and pharmacodynamics </w:t>
      </w:r>
      <w:r w:rsidR="009D1A38" w:rsidRPr="002F09C4">
        <w:t>are</w:t>
      </w:r>
      <w:r w:rsidRPr="002F09C4">
        <w:t xml:space="preserve"> increasingly recognized </w:t>
      </w:r>
      <w:r w:rsidR="009275A1" w:rsidRPr="002F09C4">
        <w:t xml:space="preserve">to be essential </w:t>
      </w:r>
      <w:r w:rsidRPr="002F09C4">
        <w:t>tool</w:t>
      </w:r>
      <w:r w:rsidR="009D1A38" w:rsidRPr="002F09C4">
        <w:t>s</w:t>
      </w:r>
      <w:r w:rsidRPr="002F09C4">
        <w:t xml:space="preserve"> in the development of new antibiotics </w:t>
      </w:r>
      <w:r w:rsidR="009D1A38" w:rsidRPr="002F09C4">
        <w:t>in order to maximize</w:t>
      </w:r>
      <w:r w:rsidRPr="002F09C4">
        <w:t xml:space="preserve"> the probability that the right dose </w:t>
      </w:r>
      <w:r w:rsidR="0027730F" w:rsidRPr="002F09C4">
        <w:t>for</w:t>
      </w:r>
      <w:r w:rsidRPr="002F09C4">
        <w:t xml:space="preserve"> infected patients will be stud</w:t>
      </w:r>
      <w:r w:rsidR="006F534F" w:rsidRPr="002F09C4">
        <w:t xml:space="preserve">ied </w:t>
      </w:r>
      <w:r w:rsidRPr="002F09C4">
        <w:t>first time</w:t>
      </w:r>
      <w:r w:rsidR="00B22B60" w:rsidRPr="002F09C4">
        <w:t xml:space="preserve"> [1,11••]</w:t>
      </w:r>
      <w:r w:rsidRPr="002F09C4">
        <w:t xml:space="preserve">. </w:t>
      </w:r>
      <w:r w:rsidR="007E105B" w:rsidRPr="002F09C4">
        <w:t xml:space="preserve"> A</w:t>
      </w:r>
      <w:r w:rsidR="005819AD" w:rsidRPr="002F09C4">
        <w:t>n</w:t>
      </w:r>
      <w:r w:rsidR="007E105B" w:rsidRPr="002F09C4">
        <w:t xml:space="preserve"> intrapulmonary penetration study in healthy subjects can assist a drug development</w:t>
      </w:r>
      <w:r w:rsidR="00B22B60" w:rsidRPr="002F09C4">
        <w:t xml:space="preserve"> program</w:t>
      </w:r>
      <w:r w:rsidR="007E105B" w:rsidRPr="002F09C4">
        <w:t xml:space="preserve"> by determining whether or not an antibiotic penetrates into lung</w:t>
      </w:r>
      <w:r w:rsidR="009275A1" w:rsidRPr="002F09C4">
        <w:t>,</w:t>
      </w:r>
      <w:r w:rsidR="007E105B" w:rsidRPr="002F09C4">
        <w:t xml:space="preserve"> and if it does, </w:t>
      </w:r>
      <w:r w:rsidR="009275A1" w:rsidRPr="002F09C4">
        <w:t>whether</w:t>
      </w:r>
      <w:r w:rsidR="007E105B" w:rsidRPr="002F09C4">
        <w:t xml:space="preserve"> </w:t>
      </w:r>
      <w:r w:rsidR="00644C8C" w:rsidRPr="002F09C4">
        <w:t xml:space="preserve">concentrations of the antibiotic </w:t>
      </w:r>
      <w:r w:rsidR="009275A1" w:rsidRPr="002F09C4">
        <w:t xml:space="preserve">can </w:t>
      </w:r>
      <w:r w:rsidR="00F0650A" w:rsidRPr="002F09C4">
        <w:t xml:space="preserve">be </w:t>
      </w:r>
      <w:r w:rsidR="005819AD" w:rsidRPr="002F09C4">
        <w:t xml:space="preserve">adequately </w:t>
      </w:r>
      <w:r w:rsidR="00F0650A" w:rsidRPr="002F09C4">
        <w:t xml:space="preserve">achieved </w:t>
      </w:r>
      <w:r w:rsidR="00B22B60" w:rsidRPr="002F09C4">
        <w:t xml:space="preserve">to treat </w:t>
      </w:r>
      <w:r w:rsidR="00644C8C" w:rsidRPr="002F09C4">
        <w:t>the target</w:t>
      </w:r>
      <w:r w:rsidR="00B22B60" w:rsidRPr="002F09C4">
        <w:t xml:space="preserve"> pathogens</w:t>
      </w:r>
      <w:r w:rsidR="007E105B" w:rsidRPr="002F09C4">
        <w:t xml:space="preserve">. </w:t>
      </w:r>
      <w:r w:rsidR="0004003F" w:rsidRPr="002F09C4">
        <w:t>Th</w:t>
      </w:r>
      <w:r w:rsidR="00F0650A" w:rsidRPr="002F09C4">
        <w:t>ese</w:t>
      </w:r>
      <w:r w:rsidR="00E6487D" w:rsidRPr="002F09C4">
        <w:t xml:space="preserve"> </w:t>
      </w:r>
      <w:r w:rsidR="00F94BF5" w:rsidRPr="002F09C4">
        <w:t xml:space="preserve">two </w:t>
      </w:r>
      <w:r w:rsidR="00F0650A" w:rsidRPr="002F09C4">
        <w:t>assessments are extremely valuable for m</w:t>
      </w:r>
      <w:r w:rsidR="005819AD" w:rsidRPr="002F09C4">
        <w:t xml:space="preserve">aking </w:t>
      </w:r>
      <w:r w:rsidR="00E6487D" w:rsidRPr="002F09C4">
        <w:t>earlier</w:t>
      </w:r>
      <w:r w:rsidR="00F0650A" w:rsidRPr="002F09C4">
        <w:t xml:space="preserve"> and better</w:t>
      </w:r>
      <w:r w:rsidR="005819AD" w:rsidRPr="002F09C4">
        <w:t xml:space="preserve"> “go/no go” decisions</w:t>
      </w:r>
      <w:r w:rsidR="00640B9F" w:rsidRPr="002F09C4">
        <w:t>,</w:t>
      </w:r>
      <w:r w:rsidR="005819AD" w:rsidRPr="002F09C4">
        <w:t xml:space="preserve"> and </w:t>
      </w:r>
      <w:r w:rsidR="00F0650A" w:rsidRPr="002F09C4">
        <w:t xml:space="preserve">to </w:t>
      </w:r>
      <w:r w:rsidR="00640B9F" w:rsidRPr="002F09C4">
        <w:t>establish</w:t>
      </w:r>
      <w:r w:rsidR="005C6BBA" w:rsidRPr="002F09C4">
        <w:t xml:space="preserve"> whether </w:t>
      </w:r>
      <w:r w:rsidR="00640B9F" w:rsidRPr="002F09C4">
        <w:t xml:space="preserve">a </w:t>
      </w:r>
      <w:r w:rsidR="004A0BD6" w:rsidRPr="002F09C4">
        <w:t>c</w:t>
      </w:r>
      <w:r w:rsidR="005D0E18" w:rsidRPr="002F09C4">
        <w:t>and</w:t>
      </w:r>
      <w:r w:rsidR="004A0BD6" w:rsidRPr="002F09C4">
        <w:t xml:space="preserve">idate </w:t>
      </w:r>
      <w:r w:rsidR="00640B9F" w:rsidRPr="002F09C4">
        <w:t xml:space="preserve">regimen </w:t>
      </w:r>
      <w:r w:rsidR="004A0BD6" w:rsidRPr="002F09C4">
        <w:t>is suitable for further clinical study</w:t>
      </w:r>
      <w:r w:rsidR="00F94BF5" w:rsidRPr="002F09C4">
        <w:t xml:space="preserve"> or requires adaptation prior to progression</w:t>
      </w:r>
      <w:r w:rsidR="005F197C" w:rsidRPr="002F09C4">
        <w:t>.</w:t>
      </w:r>
    </w:p>
    <w:p w14:paraId="5BB275AF" w14:textId="4371325C" w:rsidR="004E4E7C" w:rsidRPr="002F09C4" w:rsidRDefault="005819AD" w:rsidP="002F09C4">
      <w:pPr>
        <w:spacing w:line="480" w:lineRule="auto"/>
      </w:pPr>
      <w:r w:rsidRPr="002F09C4">
        <w:lastRenderedPageBreak/>
        <w:tab/>
      </w:r>
      <w:r w:rsidR="0081101E" w:rsidRPr="002F09C4">
        <w:t xml:space="preserve">Designing an appropriate dosage regimen to treat patients with </w:t>
      </w:r>
      <w:r w:rsidR="00B22B60" w:rsidRPr="002F09C4">
        <w:t>CABP</w:t>
      </w:r>
      <w:r w:rsidR="00964DCE" w:rsidRPr="002F09C4">
        <w:t xml:space="preserve"> or </w:t>
      </w:r>
      <w:r w:rsidR="00B22B60" w:rsidRPr="002F09C4">
        <w:t>HABP</w:t>
      </w:r>
      <w:r w:rsidR="0081101E" w:rsidRPr="002F09C4">
        <w:t xml:space="preserve"> has increasingly involved the incorporation of </w:t>
      </w:r>
      <w:r w:rsidR="001651FF" w:rsidRPr="002F09C4">
        <w:t>preclinical exposure-response relationships</w:t>
      </w:r>
      <w:r w:rsidR="00D60831" w:rsidRPr="002F09C4">
        <w:t>,</w:t>
      </w:r>
      <w:r w:rsidR="001651FF" w:rsidRPr="002F09C4">
        <w:t xml:space="preserve"> phase 1 clinical pharmacology</w:t>
      </w:r>
      <w:r w:rsidR="00D60831" w:rsidRPr="002F09C4">
        <w:t xml:space="preserve"> dose ranging</w:t>
      </w:r>
      <w:r w:rsidR="001651FF" w:rsidRPr="002F09C4">
        <w:t xml:space="preserve"> studies</w:t>
      </w:r>
      <w:r w:rsidR="00D60831" w:rsidRPr="002F09C4">
        <w:t>, and ELF concentration-time data from healthy subjects</w:t>
      </w:r>
      <w:r w:rsidR="00610750" w:rsidRPr="002F09C4">
        <w:t xml:space="preserve"> [12]</w:t>
      </w:r>
      <w:r w:rsidR="00ED4DC8" w:rsidRPr="002F09C4">
        <w:t>.</w:t>
      </w:r>
      <w:r w:rsidR="007632CF" w:rsidRPr="002F09C4">
        <w:t xml:space="preserve"> Computer simulations using population PK modeling can be performed to estimate the proportion of patients likely to reach the probability of target attainment for the </w:t>
      </w:r>
      <w:r w:rsidR="002F09C4">
        <w:t>PK-PD</w:t>
      </w:r>
      <w:r w:rsidR="00412DBD" w:rsidRPr="002F09C4">
        <w:t xml:space="preserve"> </w:t>
      </w:r>
      <w:r w:rsidR="00B22B60" w:rsidRPr="002F09C4">
        <w:t xml:space="preserve">indices </w:t>
      </w:r>
      <w:r w:rsidR="007632CF" w:rsidRPr="002F09C4">
        <w:t>established from</w:t>
      </w:r>
      <w:r w:rsidR="009E17A3" w:rsidRPr="002F09C4">
        <w:t xml:space="preserve"> dynamic</w:t>
      </w:r>
      <w:r w:rsidR="007632CF" w:rsidRPr="002F09C4">
        <w:t xml:space="preserve"> </w:t>
      </w:r>
      <w:r w:rsidR="007632CF" w:rsidRPr="002F09C4">
        <w:rPr>
          <w:i/>
        </w:rPr>
        <w:t>in vitro</w:t>
      </w:r>
      <w:r w:rsidR="007632CF" w:rsidRPr="002F09C4">
        <w:t xml:space="preserve"> (e.g., hollow fiber model) and/or</w:t>
      </w:r>
      <w:r w:rsidR="009E17A3" w:rsidRPr="002F09C4">
        <w:t xml:space="preserve"> </w:t>
      </w:r>
      <w:r w:rsidR="009E17A3" w:rsidRPr="002F09C4">
        <w:rPr>
          <w:i/>
        </w:rPr>
        <w:t>in vivo</w:t>
      </w:r>
      <w:r w:rsidR="007632CF" w:rsidRPr="002F09C4">
        <w:t xml:space="preserve"> animal model(s).  </w:t>
      </w:r>
      <w:r w:rsidR="00096730" w:rsidRPr="002F09C4">
        <w:t>This</w:t>
      </w:r>
      <w:r w:rsidR="00C9130E" w:rsidRPr="002F09C4">
        <w:t xml:space="preserve"> </w:t>
      </w:r>
      <w:r w:rsidR="00F94BF5" w:rsidRPr="002F09C4">
        <w:t>support</w:t>
      </w:r>
      <w:r w:rsidR="00C9130E" w:rsidRPr="002F09C4">
        <w:t>s</w:t>
      </w:r>
      <w:r w:rsidR="00F94BF5" w:rsidRPr="002F09C4">
        <w:t xml:space="preserve"> optim</w:t>
      </w:r>
      <w:r w:rsidR="00096730" w:rsidRPr="002F09C4">
        <w:t xml:space="preserve">al </w:t>
      </w:r>
      <w:r w:rsidR="00CF3989" w:rsidRPr="002F09C4">
        <w:t>dose selection by translating</w:t>
      </w:r>
      <w:r w:rsidR="00096730" w:rsidRPr="002F09C4">
        <w:t xml:space="preserve"> </w:t>
      </w:r>
      <w:r w:rsidR="00CF3989" w:rsidRPr="002F09C4">
        <w:t>relevant</w:t>
      </w:r>
      <w:r w:rsidR="00F94BF5" w:rsidRPr="002F09C4">
        <w:t xml:space="preserve"> non-clinical effect site</w:t>
      </w:r>
      <w:r w:rsidR="00096730" w:rsidRPr="002F09C4">
        <w:t xml:space="preserve"> exposures</w:t>
      </w:r>
      <w:r w:rsidR="00554B6B" w:rsidRPr="002F09C4">
        <w:t xml:space="preserve"> </w:t>
      </w:r>
      <w:r w:rsidR="00CA5DDA" w:rsidRPr="002F09C4">
        <w:t xml:space="preserve">that are </w:t>
      </w:r>
      <w:r w:rsidR="00CF3989" w:rsidRPr="002F09C4">
        <w:t>associated</w:t>
      </w:r>
      <w:r w:rsidR="00F94BF5" w:rsidRPr="002F09C4">
        <w:t xml:space="preserve"> with efficacy</w:t>
      </w:r>
      <w:r w:rsidR="00096730" w:rsidRPr="002F09C4">
        <w:t xml:space="preserve"> to clinical data</w:t>
      </w:r>
      <w:r w:rsidR="00CA5DDA" w:rsidRPr="002F09C4">
        <w:t xml:space="preserve">. </w:t>
      </w:r>
      <w:r w:rsidR="002F09C4" w:rsidRPr="00E45711">
        <w:t>For example, ELF PK-PD targets from murine lung infection models can be assessed to determine if these targets can consistently be achieved given human ELF exposures for a particular agent.</w:t>
      </w:r>
      <w:r w:rsidR="002F09C4">
        <w:t xml:space="preserve"> </w:t>
      </w:r>
      <w:r w:rsidR="00400A9D" w:rsidRPr="002F09C4">
        <w:t>V</w:t>
      </w:r>
      <w:r w:rsidR="007632CF" w:rsidRPr="002F09C4">
        <w:t xml:space="preserve">arious different dosing regimens </w:t>
      </w:r>
      <w:r w:rsidR="002F09C4">
        <w:t xml:space="preserve">for that agent </w:t>
      </w:r>
      <w:r w:rsidR="007632CF" w:rsidRPr="002F09C4">
        <w:t>can</w:t>
      </w:r>
      <w:r w:rsidR="00B412D1" w:rsidRPr="002F09C4">
        <w:t xml:space="preserve"> </w:t>
      </w:r>
      <w:r w:rsidR="00400A9D" w:rsidRPr="002F09C4">
        <w:t>be generated and</w:t>
      </w:r>
      <w:r w:rsidR="007632CF" w:rsidRPr="002F09C4">
        <w:t xml:space="preserve"> compared </w:t>
      </w:r>
      <w:r w:rsidR="00400A9D" w:rsidRPr="002F09C4">
        <w:t>in order to make a final</w:t>
      </w:r>
      <w:r w:rsidR="007632CF" w:rsidRPr="002F09C4">
        <w:t xml:space="preserve"> </w:t>
      </w:r>
      <w:r w:rsidR="00400A9D" w:rsidRPr="002F09C4">
        <w:t>d</w:t>
      </w:r>
      <w:r w:rsidR="007632CF" w:rsidRPr="002F09C4">
        <w:t xml:space="preserve">ose selection based on </w:t>
      </w:r>
      <w:r w:rsidR="00400A9D" w:rsidRPr="002F09C4">
        <w:t>the probability that the</w:t>
      </w:r>
      <w:r w:rsidR="007632CF" w:rsidRPr="002F09C4">
        <w:t xml:space="preserve"> majority of patients</w:t>
      </w:r>
      <w:r w:rsidR="00400A9D" w:rsidRPr="002F09C4">
        <w:t xml:space="preserve"> (e.g., ≥ 90%) achieve the desired</w:t>
      </w:r>
      <w:r w:rsidR="007632CF" w:rsidRPr="002F09C4">
        <w:t xml:space="preserve"> </w:t>
      </w:r>
      <w:r w:rsidR="002F09C4">
        <w:t>PK-PD</w:t>
      </w:r>
      <w:r w:rsidR="00B22B60" w:rsidRPr="002F09C4">
        <w:t xml:space="preserve"> </w:t>
      </w:r>
      <w:r w:rsidR="007632CF" w:rsidRPr="002F09C4">
        <w:t>target attainment.</w:t>
      </w:r>
      <w:r w:rsidR="001B4668" w:rsidRPr="002F09C4">
        <w:t xml:space="preserve">  </w:t>
      </w:r>
      <w:r w:rsidR="00B738F4" w:rsidRPr="002F09C4">
        <w:t xml:space="preserve">Conducting an intrapulmonary penetration study in healthy subjects during a phase 1 program </w:t>
      </w:r>
      <w:r w:rsidR="00610750" w:rsidRPr="002F09C4">
        <w:t>can</w:t>
      </w:r>
      <w:r w:rsidR="00B738F4" w:rsidRPr="002F09C4">
        <w:t xml:space="preserve"> </w:t>
      </w:r>
      <w:r w:rsidR="00F377FE" w:rsidRPr="002F09C4">
        <w:t xml:space="preserve">accelerate </w:t>
      </w:r>
      <w:r w:rsidR="009D1A38" w:rsidRPr="002F09C4">
        <w:t xml:space="preserve">drug development </w:t>
      </w:r>
      <w:r w:rsidR="0027730F" w:rsidRPr="002F09C4">
        <w:t>and</w:t>
      </w:r>
      <w:r w:rsidR="00F377FE" w:rsidRPr="002F09C4">
        <w:t xml:space="preserve"> minimiz</w:t>
      </w:r>
      <w:r w:rsidR="0027730F" w:rsidRPr="002F09C4">
        <w:t>e</w:t>
      </w:r>
      <w:r w:rsidR="00F377FE" w:rsidRPr="002F09C4">
        <w:t xml:space="preserve"> </w:t>
      </w:r>
      <w:r w:rsidR="009D1A38" w:rsidRPr="002F09C4">
        <w:t xml:space="preserve">the </w:t>
      </w:r>
      <w:r w:rsidR="009275A1" w:rsidRPr="002F09C4">
        <w:t xml:space="preserve">risk associated with </w:t>
      </w:r>
      <w:r w:rsidR="009D1A38" w:rsidRPr="002F09C4">
        <w:t>dose selection</w:t>
      </w:r>
      <w:r w:rsidR="004E4E7C" w:rsidRPr="002F09C4">
        <w:t xml:space="preserve"> </w:t>
      </w:r>
      <w:r w:rsidR="00B22B60" w:rsidRPr="002F09C4">
        <w:t>for clinical trial</w:t>
      </w:r>
      <w:r w:rsidR="009275A1" w:rsidRPr="002F09C4">
        <w:t>s</w:t>
      </w:r>
      <w:r w:rsidR="00B22B60" w:rsidRPr="002F09C4">
        <w:t xml:space="preserve"> </w:t>
      </w:r>
      <w:r w:rsidR="009275A1" w:rsidRPr="002F09C4">
        <w:t xml:space="preserve">of antibiotics for </w:t>
      </w:r>
      <w:r w:rsidR="00B22B60" w:rsidRPr="002F09C4">
        <w:t>pneumonia</w:t>
      </w:r>
      <w:r w:rsidR="0027730F" w:rsidRPr="002F09C4">
        <w:t xml:space="preserve">. </w:t>
      </w:r>
      <w:r w:rsidR="009275A1" w:rsidRPr="002F09C4">
        <w:t>Delaying</w:t>
      </w:r>
      <w:r w:rsidR="009D1A38" w:rsidRPr="002F09C4">
        <w:t xml:space="preserve"> an intrapulmonary pharmacology study until late phase 2 or during phase 3 pivotal pneumonia studies </w:t>
      </w:r>
      <w:r w:rsidR="009275A1" w:rsidRPr="002F09C4">
        <w:t>is</w:t>
      </w:r>
      <w:r w:rsidR="00610750" w:rsidRPr="002F09C4">
        <w:t xml:space="preserve"> </w:t>
      </w:r>
      <w:r w:rsidR="009275A1" w:rsidRPr="002F09C4">
        <w:t xml:space="preserve">now </w:t>
      </w:r>
      <w:r w:rsidR="0037640A" w:rsidRPr="002F09C4">
        <w:t xml:space="preserve">strongly </w:t>
      </w:r>
      <w:r w:rsidR="00610750" w:rsidRPr="002F09C4">
        <w:t>discourage</w:t>
      </w:r>
      <w:r w:rsidR="009275A1" w:rsidRPr="002F09C4">
        <w:t>d</w:t>
      </w:r>
      <w:r w:rsidR="00610750" w:rsidRPr="002F09C4">
        <w:t xml:space="preserve"> to prevent </w:t>
      </w:r>
      <w:r w:rsidR="00903941" w:rsidRPr="002F09C4">
        <w:t xml:space="preserve">inadequate dose selection </w:t>
      </w:r>
      <w:r w:rsidR="00610750" w:rsidRPr="002F09C4">
        <w:t>for respiratory tract infections [12]</w:t>
      </w:r>
      <w:r w:rsidR="003D3442" w:rsidRPr="002F09C4">
        <w:t>.</w:t>
      </w:r>
      <w:r w:rsidR="009D1A38" w:rsidRPr="002F09C4">
        <w:t xml:space="preserve"> </w:t>
      </w:r>
    </w:p>
    <w:p w14:paraId="68599C6E" w14:textId="467408F6" w:rsidR="004E14E8" w:rsidRPr="002F09C4" w:rsidRDefault="004E4E7C" w:rsidP="008E5183">
      <w:pPr>
        <w:tabs>
          <w:tab w:val="left" w:pos="360"/>
        </w:tabs>
        <w:spacing w:after="0" w:line="480" w:lineRule="auto"/>
      </w:pPr>
      <w:r w:rsidRPr="002F09C4">
        <w:tab/>
        <w:t xml:space="preserve">Ambrose and colleagues have </w:t>
      </w:r>
      <w:r w:rsidR="009275A1" w:rsidRPr="002F09C4">
        <w:t xml:space="preserve">elegantly </w:t>
      </w:r>
      <w:r w:rsidRPr="002F09C4">
        <w:t xml:space="preserve">reviewed the </w:t>
      </w:r>
      <w:r w:rsidR="006D79DD" w:rsidRPr="002F09C4">
        <w:t>pharmacokinetic-pharmacodynamic</w:t>
      </w:r>
      <w:r w:rsidRPr="002F09C4">
        <w:t xml:space="preserve"> considerations </w:t>
      </w:r>
      <w:r w:rsidR="006D79DD" w:rsidRPr="002F09C4">
        <w:t xml:space="preserve">for </w:t>
      </w:r>
      <w:r w:rsidRPr="002F09C4">
        <w:t>HABP and VABP studies</w:t>
      </w:r>
      <w:r w:rsidR="00610750" w:rsidRPr="002F09C4">
        <w:t xml:space="preserve"> [11••]</w:t>
      </w:r>
      <w:r w:rsidRPr="002F09C4">
        <w:t>.  At least two published studies have illustrated the difficulties in achieving drug exposures and target attainment in VABP patients relative to HABP patients during drug development programs</w:t>
      </w:r>
      <w:r w:rsidR="00610750" w:rsidRPr="002F09C4">
        <w:t xml:space="preserve"> [</w:t>
      </w:r>
      <w:r w:rsidR="006D79DD" w:rsidRPr="002F09C4">
        <w:t>11••,</w:t>
      </w:r>
      <w:r w:rsidR="00610750" w:rsidRPr="002F09C4">
        <w:t>12,26,27]</w:t>
      </w:r>
      <w:r w:rsidRPr="002F09C4">
        <w:t>. To overcome the</w:t>
      </w:r>
      <w:r w:rsidR="002D1D31" w:rsidRPr="002F09C4">
        <w:t>se</w:t>
      </w:r>
      <w:r w:rsidRPr="002F09C4">
        <w:t xml:space="preserve"> </w:t>
      </w:r>
      <w:r w:rsidR="002D1D31" w:rsidRPr="002F09C4">
        <w:t xml:space="preserve">issues </w:t>
      </w:r>
      <w:r w:rsidRPr="002F09C4">
        <w:t xml:space="preserve">during drug development, </w:t>
      </w:r>
      <w:r w:rsidR="0094374A" w:rsidRPr="002F09C4">
        <w:t>dose and dosing</w:t>
      </w:r>
      <w:r w:rsidRPr="002F09C4">
        <w:t xml:space="preserve"> regimens should be established with Monte Carlo simulations and target attainment studies that</w:t>
      </w:r>
      <w:r w:rsidR="0094374A" w:rsidRPr="002F09C4">
        <w:t xml:space="preserve"> incorporate as much specific information as possible</w:t>
      </w:r>
      <w:r w:rsidRPr="002F09C4">
        <w:t xml:space="preserve"> for critically ill patients with </w:t>
      </w:r>
      <w:r w:rsidR="0027659F" w:rsidRPr="002F09C4">
        <w:t xml:space="preserve">HABP and </w:t>
      </w:r>
      <w:r w:rsidR="0094374A" w:rsidRPr="002F09C4">
        <w:t>VABP</w:t>
      </w:r>
      <w:r w:rsidRPr="002F09C4">
        <w:t xml:space="preserve">. </w:t>
      </w:r>
      <w:r w:rsidR="0094374A" w:rsidRPr="002F09C4">
        <w:t xml:space="preserve"> </w:t>
      </w:r>
      <w:r w:rsidRPr="002F09C4">
        <w:t>Ideally, this information would include a wide range of demographic characteristics and laboratory data</w:t>
      </w:r>
      <w:r w:rsidR="0094374A" w:rsidRPr="002F09C4">
        <w:t xml:space="preserve"> </w:t>
      </w:r>
      <w:r w:rsidR="002D1D31" w:rsidRPr="002F09C4">
        <w:t xml:space="preserve">that </w:t>
      </w:r>
      <w:r w:rsidR="0094374A" w:rsidRPr="002F09C4">
        <w:t>reflect</w:t>
      </w:r>
      <w:r w:rsidR="002D1D31" w:rsidRPr="002F09C4">
        <w:t>s</w:t>
      </w:r>
      <w:r w:rsidR="0094374A" w:rsidRPr="002F09C4">
        <w:t xml:space="preserve"> </w:t>
      </w:r>
      <w:r w:rsidR="002D1D31" w:rsidRPr="002F09C4">
        <w:t xml:space="preserve">the target population of </w:t>
      </w:r>
      <w:r w:rsidR="0094374A" w:rsidRPr="002F09C4">
        <w:t xml:space="preserve">patients with </w:t>
      </w:r>
      <w:r w:rsidR="0027659F" w:rsidRPr="002F09C4">
        <w:t>pneumonia</w:t>
      </w:r>
      <w:r w:rsidRPr="002F09C4">
        <w:t xml:space="preserve">, lung </w:t>
      </w:r>
      <w:r w:rsidRPr="002F09C4">
        <w:lastRenderedPageBreak/>
        <w:t xml:space="preserve">penetration and pharmacodynamics at the infected site, and MIC distribution </w:t>
      </w:r>
      <w:r w:rsidR="002D1D31" w:rsidRPr="002F09C4">
        <w:t xml:space="preserve">data </w:t>
      </w:r>
      <w:r w:rsidRPr="002F09C4">
        <w:t>of recent bacterial isolates obtained from</w:t>
      </w:r>
      <w:r w:rsidR="0094374A" w:rsidRPr="002F09C4">
        <w:t xml:space="preserve"> hospitalized</w:t>
      </w:r>
      <w:r w:rsidRPr="002F09C4">
        <w:t xml:space="preserve"> patients with pneumonia. </w:t>
      </w:r>
      <w:r w:rsidR="00FD33D8" w:rsidRPr="002F09C4">
        <w:t xml:space="preserve">MIC distributions for Enterobacteriaceae commonly implicated in HABP and VABP can differ </w:t>
      </w:r>
      <w:r w:rsidR="001B59BD" w:rsidRPr="002F09C4">
        <w:t>significantly [11••].  Therefore,</w:t>
      </w:r>
      <w:r w:rsidR="00FD33D8" w:rsidRPr="002F09C4">
        <w:t xml:space="preserve"> a broad range of </w:t>
      </w:r>
      <w:r w:rsidR="000F5280" w:rsidRPr="002F09C4">
        <w:t xml:space="preserve">microbiological </w:t>
      </w:r>
      <w:r w:rsidR="00FD33D8" w:rsidRPr="002F09C4">
        <w:t>data encompassing both clinical entities should be considered when assessing effect site exposures</w:t>
      </w:r>
      <w:r w:rsidR="001B59BD" w:rsidRPr="002F09C4">
        <w:t xml:space="preserve"> that are important for nosocomial pneumonia. </w:t>
      </w:r>
      <w:r w:rsidR="00F02F96" w:rsidRPr="002F09C4">
        <w:t xml:space="preserve">While having measured plasma or lung concentration-time data from critically ill patients to incorporate into </w:t>
      </w:r>
      <w:r w:rsidR="006D79DD" w:rsidRPr="002F09C4">
        <w:t xml:space="preserve">pharmacokinetic-pharmacodynamic </w:t>
      </w:r>
      <w:r w:rsidR="00F02F96" w:rsidRPr="002F09C4">
        <w:t xml:space="preserve">models is very </w:t>
      </w:r>
      <w:r w:rsidR="0027659F" w:rsidRPr="002F09C4">
        <w:t>un</w:t>
      </w:r>
      <w:r w:rsidR="00F02F96" w:rsidRPr="002F09C4">
        <w:t>likely, considerations of</w:t>
      </w:r>
      <w:r w:rsidRPr="002F09C4">
        <w:t xml:space="preserve"> </w:t>
      </w:r>
      <w:r w:rsidR="00F02F96" w:rsidRPr="002F09C4">
        <w:t xml:space="preserve">altered distribution, </w:t>
      </w:r>
      <w:r w:rsidRPr="002F09C4">
        <w:t xml:space="preserve">augmented </w:t>
      </w:r>
      <w:r w:rsidR="00F02F96" w:rsidRPr="002F09C4">
        <w:t xml:space="preserve">renal clearance, </w:t>
      </w:r>
      <w:r w:rsidRPr="002F09C4">
        <w:t xml:space="preserve">and </w:t>
      </w:r>
      <w:r w:rsidR="00F02F96" w:rsidRPr="002F09C4">
        <w:t>renal or hepatic</w:t>
      </w:r>
      <w:r w:rsidRPr="002F09C4">
        <w:t xml:space="preserve"> </w:t>
      </w:r>
      <w:r w:rsidR="00F02F96" w:rsidRPr="002F09C4">
        <w:t>dys</w:t>
      </w:r>
      <w:r w:rsidRPr="002F09C4">
        <w:t xml:space="preserve">function should be </w:t>
      </w:r>
      <w:r w:rsidR="00F02F96" w:rsidRPr="002F09C4">
        <w:t>considered</w:t>
      </w:r>
      <w:r w:rsidR="004D27F4" w:rsidRPr="002F09C4">
        <w:t xml:space="preserve"> [</w:t>
      </w:r>
      <w:r w:rsidR="00317952" w:rsidRPr="002F09C4">
        <w:t>28,</w:t>
      </w:r>
      <w:r w:rsidR="004D27F4" w:rsidRPr="002F09C4">
        <w:t>2</w:t>
      </w:r>
      <w:r w:rsidR="00317952" w:rsidRPr="002F09C4">
        <w:t>9</w:t>
      </w:r>
      <w:r w:rsidR="004D27F4" w:rsidRPr="002F09C4">
        <w:t>]</w:t>
      </w:r>
      <w:r w:rsidRPr="002F09C4">
        <w:t xml:space="preserve">.  </w:t>
      </w:r>
      <w:r w:rsidR="00F02F96" w:rsidRPr="002F09C4">
        <w:t xml:space="preserve">Differing values of mean or median population pharmacokinetic parameters </w:t>
      </w:r>
      <w:r w:rsidR="0027659F" w:rsidRPr="002F09C4">
        <w:t xml:space="preserve">as well as the high variability </w:t>
      </w:r>
      <w:r w:rsidR="002F5FB1" w:rsidRPr="002F09C4">
        <w:t>associated with each</w:t>
      </w:r>
      <w:r w:rsidR="0027659F" w:rsidRPr="002F09C4">
        <w:t xml:space="preserve"> parameter should </w:t>
      </w:r>
      <w:r w:rsidR="002D1D31" w:rsidRPr="002F09C4">
        <w:t xml:space="preserve">also </w:t>
      </w:r>
      <w:r w:rsidR="0027659F" w:rsidRPr="002F09C4">
        <w:t xml:space="preserve">be considered </w:t>
      </w:r>
      <w:r w:rsidR="002F5FB1" w:rsidRPr="002F09C4">
        <w:t>for</w:t>
      </w:r>
      <w:r w:rsidR="0027659F" w:rsidRPr="002F09C4">
        <w:t xml:space="preserve"> subgroups of patients</w:t>
      </w:r>
      <w:r w:rsidR="002F5FB1" w:rsidRPr="002F09C4">
        <w:t xml:space="preserve"> with HABP and VABP</w:t>
      </w:r>
      <w:r w:rsidR="0027659F" w:rsidRPr="002F09C4">
        <w:t>.</w:t>
      </w:r>
      <w:r w:rsidR="00F02F96" w:rsidRPr="002F09C4">
        <w:t xml:space="preserve">  </w:t>
      </w:r>
      <w:r w:rsidRPr="002F09C4">
        <w:t>This approach</w:t>
      </w:r>
      <w:r w:rsidR="002F5FB1" w:rsidRPr="002F09C4">
        <w:t xml:space="preserve"> to dosage design</w:t>
      </w:r>
      <w:r w:rsidRPr="002F09C4">
        <w:t xml:space="preserve"> should lower the risk of treatment failures during a clinical trial program of seriously ill patients treated for VABP</w:t>
      </w:r>
      <w:r w:rsidR="0027659F" w:rsidRPr="002F09C4">
        <w:t xml:space="preserve"> and/or HABP</w:t>
      </w:r>
      <w:r w:rsidRPr="002F09C4">
        <w:t>.</w:t>
      </w:r>
      <w:r w:rsidR="0027730F" w:rsidRPr="002F09C4">
        <w:t xml:space="preserve"> </w:t>
      </w:r>
      <w:r w:rsidR="00F02F96" w:rsidRPr="002F09C4">
        <w:t xml:space="preserve">Prospectively collected </w:t>
      </w:r>
      <w:r w:rsidR="006D79DD" w:rsidRPr="002F09C4">
        <w:t>pharmacokinetic-pharmacodynamic</w:t>
      </w:r>
      <w:r w:rsidR="00F02F96" w:rsidRPr="002F09C4">
        <w:t xml:space="preserve"> data during pivotal </w:t>
      </w:r>
      <w:r w:rsidR="0027659F" w:rsidRPr="002F09C4">
        <w:t xml:space="preserve">clinical </w:t>
      </w:r>
      <w:r w:rsidR="00F02F96" w:rsidRPr="002F09C4">
        <w:t>trial</w:t>
      </w:r>
      <w:r w:rsidR="006D79DD" w:rsidRPr="002F09C4">
        <w:t>s</w:t>
      </w:r>
      <w:r w:rsidR="00F02F96" w:rsidRPr="002F09C4">
        <w:t xml:space="preserve"> can confirm </w:t>
      </w:r>
      <w:r w:rsidR="0027659F" w:rsidRPr="002F09C4">
        <w:t xml:space="preserve">and </w:t>
      </w:r>
      <w:r w:rsidR="002F5FB1" w:rsidRPr="002F09C4">
        <w:t>re-</w:t>
      </w:r>
      <w:r w:rsidR="00F02F96" w:rsidRPr="002F09C4">
        <w:t xml:space="preserve">evaluate the adequacy of the </w:t>
      </w:r>
      <w:r w:rsidR="0027659F" w:rsidRPr="002F09C4">
        <w:t xml:space="preserve">selected </w:t>
      </w:r>
      <w:r w:rsidR="00F02F96" w:rsidRPr="002F09C4">
        <w:t>dosing regimen</w:t>
      </w:r>
      <w:r w:rsidR="0027659F" w:rsidRPr="002F09C4">
        <w:t xml:space="preserve"> to achieve desired efficacy and safety</w:t>
      </w:r>
      <w:r w:rsidR="002D1D31" w:rsidRPr="002F09C4">
        <w:t xml:space="preserve"> margins</w:t>
      </w:r>
      <w:r w:rsidR="00F02F96" w:rsidRPr="002F09C4">
        <w:t>.</w:t>
      </w:r>
    </w:p>
    <w:p w14:paraId="50D32158" w14:textId="77777777" w:rsidR="00EA3C39" w:rsidRPr="002F09C4" w:rsidRDefault="00B8257C" w:rsidP="008E5183">
      <w:pPr>
        <w:tabs>
          <w:tab w:val="left" w:pos="360"/>
        </w:tabs>
        <w:spacing w:after="0" w:line="480" w:lineRule="auto"/>
        <w:rPr>
          <w:b/>
        </w:rPr>
      </w:pPr>
      <w:r w:rsidRPr="002F09C4">
        <w:rPr>
          <w:b/>
        </w:rPr>
        <w:tab/>
      </w:r>
    </w:p>
    <w:p w14:paraId="4EB310B3" w14:textId="654B0A53" w:rsidR="00F61D0A" w:rsidRPr="002F09C4" w:rsidRDefault="00EA3C39" w:rsidP="008E5183">
      <w:pPr>
        <w:tabs>
          <w:tab w:val="left" w:pos="360"/>
        </w:tabs>
        <w:spacing w:after="0" w:line="480" w:lineRule="auto"/>
      </w:pPr>
      <w:r w:rsidRPr="002F09C4">
        <w:rPr>
          <w:b/>
        </w:rPr>
        <w:tab/>
      </w:r>
      <w:r w:rsidR="00F841D7" w:rsidRPr="002F09C4">
        <w:rPr>
          <w:b/>
          <w:i/>
        </w:rPr>
        <w:t>Critically Ill Patients</w:t>
      </w:r>
      <w:r w:rsidR="00B8257C" w:rsidRPr="002F09C4">
        <w:rPr>
          <w:b/>
          <w:i/>
        </w:rPr>
        <w:t>.</w:t>
      </w:r>
      <w:r w:rsidR="00B8257C" w:rsidRPr="002F09C4">
        <w:rPr>
          <w:b/>
        </w:rPr>
        <w:t xml:space="preserve">  </w:t>
      </w:r>
      <w:r w:rsidR="00F61D0A" w:rsidRPr="002F09C4">
        <w:t xml:space="preserve">There are </w:t>
      </w:r>
      <w:r w:rsidR="004A0BD6" w:rsidRPr="002F09C4">
        <w:t xml:space="preserve">only </w:t>
      </w:r>
      <w:r w:rsidR="00F61D0A" w:rsidRPr="002F09C4">
        <w:t xml:space="preserve">a limited number of BAL studies in patients who were in an intensive care unit, receiving mechanical ventilation, and/or being treated for severe pneumonia (Table </w:t>
      </w:r>
      <w:r w:rsidR="00317952" w:rsidRPr="002F09C4">
        <w:t>2</w:t>
      </w:r>
      <w:r w:rsidR="00F61D0A" w:rsidRPr="002F09C4">
        <w:t>)</w:t>
      </w:r>
      <w:r w:rsidR="00317952" w:rsidRPr="002F09C4">
        <w:t xml:space="preserve"> [30-48]</w:t>
      </w:r>
      <w:r w:rsidR="00F61D0A" w:rsidRPr="002F09C4">
        <w:t>.</w:t>
      </w:r>
      <w:r w:rsidR="009D6C71" w:rsidRPr="002F09C4">
        <w:t xml:space="preserve"> A</w:t>
      </w:r>
      <w:r w:rsidR="00F61D0A" w:rsidRPr="002F09C4">
        <w:t xml:space="preserve">ll of the studies published </w:t>
      </w:r>
      <w:r w:rsidR="004A0BD6" w:rsidRPr="002F09C4">
        <w:t>to date</w:t>
      </w:r>
      <w:r w:rsidR="00F61D0A" w:rsidRPr="002F09C4">
        <w:t xml:space="preserve"> were conducted with antibiotics that</w:t>
      </w:r>
      <w:r w:rsidR="002D1D31" w:rsidRPr="002F09C4">
        <w:t xml:space="preserve"> had</w:t>
      </w:r>
      <w:r w:rsidR="00F61D0A" w:rsidRPr="002F09C4">
        <w:t xml:space="preserve"> already</w:t>
      </w:r>
      <w:r w:rsidR="002D1D31" w:rsidRPr="002F09C4">
        <w:t xml:space="preserve"> </w:t>
      </w:r>
      <w:r w:rsidR="00F61D0A" w:rsidRPr="002F09C4">
        <w:t>received regulatory approv</w:t>
      </w:r>
      <w:r w:rsidR="002D1D31" w:rsidRPr="002F09C4">
        <w:t>al</w:t>
      </w:r>
      <w:r w:rsidR="00F61D0A" w:rsidRPr="002F09C4">
        <w:t xml:space="preserve"> and had been used in clinical practice for several years.  Jamal and colleagues have used </w:t>
      </w:r>
      <w:r w:rsidR="009D6C71" w:rsidRPr="002F09C4">
        <w:t>these</w:t>
      </w:r>
      <w:r w:rsidR="00F61D0A" w:rsidRPr="002F09C4">
        <w:t xml:space="preserve"> data </w:t>
      </w:r>
      <w:r w:rsidR="009D6C71" w:rsidRPr="002F09C4">
        <w:t>t</w:t>
      </w:r>
      <w:r w:rsidR="00F61D0A" w:rsidRPr="002F09C4">
        <w:t>o provide clinical dosing strategies for various antibiotic drug classes based physiochemical characteristics, pharmacodynamics properties, and relative degree of ELF penetration (Figure 1)</w:t>
      </w:r>
      <w:r w:rsidR="009D6C71" w:rsidRPr="002F09C4">
        <w:t xml:space="preserve"> [10]</w:t>
      </w:r>
      <w:r w:rsidR="00F61D0A" w:rsidRPr="002F09C4">
        <w:t>.</w:t>
      </w:r>
    </w:p>
    <w:p w14:paraId="469473CD" w14:textId="006E8222" w:rsidR="00D53DBD" w:rsidRPr="002F09C4" w:rsidRDefault="00F61D0A" w:rsidP="008E5183">
      <w:pPr>
        <w:tabs>
          <w:tab w:val="left" w:pos="360"/>
        </w:tabs>
        <w:spacing w:after="0" w:line="480" w:lineRule="auto"/>
      </w:pPr>
      <w:r w:rsidRPr="002F09C4">
        <w:tab/>
      </w:r>
      <w:r w:rsidR="00B8257C" w:rsidRPr="002F09C4">
        <w:t xml:space="preserve">One of the most recent concerns </w:t>
      </w:r>
      <w:r w:rsidR="009D6C71" w:rsidRPr="002F09C4">
        <w:t xml:space="preserve">in drug development programs </w:t>
      </w:r>
      <w:r w:rsidR="00B8257C" w:rsidRPr="002F09C4">
        <w:t xml:space="preserve">has been whether healthy subjects adequately reflect the intrapulmonary concentrations observed in critically ill patients.  It is well known </w:t>
      </w:r>
      <w:r w:rsidR="00B8257C" w:rsidRPr="002F09C4">
        <w:lastRenderedPageBreak/>
        <w:t xml:space="preserve">that a wide range of inter- and intra-patient variability </w:t>
      </w:r>
      <w:r w:rsidR="007F2392" w:rsidRPr="002F09C4">
        <w:t xml:space="preserve">is </w:t>
      </w:r>
      <w:r w:rsidR="00B8257C" w:rsidRPr="002F09C4">
        <w:t xml:space="preserve">observed in </w:t>
      </w:r>
      <w:r w:rsidR="007F2392" w:rsidRPr="002F09C4">
        <w:t>plasma</w:t>
      </w:r>
      <w:r w:rsidR="00B8257C" w:rsidRPr="002F09C4">
        <w:t xml:space="preserve"> drug concentrations</w:t>
      </w:r>
      <w:r w:rsidR="007F2392" w:rsidRPr="002F09C4">
        <w:t xml:space="preserve"> and pharmacokinetic parameters of</w:t>
      </w:r>
      <w:r w:rsidR="00B8257C" w:rsidRPr="002F09C4">
        <w:t xml:space="preserve"> critically ill patients</w:t>
      </w:r>
      <w:r w:rsidR="009D6C71" w:rsidRPr="002F09C4">
        <w:t xml:space="preserve"> [49,50,51]</w:t>
      </w:r>
      <w:r w:rsidR="00B8257C" w:rsidRPr="002F09C4">
        <w:t xml:space="preserve">. </w:t>
      </w:r>
      <w:r w:rsidR="00F44247" w:rsidRPr="002F09C4">
        <w:t>Many of these patients have</w:t>
      </w:r>
      <w:r w:rsidR="00B8257C" w:rsidRPr="002F09C4">
        <w:t xml:space="preserve"> </w:t>
      </w:r>
      <w:r w:rsidR="00FC17DC" w:rsidRPr="002F09C4">
        <w:t xml:space="preserve">additional </w:t>
      </w:r>
      <w:r w:rsidR="00B8257C" w:rsidRPr="002F09C4">
        <w:t>variables</w:t>
      </w:r>
      <w:r w:rsidR="00FC17DC" w:rsidRPr="002F09C4">
        <w:t xml:space="preserve"> (e.g., </w:t>
      </w:r>
      <w:r w:rsidR="00E62612" w:rsidRPr="002F09C4">
        <w:t xml:space="preserve">augmented renal function, obesity, </w:t>
      </w:r>
      <w:r w:rsidR="00FC17DC" w:rsidRPr="002F09C4">
        <w:t>and hepatic or renal</w:t>
      </w:r>
      <w:r w:rsidR="00E62612" w:rsidRPr="002F09C4">
        <w:t xml:space="preserve"> </w:t>
      </w:r>
      <w:r w:rsidR="00D53DBD" w:rsidRPr="002F09C4">
        <w:t>dys</w:t>
      </w:r>
      <w:r w:rsidR="00E62612" w:rsidRPr="002F09C4">
        <w:t>function</w:t>
      </w:r>
      <w:r w:rsidR="00FC17DC" w:rsidRPr="002F09C4">
        <w:t>)</w:t>
      </w:r>
      <w:r w:rsidR="00F44247" w:rsidRPr="002F09C4">
        <w:t xml:space="preserve"> along with their </w:t>
      </w:r>
      <w:r w:rsidR="002D1D31" w:rsidRPr="002F09C4">
        <w:t xml:space="preserve">potentially </w:t>
      </w:r>
      <w:r w:rsidR="00F44247" w:rsidRPr="002F09C4">
        <w:t xml:space="preserve">life-threatening </w:t>
      </w:r>
      <w:r w:rsidR="002D1D31" w:rsidRPr="002F09C4">
        <w:t>pneumonic</w:t>
      </w:r>
      <w:r w:rsidR="00F44247" w:rsidRPr="002F09C4">
        <w:t xml:space="preserve"> infection</w:t>
      </w:r>
      <w:r w:rsidR="00B8257C" w:rsidRPr="002F09C4">
        <w:t xml:space="preserve"> that</w:t>
      </w:r>
      <w:r w:rsidR="00FC17DC" w:rsidRPr="002F09C4">
        <w:t xml:space="preserve"> may</w:t>
      </w:r>
      <w:r w:rsidR="00B8257C" w:rsidRPr="002F09C4">
        <w:t xml:space="preserve"> </w:t>
      </w:r>
      <w:r w:rsidR="007F2392" w:rsidRPr="002F09C4">
        <w:t>substantial</w:t>
      </w:r>
      <w:r w:rsidR="002D1D31" w:rsidRPr="002F09C4">
        <w:t>ly</w:t>
      </w:r>
      <w:r w:rsidR="00E62612" w:rsidRPr="002F09C4">
        <w:t xml:space="preserve"> </w:t>
      </w:r>
      <w:r w:rsidR="004A0BD6" w:rsidRPr="002F09C4">
        <w:t xml:space="preserve">affect </w:t>
      </w:r>
      <w:r w:rsidR="00B8257C" w:rsidRPr="002F09C4">
        <w:t>the disposition of antibiotics</w:t>
      </w:r>
      <w:r w:rsidR="00FC17DC" w:rsidRPr="002F09C4">
        <w:t xml:space="preserve">.  </w:t>
      </w:r>
      <w:r w:rsidR="002D1D31" w:rsidRPr="002F09C4">
        <w:t>Furthermore</w:t>
      </w:r>
      <w:r w:rsidR="00FC17DC" w:rsidRPr="002F09C4">
        <w:t>, critically ill patient</w:t>
      </w:r>
      <w:r w:rsidR="002D1D31" w:rsidRPr="002F09C4">
        <w:t xml:space="preserve">s </w:t>
      </w:r>
      <w:r w:rsidR="00FC17DC" w:rsidRPr="002F09C4">
        <w:t>often receive various treatments (e.g., intravenous fluid</w:t>
      </w:r>
      <w:r w:rsidR="009F1C71" w:rsidRPr="002F09C4">
        <w:t xml:space="preserve"> resuscitation</w:t>
      </w:r>
      <w:r w:rsidR="00FC17DC" w:rsidRPr="002F09C4">
        <w:t>, drug therapy, and continuous renal replacement therapy)</w:t>
      </w:r>
      <w:r w:rsidR="00B8257C" w:rsidRPr="002F09C4">
        <w:t xml:space="preserve"> </w:t>
      </w:r>
      <w:r w:rsidR="00FC17DC" w:rsidRPr="002F09C4">
        <w:t>that can alter apparent volume of distribution and/or clearance of antibiotics.</w:t>
      </w:r>
      <w:r w:rsidR="007F2392" w:rsidRPr="002F09C4">
        <w:t xml:space="preserve">  </w:t>
      </w:r>
      <w:r w:rsidR="00816460" w:rsidRPr="002F09C4">
        <w:t>Alterations in pulmonary permeability, dilution of intrapulmonary concentrations due to an increased volume, and/or disruption in transport systems in the lungs because of injury or infection have been suggested as physiological explanations for lower intrapulmonary concentrations in the critically ill patient</w:t>
      </w:r>
      <w:r w:rsidR="009D6C71" w:rsidRPr="002F09C4">
        <w:t xml:space="preserve"> [37</w:t>
      </w:r>
      <w:r w:rsidR="00AA63C6" w:rsidRPr="002F09C4">
        <w:t>••</w:t>
      </w:r>
      <w:r w:rsidR="009D6C71" w:rsidRPr="002F09C4">
        <w:t>]</w:t>
      </w:r>
      <w:r w:rsidR="00816460" w:rsidRPr="002F09C4">
        <w:t xml:space="preserve">. </w:t>
      </w:r>
      <w:r w:rsidR="004A0BD6" w:rsidRPr="002F09C4">
        <w:t>R</w:t>
      </w:r>
      <w:r w:rsidR="00D53DBD" w:rsidRPr="002F09C4">
        <w:t xml:space="preserve">egimens based on studies from healthy subjects or non-critically ill patients </w:t>
      </w:r>
      <w:r w:rsidR="004A0BD6" w:rsidRPr="002F09C4">
        <w:t xml:space="preserve">may </w:t>
      </w:r>
      <w:r w:rsidR="00D53DBD" w:rsidRPr="002F09C4">
        <w:t xml:space="preserve">lead to suboptimal </w:t>
      </w:r>
      <w:r w:rsidR="00B53CAF" w:rsidRPr="002F09C4">
        <w:t xml:space="preserve">antibiotic </w:t>
      </w:r>
      <w:r w:rsidR="00D53DBD" w:rsidRPr="002F09C4">
        <w:t xml:space="preserve">exposure </w:t>
      </w:r>
      <w:r w:rsidR="00B53CAF" w:rsidRPr="002F09C4">
        <w:t xml:space="preserve">in </w:t>
      </w:r>
      <w:r w:rsidR="00D53DBD" w:rsidRPr="002F09C4">
        <w:t>plasma and/or lung.</w:t>
      </w:r>
    </w:p>
    <w:p w14:paraId="482B51F8" w14:textId="03825861" w:rsidR="00FC17DC" w:rsidRPr="002F09C4" w:rsidRDefault="00B87EE4" w:rsidP="008E5183">
      <w:pPr>
        <w:tabs>
          <w:tab w:val="left" w:pos="360"/>
        </w:tabs>
        <w:spacing w:after="0" w:line="480" w:lineRule="auto"/>
      </w:pPr>
      <w:r w:rsidRPr="002F09C4">
        <w:tab/>
      </w:r>
      <w:r w:rsidR="00816460" w:rsidRPr="002F09C4">
        <w:t xml:space="preserve">Methodological issues differ between studies conducted in critically ill patients and healthy subjects. </w:t>
      </w:r>
      <w:r w:rsidR="00D53DBD" w:rsidRPr="002F09C4">
        <w:t>In critically ill patients, the BAL procedure often involves microlavage or minilavage (e.g. 20 mL of 0.9% normal saline solution instilled as one or two aliquots per sampling time)</w:t>
      </w:r>
      <w:r w:rsidR="009D6C71" w:rsidRPr="002F09C4">
        <w:t xml:space="preserve"> [52]</w:t>
      </w:r>
      <w:r w:rsidR="00D53DBD" w:rsidRPr="002F09C4">
        <w:t xml:space="preserve">. The </w:t>
      </w:r>
      <w:r w:rsidR="004E14E8" w:rsidRPr="002F09C4">
        <w:t>number of patients studied</w:t>
      </w:r>
      <w:r w:rsidR="00D53DBD" w:rsidRPr="002F09C4">
        <w:t xml:space="preserve"> (n = 8 to 12 patients) is about one-third of the typical </w:t>
      </w:r>
      <w:r w:rsidR="00B53CAF" w:rsidRPr="002F09C4">
        <w:t xml:space="preserve">number studied </w:t>
      </w:r>
      <w:r w:rsidR="00D53DBD" w:rsidRPr="002F09C4">
        <w:t>in healthy human subjects.  Sampling schemes are usually limited to either a set of peak and trough concentrations during an intermittent dosing interval</w:t>
      </w:r>
      <w:r w:rsidR="00B53CAF" w:rsidRPr="002F09C4">
        <w:t>,</w:t>
      </w:r>
      <w:r w:rsidR="00D53DBD" w:rsidRPr="002F09C4">
        <w:t xml:space="preserve"> or a single sampling time during </w:t>
      </w:r>
      <w:r w:rsidR="00E43923" w:rsidRPr="002F09C4">
        <w:t xml:space="preserve">intermittent or </w:t>
      </w:r>
      <w:r w:rsidR="00D53DBD" w:rsidRPr="002F09C4">
        <w:t>continuous infusion.  Rarely are samples collected over an entire dosing interval</w:t>
      </w:r>
      <w:r w:rsidR="004A0BD6" w:rsidRPr="002F09C4">
        <w:t xml:space="preserve"> because studies occur in an uncontrolled environ</w:t>
      </w:r>
      <w:r w:rsidR="005E7304" w:rsidRPr="002F09C4">
        <w:t>me</w:t>
      </w:r>
      <w:r w:rsidR="004A0BD6" w:rsidRPr="002F09C4">
        <w:t>nt</w:t>
      </w:r>
      <w:r w:rsidR="00D53DBD" w:rsidRPr="002F09C4">
        <w:t xml:space="preserve">.  Despite differences in study procedures for critically ill patients, the reported mean or median penetration ratios of ELF-to-plasma for most antibiotics tend to be similar </w:t>
      </w:r>
      <w:r w:rsidR="00E752C4" w:rsidRPr="002F09C4">
        <w:t xml:space="preserve">(e.g., aminoglycosides, linezolid) </w:t>
      </w:r>
      <w:r w:rsidR="00D53DBD" w:rsidRPr="002F09C4">
        <w:t>or higher</w:t>
      </w:r>
      <w:r w:rsidR="00E752C4" w:rsidRPr="002F09C4">
        <w:t xml:space="preserve"> (e.g., beta-lactams)</w:t>
      </w:r>
      <w:r w:rsidR="00D53DBD" w:rsidRPr="002F09C4">
        <w:t xml:space="preserve"> than those observed in healthy subjects and outpatients.  However,</w:t>
      </w:r>
      <w:r w:rsidR="00816460" w:rsidRPr="002F09C4">
        <w:t xml:space="preserve"> antibiotic concentrations demonstrate a substantial amount of variability</w:t>
      </w:r>
      <w:r w:rsidR="00CC7C35" w:rsidRPr="002F09C4">
        <w:t xml:space="preserve"> in critical</w:t>
      </w:r>
      <w:r w:rsidR="00D53DBD" w:rsidRPr="002F09C4">
        <w:t xml:space="preserve"> ill</w:t>
      </w:r>
      <w:r w:rsidR="004A0BD6" w:rsidRPr="002F09C4">
        <w:t>ness</w:t>
      </w:r>
      <w:r w:rsidR="00B53CAF" w:rsidRPr="002F09C4">
        <w:t xml:space="preserve">, </w:t>
      </w:r>
      <w:r w:rsidR="00816460" w:rsidRPr="002F09C4">
        <w:t xml:space="preserve">which </w:t>
      </w:r>
      <w:r w:rsidR="00D53DBD" w:rsidRPr="002F09C4">
        <w:t>can</w:t>
      </w:r>
      <w:r w:rsidR="00816460" w:rsidRPr="002F09C4">
        <w:t xml:space="preserve"> </w:t>
      </w:r>
      <w:r w:rsidR="00D53DBD" w:rsidRPr="002F09C4">
        <w:t xml:space="preserve">result in </w:t>
      </w:r>
      <w:r w:rsidR="00B53CAF" w:rsidRPr="002F09C4">
        <w:t xml:space="preserve">a </w:t>
      </w:r>
      <w:r w:rsidR="00D53DBD" w:rsidRPr="002F09C4">
        <w:t xml:space="preserve">lower drug exposure in plasma and </w:t>
      </w:r>
      <w:r w:rsidR="00816460" w:rsidRPr="002F09C4">
        <w:t xml:space="preserve">subsequently at the </w:t>
      </w:r>
      <w:r w:rsidR="00D53DBD" w:rsidRPr="002F09C4">
        <w:t xml:space="preserve">site of </w:t>
      </w:r>
      <w:r w:rsidR="00D53DBD" w:rsidRPr="002F09C4">
        <w:lastRenderedPageBreak/>
        <w:t xml:space="preserve">infection </w:t>
      </w:r>
      <w:r w:rsidR="00816460" w:rsidRPr="002F09C4">
        <w:t>(e.g.,</w:t>
      </w:r>
      <w:r w:rsidR="00D53DBD" w:rsidRPr="002F09C4">
        <w:t xml:space="preserve"> lung</w:t>
      </w:r>
      <w:r w:rsidR="00816460" w:rsidRPr="002F09C4">
        <w:t>)</w:t>
      </w:r>
      <w:r w:rsidR="00D53DBD" w:rsidRPr="002F09C4">
        <w:t xml:space="preserve">. For example, </w:t>
      </w:r>
      <w:r w:rsidR="00816460" w:rsidRPr="002F09C4">
        <w:t xml:space="preserve">the </w:t>
      </w:r>
      <w:r w:rsidR="00E752C4" w:rsidRPr="002F09C4">
        <w:t xml:space="preserve">average </w:t>
      </w:r>
      <w:r w:rsidR="00E43923" w:rsidRPr="002F09C4">
        <w:t xml:space="preserve">ratio of ELF-to-unbound plasma concentrations for </w:t>
      </w:r>
      <w:r w:rsidR="00D53DBD" w:rsidRPr="002F09C4">
        <w:t>piperacillin</w:t>
      </w:r>
      <w:r w:rsidR="00E43923" w:rsidRPr="002F09C4">
        <w:t xml:space="preserve"> and </w:t>
      </w:r>
      <w:r w:rsidR="00D53DBD" w:rsidRPr="002F09C4">
        <w:t xml:space="preserve">tazobactam </w:t>
      </w:r>
      <w:r w:rsidR="00E43923" w:rsidRPr="002F09C4">
        <w:t xml:space="preserve">in healthy subjects </w:t>
      </w:r>
      <w:r w:rsidR="00F61D0A" w:rsidRPr="002F09C4">
        <w:t>has been</w:t>
      </w:r>
      <w:r w:rsidR="00E43923" w:rsidRPr="002F09C4">
        <w:t xml:space="preserve"> reported as 38% and 77%, respectively</w:t>
      </w:r>
      <w:r w:rsidR="00F61D0A" w:rsidRPr="002F09C4">
        <w:t xml:space="preserve"> (Table 1)</w:t>
      </w:r>
      <w:r w:rsidR="009D6C71" w:rsidRPr="002F09C4">
        <w:t xml:space="preserve"> [17]</w:t>
      </w:r>
      <w:r w:rsidR="00E43923" w:rsidRPr="002F09C4">
        <w:t>.  In seventeen critically ill patients, the respective</w:t>
      </w:r>
      <w:r w:rsidRPr="002F09C4">
        <w:t xml:space="preserve"> median</w:t>
      </w:r>
      <w:r w:rsidR="00E43923" w:rsidRPr="002F09C4">
        <w:t xml:space="preserve"> ratios </w:t>
      </w:r>
      <w:r w:rsidR="002C365E" w:rsidRPr="002F09C4">
        <w:t xml:space="preserve">for these two drugs </w:t>
      </w:r>
      <w:r w:rsidR="00E43923" w:rsidRPr="002F09C4">
        <w:t>were reported as 49% (range: 2% to 516%) and 121% (11% to 381%) during intermittent dosing and 63% (29% to 117%) and 138% (57% to 326%) for continuous infusion</w:t>
      </w:r>
      <w:r w:rsidR="002C365E" w:rsidRPr="002F09C4">
        <w:t>, respectively</w:t>
      </w:r>
      <w:r w:rsidR="00F61D0A" w:rsidRPr="002F09C4">
        <w:t xml:space="preserve"> (Table 2)</w:t>
      </w:r>
      <w:r w:rsidR="009D6C71" w:rsidRPr="002F09C4">
        <w:t xml:space="preserve"> [36,37</w:t>
      </w:r>
      <w:r w:rsidR="00AA63C6" w:rsidRPr="002F09C4">
        <w:t>••</w:t>
      </w:r>
      <w:r w:rsidR="009D6C71" w:rsidRPr="002F09C4">
        <w:t>]</w:t>
      </w:r>
      <w:r w:rsidR="00E43923" w:rsidRPr="002F09C4">
        <w:t>. The wide range</w:t>
      </w:r>
      <w:r w:rsidR="00BD4728" w:rsidRPr="002F09C4">
        <w:t>s</w:t>
      </w:r>
      <w:r w:rsidR="00E43923" w:rsidRPr="002F09C4">
        <w:t xml:space="preserve"> around these </w:t>
      </w:r>
      <w:r w:rsidR="00F61D0A" w:rsidRPr="002F09C4">
        <w:t>median val</w:t>
      </w:r>
      <w:r w:rsidR="002C365E" w:rsidRPr="002F09C4">
        <w:t xml:space="preserve">ues illustrates </w:t>
      </w:r>
      <w:r w:rsidRPr="002F09C4">
        <w:t>marked pharmacokinetic variability</w:t>
      </w:r>
      <w:r w:rsidR="00B53CAF" w:rsidRPr="002F09C4">
        <w:t>, which is</w:t>
      </w:r>
      <w:r w:rsidRPr="002F09C4">
        <w:t xml:space="preserve"> </w:t>
      </w:r>
      <w:r w:rsidR="00BD4728" w:rsidRPr="002F09C4">
        <w:t xml:space="preserve">commonly observed </w:t>
      </w:r>
      <w:r w:rsidRPr="002F09C4">
        <w:t>in critically ill patients.</w:t>
      </w:r>
    </w:p>
    <w:p w14:paraId="40F47069" w14:textId="2FA02083" w:rsidR="005E794E" w:rsidRPr="002F09C4" w:rsidRDefault="00B53CAF" w:rsidP="008E5183">
      <w:pPr>
        <w:tabs>
          <w:tab w:val="left" w:pos="360"/>
        </w:tabs>
        <w:spacing w:after="0" w:line="480" w:lineRule="auto"/>
      </w:pPr>
      <w:r w:rsidRPr="002F09C4">
        <w:tab/>
        <w:t>A</w:t>
      </w:r>
      <w:r w:rsidR="001B368D" w:rsidRPr="002F09C4">
        <w:t xml:space="preserve">n intrapulmonary pharmacokinetic study </w:t>
      </w:r>
      <w:r w:rsidRPr="002F09C4">
        <w:t xml:space="preserve">conducted </w:t>
      </w:r>
      <w:r w:rsidR="001B368D" w:rsidRPr="002F09C4">
        <w:t xml:space="preserve">in critically ill patients during </w:t>
      </w:r>
      <w:r w:rsidRPr="002F09C4">
        <w:t>the</w:t>
      </w:r>
      <w:r w:rsidR="001B368D" w:rsidRPr="002F09C4">
        <w:t xml:space="preserve"> development program </w:t>
      </w:r>
      <w:r w:rsidRPr="002F09C4">
        <w:t xml:space="preserve">for a new antibiotic is </w:t>
      </w:r>
      <w:r w:rsidR="00D3609E" w:rsidRPr="002F09C4">
        <w:t>highly desirable</w:t>
      </w:r>
      <w:r w:rsidRPr="002F09C4">
        <w:t xml:space="preserve">. However, it </w:t>
      </w:r>
      <w:r w:rsidR="001B368D" w:rsidRPr="002F09C4">
        <w:t xml:space="preserve">is </w:t>
      </w:r>
      <w:r w:rsidRPr="002F09C4">
        <w:t xml:space="preserve">both practically and </w:t>
      </w:r>
      <w:r w:rsidR="001B368D" w:rsidRPr="002F09C4">
        <w:t>ethically challenging because of the need to obtain informed consent from individual patient</w:t>
      </w:r>
      <w:r w:rsidRPr="002F09C4">
        <w:t>s</w:t>
      </w:r>
      <w:r w:rsidR="00D3609E" w:rsidRPr="002F09C4">
        <w:t xml:space="preserve">. A </w:t>
      </w:r>
      <w:r w:rsidRPr="002F09C4">
        <w:t xml:space="preserve">pragmatic approach </w:t>
      </w:r>
      <w:r w:rsidR="00D3609E" w:rsidRPr="002F09C4">
        <w:t>could</w:t>
      </w:r>
      <w:r w:rsidR="001B368D" w:rsidRPr="002F09C4">
        <w:t xml:space="preserve"> include an optional BAL collection </w:t>
      </w:r>
      <w:r w:rsidR="00D3609E" w:rsidRPr="002F09C4">
        <w:t xml:space="preserve">designed </w:t>
      </w:r>
      <w:r w:rsidR="001B368D" w:rsidRPr="002F09C4">
        <w:t>as part of the research protocol</w:t>
      </w:r>
      <w:r w:rsidRPr="002F09C4">
        <w:t xml:space="preserve"> for patients enrolled into </w:t>
      </w:r>
      <w:r w:rsidR="00D3609E" w:rsidRPr="002F09C4">
        <w:t xml:space="preserve">these </w:t>
      </w:r>
      <w:r w:rsidRPr="002F09C4">
        <w:t>safety and efficacy clinical trials</w:t>
      </w:r>
      <w:r w:rsidR="001B368D" w:rsidRPr="002F09C4">
        <w:t xml:space="preserve">.  </w:t>
      </w:r>
      <w:r w:rsidR="001375CD" w:rsidRPr="002F09C4">
        <w:t>However, data from phase 1 ELF studies carried out in healthy volunteers will allow for dose and regimen selection to be comp</w:t>
      </w:r>
      <w:r w:rsidR="0090628B" w:rsidRPr="002F09C4">
        <w:t xml:space="preserve">leted as optimally as possible </w:t>
      </w:r>
      <w:r w:rsidR="001375CD" w:rsidRPr="002F09C4">
        <w:t xml:space="preserve">prior to these phase 3 studies. </w:t>
      </w:r>
      <w:r w:rsidR="00D3609E" w:rsidRPr="002F09C4">
        <w:t>A</w:t>
      </w:r>
      <w:r w:rsidR="001B368D" w:rsidRPr="002F09C4">
        <w:t xml:space="preserve">ppropriate timing of dose administration and sample collection (e.g., both plasma and BAL fluid) by experienced investigators is </w:t>
      </w:r>
      <w:r w:rsidR="00D3609E" w:rsidRPr="002F09C4">
        <w:t xml:space="preserve">still required </w:t>
      </w:r>
      <w:r w:rsidR="001B368D" w:rsidRPr="002F09C4">
        <w:t xml:space="preserve">to provide </w:t>
      </w:r>
      <w:r w:rsidR="00D3609E" w:rsidRPr="002F09C4">
        <w:t>robust and reliable</w:t>
      </w:r>
      <w:r w:rsidR="001B368D" w:rsidRPr="002F09C4">
        <w:t xml:space="preserve"> pharmacokinetic data. </w:t>
      </w:r>
      <w:r w:rsidR="00D3609E" w:rsidRPr="002F09C4">
        <w:t>A</w:t>
      </w:r>
      <w:r w:rsidR="00F863A2" w:rsidRPr="002F09C4">
        <w:t xml:space="preserve">dditional </w:t>
      </w:r>
      <w:r w:rsidR="00D73C07" w:rsidRPr="002F09C4">
        <w:t xml:space="preserve">studies </w:t>
      </w:r>
      <w:r w:rsidR="00D3609E" w:rsidRPr="002F09C4">
        <w:t xml:space="preserve">with consideration of these issues </w:t>
      </w:r>
      <w:r w:rsidR="00D73C07" w:rsidRPr="002F09C4">
        <w:t>are</w:t>
      </w:r>
      <w:r w:rsidR="001E0097" w:rsidRPr="002F09C4">
        <w:t xml:space="preserve"> </w:t>
      </w:r>
      <w:r w:rsidR="00BD4728" w:rsidRPr="002F09C4">
        <w:t xml:space="preserve">desperately </w:t>
      </w:r>
      <w:r w:rsidR="00D73C07" w:rsidRPr="002F09C4">
        <w:t>warranted to</w:t>
      </w:r>
      <w:r w:rsidR="00F863A2" w:rsidRPr="002F09C4">
        <w:t xml:space="preserve"> determine </w:t>
      </w:r>
      <w:r w:rsidR="00D94F3C" w:rsidRPr="002F09C4">
        <w:t xml:space="preserve">which </w:t>
      </w:r>
      <w:r w:rsidR="00AF647B" w:rsidRPr="002F09C4">
        <w:t>underlying physiological and pathological processes</w:t>
      </w:r>
      <w:r w:rsidR="00D94F3C" w:rsidRPr="002F09C4">
        <w:t xml:space="preserve"> </w:t>
      </w:r>
      <w:r w:rsidR="00BD4728" w:rsidRPr="002F09C4">
        <w:t xml:space="preserve">in patients with HABP and VABP </w:t>
      </w:r>
      <w:r w:rsidR="00D94F3C" w:rsidRPr="002F09C4">
        <w:t>have the greatest</w:t>
      </w:r>
      <w:r w:rsidR="00AF647B" w:rsidRPr="002F09C4">
        <w:t xml:space="preserve"> impact </w:t>
      </w:r>
      <w:r w:rsidR="00BD4728" w:rsidRPr="002F09C4">
        <w:t xml:space="preserve">on </w:t>
      </w:r>
      <w:r w:rsidR="00AF647B" w:rsidRPr="002F09C4">
        <w:t xml:space="preserve">plasma and </w:t>
      </w:r>
      <w:r w:rsidR="00D94F3C" w:rsidRPr="002F09C4">
        <w:t>lung concentrations</w:t>
      </w:r>
      <w:r w:rsidR="00AF647B" w:rsidRPr="002F09C4">
        <w:t xml:space="preserve">.  In addition, </w:t>
      </w:r>
      <w:r w:rsidR="00D94F3C" w:rsidRPr="002F09C4">
        <w:t>defining</w:t>
      </w:r>
      <w:r w:rsidR="00D73C07" w:rsidRPr="002F09C4">
        <w:t xml:space="preserve"> relationships</w:t>
      </w:r>
      <w:r w:rsidR="00F863A2" w:rsidRPr="002F09C4">
        <w:t xml:space="preserve"> </w:t>
      </w:r>
      <w:r w:rsidR="00D73C07" w:rsidRPr="002F09C4">
        <w:t>between pharmacokinetic-pharmacodynamic parameters</w:t>
      </w:r>
      <w:r w:rsidR="001E0097" w:rsidRPr="002F09C4">
        <w:t>,</w:t>
      </w:r>
      <w:r w:rsidR="00D73C07" w:rsidRPr="002F09C4">
        <w:t xml:space="preserve"> clinical or microbiological outcomes</w:t>
      </w:r>
      <w:r w:rsidR="001E0097" w:rsidRPr="002F09C4">
        <w:t>, and resistance suppression</w:t>
      </w:r>
      <w:r w:rsidR="00D94F3C" w:rsidRPr="002F09C4">
        <w:t xml:space="preserve"> are likely to be associated with a higher probability of favorable therapeutic response</w:t>
      </w:r>
      <w:r w:rsidR="00BD4728" w:rsidRPr="002F09C4">
        <w:t xml:space="preserve"> in these seriously ill patients</w:t>
      </w:r>
      <w:r w:rsidR="00D73C07" w:rsidRPr="002F09C4">
        <w:t xml:space="preserve">. </w:t>
      </w:r>
      <w:r w:rsidR="00B43BF2" w:rsidRPr="002F09C4">
        <w:t xml:space="preserve"> </w:t>
      </w:r>
      <w:r w:rsidR="00F61D0A" w:rsidRPr="002F09C4">
        <w:tab/>
      </w:r>
    </w:p>
    <w:p w14:paraId="7C893366" w14:textId="77777777" w:rsidR="00C8792B" w:rsidRPr="002F09C4" w:rsidRDefault="00C8792B" w:rsidP="008E5183">
      <w:pPr>
        <w:tabs>
          <w:tab w:val="left" w:pos="360"/>
        </w:tabs>
        <w:spacing w:after="0" w:line="480" w:lineRule="auto"/>
      </w:pPr>
    </w:p>
    <w:p w14:paraId="3685C64B" w14:textId="77777777" w:rsidR="00F841D7" w:rsidRPr="002F09C4" w:rsidRDefault="00F841D7" w:rsidP="008E5183">
      <w:pPr>
        <w:tabs>
          <w:tab w:val="left" w:pos="360"/>
        </w:tabs>
        <w:spacing w:after="0" w:line="480" w:lineRule="auto"/>
        <w:rPr>
          <w:b/>
        </w:rPr>
      </w:pPr>
      <w:r w:rsidRPr="002F09C4">
        <w:rPr>
          <w:b/>
        </w:rPr>
        <w:t>Microdialysis</w:t>
      </w:r>
    </w:p>
    <w:p w14:paraId="4514F700" w14:textId="722490AA" w:rsidR="00834102" w:rsidRPr="002F09C4" w:rsidRDefault="00F841D7" w:rsidP="008E5183">
      <w:pPr>
        <w:tabs>
          <w:tab w:val="left" w:pos="360"/>
        </w:tabs>
        <w:spacing w:after="0" w:line="480" w:lineRule="auto"/>
      </w:pPr>
      <w:r w:rsidRPr="002F09C4">
        <w:lastRenderedPageBreak/>
        <w:tab/>
      </w:r>
      <w:r w:rsidR="004E2029" w:rsidRPr="002F09C4">
        <w:t xml:space="preserve">Microdialysis </w:t>
      </w:r>
      <w:r w:rsidR="00132A8F" w:rsidRPr="002F09C4">
        <w:t>is</w:t>
      </w:r>
      <w:r w:rsidR="00965E58" w:rsidRPr="002F09C4">
        <w:t xml:space="preserve"> an addi</w:t>
      </w:r>
      <w:r w:rsidR="00132A8F" w:rsidRPr="002F09C4">
        <w:t xml:space="preserve">tional technique for estimating </w:t>
      </w:r>
      <w:r w:rsidR="00965E58" w:rsidRPr="002F09C4">
        <w:t>intrapulmonary drug concentrations</w:t>
      </w:r>
      <w:r w:rsidR="002D7B0E" w:rsidRPr="002F09C4">
        <w:t xml:space="preserve"> [7•, 8••]</w:t>
      </w:r>
      <w:r w:rsidR="004E2029" w:rsidRPr="002F09C4">
        <w:t xml:space="preserve">. </w:t>
      </w:r>
      <w:r w:rsidR="00B456D5" w:rsidRPr="002F09C4">
        <w:t xml:space="preserve"> </w:t>
      </w:r>
      <w:r w:rsidR="004E2029" w:rsidRPr="002F09C4">
        <w:t xml:space="preserve">This technique allows </w:t>
      </w:r>
      <w:r w:rsidR="00284C31" w:rsidRPr="002F09C4">
        <w:t xml:space="preserve">direct </w:t>
      </w:r>
      <w:r w:rsidR="004E2029" w:rsidRPr="002F09C4">
        <w:t xml:space="preserve">measurement of unbound drug </w:t>
      </w:r>
      <w:r w:rsidRPr="002F09C4">
        <w:t xml:space="preserve">concentrations </w:t>
      </w:r>
      <w:r w:rsidR="00284C31" w:rsidRPr="002F09C4">
        <w:t>in the</w:t>
      </w:r>
      <w:r w:rsidR="004E2029" w:rsidRPr="002F09C4">
        <w:t xml:space="preserve"> </w:t>
      </w:r>
      <w:r w:rsidRPr="002F09C4">
        <w:t>int</w:t>
      </w:r>
      <w:r w:rsidR="00284C31" w:rsidRPr="002F09C4">
        <w:t xml:space="preserve">erstitial fluid </w:t>
      </w:r>
      <w:r w:rsidR="004E2029" w:rsidRPr="002F09C4">
        <w:t>compartment</w:t>
      </w:r>
      <w:r w:rsidR="00284C31" w:rsidRPr="002F09C4">
        <w:t xml:space="preserve"> </w:t>
      </w:r>
      <w:r w:rsidR="004E2029" w:rsidRPr="002F09C4">
        <w:t>of the lung.</w:t>
      </w:r>
      <w:r w:rsidR="00284C31" w:rsidRPr="002F09C4">
        <w:t xml:space="preserve"> In addition to measuring unbound, pharmacologically active drug concentrations in the interstitium, microdialysis </w:t>
      </w:r>
      <w:r w:rsidR="00350371" w:rsidRPr="002F09C4">
        <w:t xml:space="preserve">allows for continuous </w:t>
      </w:r>
      <w:r w:rsidR="001B56B3" w:rsidRPr="002F09C4">
        <w:t>sampling</w:t>
      </w:r>
      <w:r w:rsidR="00350371" w:rsidRPr="002F09C4">
        <w:t xml:space="preserve"> of drug concentrations in both the lung and plasma </w:t>
      </w:r>
      <w:r w:rsidR="001B56B3" w:rsidRPr="002F09C4">
        <w:t>of the same</w:t>
      </w:r>
      <w:r w:rsidR="00350371" w:rsidRPr="002F09C4">
        <w:t xml:space="preserve"> patient</w:t>
      </w:r>
      <w:r w:rsidR="001B56B3" w:rsidRPr="002F09C4">
        <w:t>s</w:t>
      </w:r>
      <w:r w:rsidR="00350371" w:rsidRPr="002F09C4">
        <w:t>.</w:t>
      </w:r>
      <w:r w:rsidR="00834102" w:rsidRPr="002F09C4">
        <w:t xml:space="preserve"> However, the placement of microdialysis </w:t>
      </w:r>
      <w:r w:rsidR="0092490B" w:rsidRPr="002F09C4">
        <w:t>catheters</w:t>
      </w:r>
      <w:r w:rsidR="00834102" w:rsidRPr="002F09C4">
        <w:t xml:space="preserve"> into the lung has</w:t>
      </w:r>
      <w:r w:rsidR="001A2AC7" w:rsidRPr="002F09C4">
        <w:t xml:space="preserve"> practical difficulties</w:t>
      </w:r>
      <w:r w:rsidR="007C18EC" w:rsidRPr="002F09C4">
        <w:t xml:space="preserve"> and t</w:t>
      </w:r>
      <w:r w:rsidR="00D3609E" w:rsidRPr="002F09C4">
        <w:t xml:space="preserve">his </w:t>
      </w:r>
      <w:r w:rsidR="001A2AC7" w:rsidRPr="002F09C4">
        <w:t xml:space="preserve">has </w:t>
      </w:r>
      <w:r w:rsidR="00834102" w:rsidRPr="002F09C4">
        <w:t xml:space="preserve">limited </w:t>
      </w:r>
      <w:r w:rsidR="007C18EC" w:rsidRPr="002F09C4">
        <w:t>its use</w:t>
      </w:r>
      <w:r w:rsidR="00F45485" w:rsidRPr="002F09C4">
        <w:t xml:space="preserve"> to</w:t>
      </w:r>
      <w:r w:rsidR="00834102" w:rsidRPr="002F09C4">
        <w:t xml:space="preserve"> </w:t>
      </w:r>
      <w:r w:rsidR="00F45485" w:rsidRPr="002F09C4">
        <w:t xml:space="preserve">patients </w:t>
      </w:r>
      <w:r w:rsidR="00834102" w:rsidRPr="002F09C4">
        <w:t>undergoing elective thoracic surgery.</w:t>
      </w:r>
    </w:p>
    <w:p w14:paraId="505486FA" w14:textId="24CD0FA1" w:rsidR="00F841D7" w:rsidRPr="002F09C4" w:rsidRDefault="00834102" w:rsidP="008E5183">
      <w:pPr>
        <w:tabs>
          <w:tab w:val="left" w:pos="360"/>
        </w:tabs>
        <w:spacing w:after="0" w:line="480" w:lineRule="auto"/>
      </w:pPr>
      <w:r w:rsidRPr="002F09C4">
        <w:tab/>
      </w:r>
      <w:r w:rsidR="00B456D5" w:rsidRPr="002F09C4">
        <w:t xml:space="preserve">The number of </w:t>
      </w:r>
      <w:r w:rsidR="001B56B3" w:rsidRPr="002F09C4">
        <w:t xml:space="preserve">published </w:t>
      </w:r>
      <w:r w:rsidR="00B456D5" w:rsidRPr="002F09C4">
        <w:t>studies</w:t>
      </w:r>
      <w:r w:rsidR="001B56B3" w:rsidRPr="002F09C4">
        <w:t xml:space="preserve"> involving microdialysis and intrapulmonary penetration of antibiotics</w:t>
      </w:r>
      <w:r w:rsidR="00B456D5" w:rsidRPr="002F09C4">
        <w:t xml:space="preserve"> has been limited and </w:t>
      </w:r>
      <w:r w:rsidR="00F45485" w:rsidRPr="002F09C4">
        <w:t>includes</w:t>
      </w:r>
      <w:r w:rsidR="00B456D5" w:rsidRPr="002F09C4">
        <w:t xml:space="preserve"> beta-lactam agents, levofloxacin, and fosfomycin</w:t>
      </w:r>
      <w:r w:rsidR="001B56B3" w:rsidRPr="002F09C4">
        <w:t xml:space="preserve"> (Table </w:t>
      </w:r>
      <w:r w:rsidR="002D7B0E" w:rsidRPr="002F09C4">
        <w:t>3</w:t>
      </w:r>
      <w:r w:rsidR="001B56B3" w:rsidRPr="002F09C4">
        <w:t>)</w:t>
      </w:r>
      <w:r w:rsidR="00AA45A8" w:rsidRPr="002F09C4">
        <w:t xml:space="preserve"> [53-60]</w:t>
      </w:r>
      <w:r w:rsidR="00B456D5" w:rsidRPr="002F09C4">
        <w:t>.  A</w:t>
      </w:r>
      <w:r w:rsidR="008A1445" w:rsidRPr="002F09C4">
        <w:t>ntibiotic</w:t>
      </w:r>
      <w:r w:rsidRPr="002F09C4">
        <w:t xml:space="preserve"> penetration into interstitial fluid </w:t>
      </w:r>
      <w:r w:rsidR="00F45485" w:rsidRPr="002F09C4">
        <w:t xml:space="preserve">tends </w:t>
      </w:r>
      <w:r w:rsidR="008A1445" w:rsidRPr="002F09C4">
        <w:t>to be lower in patients</w:t>
      </w:r>
      <w:r w:rsidR="00B456D5" w:rsidRPr="002F09C4">
        <w:t xml:space="preserve"> with infection</w:t>
      </w:r>
      <w:r w:rsidR="008A1445" w:rsidRPr="002F09C4">
        <w:t xml:space="preserve"> as compared to healthy subjects.  </w:t>
      </w:r>
      <w:r w:rsidR="00F45485" w:rsidRPr="002F09C4">
        <w:t>T</w:t>
      </w:r>
      <w:r w:rsidR="008A1445" w:rsidRPr="002F09C4">
        <w:t>hese differences may</w:t>
      </w:r>
      <w:r w:rsidR="00D3609E" w:rsidRPr="002F09C4">
        <w:t xml:space="preserve"> </w:t>
      </w:r>
      <w:r w:rsidR="008A1445" w:rsidRPr="002F09C4">
        <w:t xml:space="preserve">be related to </w:t>
      </w:r>
      <w:r w:rsidR="00F45485" w:rsidRPr="002F09C4">
        <w:t xml:space="preserve">the </w:t>
      </w:r>
      <w:r w:rsidR="008A1445" w:rsidRPr="002F09C4">
        <w:t>clinical condition</w:t>
      </w:r>
      <w:r w:rsidR="00BA39D7" w:rsidRPr="002F09C4">
        <w:t xml:space="preserve"> and treatment</w:t>
      </w:r>
      <w:r w:rsidR="008A1445" w:rsidRPr="002F09C4">
        <w:t xml:space="preserve"> of </w:t>
      </w:r>
      <w:r w:rsidR="00BA39D7" w:rsidRPr="002F09C4">
        <w:t>intensive care</w:t>
      </w:r>
      <w:r w:rsidR="008A1445" w:rsidRPr="002F09C4">
        <w:t xml:space="preserve"> patient</w:t>
      </w:r>
      <w:r w:rsidR="00BA39D7" w:rsidRPr="002F09C4">
        <w:t>s</w:t>
      </w:r>
      <w:r w:rsidR="008A1445" w:rsidRPr="002F09C4">
        <w:t xml:space="preserve"> </w:t>
      </w:r>
      <w:r w:rsidR="00BA39D7" w:rsidRPr="002F09C4">
        <w:t>with</w:t>
      </w:r>
      <w:r w:rsidR="008A1445" w:rsidRPr="002F09C4">
        <w:t xml:space="preserve"> </w:t>
      </w:r>
      <w:r w:rsidR="00BA39D7" w:rsidRPr="002F09C4">
        <w:t>septic shock.</w:t>
      </w:r>
      <w:r w:rsidRPr="002F09C4">
        <w:t xml:space="preserve"> Similar to bronchoalveolar lavage studies in critically ill patients, </w:t>
      </w:r>
      <w:r w:rsidR="001B56B3" w:rsidRPr="002F09C4">
        <w:t>microdialysis</w:t>
      </w:r>
      <w:r w:rsidRPr="002F09C4">
        <w:t xml:space="preserve"> </w:t>
      </w:r>
      <w:r w:rsidR="00BA39D7" w:rsidRPr="002F09C4">
        <w:t>studies</w:t>
      </w:r>
      <w:r w:rsidRPr="002F09C4">
        <w:t xml:space="preserve"> have </w:t>
      </w:r>
      <w:r w:rsidR="00BA39D7" w:rsidRPr="002F09C4">
        <w:t xml:space="preserve">been limited to </w:t>
      </w:r>
      <w:r w:rsidRPr="002F09C4">
        <w:t xml:space="preserve">antibiotics currently approved </w:t>
      </w:r>
      <w:r w:rsidR="00BA39D7" w:rsidRPr="002F09C4">
        <w:t>for</w:t>
      </w:r>
      <w:r w:rsidRPr="002F09C4">
        <w:t xml:space="preserve"> clinical</w:t>
      </w:r>
      <w:r w:rsidR="00BA39D7" w:rsidRPr="002F09C4">
        <w:t xml:space="preserve"> use and not as part of an antibacterial drug development program</w:t>
      </w:r>
      <w:r w:rsidRPr="002F09C4">
        <w:t xml:space="preserve">.  </w:t>
      </w:r>
    </w:p>
    <w:p w14:paraId="7CCF98F8" w14:textId="77777777" w:rsidR="00C9648C" w:rsidRPr="002F09C4" w:rsidRDefault="00C9648C"/>
    <w:p w14:paraId="432C5ABA" w14:textId="3BB674D3" w:rsidR="00C9648C" w:rsidRPr="002F09C4" w:rsidRDefault="00E52AF2" w:rsidP="00C9648C">
      <w:pPr>
        <w:tabs>
          <w:tab w:val="left" w:pos="360"/>
        </w:tabs>
        <w:spacing w:after="0" w:line="480" w:lineRule="auto"/>
        <w:rPr>
          <w:b/>
        </w:rPr>
      </w:pPr>
      <w:r w:rsidRPr="002F09C4">
        <w:rPr>
          <w:b/>
        </w:rPr>
        <w:t>Future technologies for assessing lung penetration</w:t>
      </w:r>
    </w:p>
    <w:p w14:paraId="722B9FA3" w14:textId="62D4D613" w:rsidR="00121AF6" w:rsidRPr="002F09C4" w:rsidRDefault="00D76EE3" w:rsidP="00121AF6">
      <w:pPr>
        <w:tabs>
          <w:tab w:val="left" w:pos="360"/>
        </w:tabs>
        <w:spacing w:after="0" w:line="480" w:lineRule="auto"/>
      </w:pPr>
      <w:r w:rsidRPr="002F09C4">
        <w:t xml:space="preserve">Opportunities to measure in high-resolution effect site spatial pharmacokinetics (e.g. with MALDI-MSI or PET imaging) </w:t>
      </w:r>
      <w:r w:rsidR="007E53A7" w:rsidRPr="002F09C4">
        <w:t>now exist [</w:t>
      </w:r>
      <w:r w:rsidR="00A649D2" w:rsidRPr="002F09C4">
        <w:t xml:space="preserve">61-63]. </w:t>
      </w:r>
      <w:r w:rsidR="008B3429" w:rsidRPr="002F09C4">
        <w:t xml:space="preserve">These tools may be explored to further understand </w:t>
      </w:r>
      <w:r w:rsidR="00C153E5" w:rsidRPr="002F09C4">
        <w:t xml:space="preserve">antibiotic exposure-response relationships within the lungs of highly predictive animal models of pneumonia. Data generated may then be usefully applied to help predict candidate success and facilitate more-informed “go/no-go” decisions when deciding whether to progress a new drug from the preclinical to the clinical arena. Furthermore, </w:t>
      </w:r>
      <w:r w:rsidR="00DA137E" w:rsidRPr="002F09C4">
        <w:t>tools have been developed</w:t>
      </w:r>
      <w:r w:rsidR="00C153E5" w:rsidRPr="002F09C4">
        <w:t xml:space="preserve"> to measure </w:t>
      </w:r>
      <w:r w:rsidR="00A649D2" w:rsidRPr="002F09C4">
        <w:t xml:space="preserve">continuous </w:t>
      </w:r>
      <w:r w:rsidR="00C153E5" w:rsidRPr="002F09C4">
        <w:rPr>
          <w:i/>
        </w:rPr>
        <w:t>in vivo</w:t>
      </w:r>
      <w:r w:rsidR="00C153E5" w:rsidRPr="002F09C4">
        <w:t xml:space="preserve"> </w:t>
      </w:r>
      <w:r w:rsidR="00A649D2" w:rsidRPr="002F09C4">
        <w:t>drug concentrations with aptamer-</w:t>
      </w:r>
      <w:r w:rsidR="00C153E5" w:rsidRPr="002F09C4">
        <w:t>based probes</w:t>
      </w:r>
      <w:r w:rsidR="00121AF6" w:rsidRPr="002F09C4">
        <w:t>,</w:t>
      </w:r>
      <w:r w:rsidR="00A649D2" w:rsidRPr="002F09C4">
        <w:t xml:space="preserve"> </w:t>
      </w:r>
      <w:r w:rsidR="00C153E5" w:rsidRPr="002F09C4">
        <w:t>allow</w:t>
      </w:r>
      <w:r w:rsidR="00DA137E" w:rsidRPr="002F09C4">
        <w:t>ing</w:t>
      </w:r>
      <w:r w:rsidR="00C153E5" w:rsidRPr="002F09C4">
        <w:t xml:space="preserve"> for real-time measurement of small molecules in animal and human studies</w:t>
      </w:r>
      <w:r w:rsidR="00DA137E" w:rsidRPr="002F09C4">
        <w:t xml:space="preserve"> [64-65].</w:t>
      </w:r>
      <w:r w:rsidR="00C153E5" w:rsidRPr="002F09C4">
        <w:t xml:space="preserve"> </w:t>
      </w:r>
      <w:r w:rsidR="00DA137E" w:rsidRPr="002F09C4">
        <w:t xml:space="preserve">These tools hold the potential to allow for better translation from animal to human </w:t>
      </w:r>
      <w:r w:rsidR="00DA137E" w:rsidRPr="002F09C4">
        <w:lastRenderedPageBreak/>
        <w:t>studies and to f</w:t>
      </w:r>
      <w:r w:rsidR="00C153E5" w:rsidRPr="002F09C4">
        <w:t>acilitate detailed analyses of patient specific pharmacokinetic variation</w:t>
      </w:r>
      <w:r w:rsidR="00DA137E" w:rsidRPr="002F09C4">
        <w:t xml:space="preserve"> in clinical settings</w:t>
      </w:r>
      <w:r w:rsidR="00C153E5" w:rsidRPr="002F09C4">
        <w:t xml:space="preserve">. </w:t>
      </w:r>
      <w:r w:rsidRPr="002F09C4">
        <w:t xml:space="preserve">Going forward these </w:t>
      </w:r>
      <w:r w:rsidR="00121AF6" w:rsidRPr="002F09C4">
        <w:t>new technologies</w:t>
      </w:r>
      <w:r w:rsidRPr="002F09C4">
        <w:t xml:space="preserve"> could </w:t>
      </w:r>
      <w:r w:rsidR="007E53A7" w:rsidRPr="002F09C4">
        <w:t xml:space="preserve">also </w:t>
      </w:r>
      <w:r w:rsidRPr="002F09C4">
        <w:t>be incorporated into antibiotic development programs for pneumonia to further increase the probability of candidate success</w:t>
      </w:r>
      <w:r w:rsidR="002B0657" w:rsidRPr="002F09C4">
        <w:t>.</w:t>
      </w:r>
    </w:p>
    <w:p w14:paraId="7CB4CB00" w14:textId="77777777" w:rsidR="00121AF6" w:rsidRPr="002F09C4" w:rsidRDefault="00121AF6" w:rsidP="00121AF6">
      <w:pPr>
        <w:tabs>
          <w:tab w:val="left" w:pos="360"/>
        </w:tabs>
        <w:spacing w:after="0" w:line="480" w:lineRule="auto"/>
      </w:pPr>
    </w:p>
    <w:p w14:paraId="68A69EE8" w14:textId="0E981D9D" w:rsidR="009A1895" w:rsidRPr="002F09C4" w:rsidRDefault="00F841D7" w:rsidP="00121AF6">
      <w:pPr>
        <w:tabs>
          <w:tab w:val="left" w:pos="360"/>
        </w:tabs>
        <w:spacing w:after="0" w:line="480" w:lineRule="auto"/>
        <w:rPr>
          <w:b/>
        </w:rPr>
      </w:pPr>
      <w:r w:rsidRPr="002F09C4">
        <w:rPr>
          <w:b/>
        </w:rPr>
        <w:t>SUMMARY</w:t>
      </w:r>
    </w:p>
    <w:p w14:paraId="5B2B2649" w14:textId="72EEE8C1" w:rsidR="009A1895" w:rsidRPr="002F09C4" w:rsidRDefault="009A1895" w:rsidP="008E5183">
      <w:pPr>
        <w:tabs>
          <w:tab w:val="left" w:pos="360"/>
        </w:tabs>
        <w:spacing w:after="0" w:line="480" w:lineRule="auto"/>
      </w:pPr>
      <w:r w:rsidRPr="002F09C4">
        <w:rPr>
          <w:b/>
        </w:rPr>
        <w:tab/>
      </w:r>
      <w:r w:rsidR="002C4388" w:rsidRPr="002F09C4">
        <w:t xml:space="preserve">Rational dose selection </w:t>
      </w:r>
      <w:r w:rsidR="003E75CB" w:rsidRPr="002F09C4">
        <w:t>of</w:t>
      </w:r>
      <w:r w:rsidR="002C4388" w:rsidRPr="002F09C4">
        <w:t xml:space="preserve"> antibiotic</w:t>
      </w:r>
      <w:r w:rsidR="00D3609E" w:rsidRPr="002F09C4">
        <w:t>s</w:t>
      </w:r>
      <w:r w:rsidR="002C4388" w:rsidRPr="002F09C4">
        <w:t xml:space="preserve"> </w:t>
      </w:r>
      <w:r w:rsidR="003E75CB" w:rsidRPr="002F09C4">
        <w:t xml:space="preserve">for </w:t>
      </w:r>
      <w:r w:rsidR="002C4388" w:rsidRPr="002F09C4">
        <w:t xml:space="preserve">the treatment of bacterial pneumonia continues to be a challenge. </w:t>
      </w:r>
      <w:r w:rsidR="00C83008" w:rsidRPr="002F09C4">
        <w:t xml:space="preserve">Measurement of antibiotic concentrations by techniques such as </w:t>
      </w:r>
      <w:r w:rsidR="00C62AC2" w:rsidRPr="002F09C4">
        <w:t xml:space="preserve">BAL </w:t>
      </w:r>
      <w:r w:rsidR="00C83008" w:rsidRPr="002F09C4">
        <w:t>and microdialysis have become reliable and consistent in describing the amount of drug exposure at sites of lung</w:t>
      </w:r>
      <w:r w:rsidR="003B0797" w:rsidRPr="002F09C4">
        <w:t xml:space="preserve"> infection</w:t>
      </w:r>
      <w:r w:rsidR="00C83008" w:rsidRPr="002F09C4">
        <w:t xml:space="preserve">. </w:t>
      </w:r>
      <w:r w:rsidR="00C62AC2" w:rsidRPr="002F09C4">
        <w:t xml:space="preserve"> </w:t>
      </w:r>
      <w:r w:rsidR="0062709B" w:rsidRPr="002F09C4">
        <w:t>Effect</w:t>
      </w:r>
      <w:r w:rsidRPr="002F09C4">
        <w:t xml:space="preserve"> </w:t>
      </w:r>
      <w:r w:rsidR="00C62AC2" w:rsidRPr="002F09C4">
        <w:t xml:space="preserve">site </w:t>
      </w:r>
      <w:r w:rsidR="00DE15F8" w:rsidRPr="002F09C4">
        <w:t>exposure</w:t>
      </w:r>
      <w:r w:rsidR="00F84302" w:rsidRPr="002F09C4">
        <w:t xml:space="preserve"> </w:t>
      </w:r>
      <w:r w:rsidR="0062709B" w:rsidRPr="002F09C4">
        <w:t>remain</w:t>
      </w:r>
      <w:r w:rsidR="00DE15F8" w:rsidRPr="002F09C4">
        <w:t>s</w:t>
      </w:r>
      <w:r w:rsidR="00D40E93" w:rsidRPr="002F09C4">
        <w:t xml:space="preserve"> </w:t>
      </w:r>
      <w:r w:rsidR="0062709B" w:rsidRPr="002F09C4">
        <w:t xml:space="preserve">essential </w:t>
      </w:r>
      <w:r w:rsidR="00D40E93" w:rsidRPr="002F09C4">
        <w:t xml:space="preserve">to </w:t>
      </w:r>
      <w:r w:rsidR="0062709B" w:rsidRPr="002F09C4">
        <w:t>inco</w:t>
      </w:r>
      <w:r w:rsidR="00D40E93" w:rsidRPr="002F09C4">
        <w:t>rporate</w:t>
      </w:r>
      <w:r w:rsidR="00F84302" w:rsidRPr="002F09C4">
        <w:t xml:space="preserve"> </w:t>
      </w:r>
      <w:r w:rsidRPr="002F09C4">
        <w:t>in</w:t>
      </w:r>
      <w:r w:rsidR="00F84302" w:rsidRPr="002F09C4">
        <w:t xml:space="preserve">to </w:t>
      </w:r>
      <w:r w:rsidR="008A575F" w:rsidRPr="002F09C4">
        <w:t>the evaluation of</w:t>
      </w:r>
      <w:r w:rsidRPr="002F09C4">
        <w:t xml:space="preserve"> specific dosing regimens </w:t>
      </w:r>
      <w:r w:rsidR="002B0657" w:rsidRPr="002F09C4">
        <w:t xml:space="preserve">designed to be efficacious </w:t>
      </w:r>
      <w:r w:rsidRPr="002F09C4">
        <w:t xml:space="preserve">against potential </w:t>
      </w:r>
      <w:r w:rsidR="00F84302" w:rsidRPr="002F09C4">
        <w:t xml:space="preserve">bacterial </w:t>
      </w:r>
      <w:r w:rsidRPr="002F09C4">
        <w:t>pathogens</w:t>
      </w:r>
      <w:r w:rsidR="0062709B" w:rsidRPr="002F09C4">
        <w:t xml:space="preserve"> in pneumonia</w:t>
      </w:r>
      <w:r w:rsidRPr="002F09C4">
        <w:t>.</w:t>
      </w:r>
      <w:r w:rsidR="002B0657" w:rsidRPr="002F09C4">
        <w:t xml:space="preserve">  </w:t>
      </w:r>
      <w:r w:rsidRPr="002F09C4">
        <w:t xml:space="preserve">Further studies are warranted in </w:t>
      </w:r>
      <w:r w:rsidR="008A575F" w:rsidRPr="002F09C4">
        <w:t xml:space="preserve">critically ill </w:t>
      </w:r>
      <w:r w:rsidRPr="002F09C4">
        <w:t>patients with pulmonary infections to explore importan</w:t>
      </w:r>
      <w:r w:rsidR="00D3609E" w:rsidRPr="002F09C4">
        <w:t>t</w:t>
      </w:r>
      <w:r w:rsidRPr="002F09C4">
        <w:t xml:space="preserve"> </w:t>
      </w:r>
      <w:r w:rsidR="00F84302" w:rsidRPr="002F09C4">
        <w:t>differe</w:t>
      </w:r>
      <w:r w:rsidR="00DE15F8" w:rsidRPr="002F09C4">
        <w:t>nces in the pattern, time course</w:t>
      </w:r>
      <w:r w:rsidR="00F84302" w:rsidRPr="002F09C4">
        <w:t xml:space="preserve"> and magnitude </w:t>
      </w:r>
      <w:r w:rsidRPr="002F09C4">
        <w:t>of intrapulmonary concentrations</w:t>
      </w:r>
      <w:r w:rsidR="002B0657" w:rsidRPr="002F09C4">
        <w:t xml:space="preserve"> compared to healthy subjects. </w:t>
      </w:r>
      <w:r w:rsidR="00F84302" w:rsidRPr="002F09C4">
        <w:t xml:space="preserve">In addition, </w:t>
      </w:r>
      <w:r w:rsidR="00C62AC2" w:rsidRPr="002F09C4">
        <w:t>potential links between</w:t>
      </w:r>
      <w:r w:rsidRPr="002F09C4">
        <w:t xml:space="preserve"> </w:t>
      </w:r>
      <w:r w:rsidR="00C62AC2" w:rsidRPr="002F09C4">
        <w:t>pharmacokinetic-</w:t>
      </w:r>
      <w:r w:rsidRPr="002F09C4">
        <w:t xml:space="preserve">pharmacodynamic </w:t>
      </w:r>
      <w:r w:rsidR="00C62AC2" w:rsidRPr="002F09C4">
        <w:t xml:space="preserve">indices </w:t>
      </w:r>
      <w:r w:rsidR="00053FCA" w:rsidRPr="002F09C4">
        <w:t xml:space="preserve">based on plasma exposures </w:t>
      </w:r>
      <w:r w:rsidR="00F84302" w:rsidRPr="002F09C4">
        <w:t>and</w:t>
      </w:r>
      <w:r w:rsidR="00C62AC2" w:rsidRPr="002F09C4">
        <w:t xml:space="preserve"> </w:t>
      </w:r>
      <w:r w:rsidRPr="002F09C4">
        <w:t>clinical</w:t>
      </w:r>
      <w:r w:rsidR="00C62AC2" w:rsidRPr="002F09C4">
        <w:t xml:space="preserve"> or bacterial</w:t>
      </w:r>
      <w:r w:rsidRPr="002F09C4">
        <w:t xml:space="preserve"> outcomes</w:t>
      </w:r>
      <w:r w:rsidR="00F84302" w:rsidRPr="002F09C4">
        <w:t xml:space="preserve"> </w:t>
      </w:r>
      <w:r w:rsidR="00053FCA" w:rsidRPr="002F09C4">
        <w:t xml:space="preserve">in pneumonia </w:t>
      </w:r>
      <w:r w:rsidR="00F84302" w:rsidRPr="002F09C4">
        <w:t>would be valuable</w:t>
      </w:r>
      <w:r w:rsidR="00053FCA" w:rsidRPr="002F09C4">
        <w:t>. These data could be used</w:t>
      </w:r>
      <w:r w:rsidR="00F84302" w:rsidRPr="002F09C4">
        <w:t xml:space="preserve"> </w:t>
      </w:r>
      <w:r w:rsidR="00053FCA" w:rsidRPr="002F09C4">
        <w:t xml:space="preserve">to optimize regimens for new </w:t>
      </w:r>
      <w:r w:rsidR="00F06235" w:rsidRPr="002F09C4">
        <w:t>antibiotics</w:t>
      </w:r>
      <w:r w:rsidR="00F84302" w:rsidRPr="002F09C4">
        <w:t xml:space="preserve"> </w:t>
      </w:r>
      <w:r w:rsidR="00053FCA" w:rsidRPr="002F09C4">
        <w:t>in</w:t>
      </w:r>
      <w:r w:rsidR="008A575F" w:rsidRPr="002F09C4">
        <w:t xml:space="preserve"> clinical trials</w:t>
      </w:r>
      <w:r w:rsidR="00F06235" w:rsidRPr="002F09C4">
        <w:t xml:space="preserve"> </w:t>
      </w:r>
      <w:r w:rsidR="00053FCA" w:rsidRPr="002F09C4">
        <w:t xml:space="preserve">for efficacy, </w:t>
      </w:r>
      <w:r w:rsidR="00F06235" w:rsidRPr="002F09C4">
        <w:t xml:space="preserve">or </w:t>
      </w:r>
      <w:r w:rsidR="00053FCA" w:rsidRPr="002F09C4">
        <w:t xml:space="preserve">for the </w:t>
      </w:r>
      <w:r w:rsidR="00F06235" w:rsidRPr="002F09C4">
        <w:t>clinical care of seriously ill patients</w:t>
      </w:r>
      <w:r w:rsidR="00053FCA" w:rsidRPr="002F09C4">
        <w:t xml:space="preserve"> with drugs that are currently available</w:t>
      </w:r>
      <w:r w:rsidRPr="002F09C4">
        <w:t>.</w:t>
      </w:r>
    </w:p>
    <w:p w14:paraId="2168AFF7" w14:textId="77777777" w:rsidR="00EF54BC" w:rsidRPr="002F09C4" w:rsidRDefault="00EF54BC" w:rsidP="008E5183">
      <w:pPr>
        <w:tabs>
          <w:tab w:val="left" w:pos="360"/>
        </w:tabs>
        <w:spacing w:after="0" w:line="480" w:lineRule="auto"/>
      </w:pPr>
      <w:r w:rsidRPr="002F09C4">
        <w:br/>
      </w:r>
    </w:p>
    <w:p w14:paraId="48334A5B" w14:textId="77777777" w:rsidR="00EF54BC" w:rsidRPr="002F09C4" w:rsidRDefault="00EF54BC" w:rsidP="008E5183">
      <w:pPr>
        <w:spacing w:after="0" w:line="480" w:lineRule="auto"/>
      </w:pPr>
      <w:r w:rsidRPr="002F09C4">
        <w:br w:type="page"/>
      </w:r>
    </w:p>
    <w:p w14:paraId="72B864AA" w14:textId="77777777" w:rsidR="00F841D7" w:rsidRPr="002F09C4" w:rsidRDefault="00EF54BC" w:rsidP="008E5183">
      <w:pPr>
        <w:tabs>
          <w:tab w:val="left" w:pos="360"/>
        </w:tabs>
        <w:spacing w:after="0" w:line="480" w:lineRule="auto"/>
        <w:rPr>
          <w:b/>
        </w:rPr>
      </w:pPr>
      <w:r w:rsidRPr="002F09C4">
        <w:rPr>
          <w:b/>
        </w:rPr>
        <w:lastRenderedPageBreak/>
        <w:t>REFERENCES and RECOMMENDED READINGS</w:t>
      </w:r>
    </w:p>
    <w:p w14:paraId="26FAC545" w14:textId="77777777" w:rsidR="00EF54BC" w:rsidRPr="002F09C4" w:rsidRDefault="00EF54BC" w:rsidP="008E5183">
      <w:pPr>
        <w:tabs>
          <w:tab w:val="left" w:pos="360"/>
        </w:tabs>
        <w:spacing w:after="0" w:line="480" w:lineRule="auto"/>
      </w:pPr>
      <w:r w:rsidRPr="002F09C4">
        <w:t>Papers of particular interest, published within the period of review, have been highlighted as:</w:t>
      </w:r>
    </w:p>
    <w:p w14:paraId="7D6EB71D" w14:textId="77777777" w:rsidR="00EF54BC" w:rsidRPr="002F09C4" w:rsidRDefault="000042C3" w:rsidP="008E5183">
      <w:pPr>
        <w:tabs>
          <w:tab w:val="left" w:pos="360"/>
        </w:tabs>
        <w:spacing w:after="0" w:line="480" w:lineRule="auto"/>
      </w:pPr>
      <w:r w:rsidRPr="002F09C4">
        <w:t>•</w:t>
      </w:r>
      <w:r w:rsidR="00EF54BC" w:rsidRPr="002F09C4">
        <w:tab/>
        <w:t>of special interest</w:t>
      </w:r>
    </w:p>
    <w:p w14:paraId="1B73C594" w14:textId="77777777" w:rsidR="00EF54BC" w:rsidRPr="002F09C4" w:rsidRDefault="000042C3" w:rsidP="008E5183">
      <w:pPr>
        <w:tabs>
          <w:tab w:val="left" w:pos="360"/>
        </w:tabs>
        <w:spacing w:after="0" w:line="480" w:lineRule="auto"/>
      </w:pPr>
      <w:r w:rsidRPr="002F09C4">
        <w:t>••</w:t>
      </w:r>
      <w:r w:rsidR="00EF54BC" w:rsidRPr="002F09C4">
        <w:tab/>
        <w:t>of outstanding interest</w:t>
      </w:r>
    </w:p>
    <w:p w14:paraId="436F83ED" w14:textId="77777777" w:rsidR="00AA45A8" w:rsidRPr="002F09C4" w:rsidRDefault="00AA45A8" w:rsidP="00AA45A8">
      <w:pPr>
        <w:tabs>
          <w:tab w:val="left" w:pos="450"/>
        </w:tabs>
        <w:spacing w:after="0" w:line="240" w:lineRule="auto"/>
        <w:ind w:left="450" w:hanging="450"/>
      </w:pPr>
      <w:r w:rsidRPr="002F09C4">
        <w:t>1.</w:t>
      </w:r>
      <w:r w:rsidRPr="002F09C4">
        <w:tab/>
        <w:t xml:space="preserve">Onufrak NJ, Forrest A, Gonzalez D. </w:t>
      </w:r>
      <w:r w:rsidRPr="002F09C4">
        <w:rPr>
          <w:b/>
        </w:rPr>
        <w:t>Pharmacokinetic and pharmacodynamics principles of anti-infective dosing.</w:t>
      </w:r>
      <w:r w:rsidRPr="002F09C4">
        <w:t xml:space="preserve">  </w:t>
      </w:r>
      <w:r w:rsidRPr="002F09C4">
        <w:rPr>
          <w:i/>
        </w:rPr>
        <w:t>Clin Ther</w:t>
      </w:r>
      <w:r w:rsidRPr="002F09C4">
        <w:t xml:space="preserve"> 2016, </w:t>
      </w:r>
      <w:r w:rsidRPr="002F09C4">
        <w:rPr>
          <w:b/>
        </w:rPr>
        <w:t>38</w:t>
      </w:r>
      <w:r w:rsidRPr="002F09C4">
        <w:t>:1930-1947.</w:t>
      </w:r>
    </w:p>
    <w:p w14:paraId="2824E7AD" w14:textId="77777777" w:rsidR="00AA45A8" w:rsidRPr="002F09C4" w:rsidRDefault="00AA45A8" w:rsidP="00AA45A8">
      <w:pPr>
        <w:tabs>
          <w:tab w:val="left" w:pos="450"/>
        </w:tabs>
        <w:spacing w:after="0" w:line="240" w:lineRule="auto"/>
        <w:ind w:left="450" w:hanging="450"/>
      </w:pPr>
      <w:r w:rsidRPr="002F09C4">
        <w:t>2.</w:t>
      </w:r>
      <w:r w:rsidRPr="002F09C4">
        <w:tab/>
        <w:t xml:space="preserve">Baldwin DR, Honeybourne D, Wise R. </w:t>
      </w:r>
      <w:r w:rsidRPr="002F09C4">
        <w:rPr>
          <w:b/>
        </w:rPr>
        <w:t>Pulmonary disposition of antimicrobial agents: methodological considerations.</w:t>
      </w:r>
      <w:r w:rsidRPr="002F09C4">
        <w:t xml:space="preserve">  </w:t>
      </w:r>
      <w:r w:rsidRPr="002F09C4">
        <w:rPr>
          <w:i/>
        </w:rPr>
        <w:t>Antimicrob Agents Chemother</w:t>
      </w:r>
      <w:r w:rsidRPr="002F09C4">
        <w:t xml:space="preserve"> 1992, </w:t>
      </w:r>
      <w:r w:rsidRPr="002F09C4">
        <w:rPr>
          <w:b/>
        </w:rPr>
        <w:t>36</w:t>
      </w:r>
      <w:r w:rsidRPr="002F09C4">
        <w:t>:1171-1175.</w:t>
      </w:r>
    </w:p>
    <w:p w14:paraId="2AD8A3C0" w14:textId="77777777" w:rsidR="00AA45A8" w:rsidRPr="002F09C4" w:rsidRDefault="00AA45A8" w:rsidP="00AA45A8">
      <w:pPr>
        <w:tabs>
          <w:tab w:val="left" w:pos="450"/>
        </w:tabs>
        <w:spacing w:after="0" w:line="240" w:lineRule="auto"/>
        <w:ind w:left="450" w:hanging="450"/>
      </w:pPr>
      <w:r w:rsidRPr="002F09C4">
        <w:t>3.</w:t>
      </w:r>
      <w:r w:rsidRPr="002F09C4">
        <w:tab/>
        <w:t xml:space="preserve">Baldwin DR, Honeybourne D, Wise R. </w:t>
      </w:r>
      <w:r w:rsidRPr="002F09C4">
        <w:rPr>
          <w:b/>
        </w:rPr>
        <w:t>Pulmonary disposition of antimicrobial agents: in vivo observations and clinical relevance.</w:t>
      </w:r>
      <w:r w:rsidRPr="002F09C4">
        <w:t xml:space="preserve">  </w:t>
      </w:r>
      <w:r w:rsidRPr="002F09C4">
        <w:rPr>
          <w:i/>
        </w:rPr>
        <w:t>Antimicrob Agents Chemother</w:t>
      </w:r>
      <w:r w:rsidRPr="002F09C4">
        <w:t xml:space="preserve"> 1992, </w:t>
      </w:r>
      <w:r w:rsidRPr="002F09C4">
        <w:rPr>
          <w:b/>
        </w:rPr>
        <w:t>36</w:t>
      </w:r>
      <w:r w:rsidRPr="002F09C4">
        <w:t>:1176-1180.</w:t>
      </w:r>
    </w:p>
    <w:p w14:paraId="540ED6AA" w14:textId="77777777" w:rsidR="00AA45A8" w:rsidRPr="002F09C4" w:rsidRDefault="00AA45A8" w:rsidP="00AA45A8">
      <w:pPr>
        <w:tabs>
          <w:tab w:val="left" w:pos="450"/>
        </w:tabs>
        <w:spacing w:after="0" w:line="240" w:lineRule="auto"/>
        <w:ind w:left="450" w:hanging="450"/>
      </w:pPr>
      <w:r w:rsidRPr="002F09C4">
        <w:t>4.</w:t>
      </w:r>
      <w:r w:rsidRPr="002F09C4">
        <w:tab/>
        <w:t xml:space="preserve">Rodvold KA, George JM, Yoo L. </w:t>
      </w:r>
      <w:r w:rsidRPr="002F09C4">
        <w:rPr>
          <w:b/>
        </w:rPr>
        <w:t>Penetration of anti-infective agents into pulmonary epithelial lining fluid: focus on antibacterial agents.</w:t>
      </w:r>
      <w:r w:rsidRPr="002F09C4">
        <w:t xml:space="preserve">  </w:t>
      </w:r>
      <w:r w:rsidRPr="002F09C4">
        <w:rPr>
          <w:i/>
        </w:rPr>
        <w:t xml:space="preserve">Clin Pharmacokinet </w:t>
      </w:r>
      <w:r w:rsidRPr="002F09C4">
        <w:t xml:space="preserve">2011, </w:t>
      </w:r>
      <w:r w:rsidRPr="002F09C4">
        <w:rPr>
          <w:b/>
        </w:rPr>
        <w:t>50</w:t>
      </w:r>
      <w:r w:rsidRPr="002F09C4">
        <w:t>:637-664.</w:t>
      </w:r>
    </w:p>
    <w:p w14:paraId="584E1066" w14:textId="77777777" w:rsidR="00AA45A8" w:rsidRPr="002F09C4" w:rsidRDefault="00AA45A8" w:rsidP="00AA45A8">
      <w:pPr>
        <w:tabs>
          <w:tab w:val="left" w:pos="450"/>
        </w:tabs>
        <w:spacing w:after="0" w:line="240" w:lineRule="auto"/>
        <w:ind w:left="450" w:hanging="450"/>
      </w:pPr>
      <w:r w:rsidRPr="002F09C4">
        <w:t>••</w:t>
      </w:r>
      <w:r w:rsidRPr="002F09C4">
        <w:tab/>
        <w:t>Comprehensive review of bronchoalveolar lavage studies and the data generated up to 2011 for intrapulmonary penetration of antibiotics.</w:t>
      </w:r>
    </w:p>
    <w:p w14:paraId="45D7EE53" w14:textId="77777777" w:rsidR="00AA45A8" w:rsidRPr="002F09C4" w:rsidRDefault="00AA45A8" w:rsidP="00AA45A8">
      <w:pPr>
        <w:tabs>
          <w:tab w:val="left" w:pos="450"/>
        </w:tabs>
        <w:spacing w:after="0" w:line="240" w:lineRule="auto"/>
        <w:ind w:left="450" w:hanging="450"/>
      </w:pPr>
      <w:r w:rsidRPr="002F09C4">
        <w:t>5.</w:t>
      </w:r>
      <w:r w:rsidRPr="002F09C4">
        <w:tab/>
        <w:t xml:space="preserve">Rodvold KA, Yoo L, George MJ. </w:t>
      </w:r>
      <w:r w:rsidRPr="002F09C4">
        <w:rPr>
          <w:b/>
        </w:rPr>
        <w:t>Penetration of anti-infective agents into pulmonary epithelial lining fluid: focus on antifungal, antitubercular and miscellaneous anti-infective agents.</w:t>
      </w:r>
      <w:r w:rsidRPr="002F09C4">
        <w:t xml:space="preserve">  </w:t>
      </w:r>
      <w:r w:rsidRPr="002F09C4">
        <w:rPr>
          <w:i/>
        </w:rPr>
        <w:t xml:space="preserve">Clin Pharmacokinet </w:t>
      </w:r>
      <w:r w:rsidRPr="002F09C4">
        <w:t xml:space="preserve">2011, </w:t>
      </w:r>
      <w:r w:rsidRPr="002F09C4">
        <w:rPr>
          <w:b/>
        </w:rPr>
        <w:t>50</w:t>
      </w:r>
      <w:r w:rsidRPr="002F09C4">
        <w:t>:689-704.</w:t>
      </w:r>
    </w:p>
    <w:p w14:paraId="07DEB4C2" w14:textId="77777777" w:rsidR="00AA45A8" w:rsidRPr="002F09C4" w:rsidRDefault="00AA45A8" w:rsidP="00AA45A8">
      <w:pPr>
        <w:tabs>
          <w:tab w:val="left" w:pos="450"/>
        </w:tabs>
        <w:spacing w:after="0" w:line="240" w:lineRule="auto"/>
        <w:ind w:left="450" w:hanging="450"/>
      </w:pPr>
      <w:r w:rsidRPr="002F09C4">
        <w:t>6.</w:t>
      </w:r>
      <w:r w:rsidRPr="002F09C4">
        <w:tab/>
        <w:t xml:space="preserve">Bamberger DM, Foxworth J, Kallenberger MA, Pepito BS, Gerding DN. </w:t>
      </w:r>
      <w:r w:rsidRPr="002F09C4">
        <w:rPr>
          <w:b/>
        </w:rPr>
        <w:t xml:space="preserve">Extravascular antimicrobial distribution and the respective blood and urine concentrations in humans. </w:t>
      </w:r>
      <w:r w:rsidRPr="002F09C4">
        <w:t xml:space="preserve">In: </w:t>
      </w:r>
      <w:r w:rsidRPr="002F09C4">
        <w:rPr>
          <w:i/>
        </w:rPr>
        <w:t>Antibiotics in Laboratory Medicine</w:t>
      </w:r>
      <w:r w:rsidRPr="002F09C4">
        <w:t>, 6</w:t>
      </w:r>
      <w:r w:rsidRPr="002F09C4">
        <w:rPr>
          <w:vertAlign w:val="superscript"/>
        </w:rPr>
        <w:t>th</w:t>
      </w:r>
      <w:r w:rsidRPr="002F09C4">
        <w:t xml:space="preserve"> edition.  Edited by Amsterdam D. Wolters Kluwer Health; 2015:678-780.</w:t>
      </w:r>
    </w:p>
    <w:p w14:paraId="05C91859" w14:textId="77777777" w:rsidR="00AA45A8" w:rsidRPr="002F09C4" w:rsidRDefault="00AA45A8" w:rsidP="00AA45A8">
      <w:pPr>
        <w:tabs>
          <w:tab w:val="left" w:pos="450"/>
        </w:tabs>
        <w:spacing w:after="0" w:line="240" w:lineRule="auto"/>
        <w:ind w:left="450" w:hanging="450"/>
      </w:pPr>
      <w:r w:rsidRPr="002F09C4">
        <w:t>••</w:t>
      </w:r>
      <w:r w:rsidRPr="002F09C4">
        <w:tab/>
        <w:t>Comprehensive review of types of extravascular sites, methodology to study distribution of antibiotics in humans, and accurate determination and interpretation of data.  Extensive use of tables to summarize and illustrate concentrations of antibiotics in a variety of tissues and fluids.</w:t>
      </w:r>
    </w:p>
    <w:p w14:paraId="0EB7C5B5" w14:textId="77777777" w:rsidR="00AA45A8" w:rsidRPr="002F09C4" w:rsidRDefault="00AA45A8" w:rsidP="00AA45A8">
      <w:pPr>
        <w:tabs>
          <w:tab w:val="left" w:pos="450"/>
        </w:tabs>
        <w:spacing w:after="0" w:line="240" w:lineRule="auto"/>
        <w:ind w:left="450" w:hanging="450"/>
      </w:pPr>
      <w:r w:rsidRPr="002F09C4">
        <w:t>7.</w:t>
      </w:r>
      <w:r w:rsidRPr="002F09C4">
        <w:tab/>
        <w:t xml:space="preserve">Zeitlinger M, Muller M, Joukhadar C. </w:t>
      </w:r>
      <w:r w:rsidRPr="002F09C4">
        <w:rPr>
          <w:b/>
        </w:rPr>
        <w:t>Lung microdialysis: a powerful tool for the determination of exogenous and endogenous compounds in the lower respiratory tract (mini-review).</w:t>
      </w:r>
      <w:r w:rsidRPr="002F09C4">
        <w:t xml:space="preserve"> </w:t>
      </w:r>
      <w:r w:rsidRPr="002F09C4">
        <w:rPr>
          <w:i/>
        </w:rPr>
        <w:t>AAPS J</w:t>
      </w:r>
      <w:r w:rsidRPr="002F09C4">
        <w:t xml:space="preserve"> 2005, </w:t>
      </w:r>
      <w:r w:rsidRPr="002F09C4">
        <w:rPr>
          <w:b/>
        </w:rPr>
        <w:t>7</w:t>
      </w:r>
      <w:r w:rsidRPr="002F09C4">
        <w:t>:E600-608.</w:t>
      </w:r>
    </w:p>
    <w:p w14:paraId="3B286D26" w14:textId="77777777" w:rsidR="00AA45A8" w:rsidRPr="002F09C4" w:rsidRDefault="00AA45A8" w:rsidP="00AA45A8">
      <w:pPr>
        <w:tabs>
          <w:tab w:val="left" w:pos="450"/>
        </w:tabs>
        <w:spacing w:after="0" w:line="240" w:lineRule="auto"/>
        <w:ind w:left="450" w:hanging="450"/>
      </w:pPr>
      <w:r w:rsidRPr="002F09C4">
        <w:t>•</w:t>
      </w:r>
      <w:r w:rsidRPr="002F09C4">
        <w:tab/>
        <w:t>A review that highlights the differences between bronchoalveolar lavage and microdialysis studies for determining drug concentrations in the lower respiratory tract.</w:t>
      </w:r>
    </w:p>
    <w:p w14:paraId="18F00DB8" w14:textId="77777777" w:rsidR="00AA45A8" w:rsidRPr="002F09C4" w:rsidRDefault="00AA45A8" w:rsidP="00AA45A8">
      <w:pPr>
        <w:tabs>
          <w:tab w:val="left" w:pos="450"/>
        </w:tabs>
        <w:spacing w:after="0" w:line="240" w:lineRule="auto"/>
        <w:ind w:left="450" w:hanging="450"/>
      </w:pPr>
      <w:r w:rsidRPr="002F09C4">
        <w:t>8.</w:t>
      </w:r>
      <w:r w:rsidRPr="002F09C4">
        <w:tab/>
        <w:t xml:space="preserve">Dhanani J, Roberts JA, Chew M, Lipman J, Boots RJ, Paterson DL, Fraser JF. </w:t>
      </w:r>
      <w:r w:rsidRPr="002F09C4">
        <w:rPr>
          <w:b/>
        </w:rPr>
        <w:t>Antimicrobial chemotherapy and lung microdialysis: a review.</w:t>
      </w:r>
      <w:r w:rsidRPr="002F09C4">
        <w:t xml:space="preserve"> </w:t>
      </w:r>
      <w:r w:rsidRPr="002F09C4">
        <w:rPr>
          <w:i/>
        </w:rPr>
        <w:t>Int J Antimicrob Agents</w:t>
      </w:r>
      <w:r w:rsidRPr="002F09C4">
        <w:t xml:space="preserve"> 2010, </w:t>
      </w:r>
      <w:r w:rsidRPr="002F09C4">
        <w:rPr>
          <w:b/>
        </w:rPr>
        <w:t>36</w:t>
      </w:r>
      <w:r w:rsidRPr="002F09C4">
        <w:t>:491-500.</w:t>
      </w:r>
    </w:p>
    <w:p w14:paraId="4C4B0730" w14:textId="0E6C9E58" w:rsidR="00AA45A8" w:rsidRPr="002F09C4" w:rsidRDefault="00AA45A8" w:rsidP="00AA45A8">
      <w:pPr>
        <w:tabs>
          <w:tab w:val="left" w:pos="450"/>
        </w:tabs>
        <w:spacing w:after="0" w:line="240" w:lineRule="auto"/>
        <w:ind w:left="450" w:hanging="450"/>
      </w:pPr>
      <w:r w:rsidRPr="002F09C4">
        <w:t>••</w:t>
      </w:r>
      <w:r w:rsidRPr="002F09C4">
        <w:tab/>
        <w:t>A review on the use of microdialysis studies to determine intrapul</w:t>
      </w:r>
      <w:r w:rsidR="00E47E23" w:rsidRPr="002F09C4">
        <w:t>monary concentrations of antibi</w:t>
      </w:r>
      <w:r w:rsidRPr="002F09C4">
        <w:t>o</w:t>
      </w:r>
      <w:r w:rsidR="00E47E23" w:rsidRPr="002F09C4">
        <w:t>t</w:t>
      </w:r>
      <w:r w:rsidRPr="002F09C4">
        <w:t>ics studies in patients.</w:t>
      </w:r>
    </w:p>
    <w:p w14:paraId="755F90E1" w14:textId="77777777" w:rsidR="00AA45A8" w:rsidRPr="002F09C4" w:rsidRDefault="00AA45A8" w:rsidP="00AA45A8">
      <w:pPr>
        <w:tabs>
          <w:tab w:val="left" w:pos="450"/>
        </w:tabs>
        <w:spacing w:after="0" w:line="240" w:lineRule="auto"/>
        <w:ind w:left="450" w:hanging="450"/>
      </w:pPr>
      <w:r w:rsidRPr="002F09C4">
        <w:t>9.</w:t>
      </w:r>
      <w:r w:rsidRPr="002F09C4">
        <w:tab/>
        <w:t xml:space="preserve">Mouton JW, Theuretzbacher U, Craig WA, Tulkens PM, Derendorf H, Cars O. </w:t>
      </w:r>
      <w:r w:rsidRPr="002F09C4">
        <w:rPr>
          <w:b/>
        </w:rPr>
        <w:t>Tissue concentrations: do we ever learn?</w:t>
      </w:r>
      <w:r w:rsidRPr="002F09C4">
        <w:t xml:space="preserve">  </w:t>
      </w:r>
      <w:r w:rsidRPr="002F09C4">
        <w:rPr>
          <w:i/>
        </w:rPr>
        <w:t>J Antimicrob Chemother</w:t>
      </w:r>
      <w:r w:rsidRPr="002F09C4">
        <w:t xml:space="preserve"> 2008, </w:t>
      </w:r>
      <w:r w:rsidRPr="002F09C4">
        <w:rPr>
          <w:b/>
        </w:rPr>
        <w:t>61</w:t>
      </w:r>
      <w:r w:rsidRPr="002F09C4">
        <w:t>:235-237.</w:t>
      </w:r>
    </w:p>
    <w:p w14:paraId="6E45FCC6" w14:textId="77777777" w:rsidR="00AA45A8" w:rsidRPr="002F09C4" w:rsidRDefault="00AA45A8" w:rsidP="00AA45A8">
      <w:pPr>
        <w:tabs>
          <w:tab w:val="left" w:pos="450"/>
        </w:tabs>
        <w:spacing w:after="0" w:line="240" w:lineRule="auto"/>
        <w:ind w:left="450" w:hanging="450"/>
      </w:pPr>
      <w:r w:rsidRPr="002F09C4">
        <w:t>10.</w:t>
      </w:r>
      <w:r w:rsidRPr="002F09C4">
        <w:tab/>
        <w:t xml:space="preserve">Jamal J-A, Abdul-Aziz M-H, Lipman J, Roberts JA. </w:t>
      </w:r>
      <w:r w:rsidRPr="002F09C4">
        <w:rPr>
          <w:b/>
        </w:rPr>
        <w:t>Defining antibiotic dosing in lung infections.</w:t>
      </w:r>
      <w:r w:rsidRPr="002F09C4">
        <w:t xml:space="preserve"> </w:t>
      </w:r>
      <w:r w:rsidRPr="002F09C4">
        <w:rPr>
          <w:i/>
        </w:rPr>
        <w:t>Clin Pulmonary Med</w:t>
      </w:r>
      <w:r w:rsidRPr="002F09C4">
        <w:t xml:space="preserve"> 2013, </w:t>
      </w:r>
      <w:r w:rsidRPr="002F09C4">
        <w:rPr>
          <w:b/>
        </w:rPr>
        <w:t>20</w:t>
      </w:r>
      <w:r w:rsidRPr="002F09C4">
        <w:t>:121-128.</w:t>
      </w:r>
      <w:r w:rsidRPr="002F09C4">
        <w:tab/>
      </w:r>
    </w:p>
    <w:p w14:paraId="0DFF2DA5" w14:textId="77777777" w:rsidR="00AA45A8" w:rsidRPr="002F09C4" w:rsidRDefault="00AA45A8" w:rsidP="00AA45A8">
      <w:pPr>
        <w:tabs>
          <w:tab w:val="left" w:pos="450"/>
        </w:tabs>
        <w:spacing w:after="0" w:line="240" w:lineRule="auto"/>
        <w:ind w:left="450" w:hanging="450"/>
      </w:pPr>
      <w:r w:rsidRPr="002F09C4">
        <w:t>11.</w:t>
      </w:r>
      <w:r w:rsidRPr="002F09C4">
        <w:tab/>
        <w:t xml:space="preserve">Ambrose PG, Bhavnani SM, Ellis-Grosse EJ, Drusano GL.  </w:t>
      </w:r>
      <w:r w:rsidRPr="002F09C4">
        <w:rPr>
          <w:b/>
        </w:rPr>
        <w:t>Pharmacokinetic-pharmacodynamic considerations in the design of hospital-acquired or ventilator-associated bacterial pneumonia studies: look before you leap!</w:t>
      </w:r>
      <w:r w:rsidRPr="002F09C4">
        <w:t xml:space="preserve"> Clin Infect Dis 2010, </w:t>
      </w:r>
      <w:r w:rsidRPr="002F09C4">
        <w:rPr>
          <w:b/>
        </w:rPr>
        <w:t>51(S1)</w:t>
      </w:r>
      <w:r w:rsidRPr="002F09C4">
        <w:t>:S103-s110.</w:t>
      </w:r>
    </w:p>
    <w:p w14:paraId="1186D435" w14:textId="77777777" w:rsidR="00AA45A8" w:rsidRPr="002F09C4" w:rsidRDefault="00AA45A8" w:rsidP="00AA45A8">
      <w:pPr>
        <w:tabs>
          <w:tab w:val="left" w:pos="450"/>
        </w:tabs>
        <w:spacing w:after="0" w:line="240" w:lineRule="auto"/>
        <w:ind w:left="450" w:hanging="450"/>
      </w:pPr>
      <w:r w:rsidRPr="002F09C4">
        <w:t>••</w:t>
      </w:r>
      <w:r w:rsidRPr="002F09C4">
        <w:tab/>
        <w:t>A critical evaluation for why determining intrapulmonary concentrations of antibiotics before starting clinical trials in patients with HABP and VABP.</w:t>
      </w:r>
    </w:p>
    <w:p w14:paraId="7C87B0BE" w14:textId="77777777" w:rsidR="00AA45A8" w:rsidRPr="002F09C4" w:rsidRDefault="00AA45A8" w:rsidP="00AA45A8">
      <w:pPr>
        <w:tabs>
          <w:tab w:val="left" w:pos="450"/>
        </w:tabs>
        <w:spacing w:after="0" w:line="240" w:lineRule="auto"/>
        <w:ind w:left="450" w:hanging="450"/>
      </w:pPr>
      <w:r w:rsidRPr="002F09C4">
        <w:t>12.</w:t>
      </w:r>
      <w:r w:rsidRPr="002F09C4">
        <w:tab/>
        <w:t xml:space="preserve">Ambrose PG.  </w:t>
      </w:r>
      <w:r w:rsidRPr="002F09C4">
        <w:rPr>
          <w:b/>
        </w:rPr>
        <w:t>Antibacterial drug development program successes and failures: a pharmacometric explanation.</w:t>
      </w:r>
      <w:r w:rsidRPr="002F09C4">
        <w:t xml:space="preserve"> </w:t>
      </w:r>
      <w:r w:rsidRPr="002F09C4">
        <w:rPr>
          <w:i/>
        </w:rPr>
        <w:t>Curr Opin Pharmacol</w:t>
      </w:r>
      <w:r w:rsidRPr="002F09C4">
        <w:t xml:space="preserve"> 2017; </w:t>
      </w:r>
      <w:r w:rsidRPr="002F09C4">
        <w:rPr>
          <w:b/>
        </w:rPr>
        <w:t>36</w:t>
      </w:r>
      <w:r w:rsidRPr="002F09C4">
        <w:t>:1-7.</w:t>
      </w:r>
    </w:p>
    <w:p w14:paraId="7C9471C4" w14:textId="77777777" w:rsidR="00AA45A8" w:rsidRPr="002F09C4" w:rsidRDefault="00AA45A8" w:rsidP="00AA45A8">
      <w:pPr>
        <w:tabs>
          <w:tab w:val="left" w:pos="450"/>
        </w:tabs>
        <w:spacing w:after="0" w:line="240" w:lineRule="auto"/>
        <w:ind w:left="446" w:hanging="446"/>
      </w:pPr>
      <w:r w:rsidRPr="002F09C4">
        <w:lastRenderedPageBreak/>
        <w:t>13.</w:t>
      </w:r>
      <w:r w:rsidRPr="002F09C4">
        <w:tab/>
        <w:t xml:space="preserve">Riccobene TA, Pushkin R, Jandourek A, Knebel W, Khariton T.  </w:t>
      </w:r>
      <w:r w:rsidRPr="002F09C4">
        <w:rPr>
          <w:b/>
        </w:rPr>
        <w:t xml:space="preserve">Penetration of ceftaroline into the epithelial lining fluid of healthy adult subjects.  </w:t>
      </w:r>
      <w:r w:rsidRPr="002F09C4">
        <w:rPr>
          <w:i/>
        </w:rPr>
        <w:t xml:space="preserve">Antimicrob Agents Chemother </w:t>
      </w:r>
      <w:r w:rsidRPr="002F09C4">
        <w:t xml:space="preserve">2016, </w:t>
      </w:r>
      <w:r w:rsidRPr="002F09C4">
        <w:rPr>
          <w:b/>
        </w:rPr>
        <w:t>60</w:t>
      </w:r>
      <w:r w:rsidRPr="002F09C4">
        <w:t>:5847-5857.</w:t>
      </w:r>
    </w:p>
    <w:p w14:paraId="65DD5912" w14:textId="77777777" w:rsidR="00AA45A8" w:rsidRPr="002F09C4" w:rsidRDefault="00AA45A8" w:rsidP="00AA45A8">
      <w:pPr>
        <w:tabs>
          <w:tab w:val="left" w:pos="450"/>
        </w:tabs>
        <w:spacing w:after="0" w:line="240" w:lineRule="auto"/>
        <w:ind w:left="446" w:hanging="446"/>
      </w:pPr>
      <w:r w:rsidRPr="002F09C4">
        <w:t>14.</w:t>
      </w:r>
      <w:r w:rsidRPr="002F09C4">
        <w:tab/>
        <w:t xml:space="preserve">van Hasselt JG, Rizk ML, Lala M, Chavez-Eng C, Visser SA, Kerbusch T, Danhof M, Rao G, van der Graaf PH.  </w:t>
      </w:r>
      <w:r w:rsidRPr="002F09C4">
        <w:rPr>
          <w:b/>
        </w:rPr>
        <w:t xml:space="preserve">Pooled population pharmacokinetic model of imipenem in plasma and the lung epithelial lining fluid.  </w:t>
      </w:r>
      <w:r w:rsidRPr="002F09C4">
        <w:rPr>
          <w:i/>
        </w:rPr>
        <w:t xml:space="preserve">Br J Clin Pharmacol </w:t>
      </w:r>
      <w:r w:rsidRPr="002F09C4">
        <w:t xml:space="preserve">2016, </w:t>
      </w:r>
      <w:r w:rsidRPr="002F09C4">
        <w:rPr>
          <w:b/>
        </w:rPr>
        <w:t>81</w:t>
      </w:r>
      <w:r w:rsidRPr="002F09C4">
        <w:t>:1113-1123.</w:t>
      </w:r>
    </w:p>
    <w:p w14:paraId="77AF04E4" w14:textId="77777777" w:rsidR="00AA45A8" w:rsidRPr="002F09C4" w:rsidRDefault="00AA45A8" w:rsidP="00AA45A8">
      <w:pPr>
        <w:tabs>
          <w:tab w:val="left" w:pos="450"/>
        </w:tabs>
        <w:spacing w:after="0" w:line="240" w:lineRule="auto"/>
        <w:ind w:left="446" w:hanging="446"/>
      </w:pPr>
      <w:r w:rsidRPr="002F09C4">
        <w:t>15.</w:t>
      </w:r>
      <w:r w:rsidRPr="002F09C4">
        <w:tab/>
        <w:t xml:space="preserve">Wenzler E, Gotfried MH, Loutit JS, Durso S, Griffith DC, Dudley MN, Rodvold KA.  </w:t>
      </w:r>
      <w:r w:rsidRPr="002F09C4">
        <w:rPr>
          <w:b/>
        </w:rPr>
        <w:t xml:space="preserve">Meropenem-RPX7009 concentrations in plasma, epithelial lining fluid, and alveolar macrophages of healthy adult subjects.  </w:t>
      </w:r>
      <w:r w:rsidRPr="002F09C4">
        <w:rPr>
          <w:i/>
        </w:rPr>
        <w:t xml:space="preserve">Antimicrob Agents Chemother </w:t>
      </w:r>
      <w:r w:rsidRPr="002F09C4">
        <w:t xml:space="preserve">2015, </w:t>
      </w:r>
      <w:r w:rsidRPr="002F09C4">
        <w:rPr>
          <w:b/>
        </w:rPr>
        <w:t>59</w:t>
      </w:r>
      <w:r w:rsidRPr="002F09C4">
        <w:t>:7232-7239.</w:t>
      </w:r>
    </w:p>
    <w:p w14:paraId="105B9A9D" w14:textId="77777777" w:rsidR="00AA45A8" w:rsidRPr="002F09C4" w:rsidRDefault="00AA45A8" w:rsidP="00AA45A8">
      <w:pPr>
        <w:tabs>
          <w:tab w:val="left" w:pos="450"/>
        </w:tabs>
        <w:spacing w:after="0" w:line="240" w:lineRule="auto"/>
        <w:ind w:left="446" w:hanging="446"/>
      </w:pPr>
      <w:r w:rsidRPr="002F09C4">
        <w:t>16.</w:t>
      </w:r>
      <w:r w:rsidRPr="002F09C4">
        <w:tab/>
        <w:t xml:space="preserve">Nicolau DP, Siew L, Armstrong J, Li J, Edeki T, Learoyd M, Das S.  </w:t>
      </w:r>
      <w:r w:rsidRPr="002F09C4">
        <w:rPr>
          <w:b/>
        </w:rPr>
        <w:t xml:space="preserve">Phase 1 study assessing the steady-state concentration of ceftazidime and avibactam in plasma and epithelial lining fluid following two dosing regimens.  </w:t>
      </w:r>
      <w:r w:rsidRPr="002F09C4">
        <w:rPr>
          <w:i/>
        </w:rPr>
        <w:t xml:space="preserve">J Antimicrob Chemother </w:t>
      </w:r>
      <w:r w:rsidRPr="002F09C4">
        <w:t xml:space="preserve">2015, </w:t>
      </w:r>
      <w:r w:rsidRPr="002F09C4">
        <w:rPr>
          <w:b/>
        </w:rPr>
        <w:t>70</w:t>
      </w:r>
      <w:r w:rsidRPr="002F09C4">
        <w:t>:2862-2869.</w:t>
      </w:r>
    </w:p>
    <w:p w14:paraId="25472F36" w14:textId="77777777" w:rsidR="00AA45A8" w:rsidRPr="002F09C4" w:rsidRDefault="00AA45A8" w:rsidP="00AA45A8">
      <w:pPr>
        <w:tabs>
          <w:tab w:val="left" w:pos="450"/>
        </w:tabs>
        <w:spacing w:after="0" w:line="240" w:lineRule="auto"/>
        <w:ind w:left="446" w:hanging="446"/>
      </w:pPr>
      <w:r w:rsidRPr="002F09C4">
        <w:t>17.</w:t>
      </w:r>
      <w:r w:rsidRPr="002F09C4">
        <w:tab/>
        <w:t xml:space="preserve">Chandorkar G, Hunington JA, Gotfried MH, Rodvold KA, Umeh O.  </w:t>
      </w:r>
      <w:r w:rsidRPr="002F09C4">
        <w:rPr>
          <w:b/>
        </w:rPr>
        <w:t xml:space="preserve">Intrapulmonary penetration of ceftolozane/tazobactam and piperacillin/tazobactam in healthy adult subjects.  </w:t>
      </w:r>
      <w:r w:rsidRPr="002F09C4">
        <w:rPr>
          <w:i/>
        </w:rPr>
        <w:t xml:space="preserve">J Antimicrob Chemother </w:t>
      </w:r>
      <w:r w:rsidRPr="002F09C4">
        <w:t xml:space="preserve">2012, </w:t>
      </w:r>
      <w:r w:rsidRPr="002F09C4">
        <w:rPr>
          <w:b/>
        </w:rPr>
        <w:t>67</w:t>
      </w:r>
      <w:r w:rsidRPr="002F09C4">
        <w:t>:2463-2469.</w:t>
      </w:r>
    </w:p>
    <w:p w14:paraId="36EAEA9B" w14:textId="77777777" w:rsidR="00AA45A8" w:rsidRPr="002F09C4" w:rsidRDefault="00AA45A8" w:rsidP="00AA45A8">
      <w:pPr>
        <w:tabs>
          <w:tab w:val="left" w:pos="450"/>
        </w:tabs>
        <w:spacing w:after="0" w:line="240" w:lineRule="auto"/>
        <w:ind w:left="446" w:hanging="446"/>
      </w:pPr>
      <w:r w:rsidRPr="002F09C4">
        <w:t>18.</w:t>
      </w:r>
      <w:r w:rsidRPr="002F09C4">
        <w:tab/>
        <w:t xml:space="preserve">Connors KP, Housman ST, Pope JS, Russomanno J, Salerno E, Shore E, Redican S, Nicolau DP.  </w:t>
      </w:r>
      <w:r w:rsidRPr="002F09C4">
        <w:rPr>
          <w:b/>
        </w:rPr>
        <w:t xml:space="preserve">Phase 1, open-label, safety and pharmacokinetic study to assess bronchopulmonary disposition of intravenous eravacycline in healthy men and women.  </w:t>
      </w:r>
      <w:r w:rsidRPr="002F09C4">
        <w:rPr>
          <w:i/>
        </w:rPr>
        <w:t xml:space="preserve">Antimicrob Agents Chemother </w:t>
      </w:r>
      <w:r w:rsidRPr="002F09C4">
        <w:t xml:space="preserve">2014, </w:t>
      </w:r>
      <w:r w:rsidRPr="002F09C4">
        <w:rPr>
          <w:b/>
        </w:rPr>
        <w:t>58</w:t>
      </w:r>
      <w:r w:rsidRPr="002F09C4">
        <w:t>:2113-2118.</w:t>
      </w:r>
    </w:p>
    <w:p w14:paraId="6D371ACA" w14:textId="77777777" w:rsidR="00AA45A8" w:rsidRPr="002F09C4" w:rsidRDefault="00AA45A8" w:rsidP="00AA45A8">
      <w:pPr>
        <w:tabs>
          <w:tab w:val="left" w:pos="450"/>
        </w:tabs>
        <w:spacing w:after="0" w:line="240" w:lineRule="auto"/>
        <w:ind w:left="446" w:hanging="446"/>
      </w:pPr>
      <w:r w:rsidRPr="002F09C4">
        <w:t>19.</w:t>
      </w:r>
      <w:r w:rsidRPr="002F09C4">
        <w:tab/>
        <w:t xml:space="preserve">Gotfried MH, Horn K, Garrity-Ryan L, Villano S, Tzanis E, Chitra S, Manley A, Tanaka SK, Rodvold KA.  </w:t>
      </w:r>
      <w:r w:rsidRPr="002F09C4">
        <w:rPr>
          <w:b/>
        </w:rPr>
        <w:t xml:space="preserve">Comparison of omadacycline and tigecycline pharmacokinetics in the plasma, epithelial lining fluid, and alveolar cells in healthy adult subjects.  </w:t>
      </w:r>
      <w:r w:rsidRPr="002F09C4">
        <w:rPr>
          <w:i/>
        </w:rPr>
        <w:t xml:space="preserve">Antimicrob Agents Chemother </w:t>
      </w:r>
      <w:r w:rsidRPr="002F09C4">
        <w:t xml:space="preserve">2017, </w:t>
      </w:r>
      <w:r w:rsidRPr="002F09C4">
        <w:rPr>
          <w:b/>
        </w:rPr>
        <w:t>62</w:t>
      </w:r>
      <w:r w:rsidRPr="002F09C4">
        <w:t>:e01135-17.</w:t>
      </w:r>
    </w:p>
    <w:p w14:paraId="760BB975" w14:textId="77777777" w:rsidR="00AA45A8" w:rsidRPr="002F09C4" w:rsidRDefault="00AA45A8" w:rsidP="00AA45A8">
      <w:pPr>
        <w:tabs>
          <w:tab w:val="left" w:pos="450"/>
        </w:tabs>
        <w:spacing w:after="0" w:line="240" w:lineRule="auto"/>
        <w:ind w:left="446" w:hanging="446"/>
      </w:pPr>
      <w:r w:rsidRPr="002F09C4">
        <w:t>20.</w:t>
      </w:r>
      <w:r w:rsidRPr="002F09C4">
        <w:tab/>
        <w:t xml:space="preserve">Housman ST, Pope JS, Russomanno J, Salerno E, Shore E, Kuti JL, Nicolau DP.  </w:t>
      </w:r>
      <w:r w:rsidRPr="002F09C4">
        <w:rPr>
          <w:b/>
        </w:rPr>
        <w:t xml:space="preserve">Pulmonary disposition of tedizolid following administration of once-daily oral 200-milligram tedizolid phosphate in healthy adult subjects.  </w:t>
      </w:r>
      <w:r w:rsidRPr="002F09C4">
        <w:rPr>
          <w:i/>
        </w:rPr>
        <w:t xml:space="preserve">Antimicrob Agents Chemother </w:t>
      </w:r>
      <w:r w:rsidRPr="002F09C4">
        <w:t xml:space="preserve">2012, </w:t>
      </w:r>
      <w:r w:rsidRPr="002F09C4">
        <w:rPr>
          <w:b/>
        </w:rPr>
        <w:t>56</w:t>
      </w:r>
      <w:r w:rsidRPr="002F09C4">
        <w:t>:2627-2634.</w:t>
      </w:r>
    </w:p>
    <w:p w14:paraId="3AD6A3EE" w14:textId="77777777" w:rsidR="00AA45A8" w:rsidRPr="002F09C4" w:rsidRDefault="00AA45A8" w:rsidP="00AA45A8">
      <w:pPr>
        <w:tabs>
          <w:tab w:val="left" w:pos="450"/>
        </w:tabs>
        <w:spacing w:after="0" w:line="240" w:lineRule="auto"/>
        <w:ind w:left="446" w:hanging="446"/>
      </w:pPr>
      <w:r w:rsidRPr="002F09C4">
        <w:t>21.</w:t>
      </w:r>
      <w:r w:rsidRPr="002F09C4">
        <w:tab/>
        <w:t xml:space="preserve">Rodvold KA, Gotfried MH, Chugh R, Gupta M, Friedland HD, Bhatia A.  </w:t>
      </w:r>
      <w:r w:rsidRPr="002F09C4">
        <w:rPr>
          <w:b/>
        </w:rPr>
        <w:t xml:space="preserve">Comparison of plasma and intrapulmonary concentrations of nafithromycin (WCK 4873) in healthy adult subjects.  </w:t>
      </w:r>
      <w:r w:rsidRPr="002F09C4">
        <w:rPr>
          <w:i/>
        </w:rPr>
        <w:t xml:space="preserve">Antimicrob Agents Chemother </w:t>
      </w:r>
      <w:r w:rsidRPr="002F09C4">
        <w:t xml:space="preserve">2017, </w:t>
      </w:r>
      <w:r w:rsidRPr="002F09C4">
        <w:rPr>
          <w:b/>
        </w:rPr>
        <w:t>62</w:t>
      </w:r>
      <w:r w:rsidRPr="002F09C4">
        <w:t>:e01096-17.</w:t>
      </w:r>
    </w:p>
    <w:p w14:paraId="575BC6FD" w14:textId="77777777" w:rsidR="00AA45A8" w:rsidRPr="002F09C4" w:rsidRDefault="00AA45A8" w:rsidP="00AA45A8">
      <w:pPr>
        <w:tabs>
          <w:tab w:val="left" w:pos="450"/>
        </w:tabs>
        <w:spacing w:after="0" w:line="240" w:lineRule="auto"/>
        <w:ind w:left="446" w:hanging="446"/>
      </w:pPr>
      <w:r w:rsidRPr="002F09C4">
        <w:t>22.</w:t>
      </w:r>
      <w:r w:rsidRPr="002F09C4">
        <w:tab/>
        <w:t xml:space="preserve">Rodvold KA, Gotfried MH, Still JG, Clark K, Fermandes P.  </w:t>
      </w:r>
      <w:r w:rsidRPr="002F09C4">
        <w:rPr>
          <w:b/>
        </w:rPr>
        <w:t xml:space="preserve">Comparison of plasma, epithelial lining fluid, and alveolar macrophage concentrations of solithromycin (CEM-101) in healthy adult subjects.  </w:t>
      </w:r>
      <w:r w:rsidRPr="002F09C4">
        <w:rPr>
          <w:i/>
        </w:rPr>
        <w:t xml:space="preserve">Antimicrob Agents Chemother </w:t>
      </w:r>
      <w:r w:rsidRPr="002F09C4">
        <w:t xml:space="preserve">2012, </w:t>
      </w:r>
      <w:r w:rsidRPr="002F09C4">
        <w:rPr>
          <w:b/>
        </w:rPr>
        <w:t>56</w:t>
      </w:r>
      <w:r w:rsidRPr="002F09C4">
        <w:t>:5076-5081.</w:t>
      </w:r>
    </w:p>
    <w:p w14:paraId="76EDB677" w14:textId="77777777" w:rsidR="00AA45A8" w:rsidRPr="002F09C4" w:rsidRDefault="00AA45A8" w:rsidP="00AA45A8">
      <w:pPr>
        <w:tabs>
          <w:tab w:val="left" w:pos="450"/>
        </w:tabs>
        <w:spacing w:after="0" w:line="240" w:lineRule="auto"/>
        <w:ind w:left="446" w:hanging="446"/>
      </w:pPr>
      <w:r w:rsidRPr="002F09C4">
        <w:t>23.</w:t>
      </w:r>
      <w:r w:rsidRPr="002F09C4">
        <w:tab/>
        <w:t xml:space="preserve">Zeitlinger M, Schwameis R, Burian A, Burian B, Matzneller P, Muller M, Wicha WW, Strickman DB, Prince W.  </w:t>
      </w:r>
      <w:r w:rsidRPr="002F09C4">
        <w:rPr>
          <w:b/>
        </w:rPr>
        <w:t xml:space="preserve">Simultaneous assessment of the pharmacokinetics of a pleuromutilin, lefamulin, in plasma, soft tissues and pulmonary epithelial lining fluid.  </w:t>
      </w:r>
      <w:r w:rsidRPr="002F09C4">
        <w:rPr>
          <w:i/>
        </w:rPr>
        <w:t xml:space="preserve">J Antimicrob Chemother </w:t>
      </w:r>
      <w:r w:rsidRPr="002F09C4">
        <w:t xml:space="preserve">2016, </w:t>
      </w:r>
      <w:r w:rsidRPr="002F09C4">
        <w:rPr>
          <w:b/>
        </w:rPr>
        <w:t>71</w:t>
      </w:r>
      <w:r w:rsidRPr="002F09C4">
        <w:t>:1022-1026.</w:t>
      </w:r>
    </w:p>
    <w:p w14:paraId="187DFC47" w14:textId="77777777" w:rsidR="00AA45A8" w:rsidRPr="002F09C4" w:rsidRDefault="00AA45A8" w:rsidP="00AA45A8">
      <w:pPr>
        <w:tabs>
          <w:tab w:val="left" w:pos="450"/>
        </w:tabs>
        <w:spacing w:after="0" w:line="240" w:lineRule="auto"/>
        <w:ind w:left="446" w:hanging="446"/>
      </w:pPr>
      <w:r w:rsidRPr="002F09C4">
        <w:t>24.</w:t>
      </w:r>
      <w:r w:rsidRPr="002F09C4">
        <w:tab/>
        <w:t xml:space="preserve">Naderer OJ, Rodvold KA, Jones LS, Zhu JZ, Bowen CL, Chen L, Dumont E.  </w:t>
      </w:r>
      <w:r w:rsidRPr="002F09C4">
        <w:rPr>
          <w:b/>
        </w:rPr>
        <w:t>Penetration of GSK1322322 into epithelial lining fluid and alveolar macrophages as determined by bronchoalveolar lavage.</w:t>
      </w:r>
      <w:r w:rsidRPr="002F09C4">
        <w:rPr>
          <w:i/>
        </w:rPr>
        <w:t xml:space="preserve"> Antimicrob Agents Chemother </w:t>
      </w:r>
      <w:r w:rsidRPr="002F09C4">
        <w:t xml:space="preserve">2014, </w:t>
      </w:r>
      <w:r w:rsidRPr="002F09C4">
        <w:rPr>
          <w:b/>
        </w:rPr>
        <w:t>58</w:t>
      </w:r>
      <w:r w:rsidRPr="002F09C4">
        <w:t>:419-423.</w:t>
      </w:r>
    </w:p>
    <w:p w14:paraId="3443EBD0" w14:textId="77777777" w:rsidR="00AA45A8" w:rsidRPr="002F09C4" w:rsidRDefault="00AA45A8" w:rsidP="00AA45A8">
      <w:pPr>
        <w:tabs>
          <w:tab w:val="left" w:pos="450"/>
        </w:tabs>
        <w:spacing w:after="0" w:line="240" w:lineRule="auto"/>
        <w:ind w:left="446" w:hanging="446"/>
      </w:pPr>
      <w:r w:rsidRPr="002F09C4">
        <w:t>25.</w:t>
      </w:r>
      <w:r w:rsidRPr="002F09C4">
        <w:tab/>
        <w:t xml:space="preserve">Tenero D, Bowers G, Rodvold KA, Patel A, Kurtinecz M, Dumont E, Tomayko J, Patel P.  </w:t>
      </w:r>
      <w:r w:rsidRPr="002F09C4">
        <w:rPr>
          <w:b/>
        </w:rPr>
        <w:t>Intrapulmonary pharmacokinetics of GSK2251052 in healthy volunteers.</w:t>
      </w:r>
      <w:r w:rsidRPr="002F09C4">
        <w:rPr>
          <w:i/>
        </w:rPr>
        <w:t xml:space="preserve"> Antimicrob Agents Chemother </w:t>
      </w:r>
      <w:r w:rsidRPr="002F09C4">
        <w:t xml:space="preserve">2013, </w:t>
      </w:r>
      <w:r w:rsidRPr="002F09C4">
        <w:rPr>
          <w:b/>
        </w:rPr>
        <w:t>57</w:t>
      </w:r>
      <w:r w:rsidRPr="002F09C4">
        <w:t>:3334-3339.</w:t>
      </w:r>
    </w:p>
    <w:p w14:paraId="2CBA50FF" w14:textId="77777777" w:rsidR="00AA45A8" w:rsidRPr="002F09C4" w:rsidRDefault="00AA45A8" w:rsidP="00AA45A8">
      <w:pPr>
        <w:tabs>
          <w:tab w:val="left" w:pos="450"/>
        </w:tabs>
        <w:spacing w:after="0" w:line="240" w:lineRule="auto"/>
        <w:ind w:left="446" w:hanging="446"/>
      </w:pPr>
      <w:r w:rsidRPr="002F09C4">
        <w:t>26.</w:t>
      </w:r>
      <w:r w:rsidRPr="002F09C4">
        <w:tab/>
        <w:t xml:space="preserve">Awad SS, Rodriguez AH, Chuang YC, Marjanek Z, Pareigis AJ, Reis G, Scheeren TW, Sanchez AS, Zhou X, Saulay M, Engelhardt M. </w:t>
      </w:r>
      <w:r w:rsidRPr="002F09C4">
        <w:rPr>
          <w:b/>
        </w:rPr>
        <w:t>A phase 3 randomized double-blind comparison of ceftobiprole medocaril versus ceftazidime plus linezolid for the treatment of hospital-acquired pneumonia.</w:t>
      </w:r>
      <w:r w:rsidRPr="002F09C4">
        <w:t xml:space="preserve"> </w:t>
      </w:r>
      <w:r w:rsidRPr="002F09C4">
        <w:rPr>
          <w:i/>
        </w:rPr>
        <w:t>Clin Infect Dis</w:t>
      </w:r>
      <w:r w:rsidRPr="002F09C4">
        <w:t xml:space="preserve"> 2014, </w:t>
      </w:r>
      <w:r w:rsidRPr="002F09C4">
        <w:rPr>
          <w:b/>
        </w:rPr>
        <w:t>59</w:t>
      </w:r>
      <w:r w:rsidRPr="002F09C4">
        <w:t>:51-61.</w:t>
      </w:r>
    </w:p>
    <w:p w14:paraId="02C21697" w14:textId="77777777" w:rsidR="00AA45A8" w:rsidRPr="002F09C4" w:rsidRDefault="00AA45A8" w:rsidP="00AA45A8">
      <w:pPr>
        <w:tabs>
          <w:tab w:val="left" w:pos="450"/>
        </w:tabs>
        <w:spacing w:after="0" w:line="240" w:lineRule="auto"/>
        <w:ind w:left="446" w:hanging="446"/>
      </w:pPr>
      <w:r w:rsidRPr="002F09C4">
        <w:lastRenderedPageBreak/>
        <w:t>27.</w:t>
      </w:r>
      <w:r w:rsidRPr="002F09C4">
        <w:tab/>
        <w:t xml:space="preserve">Koffef MH, Chastre J, Clavel M, Restrepo MI, Michiels B, Kaniga K, Cirillo I, Kimko H, Redman R. </w:t>
      </w:r>
      <w:r w:rsidRPr="002F09C4">
        <w:rPr>
          <w:b/>
        </w:rPr>
        <w:t>A randomized trial of 7-day doripenem versus 10-day imipenem-cilastatin for ventilator-associated pneumonia.</w:t>
      </w:r>
      <w:r w:rsidRPr="002F09C4">
        <w:t xml:space="preserve"> </w:t>
      </w:r>
      <w:r w:rsidRPr="002F09C4">
        <w:rPr>
          <w:i/>
        </w:rPr>
        <w:t>Crit Care</w:t>
      </w:r>
      <w:r w:rsidRPr="002F09C4">
        <w:t xml:space="preserve"> 2012, </w:t>
      </w:r>
      <w:r w:rsidRPr="002F09C4">
        <w:rPr>
          <w:b/>
        </w:rPr>
        <w:t>16</w:t>
      </w:r>
      <w:r w:rsidRPr="002F09C4">
        <w:t>:R218.</w:t>
      </w:r>
    </w:p>
    <w:p w14:paraId="6AE94B10" w14:textId="77777777" w:rsidR="00AA45A8" w:rsidRPr="002F09C4" w:rsidRDefault="00AA45A8" w:rsidP="00AA45A8">
      <w:pPr>
        <w:tabs>
          <w:tab w:val="left" w:pos="450"/>
        </w:tabs>
        <w:spacing w:after="0" w:line="240" w:lineRule="auto"/>
        <w:ind w:left="446" w:hanging="446"/>
      </w:pPr>
      <w:r w:rsidRPr="002F09C4">
        <w:t>28.</w:t>
      </w:r>
      <w:r w:rsidRPr="002F09C4">
        <w:tab/>
        <w:t xml:space="preserve">Roberts JA, Lipman J. </w:t>
      </w:r>
      <w:r w:rsidRPr="002F09C4">
        <w:rPr>
          <w:b/>
        </w:rPr>
        <w:t>Optimal doripenem dosing simulations in critically ill nosocomial pneumonia patients with obesity, augmented renal clearance, and decreased bacterial susceptibility.</w:t>
      </w:r>
      <w:r w:rsidRPr="002F09C4">
        <w:t xml:space="preserve">  </w:t>
      </w:r>
      <w:r w:rsidRPr="002F09C4">
        <w:rPr>
          <w:i/>
        </w:rPr>
        <w:t>Crit Care Med</w:t>
      </w:r>
      <w:r w:rsidRPr="002F09C4">
        <w:t xml:space="preserve"> 2013, </w:t>
      </w:r>
      <w:r w:rsidRPr="002F09C4">
        <w:rPr>
          <w:b/>
        </w:rPr>
        <w:t>41</w:t>
      </w:r>
      <w:r w:rsidRPr="002F09C4">
        <w:t>:489-495.</w:t>
      </w:r>
    </w:p>
    <w:p w14:paraId="12F1851A" w14:textId="77777777" w:rsidR="00AA45A8" w:rsidRPr="002F09C4" w:rsidRDefault="00AA45A8" w:rsidP="00AA45A8">
      <w:pPr>
        <w:tabs>
          <w:tab w:val="left" w:pos="450"/>
        </w:tabs>
        <w:spacing w:after="0" w:line="240" w:lineRule="auto"/>
        <w:ind w:left="446" w:hanging="446"/>
      </w:pPr>
      <w:r w:rsidRPr="002F09C4">
        <w:t>29.</w:t>
      </w:r>
      <w:r w:rsidRPr="002F09C4">
        <w:tab/>
        <w:t xml:space="preserve">Katsube T, Wajima T, Ishibashi T, Arjona Ferreira JC, Echols R. </w:t>
      </w:r>
      <w:r w:rsidRPr="002F09C4">
        <w:rPr>
          <w:b/>
        </w:rPr>
        <w:t>Pharmacokinetic/pharmacodynamics modeling and simulation of cefiderocol, a parenteral siderophore cephalosporin, for dose adjustment based on renal function.</w:t>
      </w:r>
      <w:r w:rsidRPr="002F09C4">
        <w:t xml:space="preserve">  </w:t>
      </w:r>
      <w:r w:rsidRPr="002F09C4">
        <w:rPr>
          <w:i/>
        </w:rPr>
        <w:t>Antimicrob Agents Chemother</w:t>
      </w:r>
      <w:r w:rsidRPr="002F09C4">
        <w:t xml:space="preserve"> 2016, </w:t>
      </w:r>
      <w:r w:rsidRPr="002F09C4">
        <w:rPr>
          <w:b/>
        </w:rPr>
        <w:t>61</w:t>
      </w:r>
      <w:r w:rsidRPr="002F09C4">
        <w:t>:e01381-16.</w:t>
      </w:r>
    </w:p>
    <w:p w14:paraId="568BEA38" w14:textId="77777777" w:rsidR="00AA45A8" w:rsidRPr="002F09C4" w:rsidRDefault="00AA45A8" w:rsidP="00AA45A8">
      <w:pPr>
        <w:tabs>
          <w:tab w:val="left" w:pos="450"/>
        </w:tabs>
        <w:spacing w:after="0" w:line="240" w:lineRule="auto"/>
        <w:ind w:left="450" w:hanging="450"/>
      </w:pPr>
      <w:r w:rsidRPr="002F09C4">
        <w:t>30.</w:t>
      </w:r>
      <w:r w:rsidRPr="002F09C4">
        <w:tab/>
        <w:t xml:space="preserve">Boselli E, Breilh D, Djabarouti S, Guillaume C, Rimmele T, Gordien J-B, Xuereb F, Saux M-C, Allaouchiche B. </w:t>
      </w:r>
      <w:r w:rsidRPr="002F09C4">
        <w:rPr>
          <w:b/>
        </w:rPr>
        <w:t>Reliability of mini-bronchoalveolar lavage for the measurement of epithelial lining fluid concentrations of tobramycin in critically ill patients.</w:t>
      </w:r>
      <w:r w:rsidRPr="002F09C4">
        <w:t xml:space="preserve">  </w:t>
      </w:r>
      <w:r w:rsidRPr="002F09C4">
        <w:rPr>
          <w:i/>
        </w:rPr>
        <w:t xml:space="preserve">Intensive Care Med </w:t>
      </w:r>
      <w:r w:rsidRPr="002F09C4">
        <w:t xml:space="preserve">2007, </w:t>
      </w:r>
      <w:r w:rsidRPr="002F09C4">
        <w:rPr>
          <w:b/>
        </w:rPr>
        <w:t>33</w:t>
      </w:r>
      <w:r w:rsidRPr="002F09C4">
        <w:t>:1519-1523.</w:t>
      </w:r>
    </w:p>
    <w:p w14:paraId="50A553E3" w14:textId="77777777" w:rsidR="00AA45A8" w:rsidRPr="002F09C4" w:rsidRDefault="00AA45A8" w:rsidP="00AA45A8">
      <w:pPr>
        <w:tabs>
          <w:tab w:val="left" w:pos="450"/>
        </w:tabs>
        <w:spacing w:after="0" w:line="240" w:lineRule="auto"/>
        <w:ind w:left="450" w:hanging="450"/>
      </w:pPr>
      <w:r w:rsidRPr="002F09C4">
        <w:t>31.</w:t>
      </w:r>
      <w:r w:rsidRPr="002F09C4">
        <w:tab/>
        <w:t xml:space="preserve">Carcas AJ, Garcia-Satue JL, Zapater P, Frias-Iniesta J. </w:t>
      </w:r>
      <w:r w:rsidRPr="002F09C4">
        <w:rPr>
          <w:b/>
        </w:rPr>
        <w:t>Tobramycin penetration into epithelial lining fluid of patients with pneumonia.</w:t>
      </w:r>
      <w:r w:rsidRPr="002F09C4">
        <w:t xml:space="preserve">  </w:t>
      </w:r>
      <w:r w:rsidRPr="002F09C4">
        <w:rPr>
          <w:i/>
        </w:rPr>
        <w:t xml:space="preserve">Clin Pharmacol Ther </w:t>
      </w:r>
      <w:r w:rsidRPr="002F09C4">
        <w:t xml:space="preserve">1999, </w:t>
      </w:r>
      <w:r w:rsidRPr="002F09C4">
        <w:rPr>
          <w:b/>
        </w:rPr>
        <w:t>65</w:t>
      </w:r>
      <w:r w:rsidRPr="002F09C4">
        <w:t>:245-250.</w:t>
      </w:r>
    </w:p>
    <w:p w14:paraId="71901ABB" w14:textId="77777777" w:rsidR="00AA45A8" w:rsidRPr="002F09C4" w:rsidRDefault="00AA45A8" w:rsidP="00AA45A8">
      <w:pPr>
        <w:tabs>
          <w:tab w:val="left" w:pos="450"/>
        </w:tabs>
        <w:spacing w:after="0" w:line="240" w:lineRule="auto"/>
        <w:ind w:left="450" w:hanging="450"/>
        <w:rPr>
          <w:i/>
        </w:rPr>
      </w:pPr>
      <w:r w:rsidRPr="002F09C4">
        <w:t>32.</w:t>
      </w:r>
      <w:r w:rsidRPr="002F09C4">
        <w:tab/>
        <w:t xml:space="preserve">Mazzei T, Noveilli A, De Lalla F, Mini E, Periti P. </w:t>
      </w:r>
      <w:r w:rsidRPr="002F09C4">
        <w:rPr>
          <w:b/>
        </w:rPr>
        <w:t xml:space="preserve">Tissue penetration and pulmonary disposition of tobramycin. </w:t>
      </w:r>
      <w:r w:rsidRPr="002F09C4">
        <w:t xml:space="preserve"> </w:t>
      </w:r>
      <w:r w:rsidRPr="002F09C4">
        <w:rPr>
          <w:i/>
        </w:rPr>
        <w:t>J Chemother</w:t>
      </w:r>
      <w:r w:rsidRPr="002F09C4">
        <w:t xml:space="preserve"> 1995, </w:t>
      </w:r>
      <w:r w:rsidRPr="002F09C4">
        <w:rPr>
          <w:b/>
        </w:rPr>
        <w:t>7</w:t>
      </w:r>
      <w:r w:rsidRPr="002F09C4">
        <w:t>:363-370.</w:t>
      </w:r>
    </w:p>
    <w:p w14:paraId="405E6E05" w14:textId="77777777" w:rsidR="00AA45A8" w:rsidRPr="002F09C4" w:rsidRDefault="00AA45A8" w:rsidP="00AA45A8">
      <w:pPr>
        <w:tabs>
          <w:tab w:val="left" w:pos="450"/>
        </w:tabs>
        <w:spacing w:after="0" w:line="240" w:lineRule="auto"/>
        <w:ind w:left="450" w:hanging="450"/>
        <w:rPr>
          <w:i/>
        </w:rPr>
      </w:pPr>
      <w:r w:rsidRPr="002F09C4">
        <w:t>33.</w:t>
      </w:r>
      <w:r w:rsidRPr="002F09C4">
        <w:tab/>
        <w:t xml:space="preserve">Panidis D, Markantonis SL, Boutzouka E, Karatzas S, Baltopoulos G. </w:t>
      </w:r>
      <w:r w:rsidRPr="002F09C4">
        <w:rPr>
          <w:b/>
        </w:rPr>
        <w:t>Penetration of gentamicin into the alveolar lining fluid of critically ill patients with ventilator-associated pneumonia.</w:t>
      </w:r>
      <w:r w:rsidRPr="002F09C4">
        <w:t xml:space="preserve">  </w:t>
      </w:r>
      <w:r w:rsidRPr="002F09C4">
        <w:rPr>
          <w:i/>
        </w:rPr>
        <w:t>Chest</w:t>
      </w:r>
      <w:r w:rsidRPr="002F09C4">
        <w:t xml:space="preserve"> 2005, </w:t>
      </w:r>
      <w:r w:rsidRPr="002F09C4">
        <w:rPr>
          <w:b/>
        </w:rPr>
        <w:t>128</w:t>
      </w:r>
      <w:r w:rsidRPr="002F09C4">
        <w:t>:545-552.</w:t>
      </w:r>
    </w:p>
    <w:p w14:paraId="01AF99DA" w14:textId="77777777" w:rsidR="00AA45A8" w:rsidRPr="002F09C4" w:rsidRDefault="00AA45A8" w:rsidP="00AA45A8">
      <w:pPr>
        <w:tabs>
          <w:tab w:val="left" w:pos="450"/>
        </w:tabs>
        <w:spacing w:after="0" w:line="240" w:lineRule="auto"/>
        <w:ind w:left="450" w:hanging="450"/>
        <w:rPr>
          <w:i/>
        </w:rPr>
      </w:pPr>
      <w:r w:rsidRPr="002F09C4">
        <w:t>34.</w:t>
      </w:r>
      <w:r w:rsidRPr="002F09C4">
        <w:tab/>
        <w:t xml:space="preserve">Valcke Y, Vogelaers DP, Colardyn FA, Pauwels RA. </w:t>
      </w:r>
      <w:r w:rsidRPr="002F09C4">
        <w:rPr>
          <w:b/>
        </w:rPr>
        <w:t>Penetration of netilmicin into the lower respiratory tract after once-daily dosing.</w:t>
      </w:r>
      <w:r w:rsidRPr="002F09C4">
        <w:t xml:space="preserve">  </w:t>
      </w:r>
      <w:r w:rsidRPr="002F09C4">
        <w:rPr>
          <w:i/>
        </w:rPr>
        <w:t>Chest</w:t>
      </w:r>
      <w:r w:rsidRPr="002F09C4">
        <w:t xml:space="preserve"> 1992, </w:t>
      </w:r>
      <w:r w:rsidRPr="002F09C4">
        <w:rPr>
          <w:b/>
        </w:rPr>
        <w:t>101</w:t>
      </w:r>
      <w:r w:rsidRPr="002F09C4">
        <w:t>:1028-1032.</w:t>
      </w:r>
    </w:p>
    <w:p w14:paraId="48ADE01D" w14:textId="77777777" w:rsidR="00AA45A8" w:rsidRPr="002F09C4" w:rsidRDefault="00AA45A8" w:rsidP="00AA45A8">
      <w:pPr>
        <w:tabs>
          <w:tab w:val="left" w:pos="450"/>
        </w:tabs>
        <w:spacing w:after="0" w:line="240" w:lineRule="auto"/>
        <w:ind w:left="450" w:hanging="450"/>
      </w:pPr>
      <w:r w:rsidRPr="002F09C4">
        <w:t>35.</w:t>
      </w:r>
      <w:r w:rsidRPr="002F09C4">
        <w:tab/>
        <w:t xml:space="preserve">Boselli E, Breilh D, Cannesson M, Xuereb F, Rimmele T, Chassard D, Saux M-C, Allaouchiche B.  </w:t>
      </w:r>
      <w:r w:rsidRPr="002F09C4">
        <w:rPr>
          <w:b/>
        </w:rPr>
        <w:t xml:space="preserve">Steady-state plasma and intrapulmonary concentrations of piperacillin/tazobactam 4 g/0.5 g administered to critically ill patients with severe nosocomial pneumonia.  </w:t>
      </w:r>
      <w:r w:rsidRPr="002F09C4">
        <w:rPr>
          <w:i/>
        </w:rPr>
        <w:t xml:space="preserve">Intensive Care Med </w:t>
      </w:r>
      <w:r w:rsidRPr="002F09C4">
        <w:t xml:space="preserve">2004, </w:t>
      </w:r>
      <w:r w:rsidRPr="002F09C4">
        <w:rPr>
          <w:b/>
        </w:rPr>
        <w:t>30:</w:t>
      </w:r>
      <w:r w:rsidRPr="002F09C4">
        <w:t>976-979.</w:t>
      </w:r>
    </w:p>
    <w:p w14:paraId="517BA0E9" w14:textId="77777777" w:rsidR="00AA45A8" w:rsidRPr="002F09C4" w:rsidRDefault="00AA45A8" w:rsidP="00AA45A8">
      <w:pPr>
        <w:tabs>
          <w:tab w:val="left" w:pos="450"/>
        </w:tabs>
        <w:spacing w:after="0" w:line="240" w:lineRule="auto"/>
        <w:ind w:left="450" w:hanging="450"/>
      </w:pPr>
      <w:r w:rsidRPr="002F09C4">
        <w:t>36.</w:t>
      </w:r>
      <w:r w:rsidRPr="002F09C4">
        <w:tab/>
        <w:t xml:space="preserve">Boselli E, Breilh D, Rimmele T, Guillaume C, Xuereb F, Saux M-C, Bouvet L, Chassard D, Allaouchiche B.  </w:t>
      </w:r>
      <w:r w:rsidRPr="002F09C4">
        <w:rPr>
          <w:b/>
        </w:rPr>
        <w:t xml:space="preserve">Alveolar concentrations of piperacillin/tazobactam administered in continuous infusion to patients with ventilator-associated pneumonia.  </w:t>
      </w:r>
      <w:r w:rsidRPr="002F09C4">
        <w:rPr>
          <w:i/>
        </w:rPr>
        <w:t xml:space="preserve">Crit Care Med </w:t>
      </w:r>
      <w:r w:rsidRPr="002F09C4">
        <w:t xml:space="preserve">2008, </w:t>
      </w:r>
      <w:r w:rsidRPr="002F09C4">
        <w:rPr>
          <w:b/>
        </w:rPr>
        <w:t>36:</w:t>
      </w:r>
      <w:r w:rsidRPr="002F09C4">
        <w:t>1500-1506.</w:t>
      </w:r>
    </w:p>
    <w:p w14:paraId="0ED8FC77" w14:textId="12768593" w:rsidR="00AA45A8" w:rsidRPr="002F09C4" w:rsidRDefault="00AA45A8" w:rsidP="00AA45A8">
      <w:pPr>
        <w:tabs>
          <w:tab w:val="left" w:pos="450"/>
        </w:tabs>
        <w:spacing w:after="0" w:line="240" w:lineRule="auto"/>
        <w:ind w:left="450" w:hanging="450"/>
      </w:pPr>
      <w:r w:rsidRPr="002F09C4">
        <w:t>37.</w:t>
      </w:r>
      <w:r w:rsidRPr="002F09C4">
        <w:tab/>
        <w:t xml:space="preserve">Felton TW, McCalman K, Malagon I, Isalska B, Whalley S, Goodwin J, Bentley AM, Hope WW. </w:t>
      </w:r>
      <w:r w:rsidRPr="002F09C4">
        <w:rPr>
          <w:b/>
        </w:rPr>
        <w:t xml:space="preserve">Pulmonary penetration of piperacillin and tazobactam in critically ill patients.  </w:t>
      </w:r>
      <w:r w:rsidRPr="002F09C4">
        <w:rPr>
          <w:i/>
        </w:rPr>
        <w:t xml:space="preserve">Clin Pharmacol Ther </w:t>
      </w:r>
      <w:r w:rsidRPr="002F09C4">
        <w:t xml:space="preserve">2014, </w:t>
      </w:r>
      <w:r w:rsidRPr="002F09C4">
        <w:rPr>
          <w:b/>
        </w:rPr>
        <w:t>96:</w:t>
      </w:r>
      <w:r w:rsidRPr="002F09C4">
        <w:t>438-448.</w:t>
      </w:r>
    </w:p>
    <w:p w14:paraId="67EF0DD3" w14:textId="45256536" w:rsidR="00BB1831" w:rsidRPr="002F09C4" w:rsidRDefault="00BB1831" w:rsidP="00AA45A8">
      <w:pPr>
        <w:tabs>
          <w:tab w:val="left" w:pos="450"/>
        </w:tabs>
        <w:spacing w:after="0" w:line="240" w:lineRule="auto"/>
        <w:ind w:left="450" w:hanging="450"/>
      </w:pPr>
      <w:r w:rsidRPr="002F09C4">
        <w:t>••</w:t>
      </w:r>
      <w:r w:rsidRPr="002F09C4">
        <w:tab/>
        <w:t>Outstanding research manuscript using bronchoalveolar lavage and pharmacokinetic-pharmacodynamic modelling to determine intrapulmonary penetration of piperacillin and tazobactam in critically ill patients</w:t>
      </w:r>
    </w:p>
    <w:p w14:paraId="355A1156" w14:textId="77777777" w:rsidR="00AA45A8" w:rsidRPr="002F09C4" w:rsidRDefault="00AA45A8" w:rsidP="00AA45A8">
      <w:pPr>
        <w:tabs>
          <w:tab w:val="left" w:pos="450"/>
        </w:tabs>
        <w:spacing w:after="0" w:line="240" w:lineRule="auto"/>
        <w:ind w:left="450" w:hanging="450"/>
      </w:pPr>
      <w:r w:rsidRPr="002F09C4">
        <w:t>38.</w:t>
      </w:r>
      <w:r w:rsidRPr="002F09C4">
        <w:tab/>
        <w:t xml:space="preserve">Lodise TP, Sorgel F, Melnick D, Mason B, Kinzig M, Drusano GL.  </w:t>
      </w:r>
      <w:r w:rsidRPr="002F09C4">
        <w:rPr>
          <w:b/>
        </w:rPr>
        <w:t xml:space="preserve">Penetration of meropenem into epithelial lining fluid of patients with ventilator-associated pneumonia.  </w:t>
      </w:r>
      <w:r w:rsidRPr="002F09C4">
        <w:rPr>
          <w:i/>
        </w:rPr>
        <w:t xml:space="preserve">Antimicrob Agents Chemother </w:t>
      </w:r>
      <w:r w:rsidRPr="002F09C4">
        <w:t xml:space="preserve">2011, </w:t>
      </w:r>
      <w:r w:rsidRPr="002F09C4">
        <w:rPr>
          <w:b/>
        </w:rPr>
        <w:t>55:</w:t>
      </w:r>
      <w:r w:rsidRPr="002F09C4">
        <w:t>1606-1610.</w:t>
      </w:r>
    </w:p>
    <w:p w14:paraId="5B57DB3E" w14:textId="057A2F5A" w:rsidR="00AA45A8" w:rsidRPr="002F09C4" w:rsidRDefault="00AA45A8" w:rsidP="00AA45A8">
      <w:pPr>
        <w:tabs>
          <w:tab w:val="left" w:pos="450"/>
        </w:tabs>
        <w:spacing w:after="0" w:line="240" w:lineRule="auto"/>
        <w:ind w:left="450" w:hanging="450"/>
      </w:pPr>
      <w:r w:rsidRPr="002F09C4">
        <w:t>39.</w:t>
      </w:r>
      <w:r w:rsidRPr="002F09C4">
        <w:tab/>
        <w:t xml:space="preserve">Frippiat F, Musuamba FT, Seidel L, Albert A, Denooz R, Charlier C, Van Bambeke F, Wallemacq P, Descy J, Lambermont B, Layios N, Damas D, Moutschen M.  </w:t>
      </w:r>
      <w:r w:rsidRPr="002F09C4">
        <w:rPr>
          <w:b/>
        </w:rPr>
        <w:t xml:space="preserve">Modelled target attainment after meropenem infusion in patients with severe nosocomial pneumonia: the PROMESSE study.  </w:t>
      </w:r>
      <w:r w:rsidRPr="002F09C4">
        <w:rPr>
          <w:i/>
        </w:rPr>
        <w:t xml:space="preserve">J Antimicrob Chemother </w:t>
      </w:r>
      <w:r w:rsidRPr="002F09C4">
        <w:t xml:space="preserve">2015, </w:t>
      </w:r>
      <w:r w:rsidRPr="002F09C4">
        <w:rPr>
          <w:b/>
        </w:rPr>
        <w:t>70:</w:t>
      </w:r>
      <w:r w:rsidRPr="002F09C4">
        <w:t>207-216.</w:t>
      </w:r>
    </w:p>
    <w:p w14:paraId="3B773AC8" w14:textId="0BBA2777" w:rsidR="00BD6C5A" w:rsidRPr="002F09C4" w:rsidRDefault="00BD6C5A" w:rsidP="00AA45A8">
      <w:pPr>
        <w:tabs>
          <w:tab w:val="left" w:pos="450"/>
        </w:tabs>
        <w:spacing w:after="0" w:line="240" w:lineRule="auto"/>
        <w:ind w:left="450" w:hanging="450"/>
      </w:pPr>
      <w:r w:rsidRPr="002F09C4">
        <w:t>•</w:t>
      </w:r>
      <w:r w:rsidRPr="002F09C4">
        <w:tab/>
        <w:t>Illustrates the variability in meropenem concentrations in seriously ill patients with nosocomial pneumonia and the impact of two different modes of drug administration on target attainment rates</w:t>
      </w:r>
    </w:p>
    <w:p w14:paraId="5482D2E8" w14:textId="77777777" w:rsidR="00AA45A8" w:rsidRPr="002F09C4" w:rsidRDefault="00AA45A8" w:rsidP="00AA45A8">
      <w:pPr>
        <w:tabs>
          <w:tab w:val="left" w:pos="450"/>
        </w:tabs>
        <w:spacing w:after="0" w:line="240" w:lineRule="auto"/>
        <w:ind w:left="450" w:hanging="450"/>
      </w:pPr>
      <w:r w:rsidRPr="002F09C4">
        <w:t>40.</w:t>
      </w:r>
      <w:r w:rsidRPr="002F09C4">
        <w:tab/>
        <w:t xml:space="preserve">Boselli E, Breilh D, Saux M-C, Gordien J-B, Allaouchiche B.  </w:t>
      </w:r>
      <w:r w:rsidRPr="002F09C4">
        <w:rPr>
          <w:b/>
        </w:rPr>
        <w:t xml:space="preserve"> Pharmacokinetics and lung concentrations of ertapenem in patients with ventilator-associated pneumonia.  </w:t>
      </w:r>
      <w:r w:rsidRPr="002F09C4">
        <w:rPr>
          <w:i/>
        </w:rPr>
        <w:t xml:space="preserve">Intensive Care Med </w:t>
      </w:r>
      <w:r w:rsidRPr="002F09C4">
        <w:t xml:space="preserve">2006, </w:t>
      </w:r>
      <w:r w:rsidRPr="002F09C4">
        <w:rPr>
          <w:b/>
        </w:rPr>
        <w:t>32:</w:t>
      </w:r>
      <w:r w:rsidRPr="002F09C4">
        <w:t>2059-2062.</w:t>
      </w:r>
    </w:p>
    <w:p w14:paraId="39E1F203" w14:textId="77777777" w:rsidR="00AA45A8" w:rsidRPr="002F09C4" w:rsidRDefault="00AA45A8" w:rsidP="00AA45A8">
      <w:pPr>
        <w:tabs>
          <w:tab w:val="left" w:pos="450"/>
        </w:tabs>
        <w:spacing w:after="0" w:line="240" w:lineRule="auto"/>
        <w:ind w:left="450" w:hanging="450"/>
      </w:pPr>
      <w:r w:rsidRPr="002F09C4">
        <w:lastRenderedPageBreak/>
        <w:t>41.</w:t>
      </w:r>
      <w:r w:rsidRPr="002F09C4">
        <w:tab/>
        <w:t xml:space="preserve">Burkhardt O, Majcher-Peszynska J, Borner K, Mundkowski R, Drewelow B, Derendorf H, Welte T.  </w:t>
      </w:r>
      <w:r w:rsidRPr="002F09C4">
        <w:rPr>
          <w:b/>
        </w:rPr>
        <w:t xml:space="preserve"> Penetration of ertapenem into different pulmonary comparatments of patients undergoing lung surgery.  </w:t>
      </w:r>
      <w:r w:rsidRPr="002F09C4">
        <w:rPr>
          <w:i/>
        </w:rPr>
        <w:t xml:space="preserve">J Clin Pharmacol </w:t>
      </w:r>
      <w:r w:rsidRPr="002F09C4">
        <w:t xml:space="preserve">2005, </w:t>
      </w:r>
      <w:r w:rsidRPr="002F09C4">
        <w:rPr>
          <w:b/>
        </w:rPr>
        <w:t>45:</w:t>
      </w:r>
      <w:r w:rsidRPr="002F09C4">
        <w:t>659-665.</w:t>
      </w:r>
    </w:p>
    <w:p w14:paraId="2C0E2DDD" w14:textId="77777777" w:rsidR="00AA45A8" w:rsidRPr="002F09C4" w:rsidRDefault="00AA45A8" w:rsidP="00AA45A8">
      <w:pPr>
        <w:tabs>
          <w:tab w:val="left" w:pos="450"/>
        </w:tabs>
        <w:spacing w:after="0" w:line="240" w:lineRule="auto"/>
        <w:ind w:left="450" w:hanging="450"/>
      </w:pPr>
      <w:r w:rsidRPr="002F09C4">
        <w:t xml:space="preserve">42. </w:t>
      </w:r>
      <w:r w:rsidRPr="002F09C4">
        <w:tab/>
        <w:t xml:space="preserve">Boselli E, Breilh D, Duflo F, Saux M-C, Debon R, Chassard D, Allaouchiche B. </w:t>
      </w:r>
      <w:r w:rsidRPr="002F09C4">
        <w:rPr>
          <w:b/>
        </w:rPr>
        <w:t xml:space="preserve"> Steady-state plasma and intrapulmonary concentrations of cefepime administered in continuous infusion in critically ill patients with severe nosocomial pneumonia.  </w:t>
      </w:r>
      <w:r w:rsidRPr="002F09C4">
        <w:rPr>
          <w:i/>
        </w:rPr>
        <w:t xml:space="preserve">Crit Care Med </w:t>
      </w:r>
      <w:r w:rsidRPr="002F09C4">
        <w:t xml:space="preserve">2003, </w:t>
      </w:r>
      <w:r w:rsidRPr="002F09C4">
        <w:rPr>
          <w:b/>
        </w:rPr>
        <w:t>31:</w:t>
      </w:r>
      <w:r w:rsidRPr="002F09C4">
        <w:t>2102-2106.</w:t>
      </w:r>
    </w:p>
    <w:p w14:paraId="370249C8" w14:textId="77777777" w:rsidR="00AA45A8" w:rsidRPr="002F09C4" w:rsidRDefault="00AA45A8" w:rsidP="00AA45A8">
      <w:pPr>
        <w:tabs>
          <w:tab w:val="left" w:pos="450"/>
        </w:tabs>
        <w:spacing w:after="0" w:line="240" w:lineRule="auto"/>
        <w:ind w:left="450" w:hanging="450"/>
      </w:pPr>
      <w:r w:rsidRPr="002F09C4">
        <w:t>43.</w:t>
      </w:r>
      <w:r w:rsidRPr="002F09C4">
        <w:tab/>
        <w:t xml:space="preserve">Boselli E, Breilh D, Rimmele T, Poupelin J-C, Saux M-C, Chassard D, Allaouchiche B. </w:t>
      </w:r>
      <w:r w:rsidRPr="002F09C4">
        <w:rPr>
          <w:b/>
        </w:rPr>
        <w:t xml:space="preserve"> Plasma and lung concentrations of ceftazidime administered in continuous infusion to critically ill patients with severe nosocomial pneumonia.  </w:t>
      </w:r>
      <w:r w:rsidRPr="002F09C4">
        <w:rPr>
          <w:i/>
        </w:rPr>
        <w:t xml:space="preserve">Intensive Care Med </w:t>
      </w:r>
      <w:r w:rsidRPr="002F09C4">
        <w:t xml:space="preserve">2004, </w:t>
      </w:r>
      <w:r w:rsidRPr="002F09C4">
        <w:rPr>
          <w:b/>
        </w:rPr>
        <w:t>30:</w:t>
      </w:r>
      <w:r w:rsidRPr="002F09C4">
        <w:t>989-991.</w:t>
      </w:r>
    </w:p>
    <w:p w14:paraId="6DD556F8" w14:textId="77777777" w:rsidR="00AA45A8" w:rsidRPr="002F09C4" w:rsidRDefault="00AA45A8" w:rsidP="00AA45A8">
      <w:pPr>
        <w:tabs>
          <w:tab w:val="left" w:pos="450"/>
        </w:tabs>
        <w:spacing w:after="0" w:line="240" w:lineRule="auto"/>
        <w:ind w:left="450" w:hanging="450"/>
      </w:pPr>
      <w:r w:rsidRPr="002F09C4">
        <w:t>44.</w:t>
      </w:r>
      <w:r w:rsidRPr="002F09C4">
        <w:tab/>
        <w:t xml:space="preserve">Boselli E, Breilh D, Rimmele T, Djabarouti S, Saux M-C, Chassard D, Allaouchiche B. </w:t>
      </w:r>
      <w:r w:rsidRPr="002F09C4">
        <w:rPr>
          <w:b/>
        </w:rPr>
        <w:t xml:space="preserve"> Pharmacokinetics and intrapulmonary diffusion of levofloxacin in critically ill patients with community-acquired pneumonia.  </w:t>
      </w:r>
      <w:r w:rsidRPr="002F09C4">
        <w:rPr>
          <w:i/>
        </w:rPr>
        <w:t xml:space="preserve">Crit Care Med </w:t>
      </w:r>
      <w:r w:rsidRPr="002F09C4">
        <w:t xml:space="preserve">2005, </w:t>
      </w:r>
      <w:r w:rsidRPr="002F09C4">
        <w:rPr>
          <w:b/>
        </w:rPr>
        <w:t>33:</w:t>
      </w:r>
      <w:r w:rsidRPr="002F09C4">
        <w:t>104-109.</w:t>
      </w:r>
    </w:p>
    <w:p w14:paraId="2C7655B7" w14:textId="77777777" w:rsidR="00AA45A8" w:rsidRPr="002F09C4" w:rsidRDefault="00AA45A8" w:rsidP="00AA45A8">
      <w:pPr>
        <w:tabs>
          <w:tab w:val="left" w:pos="450"/>
        </w:tabs>
        <w:spacing w:after="0" w:line="240" w:lineRule="auto"/>
        <w:ind w:left="450" w:hanging="450"/>
      </w:pPr>
      <w:r w:rsidRPr="002F09C4">
        <w:t>45.</w:t>
      </w:r>
      <w:r w:rsidRPr="002F09C4">
        <w:tab/>
        <w:t xml:space="preserve">Lamer C, De Beco V, Soler P, Calvat S, Fagon J-Y, Dombret M-C, Farinotti R, Chastre J, Gilbert C.  </w:t>
      </w:r>
      <w:r w:rsidRPr="002F09C4">
        <w:rPr>
          <w:b/>
        </w:rPr>
        <w:t xml:space="preserve">Analysis of vancomycin entry into pulmonary lining fluid by bronchoalveolar lavage in critically ill patients.  </w:t>
      </w:r>
      <w:r w:rsidRPr="002F09C4">
        <w:rPr>
          <w:i/>
        </w:rPr>
        <w:t xml:space="preserve">Antimicrob Agents Chemother </w:t>
      </w:r>
      <w:r w:rsidRPr="002F09C4">
        <w:t xml:space="preserve">1993, </w:t>
      </w:r>
      <w:r w:rsidRPr="002F09C4">
        <w:rPr>
          <w:b/>
        </w:rPr>
        <w:t>37:</w:t>
      </w:r>
      <w:r w:rsidRPr="002F09C4">
        <w:t>281-286.</w:t>
      </w:r>
    </w:p>
    <w:p w14:paraId="52C31D6E" w14:textId="77777777" w:rsidR="00AA45A8" w:rsidRPr="002F09C4" w:rsidRDefault="00AA45A8" w:rsidP="00AA45A8">
      <w:pPr>
        <w:tabs>
          <w:tab w:val="left" w:pos="450"/>
        </w:tabs>
        <w:spacing w:after="0" w:line="240" w:lineRule="auto"/>
        <w:ind w:left="450" w:hanging="450"/>
      </w:pPr>
      <w:r w:rsidRPr="002F09C4">
        <w:t>46.</w:t>
      </w:r>
      <w:r w:rsidRPr="002F09C4">
        <w:tab/>
        <w:t xml:space="preserve">Boselli E, Breilh D, Rimmele T, Djabarouti S, Toutain J, Chassard D, Saux M-C, Allaouchiche B.  </w:t>
      </w:r>
      <w:r w:rsidRPr="002F09C4">
        <w:rPr>
          <w:b/>
        </w:rPr>
        <w:t xml:space="preserve">Pharmacokinetics and intrapulmonary concentrations of linezolid administered to critically ill patients with ventilator-associated pneumonia.  </w:t>
      </w:r>
      <w:r w:rsidRPr="002F09C4">
        <w:rPr>
          <w:i/>
        </w:rPr>
        <w:t xml:space="preserve">Crit Care Med </w:t>
      </w:r>
      <w:r w:rsidRPr="002F09C4">
        <w:t xml:space="preserve">2005, </w:t>
      </w:r>
      <w:r w:rsidRPr="002F09C4">
        <w:rPr>
          <w:b/>
        </w:rPr>
        <w:t>33:</w:t>
      </w:r>
      <w:r w:rsidRPr="002F09C4">
        <w:t>1529-1533.</w:t>
      </w:r>
    </w:p>
    <w:p w14:paraId="224CD789" w14:textId="77777777" w:rsidR="00AA45A8" w:rsidRPr="002F09C4" w:rsidRDefault="00AA45A8" w:rsidP="00AA45A8">
      <w:pPr>
        <w:tabs>
          <w:tab w:val="left" w:pos="450"/>
        </w:tabs>
        <w:spacing w:after="0" w:line="240" w:lineRule="auto"/>
        <w:ind w:left="450" w:hanging="450"/>
      </w:pPr>
      <w:r w:rsidRPr="002F09C4">
        <w:t>47.</w:t>
      </w:r>
      <w:r w:rsidRPr="002F09C4">
        <w:tab/>
        <w:t xml:space="preserve">Boselli E, Breilh D, Caillault-Sergent A, Djabarouti S, Guillaume C, Xuereb F, Bouvet L, Rimmele T, Saux M-C, Allaouchiche B.  </w:t>
      </w:r>
      <w:r w:rsidRPr="002F09C4">
        <w:rPr>
          <w:b/>
        </w:rPr>
        <w:t xml:space="preserve">Alveolar diffusion and pharmacokinetics of linezolid administered in continuous infusion to critically ill patients with ventilator-associated pneumonia.  </w:t>
      </w:r>
      <w:r w:rsidRPr="002F09C4">
        <w:rPr>
          <w:i/>
        </w:rPr>
        <w:t xml:space="preserve">J Antimicrob Chemother </w:t>
      </w:r>
      <w:r w:rsidRPr="002F09C4">
        <w:t xml:space="preserve">2012, </w:t>
      </w:r>
      <w:r w:rsidRPr="002F09C4">
        <w:rPr>
          <w:b/>
        </w:rPr>
        <w:t>67:</w:t>
      </w:r>
      <w:r w:rsidRPr="002F09C4">
        <w:t>1207-1210.</w:t>
      </w:r>
    </w:p>
    <w:p w14:paraId="78F55CB0" w14:textId="77777777" w:rsidR="00AA45A8" w:rsidRPr="002F09C4" w:rsidRDefault="00AA45A8" w:rsidP="00AA45A8">
      <w:pPr>
        <w:tabs>
          <w:tab w:val="left" w:pos="450"/>
        </w:tabs>
        <w:spacing w:after="0" w:line="240" w:lineRule="auto"/>
        <w:ind w:left="450" w:hanging="450"/>
      </w:pPr>
      <w:r w:rsidRPr="002F09C4">
        <w:t>48.</w:t>
      </w:r>
      <w:r w:rsidRPr="002F09C4">
        <w:tab/>
        <w:t xml:space="preserve">De Pascale G, Fortuna S, Tumbarello M, Cutuli SL, Vallecoccia M, Spanu T, Bello G, Montini L, Pennisi MA, Navarra P, Antonelli M.  </w:t>
      </w:r>
      <w:r w:rsidRPr="002F09C4">
        <w:rPr>
          <w:b/>
        </w:rPr>
        <w:t xml:space="preserve">Linezolid plasma and intrapulmonary concentrations in critically ill obese patients with ventilator-associated pneumonia: intermittent vs continuous administration.  </w:t>
      </w:r>
      <w:r w:rsidRPr="002F09C4">
        <w:rPr>
          <w:i/>
        </w:rPr>
        <w:t xml:space="preserve">Intensive Care Med </w:t>
      </w:r>
      <w:r w:rsidRPr="002F09C4">
        <w:t xml:space="preserve">2015, </w:t>
      </w:r>
      <w:r w:rsidRPr="002F09C4">
        <w:rPr>
          <w:b/>
        </w:rPr>
        <w:t>41:</w:t>
      </w:r>
      <w:r w:rsidRPr="002F09C4">
        <w:t>103-110.</w:t>
      </w:r>
    </w:p>
    <w:p w14:paraId="77F1B56F" w14:textId="77777777" w:rsidR="00AA45A8" w:rsidRPr="002F09C4" w:rsidRDefault="00AA45A8" w:rsidP="00AA45A8">
      <w:pPr>
        <w:tabs>
          <w:tab w:val="left" w:pos="450"/>
        </w:tabs>
        <w:spacing w:after="0" w:line="240" w:lineRule="auto"/>
        <w:ind w:left="450" w:hanging="450"/>
      </w:pPr>
      <w:r w:rsidRPr="002F09C4">
        <w:t>49.</w:t>
      </w:r>
      <w:r w:rsidRPr="002F09C4">
        <w:tab/>
        <w:t xml:space="preserve">Felton TW, Hope WW, Roberts JA. </w:t>
      </w:r>
      <w:r w:rsidRPr="002F09C4">
        <w:rPr>
          <w:b/>
        </w:rPr>
        <w:t>How severe is antibiotic pharmacokinetic variability in critically ill patients and what can be done about it?</w:t>
      </w:r>
      <w:r w:rsidRPr="002F09C4">
        <w:t xml:space="preserve"> </w:t>
      </w:r>
      <w:r w:rsidRPr="002F09C4">
        <w:rPr>
          <w:i/>
        </w:rPr>
        <w:t>Diagn Microbiol Infect Dis</w:t>
      </w:r>
      <w:r w:rsidRPr="002F09C4">
        <w:t xml:space="preserve"> 2014, </w:t>
      </w:r>
      <w:r w:rsidRPr="002F09C4">
        <w:rPr>
          <w:b/>
        </w:rPr>
        <w:t>79</w:t>
      </w:r>
      <w:r w:rsidRPr="002F09C4">
        <w:t>:41-447.</w:t>
      </w:r>
    </w:p>
    <w:p w14:paraId="0ECA59F0" w14:textId="77777777" w:rsidR="00AA45A8" w:rsidRPr="002F09C4" w:rsidRDefault="00AA45A8" w:rsidP="00AA45A8">
      <w:pPr>
        <w:tabs>
          <w:tab w:val="left" w:pos="450"/>
        </w:tabs>
        <w:spacing w:after="0" w:line="240" w:lineRule="auto"/>
        <w:ind w:left="450" w:hanging="450"/>
      </w:pPr>
      <w:r w:rsidRPr="002F09C4">
        <w:t>50.</w:t>
      </w:r>
      <w:r w:rsidRPr="002F09C4">
        <w:tab/>
        <w:t xml:space="preserve">Asin-Prieto E, Rodriguez-Gascon A, Isla A. </w:t>
      </w:r>
      <w:r w:rsidRPr="002F09C4">
        <w:rPr>
          <w:b/>
        </w:rPr>
        <w:t>Applications of the pharmacokinetic/pharmacodynamics (PK/PD) analysis of antimicrobial agents.</w:t>
      </w:r>
      <w:r w:rsidRPr="002F09C4">
        <w:t xml:space="preserve"> </w:t>
      </w:r>
      <w:r w:rsidRPr="002F09C4">
        <w:rPr>
          <w:i/>
        </w:rPr>
        <w:t>J Infect Chemother</w:t>
      </w:r>
      <w:r w:rsidRPr="002F09C4">
        <w:t xml:space="preserve"> 2015, </w:t>
      </w:r>
      <w:r w:rsidRPr="002F09C4">
        <w:rPr>
          <w:b/>
        </w:rPr>
        <w:t>21</w:t>
      </w:r>
      <w:r w:rsidRPr="002F09C4">
        <w:t>:319-329.</w:t>
      </w:r>
    </w:p>
    <w:p w14:paraId="03E91459" w14:textId="77777777" w:rsidR="00AA45A8" w:rsidRPr="002F09C4" w:rsidRDefault="00AA45A8" w:rsidP="00AA45A8">
      <w:pPr>
        <w:tabs>
          <w:tab w:val="left" w:pos="450"/>
        </w:tabs>
        <w:spacing w:after="0" w:line="240" w:lineRule="auto"/>
        <w:ind w:left="450" w:hanging="450"/>
      </w:pPr>
      <w:r w:rsidRPr="002F09C4">
        <w:t>51.</w:t>
      </w:r>
      <w:r w:rsidRPr="002F09C4">
        <w:tab/>
        <w:t xml:space="preserve">Tangden T, Ramow Martin V, Felton TW, Nielsen EI, Marchand S, Bruggemann RJ, Bulitta JB, Bassetti M, Theuretzbacher U, Tsuji BT, Wareham DW, Friberg LE, De Waele JJ, Tam VH, Roberts JA. </w:t>
      </w:r>
      <w:r w:rsidRPr="002F09C4">
        <w:rPr>
          <w:b/>
        </w:rPr>
        <w:t>The role of infection models and PK/PD modelling for optimizing care of critically ill patients with severe infections.</w:t>
      </w:r>
      <w:r w:rsidRPr="002F09C4">
        <w:t xml:space="preserve">  </w:t>
      </w:r>
      <w:r w:rsidRPr="002F09C4">
        <w:rPr>
          <w:i/>
        </w:rPr>
        <w:t>Intensive Care Med</w:t>
      </w:r>
      <w:r w:rsidRPr="002F09C4">
        <w:t xml:space="preserve"> 2017, </w:t>
      </w:r>
      <w:r w:rsidRPr="002F09C4">
        <w:rPr>
          <w:b/>
        </w:rPr>
        <w:t>43</w:t>
      </w:r>
      <w:r w:rsidRPr="002F09C4">
        <w:t>:1021-1032.</w:t>
      </w:r>
    </w:p>
    <w:p w14:paraId="1FBE4ABD" w14:textId="77777777" w:rsidR="00AA45A8" w:rsidRPr="002F09C4" w:rsidRDefault="00AA45A8" w:rsidP="00AA45A8">
      <w:pPr>
        <w:tabs>
          <w:tab w:val="left" w:pos="450"/>
        </w:tabs>
        <w:spacing w:after="0" w:line="240" w:lineRule="auto"/>
        <w:ind w:left="450" w:hanging="450"/>
      </w:pPr>
      <w:r w:rsidRPr="002F09C4">
        <w:t>52.</w:t>
      </w:r>
      <w:r w:rsidRPr="002F09C4">
        <w:tab/>
        <w:t xml:space="preserve">Mimoz O, Dahyot-Fizelier C. </w:t>
      </w:r>
      <w:r w:rsidRPr="002F09C4">
        <w:rPr>
          <w:b/>
        </w:rPr>
        <w:t>Mini-broncho-alveolar lavage: a simple and promising method for assessment of antibiotic concentration in epithelial lining fluid.</w:t>
      </w:r>
      <w:r w:rsidRPr="002F09C4">
        <w:t xml:space="preserve">  </w:t>
      </w:r>
      <w:r w:rsidRPr="002F09C4">
        <w:rPr>
          <w:i/>
        </w:rPr>
        <w:t>Intensive Care Med</w:t>
      </w:r>
      <w:r w:rsidRPr="002F09C4">
        <w:t xml:space="preserve"> 2007, </w:t>
      </w:r>
      <w:r w:rsidRPr="002F09C4">
        <w:rPr>
          <w:b/>
        </w:rPr>
        <w:t>33</w:t>
      </w:r>
      <w:r w:rsidRPr="002F09C4">
        <w:t>:1495-1497.</w:t>
      </w:r>
    </w:p>
    <w:p w14:paraId="6245F52C" w14:textId="77777777" w:rsidR="00AA45A8" w:rsidRPr="002F09C4" w:rsidRDefault="00AA45A8" w:rsidP="00AA45A8">
      <w:pPr>
        <w:tabs>
          <w:tab w:val="left" w:pos="450"/>
        </w:tabs>
        <w:spacing w:after="0" w:line="240" w:lineRule="auto"/>
        <w:ind w:left="446" w:hanging="446"/>
      </w:pPr>
      <w:r w:rsidRPr="002F09C4">
        <w:t>53.</w:t>
      </w:r>
      <w:r w:rsidRPr="002F09C4">
        <w:tab/>
        <w:t xml:space="preserve">Herkner H, Muller MR, Kreischitz N, Mayer BX, Frossard M, Joukhadar C, Klein N, Lackner E, and Muller M. </w:t>
      </w:r>
      <w:r w:rsidRPr="002F09C4">
        <w:rPr>
          <w:b/>
        </w:rPr>
        <w:t>Close-chest microdialysis to measure antibiotic penetration into human lung tissue.</w:t>
      </w:r>
      <w:r w:rsidRPr="002F09C4">
        <w:t xml:space="preserve">  </w:t>
      </w:r>
      <w:r w:rsidRPr="002F09C4">
        <w:rPr>
          <w:i/>
        </w:rPr>
        <w:t xml:space="preserve">Intensive Care Med </w:t>
      </w:r>
      <w:r w:rsidRPr="002F09C4">
        <w:t xml:space="preserve">2007, </w:t>
      </w:r>
      <w:r w:rsidRPr="002F09C4">
        <w:rPr>
          <w:b/>
        </w:rPr>
        <w:t>33</w:t>
      </w:r>
      <w:r w:rsidRPr="002F09C4">
        <w:t>:1519-1523.</w:t>
      </w:r>
    </w:p>
    <w:p w14:paraId="30DB81E3" w14:textId="77777777" w:rsidR="00AA45A8" w:rsidRPr="002F09C4" w:rsidRDefault="00AA45A8" w:rsidP="00AA45A8">
      <w:pPr>
        <w:tabs>
          <w:tab w:val="left" w:pos="450"/>
        </w:tabs>
        <w:spacing w:after="0" w:line="240" w:lineRule="auto"/>
        <w:ind w:left="446" w:hanging="446"/>
      </w:pPr>
      <w:r w:rsidRPr="002F09C4">
        <w:t>54.</w:t>
      </w:r>
      <w:r w:rsidRPr="002F09C4">
        <w:tab/>
        <w:t xml:space="preserve">Lindenmann J, Kugler SA, Matzi V, Porubsky C, Maier A, Dittrich P, Graninger W, Smolle-Juttner FM, Joukhadar C.  </w:t>
      </w:r>
      <w:r w:rsidRPr="002F09C4">
        <w:rPr>
          <w:b/>
        </w:rPr>
        <w:t xml:space="preserve">High extracellular levels of cefpirome in unaffected and infected lung tissues of patients.  </w:t>
      </w:r>
      <w:r w:rsidRPr="002F09C4">
        <w:rPr>
          <w:i/>
        </w:rPr>
        <w:t xml:space="preserve">J Antimicrob Chemother </w:t>
      </w:r>
      <w:r w:rsidRPr="002F09C4">
        <w:t xml:space="preserve">2011, </w:t>
      </w:r>
      <w:r w:rsidRPr="002F09C4">
        <w:rPr>
          <w:b/>
        </w:rPr>
        <w:t>66</w:t>
      </w:r>
      <w:r w:rsidRPr="002F09C4">
        <w:t>:160-164.</w:t>
      </w:r>
    </w:p>
    <w:p w14:paraId="7012A054" w14:textId="77777777" w:rsidR="00AA45A8" w:rsidRPr="002F09C4" w:rsidRDefault="00AA45A8" w:rsidP="00AA45A8">
      <w:pPr>
        <w:tabs>
          <w:tab w:val="left" w:pos="450"/>
        </w:tabs>
        <w:spacing w:after="0" w:line="240" w:lineRule="auto"/>
        <w:ind w:left="446" w:hanging="446"/>
      </w:pPr>
      <w:r w:rsidRPr="002F09C4">
        <w:t>55.</w:t>
      </w:r>
      <w:r w:rsidRPr="002F09C4">
        <w:tab/>
        <w:t xml:space="preserve">Tomaselli F, Dittrich P, Maier A, Woltsche M, Matzi V, Pinter J, Nuhsbaumer S, Pinter H, Smolle J, Smolle-Juttner FM.  </w:t>
      </w:r>
      <w:r w:rsidRPr="002F09C4">
        <w:rPr>
          <w:b/>
        </w:rPr>
        <w:t xml:space="preserve">Penetration of piperacillin and tazobactam into pneumonic human lung tissue measured by </w:t>
      </w:r>
      <w:r w:rsidRPr="002F09C4">
        <w:rPr>
          <w:b/>
          <w:i/>
        </w:rPr>
        <w:t xml:space="preserve">in vivo </w:t>
      </w:r>
      <w:r w:rsidRPr="002F09C4">
        <w:rPr>
          <w:b/>
        </w:rPr>
        <w:t xml:space="preserve">microdialysis.  </w:t>
      </w:r>
      <w:r w:rsidRPr="002F09C4">
        <w:rPr>
          <w:i/>
        </w:rPr>
        <w:t xml:space="preserve">Br J Clin Pharmacol </w:t>
      </w:r>
      <w:r w:rsidRPr="002F09C4">
        <w:t xml:space="preserve">2003, </w:t>
      </w:r>
      <w:r w:rsidRPr="002F09C4">
        <w:rPr>
          <w:b/>
        </w:rPr>
        <w:t>55</w:t>
      </w:r>
      <w:r w:rsidRPr="002F09C4">
        <w:t>:620-624.</w:t>
      </w:r>
    </w:p>
    <w:p w14:paraId="159D9F91" w14:textId="77777777" w:rsidR="00AA45A8" w:rsidRPr="002F09C4" w:rsidRDefault="00AA45A8" w:rsidP="00AA45A8">
      <w:pPr>
        <w:tabs>
          <w:tab w:val="left" w:pos="450"/>
        </w:tabs>
        <w:spacing w:after="0" w:line="240" w:lineRule="auto"/>
        <w:ind w:left="446" w:hanging="446"/>
      </w:pPr>
      <w:r w:rsidRPr="002F09C4">
        <w:lastRenderedPageBreak/>
        <w:t>56.</w:t>
      </w:r>
      <w:r w:rsidRPr="002F09C4">
        <w:tab/>
        <w:t xml:space="preserve">Tomaselli F, Maier A, Matzi V, Smolle-Juttner FM, Dittrich P.  </w:t>
      </w:r>
      <w:r w:rsidRPr="002F09C4">
        <w:rPr>
          <w:b/>
        </w:rPr>
        <w:t xml:space="preserve">Penetration of meropenem into pneumonic human lung tissue as measured by </w:t>
      </w:r>
      <w:r w:rsidRPr="002F09C4">
        <w:rPr>
          <w:b/>
          <w:i/>
        </w:rPr>
        <w:t xml:space="preserve">in vivo </w:t>
      </w:r>
      <w:r w:rsidRPr="002F09C4">
        <w:rPr>
          <w:b/>
        </w:rPr>
        <w:t xml:space="preserve">microdialysis.  </w:t>
      </w:r>
      <w:r w:rsidRPr="002F09C4">
        <w:rPr>
          <w:i/>
        </w:rPr>
        <w:t xml:space="preserve">Antimicrob Agents Chemother </w:t>
      </w:r>
      <w:r w:rsidRPr="002F09C4">
        <w:t xml:space="preserve">2004, </w:t>
      </w:r>
      <w:r w:rsidRPr="002F09C4">
        <w:rPr>
          <w:b/>
        </w:rPr>
        <w:t>48</w:t>
      </w:r>
      <w:r w:rsidRPr="002F09C4">
        <w:t>:2228-2232.</w:t>
      </w:r>
    </w:p>
    <w:p w14:paraId="5AFF4AA0" w14:textId="77777777" w:rsidR="00AA45A8" w:rsidRPr="002F09C4" w:rsidRDefault="00AA45A8" w:rsidP="00AA45A8">
      <w:pPr>
        <w:tabs>
          <w:tab w:val="left" w:pos="450"/>
        </w:tabs>
        <w:spacing w:after="0" w:line="240" w:lineRule="auto"/>
        <w:ind w:left="446" w:hanging="446"/>
      </w:pPr>
      <w:r w:rsidRPr="002F09C4">
        <w:t>57.</w:t>
      </w:r>
      <w:r w:rsidRPr="002F09C4">
        <w:tab/>
        <w:t xml:space="preserve">Hutschala D, Skhirtladze K, Zuckermann A, Wisser W, Jaksch P, Mayer-Helm BX, Burgmann H, Wolner E, Muller M, Tschernko EM.  </w:t>
      </w:r>
      <w:r w:rsidRPr="002F09C4">
        <w:rPr>
          <w:b/>
        </w:rPr>
        <w:t xml:space="preserve">In vivo measurement of levofloxacin penetration into lung tissue after cardiac surgery.  </w:t>
      </w:r>
      <w:r w:rsidRPr="002F09C4">
        <w:rPr>
          <w:i/>
        </w:rPr>
        <w:t xml:space="preserve">Antimicrob Agents Chemother </w:t>
      </w:r>
      <w:r w:rsidRPr="002F09C4">
        <w:t xml:space="preserve">2005, </w:t>
      </w:r>
      <w:r w:rsidRPr="002F09C4">
        <w:rPr>
          <w:b/>
        </w:rPr>
        <w:t>49</w:t>
      </w:r>
      <w:r w:rsidRPr="002F09C4">
        <w:t>:5107-5111.</w:t>
      </w:r>
    </w:p>
    <w:p w14:paraId="0EDECADF" w14:textId="77777777" w:rsidR="00AA45A8" w:rsidRPr="002F09C4" w:rsidRDefault="00AA45A8" w:rsidP="00AA45A8">
      <w:pPr>
        <w:tabs>
          <w:tab w:val="left" w:pos="450"/>
        </w:tabs>
        <w:spacing w:after="0" w:line="240" w:lineRule="auto"/>
        <w:ind w:left="446" w:hanging="446"/>
        <w:rPr>
          <w:b/>
        </w:rPr>
      </w:pPr>
      <w:r w:rsidRPr="002F09C4">
        <w:t>58.</w:t>
      </w:r>
      <w:r w:rsidRPr="002F09C4">
        <w:tab/>
        <w:t xml:space="preserve">Hutschala D, Kinstner C, Skhirtladze K, Mayer-Helm B-X, Zeitlilnger M, Wisser W, Muller M, Tschernko E.  </w:t>
      </w:r>
      <w:r w:rsidRPr="002F09C4">
        <w:rPr>
          <w:b/>
        </w:rPr>
        <w:t xml:space="preserve">The impact of perioperative atelectasis on antibiotic penetration into lung tissue: an in vivo microdialysis study.  </w:t>
      </w:r>
      <w:r w:rsidRPr="002F09C4">
        <w:rPr>
          <w:i/>
        </w:rPr>
        <w:t xml:space="preserve">Intensive Care Med </w:t>
      </w:r>
      <w:r w:rsidRPr="002F09C4">
        <w:t xml:space="preserve">2008, </w:t>
      </w:r>
      <w:r w:rsidRPr="002F09C4">
        <w:rPr>
          <w:b/>
        </w:rPr>
        <w:t>34</w:t>
      </w:r>
      <w:r w:rsidRPr="002F09C4">
        <w:t>:1827-1834.</w:t>
      </w:r>
    </w:p>
    <w:p w14:paraId="14199253" w14:textId="77777777" w:rsidR="00AA45A8" w:rsidRPr="002F09C4" w:rsidRDefault="00AA45A8" w:rsidP="003D0092">
      <w:pPr>
        <w:tabs>
          <w:tab w:val="left" w:pos="450"/>
        </w:tabs>
        <w:spacing w:after="0" w:line="240" w:lineRule="auto"/>
        <w:ind w:left="446" w:hanging="446"/>
      </w:pPr>
      <w:r w:rsidRPr="002F09C4">
        <w:t>59.</w:t>
      </w:r>
      <w:r w:rsidRPr="002F09C4">
        <w:tab/>
        <w:t xml:space="preserve">Zeitlinger MA, Traunmuller F, Abrahim A, Muller MR, Erdogan Z, Muller M, Joukhadar C.  </w:t>
      </w:r>
      <w:r w:rsidRPr="002F09C4">
        <w:rPr>
          <w:b/>
        </w:rPr>
        <w:t xml:space="preserve">A pilot study testing whether concentrations of levofloxacin in interstitial space fluid of soft tissues may serve as a surrogate for predicting its pharmacokinetics in lung.  </w:t>
      </w:r>
      <w:r w:rsidRPr="002F09C4">
        <w:rPr>
          <w:i/>
        </w:rPr>
        <w:t xml:space="preserve">Int J Antimicrob Agents </w:t>
      </w:r>
      <w:r w:rsidRPr="002F09C4">
        <w:t xml:space="preserve">2007, </w:t>
      </w:r>
      <w:r w:rsidRPr="002F09C4">
        <w:rPr>
          <w:b/>
        </w:rPr>
        <w:t>29</w:t>
      </w:r>
      <w:r w:rsidRPr="002F09C4">
        <w:t>:44-50.</w:t>
      </w:r>
    </w:p>
    <w:p w14:paraId="19F7967F" w14:textId="009E3136" w:rsidR="007E53A7" w:rsidRPr="002F09C4" w:rsidRDefault="00A649D2" w:rsidP="003D0092">
      <w:pPr>
        <w:tabs>
          <w:tab w:val="left" w:pos="450"/>
        </w:tabs>
        <w:spacing w:after="0" w:line="240" w:lineRule="auto"/>
        <w:ind w:left="446" w:hanging="446"/>
      </w:pPr>
      <w:r w:rsidRPr="002F09C4">
        <w:t>60.</w:t>
      </w:r>
      <w:r w:rsidRPr="002F09C4">
        <w:tab/>
      </w:r>
      <w:r w:rsidR="00AA45A8" w:rsidRPr="002F09C4">
        <w:t xml:space="preserve">Matzi V, Lindenmann J, Porubsky C, Kugler SA, Maier A, Ditrich P, Smolle-Juttner FM, Joukhadar C.  </w:t>
      </w:r>
      <w:r w:rsidR="00AA45A8" w:rsidRPr="002F09C4">
        <w:rPr>
          <w:b/>
        </w:rPr>
        <w:t xml:space="preserve">Extracellular concentrations of fosfomycin in lung tissues of septic patients.  </w:t>
      </w:r>
      <w:r w:rsidR="00AA45A8" w:rsidRPr="002F09C4">
        <w:rPr>
          <w:i/>
        </w:rPr>
        <w:t xml:space="preserve">J Antimicrob Chemother </w:t>
      </w:r>
      <w:r w:rsidR="00AA45A8" w:rsidRPr="002F09C4">
        <w:t xml:space="preserve">2010, </w:t>
      </w:r>
      <w:r w:rsidR="00AA45A8" w:rsidRPr="002F09C4">
        <w:rPr>
          <w:b/>
        </w:rPr>
        <w:t>65</w:t>
      </w:r>
      <w:r w:rsidR="00AA45A8" w:rsidRPr="002F09C4">
        <w:t>:995-998.</w:t>
      </w:r>
    </w:p>
    <w:p w14:paraId="0087B90B" w14:textId="4A3D1CAE" w:rsidR="00A649D2" w:rsidRPr="002F09C4" w:rsidRDefault="00A649D2" w:rsidP="003D0092">
      <w:pPr>
        <w:tabs>
          <w:tab w:val="left" w:pos="450"/>
        </w:tabs>
        <w:spacing w:after="0" w:line="240" w:lineRule="auto"/>
        <w:ind w:left="446" w:hanging="446"/>
      </w:pPr>
      <w:r w:rsidRPr="002F09C4">
        <w:t>61.</w:t>
      </w:r>
      <w:r w:rsidRPr="002F09C4">
        <w:tab/>
      </w:r>
      <w:r w:rsidRPr="002F09C4">
        <w:rPr>
          <w:lang w:val="en-IE"/>
        </w:rPr>
        <w:t xml:space="preserve">Prideaux B, ElNaggar MS, Zimmerman M, Wideman JM, Li X, Dartois V. </w:t>
      </w:r>
      <w:r w:rsidRPr="002F09C4">
        <w:rPr>
          <w:b/>
          <w:lang w:val="en-IE"/>
        </w:rPr>
        <w:t>Mass spectrometry imaging                of levofloxacin distribution in TB-infected pulmonary lesions by MALDI-MSI and continuous liquid microjunction surface sampling.</w:t>
      </w:r>
      <w:r w:rsidRPr="002F09C4">
        <w:rPr>
          <w:lang w:val="en-IE"/>
        </w:rPr>
        <w:t xml:space="preserve"> </w:t>
      </w:r>
      <w:r w:rsidRPr="002F09C4">
        <w:rPr>
          <w:i/>
          <w:lang w:val="en-IE"/>
        </w:rPr>
        <w:t>Int J Mass Spectrom</w:t>
      </w:r>
      <w:r w:rsidRPr="002F09C4">
        <w:rPr>
          <w:lang w:val="en-IE"/>
        </w:rPr>
        <w:t>. 2015; 377: 699-708.</w:t>
      </w:r>
    </w:p>
    <w:p w14:paraId="68C5A464" w14:textId="22B97CD1" w:rsidR="003D0092" w:rsidRPr="002F09C4" w:rsidRDefault="003D0092" w:rsidP="001C156C">
      <w:pPr>
        <w:spacing w:line="240" w:lineRule="auto"/>
        <w:ind w:left="446" w:hanging="446"/>
        <w:rPr>
          <w:lang w:val="en-IE"/>
        </w:rPr>
      </w:pPr>
      <w:r w:rsidRPr="002F09C4">
        <w:rPr>
          <w:lang w:val="en-IE"/>
        </w:rPr>
        <w:t>62.</w:t>
      </w:r>
      <w:r w:rsidRPr="002F09C4">
        <w:rPr>
          <w:lang w:val="en-IE"/>
        </w:rPr>
        <w:tab/>
        <w:t xml:space="preserve">Zhao Y, Prideaux B, Nagasaki Y, Lee MH, Chen PY, Blanc L, Ho H, Clancy CJ, Nguyen MH, Dartois,         Perlin DS. </w:t>
      </w:r>
      <w:r w:rsidRPr="002F09C4">
        <w:rPr>
          <w:b/>
          <w:lang w:val="en-IE"/>
        </w:rPr>
        <w:t>Unravelling Drug Penetration of Echinocandin Antifungals at the Site of Infection in an Intra-Abdominal Abscess Model.</w:t>
      </w:r>
      <w:r w:rsidRPr="002F09C4">
        <w:rPr>
          <w:lang w:val="en-IE"/>
        </w:rPr>
        <w:t xml:space="preserve"> </w:t>
      </w:r>
      <w:r w:rsidRPr="002F09C4">
        <w:rPr>
          <w:i/>
          <w:lang w:val="en-IE"/>
        </w:rPr>
        <w:t>Antimicrob Agents Chemother.</w:t>
      </w:r>
      <w:r w:rsidRPr="002F09C4">
        <w:rPr>
          <w:lang w:val="en-IE"/>
        </w:rPr>
        <w:t xml:space="preserve"> 2017. Doi: 10.1128/AAC.01009-17. [Epub ahead of print]</w:t>
      </w:r>
    </w:p>
    <w:p w14:paraId="40F61F6A" w14:textId="10C81ACF" w:rsidR="003D0092" w:rsidRPr="002F09C4" w:rsidRDefault="003D0092" w:rsidP="001C156C">
      <w:pPr>
        <w:spacing w:line="240" w:lineRule="auto"/>
        <w:ind w:left="446" w:hanging="446"/>
        <w:rPr>
          <w:lang w:val="en-IE"/>
        </w:rPr>
      </w:pPr>
      <w:r w:rsidRPr="002F09C4">
        <w:rPr>
          <w:lang w:val="en-IE"/>
        </w:rPr>
        <w:t>63.</w:t>
      </w:r>
      <w:r w:rsidRPr="002F09C4">
        <w:rPr>
          <w:lang w:val="en-IE"/>
        </w:rPr>
        <w:tab/>
        <w:t xml:space="preserve">Zhang Z, Gogarty KR, Fereidoon D, Tonge PJ. </w:t>
      </w:r>
      <w:r w:rsidRPr="002F09C4">
        <w:rPr>
          <w:b/>
          <w:lang w:val="en-IE"/>
        </w:rPr>
        <w:t>Pharmacokinetic and Pharmacodynamics Relationships</w:t>
      </w:r>
      <w:r w:rsidRPr="002F09C4">
        <w:rPr>
          <w:lang w:val="en-IE"/>
        </w:rPr>
        <w:t xml:space="preserve">. In: </w:t>
      </w:r>
      <w:r w:rsidRPr="002F09C4">
        <w:rPr>
          <w:i/>
          <w:lang w:val="en-IE"/>
        </w:rPr>
        <w:t>Imaging Infections</w:t>
      </w:r>
      <w:r w:rsidRPr="002F09C4">
        <w:rPr>
          <w:lang w:val="en-IE"/>
        </w:rPr>
        <w:t>. Edited by Jain S. Springer, Cham; 2017: 195-207.</w:t>
      </w:r>
    </w:p>
    <w:p w14:paraId="30A6A96E" w14:textId="04BEAC0B" w:rsidR="001C156C" w:rsidRPr="002F09C4" w:rsidRDefault="001C156C" w:rsidP="001C156C">
      <w:pPr>
        <w:spacing w:line="240" w:lineRule="auto"/>
        <w:ind w:left="446" w:hanging="446"/>
        <w:rPr>
          <w:lang w:val="en-IE"/>
        </w:rPr>
      </w:pPr>
      <w:r w:rsidRPr="002F09C4">
        <w:rPr>
          <w:lang w:val="en-IE"/>
        </w:rPr>
        <w:t xml:space="preserve">64. </w:t>
      </w:r>
      <w:r w:rsidRPr="002F09C4">
        <w:rPr>
          <w:lang w:val="en-IE"/>
        </w:rPr>
        <w:tab/>
        <w:t xml:space="preserve">Arroyo-Currás N, Somerson J, Vieira PA, Ploense KL, Kippen TE, Plaxco KW. </w:t>
      </w:r>
      <w:r w:rsidRPr="002F09C4">
        <w:rPr>
          <w:b/>
          <w:lang w:val="en-IE"/>
        </w:rPr>
        <w:t>Real-time measurement of small molecules directly in awake, ambulatory animals.</w:t>
      </w:r>
      <w:r w:rsidRPr="002F09C4">
        <w:rPr>
          <w:lang w:val="en-IE"/>
        </w:rPr>
        <w:t xml:space="preserve"> </w:t>
      </w:r>
      <w:r w:rsidRPr="002F09C4">
        <w:rPr>
          <w:i/>
          <w:lang w:val="en-IE"/>
        </w:rPr>
        <w:t>Proc Natl Acad Sci</w:t>
      </w:r>
      <w:r w:rsidRPr="002F09C4">
        <w:rPr>
          <w:lang w:val="en-IE"/>
        </w:rPr>
        <w:t xml:space="preserve"> U.S.A. 2017; 114(4): 645-650</w:t>
      </w:r>
    </w:p>
    <w:p w14:paraId="0CE397A8" w14:textId="123DB06C" w:rsidR="00EF2B27" w:rsidRPr="002F09C4" w:rsidRDefault="00EF2B27" w:rsidP="00EF2B27">
      <w:pPr>
        <w:ind w:left="446" w:hanging="446"/>
        <w:rPr>
          <w:lang w:val="en-IE"/>
        </w:rPr>
      </w:pPr>
      <w:r w:rsidRPr="002F09C4">
        <w:rPr>
          <w:lang w:val="en-IE"/>
        </w:rPr>
        <w:t xml:space="preserve">65. </w:t>
      </w:r>
      <w:r w:rsidRPr="002F09C4">
        <w:rPr>
          <w:lang w:val="en-IE"/>
        </w:rPr>
        <w:tab/>
        <w:t xml:space="preserve">Rawson TM, Sharma S, Georgiou P, Holmes A, Cass A, O’Hare D. </w:t>
      </w:r>
      <w:r w:rsidRPr="002F09C4">
        <w:rPr>
          <w:b/>
          <w:lang w:val="en-IE"/>
        </w:rPr>
        <w:t>Towards a minimally invasive device for beta-lactam monitoring in humans.</w:t>
      </w:r>
      <w:r w:rsidRPr="002F09C4">
        <w:rPr>
          <w:lang w:val="en-IE"/>
        </w:rPr>
        <w:t xml:space="preserve"> </w:t>
      </w:r>
      <w:r w:rsidRPr="002F09C4">
        <w:rPr>
          <w:i/>
          <w:lang w:val="en-IE"/>
        </w:rPr>
        <w:t>Electrochemistry communications.</w:t>
      </w:r>
      <w:r w:rsidRPr="002F09C4">
        <w:rPr>
          <w:lang w:val="en-IE"/>
        </w:rPr>
        <w:t xml:space="preserve"> 2017; 88: 1-5 </w:t>
      </w:r>
    </w:p>
    <w:p w14:paraId="27334F5E" w14:textId="7678A1C9" w:rsidR="00EF2B27" w:rsidRPr="002F09C4" w:rsidRDefault="00EF2B27" w:rsidP="001C156C">
      <w:pPr>
        <w:spacing w:line="240" w:lineRule="auto"/>
        <w:ind w:left="446" w:hanging="446"/>
        <w:rPr>
          <w:lang w:val="en-IE"/>
        </w:rPr>
      </w:pPr>
    </w:p>
    <w:p w14:paraId="67B931B7" w14:textId="46B5345D" w:rsidR="001C156C" w:rsidRPr="002F09C4" w:rsidRDefault="001C156C" w:rsidP="001C156C">
      <w:pPr>
        <w:spacing w:line="240" w:lineRule="auto"/>
        <w:ind w:left="446" w:hanging="446"/>
        <w:rPr>
          <w:lang w:val="en-IE"/>
        </w:rPr>
      </w:pPr>
    </w:p>
    <w:p w14:paraId="527C2929" w14:textId="0043F2B9" w:rsidR="007E53A7" w:rsidRPr="002F09C4" w:rsidRDefault="007E53A7" w:rsidP="001C156C">
      <w:pPr>
        <w:tabs>
          <w:tab w:val="left" w:pos="450"/>
        </w:tabs>
        <w:spacing w:after="0" w:line="240" w:lineRule="auto"/>
        <w:ind w:left="446" w:hanging="446"/>
      </w:pPr>
    </w:p>
    <w:p w14:paraId="07A1C4D4" w14:textId="6408AD8A" w:rsidR="007E53A7" w:rsidRPr="002F09C4" w:rsidRDefault="007E53A7" w:rsidP="003D0092">
      <w:pPr>
        <w:tabs>
          <w:tab w:val="left" w:pos="450"/>
        </w:tabs>
        <w:spacing w:after="0" w:line="240" w:lineRule="auto"/>
        <w:ind w:left="446" w:hanging="446"/>
      </w:pPr>
    </w:p>
    <w:p w14:paraId="457029FF" w14:textId="77777777" w:rsidR="00AA45A8" w:rsidRPr="002F09C4" w:rsidRDefault="00AA45A8" w:rsidP="003D0092">
      <w:pPr>
        <w:spacing w:line="240" w:lineRule="auto"/>
      </w:pPr>
      <w:r w:rsidRPr="002F09C4">
        <w:br w:type="page"/>
      </w:r>
    </w:p>
    <w:p w14:paraId="7B07F64C" w14:textId="77777777" w:rsidR="00AA45A8" w:rsidRPr="002F09C4" w:rsidRDefault="00AA45A8" w:rsidP="00AA45A8">
      <w:pPr>
        <w:tabs>
          <w:tab w:val="left" w:pos="450"/>
        </w:tabs>
        <w:spacing w:after="0" w:line="240" w:lineRule="auto"/>
        <w:ind w:left="446" w:hanging="446"/>
      </w:pPr>
    </w:p>
    <w:p w14:paraId="4E964B72" w14:textId="77777777" w:rsidR="007E53A7" w:rsidRPr="002F09C4" w:rsidRDefault="007E53A7" w:rsidP="00AA45A8">
      <w:pPr>
        <w:tabs>
          <w:tab w:val="left" w:pos="450"/>
        </w:tabs>
        <w:spacing w:after="0" w:line="240" w:lineRule="auto"/>
        <w:ind w:left="446" w:hanging="446"/>
        <w:sectPr w:rsidR="007E53A7" w:rsidRPr="002F09C4">
          <w:headerReference w:type="default" r:id="rId8"/>
          <w:pgSz w:w="12240" w:h="15840"/>
          <w:pgMar w:top="1440" w:right="1440" w:bottom="1440" w:left="1440" w:header="720" w:footer="720" w:gutter="0"/>
          <w:cols w:space="720"/>
          <w:docGrid w:linePitch="360"/>
        </w:sectPr>
      </w:pPr>
    </w:p>
    <w:p w14:paraId="7B80B991" w14:textId="77777777" w:rsidR="00AA45A8" w:rsidRPr="002F09C4" w:rsidRDefault="00AA45A8" w:rsidP="00AA45A8">
      <w:pPr>
        <w:tabs>
          <w:tab w:val="left" w:pos="450"/>
        </w:tabs>
        <w:spacing w:after="0" w:line="240" w:lineRule="auto"/>
        <w:ind w:left="446" w:hanging="446"/>
      </w:pPr>
    </w:p>
    <w:p w14:paraId="145BE88A" w14:textId="77777777" w:rsidR="000C51B3" w:rsidRPr="002F09C4" w:rsidRDefault="00AA45A8" w:rsidP="008E5183">
      <w:pPr>
        <w:tabs>
          <w:tab w:val="left" w:pos="360"/>
        </w:tabs>
        <w:spacing w:after="0" w:line="480" w:lineRule="auto"/>
      </w:pPr>
      <w:r w:rsidRPr="002F09C4">
        <w:rPr>
          <w:b/>
          <w:noProof/>
          <w:lang w:val="en-GB" w:eastAsia="en-GB"/>
        </w:rPr>
        <w:drawing>
          <wp:anchor distT="0" distB="0" distL="114300" distR="114300" simplePos="0" relativeHeight="251658240" behindDoc="0" locked="0" layoutInCell="1" allowOverlap="1" wp14:anchorId="5ED05C5F" wp14:editId="7A74996D">
            <wp:simplePos x="0" y="0"/>
            <wp:positionH relativeFrom="margin">
              <wp:align>right</wp:align>
            </wp:positionH>
            <wp:positionV relativeFrom="paragraph">
              <wp:posOffset>812165</wp:posOffset>
            </wp:positionV>
            <wp:extent cx="8229600" cy="3970655"/>
            <wp:effectExtent l="0" t="0" r="0" b="0"/>
            <wp:wrapTopAndBottom/>
            <wp:docPr id="69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6"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3970655"/>
                    </a:xfrm>
                    <a:prstGeom prst="rect">
                      <a:avLst/>
                    </a:prstGeom>
                    <a:noFill/>
                    <a:ln>
                      <a:noFill/>
                    </a:ln>
                    <a:extLst/>
                  </pic:spPr>
                </pic:pic>
              </a:graphicData>
            </a:graphic>
          </wp:anchor>
        </w:drawing>
      </w:r>
      <w:r w:rsidRPr="002F09C4">
        <w:rPr>
          <w:b/>
        </w:rPr>
        <w:t>FIGURE 1</w:t>
      </w:r>
      <w:r w:rsidRPr="002F09C4">
        <w:t xml:space="preserve">  Strategies for defining dosing of antibiotics for infections in the lung</w:t>
      </w:r>
      <w:r w:rsidR="000C51B3" w:rsidRPr="002F09C4">
        <w:t xml:space="preserve"> [10]</w:t>
      </w:r>
    </w:p>
    <w:p w14:paraId="24F4A929" w14:textId="77777777" w:rsidR="000C51B3" w:rsidRPr="002F09C4" w:rsidRDefault="000C51B3">
      <w:r w:rsidRPr="002F09C4">
        <w:br w:type="page"/>
      </w:r>
    </w:p>
    <w:p w14:paraId="590A581E" w14:textId="77777777" w:rsidR="000C51B3" w:rsidRPr="002F09C4" w:rsidRDefault="000C51B3" w:rsidP="000C51B3">
      <w:pPr>
        <w:rPr>
          <w:b/>
        </w:rPr>
      </w:pPr>
      <w:r w:rsidRPr="002F09C4">
        <w:rPr>
          <w:b/>
        </w:rPr>
        <w:lastRenderedPageBreak/>
        <w:t>Table 1  Published studies on epithelial lining fluid concentrations of selected antibiotics in healthy adult subjects</w:t>
      </w:r>
    </w:p>
    <w:tbl>
      <w:tblPr>
        <w:tblStyle w:val="TableGrid"/>
        <w:tblW w:w="13590" w:type="dxa"/>
        <w:tblInd w:w="-185" w:type="dxa"/>
        <w:tblLayout w:type="fixed"/>
        <w:tblLook w:val="04A0" w:firstRow="1" w:lastRow="0" w:firstColumn="1" w:lastColumn="0" w:noHBand="0" w:noVBand="1"/>
      </w:tblPr>
      <w:tblGrid>
        <w:gridCol w:w="1980"/>
        <w:gridCol w:w="1980"/>
        <w:gridCol w:w="2565"/>
        <w:gridCol w:w="2565"/>
        <w:gridCol w:w="2250"/>
        <w:gridCol w:w="2250"/>
      </w:tblGrid>
      <w:tr w:rsidR="000C51B3" w:rsidRPr="002F09C4" w14:paraId="750B154F" w14:textId="77777777" w:rsidTr="00147876">
        <w:trPr>
          <w:trHeight w:val="540"/>
        </w:trPr>
        <w:tc>
          <w:tcPr>
            <w:tcW w:w="1980" w:type="dxa"/>
            <w:vAlign w:val="center"/>
          </w:tcPr>
          <w:p w14:paraId="7CE36903" w14:textId="77777777" w:rsidR="000C51B3" w:rsidRPr="002F09C4" w:rsidRDefault="000C51B3" w:rsidP="00147876">
            <w:pPr>
              <w:jc w:val="center"/>
              <w:rPr>
                <w:b/>
              </w:rPr>
            </w:pPr>
            <w:r w:rsidRPr="002F09C4">
              <w:rPr>
                <w:b/>
              </w:rPr>
              <w:t>Antibiotic</w:t>
            </w:r>
          </w:p>
        </w:tc>
        <w:tc>
          <w:tcPr>
            <w:tcW w:w="1980" w:type="dxa"/>
            <w:vAlign w:val="center"/>
          </w:tcPr>
          <w:p w14:paraId="3B408A6E" w14:textId="77777777" w:rsidR="000C51B3" w:rsidRPr="002F09C4" w:rsidRDefault="000C51B3" w:rsidP="00147876">
            <w:pPr>
              <w:jc w:val="center"/>
              <w:rPr>
                <w:b/>
              </w:rPr>
            </w:pPr>
            <w:r w:rsidRPr="002F09C4">
              <w:rPr>
                <w:b/>
              </w:rPr>
              <w:t>Dose</w:t>
            </w:r>
          </w:p>
        </w:tc>
        <w:tc>
          <w:tcPr>
            <w:tcW w:w="2565" w:type="dxa"/>
            <w:vAlign w:val="center"/>
          </w:tcPr>
          <w:p w14:paraId="360B7EFE" w14:textId="77777777" w:rsidR="000C51B3" w:rsidRPr="002F09C4" w:rsidRDefault="000C51B3" w:rsidP="00147876">
            <w:pPr>
              <w:jc w:val="center"/>
              <w:rPr>
                <w:b/>
              </w:rPr>
            </w:pPr>
            <w:r w:rsidRPr="002F09C4">
              <w:rPr>
                <w:b/>
              </w:rPr>
              <w:t>Penetration Ratio</w:t>
            </w:r>
          </w:p>
          <w:p w14:paraId="7213B8BA" w14:textId="77777777" w:rsidR="000C51B3" w:rsidRPr="002F09C4" w:rsidRDefault="000C51B3" w:rsidP="00147876">
            <w:pPr>
              <w:jc w:val="center"/>
              <w:rPr>
                <w:b/>
              </w:rPr>
            </w:pPr>
            <w:r w:rsidRPr="002F09C4">
              <w:rPr>
                <w:b/>
              </w:rPr>
              <w:t>(ELF-to-Total Plasma)</w:t>
            </w:r>
          </w:p>
        </w:tc>
        <w:tc>
          <w:tcPr>
            <w:tcW w:w="2565" w:type="dxa"/>
          </w:tcPr>
          <w:p w14:paraId="79A2AB55" w14:textId="77777777" w:rsidR="000C51B3" w:rsidRPr="002F09C4" w:rsidRDefault="000C51B3" w:rsidP="00147876">
            <w:pPr>
              <w:jc w:val="center"/>
              <w:rPr>
                <w:b/>
              </w:rPr>
            </w:pPr>
            <w:r w:rsidRPr="002F09C4">
              <w:rPr>
                <w:b/>
              </w:rPr>
              <w:t>Penetration Ratio</w:t>
            </w:r>
          </w:p>
          <w:p w14:paraId="7093CE24" w14:textId="77777777" w:rsidR="000C51B3" w:rsidRPr="002F09C4" w:rsidRDefault="000C51B3" w:rsidP="00147876">
            <w:pPr>
              <w:jc w:val="center"/>
              <w:rPr>
                <w:b/>
              </w:rPr>
            </w:pPr>
            <w:r w:rsidRPr="002F09C4">
              <w:rPr>
                <w:b/>
              </w:rPr>
              <w:t>(ELF-to-Unbound Plasma)</w:t>
            </w:r>
          </w:p>
        </w:tc>
        <w:tc>
          <w:tcPr>
            <w:tcW w:w="2250" w:type="dxa"/>
            <w:vAlign w:val="center"/>
          </w:tcPr>
          <w:p w14:paraId="71583B6D" w14:textId="77777777" w:rsidR="000C51B3" w:rsidRPr="002F09C4" w:rsidRDefault="000C51B3" w:rsidP="00147876">
            <w:pPr>
              <w:jc w:val="center"/>
              <w:rPr>
                <w:b/>
              </w:rPr>
            </w:pPr>
            <w:r w:rsidRPr="002F09C4">
              <w:rPr>
                <w:b/>
              </w:rPr>
              <w:t>AUC</w:t>
            </w:r>
            <w:r w:rsidRPr="002F09C4">
              <w:rPr>
                <w:b/>
                <w:vertAlign w:val="subscript"/>
              </w:rPr>
              <w:t>ELF</w:t>
            </w:r>
            <w:r w:rsidRPr="002F09C4">
              <w:rPr>
                <w:b/>
              </w:rPr>
              <w:t xml:space="preserve"> </w:t>
            </w:r>
          </w:p>
          <w:p w14:paraId="60ECCAA5" w14:textId="77777777" w:rsidR="000C51B3" w:rsidRPr="002F09C4" w:rsidRDefault="000C51B3" w:rsidP="00147876">
            <w:pPr>
              <w:jc w:val="center"/>
              <w:rPr>
                <w:b/>
              </w:rPr>
            </w:pPr>
            <w:r w:rsidRPr="002F09C4">
              <w:rPr>
                <w:b/>
              </w:rPr>
              <w:t>(µg</w:t>
            </w:r>
            <w:r w:rsidRPr="002F09C4">
              <w:rPr>
                <w:b/>
              </w:rPr>
              <w:sym w:font="Wingdings 2" w:char="F096"/>
            </w:r>
            <w:r w:rsidRPr="002F09C4">
              <w:rPr>
                <w:b/>
              </w:rPr>
              <w:t>h/mL)</w:t>
            </w:r>
          </w:p>
        </w:tc>
        <w:tc>
          <w:tcPr>
            <w:tcW w:w="2250" w:type="dxa"/>
            <w:vAlign w:val="center"/>
          </w:tcPr>
          <w:p w14:paraId="7726F421" w14:textId="77777777" w:rsidR="000C51B3" w:rsidRPr="002F09C4" w:rsidRDefault="000C51B3" w:rsidP="00147876">
            <w:pPr>
              <w:jc w:val="center"/>
              <w:rPr>
                <w:b/>
              </w:rPr>
            </w:pPr>
            <w:r w:rsidRPr="002F09C4">
              <w:rPr>
                <w:b/>
              </w:rPr>
              <w:t>AUC</w:t>
            </w:r>
            <w:r w:rsidRPr="002F09C4">
              <w:rPr>
                <w:b/>
                <w:vertAlign w:val="subscript"/>
              </w:rPr>
              <w:t>total-plasma</w:t>
            </w:r>
            <w:r w:rsidRPr="002F09C4">
              <w:rPr>
                <w:b/>
              </w:rPr>
              <w:t xml:space="preserve"> </w:t>
            </w:r>
          </w:p>
          <w:p w14:paraId="2C708E2D" w14:textId="77777777" w:rsidR="000C51B3" w:rsidRPr="002F09C4" w:rsidRDefault="000C51B3" w:rsidP="00147876">
            <w:pPr>
              <w:jc w:val="center"/>
              <w:rPr>
                <w:b/>
              </w:rPr>
            </w:pPr>
            <w:r w:rsidRPr="002F09C4">
              <w:rPr>
                <w:b/>
              </w:rPr>
              <w:t>(µg</w:t>
            </w:r>
            <w:r w:rsidRPr="002F09C4">
              <w:rPr>
                <w:b/>
              </w:rPr>
              <w:sym w:font="Wingdings 2" w:char="F096"/>
            </w:r>
            <w:r w:rsidRPr="002F09C4">
              <w:rPr>
                <w:b/>
              </w:rPr>
              <w:t>h/mL)</w:t>
            </w:r>
          </w:p>
        </w:tc>
      </w:tr>
      <w:tr w:rsidR="000C51B3" w:rsidRPr="002F09C4" w14:paraId="4F6E21AC" w14:textId="77777777" w:rsidTr="00147876">
        <w:trPr>
          <w:trHeight w:val="540"/>
        </w:trPr>
        <w:tc>
          <w:tcPr>
            <w:tcW w:w="1980" w:type="dxa"/>
            <w:vAlign w:val="center"/>
          </w:tcPr>
          <w:p w14:paraId="453D640C" w14:textId="77777777" w:rsidR="000C51B3" w:rsidRPr="002F09C4" w:rsidRDefault="000C51B3" w:rsidP="00147876">
            <w:pPr>
              <w:jc w:val="center"/>
            </w:pPr>
            <w:r w:rsidRPr="002F09C4">
              <w:t>Ceftaroline [13]</w:t>
            </w:r>
          </w:p>
        </w:tc>
        <w:tc>
          <w:tcPr>
            <w:tcW w:w="1980" w:type="dxa"/>
            <w:vAlign w:val="center"/>
          </w:tcPr>
          <w:p w14:paraId="5F33ED02" w14:textId="77777777" w:rsidR="000C51B3" w:rsidRPr="002F09C4" w:rsidRDefault="000C51B3" w:rsidP="00147876">
            <w:pPr>
              <w:jc w:val="center"/>
            </w:pPr>
            <w:r w:rsidRPr="002F09C4">
              <w:t>600 mg q12h</w:t>
            </w:r>
          </w:p>
          <w:p w14:paraId="66185EF5" w14:textId="77777777" w:rsidR="000C51B3" w:rsidRPr="002F09C4" w:rsidRDefault="000C51B3" w:rsidP="00147876">
            <w:pPr>
              <w:jc w:val="center"/>
            </w:pPr>
            <w:r w:rsidRPr="002F09C4">
              <w:t>600 mg q8h</w:t>
            </w:r>
          </w:p>
        </w:tc>
        <w:tc>
          <w:tcPr>
            <w:tcW w:w="2565" w:type="dxa"/>
            <w:vAlign w:val="center"/>
          </w:tcPr>
          <w:p w14:paraId="4FFFD929" w14:textId="77777777" w:rsidR="000C51B3" w:rsidRPr="002F09C4" w:rsidRDefault="000C51B3" w:rsidP="00147876">
            <w:pPr>
              <w:jc w:val="center"/>
            </w:pPr>
            <w:r w:rsidRPr="002F09C4">
              <w:t>18.0%</w:t>
            </w:r>
          </w:p>
          <w:p w14:paraId="253AD2E9" w14:textId="77777777" w:rsidR="000C51B3" w:rsidRPr="002F09C4" w:rsidRDefault="000C51B3" w:rsidP="00147876">
            <w:pPr>
              <w:jc w:val="center"/>
            </w:pPr>
            <w:r w:rsidRPr="002F09C4">
              <w:t>17.7%</w:t>
            </w:r>
          </w:p>
        </w:tc>
        <w:tc>
          <w:tcPr>
            <w:tcW w:w="2565" w:type="dxa"/>
            <w:vAlign w:val="center"/>
          </w:tcPr>
          <w:p w14:paraId="5CBA0664" w14:textId="77777777" w:rsidR="000C51B3" w:rsidRPr="002F09C4" w:rsidRDefault="000C51B3" w:rsidP="00147876">
            <w:pPr>
              <w:jc w:val="center"/>
            </w:pPr>
            <w:r w:rsidRPr="002F09C4">
              <w:t>22.5%</w:t>
            </w:r>
          </w:p>
          <w:p w14:paraId="67940AAF" w14:textId="77777777" w:rsidR="000C51B3" w:rsidRPr="002F09C4" w:rsidRDefault="000C51B3" w:rsidP="00147876">
            <w:pPr>
              <w:jc w:val="center"/>
            </w:pPr>
            <w:r w:rsidRPr="002F09C4">
              <w:t>23.6%</w:t>
            </w:r>
          </w:p>
        </w:tc>
        <w:tc>
          <w:tcPr>
            <w:tcW w:w="2250" w:type="dxa"/>
            <w:vAlign w:val="center"/>
          </w:tcPr>
          <w:p w14:paraId="356ACC0B" w14:textId="77777777" w:rsidR="000C51B3" w:rsidRPr="002F09C4" w:rsidRDefault="000C51B3" w:rsidP="00147876">
            <w:pPr>
              <w:jc w:val="center"/>
            </w:pPr>
            <w:r w:rsidRPr="002F09C4">
              <w:t>8.09</w:t>
            </w:r>
          </w:p>
          <w:p w14:paraId="5D228E1F" w14:textId="77777777" w:rsidR="000C51B3" w:rsidRPr="002F09C4" w:rsidRDefault="000C51B3" w:rsidP="00147876">
            <w:pPr>
              <w:jc w:val="center"/>
            </w:pPr>
            <w:r w:rsidRPr="002F09C4">
              <w:t>9.36</w:t>
            </w:r>
          </w:p>
        </w:tc>
        <w:tc>
          <w:tcPr>
            <w:tcW w:w="2250" w:type="dxa"/>
            <w:vAlign w:val="center"/>
          </w:tcPr>
          <w:p w14:paraId="11B32A15" w14:textId="77777777" w:rsidR="000C51B3" w:rsidRPr="002F09C4" w:rsidRDefault="000C51B3" w:rsidP="00147876">
            <w:pPr>
              <w:jc w:val="center"/>
            </w:pPr>
            <w:r w:rsidRPr="002F09C4">
              <w:t xml:space="preserve">45.0 </w:t>
            </w:r>
            <w:r w:rsidRPr="002F09C4">
              <w:rPr>
                <w:rFonts w:cs="Arial"/>
              </w:rPr>
              <w:t>±</w:t>
            </w:r>
            <w:r w:rsidRPr="002F09C4">
              <w:t xml:space="preserve"> 7.32</w:t>
            </w:r>
          </w:p>
          <w:p w14:paraId="216233E8" w14:textId="77777777" w:rsidR="000C51B3" w:rsidRPr="002F09C4" w:rsidRDefault="000C51B3" w:rsidP="00147876">
            <w:pPr>
              <w:jc w:val="center"/>
            </w:pPr>
            <w:r w:rsidRPr="002F09C4">
              <w:t xml:space="preserve">53.0 </w:t>
            </w:r>
            <w:r w:rsidRPr="002F09C4">
              <w:rPr>
                <w:rFonts w:cs="Arial"/>
              </w:rPr>
              <w:t>±</w:t>
            </w:r>
            <w:r w:rsidRPr="002F09C4">
              <w:t xml:space="preserve"> 7.16</w:t>
            </w:r>
          </w:p>
        </w:tc>
      </w:tr>
      <w:tr w:rsidR="000C51B3" w:rsidRPr="002F09C4" w14:paraId="4D3200C2" w14:textId="77777777" w:rsidTr="00147876">
        <w:trPr>
          <w:trHeight w:val="540"/>
        </w:trPr>
        <w:tc>
          <w:tcPr>
            <w:tcW w:w="1980" w:type="dxa"/>
            <w:vAlign w:val="center"/>
          </w:tcPr>
          <w:p w14:paraId="4F0EADE2" w14:textId="77777777" w:rsidR="000C51B3" w:rsidRPr="002F09C4" w:rsidRDefault="000C51B3" w:rsidP="00147876">
            <w:pPr>
              <w:jc w:val="center"/>
            </w:pPr>
            <w:r w:rsidRPr="002F09C4">
              <w:t>Imipenem [14]</w:t>
            </w:r>
          </w:p>
        </w:tc>
        <w:tc>
          <w:tcPr>
            <w:tcW w:w="1980" w:type="dxa"/>
            <w:vAlign w:val="center"/>
          </w:tcPr>
          <w:p w14:paraId="01318E3F" w14:textId="77777777" w:rsidR="000C51B3" w:rsidRPr="002F09C4" w:rsidRDefault="000C51B3" w:rsidP="00147876">
            <w:pPr>
              <w:jc w:val="center"/>
            </w:pPr>
            <w:r w:rsidRPr="002F09C4">
              <w:t>250-500 mg q6h</w:t>
            </w:r>
          </w:p>
        </w:tc>
        <w:tc>
          <w:tcPr>
            <w:tcW w:w="2565" w:type="dxa"/>
            <w:vAlign w:val="center"/>
          </w:tcPr>
          <w:p w14:paraId="652AC3E0" w14:textId="77777777" w:rsidR="000C51B3" w:rsidRPr="002F09C4" w:rsidRDefault="000C51B3" w:rsidP="00147876">
            <w:pPr>
              <w:jc w:val="center"/>
            </w:pPr>
            <w:r w:rsidRPr="002F09C4">
              <w:t>44%</w:t>
            </w:r>
          </w:p>
        </w:tc>
        <w:tc>
          <w:tcPr>
            <w:tcW w:w="2565" w:type="dxa"/>
            <w:vAlign w:val="center"/>
          </w:tcPr>
          <w:p w14:paraId="34A96309" w14:textId="77777777" w:rsidR="000C51B3" w:rsidRPr="002F09C4" w:rsidRDefault="000C51B3" w:rsidP="00147876">
            <w:pPr>
              <w:jc w:val="center"/>
            </w:pPr>
            <w:r w:rsidRPr="002F09C4">
              <w:t>55%</w:t>
            </w:r>
          </w:p>
        </w:tc>
        <w:tc>
          <w:tcPr>
            <w:tcW w:w="2250" w:type="dxa"/>
            <w:vAlign w:val="center"/>
          </w:tcPr>
          <w:p w14:paraId="61491C78" w14:textId="77777777" w:rsidR="000C51B3" w:rsidRPr="002F09C4" w:rsidRDefault="000C51B3" w:rsidP="00147876">
            <w:pPr>
              <w:jc w:val="center"/>
            </w:pPr>
            <w:r w:rsidRPr="002F09C4">
              <w:t>N.R.</w:t>
            </w:r>
          </w:p>
        </w:tc>
        <w:tc>
          <w:tcPr>
            <w:tcW w:w="2250" w:type="dxa"/>
            <w:vAlign w:val="center"/>
          </w:tcPr>
          <w:p w14:paraId="4CD61D61" w14:textId="77777777" w:rsidR="000C51B3" w:rsidRPr="002F09C4" w:rsidRDefault="000C51B3" w:rsidP="00147876">
            <w:pPr>
              <w:jc w:val="center"/>
            </w:pPr>
            <w:r w:rsidRPr="002F09C4">
              <w:t>N.R.</w:t>
            </w:r>
          </w:p>
        </w:tc>
      </w:tr>
      <w:tr w:rsidR="000C51B3" w:rsidRPr="002F09C4" w14:paraId="5C398FBD" w14:textId="77777777" w:rsidTr="00147876">
        <w:trPr>
          <w:trHeight w:val="584"/>
        </w:trPr>
        <w:tc>
          <w:tcPr>
            <w:tcW w:w="1980" w:type="dxa"/>
            <w:vAlign w:val="center"/>
          </w:tcPr>
          <w:p w14:paraId="1253E93F" w14:textId="77777777" w:rsidR="000C51B3" w:rsidRPr="002F09C4" w:rsidRDefault="000C51B3" w:rsidP="00147876">
            <w:pPr>
              <w:jc w:val="center"/>
            </w:pPr>
            <w:r w:rsidRPr="002F09C4">
              <w:t>Meropenem-</w:t>
            </w:r>
          </w:p>
          <w:p w14:paraId="3827D667" w14:textId="77777777" w:rsidR="000C51B3" w:rsidRPr="002F09C4" w:rsidRDefault="000C51B3" w:rsidP="00147876">
            <w:pPr>
              <w:jc w:val="center"/>
            </w:pPr>
            <w:r w:rsidRPr="002F09C4">
              <w:t>Vaborbactam [15]</w:t>
            </w:r>
          </w:p>
        </w:tc>
        <w:tc>
          <w:tcPr>
            <w:tcW w:w="1980" w:type="dxa"/>
            <w:vAlign w:val="center"/>
          </w:tcPr>
          <w:p w14:paraId="6B58EFF4" w14:textId="77777777" w:rsidR="000C51B3" w:rsidRPr="002F09C4" w:rsidRDefault="000C51B3" w:rsidP="00147876">
            <w:pPr>
              <w:jc w:val="center"/>
            </w:pPr>
            <w:r w:rsidRPr="002F09C4">
              <w:t>2.0 g q8h</w:t>
            </w:r>
          </w:p>
          <w:p w14:paraId="4DFA48DE" w14:textId="77777777" w:rsidR="000C51B3" w:rsidRPr="002F09C4" w:rsidRDefault="000C51B3" w:rsidP="00147876">
            <w:pPr>
              <w:jc w:val="center"/>
            </w:pPr>
            <w:r w:rsidRPr="002F09C4">
              <w:t>2.0 g q8h</w:t>
            </w:r>
          </w:p>
        </w:tc>
        <w:tc>
          <w:tcPr>
            <w:tcW w:w="2565" w:type="dxa"/>
            <w:vAlign w:val="center"/>
          </w:tcPr>
          <w:p w14:paraId="15CA55C7" w14:textId="77777777" w:rsidR="000C51B3" w:rsidRPr="002F09C4" w:rsidRDefault="000C51B3" w:rsidP="00147876">
            <w:pPr>
              <w:jc w:val="center"/>
            </w:pPr>
            <w:r w:rsidRPr="002F09C4">
              <w:t>63%</w:t>
            </w:r>
          </w:p>
          <w:p w14:paraId="0E4960B4" w14:textId="77777777" w:rsidR="000C51B3" w:rsidRPr="002F09C4" w:rsidRDefault="000C51B3" w:rsidP="00147876">
            <w:pPr>
              <w:jc w:val="center"/>
            </w:pPr>
            <w:r w:rsidRPr="002F09C4">
              <w:t>53%</w:t>
            </w:r>
          </w:p>
        </w:tc>
        <w:tc>
          <w:tcPr>
            <w:tcW w:w="2565" w:type="dxa"/>
            <w:vAlign w:val="center"/>
          </w:tcPr>
          <w:p w14:paraId="300F8FB7" w14:textId="77777777" w:rsidR="000C51B3" w:rsidRPr="002F09C4" w:rsidRDefault="000C51B3" w:rsidP="00147876">
            <w:pPr>
              <w:jc w:val="center"/>
            </w:pPr>
            <w:r w:rsidRPr="002F09C4">
              <w:t>65%</w:t>
            </w:r>
          </w:p>
          <w:p w14:paraId="60092D67" w14:textId="77777777" w:rsidR="000C51B3" w:rsidRPr="002F09C4" w:rsidRDefault="000C51B3" w:rsidP="00147876">
            <w:pPr>
              <w:jc w:val="center"/>
            </w:pPr>
            <w:r w:rsidRPr="002F09C4">
              <w:t>79%</w:t>
            </w:r>
          </w:p>
        </w:tc>
        <w:tc>
          <w:tcPr>
            <w:tcW w:w="2250" w:type="dxa"/>
            <w:vAlign w:val="center"/>
          </w:tcPr>
          <w:p w14:paraId="5B1FC506" w14:textId="77777777" w:rsidR="000C51B3" w:rsidRPr="002F09C4" w:rsidRDefault="000C51B3" w:rsidP="00147876">
            <w:pPr>
              <w:jc w:val="center"/>
            </w:pPr>
            <w:r w:rsidRPr="002F09C4">
              <w:t>111.7</w:t>
            </w:r>
          </w:p>
          <w:p w14:paraId="6CD653A4" w14:textId="77777777" w:rsidR="000C51B3" w:rsidRPr="002F09C4" w:rsidRDefault="000C51B3" w:rsidP="00147876">
            <w:pPr>
              <w:jc w:val="center"/>
            </w:pPr>
            <w:r w:rsidRPr="002F09C4">
              <w:t>105.1</w:t>
            </w:r>
          </w:p>
        </w:tc>
        <w:tc>
          <w:tcPr>
            <w:tcW w:w="2250" w:type="dxa"/>
            <w:vAlign w:val="center"/>
          </w:tcPr>
          <w:p w14:paraId="755399F5" w14:textId="77777777" w:rsidR="000C51B3" w:rsidRPr="002F09C4" w:rsidRDefault="000C51B3" w:rsidP="00147876">
            <w:pPr>
              <w:jc w:val="center"/>
            </w:pPr>
            <w:r w:rsidRPr="002F09C4">
              <w:t xml:space="preserve">186 </w:t>
            </w:r>
            <w:r w:rsidRPr="002F09C4">
              <w:rPr>
                <w:rFonts w:cs="Arial"/>
              </w:rPr>
              <w:t>±</w:t>
            </w:r>
            <w:r w:rsidRPr="002F09C4">
              <w:t xml:space="preserve"> 33.6</w:t>
            </w:r>
          </w:p>
          <w:p w14:paraId="2346550D" w14:textId="77777777" w:rsidR="000C51B3" w:rsidRPr="002F09C4" w:rsidRDefault="000C51B3" w:rsidP="00147876">
            <w:pPr>
              <w:jc w:val="center"/>
            </w:pPr>
            <w:r w:rsidRPr="002F09C4">
              <w:t xml:space="preserve">204 </w:t>
            </w:r>
            <w:r w:rsidRPr="002F09C4">
              <w:rPr>
                <w:rFonts w:cs="Arial"/>
              </w:rPr>
              <w:t>±</w:t>
            </w:r>
            <w:r w:rsidRPr="002F09C4">
              <w:t xml:space="preserve"> 34.6</w:t>
            </w:r>
          </w:p>
        </w:tc>
      </w:tr>
      <w:tr w:rsidR="000C51B3" w:rsidRPr="002F09C4" w14:paraId="163941C8" w14:textId="77777777" w:rsidTr="00147876">
        <w:trPr>
          <w:trHeight w:val="540"/>
        </w:trPr>
        <w:tc>
          <w:tcPr>
            <w:tcW w:w="1980" w:type="dxa"/>
            <w:vAlign w:val="center"/>
          </w:tcPr>
          <w:p w14:paraId="274C3275" w14:textId="77777777" w:rsidR="000C51B3" w:rsidRPr="002F09C4" w:rsidRDefault="000C51B3" w:rsidP="00147876">
            <w:pPr>
              <w:jc w:val="center"/>
            </w:pPr>
            <w:r w:rsidRPr="002F09C4">
              <w:t>Ceftazidime-Avibactam [16]</w:t>
            </w:r>
          </w:p>
        </w:tc>
        <w:tc>
          <w:tcPr>
            <w:tcW w:w="1980" w:type="dxa"/>
            <w:vAlign w:val="center"/>
          </w:tcPr>
          <w:p w14:paraId="31388274" w14:textId="77777777" w:rsidR="000C51B3" w:rsidRPr="002F09C4" w:rsidRDefault="000C51B3" w:rsidP="00147876">
            <w:pPr>
              <w:autoSpaceDE w:val="0"/>
              <w:autoSpaceDN w:val="0"/>
              <w:adjustRightInd w:val="0"/>
              <w:jc w:val="center"/>
            </w:pPr>
            <w:r w:rsidRPr="002F09C4">
              <w:t>2.0 g q8h</w:t>
            </w:r>
          </w:p>
          <w:p w14:paraId="5FF16EB6" w14:textId="77777777" w:rsidR="000C51B3" w:rsidRPr="002F09C4" w:rsidRDefault="000C51B3" w:rsidP="00147876">
            <w:pPr>
              <w:autoSpaceDE w:val="0"/>
              <w:autoSpaceDN w:val="0"/>
              <w:adjustRightInd w:val="0"/>
              <w:jc w:val="center"/>
            </w:pPr>
            <w:r w:rsidRPr="002F09C4">
              <w:t>0.5 g q8h</w:t>
            </w:r>
          </w:p>
          <w:p w14:paraId="4C311C66" w14:textId="77777777" w:rsidR="000C51B3" w:rsidRPr="002F09C4" w:rsidRDefault="000C51B3" w:rsidP="00147876">
            <w:pPr>
              <w:autoSpaceDE w:val="0"/>
              <w:autoSpaceDN w:val="0"/>
              <w:adjustRightInd w:val="0"/>
              <w:jc w:val="center"/>
            </w:pPr>
            <w:r w:rsidRPr="002F09C4">
              <w:t>3.0 g q8h</w:t>
            </w:r>
          </w:p>
          <w:p w14:paraId="131B5E8F" w14:textId="77777777" w:rsidR="000C51B3" w:rsidRPr="002F09C4" w:rsidRDefault="000C51B3" w:rsidP="00147876">
            <w:pPr>
              <w:autoSpaceDE w:val="0"/>
              <w:autoSpaceDN w:val="0"/>
              <w:adjustRightInd w:val="0"/>
              <w:jc w:val="center"/>
            </w:pPr>
            <w:r w:rsidRPr="002F09C4">
              <w:t>1.0 g q8h</w:t>
            </w:r>
          </w:p>
        </w:tc>
        <w:tc>
          <w:tcPr>
            <w:tcW w:w="2565" w:type="dxa"/>
            <w:vAlign w:val="center"/>
          </w:tcPr>
          <w:p w14:paraId="1C073DD6" w14:textId="77777777" w:rsidR="000C51B3" w:rsidRPr="002F09C4" w:rsidRDefault="000C51B3" w:rsidP="00147876">
            <w:pPr>
              <w:jc w:val="center"/>
            </w:pPr>
            <w:r w:rsidRPr="002F09C4">
              <w:t>31.3%</w:t>
            </w:r>
          </w:p>
          <w:p w14:paraId="5CDC02D2" w14:textId="77777777" w:rsidR="000C51B3" w:rsidRPr="002F09C4" w:rsidRDefault="000C51B3" w:rsidP="00147876">
            <w:pPr>
              <w:jc w:val="center"/>
            </w:pPr>
            <w:r w:rsidRPr="002F09C4">
              <w:t>34.9%</w:t>
            </w:r>
          </w:p>
          <w:p w14:paraId="7F652873" w14:textId="77777777" w:rsidR="000C51B3" w:rsidRPr="002F09C4" w:rsidRDefault="000C51B3" w:rsidP="00147876">
            <w:pPr>
              <w:jc w:val="center"/>
            </w:pPr>
            <w:r w:rsidRPr="002F09C4">
              <w:t>32.4%</w:t>
            </w:r>
          </w:p>
          <w:p w14:paraId="66CDAEC6" w14:textId="77777777" w:rsidR="000C51B3" w:rsidRPr="002F09C4" w:rsidRDefault="000C51B3" w:rsidP="00147876">
            <w:pPr>
              <w:jc w:val="center"/>
            </w:pPr>
            <w:r w:rsidRPr="002F09C4">
              <w:t>32.0%</w:t>
            </w:r>
          </w:p>
        </w:tc>
        <w:tc>
          <w:tcPr>
            <w:tcW w:w="2565" w:type="dxa"/>
          </w:tcPr>
          <w:p w14:paraId="7BB6CA74" w14:textId="77777777" w:rsidR="000C51B3" w:rsidRPr="002F09C4" w:rsidRDefault="000C51B3" w:rsidP="00147876">
            <w:pPr>
              <w:jc w:val="center"/>
            </w:pPr>
            <w:r w:rsidRPr="002F09C4">
              <w:t>N.R.</w:t>
            </w:r>
          </w:p>
          <w:p w14:paraId="2E81ACE4" w14:textId="77777777" w:rsidR="000C51B3" w:rsidRPr="002F09C4" w:rsidRDefault="000C51B3" w:rsidP="00147876">
            <w:pPr>
              <w:jc w:val="center"/>
            </w:pPr>
            <w:r w:rsidRPr="002F09C4">
              <w:t>N.R.</w:t>
            </w:r>
          </w:p>
          <w:p w14:paraId="3FD27E45" w14:textId="77777777" w:rsidR="000C51B3" w:rsidRPr="002F09C4" w:rsidRDefault="000C51B3" w:rsidP="00147876">
            <w:pPr>
              <w:jc w:val="center"/>
            </w:pPr>
            <w:r w:rsidRPr="002F09C4">
              <w:t>N.R.</w:t>
            </w:r>
          </w:p>
          <w:p w14:paraId="0942F5EF" w14:textId="77777777" w:rsidR="000C51B3" w:rsidRPr="002F09C4" w:rsidRDefault="000C51B3" w:rsidP="00147876">
            <w:pPr>
              <w:jc w:val="center"/>
            </w:pPr>
            <w:r w:rsidRPr="002F09C4">
              <w:t>N.R.</w:t>
            </w:r>
          </w:p>
        </w:tc>
        <w:tc>
          <w:tcPr>
            <w:tcW w:w="2250" w:type="dxa"/>
            <w:vAlign w:val="center"/>
          </w:tcPr>
          <w:p w14:paraId="68E195A2" w14:textId="77777777" w:rsidR="000C51B3" w:rsidRPr="002F09C4" w:rsidRDefault="000C51B3" w:rsidP="00147876">
            <w:pPr>
              <w:jc w:val="center"/>
            </w:pPr>
            <w:r w:rsidRPr="002F09C4">
              <w:t>92.3</w:t>
            </w:r>
          </w:p>
          <w:p w14:paraId="31365074" w14:textId="77777777" w:rsidR="000C51B3" w:rsidRPr="002F09C4" w:rsidRDefault="000C51B3" w:rsidP="00147876">
            <w:pPr>
              <w:jc w:val="center"/>
            </w:pPr>
            <w:r w:rsidRPr="002F09C4">
              <w:t>13.7</w:t>
            </w:r>
          </w:p>
          <w:p w14:paraId="0BB93B80" w14:textId="77777777" w:rsidR="000C51B3" w:rsidRPr="002F09C4" w:rsidRDefault="000C51B3" w:rsidP="00147876">
            <w:pPr>
              <w:jc w:val="center"/>
            </w:pPr>
            <w:r w:rsidRPr="002F09C4">
              <w:t>147</w:t>
            </w:r>
          </w:p>
          <w:p w14:paraId="5C2C4A4E" w14:textId="77777777" w:rsidR="000C51B3" w:rsidRPr="002F09C4" w:rsidRDefault="000C51B3" w:rsidP="00147876">
            <w:pPr>
              <w:jc w:val="center"/>
            </w:pPr>
            <w:r w:rsidRPr="002F09C4">
              <w:t>24.8</w:t>
            </w:r>
          </w:p>
        </w:tc>
        <w:tc>
          <w:tcPr>
            <w:tcW w:w="2250" w:type="dxa"/>
            <w:vAlign w:val="center"/>
          </w:tcPr>
          <w:p w14:paraId="2A2B8401" w14:textId="77777777" w:rsidR="000C51B3" w:rsidRPr="002F09C4" w:rsidRDefault="000C51B3" w:rsidP="00147876">
            <w:pPr>
              <w:jc w:val="center"/>
            </w:pPr>
            <w:r w:rsidRPr="002F09C4">
              <w:t>295</w:t>
            </w:r>
          </w:p>
          <w:p w14:paraId="6273E2E4" w14:textId="77777777" w:rsidR="000C51B3" w:rsidRPr="002F09C4" w:rsidRDefault="000C51B3" w:rsidP="00147876">
            <w:pPr>
              <w:jc w:val="center"/>
            </w:pPr>
            <w:r w:rsidRPr="002F09C4">
              <w:t>39.2</w:t>
            </w:r>
          </w:p>
          <w:p w14:paraId="12D43E71" w14:textId="77777777" w:rsidR="000C51B3" w:rsidRPr="002F09C4" w:rsidRDefault="000C51B3" w:rsidP="00147876">
            <w:pPr>
              <w:jc w:val="center"/>
            </w:pPr>
            <w:r w:rsidRPr="002F09C4">
              <w:t>454</w:t>
            </w:r>
          </w:p>
          <w:p w14:paraId="736C20F5" w14:textId="77777777" w:rsidR="000C51B3" w:rsidRPr="002F09C4" w:rsidRDefault="000C51B3" w:rsidP="00147876">
            <w:pPr>
              <w:jc w:val="center"/>
            </w:pPr>
            <w:r w:rsidRPr="002F09C4">
              <w:t>77.6</w:t>
            </w:r>
          </w:p>
        </w:tc>
      </w:tr>
      <w:tr w:rsidR="000C51B3" w:rsidRPr="002F09C4" w14:paraId="61C72D06" w14:textId="77777777" w:rsidTr="00147876">
        <w:trPr>
          <w:trHeight w:val="540"/>
        </w:trPr>
        <w:tc>
          <w:tcPr>
            <w:tcW w:w="1980" w:type="dxa"/>
            <w:vAlign w:val="center"/>
          </w:tcPr>
          <w:p w14:paraId="2D9D42FD" w14:textId="77777777" w:rsidR="000C51B3" w:rsidRPr="002F09C4" w:rsidRDefault="000C51B3" w:rsidP="00147876">
            <w:pPr>
              <w:jc w:val="center"/>
            </w:pPr>
            <w:r w:rsidRPr="002F09C4">
              <w:t>Ceftolozane-</w:t>
            </w:r>
          </w:p>
          <w:p w14:paraId="051FB9A2" w14:textId="77777777" w:rsidR="000C51B3" w:rsidRPr="002F09C4" w:rsidRDefault="000C51B3" w:rsidP="00147876">
            <w:pPr>
              <w:jc w:val="center"/>
            </w:pPr>
            <w:r w:rsidRPr="002F09C4">
              <w:t>Tazobactam [17]</w:t>
            </w:r>
          </w:p>
        </w:tc>
        <w:tc>
          <w:tcPr>
            <w:tcW w:w="1980" w:type="dxa"/>
            <w:vAlign w:val="center"/>
          </w:tcPr>
          <w:p w14:paraId="2D212789" w14:textId="77777777" w:rsidR="000C51B3" w:rsidRPr="002F09C4" w:rsidRDefault="000C51B3" w:rsidP="00147876">
            <w:pPr>
              <w:autoSpaceDE w:val="0"/>
              <w:autoSpaceDN w:val="0"/>
              <w:adjustRightInd w:val="0"/>
              <w:jc w:val="center"/>
            </w:pPr>
            <w:r w:rsidRPr="002F09C4">
              <w:t>1.0 g q8h</w:t>
            </w:r>
          </w:p>
          <w:p w14:paraId="6BF688A3" w14:textId="77777777" w:rsidR="000C51B3" w:rsidRPr="002F09C4" w:rsidRDefault="000C51B3" w:rsidP="00147876">
            <w:pPr>
              <w:autoSpaceDE w:val="0"/>
              <w:autoSpaceDN w:val="0"/>
              <w:adjustRightInd w:val="0"/>
              <w:jc w:val="center"/>
            </w:pPr>
            <w:r w:rsidRPr="002F09C4">
              <w:t>0.5 g q8h</w:t>
            </w:r>
          </w:p>
        </w:tc>
        <w:tc>
          <w:tcPr>
            <w:tcW w:w="2565" w:type="dxa"/>
            <w:vAlign w:val="center"/>
          </w:tcPr>
          <w:p w14:paraId="6BE4B532" w14:textId="77777777" w:rsidR="000C51B3" w:rsidRPr="002F09C4" w:rsidRDefault="000C51B3" w:rsidP="00147876">
            <w:pPr>
              <w:jc w:val="center"/>
            </w:pPr>
            <w:r w:rsidRPr="002F09C4">
              <w:t>48%</w:t>
            </w:r>
          </w:p>
          <w:p w14:paraId="4008333A" w14:textId="77777777" w:rsidR="000C51B3" w:rsidRPr="002F09C4" w:rsidRDefault="000C51B3" w:rsidP="00147876">
            <w:pPr>
              <w:jc w:val="center"/>
            </w:pPr>
            <w:r w:rsidRPr="002F09C4">
              <w:t>44%</w:t>
            </w:r>
          </w:p>
        </w:tc>
        <w:tc>
          <w:tcPr>
            <w:tcW w:w="2565" w:type="dxa"/>
            <w:vAlign w:val="center"/>
          </w:tcPr>
          <w:p w14:paraId="15A21FD9" w14:textId="77777777" w:rsidR="000C51B3" w:rsidRPr="002F09C4" w:rsidRDefault="000C51B3" w:rsidP="00147876">
            <w:pPr>
              <w:jc w:val="center"/>
            </w:pPr>
            <w:r w:rsidRPr="002F09C4">
              <w:t>59%</w:t>
            </w:r>
          </w:p>
          <w:p w14:paraId="07AC9144" w14:textId="77777777" w:rsidR="000C51B3" w:rsidRPr="002F09C4" w:rsidRDefault="000C51B3" w:rsidP="00147876">
            <w:pPr>
              <w:jc w:val="center"/>
            </w:pPr>
            <w:r w:rsidRPr="002F09C4">
              <w:t>N.R.</w:t>
            </w:r>
          </w:p>
        </w:tc>
        <w:tc>
          <w:tcPr>
            <w:tcW w:w="2250" w:type="dxa"/>
            <w:vAlign w:val="center"/>
          </w:tcPr>
          <w:p w14:paraId="024D917C" w14:textId="77777777" w:rsidR="000C51B3" w:rsidRPr="002F09C4" w:rsidRDefault="000C51B3" w:rsidP="00147876">
            <w:pPr>
              <w:jc w:val="center"/>
            </w:pPr>
            <w:r w:rsidRPr="002F09C4">
              <w:t>75.1</w:t>
            </w:r>
          </w:p>
          <w:p w14:paraId="74D2E2DD" w14:textId="77777777" w:rsidR="000C51B3" w:rsidRPr="002F09C4" w:rsidRDefault="000C51B3" w:rsidP="00147876">
            <w:pPr>
              <w:jc w:val="center"/>
            </w:pPr>
            <w:r w:rsidRPr="002F09C4">
              <w:t>8.5</w:t>
            </w:r>
          </w:p>
        </w:tc>
        <w:tc>
          <w:tcPr>
            <w:tcW w:w="2250" w:type="dxa"/>
            <w:vAlign w:val="center"/>
          </w:tcPr>
          <w:p w14:paraId="5956278E" w14:textId="77777777" w:rsidR="000C51B3" w:rsidRPr="002F09C4" w:rsidRDefault="000C51B3" w:rsidP="00147876">
            <w:pPr>
              <w:jc w:val="center"/>
            </w:pPr>
            <w:r w:rsidRPr="002F09C4">
              <w:t xml:space="preserve">158.5 </w:t>
            </w:r>
            <w:r w:rsidRPr="002F09C4">
              <w:rPr>
                <w:rFonts w:cs="Arial"/>
              </w:rPr>
              <w:t>±</w:t>
            </w:r>
            <w:r w:rsidRPr="002F09C4">
              <w:t xml:space="preserve"> 24.1</w:t>
            </w:r>
          </w:p>
          <w:p w14:paraId="59385950" w14:textId="77777777" w:rsidR="000C51B3" w:rsidRPr="002F09C4" w:rsidRDefault="000C51B3" w:rsidP="00147876">
            <w:pPr>
              <w:jc w:val="center"/>
            </w:pPr>
            <w:r w:rsidRPr="002F09C4">
              <w:t>19.3.</w:t>
            </w:r>
            <w:r w:rsidRPr="002F09C4">
              <w:rPr>
                <w:rFonts w:cs="Arial"/>
              </w:rPr>
              <w:t>±</w:t>
            </w:r>
            <w:r w:rsidRPr="002F09C4">
              <w:t xml:space="preserve"> 2.9</w:t>
            </w:r>
          </w:p>
        </w:tc>
      </w:tr>
      <w:tr w:rsidR="000C51B3" w:rsidRPr="002F09C4" w14:paraId="4B593933" w14:textId="77777777" w:rsidTr="00147876">
        <w:trPr>
          <w:trHeight w:val="540"/>
        </w:trPr>
        <w:tc>
          <w:tcPr>
            <w:tcW w:w="1980" w:type="dxa"/>
            <w:vAlign w:val="center"/>
          </w:tcPr>
          <w:p w14:paraId="31172CA7" w14:textId="77777777" w:rsidR="000C51B3" w:rsidRPr="002F09C4" w:rsidRDefault="000C51B3" w:rsidP="00147876">
            <w:pPr>
              <w:jc w:val="center"/>
            </w:pPr>
            <w:r w:rsidRPr="002F09C4">
              <w:t>Piperacillin-Tazobactam [17]</w:t>
            </w:r>
          </w:p>
        </w:tc>
        <w:tc>
          <w:tcPr>
            <w:tcW w:w="1980" w:type="dxa"/>
            <w:vAlign w:val="center"/>
          </w:tcPr>
          <w:p w14:paraId="6118C49A" w14:textId="77777777" w:rsidR="000C51B3" w:rsidRPr="002F09C4" w:rsidRDefault="000C51B3" w:rsidP="00147876">
            <w:pPr>
              <w:autoSpaceDE w:val="0"/>
              <w:autoSpaceDN w:val="0"/>
              <w:adjustRightInd w:val="0"/>
              <w:jc w:val="center"/>
            </w:pPr>
            <w:r w:rsidRPr="002F09C4">
              <w:t>4.0 g q6h</w:t>
            </w:r>
          </w:p>
          <w:p w14:paraId="0E3B4228" w14:textId="77777777" w:rsidR="000C51B3" w:rsidRPr="002F09C4" w:rsidRDefault="000C51B3" w:rsidP="00147876">
            <w:pPr>
              <w:jc w:val="center"/>
            </w:pPr>
            <w:r w:rsidRPr="002F09C4">
              <w:t>0.5 g q6h</w:t>
            </w:r>
          </w:p>
        </w:tc>
        <w:tc>
          <w:tcPr>
            <w:tcW w:w="2565" w:type="dxa"/>
            <w:vAlign w:val="center"/>
          </w:tcPr>
          <w:p w14:paraId="1265B5D3" w14:textId="77777777" w:rsidR="000C51B3" w:rsidRPr="002F09C4" w:rsidRDefault="000C51B3" w:rsidP="00147876">
            <w:pPr>
              <w:jc w:val="center"/>
            </w:pPr>
            <w:r w:rsidRPr="002F09C4">
              <w:t>26%</w:t>
            </w:r>
          </w:p>
          <w:p w14:paraId="62FD2974" w14:textId="77777777" w:rsidR="000C51B3" w:rsidRPr="002F09C4" w:rsidRDefault="000C51B3" w:rsidP="00147876">
            <w:pPr>
              <w:jc w:val="center"/>
            </w:pPr>
            <w:r w:rsidRPr="002F09C4">
              <w:t>54%</w:t>
            </w:r>
          </w:p>
        </w:tc>
        <w:tc>
          <w:tcPr>
            <w:tcW w:w="2565" w:type="dxa"/>
            <w:vAlign w:val="center"/>
          </w:tcPr>
          <w:p w14:paraId="252C441F" w14:textId="77777777" w:rsidR="000C51B3" w:rsidRPr="002F09C4" w:rsidRDefault="000C51B3" w:rsidP="00147876">
            <w:pPr>
              <w:jc w:val="center"/>
            </w:pPr>
            <w:r w:rsidRPr="002F09C4">
              <w:t>38%</w:t>
            </w:r>
          </w:p>
          <w:p w14:paraId="2E3E3234" w14:textId="77777777" w:rsidR="000C51B3" w:rsidRPr="002F09C4" w:rsidRDefault="000C51B3" w:rsidP="00147876">
            <w:pPr>
              <w:jc w:val="center"/>
            </w:pPr>
            <w:r w:rsidRPr="002F09C4">
              <w:t>N.R.</w:t>
            </w:r>
          </w:p>
        </w:tc>
        <w:tc>
          <w:tcPr>
            <w:tcW w:w="2250" w:type="dxa"/>
            <w:vAlign w:val="center"/>
          </w:tcPr>
          <w:p w14:paraId="2318BFAC" w14:textId="77777777" w:rsidR="000C51B3" w:rsidRPr="002F09C4" w:rsidRDefault="000C51B3" w:rsidP="00147876">
            <w:pPr>
              <w:jc w:val="center"/>
            </w:pPr>
            <w:r w:rsidRPr="002F09C4">
              <w:t>94.5</w:t>
            </w:r>
          </w:p>
          <w:p w14:paraId="077DE79B" w14:textId="77777777" w:rsidR="000C51B3" w:rsidRPr="002F09C4" w:rsidRDefault="000C51B3" w:rsidP="00147876">
            <w:pPr>
              <w:jc w:val="center"/>
            </w:pPr>
            <w:r w:rsidRPr="002F09C4">
              <w:t>24.7</w:t>
            </w:r>
          </w:p>
        </w:tc>
        <w:tc>
          <w:tcPr>
            <w:tcW w:w="2250" w:type="dxa"/>
            <w:vAlign w:val="center"/>
          </w:tcPr>
          <w:p w14:paraId="042AC8AE" w14:textId="77777777" w:rsidR="000C51B3" w:rsidRPr="002F09C4" w:rsidRDefault="000C51B3" w:rsidP="00147876">
            <w:pPr>
              <w:jc w:val="center"/>
            </w:pPr>
            <w:r w:rsidRPr="002F09C4">
              <w:t xml:space="preserve">357.3 </w:t>
            </w:r>
            <w:r w:rsidRPr="002F09C4">
              <w:rPr>
                <w:rFonts w:cs="Arial"/>
              </w:rPr>
              <w:t>±</w:t>
            </w:r>
            <w:r w:rsidRPr="002F09C4">
              <w:t xml:space="preserve"> 65.9</w:t>
            </w:r>
          </w:p>
          <w:p w14:paraId="7861647E" w14:textId="77777777" w:rsidR="000C51B3" w:rsidRPr="002F09C4" w:rsidRDefault="000C51B3" w:rsidP="00147876">
            <w:pPr>
              <w:jc w:val="center"/>
            </w:pPr>
            <w:r w:rsidRPr="002F09C4">
              <w:t xml:space="preserve">46.1 </w:t>
            </w:r>
            <w:r w:rsidRPr="002F09C4">
              <w:rPr>
                <w:rFonts w:cs="Arial"/>
              </w:rPr>
              <w:t>±</w:t>
            </w:r>
            <w:r w:rsidRPr="002F09C4">
              <w:t xml:space="preserve"> 8.7</w:t>
            </w:r>
          </w:p>
        </w:tc>
      </w:tr>
      <w:tr w:rsidR="000C51B3" w:rsidRPr="002F09C4" w14:paraId="28B54CEC" w14:textId="77777777" w:rsidTr="00147876">
        <w:trPr>
          <w:trHeight w:val="540"/>
        </w:trPr>
        <w:tc>
          <w:tcPr>
            <w:tcW w:w="1980" w:type="dxa"/>
            <w:vAlign w:val="center"/>
          </w:tcPr>
          <w:p w14:paraId="38F42415" w14:textId="77777777" w:rsidR="000C51B3" w:rsidRPr="002F09C4" w:rsidRDefault="000C51B3" w:rsidP="00147876">
            <w:pPr>
              <w:jc w:val="center"/>
            </w:pPr>
            <w:r w:rsidRPr="002F09C4">
              <w:t>Eravacycline [18]</w:t>
            </w:r>
          </w:p>
        </w:tc>
        <w:tc>
          <w:tcPr>
            <w:tcW w:w="1980" w:type="dxa"/>
            <w:vAlign w:val="center"/>
          </w:tcPr>
          <w:p w14:paraId="09190935" w14:textId="77777777" w:rsidR="000C51B3" w:rsidRPr="002F09C4" w:rsidRDefault="000C51B3" w:rsidP="00147876">
            <w:pPr>
              <w:jc w:val="center"/>
            </w:pPr>
            <w:r w:rsidRPr="002F09C4">
              <w:t>1 mg/kg q12h</w:t>
            </w:r>
          </w:p>
        </w:tc>
        <w:tc>
          <w:tcPr>
            <w:tcW w:w="2565" w:type="dxa"/>
            <w:vAlign w:val="center"/>
          </w:tcPr>
          <w:p w14:paraId="2082E5FC" w14:textId="77777777" w:rsidR="000C51B3" w:rsidRPr="002F09C4" w:rsidRDefault="000C51B3" w:rsidP="00147876">
            <w:pPr>
              <w:jc w:val="center"/>
            </w:pPr>
            <w:r w:rsidRPr="002F09C4">
              <w:t>132%</w:t>
            </w:r>
          </w:p>
        </w:tc>
        <w:tc>
          <w:tcPr>
            <w:tcW w:w="2565" w:type="dxa"/>
            <w:vAlign w:val="center"/>
          </w:tcPr>
          <w:p w14:paraId="58BDC312" w14:textId="77777777" w:rsidR="000C51B3" w:rsidRPr="002F09C4" w:rsidRDefault="000C51B3" w:rsidP="00147876">
            <w:pPr>
              <w:jc w:val="center"/>
            </w:pPr>
            <w:r w:rsidRPr="002F09C4">
              <w:t>644%</w:t>
            </w:r>
          </w:p>
        </w:tc>
        <w:tc>
          <w:tcPr>
            <w:tcW w:w="2250" w:type="dxa"/>
            <w:vAlign w:val="center"/>
          </w:tcPr>
          <w:p w14:paraId="02F1712B" w14:textId="77777777" w:rsidR="000C51B3" w:rsidRPr="002F09C4" w:rsidRDefault="000C51B3" w:rsidP="00147876">
            <w:pPr>
              <w:jc w:val="center"/>
            </w:pPr>
            <w:r w:rsidRPr="002F09C4">
              <w:t>4.93</w:t>
            </w:r>
          </w:p>
        </w:tc>
        <w:tc>
          <w:tcPr>
            <w:tcW w:w="2250" w:type="dxa"/>
            <w:vAlign w:val="center"/>
          </w:tcPr>
          <w:p w14:paraId="038F3A1E" w14:textId="77777777" w:rsidR="000C51B3" w:rsidRPr="002F09C4" w:rsidRDefault="000C51B3" w:rsidP="00147876">
            <w:pPr>
              <w:jc w:val="center"/>
            </w:pPr>
            <w:r w:rsidRPr="002F09C4">
              <w:t xml:space="preserve">4.56 </w:t>
            </w:r>
            <w:r w:rsidRPr="002F09C4">
              <w:rPr>
                <w:rFonts w:cs="Arial"/>
              </w:rPr>
              <w:t>±</w:t>
            </w:r>
            <w:r w:rsidRPr="002F09C4">
              <w:t xml:space="preserve"> 0.94</w:t>
            </w:r>
          </w:p>
        </w:tc>
      </w:tr>
      <w:tr w:rsidR="000C51B3" w:rsidRPr="002F09C4" w14:paraId="14C075F7" w14:textId="77777777" w:rsidTr="00147876">
        <w:trPr>
          <w:trHeight w:val="540"/>
        </w:trPr>
        <w:tc>
          <w:tcPr>
            <w:tcW w:w="1980" w:type="dxa"/>
            <w:vAlign w:val="center"/>
          </w:tcPr>
          <w:p w14:paraId="4E54B0CC" w14:textId="77777777" w:rsidR="000C51B3" w:rsidRPr="002F09C4" w:rsidRDefault="000C51B3" w:rsidP="00147876">
            <w:pPr>
              <w:jc w:val="center"/>
            </w:pPr>
            <w:r w:rsidRPr="002F09C4">
              <w:t>Omadacycline [19]</w:t>
            </w:r>
          </w:p>
        </w:tc>
        <w:tc>
          <w:tcPr>
            <w:tcW w:w="1980" w:type="dxa"/>
            <w:vAlign w:val="center"/>
          </w:tcPr>
          <w:p w14:paraId="220F601C" w14:textId="77777777" w:rsidR="000C51B3" w:rsidRPr="002F09C4" w:rsidRDefault="000C51B3" w:rsidP="00147876">
            <w:pPr>
              <w:jc w:val="center"/>
            </w:pPr>
            <w:r w:rsidRPr="002F09C4">
              <w:t>100 mg q12h x 3, then 100 mg q24h</w:t>
            </w:r>
          </w:p>
        </w:tc>
        <w:tc>
          <w:tcPr>
            <w:tcW w:w="2565" w:type="dxa"/>
            <w:vAlign w:val="center"/>
          </w:tcPr>
          <w:p w14:paraId="42E6D3CF" w14:textId="77777777" w:rsidR="000C51B3" w:rsidRPr="002F09C4" w:rsidRDefault="000C51B3" w:rsidP="00147876">
            <w:pPr>
              <w:jc w:val="center"/>
            </w:pPr>
            <w:r w:rsidRPr="002F09C4">
              <w:t>147%</w:t>
            </w:r>
          </w:p>
        </w:tc>
        <w:tc>
          <w:tcPr>
            <w:tcW w:w="2565" w:type="dxa"/>
            <w:vAlign w:val="center"/>
          </w:tcPr>
          <w:p w14:paraId="2C588A89" w14:textId="77777777" w:rsidR="000C51B3" w:rsidRPr="002F09C4" w:rsidRDefault="000C51B3" w:rsidP="00147876">
            <w:pPr>
              <w:jc w:val="center"/>
            </w:pPr>
            <w:r w:rsidRPr="002F09C4">
              <w:t>184%</w:t>
            </w:r>
          </w:p>
        </w:tc>
        <w:tc>
          <w:tcPr>
            <w:tcW w:w="2250" w:type="dxa"/>
            <w:vAlign w:val="center"/>
          </w:tcPr>
          <w:p w14:paraId="5BC7778B" w14:textId="77777777" w:rsidR="000C51B3" w:rsidRPr="002F09C4" w:rsidRDefault="000C51B3" w:rsidP="00147876">
            <w:pPr>
              <w:jc w:val="center"/>
            </w:pPr>
            <w:r w:rsidRPr="002F09C4">
              <w:t>17.23</w:t>
            </w:r>
          </w:p>
        </w:tc>
        <w:tc>
          <w:tcPr>
            <w:tcW w:w="2250" w:type="dxa"/>
            <w:vAlign w:val="center"/>
          </w:tcPr>
          <w:p w14:paraId="0E41FE2B" w14:textId="77777777" w:rsidR="000C51B3" w:rsidRPr="002F09C4" w:rsidRDefault="000C51B3" w:rsidP="00147876">
            <w:pPr>
              <w:jc w:val="center"/>
            </w:pPr>
            <w:r w:rsidRPr="002F09C4">
              <w:t xml:space="preserve">12.14 </w:t>
            </w:r>
            <w:r w:rsidRPr="002F09C4">
              <w:rPr>
                <w:rFonts w:cs="Arial"/>
              </w:rPr>
              <w:t>±</w:t>
            </w:r>
            <w:r w:rsidRPr="002F09C4">
              <w:t xml:space="preserve"> 3.22</w:t>
            </w:r>
          </w:p>
        </w:tc>
      </w:tr>
      <w:tr w:rsidR="000C51B3" w:rsidRPr="002F09C4" w14:paraId="00269F50" w14:textId="77777777" w:rsidTr="00147876">
        <w:trPr>
          <w:trHeight w:val="540"/>
        </w:trPr>
        <w:tc>
          <w:tcPr>
            <w:tcW w:w="1980" w:type="dxa"/>
            <w:vAlign w:val="center"/>
          </w:tcPr>
          <w:p w14:paraId="367A3D01" w14:textId="77777777" w:rsidR="000C51B3" w:rsidRPr="002F09C4" w:rsidRDefault="000C51B3" w:rsidP="00147876">
            <w:pPr>
              <w:jc w:val="center"/>
            </w:pPr>
            <w:r w:rsidRPr="002F09C4">
              <w:t>Tigecycline [19]</w:t>
            </w:r>
          </w:p>
        </w:tc>
        <w:tc>
          <w:tcPr>
            <w:tcW w:w="1980" w:type="dxa"/>
            <w:vAlign w:val="center"/>
          </w:tcPr>
          <w:p w14:paraId="0A8312A7" w14:textId="77777777" w:rsidR="000C51B3" w:rsidRPr="002F09C4" w:rsidRDefault="000C51B3" w:rsidP="00147876">
            <w:pPr>
              <w:jc w:val="center"/>
            </w:pPr>
            <w:r w:rsidRPr="002F09C4">
              <w:t>100 mg x 1,        then 50 mg q12h</w:t>
            </w:r>
          </w:p>
        </w:tc>
        <w:tc>
          <w:tcPr>
            <w:tcW w:w="2565" w:type="dxa"/>
            <w:vAlign w:val="center"/>
          </w:tcPr>
          <w:p w14:paraId="616F487D" w14:textId="77777777" w:rsidR="000C51B3" w:rsidRPr="002F09C4" w:rsidRDefault="000C51B3" w:rsidP="00147876">
            <w:pPr>
              <w:jc w:val="center"/>
            </w:pPr>
            <w:r w:rsidRPr="002F09C4">
              <w:t>171%</w:t>
            </w:r>
          </w:p>
        </w:tc>
        <w:tc>
          <w:tcPr>
            <w:tcW w:w="2565" w:type="dxa"/>
            <w:vAlign w:val="center"/>
          </w:tcPr>
          <w:p w14:paraId="053CC99E" w14:textId="77777777" w:rsidR="000C51B3" w:rsidRPr="002F09C4" w:rsidRDefault="000C51B3" w:rsidP="00147876">
            <w:pPr>
              <w:jc w:val="center"/>
            </w:pPr>
            <w:r w:rsidRPr="002F09C4">
              <w:t>659%</w:t>
            </w:r>
          </w:p>
        </w:tc>
        <w:tc>
          <w:tcPr>
            <w:tcW w:w="2250" w:type="dxa"/>
            <w:vAlign w:val="center"/>
          </w:tcPr>
          <w:p w14:paraId="080F5C96" w14:textId="77777777" w:rsidR="000C51B3" w:rsidRPr="002F09C4" w:rsidRDefault="000C51B3" w:rsidP="00147876">
            <w:pPr>
              <w:jc w:val="center"/>
            </w:pPr>
            <w:r w:rsidRPr="002F09C4">
              <w:t>3.16</w:t>
            </w:r>
          </w:p>
        </w:tc>
        <w:tc>
          <w:tcPr>
            <w:tcW w:w="2250" w:type="dxa"/>
            <w:vAlign w:val="center"/>
          </w:tcPr>
          <w:p w14:paraId="505FA415" w14:textId="77777777" w:rsidR="000C51B3" w:rsidRPr="002F09C4" w:rsidRDefault="000C51B3" w:rsidP="00147876">
            <w:pPr>
              <w:jc w:val="center"/>
            </w:pPr>
            <w:r w:rsidRPr="002F09C4">
              <w:t xml:space="preserve">2.20 </w:t>
            </w:r>
            <w:r w:rsidRPr="002F09C4">
              <w:rPr>
                <w:rFonts w:cs="Arial"/>
              </w:rPr>
              <w:t>±</w:t>
            </w:r>
            <w:r w:rsidRPr="002F09C4">
              <w:t xml:space="preserve"> 0.42</w:t>
            </w:r>
          </w:p>
        </w:tc>
      </w:tr>
      <w:tr w:rsidR="000C51B3" w:rsidRPr="002F09C4" w14:paraId="04EA8F07" w14:textId="77777777" w:rsidTr="00147876">
        <w:trPr>
          <w:trHeight w:val="540"/>
        </w:trPr>
        <w:tc>
          <w:tcPr>
            <w:tcW w:w="1980" w:type="dxa"/>
            <w:vAlign w:val="center"/>
          </w:tcPr>
          <w:p w14:paraId="64BA5FD5" w14:textId="77777777" w:rsidR="000C51B3" w:rsidRPr="002F09C4" w:rsidRDefault="000C51B3" w:rsidP="00147876">
            <w:pPr>
              <w:jc w:val="center"/>
            </w:pPr>
            <w:r w:rsidRPr="002F09C4">
              <w:t>Tedizolid [20]</w:t>
            </w:r>
          </w:p>
        </w:tc>
        <w:tc>
          <w:tcPr>
            <w:tcW w:w="1980" w:type="dxa"/>
            <w:vAlign w:val="center"/>
          </w:tcPr>
          <w:p w14:paraId="5CFB48D1" w14:textId="77777777" w:rsidR="000C51B3" w:rsidRPr="002F09C4" w:rsidRDefault="000C51B3" w:rsidP="00147876">
            <w:pPr>
              <w:jc w:val="center"/>
            </w:pPr>
            <w:r w:rsidRPr="002F09C4">
              <w:t>200 mg Q24h</w:t>
            </w:r>
          </w:p>
        </w:tc>
        <w:tc>
          <w:tcPr>
            <w:tcW w:w="2565" w:type="dxa"/>
            <w:vAlign w:val="center"/>
          </w:tcPr>
          <w:p w14:paraId="2F256B5E" w14:textId="77777777" w:rsidR="000C51B3" w:rsidRPr="002F09C4" w:rsidRDefault="000C51B3" w:rsidP="00147876">
            <w:pPr>
              <w:jc w:val="center"/>
            </w:pPr>
            <w:r w:rsidRPr="002F09C4">
              <w:t>433%</w:t>
            </w:r>
          </w:p>
        </w:tc>
        <w:tc>
          <w:tcPr>
            <w:tcW w:w="2565" w:type="dxa"/>
            <w:vAlign w:val="center"/>
          </w:tcPr>
          <w:p w14:paraId="4994CF23" w14:textId="77777777" w:rsidR="000C51B3" w:rsidRPr="002F09C4" w:rsidRDefault="000C51B3" w:rsidP="00147876">
            <w:pPr>
              <w:jc w:val="center"/>
            </w:pPr>
            <w:r w:rsidRPr="002F09C4">
              <w:t>4120%</w:t>
            </w:r>
          </w:p>
        </w:tc>
        <w:tc>
          <w:tcPr>
            <w:tcW w:w="2250" w:type="dxa"/>
            <w:vAlign w:val="center"/>
          </w:tcPr>
          <w:p w14:paraId="6CDB5152" w14:textId="77777777" w:rsidR="000C51B3" w:rsidRPr="002F09C4" w:rsidRDefault="000C51B3" w:rsidP="00147876">
            <w:pPr>
              <w:jc w:val="center"/>
            </w:pPr>
            <w:r w:rsidRPr="002F09C4">
              <w:t>109.3</w:t>
            </w:r>
          </w:p>
        </w:tc>
        <w:tc>
          <w:tcPr>
            <w:tcW w:w="2250" w:type="dxa"/>
            <w:vAlign w:val="center"/>
          </w:tcPr>
          <w:p w14:paraId="34CBAE4D" w14:textId="77777777" w:rsidR="000C51B3" w:rsidRPr="002F09C4" w:rsidRDefault="000C51B3" w:rsidP="00147876">
            <w:pPr>
              <w:jc w:val="center"/>
            </w:pPr>
            <w:r w:rsidRPr="002F09C4">
              <w:t xml:space="preserve">25.13 </w:t>
            </w:r>
            <w:r w:rsidRPr="002F09C4">
              <w:rPr>
                <w:rFonts w:cs="Arial"/>
              </w:rPr>
              <w:t>±</w:t>
            </w:r>
            <w:r w:rsidRPr="002F09C4">
              <w:t xml:space="preserve"> 5.78</w:t>
            </w:r>
          </w:p>
        </w:tc>
      </w:tr>
      <w:tr w:rsidR="000C51B3" w:rsidRPr="002F09C4" w14:paraId="25DA7649" w14:textId="77777777" w:rsidTr="00147876">
        <w:trPr>
          <w:trHeight w:val="540"/>
        </w:trPr>
        <w:tc>
          <w:tcPr>
            <w:tcW w:w="1980" w:type="dxa"/>
            <w:vAlign w:val="center"/>
          </w:tcPr>
          <w:p w14:paraId="357DA4DC" w14:textId="77777777" w:rsidR="000C51B3" w:rsidRPr="002F09C4" w:rsidRDefault="000C51B3" w:rsidP="00147876">
            <w:pPr>
              <w:jc w:val="center"/>
            </w:pPr>
            <w:r w:rsidRPr="002F09C4">
              <w:t>Nafithromycin [21]</w:t>
            </w:r>
          </w:p>
        </w:tc>
        <w:tc>
          <w:tcPr>
            <w:tcW w:w="1980" w:type="dxa"/>
            <w:vAlign w:val="center"/>
          </w:tcPr>
          <w:p w14:paraId="302A50EF" w14:textId="77777777" w:rsidR="000C51B3" w:rsidRPr="002F09C4" w:rsidRDefault="000C51B3" w:rsidP="00147876">
            <w:pPr>
              <w:jc w:val="center"/>
            </w:pPr>
            <w:r w:rsidRPr="002F09C4">
              <w:t>800 mg q24h</w:t>
            </w:r>
          </w:p>
        </w:tc>
        <w:tc>
          <w:tcPr>
            <w:tcW w:w="2565" w:type="dxa"/>
            <w:vAlign w:val="center"/>
          </w:tcPr>
          <w:p w14:paraId="626F9F76" w14:textId="77777777" w:rsidR="000C51B3" w:rsidRPr="002F09C4" w:rsidRDefault="000C51B3" w:rsidP="00147876">
            <w:pPr>
              <w:jc w:val="center"/>
            </w:pPr>
            <w:r w:rsidRPr="002F09C4">
              <w:t>1380%</w:t>
            </w:r>
          </w:p>
        </w:tc>
        <w:tc>
          <w:tcPr>
            <w:tcW w:w="2565" w:type="dxa"/>
            <w:vAlign w:val="center"/>
          </w:tcPr>
          <w:p w14:paraId="6F456C5F" w14:textId="77777777" w:rsidR="000C51B3" w:rsidRPr="002F09C4" w:rsidRDefault="000C51B3" w:rsidP="00147876">
            <w:pPr>
              <w:jc w:val="center"/>
            </w:pPr>
            <w:r w:rsidRPr="002F09C4">
              <w:t>N.R.</w:t>
            </w:r>
          </w:p>
        </w:tc>
        <w:tc>
          <w:tcPr>
            <w:tcW w:w="2250" w:type="dxa"/>
            <w:vAlign w:val="center"/>
          </w:tcPr>
          <w:p w14:paraId="555B780A" w14:textId="77777777" w:rsidR="000C51B3" w:rsidRPr="002F09C4" w:rsidRDefault="000C51B3" w:rsidP="00147876">
            <w:pPr>
              <w:jc w:val="center"/>
            </w:pPr>
            <w:r w:rsidRPr="002F09C4">
              <w:t>224.1</w:t>
            </w:r>
          </w:p>
        </w:tc>
        <w:tc>
          <w:tcPr>
            <w:tcW w:w="2250" w:type="dxa"/>
            <w:vAlign w:val="center"/>
          </w:tcPr>
          <w:p w14:paraId="3118F778" w14:textId="77777777" w:rsidR="000C51B3" w:rsidRPr="002F09C4" w:rsidRDefault="000C51B3" w:rsidP="00147876">
            <w:pPr>
              <w:jc w:val="center"/>
            </w:pPr>
            <w:r w:rsidRPr="002F09C4">
              <w:t>16.2</w:t>
            </w:r>
          </w:p>
        </w:tc>
      </w:tr>
      <w:tr w:rsidR="000C51B3" w:rsidRPr="002F09C4" w14:paraId="500285C8" w14:textId="77777777" w:rsidTr="00147876">
        <w:trPr>
          <w:trHeight w:val="540"/>
        </w:trPr>
        <w:tc>
          <w:tcPr>
            <w:tcW w:w="1980" w:type="dxa"/>
            <w:vAlign w:val="center"/>
          </w:tcPr>
          <w:p w14:paraId="48F89121" w14:textId="77777777" w:rsidR="000C51B3" w:rsidRPr="002F09C4" w:rsidRDefault="000C51B3" w:rsidP="00147876">
            <w:pPr>
              <w:jc w:val="center"/>
            </w:pPr>
            <w:r w:rsidRPr="002F09C4">
              <w:t>Solithromycin [22]</w:t>
            </w:r>
          </w:p>
        </w:tc>
        <w:tc>
          <w:tcPr>
            <w:tcW w:w="1980" w:type="dxa"/>
            <w:vAlign w:val="center"/>
          </w:tcPr>
          <w:p w14:paraId="02E48B30" w14:textId="77777777" w:rsidR="000C51B3" w:rsidRPr="002F09C4" w:rsidRDefault="000C51B3" w:rsidP="00147876">
            <w:pPr>
              <w:jc w:val="center"/>
            </w:pPr>
            <w:r w:rsidRPr="002F09C4">
              <w:t>400 mg q24h</w:t>
            </w:r>
          </w:p>
        </w:tc>
        <w:tc>
          <w:tcPr>
            <w:tcW w:w="2565" w:type="dxa"/>
            <w:vAlign w:val="center"/>
          </w:tcPr>
          <w:p w14:paraId="14BC6F01" w14:textId="77777777" w:rsidR="000C51B3" w:rsidRPr="002F09C4" w:rsidRDefault="000C51B3" w:rsidP="00147876">
            <w:pPr>
              <w:jc w:val="center"/>
            </w:pPr>
            <w:r w:rsidRPr="002F09C4">
              <w:t>1030%</w:t>
            </w:r>
          </w:p>
        </w:tc>
        <w:tc>
          <w:tcPr>
            <w:tcW w:w="2565" w:type="dxa"/>
            <w:vAlign w:val="center"/>
          </w:tcPr>
          <w:p w14:paraId="1BFB468B" w14:textId="77777777" w:rsidR="000C51B3" w:rsidRPr="002F09C4" w:rsidRDefault="000C51B3" w:rsidP="00147876">
            <w:pPr>
              <w:jc w:val="center"/>
            </w:pPr>
            <w:r w:rsidRPr="002F09C4">
              <w:t>N.R.</w:t>
            </w:r>
          </w:p>
        </w:tc>
        <w:tc>
          <w:tcPr>
            <w:tcW w:w="2250" w:type="dxa"/>
            <w:vAlign w:val="center"/>
          </w:tcPr>
          <w:p w14:paraId="11CE106D" w14:textId="77777777" w:rsidR="000C51B3" w:rsidRPr="002F09C4" w:rsidRDefault="000C51B3" w:rsidP="00147876">
            <w:pPr>
              <w:jc w:val="center"/>
            </w:pPr>
            <w:r w:rsidRPr="002F09C4">
              <w:t>80.3</w:t>
            </w:r>
          </w:p>
        </w:tc>
        <w:tc>
          <w:tcPr>
            <w:tcW w:w="2250" w:type="dxa"/>
            <w:vAlign w:val="center"/>
          </w:tcPr>
          <w:p w14:paraId="2958D57B" w14:textId="77777777" w:rsidR="000C51B3" w:rsidRPr="002F09C4" w:rsidRDefault="000C51B3" w:rsidP="00147876">
            <w:pPr>
              <w:jc w:val="center"/>
            </w:pPr>
            <w:r w:rsidRPr="002F09C4">
              <w:t xml:space="preserve">7.92 </w:t>
            </w:r>
            <w:r w:rsidRPr="002F09C4">
              <w:rPr>
                <w:rFonts w:cs="Arial"/>
              </w:rPr>
              <w:t>± 4.39</w:t>
            </w:r>
          </w:p>
        </w:tc>
      </w:tr>
      <w:tr w:rsidR="000C51B3" w:rsidRPr="002F09C4" w14:paraId="19433B15" w14:textId="77777777" w:rsidTr="00147876">
        <w:trPr>
          <w:trHeight w:val="540"/>
        </w:trPr>
        <w:tc>
          <w:tcPr>
            <w:tcW w:w="1980" w:type="dxa"/>
            <w:vAlign w:val="center"/>
          </w:tcPr>
          <w:p w14:paraId="0BD3290B" w14:textId="77777777" w:rsidR="000C51B3" w:rsidRPr="002F09C4" w:rsidRDefault="000C51B3" w:rsidP="00147876">
            <w:pPr>
              <w:jc w:val="center"/>
            </w:pPr>
            <w:r w:rsidRPr="002F09C4">
              <w:t>Lafamulin [23]</w:t>
            </w:r>
          </w:p>
        </w:tc>
        <w:tc>
          <w:tcPr>
            <w:tcW w:w="1980" w:type="dxa"/>
            <w:vAlign w:val="center"/>
          </w:tcPr>
          <w:p w14:paraId="3EDA473D" w14:textId="77777777" w:rsidR="000C51B3" w:rsidRPr="002F09C4" w:rsidRDefault="000C51B3" w:rsidP="00147876">
            <w:pPr>
              <w:jc w:val="center"/>
            </w:pPr>
            <w:r w:rsidRPr="002F09C4">
              <w:t>150 mg x 1</w:t>
            </w:r>
          </w:p>
        </w:tc>
        <w:tc>
          <w:tcPr>
            <w:tcW w:w="2565" w:type="dxa"/>
            <w:vAlign w:val="center"/>
          </w:tcPr>
          <w:p w14:paraId="56EBCA7F" w14:textId="77777777" w:rsidR="000C51B3" w:rsidRPr="002F09C4" w:rsidRDefault="000C51B3" w:rsidP="00147876">
            <w:pPr>
              <w:jc w:val="center"/>
            </w:pPr>
            <w:r w:rsidRPr="002F09C4">
              <w:t>75%</w:t>
            </w:r>
          </w:p>
        </w:tc>
        <w:tc>
          <w:tcPr>
            <w:tcW w:w="2565" w:type="dxa"/>
            <w:vAlign w:val="center"/>
          </w:tcPr>
          <w:p w14:paraId="2EC45416" w14:textId="77777777" w:rsidR="000C51B3" w:rsidRPr="002F09C4" w:rsidRDefault="000C51B3" w:rsidP="00147876">
            <w:pPr>
              <w:jc w:val="center"/>
            </w:pPr>
            <w:r w:rsidRPr="002F09C4">
              <w:t>570%</w:t>
            </w:r>
          </w:p>
        </w:tc>
        <w:tc>
          <w:tcPr>
            <w:tcW w:w="2250" w:type="dxa"/>
            <w:vAlign w:val="center"/>
          </w:tcPr>
          <w:p w14:paraId="3CDAA3B0" w14:textId="77777777" w:rsidR="000C51B3" w:rsidRPr="002F09C4" w:rsidRDefault="000C51B3" w:rsidP="00147876">
            <w:pPr>
              <w:jc w:val="center"/>
            </w:pPr>
            <w:r w:rsidRPr="002F09C4">
              <w:t>3871</w:t>
            </w:r>
          </w:p>
        </w:tc>
        <w:tc>
          <w:tcPr>
            <w:tcW w:w="2250" w:type="dxa"/>
            <w:vAlign w:val="center"/>
          </w:tcPr>
          <w:p w14:paraId="2AC66CA8" w14:textId="77777777" w:rsidR="000C51B3" w:rsidRPr="002F09C4" w:rsidRDefault="000C51B3" w:rsidP="00147876">
            <w:pPr>
              <w:jc w:val="center"/>
            </w:pPr>
            <w:r w:rsidRPr="002F09C4">
              <w:t>4985</w:t>
            </w:r>
          </w:p>
        </w:tc>
      </w:tr>
      <w:tr w:rsidR="000C51B3" w:rsidRPr="002F09C4" w14:paraId="56393AB2" w14:textId="77777777" w:rsidTr="00147876">
        <w:trPr>
          <w:trHeight w:val="540"/>
        </w:trPr>
        <w:tc>
          <w:tcPr>
            <w:tcW w:w="1980" w:type="dxa"/>
            <w:vAlign w:val="center"/>
          </w:tcPr>
          <w:p w14:paraId="433E4422" w14:textId="77777777" w:rsidR="000C51B3" w:rsidRPr="002F09C4" w:rsidRDefault="000C51B3" w:rsidP="00147876">
            <w:pPr>
              <w:jc w:val="center"/>
            </w:pPr>
            <w:r w:rsidRPr="002F09C4">
              <w:t>GSK1322322 [24]</w:t>
            </w:r>
          </w:p>
        </w:tc>
        <w:tc>
          <w:tcPr>
            <w:tcW w:w="1980" w:type="dxa"/>
            <w:vAlign w:val="center"/>
          </w:tcPr>
          <w:p w14:paraId="46C8AC56" w14:textId="77777777" w:rsidR="000C51B3" w:rsidRPr="002F09C4" w:rsidRDefault="000C51B3" w:rsidP="00147876">
            <w:pPr>
              <w:jc w:val="center"/>
            </w:pPr>
            <w:r w:rsidRPr="002F09C4">
              <w:t>1.5 g 12h</w:t>
            </w:r>
          </w:p>
        </w:tc>
        <w:tc>
          <w:tcPr>
            <w:tcW w:w="2565" w:type="dxa"/>
            <w:vAlign w:val="center"/>
          </w:tcPr>
          <w:p w14:paraId="1B882CDF" w14:textId="77777777" w:rsidR="000C51B3" w:rsidRPr="002F09C4" w:rsidRDefault="000C51B3" w:rsidP="00147876">
            <w:pPr>
              <w:jc w:val="center"/>
            </w:pPr>
            <w:r w:rsidRPr="002F09C4">
              <w:t>120%</w:t>
            </w:r>
          </w:p>
        </w:tc>
        <w:tc>
          <w:tcPr>
            <w:tcW w:w="2565" w:type="dxa"/>
            <w:vAlign w:val="center"/>
          </w:tcPr>
          <w:p w14:paraId="522E2161" w14:textId="77777777" w:rsidR="000C51B3" w:rsidRPr="002F09C4" w:rsidRDefault="000C51B3" w:rsidP="00147876">
            <w:pPr>
              <w:jc w:val="center"/>
            </w:pPr>
            <w:r w:rsidRPr="002F09C4">
              <w:t>350%</w:t>
            </w:r>
          </w:p>
        </w:tc>
        <w:tc>
          <w:tcPr>
            <w:tcW w:w="2250" w:type="dxa"/>
            <w:vAlign w:val="center"/>
          </w:tcPr>
          <w:p w14:paraId="4EC3732F" w14:textId="77777777" w:rsidR="000C51B3" w:rsidRPr="002F09C4" w:rsidRDefault="000C51B3" w:rsidP="00147876">
            <w:pPr>
              <w:jc w:val="center"/>
            </w:pPr>
            <w:r w:rsidRPr="002F09C4">
              <w:t>78.9</w:t>
            </w:r>
          </w:p>
        </w:tc>
        <w:tc>
          <w:tcPr>
            <w:tcW w:w="2250" w:type="dxa"/>
            <w:vAlign w:val="center"/>
          </w:tcPr>
          <w:p w14:paraId="3B26AFF6" w14:textId="77777777" w:rsidR="000C51B3" w:rsidRPr="002F09C4" w:rsidRDefault="000C51B3" w:rsidP="00147876">
            <w:pPr>
              <w:jc w:val="center"/>
            </w:pPr>
            <w:r w:rsidRPr="002F09C4">
              <w:t>66.7</w:t>
            </w:r>
          </w:p>
        </w:tc>
      </w:tr>
      <w:tr w:rsidR="000C51B3" w:rsidRPr="002F09C4" w14:paraId="0D9E7A6A" w14:textId="77777777" w:rsidTr="00147876">
        <w:trPr>
          <w:trHeight w:val="540"/>
        </w:trPr>
        <w:tc>
          <w:tcPr>
            <w:tcW w:w="1980" w:type="dxa"/>
            <w:vAlign w:val="center"/>
          </w:tcPr>
          <w:p w14:paraId="6C8D9FB2" w14:textId="77777777" w:rsidR="000C51B3" w:rsidRPr="002F09C4" w:rsidRDefault="000C51B3" w:rsidP="00147876">
            <w:pPr>
              <w:jc w:val="center"/>
            </w:pPr>
            <w:r w:rsidRPr="002F09C4">
              <w:t>GSK2251052 [25]</w:t>
            </w:r>
          </w:p>
        </w:tc>
        <w:tc>
          <w:tcPr>
            <w:tcW w:w="1980" w:type="dxa"/>
            <w:vAlign w:val="center"/>
          </w:tcPr>
          <w:p w14:paraId="10345220" w14:textId="77777777" w:rsidR="000C51B3" w:rsidRPr="002F09C4" w:rsidRDefault="000C51B3" w:rsidP="00147876">
            <w:pPr>
              <w:jc w:val="center"/>
            </w:pPr>
            <w:r w:rsidRPr="002F09C4">
              <w:t>1.5 g 12h</w:t>
            </w:r>
          </w:p>
        </w:tc>
        <w:tc>
          <w:tcPr>
            <w:tcW w:w="2565" w:type="dxa"/>
            <w:vAlign w:val="center"/>
          </w:tcPr>
          <w:p w14:paraId="423F3CD0" w14:textId="77777777" w:rsidR="000C51B3" w:rsidRPr="002F09C4" w:rsidRDefault="000C51B3" w:rsidP="00147876">
            <w:pPr>
              <w:jc w:val="center"/>
            </w:pPr>
            <w:r w:rsidRPr="002F09C4">
              <w:t>53.4%</w:t>
            </w:r>
          </w:p>
        </w:tc>
        <w:tc>
          <w:tcPr>
            <w:tcW w:w="2565" w:type="dxa"/>
            <w:vAlign w:val="center"/>
          </w:tcPr>
          <w:p w14:paraId="0F0CD154" w14:textId="77777777" w:rsidR="000C51B3" w:rsidRPr="002F09C4" w:rsidRDefault="000C51B3" w:rsidP="00147876">
            <w:pPr>
              <w:jc w:val="center"/>
            </w:pPr>
            <w:r w:rsidRPr="002F09C4">
              <w:t>59.3%</w:t>
            </w:r>
          </w:p>
        </w:tc>
        <w:tc>
          <w:tcPr>
            <w:tcW w:w="2250" w:type="dxa"/>
            <w:vAlign w:val="center"/>
          </w:tcPr>
          <w:p w14:paraId="79C74E37" w14:textId="77777777" w:rsidR="000C51B3" w:rsidRPr="002F09C4" w:rsidRDefault="000C51B3" w:rsidP="00147876">
            <w:pPr>
              <w:jc w:val="center"/>
            </w:pPr>
            <w:r w:rsidRPr="002F09C4">
              <w:t>29.4</w:t>
            </w:r>
          </w:p>
        </w:tc>
        <w:tc>
          <w:tcPr>
            <w:tcW w:w="2250" w:type="dxa"/>
            <w:vAlign w:val="center"/>
          </w:tcPr>
          <w:p w14:paraId="6E1097DA" w14:textId="77777777" w:rsidR="000C51B3" w:rsidRPr="002F09C4" w:rsidRDefault="000C51B3" w:rsidP="00147876">
            <w:pPr>
              <w:jc w:val="center"/>
            </w:pPr>
            <w:r w:rsidRPr="002F09C4">
              <w:t>55.1</w:t>
            </w:r>
          </w:p>
        </w:tc>
      </w:tr>
    </w:tbl>
    <w:p w14:paraId="13CADD7F" w14:textId="77777777" w:rsidR="000C51B3" w:rsidRPr="002F09C4" w:rsidRDefault="000C51B3" w:rsidP="000C51B3">
      <w:pPr>
        <w:spacing w:after="0" w:line="240" w:lineRule="auto"/>
      </w:pPr>
      <w:r w:rsidRPr="002F09C4">
        <w:t>Data presented as mean or mean ± SD;  N.R., not reported</w:t>
      </w:r>
    </w:p>
    <w:p w14:paraId="68A01252" w14:textId="77777777" w:rsidR="000C51B3" w:rsidRPr="002F09C4" w:rsidRDefault="000C51B3" w:rsidP="000C51B3">
      <w:pPr>
        <w:spacing w:after="0" w:line="240" w:lineRule="auto"/>
        <w:rPr>
          <w:vertAlign w:val="subscript"/>
        </w:rPr>
      </w:pPr>
      <w:r w:rsidRPr="002F09C4">
        <w:t>Penetration ratio was determined in all studies by the ratio of AUC</w:t>
      </w:r>
      <w:r w:rsidRPr="002F09C4">
        <w:rPr>
          <w:vertAlign w:val="subscript"/>
        </w:rPr>
        <w:t>ELF</w:t>
      </w:r>
      <w:r w:rsidRPr="002F09C4">
        <w:t>/AUC</w:t>
      </w:r>
      <w:r w:rsidRPr="002F09C4">
        <w:rPr>
          <w:vertAlign w:val="subscript"/>
        </w:rPr>
        <w:t>plasma</w:t>
      </w:r>
    </w:p>
    <w:p w14:paraId="5FEBD50A" w14:textId="77777777" w:rsidR="000C51B3" w:rsidRPr="002F09C4" w:rsidRDefault="000C51B3" w:rsidP="000C51B3">
      <w:pPr>
        <w:rPr>
          <w:b/>
        </w:rPr>
      </w:pPr>
      <w:r w:rsidRPr="002F09C4">
        <w:rPr>
          <w:b/>
        </w:rPr>
        <w:lastRenderedPageBreak/>
        <w:t>Table 2  Reported penetration of selected antibiotics into epithelial lining fluid of critically ill patients</w:t>
      </w:r>
    </w:p>
    <w:tbl>
      <w:tblPr>
        <w:tblStyle w:val="TableGrid"/>
        <w:tblW w:w="13135" w:type="dxa"/>
        <w:tblLayout w:type="fixed"/>
        <w:tblLook w:val="04A0" w:firstRow="1" w:lastRow="0" w:firstColumn="1" w:lastColumn="0" w:noHBand="0" w:noVBand="1"/>
      </w:tblPr>
      <w:tblGrid>
        <w:gridCol w:w="1615"/>
        <w:gridCol w:w="2520"/>
        <w:gridCol w:w="2250"/>
        <w:gridCol w:w="3060"/>
        <w:gridCol w:w="3690"/>
      </w:tblGrid>
      <w:tr w:rsidR="000C51B3" w:rsidRPr="002F09C4" w14:paraId="6F7DEE7D" w14:textId="77777777" w:rsidTr="00147876">
        <w:tc>
          <w:tcPr>
            <w:tcW w:w="1615" w:type="dxa"/>
          </w:tcPr>
          <w:p w14:paraId="7558C722" w14:textId="77777777" w:rsidR="000C51B3" w:rsidRPr="002F09C4" w:rsidRDefault="000C51B3" w:rsidP="00147876">
            <w:pPr>
              <w:jc w:val="center"/>
              <w:rPr>
                <w:b/>
                <w:sz w:val="20"/>
                <w:szCs w:val="20"/>
              </w:rPr>
            </w:pPr>
            <w:r w:rsidRPr="002F09C4">
              <w:rPr>
                <w:b/>
                <w:sz w:val="20"/>
                <w:szCs w:val="20"/>
              </w:rPr>
              <w:t>Antibiotic Class</w:t>
            </w:r>
          </w:p>
        </w:tc>
        <w:tc>
          <w:tcPr>
            <w:tcW w:w="2520" w:type="dxa"/>
          </w:tcPr>
          <w:p w14:paraId="69DC4FC5" w14:textId="77777777" w:rsidR="000C51B3" w:rsidRPr="002F09C4" w:rsidRDefault="000C51B3" w:rsidP="00147876">
            <w:pPr>
              <w:jc w:val="center"/>
              <w:rPr>
                <w:b/>
                <w:sz w:val="20"/>
                <w:szCs w:val="20"/>
              </w:rPr>
            </w:pPr>
            <w:r w:rsidRPr="002F09C4">
              <w:rPr>
                <w:b/>
                <w:sz w:val="20"/>
                <w:szCs w:val="20"/>
              </w:rPr>
              <w:t>Antibiotic</w:t>
            </w:r>
          </w:p>
        </w:tc>
        <w:tc>
          <w:tcPr>
            <w:tcW w:w="2250" w:type="dxa"/>
          </w:tcPr>
          <w:p w14:paraId="43ED327A" w14:textId="77777777" w:rsidR="000C51B3" w:rsidRPr="002F09C4" w:rsidRDefault="000C51B3" w:rsidP="00147876">
            <w:pPr>
              <w:jc w:val="center"/>
              <w:rPr>
                <w:b/>
                <w:sz w:val="20"/>
                <w:szCs w:val="20"/>
              </w:rPr>
            </w:pPr>
            <w:r w:rsidRPr="002F09C4">
              <w:rPr>
                <w:b/>
                <w:sz w:val="20"/>
                <w:szCs w:val="20"/>
              </w:rPr>
              <w:t>Dosing</w:t>
            </w:r>
          </w:p>
        </w:tc>
        <w:tc>
          <w:tcPr>
            <w:tcW w:w="3060" w:type="dxa"/>
          </w:tcPr>
          <w:p w14:paraId="7DB63A19" w14:textId="77777777" w:rsidR="000C51B3" w:rsidRPr="002F09C4" w:rsidRDefault="000C51B3" w:rsidP="00147876">
            <w:pPr>
              <w:jc w:val="center"/>
              <w:rPr>
                <w:b/>
                <w:sz w:val="20"/>
                <w:szCs w:val="20"/>
              </w:rPr>
            </w:pPr>
            <w:r w:rsidRPr="002F09C4">
              <w:rPr>
                <w:b/>
                <w:sz w:val="20"/>
                <w:szCs w:val="20"/>
              </w:rPr>
              <w:t>Mean Penetration Ratio</w:t>
            </w:r>
          </w:p>
        </w:tc>
        <w:tc>
          <w:tcPr>
            <w:tcW w:w="3690" w:type="dxa"/>
          </w:tcPr>
          <w:p w14:paraId="52DFD1BC" w14:textId="77777777" w:rsidR="000C51B3" w:rsidRPr="002F09C4" w:rsidRDefault="000C51B3" w:rsidP="00147876">
            <w:pPr>
              <w:jc w:val="center"/>
              <w:rPr>
                <w:b/>
                <w:sz w:val="20"/>
                <w:szCs w:val="20"/>
              </w:rPr>
            </w:pPr>
            <w:r w:rsidRPr="002F09C4">
              <w:rPr>
                <w:b/>
                <w:sz w:val="20"/>
                <w:szCs w:val="20"/>
              </w:rPr>
              <w:t>Interpretation, Comments</w:t>
            </w:r>
          </w:p>
        </w:tc>
      </w:tr>
      <w:tr w:rsidR="000C51B3" w:rsidRPr="002F09C4" w14:paraId="4D1C2AB5" w14:textId="77777777" w:rsidTr="00147876">
        <w:tc>
          <w:tcPr>
            <w:tcW w:w="1615" w:type="dxa"/>
          </w:tcPr>
          <w:p w14:paraId="4D331F68" w14:textId="77777777" w:rsidR="000C51B3" w:rsidRPr="002F09C4" w:rsidRDefault="000C51B3" w:rsidP="00147876">
            <w:pPr>
              <w:rPr>
                <w:sz w:val="20"/>
                <w:szCs w:val="20"/>
              </w:rPr>
            </w:pPr>
          </w:p>
          <w:p w14:paraId="3D48A522" w14:textId="77777777" w:rsidR="000C51B3" w:rsidRPr="002F09C4" w:rsidRDefault="000C51B3" w:rsidP="00147876">
            <w:pPr>
              <w:rPr>
                <w:sz w:val="20"/>
                <w:szCs w:val="20"/>
              </w:rPr>
            </w:pPr>
            <w:r w:rsidRPr="002F09C4">
              <w:rPr>
                <w:sz w:val="20"/>
                <w:szCs w:val="20"/>
              </w:rPr>
              <w:t>Aminoglycoside</w:t>
            </w:r>
          </w:p>
        </w:tc>
        <w:tc>
          <w:tcPr>
            <w:tcW w:w="2520" w:type="dxa"/>
          </w:tcPr>
          <w:p w14:paraId="26F3E6B7" w14:textId="77777777" w:rsidR="000C51B3" w:rsidRPr="002F09C4" w:rsidRDefault="000C51B3" w:rsidP="00147876">
            <w:pPr>
              <w:rPr>
                <w:sz w:val="20"/>
                <w:szCs w:val="20"/>
              </w:rPr>
            </w:pPr>
          </w:p>
          <w:p w14:paraId="75E6BA64" w14:textId="77777777" w:rsidR="000C51B3" w:rsidRPr="002F09C4" w:rsidRDefault="000C51B3" w:rsidP="00147876">
            <w:pPr>
              <w:rPr>
                <w:sz w:val="20"/>
                <w:szCs w:val="20"/>
              </w:rPr>
            </w:pPr>
            <w:r w:rsidRPr="002F09C4">
              <w:rPr>
                <w:sz w:val="20"/>
                <w:szCs w:val="20"/>
              </w:rPr>
              <w:t>Tobramycin [30]</w:t>
            </w:r>
          </w:p>
          <w:p w14:paraId="2F898C35" w14:textId="77777777" w:rsidR="000C51B3" w:rsidRPr="002F09C4" w:rsidRDefault="000C51B3" w:rsidP="00147876">
            <w:pPr>
              <w:rPr>
                <w:sz w:val="20"/>
                <w:szCs w:val="20"/>
              </w:rPr>
            </w:pPr>
          </w:p>
          <w:p w14:paraId="4AD4AD16" w14:textId="77777777" w:rsidR="000C51B3" w:rsidRPr="002F09C4" w:rsidRDefault="000C51B3" w:rsidP="00147876">
            <w:pPr>
              <w:rPr>
                <w:sz w:val="20"/>
                <w:szCs w:val="20"/>
              </w:rPr>
            </w:pPr>
          </w:p>
          <w:p w14:paraId="5C010B0B" w14:textId="77777777" w:rsidR="000C51B3" w:rsidRPr="002F09C4" w:rsidRDefault="000C51B3" w:rsidP="00147876">
            <w:pPr>
              <w:rPr>
                <w:sz w:val="20"/>
                <w:szCs w:val="20"/>
              </w:rPr>
            </w:pPr>
            <w:r w:rsidRPr="002F09C4">
              <w:rPr>
                <w:sz w:val="20"/>
                <w:szCs w:val="20"/>
              </w:rPr>
              <w:t>Tobramycin [31]</w:t>
            </w:r>
          </w:p>
          <w:p w14:paraId="2F118DF9" w14:textId="77777777" w:rsidR="000C51B3" w:rsidRPr="002F09C4" w:rsidRDefault="000C51B3" w:rsidP="00147876">
            <w:pPr>
              <w:rPr>
                <w:sz w:val="20"/>
                <w:szCs w:val="20"/>
              </w:rPr>
            </w:pPr>
          </w:p>
          <w:p w14:paraId="4F804F4A" w14:textId="77777777" w:rsidR="000C51B3" w:rsidRPr="002F09C4" w:rsidRDefault="000C51B3" w:rsidP="00147876">
            <w:pPr>
              <w:rPr>
                <w:sz w:val="20"/>
                <w:szCs w:val="20"/>
              </w:rPr>
            </w:pPr>
          </w:p>
          <w:p w14:paraId="086EAED1" w14:textId="77777777" w:rsidR="000C51B3" w:rsidRPr="002F09C4" w:rsidRDefault="000C51B3" w:rsidP="00147876">
            <w:pPr>
              <w:rPr>
                <w:sz w:val="20"/>
                <w:szCs w:val="20"/>
              </w:rPr>
            </w:pPr>
          </w:p>
          <w:p w14:paraId="19352EBE" w14:textId="77777777" w:rsidR="000C51B3" w:rsidRPr="002F09C4" w:rsidRDefault="000C51B3" w:rsidP="00147876">
            <w:pPr>
              <w:rPr>
                <w:sz w:val="20"/>
                <w:szCs w:val="20"/>
              </w:rPr>
            </w:pPr>
          </w:p>
          <w:p w14:paraId="284EE5F3" w14:textId="77777777" w:rsidR="000C51B3" w:rsidRPr="002F09C4" w:rsidRDefault="000C51B3" w:rsidP="00147876">
            <w:pPr>
              <w:rPr>
                <w:sz w:val="20"/>
                <w:szCs w:val="20"/>
              </w:rPr>
            </w:pPr>
            <w:r w:rsidRPr="002F09C4">
              <w:rPr>
                <w:sz w:val="20"/>
                <w:szCs w:val="20"/>
              </w:rPr>
              <w:t>Tobramycin [32]</w:t>
            </w:r>
          </w:p>
          <w:p w14:paraId="75D85438" w14:textId="77777777" w:rsidR="000C51B3" w:rsidRPr="002F09C4" w:rsidRDefault="000C51B3" w:rsidP="00147876">
            <w:pPr>
              <w:rPr>
                <w:sz w:val="20"/>
                <w:szCs w:val="20"/>
              </w:rPr>
            </w:pPr>
          </w:p>
          <w:p w14:paraId="0723EA59" w14:textId="77777777" w:rsidR="000C51B3" w:rsidRPr="002F09C4" w:rsidRDefault="000C51B3" w:rsidP="00147876">
            <w:pPr>
              <w:rPr>
                <w:sz w:val="20"/>
                <w:szCs w:val="20"/>
              </w:rPr>
            </w:pPr>
          </w:p>
          <w:p w14:paraId="07E21182" w14:textId="77777777" w:rsidR="000C51B3" w:rsidRPr="002F09C4" w:rsidRDefault="000C51B3" w:rsidP="00147876">
            <w:pPr>
              <w:rPr>
                <w:sz w:val="20"/>
                <w:szCs w:val="20"/>
              </w:rPr>
            </w:pPr>
          </w:p>
          <w:p w14:paraId="06C64C0C" w14:textId="77777777" w:rsidR="000C51B3" w:rsidRPr="002F09C4" w:rsidRDefault="000C51B3" w:rsidP="00147876">
            <w:pPr>
              <w:rPr>
                <w:sz w:val="20"/>
                <w:szCs w:val="20"/>
              </w:rPr>
            </w:pPr>
            <w:r w:rsidRPr="002F09C4">
              <w:rPr>
                <w:sz w:val="20"/>
                <w:szCs w:val="20"/>
              </w:rPr>
              <w:t>Gentamicin [33]</w:t>
            </w:r>
          </w:p>
          <w:p w14:paraId="00601519" w14:textId="77777777" w:rsidR="000C51B3" w:rsidRPr="002F09C4" w:rsidRDefault="000C51B3" w:rsidP="00147876">
            <w:pPr>
              <w:rPr>
                <w:sz w:val="20"/>
                <w:szCs w:val="20"/>
              </w:rPr>
            </w:pPr>
          </w:p>
          <w:p w14:paraId="0115FE0F" w14:textId="77777777" w:rsidR="000C51B3" w:rsidRPr="002F09C4" w:rsidRDefault="000C51B3" w:rsidP="00147876">
            <w:pPr>
              <w:rPr>
                <w:sz w:val="20"/>
                <w:szCs w:val="20"/>
              </w:rPr>
            </w:pPr>
          </w:p>
          <w:p w14:paraId="43C02BBD" w14:textId="77777777" w:rsidR="000C51B3" w:rsidRPr="002F09C4" w:rsidRDefault="000C51B3" w:rsidP="00147876">
            <w:pPr>
              <w:rPr>
                <w:sz w:val="20"/>
                <w:szCs w:val="20"/>
              </w:rPr>
            </w:pPr>
          </w:p>
          <w:p w14:paraId="3E5AD2E8" w14:textId="77777777" w:rsidR="000C51B3" w:rsidRPr="002F09C4" w:rsidRDefault="000C51B3" w:rsidP="00147876">
            <w:pPr>
              <w:rPr>
                <w:sz w:val="20"/>
                <w:szCs w:val="20"/>
              </w:rPr>
            </w:pPr>
          </w:p>
          <w:p w14:paraId="3D59D3E4" w14:textId="77777777" w:rsidR="000C51B3" w:rsidRPr="002F09C4" w:rsidRDefault="000C51B3" w:rsidP="00147876">
            <w:pPr>
              <w:rPr>
                <w:sz w:val="20"/>
                <w:szCs w:val="20"/>
              </w:rPr>
            </w:pPr>
            <w:r w:rsidRPr="002F09C4">
              <w:rPr>
                <w:sz w:val="20"/>
                <w:szCs w:val="20"/>
              </w:rPr>
              <w:t>Netilmicin [34]</w:t>
            </w:r>
          </w:p>
          <w:p w14:paraId="3A22A1DA" w14:textId="77777777" w:rsidR="000C51B3" w:rsidRPr="002F09C4" w:rsidRDefault="000C51B3" w:rsidP="00147876">
            <w:pPr>
              <w:rPr>
                <w:sz w:val="20"/>
                <w:szCs w:val="20"/>
              </w:rPr>
            </w:pPr>
          </w:p>
          <w:p w14:paraId="5DA801BC" w14:textId="77777777" w:rsidR="000C51B3" w:rsidRPr="002F09C4" w:rsidRDefault="000C51B3" w:rsidP="00147876">
            <w:pPr>
              <w:rPr>
                <w:sz w:val="20"/>
                <w:szCs w:val="20"/>
              </w:rPr>
            </w:pPr>
          </w:p>
          <w:p w14:paraId="11576576" w14:textId="77777777" w:rsidR="000C51B3" w:rsidRPr="002F09C4" w:rsidRDefault="000C51B3" w:rsidP="00147876">
            <w:pPr>
              <w:rPr>
                <w:sz w:val="20"/>
                <w:szCs w:val="20"/>
              </w:rPr>
            </w:pPr>
          </w:p>
        </w:tc>
        <w:tc>
          <w:tcPr>
            <w:tcW w:w="2250" w:type="dxa"/>
          </w:tcPr>
          <w:p w14:paraId="60DC2360" w14:textId="77777777" w:rsidR="000C51B3" w:rsidRPr="002F09C4" w:rsidRDefault="000C51B3" w:rsidP="00147876">
            <w:pPr>
              <w:rPr>
                <w:sz w:val="20"/>
                <w:szCs w:val="20"/>
              </w:rPr>
            </w:pPr>
          </w:p>
          <w:p w14:paraId="78460CF6" w14:textId="77777777" w:rsidR="000C51B3" w:rsidRPr="002F09C4" w:rsidRDefault="000C51B3" w:rsidP="00147876">
            <w:pPr>
              <w:rPr>
                <w:sz w:val="20"/>
                <w:szCs w:val="20"/>
              </w:rPr>
            </w:pPr>
            <w:r w:rsidRPr="002F09C4">
              <w:rPr>
                <w:sz w:val="20"/>
                <w:szCs w:val="20"/>
              </w:rPr>
              <w:t>7-10 mg/kg IV once daily</w:t>
            </w:r>
          </w:p>
          <w:p w14:paraId="326C3992" w14:textId="77777777" w:rsidR="000C51B3" w:rsidRPr="002F09C4" w:rsidRDefault="000C51B3" w:rsidP="00147876">
            <w:pPr>
              <w:rPr>
                <w:sz w:val="20"/>
                <w:szCs w:val="20"/>
              </w:rPr>
            </w:pPr>
          </w:p>
          <w:p w14:paraId="7CE967C8" w14:textId="77777777" w:rsidR="000C51B3" w:rsidRPr="002F09C4" w:rsidRDefault="000C51B3" w:rsidP="00147876">
            <w:pPr>
              <w:rPr>
                <w:sz w:val="20"/>
                <w:szCs w:val="20"/>
              </w:rPr>
            </w:pPr>
          </w:p>
          <w:p w14:paraId="213F6A61" w14:textId="77777777" w:rsidR="000C51B3" w:rsidRPr="002F09C4" w:rsidRDefault="000C51B3" w:rsidP="00147876">
            <w:pPr>
              <w:rPr>
                <w:sz w:val="20"/>
                <w:szCs w:val="20"/>
              </w:rPr>
            </w:pPr>
            <w:r w:rsidRPr="002F09C4">
              <w:rPr>
                <w:sz w:val="20"/>
                <w:szCs w:val="20"/>
              </w:rPr>
              <w:t>Concentration-adjusted dosing</w:t>
            </w:r>
          </w:p>
          <w:p w14:paraId="18E0D57F" w14:textId="77777777" w:rsidR="000C51B3" w:rsidRPr="002F09C4" w:rsidRDefault="000C51B3" w:rsidP="00147876">
            <w:pPr>
              <w:rPr>
                <w:sz w:val="20"/>
                <w:szCs w:val="20"/>
              </w:rPr>
            </w:pPr>
          </w:p>
          <w:p w14:paraId="046B1CD7" w14:textId="77777777" w:rsidR="000C51B3" w:rsidRPr="002F09C4" w:rsidRDefault="000C51B3" w:rsidP="00147876">
            <w:pPr>
              <w:rPr>
                <w:sz w:val="20"/>
                <w:szCs w:val="20"/>
              </w:rPr>
            </w:pPr>
          </w:p>
          <w:p w14:paraId="1C3E2452" w14:textId="77777777" w:rsidR="000C51B3" w:rsidRPr="002F09C4" w:rsidRDefault="000C51B3" w:rsidP="00147876">
            <w:pPr>
              <w:rPr>
                <w:sz w:val="20"/>
                <w:szCs w:val="20"/>
              </w:rPr>
            </w:pPr>
          </w:p>
          <w:p w14:paraId="17042AD1" w14:textId="77777777" w:rsidR="000C51B3" w:rsidRPr="002F09C4" w:rsidRDefault="000C51B3" w:rsidP="00147876">
            <w:pPr>
              <w:rPr>
                <w:sz w:val="20"/>
                <w:szCs w:val="20"/>
              </w:rPr>
            </w:pPr>
            <w:r w:rsidRPr="002F09C4">
              <w:rPr>
                <w:sz w:val="20"/>
                <w:szCs w:val="20"/>
              </w:rPr>
              <w:t>150 mg IM single dose</w:t>
            </w:r>
          </w:p>
          <w:p w14:paraId="15EB6347" w14:textId="77777777" w:rsidR="000C51B3" w:rsidRPr="002F09C4" w:rsidRDefault="000C51B3" w:rsidP="00147876">
            <w:pPr>
              <w:rPr>
                <w:sz w:val="20"/>
                <w:szCs w:val="20"/>
              </w:rPr>
            </w:pPr>
            <w:r w:rsidRPr="002F09C4">
              <w:rPr>
                <w:sz w:val="20"/>
                <w:szCs w:val="20"/>
              </w:rPr>
              <w:t xml:space="preserve">300 mg IM once daily x 4 days </w:t>
            </w:r>
          </w:p>
          <w:p w14:paraId="024C5BFC" w14:textId="77777777" w:rsidR="000C51B3" w:rsidRPr="002F09C4" w:rsidRDefault="000C51B3" w:rsidP="00147876">
            <w:pPr>
              <w:rPr>
                <w:sz w:val="20"/>
                <w:szCs w:val="20"/>
              </w:rPr>
            </w:pPr>
          </w:p>
          <w:p w14:paraId="46718712" w14:textId="77777777" w:rsidR="000C51B3" w:rsidRPr="002F09C4" w:rsidRDefault="000C51B3" w:rsidP="00147876">
            <w:pPr>
              <w:rPr>
                <w:sz w:val="20"/>
                <w:szCs w:val="20"/>
              </w:rPr>
            </w:pPr>
            <w:r w:rsidRPr="002F09C4">
              <w:rPr>
                <w:sz w:val="20"/>
                <w:szCs w:val="20"/>
              </w:rPr>
              <w:t>240 mg IV once daily</w:t>
            </w:r>
          </w:p>
          <w:p w14:paraId="0C57A40C" w14:textId="77777777" w:rsidR="000C51B3" w:rsidRPr="002F09C4" w:rsidRDefault="000C51B3" w:rsidP="00147876">
            <w:pPr>
              <w:rPr>
                <w:sz w:val="20"/>
                <w:szCs w:val="20"/>
              </w:rPr>
            </w:pPr>
          </w:p>
          <w:p w14:paraId="193D170F" w14:textId="77777777" w:rsidR="000C51B3" w:rsidRPr="002F09C4" w:rsidRDefault="000C51B3" w:rsidP="00147876">
            <w:pPr>
              <w:rPr>
                <w:sz w:val="20"/>
                <w:szCs w:val="20"/>
              </w:rPr>
            </w:pPr>
          </w:p>
          <w:p w14:paraId="57AA64DA" w14:textId="77777777" w:rsidR="000C51B3" w:rsidRPr="002F09C4" w:rsidRDefault="000C51B3" w:rsidP="00147876">
            <w:pPr>
              <w:rPr>
                <w:sz w:val="20"/>
                <w:szCs w:val="20"/>
              </w:rPr>
            </w:pPr>
          </w:p>
          <w:p w14:paraId="3EEBE732" w14:textId="77777777" w:rsidR="000C51B3" w:rsidRPr="002F09C4" w:rsidRDefault="000C51B3" w:rsidP="00147876">
            <w:pPr>
              <w:rPr>
                <w:sz w:val="20"/>
                <w:szCs w:val="20"/>
              </w:rPr>
            </w:pPr>
          </w:p>
          <w:p w14:paraId="7B11477F" w14:textId="77777777" w:rsidR="000C51B3" w:rsidRPr="002F09C4" w:rsidRDefault="000C51B3" w:rsidP="00147876">
            <w:pPr>
              <w:rPr>
                <w:sz w:val="20"/>
                <w:szCs w:val="20"/>
              </w:rPr>
            </w:pPr>
            <w:r w:rsidRPr="002F09C4">
              <w:rPr>
                <w:sz w:val="20"/>
                <w:szCs w:val="20"/>
              </w:rPr>
              <w:t>450 mg IV single dose</w:t>
            </w:r>
          </w:p>
        </w:tc>
        <w:tc>
          <w:tcPr>
            <w:tcW w:w="3060" w:type="dxa"/>
          </w:tcPr>
          <w:p w14:paraId="60F0C746" w14:textId="77777777" w:rsidR="000C51B3" w:rsidRPr="002F09C4" w:rsidRDefault="000C51B3" w:rsidP="00147876">
            <w:pPr>
              <w:rPr>
                <w:sz w:val="20"/>
                <w:szCs w:val="20"/>
              </w:rPr>
            </w:pPr>
          </w:p>
          <w:p w14:paraId="1019B740" w14:textId="77777777" w:rsidR="000C51B3" w:rsidRPr="002F09C4" w:rsidRDefault="000C51B3" w:rsidP="00147876">
            <w:pPr>
              <w:rPr>
                <w:sz w:val="20"/>
                <w:szCs w:val="20"/>
              </w:rPr>
            </w:pPr>
            <w:r w:rsidRPr="002F09C4">
              <w:rPr>
                <w:sz w:val="20"/>
                <w:szCs w:val="20"/>
              </w:rPr>
              <w:t>~12% (range: 0.8%-12.8%)</w:t>
            </w:r>
          </w:p>
          <w:p w14:paraId="4597DE87" w14:textId="77777777" w:rsidR="000C51B3" w:rsidRPr="002F09C4" w:rsidRDefault="000C51B3" w:rsidP="00147876">
            <w:pPr>
              <w:rPr>
                <w:sz w:val="20"/>
                <w:szCs w:val="20"/>
              </w:rPr>
            </w:pPr>
          </w:p>
          <w:p w14:paraId="6E40B76F" w14:textId="77777777" w:rsidR="000C51B3" w:rsidRPr="002F09C4" w:rsidRDefault="000C51B3" w:rsidP="00147876">
            <w:pPr>
              <w:rPr>
                <w:sz w:val="20"/>
                <w:szCs w:val="20"/>
              </w:rPr>
            </w:pPr>
          </w:p>
          <w:p w14:paraId="43CA07B9" w14:textId="77777777" w:rsidR="000C51B3" w:rsidRPr="002F09C4" w:rsidRDefault="000C51B3" w:rsidP="00147876">
            <w:pPr>
              <w:rPr>
                <w:sz w:val="20"/>
                <w:szCs w:val="20"/>
              </w:rPr>
            </w:pPr>
            <w:r w:rsidRPr="002F09C4">
              <w:rPr>
                <w:sz w:val="20"/>
                <w:szCs w:val="20"/>
              </w:rPr>
              <w:t>0.5-hour:    30 ± 3 %</w:t>
            </w:r>
          </w:p>
          <w:p w14:paraId="38971B59" w14:textId="77777777" w:rsidR="000C51B3" w:rsidRPr="002F09C4" w:rsidRDefault="000C51B3" w:rsidP="00147876">
            <w:pPr>
              <w:rPr>
                <w:sz w:val="20"/>
                <w:szCs w:val="20"/>
              </w:rPr>
            </w:pPr>
            <w:r w:rsidRPr="002F09C4">
              <w:rPr>
                <w:sz w:val="20"/>
                <w:szCs w:val="20"/>
              </w:rPr>
              <w:t>2.0-hour:    42 ± 16 %</w:t>
            </w:r>
          </w:p>
          <w:p w14:paraId="180108B1" w14:textId="77777777" w:rsidR="000C51B3" w:rsidRPr="002F09C4" w:rsidRDefault="000C51B3" w:rsidP="00147876">
            <w:pPr>
              <w:rPr>
                <w:sz w:val="20"/>
                <w:szCs w:val="20"/>
              </w:rPr>
            </w:pPr>
            <w:r w:rsidRPr="002F09C4">
              <w:rPr>
                <w:sz w:val="20"/>
                <w:szCs w:val="20"/>
              </w:rPr>
              <w:t>4.0-hour:    64 ± 37 %</w:t>
            </w:r>
          </w:p>
          <w:p w14:paraId="7AB71C3B" w14:textId="77777777" w:rsidR="000C51B3" w:rsidRPr="002F09C4" w:rsidRDefault="000C51B3" w:rsidP="00147876">
            <w:pPr>
              <w:rPr>
                <w:sz w:val="20"/>
                <w:szCs w:val="20"/>
              </w:rPr>
            </w:pPr>
            <w:r w:rsidRPr="002F09C4">
              <w:rPr>
                <w:sz w:val="20"/>
                <w:szCs w:val="20"/>
              </w:rPr>
              <w:t>8.0-hour:  153 ± 76 %</w:t>
            </w:r>
          </w:p>
          <w:p w14:paraId="5DC2EA89" w14:textId="77777777" w:rsidR="000C51B3" w:rsidRPr="002F09C4" w:rsidRDefault="000C51B3" w:rsidP="00147876">
            <w:pPr>
              <w:rPr>
                <w:sz w:val="20"/>
                <w:szCs w:val="20"/>
              </w:rPr>
            </w:pPr>
          </w:p>
          <w:p w14:paraId="19AC6137" w14:textId="77777777" w:rsidR="000C51B3" w:rsidRPr="002F09C4" w:rsidRDefault="000C51B3" w:rsidP="00147876">
            <w:pPr>
              <w:rPr>
                <w:sz w:val="20"/>
                <w:szCs w:val="20"/>
              </w:rPr>
            </w:pPr>
            <w:r w:rsidRPr="002F09C4">
              <w:rPr>
                <w:sz w:val="20"/>
                <w:szCs w:val="20"/>
              </w:rPr>
              <w:t>140 ± 80 %</w:t>
            </w:r>
          </w:p>
          <w:p w14:paraId="051A2D7C" w14:textId="77777777" w:rsidR="000C51B3" w:rsidRPr="002F09C4" w:rsidRDefault="000C51B3" w:rsidP="00147876">
            <w:pPr>
              <w:rPr>
                <w:sz w:val="20"/>
                <w:szCs w:val="20"/>
              </w:rPr>
            </w:pPr>
            <w:r w:rsidRPr="002F09C4">
              <w:rPr>
                <w:sz w:val="20"/>
                <w:szCs w:val="20"/>
              </w:rPr>
              <w:t>160 ± 60 %</w:t>
            </w:r>
          </w:p>
          <w:p w14:paraId="584FB1DB" w14:textId="77777777" w:rsidR="000C51B3" w:rsidRPr="002F09C4" w:rsidRDefault="000C51B3" w:rsidP="00147876">
            <w:pPr>
              <w:rPr>
                <w:sz w:val="20"/>
                <w:szCs w:val="20"/>
              </w:rPr>
            </w:pPr>
          </w:p>
          <w:p w14:paraId="0467072A" w14:textId="77777777" w:rsidR="000C51B3" w:rsidRPr="002F09C4" w:rsidRDefault="000C51B3" w:rsidP="00147876">
            <w:pPr>
              <w:rPr>
                <w:sz w:val="20"/>
                <w:szCs w:val="20"/>
              </w:rPr>
            </w:pPr>
          </w:p>
          <w:p w14:paraId="7F8A793F" w14:textId="77777777" w:rsidR="000C51B3" w:rsidRPr="002F09C4" w:rsidRDefault="000C51B3" w:rsidP="00147876">
            <w:pPr>
              <w:rPr>
                <w:sz w:val="20"/>
                <w:szCs w:val="20"/>
              </w:rPr>
            </w:pPr>
            <w:r w:rsidRPr="002F09C4">
              <w:rPr>
                <w:sz w:val="20"/>
                <w:szCs w:val="20"/>
              </w:rPr>
              <w:t>1.0-hour:    30 ± 5 %</w:t>
            </w:r>
          </w:p>
          <w:p w14:paraId="7E5A5F6B" w14:textId="77777777" w:rsidR="000C51B3" w:rsidRPr="002F09C4" w:rsidRDefault="000C51B3" w:rsidP="00147876">
            <w:pPr>
              <w:rPr>
                <w:sz w:val="20"/>
                <w:szCs w:val="20"/>
              </w:rPr>
            </w:pPr>
            <w:r w:rsidRPr="002F09C4">
              <w:rPr>
                <w:sz w:val="20"/>
                <w:szCs w:val="20"/>
              </w:rPr>
              <w:t>2.0-hour:    85 ± 10 %</w:t>
            </w:r>
          </w:p>
          <w:p w14:paraId="6C0B7DAF" w14:textId="77777777" w:rsidR="000C51B3" w:rsidRPr="002F09C4" w:rsidRDefault="000C51B3" w:rsidP="00147876">
            <w:pPr>
              <w:rPr>
                <w:sz w:val="20"/>
                <w:szCs w:val="20"/>
              </w:rPr>
            </w:pPr>
            <w:r w:rsidRPr="002F09C4">
              <w:rPr>
                <w:sz w:val="20"/>
                <w:szCs w:val="20"/>
              </w:rPr>
              <w:t>4.0-hour:  114 ± 26 %</w:t>
            </w:r>
          </w:p>
          <w:p w14:paraId="0FE19F7C" w14:textId="77777777" w:rsidR="000C51B3" w:rsidRPr="002F09C4" w:rsidRDefault="000C51B3" w:rsidP="00147876">
            <w:pPr>
              <w:rPr>
                <w:sz w:val="20"/>
                <w:szCs w:val="20"/>
              </w:rPr>
            </w:pPr>
            <w:r w:rsidRPr="002F09C4">
              <w:rPr>
                <w:sz w:val="20"/>
                <w:szCs w:val="20"/>
              </w:rPr>
              <w:t>6.0-hour:    74 ± 18 %</w:t>
            </w:r>
          </w:p>
          <w:p w14:paraId="5DB003BB" w14:textId="77777777" w:rsidR="000C51B3" w:rsidRPr="002F09C4" w:rsidRDefault="000C51B3" w:rsidP="00147876">
            <w:pPr>
              <w:rPr>
                <w:sz w:val="20"/>
                <w:szCs w:val="20"/>
              </w:rPr>
            </w:pPr>
          </w:p>
          <w:p w14:paraId="448BF2CD" w14:textId="77777777" w:rsidR="000C51B3" w:rsidRPr="002F09C4" w:rsidRDefault="000C51B3" w:rsidP="00147876">
            <w:pPr>
              <w:rPr>
                <w:sz w:val="20"/>
                <w:szCs w:val="20"/>
              </w:rPr>
            </w:pPr>
            <w:r w:rsidRPr="002F09C4">
              <w:rPr>
                <w:sz w:val="20"/>
                <w:szCs w:val="20"/>
              </w:rPr>
              <w:t>1.0-hour:     35%</w:t>
            </w:r>
          </w:p>
          <w:p w14:paraId="47EE8275" w14:textId="77777777" w:rsidR="000C51B3" w:rsidRPr="002F09C4" w:rsidRDefault="000C51B3" w:rsidP="00147876">
            <w:pPr>
              <w:rPr>
                <w:sz w:val="20"/>
                <w:szCs w:val="20"/>
              </w:rPr>
            </w:pPr>
            <w:r w:rsidRPr="002F09C4">
              <w:rPr>
                <w:sz w:val="20"/>
                <w:szCs w:val="20"/>
              </w:rPr>
              <w:t>2.0-hour:     78%</w:t>
            </w:r>
          </w:p>
          <w:p w14:paraId="240F9022" w14:textId="77777777" w:rsidR="000C51B3" w:rsidRPr="002F09C4" w:rsidRDefault="000C51B3" w:rsidP="00147876">
            <w:pPr>
              <w:rPr>
                <w:sz w:val="20"/>
                <w:szCs w:val="20"/>
              </w:rPr>
            </w:pPr>
            <w:r w:rsidRPr="002F09C4">
              <w:rPr>
                <w:sz w:val="20"/>
                <w:szCs w:val="20"/>
              </w:rPr>
              <w:t>3.0-hour:   177%</w:t>
            </w:r>
          </w:p>
          <w:p w14:paraId="041922BA" w14:textId="77777777" w:rsidR="000C51B3" w:rsidRPr="002F09C4" w:rsidRDefault="000C51B3" w:rsidP="00147876">
            <w:pPr>
              <w:rPr>
                <w:sz w:val="20"/>
                <w:szCs w:val="20"/>
              </w:rPr>
            </w:pPr>
            <w:r w:rsidRPr="002F09C4">
              <w:rPr>
                <w:sz w:val="20"/>
                <w:szCs w:val="20"/>
              </w:rPr>
              <w:t>4.0-hour:   145%</w:t>
            </w:r>
          </w:p>
          <w:p w14:paraId="5355D9CA" w14:textId="77777777" w:rsidR="000C51B3" w:rsidRPr="002F09C4" w:rsidRDefault="000C51B3" w:rsidP="00147876">
            <w:pPr>
              <w:rPr>
                <w:sz w:val="20"/>
                <w:szCs w:val="20"/>
              </w:rPr>
            </w:pPr>
          </w:p>
        </w:tc>
        <w:tc>
          <w:tcPr>
            <w:tcW w:w="3690" w:type="dxa"/>
          </w:tcPr>
          <w:p w14:paraId="1F90F845" w14:textId="77777777" w:rsidR="000C51B3" w:rsidRPr="002F09C4" w:rsidRDefault="000C51B3" w:rsidP="00147876">
            <w:pPr>
              <w:rPr>
                <w:sz w:val="20"/>
                <w:szCs w:val="20"/>
              </w:rPr>
            </w:pPr>
          </w:p>
          <w:p w14:paraId="17913966" w14:textId="77777777" w:rsidR="000C51B3" w:rsidRPr="002F09C4" w:rsidRDefault="000C51B3" w:rsidP="00147876">
            <w:pPr>
              <w:rPr>
                <w:sz w:val="20"/>
                <w:szCs w:val="20"/>
              </w:rPr>
            </w:pPr>
            <w:r w:rsidRPr="002F09C4">
              <w:rPr>
                <w:sz w:val="20"/>
                <w:szCs w:val="20"/>
              </w:rPr>
              <w:t>Single sampling time at 30 minutes after end of 30-minute infusion</w:t>
            </w:r>
          </w:p>
          <w:p w14:paraId="3953B8B9" w14:textId="77777777" w:rsidR="000C51B3" w:rsidRPr="002F09C4" w:rsidRDefault="000C51B3" w:rsidP="00147876">
            <w:pPr>
              <w:rPr>
                <w:sz w:val="20"/>
                <w:szCs w:val="20"/>
              </w:rPr>
            </w:pPr>
          </w:p>
          <w:p w14:paraId="5BE273A9" w14:textId="77777777" w:rsidR="000C51B3" w:rsidRPr="002F09C4" w:rsidRDefault="000C51B3" w:rsidP="00147876">
            <w:pPr>
              <w:rPr>
                <w:sz w:val="20"/>
                <w:szCs w:val="20"/>
              </w:rPr>
            </w:pPr>
          </w:p>
          <w:p w14:paraId="197C0E29" w14:textId="77777777" w:rsidR="000C51B3" w:rsidRPr="002F09C4" w:rsidRDefault="000C51B3" w:rsidP="00147876">
            <w:pPr>
              <w:rPr>
                <w:sz w:val="20"/>
                <w:szCs w:val="20"/>
              </w:rPr>
            </w:pPr>
          </w:p>
          <w:p w14:paraId="473806B9" w14:textId="77777777" w:rsidR="000C51B3" w:rsidRPr="002F09C4" w:rsidRDefault="000C51B3" w:rsidP="00147876">
            <w:pPr>
              <w:rPr>
                <w:sz w:val="20"/>
                <w:szCs w:val="20"/>
              </w:rPr>
            </w:pPr>
          </w:p>
          <w:p w14:paraId="4B66BA27" w14:textId="77777777" w:rsidR="000C51B3" w:rsidRPr="002F09C4" w:rsidRDefault="000C51B3" w:rsidP="00147876">
            <w:pPr>
              <w:rPr>
                <w:sz w:val="20"/>
                <w:szCs w:val="20"/>
              </w:rPr>
            </w:pPr>
          </w:p>
          <w:p w14:paraId="3F0046EE" w14:textId="77777777" w:rsidR="000C51B3" w:rsidRPr="002F09C4" w:rsidRDefault="000C51B3" w:rsidP="00147876">
            <w:pPr>
              <w:rPr>
                <w:sz w:val="20"/>
                <w:szCs w:val="20"/>
              </w:rPr>
            </w:pPr>
          </w:p>
          <w:p w14:paraId="08ADED5C" w14:textId="77777777" w:rsidR="000C51B3" w:rsidRPr="002F09C4" w:rsidRDefault="000C51B3" w:rsidP="00147876">
            <w:pPr>
              <w:rPr>
                <w:sz w:val="20"/>
                <w:szCs w:val="20"/>
              </w:rPr>
            </w:pPr>
            <w:r w:rsidRPr="002F09C4">
              <w:rPr>
                <w:sz w:val="20"/>
                <w:szCs w:val="20"/>
              </w:rPr>
              <w:t>Single sampling time at 6 hours after end of 30-minute infusion</w:t>
            </w:r>
          </w:p>
          <w:p w14:paraId="13778E2F" w14:textId="77777777" w:rsidR="000C51B3" w:rsidRPr="002F09C4" w:rsidRDefault="000C51B3" w:rsidP="00147876">
            <w:pPr>
              <w:rPr>
                <w:sz w:val="20"/>
                <w:szCs w:val="20"/>
              </w:rPr>
            </w:pPr>
          </w:p>
          <w:p w14:paraId="6C96578B" w14:textId="77777777" w:rsidR="000C51B3" w:rsidRPr="002F09C4" w:rsidRDefault="000C51B3" w:rsidP="00147876">
            <w:pPr>
              <w:rPr>
                <w:sz w:val="20"/>
                <w:szCs w:val="20"/>
              </w:rPr>
            </w:pPr>
          </w:p>
          <w:p w14:paraId="5EA971B8" w14:textId="77777777" w:rsidR="000C51B3" w:rsidRPr="002F09C4" w:rsidRDefault="000C51B3" w:rsidP="00147876">
            <w:pPr>
              <w:rPr>
                <w:sz w:val="20"/>
                <w:szCs w:val="20"/>
              </w:rPr>
            </w:pPr>
          </w:p>
          <w:p w14:paraId="257C945C" w14:textId="77777777" w:rsidR="000C51B3" w:rsidRPr="002F09C4" w:rsidRDefault="000C51B3" w:rsidP="00147876">
            <w:pPr>
              <w:rPr>
                <w:sz w:val="20"/>
                <w:szCs w:val="20"/>
              </w:rPr>
            </w:pPr>
          </w:p>
          <w:p w14:paraId="37545235" w14:textId="77777777" w:rsidR="000C51B3" w:rsidRPr="002F09C4" w:rsidRDefault="000C51B3" w:rsidP="00147876">
            <w:pPr>
              <w:rPr>
                <w:sz w:val="20"/>
                <w:szCs w:val="20"/>
              </w:rPr>
            </w:pPr>
          </w:p>
          <w:p w14:paraId="38E28B5A" w14:textId="77777777" w:rsidR="000C51B3" w:rsidRPr="002F09C4" w:rsidRDefault="000C51B3" w:rsidP="00147876">
            <w:pPr>
              <w:rPr>
                <w:sz w:val="20"/>
                <w:szCs w:val="20"/>
              </w:rPr>
            </w:pPr>
          </w:p>
          <w:p w14:paraId="6608DC33" w14:textId="77777777" w:rsidR="000C51B3" w:rsidRPr="002F09C4" w:rsidRDefault="000C51B3" w:rsidP="00147876">
            <w:pPr>
              <w:rPr>
                <w:sz w:val="20"/>
                <w:szCs w:val="20"/>
              </w:rPr>
            </w:pPr>
          </w:p>
          <w:p w14:paraId="7CF48EEE" w14:textId="77777777" w:rsidR="000C51B3" w:rsidRPr="002F09C4" w:rsidRDefault="000C51B3" w:rsidP="00147876">
            <w:pPr>
              <w:rPr>
                <w:sz w:val="20"/>
                <w:szCs w:val="20"/>
              </w:rPr>
            </w:pPr>
            <w:r w:rsidRPr="002F09C4">
              <w:rPr>
                <w:sz w:val="20"/>
                <w:szCs w:val="20"/>
              </w:rPr>
              <w:t>Penetration ratios based on reported mean concentrations in plasma and lining fluid in original report</w:t>
            </w:r>
          </w:p>
        </w:tc>
      </w:tr>
      <w:tr w:rsidR="000C51B3" w:rsidRPr="002F09C4" w14:paraId="117FF5D8" w14:textId="77777777" w:rsidTr="00147876">
        <w:tc>
          <w:tcPr>
            <w:tcW w:w="1615" w:type="dxa"/>
          </w:tcPr>
          <w:p w14:paraId="4C9F5179" w14:textId="77777777" w:rsidR="000C51B3" w:rsidRPr="002F09C4" w:rsidRDefault="000C51B3" w:rsidP="00147876">
            <w:pPr>
              <w:rPr>
                <w:sz w:val="20"/>
                <w:szCs w:val="20"/>
              </w:rPr>
            </w:pPr>
            <w:r w:rsidRPr="002F09C4">
              <w:t>Beta-lactam beta-lactamase inhibitor combination product</w:t>
            </w:r>
          </w:p>
        </w:tc>
        <w:tc>
          <w:tcPr>
            <w:tcW w:w="2520" w:type="dxa"/>
          </w:tcPr>
          <w:p w14:paraId="17056221" w14:textId="77777777" w:rsidR="000C51B3" w:rsidRPr="002F09C4" w:rsidRDefault="000C51B3" w:rsidP="00147876">
            <w:pPr>
              <w:rPr>
                <w:sz w:val="20"/>
                <w:szCs w:val="20"/>
              </w:rPr>
            </w:pPr>
            <w:r w:rsidRPr="002F09C4">
              <w:rPr>
                <w:sz w:val="20"/>
                <w:szCs w:val="20"/>
              </w:rPr>
              <w:t>Piperacillin-tazobactam [35]</w:t>
            </w:r>
          </w:p>
          <w:p w14:paraId="4492574B" w14:textId="77777777" w:rsidR="000C51B3" w:rsidRPr="002F09C4" w:rsidRDefault="000C51B3" w:rsidP="00147876">
            <w:pPr>
              <w:rPr>
                <w:sz w:val="20"/>
                <w:szCs w:val="20"/>
              </w:rPr>
            </w:pPr>
          </w:p>
          <w:p w14:paraId="3D2BA0C7" w14:textId="77777777" w:rsidR="000C51B3" w:rsidRPr="002F09C4" w:rsidRDefault="000C51B3" w:rsidP="00147876">
            <w:pPr>
              <w:rPr>
                <w:sz w:val="20"/>
                <w:szCs w:val="20"/>
              </w:rPr>
            </w:pPr>
          </w:p>
          <w:p w14:paraId="4DC3C58A" w14:textId="77777777" w:rsidR="000C51B3" w:rsidRPr="002F09C4" w:rsidRDefault="000C51B3" w:rsidP="00147876">
            <w:pPr>
              <w:rPr>
                <w:sz w:val="20"/>
                <w:szCs w:val="20"/>
              </w:rPr>
            </w:pPr>
            <w:r w:rsidRPr="002F09C4">
              <w:rPr>
                <w:sz w:val="20"/>
                <w:szCs w:val="20"/>
              </w:rPr>
              <w:t>Piperacillin-tazobactam [36]</w:t>
            </w:r>
          </w:p>
          <w:p w14:paraId="6A7E1167" w14:textId="77777777" w:rsidR="000C51B3" w:rsidRPr="002F09C4" w:rsidRDefault="000C51B3" w:rsidP="00147876">
            <w:pPr>
              <w:rPr>
                <w:sz w:val="20"/>
                <w:szCs w:val="20"/>
              </w:rPr>
            </w:pPr>
          </w:p>
          <w:p w14:paraId="016E8732" w14:textId="77777777" w:rsidR="000C51B3" w:rsidRPr="002F09C4" w:rsidRDefault="000C51B3" w:rsidP="00147876">
            <w:pPr>
              <w:rPr>
                <w:sz w:val="20"/>
                <w:szCs w:val="20"/>
              </w:rPr>
            </w:pPr>
          </w:p>
          <w:p w14:paraId="0845366D" w14:textId="77777777" w:rsidR="000C51B3" w:rsidRPr="002F09C4" w:rsidRDefault="000C51B3" w:rsidP="00147876">
            <w:pPr>
              <w:rPr>
                <w:sz w:val="20"/>
                <w:szCs w:val="20"/>
              </w:rPr>
            </w:pPr>
          </w:p>
          <w:p w14:paraId="62459BFC" w14:textId="77777777" w:rsidR="000C51B3" w:rsidRPr="002F09C4" w:rsidRDefault="000C51B3" w:rsidP="00147876">
            <w:pPr>
              <w:rPr>
                <w:sz w:val="20"/>
                <w:szCs w:val="20"/>
              </w:rPr>
            </w:pPr>
          </w:p>
          <w:p w14:paraId="237DF438" w14:textId="77777777" w:rsidR="000C51B3" w:rsidRPr="002F09C4" w:rsidRDefault="000C51B3" w:rsidP="00147876">
            <w:pPr>
              <w:rPr>
                <w:sz w:val="20"/>
                <w:szCs w:val="20"/>
              </w:rPr>
            </w:pPr>
          </w:p>
          <w:p w14:paraId="320EC616" w14:textId="77777777" w:rsidR="000C51B3" w:rsidRPr="002F09C4" w:rsidRDefault="000C51B3" w:rsidP="00147876">
            <w:pPr>
              <w:rPr>
                <w:sz w:val="20"/>
                <w:szCs w:val="20"/>
              </w:rPr>
            </w:pPr>
          </w:p>
          <w:p w14:paraId="7BD2073D" w14:textId="77777777" w:rsidR="000C51B3" w:rsidRPr="002F09C4" w:rsidRDefault="000C51B3" w:rsidP="00147876">
            <w:pPr>
              <w:rPr>
                <w:sz w:val="20"/>
                <w:szCs w:val="20"/>
              </w:rPr>
            </w:pPr>
          </w:p>
          <w:p w14:paraId="436CB9C7" w14:textId="77777777" w:rsidR="000C51B3" w:rsidRPr="002F09C4" w:rsidRDefault="000C51B3" w:rsidP="00147876">
            <w:pPr>
              <w:rPr>
                <w:sz w:val="20"/>
                <w:szCs w:val="20"/>
              </w:rPr>
            </w:pPr>
          </w:p>
          <w:p w14:paraId="3D1FE2A2" w14:textId="77777777" w:rsidR="000C51B3" w:rsidRPr="002F09C4" w:rsidRDefault="000C51B3" w:rsidP="00147876">
            <w:pPr>
              <w:rPr>
                <w:sz w:val="20"/>
                <w:szCs w:val="20"/>
              </w:rPr>
            </w:pPr>
          </w:p>
          <w:p w14:paraId="0B462471" w14:textId="77777777" w:rsidR="000C51B3" w:rsidRPr="002F09C4" w:rsidRDefault="000C51B3" w:rsidP="00147876">
            <w:pPr>
              <w:rPr>
                <w:sz w:val="20"/>
                <w:szCs w:val="20"/>
              </w:rPr>
            </w:pPr>
          </w:p>
          <w:p w14:paraId="1CF0B063" w14:textId="77777777" w:rsidR="000C51B3" w:rsidRPr="002F09C4" w:rsidRDefault="000C51B3" w:rsidP="00147876">
            <w:pPr>
              <w:rPr>
                <w:sz w:val="20"/>
                <w:szCs w:val="20"/>
              </w:rPr>
            </w:pPr>
          </w:p>
          <w:p w14:paraId="58AB7551" w14:textId="77777777" w:rsidR="000C51B3" w:rsidRPr="002F09C4" w:rsidRDefault="000C51B3" w:rsidP="00147876">
            <w:pPr>
              <w:rPr>
                <w:sz w:val="20"/>
                <w:szCs w:val="20"/>
              </w:rPr>
            </w:pPr>
          </w:p>
          <w:p w14:paraId="44C09CD6" w14:textId="77777777" w:rsidR="000C51B3" w:rsidRPr="002F09C4" w:rsidRDefault="000C51B3" w:rsidP="00147876">
            <w:pPr>
              <w:rPr>
                <w:sz w:val="20"/>
                <w:szCs w:val="20"/>
              </w:rPr>
            </w:pPr>
          </w:p>
          <w:p w14:paraId="2C4D939D" w14:textId="77777777" w:rsidR="000C51B3" w:rsidRPr="002F09C4" w:rsidRDefault="000C51B3" w:rsidP="00147876">
            <w:pPr>
              <w:rPr>
                <w:sz w:val="20"/>
                <w:szCs w:val="20"/>
              </w:rPr>
            </w:pPr>
          </w:p>
          <w:p w14:paraId="3724A7A8" w14:textId="1E263B24" w:rsidR="000C51B3" w:rsidRPr="002F09C4" w:rsidRDefault="000C51B3" w:rsidP="00147876">
            <w:pPr>
              <w:rPr>
                <w:sz w:val="20"/>
                <w:szCs w:val="20"/>
              </w:rPr>
            </w:pPr>
            <w:r w:rsidRPr="002F09C4">
              <w:rPr>
                <w:sz w:val="20"/>
                <w:szCs w:val="20"/>
              </w:rPr>
              <w:t>Piperacillin-tazobactam [37</w:t>
            </w:r>
            <w:r w:rsidR="00AA63C6" w:rsidRPr="002F09C4">
              <w:t>••</w:t>
            </w:r>
            <w:r w:rsidRPr="002F09C4">
              <w:rPr>
                <w:sz w:val="20"/>
                <w:szCs w:val="20"/>
              </w:rPr>
              <w:t>]</w:t>
            </w:r>
          </w:p>
          <w:p w14:paraId="1440A5A9" w14:textId="77777777" w:rsidR="000C51B3" w:rsidRPr="002F09C4" w:rsidRDefault="000C51B3" w:rsidP="00147876">
            <w:pPr>
              <w:rPr>
                <w:sz w:val="20"/>
                <w:szCs w:val="20"/>
              </w:rPr>
            </w:pPr>
          </w:p>
          <w:p w14:paraId="0F1FFEC4" w14:textId="77777777" w:rsidR="000C51B3" w:rsidRPr="002F09C4" w:rsidRDefault="000C51B3" w:rsidP="00147876">
            <w:pPr>
              <w:rPr>
                <w:sz w:val="20"/>
                <w:szCs w:val="20"/>
              </w:rPr>
            </w:pPr>
          </w:p>
        </w:tc>
        <w:tc>
          <w:tcPr>
            <w:tcW w:w="2250" w:type="dxa"/>
          </w:tcPr>
          <w:p w14:paraId="597D6BC9" w14:textId="77777777" w:rsidR="000C51B3" w:rsidRPr="002F09C4" w:rsidRDefault="000C51B3" w:rsidP="00147876">
            <w:pPr>
              <w:rPr>
                <w:sz w:val="20"/>
                <w:szCs w:val="20"/>
              </w:rPr>
            </w:pPr>
            <w:r w:rsidRPr="002F09C4">
              <w:rPr>
                <w:sz w:val="20"/>
                <w:szCs w:val="20"/>
              </w:rPr>
              <w:lastRenderedPageBreak/>
              <w:t>4.5 g IV q8h</w:t>
            </w:r>
          </w:p>
          <w:p w14:paraId="3B9CDBE8" w14:textId="77777777" w:rsidR="000C51B3" w:rsidRPr="002F09C4" w:rsidRDefault="000C51B3" w:rsidP="00147876">
            <w:pPr>
              <w:rPr>
                <w:sz w:val="20"/>
                <w:szCs w:val="20"/>
              </w:rPr>
            </w:pPr>
          </w:p>
          <w:p w14:paraId="0BAD1D9D" w14:textId="77777777" w:rsidR="000C51B3" w:rsidRPr="002F09C4" w:rsidRDefault="000C51B3" w:rsidP="00147876">
            <w:pPr>
              <w:rPr>
                <w:sz w:val="20"/>
                <w:szCs w:val="20"/>
              </w:rPr>
            </w:pPr>
          </w:p>
          <w:p w14:paraId="0B55CAB5" w14:textId="77777777" w:rsidR="000C51B3" w:rsidRPr="002F09C4" w:rsidRDefault="000C51B3" w:rsidP="00147876">
            <w:pPr>
              <w:rPr>
                <w:sz w:val="20"/>
                <w:szCs w:val="20"/>
                <w:u w:val="single"/>
              </w:rPr>
            </w:pPr>
            <w:r w:rsidRPr="002F09C4">
              <w:rPr>
                <w:sz w:val="20"/>
                <w:szCs w:val="20"/>
                <w:u w:val="single"/>
              </w:rPr>
              <w:t>No/Mild Renal Failure:</w:t>
            </w:r>
          </w:p>
          <w:p w14:paraId="754E3DD8" w14:textId="77777777" w:rsidR="000C51B3" w:rsidRPr="002F09C4" w:rsidRDefault="000C51B3" w:rsidP="00147876">
            <w:pPr>
              <w:rPr>
                <w:sz w:val="20"/>
                <w:szCs w:val="20"/>
              </w:rPr>
            </w:pPr>
            <w:r w:rsidRPr="002F09C4">
              <w:rPr>
                <w:sz w:val="20"/>
                <w:szCs w:val="20"/>
              </w:rPr>
              <w:t>13.5 g/24 hours IV continuous infusion</w:t>
            </w:r>
          </w:p>
          <w:p w14:paraId="55A77B3B" w14:textId="77777777" w:rsidR="000C51B3" w:rsidRPr="002F09C4" w:rsidRDefault="000C51B3" w:rsidP="00147876">
            <w:pPr>
              <w:rPr>
                <w:sz w:val="20"/>
                <w:szCs w:val="20"/>
              </w:rPr>
            </w:pPr>
          </w:p>
          <w:p w14:paraId="152F78B4" w14:textId="77777777" w:rsidR="000C51B3" w:rsidRPr="002F09C4" w:rsidRDefault="000C51B3" w:rsidP="00147876">
            <w:pPr>
              <w:rPr>
                <w:sz w:val="20"/>
                <w:szCs w:val="20"/>
              </w:rPr>
            </w:pPr>
            <w:r w:rsidRPr="002F09C4">
              <w:rPr>
                <w:sz w:val="20"/>
                <w:szCs w:val="20"/>
              </w:rPr>
              <w:t>18 g/24 hours IV continuous infusion</w:t>
            </w:r>
          </w:p>
          <w:p w14:paraId="593644F1" w14:textId="77777777" w:rsidR="000C51B3" w:rsidRPr="002F09C4" w:rsidRDefault="000C51B3" w:rsidP="00147876">
            <w:pPr>
              <w:rPr>
                <w:sz w:val="20"/>
                <w:szCs w:val="20"/>
                <w:u w:val="single"/>
              </w:rPr>
            </w:pPr>
          </w:p>
          <w:p w14:paraId="11FFAA32" w14:textId="77777777" w:rsidR="000C51B3" w:rsidRPr="002F09C4" w:rsidRDefault="000C51B3" w:rsidP="00147876">
            <w:pPr>
              <w:rPr>
                <w:sz w:val="20"/>
                <w:szCs w:val="20"/>
                <w:u w:val="single"/>
              </w:rPr>
            </w:pPr>
            <w:r w:rsidRPr="002F09C4">
              <w:rPr>
                <w:sz w:val="20"/>
                <w:szCs w:val="20"/>
                <w:u w:val="single"/>
              </w:rPr>
              <w:t>Moderate/Advanced Renal Failure:</w:t>
            </w:r>
          </w:p>
          <w:p w14:paraId="1830EF12" w14:textId="77777777" w:rsidR="000C51B3" w:rsidRPr="002F09C4" w:rsidRDefault="000C51B3" w:rsidP="00147876">
            <w:pPr>
              <w:rPr>
                <w:sz w:val="20"/>
                <w:szCs w:val="20"/>
              </w:rPr>
            </w:pPr>
            <w:r w:rsidRPr="002F09C4">
              <w:rPr>
                <w:sz w:val="20"/>
                <w:szCs w:val="20"/>
              </w:rPr>
              <w:t>13.5 g/24 hours IV continuous infusion</w:t>
            </w:r>
          </w:p>
          <w:p w14:paraId="28505424" w14:textId="77777777" w:rsidR="000C51B3" w:rsidRPr="002F09C4" w:rsidRDefault="000C51B3" w:rsidP="00147876">
            <w:pPr>
              <w:rPr>
                <w:sz w:val="20"/>
                <w:szCs w:val="20"/>
              </w:rPr>
            </w:pPr>
          </w:p>
          <w:p w14:paraId="2CB8B14F" w14:textId="77777777" w:rsidR="000C51B3" w:rsidRPr="002F09C4" w:rsidRDefault="000C51B3" w:rsidP="00147876">
            <w:pPr>
              <w:rPr>
                <w:sz w:val="20"/>
                <w:szCs w:val="20"/>
              </w:rPr>
            </w:pPr>
            <w:r w:rsidRPr="002F09C4">
              <w:rPr>
                <w:sz w:val="20"/>
                <w:szCs w:val="20"/>
              </w:rPr>
              <w:t xml:space="preserve">18 g/24 hours IV </w:t>
            </w:r>
            <w:r w:rsidRPr="002F09C4">
              <w:rPr>
                <w:sz w:val="20"/>
                <w:szCs w:val="20"/>
              </w:rPr>
              <w:lastRenderedPageBreak/>
              <w:t>continuous infusion</w:t>
            </w:r>
          </w:p>
          <w:p w14:paraId="4477016F" w14:textId="77777777" w:rsidR="000C51B3" w:rsidRPr="002F09C4" w:rsidRDefault="000C51B3" w:rsidP="00147876">
            <w:pPr>
              <w:rPr>
                <w:sz w:val="20"/>
                <w:szCs w:val="20"/>
              </w:rPr>
            </w:pPr>
          </w:p>
          <w:p w14:paraId="247EE215" w14:textId="77777777" w:rsidR="000C51B3" w:rsidRPr="002F09C4" w:rsidRDefault="000C51B3" w:rsidP="00147876">
            <w:pPr>
              <w:rPr>
                <w:sz w:val="20"/>
                <w:szCs w:val="20"/>
              </w:rPr>
            </w:pPr>
            <w:r w:rsidRPr="002F09C4">
              <w:rPr>
                <w:sz w:val="20"/>
                <w:szCs w:val="20"/>
              </w:rPr>
              <w:t>4.5 g IV q8h or q12h</w:t>
            </w:r>
          </w:p>
        </w:tc>
        <w:tc>
          <w:tcPr>
            <w:tcW w:w="3060" w:type="dxa"/>
          </w:tcPr>
          <w:p w14:paraId="32B4028A" w14:textId="77777777" w:rsidR="000C51B3" w:rsidRPr="002F09C4" w:rsidRDefault="000C51B3" w:rsidP="00147876">
            <w:pPr>
              <w:rPr>
                <w:sz w:val="20"/>
                <w:szCs w:val="20"/>
              </w:rPr>
            </w:pPr>
            <w:r w:rsidRPr="002F09C4">
              <w:rPr>
                <w:sz w:val="20"/>
                <w:szCs w:val="20"/>
              </w:rPr>
              <w:lastRenderedPageBreak/>
              <w:t>P: 56.8 ± 33.6 %</w:t>
            </w:r>
          </w:p>
          <w:p w14:paraId="3ED249D7" w14:textId="77777777" w:rsidR="000C51B3" w:rsidRPr="002F09C4" w:rsidRDefault="000C51B3" w:rsidP="00147876">
            <w:pPr>
              <w:rPr>
                <w:sz w:val="20"/>
                <w:szCs w:val="20"/>
              </w:rPr>
            </w:pPr>
            <w:r w:rsidRPr="002F09C4">
              <w:rPr>
                <w:sz w:val="20"/>
                <w:szCs w:val="20"/>
              </w:rPr>
              <w:t>T: 91.3 ± 27.7 %</w:t>
            </w:r>
          </w:p>
          <w:p w14:paraId="2467918D" w14:textId="77777777" w:rsidR="000C51B3" w:rsidRPr="002F09C4" w:rsidRDefault="000C51B3" w:rsidP="00147876">
            <w:pPr>
              <w:rPr>
                <w:sz w:val="20"/>
                <w:szCs w:val="20"/>
              </w:rPr>
            </w:pPr>
          </w:p>
          <w:p w14:paraId="34479CE6" w14:textId="77777777" w:rsidR="000C51B3" w:rsidRPr="002F09C4" w:rsidRDefault="000C51B3" w:rsidP="00147876">
            <w:pPr>
              <w:rPr>
                <w:sz w:val="20"/>
                <w:szCs w:val="20"/>
              </w:rPr>
            </w:pPr>
          </w:p>
          <w:p w14:paraId="3A5AF2C1" w14:textId="77777777" w:rsidR="000C51B3" w:rsidRPr="002F09C4" w:rsidRDefault="000C51B3" w:rsidP="00147876">
            <w:pPr>
              <w:rPr>
                <w:sz w:val="20"/>
                <w:szCs w:val="20"/>
              </w:rPr>
            </w:pPr>
            <w:r w:rsidRPr="002F09C4">
              <w:rPr>
                <w:sz w:val="20"/>
                <w:szCs w:val="20"/>
              </w:rPr>
              <w:t>Median P: 46% (IQR: 29%-62%)</w:t>
            </w:r>
          </w:p>
          <w:p w14:paraId="4E1FAFBA" w14:textId="77777777" w:rsidR="000C51B3" w:rsidRPr="002F09C4" w:rsidRDefault="000C51B3" w:rsidP="00147876">
            <w:pPr>
              <w:rPr>
                <w:sz w:val="20"/>
                <w:szCs w:val="20"/>
              </w:rPr>
            </w:pPr>
            <w:r w:rsidRPr="002F09C4">
              <w:rPr>
                <w:sz w:val="20"/>
                <w:szCs w:val="20"/>
              </w:rPr>
              <w:t>Median T: 85% (IQR: 68%-132%)</w:t>
            </w:r>
          </w:p>
          <w:p w14:paraId="30A555B4" w14:textId="77777777" w:rsidR="000C51B3" w:rsidRPr="002F09C4" w:rsidRDefault="000C51B3" w:rsidP="00147876">
            <w:pPr>
              <w:rPr>
                <w:sz w:val="20"/>
                <w:szCs w:val="20"/>
              </w:rPr>
            </w:pPr>
          </w:p>
          <w:p w14:paraId="51D599C7" w14:textId="77777777" w:rsidR="000C51B3" w:rsidRPr="002F09C4" w:rsidRDefault="000C51B3" w:rsidP="00147876">
            <w:pPr>
              <w:rPr>
                <w:sz w:val="20"/>
                <w:szCs w:val="20"/>
              </w:rPr>
            </w:pPr>
            <w:r w:rsidRPr="002F09C4">
              <w:rPr>
                <w:sz w:val="20"/>
                <w:szCs w:val="20"/>
              </w:rPr>
              <w:t>Median P: 43% (IQR: 30%-65%)</w:t>
            </w:r>
          </w:p>
          <w:p w14:paraId="0A795AC3" w14:textId="77777777" w:rsidR="000C51B3" w:rsidRPr="002F09C4" w:rsidRDefault="000C51B3" w:rsidP="00147876">
            <w:pPr>
              <w:rPr>
                <w:sz w:val="20"/>
                <w:szCs w:val="20"/>
              </w:rPr>
            </w:pPr>
            <w:r w:rsidRPr="002F09C4">
              <w:rPr>
                <w:sz w:val="20"/>
                <w:szCs w:val="20"/>
              </w:rPr>
              <w:t>Median T: 84% (IQR: 50%-105%)</w:t>
            </w:r>
          </w:p>
          <w:p w14:paraId="6C9B9ACB" w14:textId="77777777" w:rsidR="000C51B3" w:rsidRPr="002F09C4" w:rsidRDefault="000C51B3" w:rsidP="00147876">
            <w:pPr>
              <w:rPr>
                <w:sz w:val="20"/>
                <w:szCs w:val="20"/>
              </w:rPr>
            </w:pPr>
          </w:p>
          <w:p w14:paraId="288E412D" w14:textId="77777777" w:rsidR="000C51B3" w:rsidRPr="002F09C4" w:rsidRDefault="000C51B3" w:rsidP="00147876">
            <w:pPr>
              <w:rPr>
                <w:sz w:val="20"/>
                <w:szCs w:val="20"/>
              </w:rPr>
            </w:pPr>
          </w:p>
          <w:p w14:paraId="746736AF" w14:textId="77777777" w:rsidR="000C51B3" w:rsidRPr="002F09C4" w:rsidRDefault="000C51B3" w:rsidP="00147876">
            <w:pPr>
              <w:rPr>
                <w:sz w:val="20"/>
                <w:szCs w:val="20"/>
              </w:rPr>
            </w:pPr>
          </w:p>
          <w:p w14:paraId="36A9C186" w14:textId="77777777" w:rsidR="000C51B3" w:rsidRPr="002F09C4" w:rsidRDefault="000C51B3" w:rsidP="00147876">
            <w:pPr>
              <w:rPr>
                <w:sz w:val="20"/>
                <w:szCs w:val="20"/>
              </w:rPr>
            </w:pPr>
            <w:r w:rsidRPr="002F09C4">
              <w:rPr>
                <w:sz w:val="20"/>
                <w:szCs w:val="20"/>
              </w:rPr>
              <w:t>Median P: 39% (IQR: 31%-48%)</w:t>
            </w:r>
          </w:p>
          <w:p w14:paraId="29720587" w14:textId="77777777" w:rsidR="000C51B3" w:rsidRPr="002F09C4" w:rsidRDefault="000C51B3" w:rsidP="00147876">
            <w:pPr>
              <w:rPr>
                <w:sz w:val="20"/>
                <w:szCs w:val="20"/>
              </w:rPr>
            </w:pPr>
            <w:r w:rsidRPr="002F09C4">
              <w:rPr>
                <w:sz w:val="20"/>
                <w:szCs w:val="20"/>
              </w:rPr>
              <w:t>Median T: 49% (IQR: 39%-69%)</w:t>
            </w:r>
          </w:p>
          <w:p w14:paraId="164AC956" w14:textId="77777777" w:rsidR="000C51B3" w:rsidRPr="002F09C4" w:rsidRDefault="000C51B3" w:rsidP="00147876">
            <w:pPr>
              <w:rPr>
                <w:sz w:val="20"/>
                <w:szCs w:val="20"/>
              </w:rPr>
            </w:pPr>
          </w:p>
          <w:p w14:paraId="4E1AB20C" w14:textId="77777777" w:rsidR="000C51B3" w:rsidRPr="002F09C4" w:rsidRDefault="000C51B3" w:rsidP="00147876">
            <w:pPr>
              <w:rPr>
                <w:sz w:val="20"/>
                <w:szCs w:val="20"/>
              </w:rPr>
            </w:pPr>
            <w:r w:rsidRPr="002F09C4">
              <w:rPr>
                <w:sz w:val="20"/>
                <w:szCs w:val="20"/>
              </w:rPr>
              <w:t>Median P: 85% (IQR: 60%-96%)</w:t>
            </w:r>
          </w:p>
          <w:p w14:paraId="712D4CF9" w14:textId="77777777" w:rsidR="000C51B3" w:rsidRPr="002F09C4" w:rsidRDefault="000C51B3" w:rsidP="00147876">
            <w:pPr>
              <w:rPr>
                <w:sz w:val="20"/>
                <w:szCs w:val="20"/>
              </w:rPr>
            </w:pPr>
            <w:r w:rsidRPr="002F09C4">
              <w:rPr>
                <w:sz w:val="20"/>
                <w:szCs w:val="20"/>
              </w:rPr>
              <w:lastRenderedPageBreak/>
              <w:t>Median T: 65% (IQR: 63%-80%)</w:t>
            </w:r>
          </w:p>
          <w:p w14:paraId="71EEEBC2" w14:textId="77777777" w:rsidR="000C51B3" w:rsidRPr="002F09C4" w:rsidRDefault="000C51B3" w:rsidP="00147876">
            <w:pPr>
              <w:rPr>
                <w:sz w:val="20"/>
                <w:szCs w:val="20"/>
              </w:rPr>
            </w:pPr>
          </w:p>
          <w:p w14:paraId="75D762B1" w14:textId="77777777" w:rsidR="000C51B3" w:rsidRPr="002F09C4" w:rsidRDefault="000C51B3" w:rsidP="00147876">
            <w:pPr>
              <w:rPr>
                <w:sz w:val="20"/>
                <w:szCs w:val="20"/>
              </w:rPr>
            </w:pPr>
            <w:r w:rsidRPr="002F09C4">
              <w:rPr>
                <w:sz w:val="20"/>
                <w:szCs w:val="20"/>
              </w:rPr>
              <w:t>Median P: 49.3% (range: 2.0%-515.9%)</w:t>
            </w:r>
          </w:p>
          <w:p w14:paraId="62F20BD2" w14:textId="77777777" w:rsidR="000C51B3" w:rsidRPr="002F09C4" w:rsidRDefault="000C51B3" w:rsidP="00147876">
            <w:pPr>
              <w:rPr>
                <w:sz w:val="20"/>
                <w:szCs w:val="20"/>
              </w:rPr>
            </w:pPr>
            <w:r w:rsidRPr="002F09C4">
              <w:rPr>
                <w:sz w:val="20"/>
                <w:szCs w:val="20"/>
              </w:rPr>
              <w:t>Median T: 121.2% (range: 11.0%-391.3%)</w:t>
            </w:r>
          </w:p>
          <w:p w14:paraId="7ABC6A4D" w14:textId="77777777" w:rsidR="000C51B3" w:rsidRPr="002F09C4" w:rsidRDefault="000C51B3" w:rsidP="00147876">
            <w:pPr>
              <w:rPr>
                <w:sz w:val="20"/>
                <w:szCs w:val="20"/>
              </w:rPr>
            </w:pPr>
          </w:p>
        </w:tc>
        <w:tc>
          <w:tcPr>
            <w:tcW w:w="3690" w:type="dxa"/>
          </w:tcPr>
          <w:p w14:paraId="29470535" w14:textId="77777777" w:rsidR="000C51B3" w:rsidRPr="002F09C4" w:rsidRDefault="000C51B3" w:rsidP="00147876">
            <w:pPr>
              <w:rPr>
                <w:sz w:val="20"/>
                <w:szCs w:val="20"/>
              </w:rPr>
            </w:pPr>
            <w:r w:rsidRPr="002F09C4">
              <w:rPr>
                <w:sz w:val="20"/>
                <w:szCs w:val="20"/>
              </w:rPr>
              <w:lastRenderedPageBreak/>
              <w:t>Penetration ratio (ELF/Plasma</w:t>
            </w:r>
            <w:r w:rsidRPr="002F09C4">
              <w:rPr>
                <w:sz w:val="20"/>
                <w:szCs w:val="20"/>
                <w:vertAlign w:val="subscript"/>
              </w:rPr>
              <w:t>total</w:t>
            </w:r>
            <w:r w:rsidRPr="002F09C4">
              <w:rPr>
                <w:sz w:val="20"/>
                <w:szCs w:val="20"/>
              </w:rPr>
              <w:t xml:space="preserve">) determined at single sampling time </w:t>
            </w:r>
          </w:p>
          <w:p w14:paraId="249F9833" w14:textId="77777777" w:rsidR="000C51B3" w:rsidRPr="002F09C4" w:rsidRDefault="000C51B3" w:rsidP="00147876">
            <w:pPr>
              <w:rPr>
                <w:sz w:val="20"/>
                <w:szCs w:val="20"/>
              </w:rPr>
            </w:pPr>
          </w:p>
          <w:p w14:paraId="199E9D1E" w14:textId="77777777" w:rsidR="000C51B3" w:rsidRPr="002F09C4" w:rsidRDefault="000C51B3" w:rsidP="00147876">
            <w:pPr>
              <w:rPr>
                <w:sz w:val="20"/>
                <w:szCs w:val="20"/>
              </w:rPr>
            </w:pPr>
            <w:r w:rsidRPr="002F09C4">
              <w:rPr>
                <w:sz w:val="20"/>
                <w:szCs w:val="20"/>
              </w:rPr>
              <w:t>Penetration ratio (ELF/Plasma</w:t>
            </w:r>
            <w:r w:rsidRPr="002F09C4">
              <w:rPr>
                <w:sz w:val="20"/>
                <w:szCs w:val="20"/>
                <w:vertAlign w:val="subscript"/>
              </w:rPr>
              <w:t>total</w:t>
            </w:r>
            <w:r w:rsidRPr="002F09C4">
              <w:rPr>
                <w:sz w:val="20"/>
                <w:szCs w:val="20"/>
              </w:rPr>
              <w:t xml:space="preserve">) determined at single sampling time </w:t>
            </w:r>
          </w:p>
          <w:p w14:paraId="74FE5166" w14:textId="77777777" w:rsidR="000C51B3" w:rsidRPr="002F09C4" w:rsidRDefault="000C51B3" w:rsidP="00147876">
            <w:pPr>
              <w:rPr>
                <w:sz w:val="20"/>
                <w:szCs w:val="20"/>
              </w:rPr>
            </w:pPr>
          </w:p>
          <w:p w14:paraId="5B85BD86" w14:textId="77777777" w:rsidR="000C51B3" w:rsidRPr="002F09C4" w:rsidRDefault="000C51B3" w:rsidP="00147876">
            <w:pPr>
              <w:rPr>
                <w:sz w:val="20"/>
                <w:szCs w:val="20"/>
              </w:rPr>
            </w:pPr>
          </w:p>
          <w:p w14:paraId="34C4A71B" w14:textId="77777777" w:rsidR="000C51B3" w:rsidRPr="002F09C4" w:rsidRDefault="000C51B3" w:rsidP="00147876">
            <w:pPr>
              <w:rPr>
                <w:sz w:val="20"/>
                <w:szCs w:val="20"/>
              </w:rPr>
            </w:pPr>
          </w:p>
          <w:p w14:paraId="774B8016" w14:textId="77777777" w:rsidR="000C51B3" w:rsidRPr="002F09C4" w:rsidRDefault="000C51B3" w:rsidP="00147876">
            <w:pPr>
              <w:rPr>
                <w:sz w:val="20"/>
                <w:szCs w:val="20"/>
              </w:rPr>
            </w:pPr>
          </w:p>
          <w:p w14:paraId="267DBE8F" w14:textId="77777777" w:rsidR="000C51B3" w:rsidRPr="002F09C4" w:rsidRDefault="000C51B3" w:rsidP="00147876">
            <w:pPr>
              <w:rPr>
                <w:sz w:val="20"/>
                <w:szCs w:val="20"/>
              </w:rPr>
            </w:pPr>
          </w:p>
          <w:p w14:paraId="41044373" w14:textId="77777777" w:rsidR="000C51B3" w:rsidRPr="002F09C4" w:rsidRDefault="000C51B3" w:rsidP="00147876">
            <w:pPr>
              <w:rPr>
                <w:sz w:val="20"/>
                <w:szCs w:val="20"/>
              </w:rPr>
            </w:pPr>
          </w:p>
          <w:p w14:paraId="5B9C61E6" w14:textId="77777777" w:rsidR="000C51B3" w:rsidRPr="002F09C4" w:rsidRDefault="000C51B3" w:rsidP="00147876">
            <w:pPr>
              <w:rPr>
                <w:sz w:val="20"/>
                <w:szCs w:val="20"/>
              </w:rPr>
            </w:pPr>
          </w:p>
          <w:p w14:paraId="1964AD91" w14:textId="77777777" w:rsidR="000C51B3" w:rsidRPr="002F09C4" w:rsidRDefault="000C51B3" w:rsidP="00147876">
            <w:pPr>
              <w:rPr>
                <w:sz w:val="20"/>
                <w:szCs w:val="20"/>
              </w:rPr>
            </w:pPr>
          </w:p>
          <w:p w14:paraId="46635490" w14:textId="77777777" w:rsidR="000C51B3" w:rsidRPr="002F09C4" w:rsidRDefault="000C51B3" w:rsidP="00147876">
            <w:pPr>
              <w:rPr>
                <w:sz w:val="20"/>
                <w:szCs w:val="20"/>
              </w:rPr>
            </w:pPr>
          </w:p>
          <w:p w14:paraId="6BAFFDB0" w14:textId="77777777" w:rsidR="000C51B3" w:rsidRPr="002F09C4" w:rsidRDefault="000C51B3" w:rsidP="00147876">
            <w:pPr>
              <w:rPr>
                <w:sz w:val="20"/>
                <w:szCs w:val="20"/>
              </w:rPr>
            </w:pPr>
          </w:p>
          <w:p w14:paraId="59A43FEC" w14:textId="77777777" w:rsidR="000C51B3" w:rsidRPr="002F09C4" w:rsidRDefault="000C51B3" w:rsidP="00147876">
            <w:pPr>
              <w:rPr>
                <w:sz w:val="20"/>
                <w:szCs w:val="20"/>
              </w:rPr>
            </w:pPr>
          </w:p>
          <w:p w14:paraId="0D352BA9" w14:textId="77777777" w:rsidR="000C51B3" w:rsidRPr="002F09C4" w:rsidRDefault="000C51B3" w:rsidP="00147876">
            <w:pPr>
              <w:rPr>
                <w:sz w:val="20"/>
                <w:szCs w:val="20"/>
              </w:rPr>
            </w:pPr>
          </w:p>
          <w:p w14:paraId="4BD8AD96" w14:textId="77777777" w:rsidR="000C51B3" w:rsidRPr="002F09C4" w:rsidRDefault="000C51B3" w:rsidP="00147876">
            <w:pPr>
              <w:rPr>
                <w:sz w:val="20"/>
                <w:szCs w:val="20"/>
              </w:rPr>
            </w:pPr>
          </w:p>
          <w:p w14:paraId="5288405D" w14:textId="77777777" w:rsidR="000C51B3" w:rsidRPr="002F09C4" w:rsidRDefault="000C51B3" w:rsidP="00147876">
            <w:pPr>
              <w:rPr>
                <w:sz w:val="20"/>
                <w:szCs w:val="20"/>
              </w:rPr>
            </w:pPr>
          </w:p>
          <w:p w14:paraId="501A06B4" w14:textId="77777777" w:rsidR="000C51B3" w:rsidRPr="002F09C4" w:rsidRDefault="000C51B3" w:rsidP="00147876">
            <w:pPr>
              <w:rPr>
                <w:sz w:val="20"/>
                <w:szCs w:val="20"/>
              </w:rPr>
            </w:pPr>
            <w:r w:rsidRPr="002F09C4">
              <w:rPr>
                <w:sz w:val="20"/>
                <w:szCs w:val="20"/>
              </w:rPr>
              <w:t>Penetration ratio determined as AUC</w:t>
            </w:r>
            <w:r w:rsidRPr="002F09C4">
              <w:rPr>
                <w:sz w:val="20"/>
                <w:szCs w:val="20"/>
                <w:vertAlign w:val="subscript"/>
              </w:rPr>
              <w:t>ELF</w:t>
            </w:r>
            <w:r w:rsidRPr="002F09C4">
              <w:rPr>
                <w:sz w:val="20"/>
                <w:szCs w:val="20"/>
              </w:rPr>
              <w:t>/AUC</w:t>
            </w:r>
            <w:r w:rsidRPr="002F09C4">
              <w:rPr>
                <w:sz w:val="20"/>
                <w:szCs w:val="20"/>
                <w:vertAlign w:val="subscript"/>
              </w:rPr>
              <w:t>unbound=plasma</w:t>
            </w:r>
          </w:p>
        </w:tc>
      </w:tr>
      <w:tr w:rsidR="000C51B3" w:rsidRPr="002F09C4" w14:paraId="6D0B4384" w14:textId="77777777" w:rsidTr="00147876">
        <w:tc>
          <w:tcPr>
            <w:tcW w:w="1615" w:type="dxa"/>
          </w:tcPr>
          <w:p w14:paraId="750719C3" w14:textId="77777777" w:rsidR="000C51B3" w:rsidRPr="002F09C4" w:rsidRDefault="000C51B3" w:rsidP="00147876">
            <w:pPr>
              <w:rPr>
                <w:sz w:val="20"/>
                <w:szCs w:val="20"/>
              </w:rPr>
            </w:pPr>
            <w:r w:rsidRPr="002F09C4">
              <w:rPr>
                <w:sz w:val="20"/>
                <w:szCs w:val="20"/>
              </w:rPr>
              <w:lastRenderedPageBreak/>
              <w:t>Carbapenem</w:t>
            </w:r>
          </w:p>
        </w:tc>
        <w:tc>
          <w:tcPr>
            <w:tcW w:w="2520" w:type="dxa"/>
          </w:tcPr>
          <w:p w14:paraId="2C7433D2" w14:textId="77777777" w:rsidR="000C51B3" w:rsidRPr="002F09C4" w:rsidRDefault="000C51B3" w:rsidP="00147876">
            <w:pPr>
              <w:rPr>
                <w:sz w:val="20"/>
                <w:szCs w:val="20"/>
              </w:rPr>
            </w:pPr>
            <w:r w:rsidRPr="002F09C4">
              <w:rPr>
                <w:sz w:val="20"/>
                <w:szCs w:val="20"/>
              </w:rPr>
              <w:t>Meropenem [38]</w:t>
            </w:r>
          </w:p>
          <w:p w14:paraId="00F4BB03" w14:textId="77777777" w:rsidR="000C51B3" w:rsidRPr="002F09C4" w:rsidRDefault="000C51B3" w:rsidP="00147876">
            <w:pPr>
              <w:rPr>
                <w:sz w:val="20"/>
                <w:szCs w:val="20"/>
              </w:rPr>
            </w:pPr>
          </w:p>
          <w:p w14:paraId="47B70CA6" w14:textId="77777777" w:rsidR="000C51B3" w:rsidRPr="002F09C4" w:rsidRDefault="000C51B3" w:rsidP="00147876">
            <w:pPr>
              <w:rPr>
                <w:sz w:val="20"/>
                <w:szCs w:val="20"/>
              </w:rPr>
            </w:pPr>
          </w:p>
          <w:p w14:paraId="546D1CBD" w14:textId="77777777" w:rsidR="000C51B3" w:rsidRPr="002F09C4" w:rsidRDefault="000C51B3" w:rsidP="00147876">
            <w:pPr>
              <w:rPr>
                <w:sz w:val="20"/>
                <w:szCs w:val="20"/>
              </w:rPr>
            </w:pPr>
          </w:p>
          <w:p w14:paraId="78F45B32" w14:textId="5E7A2D40" w:rsidR="000C51B3" w:rsidRPr="002F09C4" w:rsidRDefault="000C51B3" w:rsidP="00147876">
            <w:pPr>
              <w:rPr>
                <w:sz w:val="20"/>
                <w:szCs w:val="20"/>
              </w:rPr>
            </w:pPr>
            <w:r w:rsidRPr="002F09C4">
              <w:rPr>
                <w:sz w:val="20"/>
                <w:szCs w:val="20"/>
              </w:rPr>
              <w:t>Meropenem [39</w:t>
            </w:r>
            <w:r w:rsidR="00AA63C6" w:rsidRPr="002F09C4">
              <w:t>•</w:t>
            </w:r>
            <w:r w:rsidRPr="002F09C4">
              <w:rPr>
                <w:sz w:val="20"/>
                <w:szCs w:val="20"/>
              </w:rPr>
              <w:t>]</w:t>
            </w:r>
          </w:p>
          <w:p w14:paraId="515B7384" w14:textId="77777777" w:rsidR="000C51B3" w:rsidRPr="002F09C4" w:rsidRDefault="000C51B3" w:rsidP="00147876">
            <w:pPr>
              <w:rPr>
                <w:sz w:val="20"/>
                <w:szCs w:val="20"/>
              </w:rPr>
            </w:pPr>
          </w:p>
          <w:p w14:paraId="3C6B6D97" w14:textId="77777777" w:rsidR="000C51B3" w:rsidRPr="002F09C4" w:rsidRDefault="000C51B3" w:rsidP="00147876">
            <w:pPr>
              <w:rPr>
                <w:sz w:val="20"/>
                <w:szCs w:val="20"/>
              </w:rPr>
            </w:pPr>
          </w:p>
          <w:p w14:paraId="0057FD25" w14:textId="77777777" w:rsidR="000C51B3" w:rsidRPr="002F09C4" w:rsidRDefault="000C51B3" w:rsidP="00147876">
            <w:pPr>
              <w:rPr>
                <w:sz w:val="20"/>
                <w:szCs w:val="20"/>
              </w:rPr>
            </w:pPr>
          </w:p>
          <w:p w14:paraId="4A972C43" w14:textId="77777777" w:rsidR="000C51B3" w:rsidRPr="002F09C4" w:rsidRDefault="000C51B3" w:rsidP="00147876">
            <w:pPr>
              <w:rPr>
                <w:sz w:val="20"/>
                <w:szCs w:val="20"/>
              </w:rPr>
            </w:pPr>
          </w:p>
          <w:p w14:paraId="2489EC8C" w14:textId="77777777" w:rsidR="000C51B3" w:rsidRPr="002F09C4" w:rsidRDefault="000C51B3" w:rsidP="00147876">
            <w:pPr>
              <w:rPr>
                <w:sz w:val="20"/>
                <w:szCs w:val="20"/>
              </w:rPr>
            </w:pPr>
          </w:p>
          <w:p w14:paraId="5A446F6E" w14:textId="77777777" w:rsidR="000C51B3" w:rsidRPr="002F09C4" w:rsidRDefault="000C51B3" w:rsidP="00147876">
            <w:pPr>
              <w:rPr>
                <w:sz w:val="20"/>
                <w:szCs w:val="20"/>
              </w:rPr>
            </w:pPr>
            <w:r w:rsidRPr="002F09C4">
              <w:rPr>
                <w:sz w:val="20"/>
                <w:szCs w:val="20"/>
              </w:rPr>
              <w:t>Ertapenem [40]</w:t>
            </w:r>
          </w:p>
          <w:p w14:paraId="0E73AE20" w14:textId="77777777" w:rsidR="000C51B3" w:rsidRPr="002F09C4" w:rsidRDefault="000C51B3" w:rsidP="00147876">
            <w:pPr>
              <w:rPr>
                <w:sz w:val="20"/>
                <w:szCs w:val="20"/>
              </w:rPr>
            </w:pPr>
          </w:p>
          <w:p w14:paraId="06EBA8F7" w14:textId="77777777" w:rsidR="000C51B3" w:rsidRPr="002F09C4" w:rsidRDefault="000C51B3" w:rsidP="00147876">
            <w:pPr>
              <w:rPr>
                <w:sz w:val="20"/>
                <w:szCs w:val="20"/>
              </w:rPr>
            </w:pPr>
          </w:p>
          <w:p w14:paraId="19BDCD12" w14:textId="77777777" w:rsidR="000C51B3" w:rsidRPr="002F09C4" w:rsidRDefault="000C51B3" w:rsidP="00147876">
            <w:pPr>
              <w:rPr>
                <w:sz w:val="20"/>
                <w:szCs w:val="20"/>
              </w:rPr>
            </w:pPr>
          </w:p>
          <w:p w14:paraId="2170EE01" w14:textId="77777777" w:rsidR="000C51B3" w:rsidRPr="002F09C4" w:rsidRDefault="000C51B3" w:rsidP="00147876">
            <w:pPr>
              <w:rPr>
                <w:sz w:val="20"/>
                <w:szCs w:val="20"/>
              </w:rPr>
            </w:pPr>
            <w:r w:rsidRPr="002F09C4">
              <w:rPr>
                <w:sz w:val="20"/>
                <w:szCs w:val="20"/>
              </w:rPr>
              <w:t>Ertapenem [41]</w:t>
            </w:r>
          </w:p>
          <w:p w14:paraId="04675444" w14:textId="77777777" w:rsidR="000C51B3" w:rsidRPr="002F09C4" w:rsidRDefault="000C51B3" w:rsidP="00147876">
            <w:pPr>
              <w:rPr>
                <w:sz w:val="20"/>
                <w:szCs w:val="20"/>
              </w:rPr>
            </w:pPr>
          </w:p>
          <w:p w14:paraId="0B185527" w14:textId="77777777" w:rsidR="000C51B3" w:rsidRPr="002F09C4" w:rsidRDefault="000C51B3" w:rsidP="00147876">
            <w:pPr>
              <w:rPr>
                <w:sz w:val="20"/>
                <w:szCs w:val="20"/>
              </w:rPr>
            </w:pPr>
          </w:p>
        </w:tc>
        <w:tc>
          <w:tcPr>
            <w:tcW w:w="2250" w:type="dxa"/>
          </w:tcPr>
          <w:p w14:paraId="3F875F3B" w14:textId="77777777" w:rsidR="000C51B3" w:rsidRPr="002F09C4" w:rsidRDefault="000C51B3" w:rsidP="00147876">
            <w:pPr>
              <w:autoSpaceDE w:val="0"/>
              <w:autoSpaceDN w:val="0"/>
              <w:adjustRightInd w:val="0"/>
              <w:rPr>
                <w:rFonts w:cs="Dutch801BT-Roman"/>
                <w:sz w:val="20"/>
                <w:szCs w:val="20"/>
              </w:rPr>
            </w:pPr>
            <w:r w:rsidRPr="002F09C4">
              <w:rPr>
                <w:rFonts w:cs="Dutch801BT-Roman"/>
                <w:sz w:val="20"/>
                <w:szCs w:val="20"/>
              </w:rPr>
              <w:t>2 g or 500 mg IV as a 3-h infusion q8h or 1 g IV as a 0.5-h infusion q8h</w:t>
            </w:r>
          </w:p>
          <w:p w14:paraId="475D3EC3" w14:textId="77777777" w:rsidR="000C51B3" w:rsidRPr="002F09C4" w:rsidRDefault="000C51B3" w:rsidP="00147876">
            <w:pPr>
              <w:autoSpaceDE w:val="0"/>
              <w:autoSpaceDN w:val="0"/>
              <w:adjustRightInd w:val="0"/>
              <w:rPr>
                <w:rFonts w:cs="Dutch801BT-Roman"/>
                <w:sz w:val="20"/>
                <w:szCs w:val="20"/>
              </w:rPr>
            </w:pPr>
          </w:p>
          <w:p w14:paraId="5F3DA0FF" w14:textId="77777777" w:rsidR="000C51B3" w:rsidRPr="002F09C4" w:rsidRDefault="000C51B3" w:rsidP="00147876">
            <w:pPr>
              <w:rPr>
                <w:sz w:val="20"/>
                <w:szCs w:val="20"/>
              </w:rPr>
            </w:pPr>
            <w:r w:rsidRPr="002F09C4">
              <w:rPr>
                <w:sz w:val="20"/>
                <w:szCs w:val="20"/>
              </w:rPr>
              <w:t>1 g IV as a 0.5-h infusion q8h</w:t>
            </w:r>
          </w:p>
          <w:p w14:paraId="5A562E87" w14:textId="77777777" w:rsidR="000C51B3" w:rsidRPr="002F09C4" w:rsidRDefault="000C51B3" w:rsidP="00147876">
            <w:pPr>
              <w:rPr>
                <w:sz w:val="20"/>
                <w:szCs w:val="20"/>
              </w:rPr>
            </w:pPr>
          </w:p>
          <w:p w14:paraId="3743CD5B" w14:textId="77777777" w:rsidR="000C51B3" w:rsidRPr="002F09C4" w:rsidRDefault="000C51B3" w:rsidP="00147876">
            <w:pPr>
              <w:rPr>
                <w:sz w:val="20"/>
                <w:szCs w:val="20"/>
              </w:rPr>
            </w:pPr>
            <w:r w:rsidRPr="002F09C4">
              <w:rPr>
                <w:sz w:val="20"/>
                <w:szCs w:val="20"/>
              </w:rPr>
              <w:t>1 g IV as a 3-h infusion q8h</w:t>
            </w:r>
          </w:p>
          <w:p w14:paraId="3F29ED82" w14:textId="77777777" w:rsidR="000C51B3" w:rsidRPr="002F09C4" w:rsidRDefault="000C51B3" w:rsidP="00147876">
            <w:pPr>
              <w:rPr>
                <w:sz w:val="20"/>
                <w:szCs w:val="20"/>
              </w:rPr>
            </w:pPr>
          </w:p>
          <w:p w14:paraId="468958B6" w14:textId="77777777" w:rsidR="000C51B3" w:rsidRPr="002F09C4" w:rsidRDefault="000C51B3" w:rsidP="00147876">
            <w:pPr>
              <w:rPr>
                <w:sz w:val="20"/>
                <w:szCs w:val="20"/>
              </w:rPr>
            </w:pPr>
            <w:r w:rsidRPr="002F09C4">
              <w:rPr>
                <w:sz w:val="20"/>
                <w:szCs w:val="20"/>
              </w:rPr>
              <w:t>1 g IV as a 1-h infusion once daily</w:t>
            </w:r>
          </w:p>
          <w:p w14:paraId="1E1D18B5" w14:textId="77777777" w:rsidR="000C51B3" w:rsidRPr="002F09C4" w:rsidRDefault="000C51B3" w:rsidP="00147876">
            <w:pPr>
              <w:rPr>
                <w:sz w:val="20"/>
                <w:szCs w:val="20"/>
              </w:rPr>
            </w:pPr>
          </w:p>
          <w:p w14:paraId="5D49A262" w14:textId="77777777" w:rsidR="000C51B3" w:rsidRPr="002F09C4" w:rsidRDefault="000C51B3" w:rsidP="00147876">
            <w:pPr>
              <w:rPr>
                <w:sz w:val="20"/>
                <w:szCs w:val="20"/>
              </w:rPr>
            </w:pPr>
          </w:p>
          <w:p w14:paraId="6CE76024" w14:textId="77777777" w:rsidR="000C51B3" w:rsidRPr="002F09C4" w:rsidRDefault="000C51B3" w:rsidP="00147876">
            <w:pPr>
              <w:rPr>
                <w:sz w:val="20"/>
                <w:szCs w:val="20"/>
              </w:rPr>
            </w:pPr>
            <w:r w:rsidRPr="002F09C4">
              <w:rPr>
                <w:sz w:val="20"/>
                <w:szCs w:val="20"/>
              </w:rPr>
              <w:t>1 g IV as a 1-h infusion once daily</w:t>
            </w:r>
          </w:p>
          <w:p w14:paraId="03603D6B" w14:textId="77777777" w:rsidR="000C51B3" w:rsidRPr="002F09C4" w:rsidRDefault="000C51B3" w:rsidP="00147876">
            <w:pPr>
              <w:autoSpaceDE w:val="0"/>
              <w:autoSpaceDN w:val="0"/>
              <w:adjustRightInd w:val="0"/>
              <w:rPr>
                <w:sz w:val="20"/>
                <w:szCs w:val="20"/>
              </w:rPr>
            </w:pPr>
          </w:p>
        </w:tc>
        <w:tc>
          <w:tcPr>
            <w:tcW w:w="3060" w:type="dxa"/>
          </w:tcPr>
          <w:p w14:paraId="1E20DA8F" w14:textId="77777777" w:rsidR="000C51B3" w:rsidRPr="002F09C4" w:rsidRDefault="000C51B3" w:rsidP="00147876">
            <w:pPr>
              <w:rPr>
                <w:sz w:val="20"/>
                <w:szCs w:val="20"/>
              </w:rPr>
            </w:pPr>
            <w:r w:rsidRPr="002F09C4">
              <w:rPr>
                <w:sz w:val="20"/>
                <w:szCs w:val="20"/>
              </w:rPr>
              <w:t>81.6% ± 223 %</w:t>
            </w:r>
          </w:p>
          <w:p w14:paraId="6D6D6BA0" w14:textId="77777777" w:rsidR="000C51B3" w:rsidRPr="002F09C4" w:rsidRDefault="000C51B3" w:rsidP="00147876">
            <w:pPr>
              <w:rPr>
                <w:sz w:val="20"/>
                <w:szCs w:val="20"/>
              </w:rPr>
            </w:pPr>
            <w:r w:rsidRPr="002F09C4">
              <w:rPr>
                <w:sz w:val="20"/>
                <w:szCs w:val="20"/>
              </w:rPr>
              <w:t>Median:  25.42%</w:t>
            </w:r>
          </w:p>
          <w:p w14:paraId="19C6C480" w14:textId="77777777" w:rsidR="000C51B3" w:rsidRPr="002F09C4" w:rsidRDefault="000C51B3" w:rsidP="00147876">
            <w:pPr>
              <w:rPr>
                <w:sz w:val="20"/>
                <w:szCs w:val="20"/>
              </w:rPr>
            </w:pPr>
          </w:p>
          <w:p w14:paraId="796D2136" w14:textId="77777777" w:rsidR="000C51B3" w:rsidRPr="002F09C4" w:rsidRDefault="000C51B3" w:rsidP="00147876">
            <w:pPr>
              <w:rPr>
                <w:sz w:val="20"/>
                <w:szCs w:val="20"/>
              </w:rPr>
            </w:pPr>
          </w:p>
          <w:p w14:paraId="6AA01617" w14:textId="77777777" w:rsidR="000C51B3" w:rsidRPr="002F09C4" w:rsidRDefault="000C51B3" w:rsidP="00147876">
            <w:pPr>
              <w:rPr>
                <w:sz w:val="20"/>
                <w:szCs w:val="20"/>
              </w:rPr>
            </w:pPr>
            <w:r w:rsidRPr="002F09C4">
              <w:rPr>
                <w:sz w:val="20"/>
                <w:szCs w:val="20"/>
              </w:rPr>
              <w:t>20%</w:t>
            </w:r>
          </w:p>
          <w:p w14:paraId="1A7C6BC4" w14:textId="77777777" w:rsidR="000C51B3" w:rsidRPr="002F09C4" w:rsidRDefault="000C51B3" w:rsidP="00147876">
            <w:pPr>
              <w:rPr>
                <w:sz w:val="20"/>
                <w:szCs w:val="20"/>
              </w:rPr>
            </w:pPr>
          </w:p>
          <w:p w14:paraId="323EF7E6" w14:textId="77777777" w:rsidR="000C51B3" w:rsidRPr="002F09C4" w:rsidRDefault="000C51B3" w:rsidP="00147876">
            <w:pPr>
              <w:rPr>
                <w:sz w:val="20"/>
                <w:szCs w:val="20"/>
              </w:rPr>
            </w:pPr>
          </w:p>
          <w:p w14:paraId="34B90726" w14:textId="77777777" w:rsidR="000C51B3" w:rsidRPr="002F09C4" w:rsidRDefault="000C51B3" w:rsidP="00147876">
            <w:pPr>
              <w:rPr>
                <w:sz w:val="20"/>
                <w:szCs w:val="20"/>
              </w:rPr>
            </w:pPr>
            <w:r w:rsidRPr="002F09C4">
              <w:rPr>
                <w:sz w:val="20"/>
                <w:szCs w:val="20"/>
              </w:rPr>
              <w:t xml:space="preserve">29% </w:t>
            </w:r>
          </w:p>
          <w:p w14:paraId="3954196B" w14:textId="77777777" w:rsidR="000C51B3" w:rsidRPr="002F09C4" w:rsidRDefault="000C51B3" w:rsidP="00147876">
            <w:pPr>
              <w:rPr>
                <w:sz w:val="20"/>
                <w:szCs w:val="20"/>
              </w:rPr>
            </w:pPr>
          </w:p>
          <w:p w14:paraId="6A5FE4D3" w14:textId="77777777" w:rsidR="000C51B3" w:rsidRPr="002F09C4" w:rsidRDefault="000C51B3" w:rsidP="00147876">
            <w:pPr>
              <w:rPr>
                <w:sz w:val="20"/>
                <w:szCs w:val="20"/>
              </w:rPr>
            </w:pPr>
          </w:p>
          <w:p w14:paraId="7BDA7360" w14:textId="77777777" w:rsidR="000C51B3" w:rsidRPr="002F09C4" w:rsidRDefault="000C51B3" w:rsidP="00147876">
            <w:pPr>
              <w:rPr>
                <w:sz w:val="20"/>
                <w:szCs w:val="20"/>
              </w:rPr>
            </w:pPr>
            <w:r w:rsidRPr="002F09C4">
              <w:rPr>
                <w:sz w:val="20"/>
                <w:szCs w:val="20"/>
              </w:rPr>
              <w:t>Median 32% (IQR: 28-46%)</w:t>
            </w:r>
          </w:p>
          <w:p w14:paraId="06892C54" w14:textId="77777777" w:rsidR="000C51B3" w:rsidRPr="002F09C4" w:rsidRDefault="000C51B3" w:rsidP="00147876">
            <w:pPr>
              <w:rPr>
                <w:sz w:val="20"/>
                <w:szCs w:val="20"/>
              </w:rPr>
            </w:pPr>
          </w:p>
          <w:p w14:paraId="57764F22" w14:textId="77777777" w:rsidR="000C51B3" w:rsidRPr="002F09C4" w:rsidRDefault="000C51B3" w:rsidP="00147876">
            <w:pPr>
              <w:rPr>
                <w:sz w:val="20"/>
                <w:szCs w:val="20"/>
              </w:rPr>
            </w:pPr>
          </w:p>
          <w:p w14:paraId="70C6A32A" w14:textId="77777777" w:rsidR="000C51B3" w:rsidRPr="002F09C4" w:rsidRDefault="000C51B3" w:rsidP="00147876">
            <w:pPr>
              <w:rPr>
                <w:sz w:val="20"/>
                <w:szCs w:val="20"/>
              </w:rPr>
            </w:pPr>
          </w:p>
          <w:p w14:paraId="0F6E7DF8" w14:textId="77777777" w:rsidR="000C51B3" w:rsidRPr="002F09C4" w:rsidRDefault="000C51B3" w:rsidP="00147876">
            <w:pPr>
              <w:rPr>
                <w:sz w:val="20"/>
                <w:szCs w:val="20"/>
              </w:rPr>
            </w:pPr>
            <w:r w:rsidRPr="002F09C4">
              <w:rPr>
                <w:sz w:val="20"/>
                <w:szCs w:val="20"/>
              </w:rPr>
              <w:t>1.0-hour: 6.19% ± 11.0%</w:t>
            </w:r>
          </w:p>
          <w:p w14:paraId="1CE34260" w14:textId="77777777" w:rsidR="000C51B3" w:rsidRPr="002F09C4" w:rsidRDefault="000C51B3" w:rsidP="00147876">
            <w:pPr>
              <w:rPr>
                <w:sz w:val="20"/>
                <w:szCs w:val="20"/>
              </w:rPr>
            </w:pPr>
            <w:r w:rsidRPr="002F09C4">
              <w:rPr>
                <w:sz w:val="20"/>
                <w:szCs w:val="20"/>
              </w:rPr>
              <w:t>3.0-hour: 6.85% ± 6.45%</w:t>
            </w:r>
          </w:p>
          <w:p w14:paraId="557627F4" w14:textId="77777777" w:rsidR="000C51B3" w:rsidRPr="002F09C4" w:rsidRDefault="000C51B3" w:rsidP="00147876">
            <w:pPr>
              <w:rPr>
                <w:sz w:val="20"/>
                <w:szCs w:val="20"/>
              </w:rPr>
            </w:pPr>
            <w:r w:rsidRPr="002F09C4">
              <w:rPr>
                <w:sz w:val="20"/>
                <w:szCs w:val="20"/>
              </w:rPr>
              <w:t>5.0-hour: 9.40% ± 10.7%</w:t>
            </w:r>
          </w:p>
          <w:p w14:paraId="30E795A1" w14:textId="77777777" w:rsidR="000C51B3" w:rsidRPr="002F09C4" w:rsidRDefault="000C51B3" w:rsidP="00147876">
            <w:pPr>
              <w:rPr>
                <w:sz w:val="20"/>
                <w:szCs w:val="20"/>
              </w:rPr>
            </w:pPr>
          </w:p>
        </w:tc>
        <w:tc>
          <w:tcPr>
            <w:tcW w:w="3690" w:type="dxa"/>
          </w:tcPr>
          <w:p w14:paraId="3F642119" w14:textId="77777777" w:rsidR="000C51B3" w:rsidRPr="002F09C4" w:rsidRDefault="000C51B3" w:rsidP="00147876">
            <w:pPr>
              <w:rPr>
                <w:sz w:val="20"/>
                <w:szCs w:val="20"/>
                <w:vertAlign w:val="subscript"/>
              </w:rPr>
            </w:pPr>
            <w:r w:rsidRPr="002F09C4">
              <w:rPr>
                <w:sz w:val="20"/>
                <w:szCs w:val="20"/>
              </w:rPr>
              <w:t>Penetration ratio determined as AUC</w:t>
            </w:r>
            <w:r w:rsidRPr="002F09C4">
              <w:rPr>
                <w:sz w:val="20"/>
                <w:szCs w:val="20"/>
                <w:vertAlign w:val="subscript"/>
              </w:rPr>
              <w:t>ELF</w:t>
            </w:r>
            <w:r w:rsidRPr="002F09C4">
              <w:rPr>
                <w:sz w:val="20"/>
                <w:szCs w:val="20"/>
              </w:rPr>
              <w:t>/AUC</w:t>
            </w:r>
            <w:r w:rsidRPr="002F09C4">
              <w:rPr>
                <w:sz w:val="20"/>
                <w:szCs w:val="20"/>
                <w:vertAlign w:val="subscript"/>
              </w:rPr>
              <w:t>total-plasma</w:t>
            </w:r>
          </w:p>
          <w:p w14:paraId="7F568D3A" w14:textId="77777777" w:rsidR="000C51B3" w:rsidRPr="002F09C4" w:rsidRDefault="000C51B3" w:rsidP="00147876">
            <w:pPr>
              <w:rPr>
                <w:sz w:val="20"/>
                <w:szCs w:val="20"/>
                <w:vertAlign w:val="subscript"/>
              </w:rPr>
            </w:pPr>
          </w:p>
          <w:p w14:paraId="3674DF69" w14:textId="77777777" w:rsidR="000C51B3" w:rsidRPr="002F09C4" w:rsidRDefault="000C51B3" w:rsidP="00147876">
            <w:pPr>
              <w:rPr>
                <w:sz w:val="20"/>
                <w:szCs w:val="20"/>
                <w:vertAlign w:val="subscript"/>
              </w:rPr>
            </w:pPr>
          </w:p>
          <w:p w14:paraId="3CAB8401" w14:textId="77777777" w:rsidR="000C51B3" w:rsidRPr="002F09C4" w:rsidRDefault="000C51B3" w:rsidP="00147876">
            <w:pPr>
              <w:rPr>
                <w:sz w:val="20"/>
                <w:szCs w:val="20"/>
                <w:vertAlign w:val="subscript"/>
              </w:rPr>
            </w:pPr>
            <w:r w:rsidRPr="002F09C4">
              <w:rPr>
                <w:sz w:val="20"/>
                <w:szCs w:val="20"/>
              </w:rPr>
              <w:t>Penetration ratio determined as AUC</w:t>
            </w:r>
            <w:r w:rsidRPr="002F09C4">
              <w:rPr>
                <w:sz w:val="20"/>
                <w:szCs w:val="20"/>
                <w:vertAlign w:val="subscript"/>
              </w:rPr>
              <w:t>ELF</w:t>
            </w:r>
            <w:r w:rsidRPr="002F09C4">
              <w:rPr>
                <w:sz w:val="20"/>
                <w:szCs w:val="20"/>
              </w:rPr>
              <w:t>/AUC</w:t>
            </w:r>
            <w:r w:rsidRPr="002F09C4">
              <w:rPr>
                <w:sz w:val="20"/>
                <w:szCs w:val="20"/>
                <w:vertAlign w:val="subscript"/>
              </w:rPr>
              <w:t>total-plasma</w:t>
            </w:r>
          </w:p>
          <w:p w14:paraId="1AF3F16F" w14:textId="77777777" w:rsidR="000C51B3" w:rsidRPr="002F09C4" w:rsidRDefault="000C51B3" w:rsidP="00147876">
            <w:pPr>
              <w:rPr>
                <w:sz w:val="20"/>
                <w:szCs w:val="20"/>
                <w:vertAlign w:val="subscript"/>
              </w:rPr>
            </w:pPr>
          </w:p>
          <w:p w14:paraId="1B81E55A" w14:textId="77777777" w:rsidR="000C51B3" w:rsidRPr="002F09C4" w:rsidRDefault="000C51B3" w:rsidP="00147876">
            <w:pPr>
              <w:rPr>
                <w:sz w:val="20"/>
                <w:szCs w:val="20"/>
                <w:vertAlign w:val="subscript"/>
              </w:rPr>
            </w:pPr>
          </w:p>
          <w:p w14:paraId="61485FBF" w14:textId="77777777" w:rsidR="000C51B3" w:rsidRPr="002F09C4" w:rsidRDefault="000C51B3" w:rsidP="00147876">
            <w:pPr>
              <w:rPr>
                <w:sz w:val="20"/>
                <w:szCs w:val="20"/>
                <w:vertAlign w:val="subscript"/>
              </w:rPr>
            </w:pPr>
          </w:p>
          <w:p w14:paraId="308E091D" w14:textId="77777777" w:rsidR="000C51B3" w:rsidRPr="002F09C4" w:rsidRDefault="000C51B3" w:rsidP="00147876">
            <w:pPr>
              <w:rPr>
                <w:sz w:val="20"/>
                <w:szCs w:val="20"/>
                <w:vertAlign w:val="subscript"/>
              </w:rPr>
            </w:pPr>
          </w:p>
          <w:p w14:paraId="5400787F" w14:textId="77777777" w:rsidR="000C51B3" w:rsidRPr="002F09C4" w:rsidRDefault="000C51B3" w:rsidP="00147876">
            <w:pPr>
              <w:rPr>
                <w:sz w:val="20"/>
                <w:szCs w:val="20"/>
                <w:vertAlign w:val="subscript"/>
              </w:rPr>
            </w:pPr>
            <w:r w:rsidRPr="002F09C4">
              <w:rPr>
                <w:sz w:val="20"/>
                <w:szCs w:val="20"/>
              </w:rPr>
              <w:t>Penetration determined by ELF/C</w:t>
            </w:r>
            <w:r w:rsidRPr="002F09C4">
              <w:rPr>
                <w:sz w:val="20"/>
                <w:szCs w:val="20"/>
                <w:vertAlign w:val="subscript"/>
              </w:rPr>
              <w:t>unbound-plasma</w:t>
            </w:r>
            <w:r w:rsidRPr="002F09C4">
              <w:rPr>
                <w:sz w:val="20"/>
                <w:szCs w:val="20"/>
              </w:rPr>
              <w:t xml:space="preserve"> where C is either at 1-, 12- or 24-h after the end of infusion</w:t>
            </w:r>
            <w:r w:rsidRPr="002F09C4">
              <w:rPr>
                <w:sz w:val="20"/>
                <w:szCs w:val="20"/>
                <w:vertAlign w:val="subscript"/>
              </w:rPr>
              <w:t xml:space="preserve"> </w:t>
            </w:r>
          </w:p>
          <w:p w14:paraId="311B8D9C" w14:textId="77777777" w:rsidR="000C51B3" w:rsidRPr="002F09C4" w:rsidRDefault="000C51B3" w:rsidP="00147876">
            <w:pPr>
              <w:rPr>
                <w:sz w:val="20"/>
                <w:szCs w:val="20"/>
                <w:vertAlign w:val="subscript"/>
              </w:rPr>
            </w:pPr>
          </w:p>
          <w:p w14:paraId="09145B9D" w14:textId="77777777" w:rsidR="000C51B3" w:rsidRPr="002F09C4" w:rsidRDefault="000C51B3" w:rsidP="00147876">
            <w:pPr>
              <w:rPr>
                <w:sz w:val="20"/>
                <w:szCs w:val="20"/>
              </w:rPr>
            </w:pPr>
            <w:r w:rsidRPr="002F09C4">
              <w:rPr>
                <w:sz w:val="20"/>
                <w:szCs w:val="20"/>
              </w:rPr>
              <w:t>Penetration determined by ELF/C</w:t>
            </w:r>
            <w:r w:rsidRPr="002F09C4">
              <w:rPr>
                <w:sz w:val="20"/>
                <w:szCs w:val="20"/>
                <w:vertAlign w:val="subscript"/>
              </w:rPr>
              <w:t>total-plasma</w:t>
            </w:r>
            <w:r w:rsidRPr="002F09C4">
              <w:rPr>
                <w:sz w:val="20"/>
                <w:szCs w:val="20"/>
              </w:rPr>
              <w:t xml:space="preserve"> where C is either at 1-, 3- or 5-h after the end of infusion</w:t>
            </w:r>
            <w:r w:rsidRPr="002F09C4">
              <w:rPr>
                <w:sz w:val="20"/>
                <w:szCs w:val="20"/>
                <w:vertAlign w:val="subscript"/>
              </w:rPr>
              <w:t xml:space="preserve"> </w:t>
            </w:r>
          </w:p>
        </w:tc>
      </w:tr>
      <w:tr w:rsidR="000C51B3" w:rsidRPr="002F09C4" w14:paraId="43697F93" w14:textId="77777777" w:rsidTr="00147876">
        <w:tc>
          <w:tcPr>
            <w:tcW w:w="1615" w:type="dxa"/>
          </w:tcPr>
          <w:p w14:paraId="642A029B" w14:textId="77777777" w:rsidR="000C51B3" w:rsidRPr="002F09C4" w:rsidRDefault="000C51B3" w:rsidP="00147876">
            <w:pPr>
              <w:rPr>
                <w:sz w:val="20"/>
                <w:szCs w:val="20"/>
              </w:rPr>
            </w:pPr>
            <w:r w:rsidRPr="002F09C4">
              <w:rPr>
                <w:sz w:val="20"/>
                <w:szCs w:val="20"/>
              </w:rPr>
              <w:t>Cephalosporin</w:t>
            </w:r>
          </w:p>
        </w:tc>
        <w:tc>
          <w:tcPr>
            <w:tcW w:w="2520" w:type="dxa"/>
          </w:tcPr>
          <w:p w14:paraId="3AB2E4A0" w14:textId="77777777" w:rsidR="000C51B3" w:rsidRPr="002F09C4" w:rsidRDefault="000C51B3" w:rsidP="00147876">
            <w:pPr>
              <w:rPr>
                <w:sz w:val="20"/>
                <w:szCs w:val="20"/>
              </w:rPr>
            </w:pPr>
            <w:r w:rsidRPr="002F09C4">
              <w:rPr>
                <w:sz w:val="20"/>
                <w:szCs w:val="20"/>
              </w:rPr>
              <w:t>Cefepime [42]</w:t>
            </w:r>
          </w:p>
          <w:p w14:paraId="7BF9B2AD" w14:textId="77777777" w:rsidR="000C51B3" w:rsidRPr="002F09C4" w:rsidRDefault="000C51B3" w:rsidP="00147876">
            <w:pPr>
              <w:rPr>
                <w:sz w:val="20"/>
                <w:szCs w:val="20"/>
              </w:rPr>
            </w:pPr>
          </w:p>
          <w:p w14:paraId="35488DE9" w14:textId="77777777" w:rsidR="000C51B3" w:rsidRPr="002F09C4" w:rsidRDefault="000C51B3" w:rsidP="00147876">
            <w:pPr>
              <w:rPr>
                <w:sz w:val="20"/>
                <w:szCs w:val="20"/>
              </w:rPr>
            </w:pPr>
          </w:p>
          <w:p w14:paraId="3B78EF3F" w14:textId="77777777" w:rsidR="000C51B3" w:rsidRPr="002F09C4" w:rsidRDefault="000C51B3" w:rsidP="00147876">
            <w:pPr>
              <w:rPr>
                <w:sz w:val="20"/>
                <w:szCs w:val="20"/>
              </w:rPr>
            </w:pPr>
          </w:p>
          <w:p w14:paraId="297F284B" w14:textId="77777777" w:rsidR="000C51B3" w:rsidRPr="002F09C4" w:rsidRDefault="000C51B3" w:rsidP="00147876">
            <w:pPr>
              <w:rPr>
                <w:sz w:val="20"/>
                <w:szCs w:val="20"/>
              </w:rPr>
            </w:pPr>
          </w:p>
          <w:p w14:paraId="0E398803" w14:textId="77777777" w:rsidR="000C51B3" w:rsidRPr="002F09C4" w:rsidRDefault="000C51B3" w:rsidP="00147876">
            <w:pPr>
              <w:rPr>
                <w:sz w:val="20"/>
                <w:szCs w:val="20"/>
              </w:rPr>
            </w:pPr>
            <w:r w:rsidRPr="002F09C4">
              <w:rPr>
                <w:sz w:val="20"/>
                <w:szCs w:val="20"/>
              </w:rPr>
              <w:t>Ceftazidime [43]</w:t>
            </w:r>
          </w:p>
        </w:tc>
        <w:tc>
          <w:tcPr>
            <w:tcW w:w="2250" w:type="dxa"/>
          </w:tcPr>
          <w:p w14:paraId="5023887F" w14:textId="77777777" w:rsidR="000C51B3" w:rsidRPr="002F09C4" w:rsidRDefault="000C51B3" w:rsidP="00147876">
            <w:pPr>
              <w:rPr>
                <w:sz w:val="20"/>
                <w:szCs w:val="20"/>
              </w:rPr>
            </w:pPr>
            <w:r w:rsidRPr="002F09C4">
              <w:rPr>
                <w:sz w:val="20"/>
                <w:szCs w:val="20"/>
              </w:rPr>
              <w:t>2 g as a 0.5-h infusion followed by 4 g/24 hours IV continuous infusion</w:t>
            </w:r>
          </w:p>
          <w:p w14:paraId="7E384CD2" w14:textId="77777777" w:rsidR="000C51B3" w:rsidRPr="002F09C4" w:rsidRDefault="000C51B3" w:rsidP="00147876">
            <w:pPr>
              <w:rPr>
                <w:sz w:val="20"/>
                <w:szCs w:val="20"/>
              </w:rPr>
            </w:pPr>
          </w:p>
          <w:p w14:paraId="50E80894" w14:textId="77777777" w:rsidR="000C51B3" w:rsidRPr="002F09C4" w:rsidRDefault="000C51B3" w:rsidP="00147876">
            <w:pPr>
              <w:rPr>
                <w:sz w:val="20"/>
                <w:szCs w:val="20"/>
              </w:rPr>
            </w:pPr>
          </w:p>
          <w:p w14:paraId="709DEC01" w14:textId="77777777" w:rsidR="000C51B3" w:rsidRPr="002F09C4" w:rsidRDefault="000C51B3" w:rsidP="00147876">
            <w:pPr>
              <w:rPr>
                <w:sz w:val="20"/>
                <w:szCs w:val="20"/>
              </w:rPr>
            </w:pPr>
            <w:r w:rsidRPr="002F09C4">
              <w:rPr>
                <w:sz w:val="20"/>
                <w:szCs w:val="20"/>
              </w:rPr>
              <w:t>2 g as a 0.5-h infusion followed by 4 g/24 hours IV continuous infusion</w:t>
            </w:r>
          </w:p>
          <w:p w14:paraId="7573E52F" w14:textId="77777777" w:rsidR="000C51B3" w:rsidRPr="002F09C4" w:rsidRDefault="000C51B3" w:rsidP="00147876">
            <w:pPr>
              <w:rPr>
                <w:sz w:val="20"/>
                <w:szCs w:val="20"/>
              </w:rPr>
            </w:pPr>
          </w:p>
        </w:tc>
        <w:tc>
          <w:tcPr>
            <w:tcW w:w="3060" w:type="dxa"/>
          </w:tcPr>
          <w:p w14:paraId="7A2C41F8" w14:textId="77777777" w:rsidR="000C51B3" w:rsidRPr="002F09C4" w:rsidRDefault="000C51B3" w:rsidP="00147876">
            <w:pPr>
              <w:rPr>
                <w:sz w:val="20"/>
                <w:szCs w:val="20"/>
              </w:rPr>
            </w:pPr>
            <w:r w:rsidRPr="002F09C4">
              <w:rPr>
                <w:sz w:val="20"/>
                <w:szCs w:val="20"/>
              </w:rPr>
              <w:t>104% ± 8.9 %</w:t>
            </w:r>
          </w:p>
          <w:p w14:paraId="0EEBB7B7" w14:textId="77777777" w:rsidR="000C51B3" w:rsidRPr="002F09C4" w:rsidRDefault="000C51B3" w:rsidP="00147876">
            <w:pPr>
              <w:rPr>
                <w:sz w:val="20"/>
                <w:szCs w:val="20"/>
              </w:rPr>
            </w:pPr>
          </w:p>
          <w:p w14:paraId="03F39B43" w14:textId="77777777" w:rsidR="000C51B3" w:rsidRPr="002F09C4" w:rsidRDefault="000C51B3" w:rsidP="00147876">
            <w:pPr>
              <w:rPr>
                <w:sz w:val="20"/>
                <w:szCs w:val="20"/>
              </w:rPr>
            </w:pPr>
          </w:p>
          <w:p w14:paraId="3397FA29" w14:textId="77777777" w:rsidR="000C51B3" w:rsidRPr="002F09C4" w:rsidRDefault="000C51B3" w:rsidP="00147876">
            <w:pPr>
              <w:rPr>
                <w:sz w:val="20"/>
                <w:szCs w:val="20"/>
              </w:rPr>
            </w:pPr>
          </w:p>
          <w:p w14:paraId="6864BFCC" w14:textId="77777777" w:rsidR="000C51B3" w:rsidRPr="002F09C4" w:rsidRDefault="000C51B3" w:rsidP="00147876">
            <w:pPr>
              <w:rPr>
                <w:sz w:val="20"/>
                <w:szCs w:val="20"/>
              </w:rPr>
            </w:pPr>
          </w:p>
          <w:p w14:paraId="7C1EEB31" w14:textId="77777777" w:rsidR="000C51B3" w:rsidRPr="002F09C4" w:rsidRDefault="000C51B3" w:rsidP="00147876">
            <w:pPr>
              <w:rPr>
                <w:sz w:val="20"/>
                <w:szCs w:val="20"/>
              </w:rPr>
            </w:pPr>
            <w:r w:rsidRPr="002F09C4">
              <w:rPr>
                <w:sz w:val="20"/>
                <w:szCs w:val="20"/>
              </w:rPr>
              <w:t>20.6% ± 8.9 %</w:t>
            </w:r>
          </w:p>
          <w:p w14:paraId="4931C131" w14:textId="77777777" w:rsidR="000C51B3" w:rsidRPr="002F09C4" w:rsidRDefault="000C51B3" w:rsidP="00147876">
            <w:pPr>
              <w:rPr>
                <w:sz w:val="20"/>
                <w:szCs w:val="20"/>
              </w:rPr>
            </w:pPr>
          </w:p>
          <w:p w14:paraId="14CD6186" w14:textId="77777777" w:rsidR="000C51B3" w:rsidRPr="002F09C4" w:rsidRDefault="000C51B3" w:rsidP="00147876">
            <w:pPr>
              <w:rPr>
                <w:sz w:val="20"/>
                <w:szCs w:val="20"/>
              </w:rPr>
            </w:pPr>
          </w:p>
        </w:tc>
        <w:tc>
          <w:tcPr>
            <w:tcW w:w="3690" w:type="dxa"/>
          </w:tcPr>
          <w:p w14:paraId="26231AA9" w14:textId="77777777" w:rsidR="000C51B3" w:rsidRPr="002F09C4" w:rsidRDefault="000C51B3" w:rsidP="00147876">
            <w:pPr>
              <w:rPr>
                <w:sz w:val="20"/>
                <w:szCs w:val="20"/>
              </w:rPr>
            </w:pPr>
            <w:r w:rsidRPr="002F09C4">
              <w:rPr>
                <w:sz w:val="20"/>
                <w:szCs w:val="20"/>
              </w:rPr>
              <w:t>Penetration determined by ELF/C</w:t>
            </w:r>
            <w:r w:rsidRPr="002F09C4">
              <w:rPr>
                <w:sz w:val="20"/>
                <w:szCs w:val="20"/>
                <w:vertAlign w:val="subscript"/>
              </w:rPr>
              <w:t>total-plasma</w:t>
            </w:r>
            <w:r w:rsidRPr="002F09C4">
              <w:rPr>
                <w:sz w:val="20"/>
                <w:szCs w:val="20"/>
              </w:rPr>
              <w:t xml:space="preserve"> where C is either at 8:00am, 12:00pm or 6:00pm after 2 days of IV continuous infusion</w:t>
            </w:r>
          </w:p>
          <w:p w14:paraId="2BC29C17" w14:textId="77777777" w:rsidR="000C51B3" w:rsidRPr="002F09C4" w:rsidRDefault="000C51B3" w:rsidP="00147876">
            <w:pPr>
              <w:rPr>
                <w:sz w:val="20"/>
                <w:szCs w:val="20"/>
              </w:rPr>
            </w:pPr>
          </w:p>
          <w:p w14:paraId="63EAD7E6" w14:textId="77777777" w:rsidR="000C51B3" w:rsidRPr="002F09C4" w:rsidRDefault="000C51B3" w:rsidP="00147876">
            <w:pPr>
              <w:rPr>
                <w:sz w:val="20"/>
                <w:szCs w:val="20"/>
              </w:rPr>
            </w:pPr>
            <w:r w:rsidRPr="002F09C4">
              <w:rPr>
                <w:sz w:val="20"/>
                <w:szCs w:val="20"/>
              </w:rPr>
              <w:t>Penetration determined by ELF/C</w:t>
            </w:r>
            <w:r w:rsidRPr="002F09C4">
              <w:rPr>
                <w:sz w:val="20"/>
                <w:szCs w:val="20"/>
                <w:vertAlign w:val="subscript"/>
              </w:rPr>
              <w:t>total-plasma</w:t>
            </w:r>
            <w:r w:rsidRPr="002F09C4">
              <w:rPr>
                <w:sz w:val="20"/>
                <w:szCs w:val="20"/>
              </w:rPr>
              <w:t xml:space="preserve"> where C is either at 8:00am, 12:00pm or 6:00pm after 2 days of IV continuous infusion</w:t>
            </w:r>
          </w:p>
        </w:tc>
      </w:tr>
      <w:tr w:rsidR="000C51B3" w:rsidRPr="002F09C4" w14:paraId="5CAD6AD2" w14:textId="77777777" w:rsidTr="00147876">
        <w:tc>
          <w:tcPr>
            <w:tcW w:w="1615" w:type="dxa"/>
          </w:tcPr>
          <w:p w14:paraId="41500F42" w14:textId="77777777" w:rsidR="000C51B3" w:rsidRPr="002F09C4" w:rsidRDefault="000C51B3" w:rsidP="00147876">
            <w:pPr>
              <w:rPr>
                <w:sz w:val="20"/>
                <w:szCs w:val="20"/>
              </w:rPr>
            </w:pPr>
            <w:r w:rsidRPr="002F09C4">
              <w:rPr>
                <w:sz w:val="20"/>
                <w:szCs w:val="20"/>
              </w:rPr>
              <w:t>Fluoroquinolone</w:t>
            </w:r>
          </w:p>
        </w:tc>
        <w:tc>
          <w:tcPr>
            <w:tcW w:w="2520" w:type="dxa"/>
          </w:tcPr>
          <w:p w14:paraId="37661D2F" w14:textId="77777777" w:rsidR="000C51B3" w:rsidRPr="002F09C4" w:rsidRDefault="000C51B3" w:rsidP="00147876">
            <w:pPr>
              <w:rPr>
                <w:sz w:val="20"/>
                <w:szCs w:val="20"/>
              </w:rPr>
            </w:pPr>
            <w:r w:rsidRPr="002F09C4">
              <w:rPr>
                <w:sz w:val="20"/>
                <w:szCs w:val="20"/>
              </w:rPr>
              <w:t>Levofloxacin [44]</w:t>
            </w:r>
          </w:p>
        </w:tc>
        <w:tc>
          <w:tcPr>
            <w:tcW w:w="2250" w:type="dxa"/>
          </w:tcPr>
          <w:p w14:paraId="637A757B" w14:textId="77777777" w:rsidR="000C51B3" w:rsidRPr="002F09C4" w:rsidRDefault="000C51B3" w:rsidP="00147876">
            <w:pPr>
              <w:rPr>
                <w:sz w:val="20"/>
                <w:szCs w:val="20"/>
              </w:rPr>
            </w:pPr>
            <w:r w:rsidRPr="002F09C4">
              <w:rPr>
                <w:sz w:val="20"/>
                <w:szCs w:val="20"/>
              </w:rPr>
              <w:t>500 mg IV q24h</w:t>
            </w:r>
          </w:p>
          <w:p w14:paraId="6BF9CE9E" w14:textId="77777777" w:rsidR="000C51B3" w:rsidRPr="002F09C4" w:rsidRDefault="000C51B3" w:rsidP="00147876">
            <w:pPr>
              <w:rPr>
                <w:sz w:val="20"/>
                <w:szCs w:val="20"/>
              </w:rPr>
            </w:pPr>
          </w:p>
          <w:p w14:paraId="6978628E" w14:textId="77777777" w:rsidR="000C51B3" w:rsidRPr="002F09C4" w:rsidRDefault="000C51B3" w:rsidP="00147876">
            <w:pPr>
              <w:rPr>
                <w:sz w:val="20"/>
                <w:szCs w:val="20"/>
              </w:rPr>
            </w:pPr>
          </w:p>
          <w:p w14:paraId="4A69D5CD" w14:textId="77777777" w:rsidR="000C51B3" w:rsidRPr="002F09C4" w:rsidRDefault="000C51B3" w:rsidP="00147876">
            <w:pPr>
              <w:rPr>
                <w:sz w:val="20"/>
                <w:szCs w:val="20"/>
              </w:rPr>
            </w:pPr>
            <w:r w:rsidRPr="002F09C4">
              <w:rPr>
                <w:sz w:val="20"/>
                <w:szCs w:val="20"/>
              </w:rPr>
              <w:t>500 mg IV q12h</w:t>
            </w:r>
          </w:p>
          <w:p w14:paraId="593BE8BF" w14:textId="77777777" w:rsidR="000C51B3" w:rsidRPr="002F09C4" w:rsidRDefault="000C51B3" w:rsidP="00147876">
            <w:pPr>
              <w:rPr>
                <w:sz w:val="20"/>
                <w:szCs w:val="20"/>
              </w:rPr>
            </w:pPr>
          </w:p>
          <w:p w14:paraId="6A5CC7F8" w14:textId="77777777" w:rsidR="000C51B3" w:rsidRPr="002F09C4" w:rsidRDefault="000C51B3" w:rsidP="00147876">
            <w:pPr>
              <w:rPr>
                <w:sz w:val="20"/>
                <w:szCs w:val="20"/>
              </w:rPr>
            </w:pPr>
          </w:p>
        </w:tc>
        <w:tc>
          <w:tcPr>
            <w:tcW w:w="3060" w:type="dxa"/>
          </w:tcPr>
          <w:p w14:paraId="0470541B" w14:textId="77777777" w:rsidR="000C51B3" w:rsidRPr="002F09C4" w:rsidRDefault="000C51B3" w:rsidP="00147876">
            <w:pPr>
              <w:rPr>
                <w:sz w:val="20"/>
                <w:szCs w:val="20"/>
              </w:rPr>
            </w:pPr>
            <w:r w:rsidRPr="002F09C4">
              <w:rPr>
                <w:sz w:val="20"/>
                <w:szCs w:val="20"/>
              </w:rPr>
              <w:t>Peak: 131% ± 31 %</w:t>
            </w:r>
          </w:p>
          <w:p w14:paraId="64574F92" w14:textId="77777777" w:rsidR="000C51B3" w:rsidRPr="002F09C4" w:rsidRDefault="000C51B3" w:rsidP="00147876">
            <w:pPr>
              <w:rPr>
                <w:sz w:val="20"/>
                <w:szCs w:val="20"/>
              </w:rPr>
            </w:pPr>
            <w:r w:rsidRPr="002F09C4">
              <w:rPr>
                <w:sz w:val="20"/>
                <w:szCs w:val="20"/>
              </w:rPr>
              <w:t>Trough: 118% ± 36 %</w:t>
            </w:r>
          </w:p>
          <w:p w14:paraId="049483FC" w14:textId="77777777" w:rsidR="000C51B3" w:rsidRPr="002F09C4" w:rsidRDefault="000C51B3" w:rsidP="00147876">
            <w:pPr>
              <w:rPr>
                <w:sz w:val="20"/>
                <w:szCs w:val="20"/>
              </w:rPr>
            </w:pPr>
          </w:p>
          <w:p w14:paraId="50981C42" w14:textId="77777777" w:rsidR="000C51B3" w:rsidRPr="002F09C4" w:rsidRDefault="000C51B3" w:rsidP="00147876">
            <w:pPr>
              <w:rPr>
                <w:sz w:val="20"/>
                <w:szCs w:val="20"/>
              </w:rPr>
            </w:pPr>
            <w:r w:rsidRPr="002F09C4">
              <w:rPr>
                <w:sz w:val="20"/>
                <w:szCs w:val="20"/>
              </w:rPr>
              <w:t>Peak: 127% ± 46 %</w:t>
            </w:r>
          </w:p>
          <w:p w14:paraId="7680F547" w14:textId="77777777" w:rsidR="000C51B3" w:rsidRPr="002F09C4" w:rsidRDefault="000C51B3" w:rsidP="00147876">
            <w:pPr>
              <w:rPr>
                <w:sz w:val="20"/>
                <w:szCs w:val="20"/>
              </w:rPr>
            </w:pPr>
            <w:r w:rsidRPr="002F09C4">
              <w:rPr>
                <w:sz w:val="20"/>
                <w:szCs w:val="20"/>
              </w:rPr>
              <w:t>Trough: 112% ± 40 %</w:t>
            </w:r>
          </w:p>
          <w:p w14:paraId="4C4E94CF" w14:textId="77777777" w:rsidR="000C51B3" w:rsidRPr="002F09C4" w:rsidRDefault="000C51B3" w:rsidP="00147876">
            <w:pPr>
              <w:rPr>
                <w:sz w:val="20"/>
                <w:szCs w:val="20"/>
              </w:rPr>
            </w:pPr>
          </w:p>
        </w:tc>
        <w:tc>
          <w:tcPr>
            <w:tcW w:w="3690" w:type="dxa"/>
          </w:tcPr>
          <w:p w14:paraId="7DAFB850" w14:textId="77777777" w:rsidR="000C51B3" w:rsidRPr="002F09C4" w:rsidRDefault="000C51B3" w:rsidP="00147876">
            <w:pPr>
              <w:rPr>
                <w:sz w:val="20"/>
                <w:szCs w:val="20"/>
              </w:rPr>
            </w:pPr>
            <w:r w:rsidRPr="002F09C4">
              <w:rPr>
                <w:sz w:val="20"/>
                <w:szCs w:val="20"/>
              </w:rPr>
              <w:t>Each patient had two standardized bronchoalveolar microlavage procedures</w:t>
            </w:r>
          </w:p>
          <w:p w14:paraId="593EE393" w14:textId="77777777" w:rsidR="000C51B3" w:rsidRPr="002F09C4" w:rsidRDefault="000C51B3" w:rsidP="00147876">
            <w:pPr>
              <w:rPr>
                <w:sz w:val="20"/>
                <w:szCs w:val="20"/>
              </w:rPr>
            </w:pPr>
          </w:p>
        </w:tc>
      </w:tr>
      <w:tr w:rsidR="000C51B3" w:rsidRPr="002F09C4" w14:paraId="1F9D0510" w14:textId="77777777" w:rsidTr="00147876">
        <w:tc>
          <w:tcPr>
            <w:tcW w:w="1615" w:type="dxa"/>
          </w:tcPr>
          <w:p w14:paraId="03E7F420" w14:textId="77777777" w:rsidR="000C51B3" w:rsidRPr="002F09C4" w:rsidRDefault="000C51B3" w:rsidP="00147876">
            <w:pPr>
              <w:rPr>
                <w:sz w:val="20"/>
                <w:szCs w:val="20"/>
              </w:rPr>
            </w:pPr>
            <w:r w:rsidRPr="002F09C4">
              <w:rPr>
                <w:sz w:val="20"/>
                <w:szCs w:val="20"/>
              </w:rPr>
              <w:t>Glycopeptide</w:t>
            </w:r>
          </w:p>
        </w:tc>
        <w:tc>
          <w:tcPr>
            <w:tcW w:w="2520" w:type="dxa"/>
          </w:tcPr>
          <w:p w14:paraId="748D306F" w14:textId="77777777" w:rsidR="000C51B3" w:rsidRPr="002F09C4" w:rsidRDefault="000C51B3" w:rsidP="00147876">
            <w:pPr>
              <w:rPr>
                <w:sz w:val="20"/>
                <w:szCs w:val="20"/>
              </w:rPr>
            </w:pPr>
            <w:r w:rsidRPr="002F09C4">
              <w:rPr>
                <w:sz w:val="20"/>
                <w:szCs w:val="20"/>
              </w:rPr>
              <w:t>Vancomycin  [45]</w:t>
            </w:r>
          </w:p>
        </w:tc>
        <w:tc>
          <w:tcPr>
            <w:tcW w:w="2250" w:type="dxa"/>
          </w:tcPr>
          <w:p w14:paraId="67881718" w14:textId="77777777" w:rsidR="000C51B3" w:rsidRPr="002F09C4" w:rsidRDefault="000C51B3" w:rsidP="00147876">
            <w:pPr>
              <w:rPr>
                <w:sz w:val="20"/>
                <w:szCs w:val="20"/>
              </w:rPr>
            </w:pPr>
            <w:r w:rsidRPr="002F09C4">
              <w:rPr>
                <w:sz w:val="20"/>
                <w:szCs w:val="20"/>
              </w:rPr>
              <w:t xml:space="preserve">Dose-adjusted (plasma trough concentration of </w:t>
            </w:r>
            <w:r w:rsidRPr="002F09C4">
              <w:rPr>
                <w:sz w:val="20"/>
                <w:szCs w:val="20"/>
              </w:rPr>
              <w:lastRenderedPageBreak/>
              <w:t>15-20 mg/L)</w:t>
            </w:r>
          </w:p>
        </w:tc>
        <w:tc>
          <w:tcPr>
            <w:tcW w:w="3060" w:type="dxa"/>
          </w:tcPr>
          <w:p w14:paraId="6AEAEED3" w14:textId="77777777" w:rsidR="000C51B3" w:rsidRPr="002F09C4" w:rsidRDefault="000C51B3" w:rsidP="00147876">
            <w:pPr>
              <w:rPr>
                <w:sz w:val="20"/>
                <w:szCs w:val="20"/>
              </w:rPr>
            </w:pPr>
            <w:r w:rsidRPr="002F09C4">
              <w:rPr>
                <w:sz w:val="20"/>
                <w:szCs w:val="20"/>
              </w:rPr>
              <w:lastRenderedPageBreak/>
              <w:t>24.6% (range: 19.2% - 42.6%)</w:t>
            </w:r>
          </w:p>
          <w:p w14:paraId="51D8FF33" w14:textId="77777777" w:rsidR="000C51B3" w:rsidRPr="002F09C4" w:rsidRDefault="000C51B3" w:rsidP="00147876">
            <w:pPr>
              <w:rPr>
                <w:sz w:val="20"/>
                <w:szCs w:val="20"/>
              </w:rPr>
            </w:pPr>
            <w:r w:rsidRPr="002F09C4">
              <w:rPr>
                <w:sz w:val="20"/>
                <w:szCs w:val="20"/>
              </w:rPr>
              <w:t>14% (range: 2.3% - 28.5%)</w:t>
            </w:r>
          </w:p>
        </w:tc>
        <w:tc>
          <w:tcPr>
            <w:tcW w:w="3690" w:type="dxa"/>
          </w:tcPr>
          <w:p w14:paraId="0CC32CC2" w14:textId="77777777" w:rsidR="000C51B3" w:rsidRPr="002F09C4" w:rsidRDefault="000C51B3" w:rsidP="00147876">
            <w:pPr>
              <w:rPr>
                <w:sz w:val="20"/>
                <w:szCs w:val="20"/>
              </w:rPr>
            </w:pPr>
            <w:r w:rsidRPr="002F09C4">
              <w:rPr>
                <w:sz w:val="20"/>
                <w:szCs w:val="20"/>
              </w:rPr>
              <w:t xml:space="preserve">Vancomycin penetration higher in patients when ELF albumin values ≥3.4 mg/mL </w:t>
            </w:r>
            <w:r w:rsidRPr="002F09C4">
              <w:rPr>
                <w:sz w:val="20"/>
                <w:szCs w:val="20"/>
              </w:rPr>
              <w:lastRenderedPageBreak/>
              <w:t>than with normal values &lt;3.4 mg/mL  (</w:t>
            </w:r>
            <w:r w:rsidRPr="002F09C4">
              <w:rPr>
                <w:i/>
                <w:sz w:val="20"/>
                <w:szCs w:val="20"/>
              </w:rPr>
              <w:t>p</w:t>
            </w:r>
            <w:r w:rsidRPr="002F09C4">
              <w:rPr>
                <w:sz w:val="20"/>
                <w:szCs w:val="20"/>
              </w:rPr>
              <w:t xml:space="preserve"> &lt; 0.02)</w:t>
            </w:r>
          </w:p>
          <w:p w14:paraId="3698D12A" w14:textId="77777777" w:rsidR="000C51B3" w:rsidRPr="002F09C4" w:rsidRDefault="000C51B3" w:rsidP="00147876">
            <w:pPr>
              <w:rPr>
                <w:sz w:val="20"/>
                <w:szCs w:val="20"/>
              </w:rPr>
            </w:pPr>
          </w:p>
        </w:tc>
      </w:tr>
      <w:tr w:rsidR="000C51B3" w:rsidRPr="002F09C4" w14:paraId="6D7ED9DD" w14:textId="77777777" w:rsidTr="00147876">
        <w:tc>
          <w:tcPr>
            <w:tcW w:w="1615" w:type="dxa"/>
          </w:tcPr>
          <w:p w14:paraId="65D7F141" w14:textId="77777777" w:rsidR="000C51B3" w:rsidRPr="002F09C4" w:rsidRDefault="000C51B3" w:rsidP="00147876">
            <w:pPr>
              <w:rPr>
                <w:sz w:val="20"/>
                <w:szCs w:val="20"/>
              </w:rPr>
            </w:pPr>
            <w:r w:rsidRPr="002F09C4">
              <w:rPr>
                <w:sz w:val="20"/>
                <w:szCs w:val="20"/>
              </w:rPr>
              <w:lastRenderedPageBreak/>
              <w:t>Oxazolidinone</w:t>
            </w:r>
          </w:p>
        </w:tc>
        <w:tc>
          <w:tcPr>
            <w:tcW w:w="2520" w:type="dxa"/>
          </w:tcPr>
          <w:p w14:paraId="284F3E87" w14:textId="77777777" w:rsidR="000C51B3" w:rsidRPr="002F09C4" w:rsidRDefault="000C51B3" w:rsidP="00147876">
            <w:pPr>
              <w:rPr>
                <w:sz w:val="20"/>
                <w:szCs w:val="20"/>
              </w:rPr>
            </w:pPr>
            <w:r w:rsidRPr="002F09C4">
              <w:rPr>
                <w:sz w:val="20"/>
                <w:szCs w:val="20"/>
              </w:rPr>
              <w:t>Linezolid  [46]</w:t>
            </w:r>
          </w:p>
          <w:p w14:paraId="031E9AD0" w14:textId="77777777" w:rsidR="000C51B3" w:rsidRPr="002F09C4" w:rsidRDefault="000C51B3" w:rsidP="00147876">
            <w:pPr>
              <w:rPr>
                <w:sz w:val="20"/>
                <w:szCs w:val="20"/>
              </w:rPr>
            </w:pPr>
          </w:p>
          <w:p w14:paraId="4825C1E7" w14:textId="77777777" w:rsidR="000C51B3" w:rsidRPr="002F09C4" w:rsidRDefault="000C51B3" w:rsidP="00147876">
            <w:pPr>
              <w:rPr>
                <w:sz w:val="20"/>
                <w:szCs w:val="20"/>
              </w:rPr>
            </w:pPr>
          </w:p>
          <w:p w14:paraId="6B8C986E" w14:textId="77777777" w:rsidR="000C51B3" w:rsidRPr="002F09C4" w:rsidRDefault="000C51B3" w:rsidP="00147876">
            <w:pPr>
              <w:rPr>
                <w:sz w:val="20"/>
                <w:szCs w:val="20"/>
              </w:rPr>
            </w:pPr>
            <w:r w:rsidRPr="002F09C4">
              <w:rPr>
                <w:sz w:val="20"/>
                <w:szCs w:val="20"/>
              </w:rPr>
              <w:t>Linezolid [47]</w:t>
            </w:r>
          </w:p>
          <w:p w14:paraId="0BC098D1" w14:textId="77777777" w:rsidR="000C51B3" w:rsidRPr="002F09C4" w:rsidRDefault="000C51B3" w:rsidP="00147876">
            <w:pPr>
              <w:rPr>
                <w:sz w:val="20"/>
                <w:szCs w:val="20"/>
              </w:rPr>
            </w:pPr>
          </w:p>
          <w:p w14:paraId="76B35048" w14:textId="77777777" w:rsidR="000C51B3" w:rsidRPr="002F09C4" w:rsidRDefault="000C51B3" w:rsidP="00147876">
            <w:pPr>
              <w:rPr>
                <w:sz w:val="20"/>
                <w:szCs w:val="20"/>
              </w:rPr>
            </w:pPr>
          </w:p>
          <w:p w14:paraId="581BC980" w14:textId="77777777" w:rsidR="000C51B3" w:rsidRPr="002F09C4" w:rsidRDefault="000C51B3" w:rsidP="00147876">
            <w:pPr>
              <w:rPr>
                <w:sz w:val="20"/>
                <w:szCs w:val="20"/>
              </w:rPr>
            </w:pPr>
          </w:p>
          <w:p w14:paraId="3D0E0A58" w14:textId="77777777" w:rsidR="000C51B3" w:rsidRPr="002F09C4" w:rsidRDefault="000C51B3" w:rsidP="00147876">
            <w:pPr>
              <w:rPr>
                <w:sz w:val="20"/>
                <w:szCs w:val="20"/>
              </w:rPr>
            </w:pPr>
            <w:r w:rsidRPr="002F09C4">
              <w:rPr>
                <w:sz w:val="20"/>
                <w:szCs w:val="20"/>
              </w:rPr>
              <w:t>Linezolid [48]</w:t>
            </w:r>
          </w:p>
          <w:p w14:paraId="5EAF9973" w14:textId="77777777" w:rsidR="000C51B3" w:rsidRPr="002F09C4" w:rsidRDefault="000C51B3" w:rsidP="00147876">
            <w:pPr>
              <w:rPr>
                <w:sz w:val="20"/>
                <w:szCs w:val="20"/>
              </w:rPr>
            </w:pPr>
          </w:p>
        </w:tc>
        <w:tc>
          <w:tcPr>
            <w:tcW w:w="2250" w:type="dxa"/>
          </w:tcPr>
          <w:p w14:paraId="119EB58F" w14:textId="77777777" w:rsidR="000C51B3" w:rsidRPr="002F09C4" w:rsidRDefault="000C51B3" w:rsidP="00147876">
            <w:pPr>
              <w:rPr>
                <w:sz w:val="20"/>
                <w:szCs w:val="20"/>
              </w:rPr>
            </w:pPr>
            <w:r w:rsidRPr="002F09C4">
              <w:rPr>
                <w:sz w:val="20"/>
                <w:szCs w:val="20"/>
              </w:rPr>
              <w:t>600 mg IV q12h</w:t>
            </w:r>
          </w:p>
          <w:p w14:paraId="10A7EE31" w14:textId="77777777" w:rsidR="000C51B3" w:rsidRPr="002F09C4" w:rsidRDefault="000C51B3" w:rsidP="00147876">
            <w:pPr>
              <w:rPr>
                <w:sz w:val="20"/>
                <w:szCs w:val="20"/>
              </w:rPr>
            </w:pPr>
          </w:p>
          <w:p w14:paraId="15698CF8" w14:textId="77777777" w:rsidR="000C51B3" w:rsidRPr="002F09C4" w:rsidRDefault="000C51B3" w:rsidP="00147876">
            <w:pPr>
              <w:rPr>
                <w:sz w:val="20"/>
                <w:szCs w:val="20"/>
              </w:rPr>
            </w:pPr>
          </w:p>
          <w:p w14:paraId="0D51BE4B" w14:textId="77777777" w:rsidR="000C51B3" w:rsidRPr="002F09C4" w:rsidRDefault="000C51B3" w:rsidP="00147876">
            <w:pPr>
              <w:rPr>
                <w:sz w:val="20"/>
                <w:szCs w:val="20"/>
              </w:rPr>
            </w:pPr>
            <w:r w:rsidRPr="002F09C4">
              <w:rPr>
                <w:sz w:val="20"/>
                <w:szCs w:val="20"/>
              </w:rPr>
              <w:t>1200 mg/24 hours (50mg/h) IV continuous infusion</w:t>
            </w:r>
          </w:p>
          <w:p w14:paraId="13FDFF91" w14:textId="77777777" w:rsidR="000C51B3" w:rsidRPr="002F09C4" w:rsidRDefault="000C51B3" w:rsidP="00147876">
            <w:pPr>
              <w:rPr>
                <w:sz w:val="20"/>
                <w:szCs w:val="20"/>
              </w:rPr>
            </w:pPr>
          </w:p>
          <w:p w14:paraId="1242199F" w14:textId="77777777" w:rsidR="000C51B3" w:rsidRPr="002F09C4" w:rsidRDefault="000C51B3" w:rsidP="00147876">
            <w:pPr>
              <w:rPr>
                <w:sz w:val="20"/>
                <w:szCs w:val="20"/>
              </w:rPr>
            </w:pPr>
            <w:r w:rsidRPr="002F09C4">
              <w:rPr>
                <w:sz w:val="20"/>
                <w:szCs w:val="20"/>
              </w:rPr>
              <w:t>600 mg IV q12h (II Group)</w:t>
            </w:r>
          </w:p>
          <w:p w14:paraId="0CDDA83B" w14:textId="77777777" w:rsidR="000C51B3" w:rsidRPr="002F09C4" w:rsidRDefault="000C51B3" w:rsidP="00147876">
            <w:pPr>
              <w:rPr>
                <w:sz w:val="20"/>
                <w:szCs w:val="20"/>
              </w:rPr>
            </w:pPr>
          </w:p>
          <w:p w14:paraId="2E8B8D24" w14:textId="77777777" w:rsidR="000C51B3" w:rsidRPr="002F09C4" w:rsidRDefault="000C51B3" w:rsidP="00147876">
            <w:pPr>
              <w:rPr>
                <w:sz w:val="20"/>
                <w:szCs w:val="20"/>
              </w:rPr>
            </w:pPr>
            <w:r w:rsidRPr="002F09C4">
              <w:rPr>
                <w:sz w:val="20"/>
                <w:szCs w:val="20"/>
              </w:rPr>
              <w:t>1200 mg/24 hours (50mg/h) by IV continuous infusion (CI Group)</w:t>
            </w:r>
          </w:p>
          <w:p w14:paraId="3AB27046" w14:textId="77777777" w:rsidR="000C51B3" w:rsidRPr="002F09C4" w:rsidRDefault="000C51B3" w:rsidP="00147876">
            <w:pPr>
              <w:rPr>
                <w:sz w:val="20"/>
                <w:szCs w:val="20"/>
              </w:rPr>
            </w:pPr>
          </w:p>
        </w:tc>
        <w:tc>
          <w:tcPr>
            <w:tcW w:w="3060" w:type="dxa"/>
          </w:tcPr>
          <w:p w14:paraId="6A8A113B" w14:textId="77777777" w:rsidR="000C51B3" w:rsidRPr="002F09C4" w:rsidRDefault="000C51B3" w:rsidP="00147876">
            <w:pPr>
              <w:rPr>
                <w:sz w:val="20"/>
                <w:szCs w:val="20"/>
              </w:rPr>
            </w:pPr>
            <w:r w:rsidRPr="002F09C4">
              <w:rPr>
                <w:sz w:val="20"/>
                <w:szCs w:val="20"/>
              </w:rPr>
              <w:t>Peak: 105% ± 34 %</w:t>
            </w:r>
          </w:p>
          <w:p w14:paraId="4DC4028A" w14:textId="77777777" w:rsidR="000C51B3" w:rsidRPr="002F09C4" w:rsidRDefault="000C51B3" w:rsidP="00147876">
            <w:pPr>
              <w:rPr>
                <w:sz w:val="20"/>
                <w:szCs w:val="20"/>
              </w:rPr>
            </w:pPr>
            <w:r w:rsidRPr="002F09C4">
              <w:rPr>
                <w:sz w:val="20"/>
                <w:szCs w:val="20"/>
              </w:rPr>
              <w:t>Trough: 104% ± 28 %</w:t>
            </w:r>
          </w:p>
          <w:p w14:paraId="73A23681" w14:textId="77777777" w:rsidR="000C51B3" w:rsidRPr="002F09C4" w:rsidRDefault="000C51B3" w:rsidP="00147876">
            <w:pPr>
              <w:rPr>
                <w:sz w:val="20"/>
                <w:szCs w:val="20"/>
              </w:rPr>
            </w:pPr>
          </w:p>
          <w:p w14:paraId="3111F2EB" w14:textId="77777777" w:rsidR="000C51B3" w:rsidRPr="002F09C4" w:rsidRDefault="000C51B3" w:rsidP="00147876">
            <w:pPr>
              <w:rPr>
                <w:sz w:val="20"/>
                <w:szCs w:val="20"/>
              </w:rPr>
            </w:pPr>
            <w:r w:rsidRPr="002F09C4">
              <w:rPr>
                <w:sz w:val="20"/>
                <w:szCs w:val="20"/>
              </w:rPr>
              <w:t>Median 97% (IQR: 80-108%)</w:t>
            </w:r>
          </w:p>
          <w:p w14:paraId="18A0E52F" w14:textId="77777777" w:rsidR="000C51B3" w:rsidRPr="002F09C4" w:rsidRDefault="000C51B3" w:rsidP="00147876">
            <w:pPr>
              <w:rPr>
                <w:sz w:val="20"/>
                <w:szCs w:val="20"/>
              </w:rPr>
            </w:pPr>
          </w:p>
          <w:p w14:paraId="6F84FE4F" w14:textId="77777777" w:rsidR="000C51B3" w:rsidRPr="002F09C4" w:rsidRDefault="000C51B3" w:rsidP="00147876">
            <w:pPr>
              <w:rPr>
                <w:sz w:val="20"/>
                <w:szCs w:val="20"/>
              </w:rPr>
            </w:pPr>
          </w:p>
          <w:p w14:paraId="5C1D0C6A" w14:textId="77777777" w:rsidR="000C51B3" w:rsidRPr="002F09C4" w:rsidRDefault="000C51B3" w:rsidP="00147876">
            <w:pPr>
              <w:rPr>
                <w:sz w:val="20"/>
                <w:szCs w:val="20"/>
              </w:rPr>
            </w:pPr>
          </w:p>
          <w:p w14:paraId="6172381D" w14:textId="77777777" w:rsidR="000C51B3" w:rsidRPr="002F09C4" w:rsidRDefault="000C51B3" w:rsidP="00147876">
            <w:pPr>
              <w:rPr>
                <w:sz w:val="20"/>
                <w:szCs w:val="20"/>
              </w:rPr>
            </w:pPr>
            <w:r w:rsidRPr="002F09C4">
              <w:rPr>
                <w:sz w:val="20"/>
                <w:szCs w:val="20"/>
              </w:rPr>
              <w:t>II Group:  Median 80% (IQR: 56.6-130.5%)</w:t>
            </w:r>
          </w:p>
          <w:p w14:paraId="75DFA92B" w14:textId="77777777" w:rsidR="000C51B3" w:rsidRPr="002F09C4" w:rsidRDefault="000C51B3" w:rsidP="00147876">
            <w:pPr>
              <w:rPr>
                <w:sz w:val="20"/>
                <w:szCs w:val="20"/>
              </w:rPr>
            </w:pPr>
          </w:p>
          <w:p w14:paraId="2069C165" w14:textId="77777777" w:rsidR="000C51B3" w:rsidRPr="002F09C4" w:rsidRDefault="000C51B3" w:rsidP="00147876">
            <w:pPr>
              <w:rPr>
                <w:sz w:val="20"/>
                <w:szCs w:val="20"/>
              </w:rPr>
            </w:pPr>
            <w:r w:rsidRPr="002F09C4">
              <w:rPr>
                <w:sz w:val="20"/>
                <w:szCs w:val="20"/>
              </w:rPr>
              <w:t>CI Group:  Median 106% (IQR: 71.6-116%)</w:t>
            </w:r>
          </w:p>
        </w:tc>
        <w:tc>
          <w:tcPr>
            <w:tcW w:w="3690" w:type="dxa"/>
          </w:tcPr>
          <w:p w14:paraId="142D1364" w14:textId="77777777" w:rsidR="000C51B3" w:rsidRPr="002F09C4" w:rsidRDefault="000C51B3" w:rsidP="00147876">
            <w:pPr>
              <w:rPr>
                <w:sz w:val="20"/>
                <w:szCs w:val="20"/>
              </w:rPr>
            </w:pPr>
            <w:r w:rsidRPr="002F09C4">
              <w:rPr>
                <w:sz w:val="20"/>
                <w:szCs w:val="20"/>
              </w:rPr>
              <w:t>Each patient had two standardized bronchoalveolar microlavage procedures</w:t>
            </w:r>
          </w:p>
          <w:p w14:paraId="204D92AF" w14:textId="77777777" w:rsidR="000C51B3" w:rsidRPr="002F09C4" w:rsidRDefault="000C51B3" w:rsidP="00147876">
            <w:pPr>
              <w:rPr>
                <w:sz w:val="20"/>
                <w:szCs w:val="20"/>
              </w:rPr>
            </w:pPr>
          </w:p>
          <w:p w14:paraId="5B01159F" w14:textId="77777777" w:rsidR="000C51B3" w:rsidRPr="002F09C4" w:rsidRDefault="000C51B3" w:rsidP="00147876">
            <w:pPr>
              <w:rPr>
                <w:sz w:val="20"/>
                <w:szCs w:val="20"/>
              </w:rPr>
            </w:pPr>
            <w:r w:rsidRPr="002F09C4">
              <w:rPr>
                <w:sz w:val="20"/>
                <w:szCs w:val="20"/>
              </w:rPr>
              <w:t>Penetration determined by ELF/serum Css or AUC ratios</w:t>
            </w:r>
          </w:p>
          <w:p w14:paraId="53A74AA1" w14:textId="77777777" w:rsidR="000C51B3" w:rsidRPr="002F09C4" w:rsidRDefault="000C51B3" w:rsidP="00147876">
            <w:pPr>
              <w:rPr>
                <w:sz w:val="20"/>
                <w:szCs w:val="20"/>
              </w:rPr>
            </w:pPr>
          </w:p>
          <w:p w14:paraId="53E6E278" w14:textId="77777777" w:rsidR="000C51B3" w:rsidRPr="002F09C4" w:rsidRDefault="000C51B3" w:rsidP="00147876">
            <w:pPr>
              <w:rPr>
                <w:sz w:val="20"/>
                <w:szCs w:val="20"/>
              </w:rPr>
            </w:pPr>
          </w:p>
          <w:p w14:paraId="5B8B0995" w14:textId="77777777" w:rsidR="000C51B3" w:rsidRPr="002F09C4" w:rsidRDefault="000C51B3" w:rsidP="00147876">
            <w:pPr>
              <w:rPr>
                <w:sz w:val="20"/>
                <w:szCs w:val="20"/>
              </w:rPr>
            </w:pPr>
            <w:r w:rsidRPr="002F09C4">
              <w:rPr>
                <w:sz w:val="20"/>
                <w:szCs w:val="20"/>
              </w:rPr>
              <w:t>Critically ill obese (BMI ≥ 30 kg/m</w:t>
            </w:r>
            <w:r w:rsidRPr="002F09C4">
              <w:rPr>
                <w:sz w:val="20"/>
                <w:szCs w:val="20"/>
                <w:vertAlign w:val="superscript"/>
              </w:rPr>
              <w:t>2</w:t>
            </w:r>
            <w:r w:rsidRPr="002F09C4">
              <w:rPr>
                <w:sz w:val="20"/>
                <w:szCs w:val="20"/>
              </w:rPr>
              <w:t>) adults;</w:t>
            </w:r>
          </w:p>
          <w:p w14:paraId="7FFB79DC" w14:textId="77777777" w:rsidR="000C51B3" w:rsidRPr="002F09C4" w:rsidRDefault="000C51B3" w:rsidP="00147876">
            <w:pPr>
              <w:rPr>
                <w:sz w:val="20"/>
                <w:szCs w:val="20"/>
              </w:rPr>
            </w:pPr>
            <w:r w:rsidRPr="002F09C4">
              <w:rPr>
                <w:sz w:val="20"/>
                <w:szCs w:val="20"/>
              </w:rPr>
              <w:t xml:space="preserve">Penetration ratios based on Monte Carlo simulation for II group had a median of 87.1% (IQR: 78.7-95.4%) compared to CI group had a median of 98.8% (IQR: 93.8-104.3%) </w:t>
            </w:r>
          </w:p>
        </w:tc>
      </w:tr>
    </w:tbl>
    <w:p w14:paraId="3678F7AF" w14:textId="77777777" w:rsidR="000C51B3" w:rsidRPr="002F09C4" w:rsidRDefault="000C51B3" w:rsidP="000C51B3"/>
    <w:p w14:paraId="59C2CCEA" w14:textId="77777777" w:rsidR="000C51B3" w:rsidRPr="002F09C4" w:rsidRDefault="000C51B3">
      <w:r w:rsidRPr="002F09C4">
        <w:br w:type="page"/>
      </w:r>
    </w:p>
    <w:p w14:paraId="213C0CC5" w14:textId="77777777" w:rsidR="000C51B3" w:rsidRPr="002F09C4" w:rsidRDefault="000C51B3" w:rsidP="000C51B3">
      <w:pPr>
        <w:rPr>
          <w:b/>
        </w:rPr>
      </w:pPr>
      <w:r w:rsidRPr="002F09C4">
        <w:rPr>
          <w:b/>
        </w:rPr>
        <w:lastRenderedPageBreak/>
        <w:t>Table 3  Published studies on microdialysis and lung penetration of selected antibiotics in patients</w:t>
      </w:r>
    </w:p>
    <w:tbl>
      <w:tblPr>
        <w:tblStyle w:val="TableGrid"/>
        <w:tblW w:w="13140" w:type="dxa"/>
        <w:tblInd w:w="-185" w:type="dxa"/>
        <w:tblLayout w:type="fixed"/>
        <w:tblLook w:val="04A0" w:firstRow="1" w:lastRow="0" w:firstColumn="1" w:lastColumn="0" w:noHBand="0" w:noVBand="1"/>
      </w:tblPr>
      <w:tblGrid>
        <w:gridCol w:w="1800"/>
        <w:gridCol w:w="990"/>
        <w:gridCol w:w="3450"/>
        <w:gridCol w:w="3450"/>
        <w:gridCol w:w="3450"/>
      </w:tblGrid>
      <w:tr w:rsidR="000C51B3" w:rsidRPr="002F09C4" w14:paraId="26644FA4" w14:textId="77777777" w:rsidTr="00147876">
        <w:trPr>
          <w:trHeight w:val="540"/>
        </w:trPr>
        <w:tc>
          <w:tcPr>
            <w:tcW w:w="1800" w:type="dxa"/>
            <w:vAlign w:val="center"/>
          </w:tcPr>
          <w:p w14:paraId="17C29A4A" w14:textId="77777777" w:rsidR="000C51B3" w:rsidRPr="002F09C4" w:rsidRDefault="000C51B3" w:rsidP="00147876">
            <w:pPr>
              <w:jc w:val="center"/>
              <w:rPr>
                <w:b/>
                <w:sz w:val="20"/>
                <w:szCs w:val="20"/>
              </w:rPr>
            </w:pPr>
            <w:r w:rsidRPr="002F09C4">
              <w:rPr>
                <w:b/>
                <w:sz w:val="20"/>
                <w:szCs w:val="20"/>
              </w:rPr>
              <w:t>Antibiotic</w:t>
            </w:r>
          </w:p>
        </w:tc>
        <w:tc>
          <w:tcPr>
            <w:tcW w:w="990" w:type="dxa"/>
            <w:vAlign w:val="center"/>
          </w:tcPr>
          <w:p w14:paraId="1FA5CF9E" w14:textId="77777777" w:rsidR="000C51B3" w:rsidRPr="002F09C4" w:rsidRDefault="000C51B3" w:rsidP="00147876">
            <w:pPr>
              <w:jc w:val="center"/>
              <w:rPr>
                <w:b/>
                <w:sz w:val="20"/>
                <w:szCs w:val="20"/>
              </w:rPr>
            </w:pPr>
            <w:r w:rsidRPr="002F09C4">
              <w:rPr>
                <w:b/>
                <w:sz w:val="20"/>
                <w:szCs w:val="20"/>
              </w:rPr>
              <w:t>Dose</w:t>
            </w:r>
          </w:p>
        </w:tc>
        <w:tc>
          <w:tcPr>
            <w:tcW w:w="3450" w:type="dxa"/>
            <w:vAlign w:val="center"/>
          </w:tcPr>
          <w:p w14:paraId="371AA5DC" w14:textId="77777777" w:rsidR="000C51B3" w:rsidRPr="002F09C4" w:rsidRDefault="000C51B3" w:rsidP="00147876">
            <w:pPr>
              <w:jc w:val="center"/>
              <w:rPr>
                <w:b/>
                <w:sz w:val="20"/>
                <w:szCs w:val="20"/>
              </w:rPr>
            </w:pPr>
            <w:r w:rsidRPr="002F09C4">
              <w:rPr>
                <w:b/>
                <w:sz w:val="20"/>
                <w:szCs w:val="20"/>
              </w:rPr>
              <w:t>Penetration Ratio</w:t>
            </w:r>
          </w:p>
        </w:tc>
        <w:tc>
          <w:tcPr>
            <w:tcW w:w="3450" w:type="dxa"/>
            <w:vAlign w:val="center"/>
          </w:tcPr>
          <w:p w14:paraId="1459AB03" w14:textId="77777777" w:rsidR="000C51B3" w:rsidRPr="002F09C4" w:rsidRDefault="000C51B3" w:rsidP="00147876">
            <w:pPr>
              <w:jc w:val="center"/>
              <w:rPr>
                <w:b/>
                <w:sz w:val="20"/>
                <w:szCs w:val="20"/>
              </w:rPr>
            </w:pPr>
            <w:r w:rsidRPr="002F09C4">
              <w:rPr>
                <w:b/>
                <w:sz w:val="20"/>
                <w:szCs w:val="20"/>
              </w:rPr>
              <w:t>AUC</w:t>
            </w:r>
            <w:r w:rsidRPr="002F09C4">
              <w:rPr>
                <w:b/>
                <w:sz w:val="20"/>
                <w:szCs w:val="20"/>
                <w:vertAlign w:val="subscript"/>
              </w:rPr>
              <w:t>lung</w:t>
            </w:r>
            <w:r w:rsidRPr="002F09C4">
              <w:rPr>
                <w:b/>
                <w:sz w:val="20"/>
                <w:szCs w:val="20"/>
              </w:rPr>
              <w:t xml:space="preserve"> (µg</w:t>
            </w:r>
            <w:r w:rsidRPr="002F09C4">
              <w:rPr>
                <w:b/>
                <w:sz w:val="20"/>
                <w:szCs w:val="20"/>
              </w:rPr>
              <w:sym w:font="Wingdings 2" w:char="F096"/>
            </w:r>
            <w:r w:rsidRPr="002F09C4">
              <w:rPr>
                <w:b/>
                <w:sz w:val="20"/>
                <w:szCs w:val="20"/>
              </w:rPr>
              <w:t>h/mL)</w:t>
            </w:r>
          </w:p>
        </w:tc>
        <w:tc>
          <w:tcPr>
            <w:tcW w:w="3450" w:type="dxa"/>
            <w:vAlign w:val="center"/>
          </w:tcPr>
          <w:p w14:paraId="4F024D82" w14:textId="77777777" w:rsidR="000C51B3" w:rsidRPr="002F09C4" w:rsidRDefault="000C51B3" w:rsidP="00147876">
            <w:pPr>
              <w:jc w:val="center"/>
              <w:rPr>
                <w:b/>
                <w:sz w:val="20"/>
                <w:szCs w:val="20"/>
              </w:rPr>
            </w:pPr>
            <w:r w:rsidRPr="002F09C4">
              <w:rPr>
                <w:b/>
                <w:sz w:val="20"/>
                <w:szCs w:val="20"/>
              </w:rPr>
              <w:t>AUC</w:t>
            </w:r>
            <w:r w:rsidRPr="002F09C4">
              <w:rPr>
                <w:b/>
                <w:sz w:val="20"/>
                <w:szCs w:val="20"/>
                <w:vertAlign w:val="subscript"/>
              </w:rPr>
              <w:t>plasma</w:t>
            </w:r>
            <w:r w:rsidRPr="002F09C4">
              <w:rPr>
                <w:b/>
                <w:sz w:val="20"/>
                <w:szCs w:val="20"/>
              </w:rPr>
              <w:t xml:space="preserve"> (µg</w:t>
            </w:r>
            <w:r w:rsidRPr="002F09C4">
              <w:rPr>
                <w:b/>
                <w:sz w:val="20"/>
                <w:szCs w:val="20"/>
              </w:rPr>
              <w:sym w:font="Wingdings 2" w:char="F096"/>
            </w:r>
            <w:r w:rsidRPr="002F09C4">
              <w:rPr>
                <w:b/>
                <w:sz w:val="20"/>
                <w:szCs w:val="20"/>
              </w:rPr>
              <w:t>h/mL)</w:t>
            </w:r>
          </w:p>
        </w:tc>
      </w:tr>
      <w:tr w:rsidR="000C51B3" w:rsidRPr="002F09C4" w14:paraId="252DDB8F" w14:textId="77777777" w:rsidTr="00147876">
        <w:trPr>
          <w:trHeight w:val="540"/>
        </w:trPr>
        <w:tc>
          <w:tcPr>
            <w:tcW w:w="1800" w:type="dxa"/>
            <w:vAlign w:val="center"/>
          </w:tcPr>
          <w:p w14:paraId="71501121" w14:textId="77777777" w:rsidR="000C51B3" w:rsidRPr="002F09C4" w:rsidRDefault="000C51B3" w:rsidP="00147876">
            <w:pPr>
              <w:rPr>
                <w:sz w:val="20"/>
                <w:szCs w:val="20"/>
              </w:rPr>
            </w:pPr>
            <w:r w:rsidRPr="002F09C4">
              <w:rPr>
                <w:sz w:val="20"/>
                <w:szCs w:val="20"/>
              </w:rPr>
              <w:t>Cefpirome [53]</w:t>
            </w:r>
          </w:p>
        </w:tc>
        <w:tc>
          <w:tcPr>
            <w:tcW w:w="990" w:type="dxa"/>
            <w:vAlign w:val="center"/>
          </w:tcPr>
          <w:p w14:paraId="27AE14ED" w14:textId="77777777" w:rsidR="000C51B3" w:rsidRPr="002F09C4" w:rsidRDefault="000C51B3" w:rsidP="00147876">
            <w:pPr>
              <w:jc w:val="center"/>
              <w:rPr>
                <w:sz w:val="20"/>
                <w:szCs w:val="20"/>
              </w:rPr>
            </w:pPr>
            <w:r w:rsidRPr="002F09C4">
              <w:rPr>
                <w:sz w:val="20"/>
                <w:szCs w:val="20"/>
              </w:rPr>
              <w:t>2 g</w:t>
            </w:r>
          </w:p>
        </w:tc>
        <w:tc>
          <w:tcPr>
            <w:tcW w:w="3450" w:type="dxa"/>
            <w:vAlign w:val="center"/>
          </w:tcPr>
          <w:p w14:paraId="5C659E57" w14:textId="77777777" w:rsidR="000C51B3" w:rsidRPr="002F09C4" w:rsidRDefault="000C51B3" w:rsidP="00147876">
            <w:pPr>
              <w:jc w:val="center"/>
              <w:rPr>
                <w:sz w:val="20"/>
                <w:szCs w:val="20"/>
              </w:rPr>
            </w:pPr>
            <w:r w:rsidRPr="002F09C4">
              <w:rPr>
                <w:sz w:val="20"/>
                <w:szCs w:val="20"/>
              </w:rPr>
              <w:t>Mean: 67%</w:t>
            </w:r>
          </w:p>
        </w:tc>
        <w:tc>
          <w:tcPr>
            <w:tcW w:w="3450" w:type="dxa"/>
            <w:vAlign w:val="center"/>
          </w:tcPr>
          <w:p w14:paraId="41784C11" w14:textId="77777777" w:rsidR="000C51B3" w:rsidRPr="002F09C4" w:rsidRDefault="000C51B3" w:rsidP="00147876">
            <w:pPr>
              <w:jc w:val="center"/>
              <w:rPr>
                <w:sz w:val="20"/>
                <w:szCs w:val="20"/>
              </w:rPr>
            </w:pPr>
            <w:r w:rsidRPr="002F09C4">
              <w:rPr>
                <w:sz w:val="20"/>
                <w:szCs w:val="20"/>
              </w:rPr>
              <w:t>Mean ± SEM: 261 ± 24</w:t>
            </w:r>
          </w:p>
        </w:tc>
        <w:tc>
          <w:tcPr>
            <w:tcW w:w="3450" w:type="dxa"/>
            <w:vAlign w:val="center"/>
          </w:tcPr>
          <w:p w14:paraId="3F0B078F" w14:textId="77777777" w:rsidR="000C51B3" w:rsidRPr="002F09C4" w:rsidRDefault="000C51B3" w:rsidP="00147876">
            <w:pPr>
              <w:jc w:val="center"/>
              <w:rPr>
                <w:sz w:val="20"/>
                <w:szCs w:val="20"/>
              </w:rPr>
            </w:pPr>
            <w:r w:rsidRPr="002F09C4">
              <w:rPr>
                <w:sz w:val="20"/>
                <w:szCs w:val="20"/>
              </w:rPr>
              <w:t>Mean ± SEM: 174 ± 15</w:t>
            </w:r>
          </w:p>
        </w:tc>
      </w:tr>
      <w:tr w:rsidR="000C51B3" w:rsidRPr="002F09C4" w14:paraId="71D608DC" w14:textId="77777777" w:rsidTr="00147876">
        <w:trPr>
          <w:trHeight w:val="540"/>
        </w:trPr>
        <w:tc>
          <w:tcPr>
            <w:tcW w:w="1800" w:type="dxa"/>
            <w:vAlign w:val="center"/>
          </w:tcPr>
          <w:p w14:paraId="6B4CB1EC" w14:textId="77777777" w:rsidR="000C51B3" w:rsidRPr="002F09C4" w:rsidRDefault="000C51B3" w:rsidP="00147876">
            <w:pPr>
              <w:spacing w:before="120"/>
              <w:rPr>
                <w:sz w:val="20"/>
                <w:szCs w:val="20"/>
              </w:rPr>
            </w:pPr>
            <w:r w:rsidRPr="002F09C4">
              <w:rPr>
                <w:sz w:val="20"/>
                <w:szCs w:val="20"/>
              </w:rPr>
              <w:t>Cefpirome [54]</w:t>
            </w:r>
          </w:p>
        </w:tc>
        <w:tc>
          <w:tcPr>
            <w:tcW w:w="990" w:type="dxa"/>
            <w:vAlign w:val="center"/>
          </w:tcPr>
          <w:p w14:paraId="785294AE" w14:textId="77777777" w:rsidR="000C51B3" w:rsidRPr="002F09C4" w:rsidRDefault="000C51B3" w:rsidP="00147876">
            <w:pPr>
              <w:spacing w:before="120"/>
              <w:jc w:val="center"/>
              <w:rPr>
                <w:sz w:val="20"/>
                <w:szCs w:val="20"/>
              </w:rPr>
            </w:pPr>
            <w:r w:rsidRPr="002F09C4">
              <w:rPr>
                <w:sz w:val="20"/>
                <w:szCs w:val="20"/>
              </w:rPr>
              <w:t>30 mg/kg</w:t>
            </w:r>
          </w:p>
        </w:tc>
        <w:tc>
          <w:tcPr>
            <w:tcW w:w="3450" w:type="dxa"/>
            <w:vAlign w:val="bottom"/>
          </w:tcPr>
          <w:p w14:paraId="131ED16C" w14:textId="77777777" w:rsidR="000C51B3" w:rsidRPr="002F09C4" w:rsidRDefault="000C51B3" w:rsidP="00147876">
            <w:pPr>
              <w:spacing w:before="120"/>
              <w:jc w:val="center"/>
              <w:rPr>
                <w:sz w:val="20"/>
                <w:szCs w:val="20"/>
              </w:rPr>
            </w:pPr>
            <w:r w:rsidRPr="002F09C4">
              <w:rPr>
                <w:sz w:val="20"/>
                <w:szCs w:val="20"/>
              </w:rPr>
              <w:t>Median: 46%  (range: 32-98) *</w:t>
            </w:r>
          </w:p>
          <w:p w14:paraId="2054D99A" w14:textId="77777777" w:rsidR="000C51B3" w:rsidRPr="002F09C4" w:rsidRDefault="000C51B3" w:rsidP="00147876">
            <w:pPr>
              <w:spacing w:after="120"/>
              <w:jc w:val="center"/>
              <w:rPr>
                <w:sz w:val="20"/>
                <w:szCs w:val="20"/>
              </w:rPr>
            </w:pPr>
            <w:r w:rsidRPr="002F09C4">
              <w:rPr>
                <w:sz w:val="20"/>
                <w:szCs w:val="20"/>
              </w:rPr>
              <w:t>Median: 63% (range: 19-155) #</w:t>
            </w:r>
          </w:p>
        </w:tc>
        <w:tc>
          <w:tcPr>
            <w:tcW w:w="3450" w:type="dxa"/>
            <w:vAlign w:val="bottom"/>
          </w:tcPr>
          <w:p w14:paraId="722CB9B7" w14:textId="77777777" w:rsidR="000C51B3" w:rsidRPr="002F09C4" w:rsidRDefault="000C51B3" w:rsidP="00147876">
            <w:pPr>
              <w:jc w:val="center"/>
              <w:rPr>
                <w:sz w:val="20"/>
                <w:szCs w:val="20"/>
              </w:rPr>
            </w:pPr>
            <w:r w:rsidRPr="002F09C4">
              <w:rPr>
                <w:sz w:val="20"/>
                <w:szCs w:val="20"/>
              </w:rPr>
              <w:t>Median: 206 (range: 49-379) *</w:t>
            </w:r>
          </w:p>
          <w:p w14:paraId="38DD9A57" w14:textId="77777777" w:rsidR="000C51B3" w:rsidRPr="002F09C4" w:rsidRDefault="000C51B3" w:rsidP="00147876">
            <w:pPr>
              <w:spacing w:after="120"/>
              <w:jc w:val="center"/>
              <w:rPr>
                <w:sz w:val="20"/>
                <w:szCs w:val="20"/>
              </w:rPr>
            </w:pPr>
            <w:r w:rsidRPr="002F09C4">
              <w:rPr>
                <w:sz w:val="20"/>
                <w:szCs w:val="20"/>
              </w:rPr>
              <w:t>Median: 182 (range: 80-382) #</w:t>
            </w:r>
          </w:p>
        </w:tc>
        <w:tc>
          <w:tcPr>
            <w:tcW w:w="3450" w:type="dxa"/>
            <w:vAlign w:val="center"/>
          </w:tcPr>
          <w:p w14:paraId="2876D4FF" w14:textId="77777777" w:rsidR="000C51B3" w:rsidRPr="002F09C4" w:rsidRDefault="000C51B3" w:rsidP="00147876">
            <w:pPr>
              <w:spacing w:before="120"/>
              <w:jc w:val="center"/>
              <w:rPr>
                <w:sz w:val="20"/>
                <w:szCs w:val="20"/>
              </w:rPr>
            </w:pPr>
            <w:r w:rsidRPr="002F09C4">
              <w:rPr>
                <w:sz w:val="20"/>
                <w:szCs w:val="20"/>
              </w:rPr>
              <w:t>Median: 291 (range: 133-713)</w:t>
            </w:r>
          </w:p>
        </w:tc>
      </w:tr>
      <w:tr w:rsidR="000C51B3" w:rsidRPr="002F09C4" w14:paraId="5B87A37B" w14:textId="77777777" w:rsidTr="00147876">
        <w:trPr>
          <w:trHeight w:val="540"/>
        </w:trPr>
        <w:tc>
          <w:tcPr>
            <w:tcW w:w="1800" w:type="dxa"/>
          </w:tcPr>
          <w:p w14:paraId="3B1ED20A" w14:textId="77777777" w:rsidR="000C51B3" w:rsidRPr="002F09C4" w:rsidRDefault="000C51B3" w:rsidP="00147876">
            <w:pPr>
              <w:spacing w:before="120"/>
              <w:rPr>
                <w:sz w:val="20"/>
                <w:szCs w:val="20"/>
              </w:rPr>
            </w:pPr>
            <w:r w:rsidRPr="002F09C4">
              <w:rPr>
                <w:sz w:val="20"/>
                <w:szCs w:val="20"/>
              </w:rPr>
              <w:t>Piperacillin-    Tazobactam [55]</w:t>
            </w:r>
          </w:p>
        </w:tc>
        <w:tc>
          <w:tcPr>
            <w:tcW w:w="990" w:type="dxa"/>
          </w:tcPr>
          <w:p w14:paraId="286C95B0" w14:textId="77777777" w:rsidR="000C51B3" w:rsidRPr="002F09C4" w:rsidRDefault="000C51B3" w:rsidP="00147876">
            <w:pPr>
              <w:spacing w:before="120"/>
              <w:jc w:val="center"/>
              <w:rPr>
                <w:sz w:val="20"/>
                <w:szCs w:val="20"/>
              </w:rPr>
            </w:pPr>
            <w:r w:rsidRPr="002F09C4">
              <w:rPr>
                <w:sz w:val="20"/>
                <w:szCs w:val="20"/>
              </w:rPr>
              <w:t>4.5 g</w:t>
            </w:r>
          </w:p>
        </w:tc>
        <w:tc>
          <w:tcPr>
            <w:tcW w:w="3450" w:type="dxa"/>
            <w:vAlign w:val="center"/>
          </w:tcPr>
          <w:p w14:paraId="68B7426C" w14:textId="77777777" w:rsidR="000C51B3" w:rsidRPr="002F09C4" w:rsidRDefault="000C51B3" w:rsidP="00147876">
            <w:pPr>
              <w:spacing w:before="120"/>
              <w:jc w:val="center"/>
              <w:rPr>
                <w:sz w:val="20"/>
                <w:szCs w:val="20"/>
              </w:rPr>
            </w:pPr>
            <w:r w:rsidRPr="002F09C4">
              <w:rPr>
                <w:sz w:val="20"/>
                <w:szCs w:val="20"/>
              </w:rPr>
              <w:t>Piperacillin: Mean ± SD: 63% ± 29%</w:t>
            </w:r>
          </w:p>
          <w:p w14:paraId="597C1FFF" w14:textId="77777777" w:rsidR="000C51B3" w:rsidRPr="002F09C4" w:rsidRDefault="000C51B3" w:rsidP="00147876">
            <w:pPr>
              <w:spacing w:after="120"/>
              <w:jc w:val="center"/>
              <w:rPr>
                <w:sz w:val="20"/>
                <w:szCs w:val="20"/>
              </w:rPr>
            </w:pPr>
            <w:r w:rsidRPr="002F09C4">
              <w:rPr>
                <w:sz w:val="20"/>
                <w:szCs w:val="20"/>
              </w:rPr>
              <w:t>Tazobactam: Mean ± SD: 193% ± 156%</w:t>
            </w:r>
          </w:p>
        </w:tc>
        <w:tc>
          <w:tcPr>
            <w:tcW w:w="3450" w:type="dxa"/>
            <w:vAlign w:val="bottom"/>
          </w:tcPr>
          <w:p w14:paraId="09E44FA8" w14:textId="77777777" w:rsidR="000C51B3" w:rsidRPr="002F09C4" w:rsidRDefault="000C51B3" w:rsidP="00147876">
            <w:pPr>
              <w:spacing w:before="120"/>
              <w:jc w:val="center"/>
              <w:rPr>
                <w:sz w:val="20"/>
                <w:szCs w:val="20"/>
              </w:rPr>
            </w:pPr>
            <w:r w:rsidRPr="002F09C4">
              <w:rPr>
                <w:sz w:val="20"/>
                <w:szCs w:val="20"/>
              </w:rPr>
              <w:t>Piperacillin: Mean ± SD: 288.0 ± 167.0</w:t>
            </w:r>
          </w:p>
          <w:p w14:paraId="16D0A797" w14:textId="77777777" w:rsidR="000C51B3" w:rsidRPr="002F09C4" w:rsidRDefault="000C51B3" w:rsidP="00147876">
            <w:pPr>
              <w:spacing w:after="120"/>
              <w:jc w:val="center"/>
              <w:rPr>
                <w:sz w:val="20"/>
                <w:szCs w:val="20"/>
              </w:rPr>
            </w:pPr>
            <w:r w:rsidRPr="002F09C4">
              <w:rPr>
                <w:sz w:val="20"/>
                <w:szCs w:val="20"/>
              </w:rPr>
              <w:t>Tazobactam: Mean ± SD: 45.7 ± 44.8</w:t>
            </w:r>
          </w:p>
        </w:tc>
        <w:tc>
          <w:tcPr>
            <w:tcW w:w="3450" w:type="dxa"/>
            <w:vAlign w:val="bottom"/>
          </w:tcPr>
          <w:p w14:paraId="5DBA113D" w14:textId="77777777" w:rsidR="000C51B3" w:rsidRPr="002F09C4" w:rsidRDefault="000C51B3" w:rsidP="00147876">
            <w:pPr>
              <w:spacing w:before="120"/>
              <w:jc w:val="center"/>
              <w:rPr>
                <w:sz w:val="20"/>
                <w:szCs w:val="20"/>
              </w:rPr>
            </w:pPr>
            <w:r w:rsidRPr="002F09C4">
              <w:rPr>
                <w:sz w:val="20"/>
                <w:szCs w:val="20"/>
              </w:rPr>
              <w:t>Piperacillin: Mean ± SD: 470.0 ± 142.0</w:t>
            </w:r>
          </w:p>
          <w:p w14:paraId="463432A4" w14:textId="77777777" w:rsidR="000C51B3" w:rsidRPr="002F09C4" w:rsidRDefault="000C51B3" w:rsidP="00147876">
            <w:pPr>
              <w:spacing w:after="120"/>
              <w:jc w:val="center"/>
              <w:rPr>
                <w:sz w:val="20"/>
                <w:szCs w:val="20"/>
              </w:rPr>
            </w:pPr>
            <w:r w:rsidRPr="002F09C4">
              <w:rPr>
                <w:sz w:val="20"/>
                <w:szCs w:val="20"/>
              </w:rPr>
              <w:t>Tazobactam: Mean ± SD: 36.2 ± 26.0</w:t>
            </w:r>
          </w:p>
        </w:tc>
      </w:tr>
      <w:tr w:rsidR="000C51B3" w:rsidRPr="002F09C4" w14:paraId="2459FAB6" w14:textId="77777777" w:rsidTr="00147876">
        <w:trPr>
          <w:trHeight w:val="540"/>
        </w:trPr>
        <w:tc>
          <w:tcPr>
            <w:tcW w:w="1800" w:type="dxa"/>
            <w:vAlign w:val="center"/>
          </w:tcPr>
          <w:p w14:paraId="7D9780B8" w14:textId="77777777" w:rsidR="000C51B3" w:rsidRPr="002F09C4" w:rsidRDefault="000C51B3" w:rsidP="00147876">
            <w:pPr>
              <w:rPr>
                <w:sz w:val="20"/>
                <w:szCs w:val="20"/>
              </w:rPr>
            </w:pPr>
            <w:r w:rsidRPr="002F09C4">
              <w:rPr>
                <w:sz w:val="20"/>
                <w:szCs w:val="20"/>
              </w:rPr>
              <w:t>Meropenem [56]</w:t>
            </w:r>
          </w:p>
        </w:tc>
        <w:tc>
          <w:tcPr>
            <w:tcW w:w="990" w:type="dxa"/>
            <w:vAlign w:val="center"/>
          </w:tcPr>
          <w:p w14:paraId="38320748" w14:textId="77777777" w:rsidR="000C51B3" w:rsidRPr="002F09C4" w:rsidRDefault="000C51B3" w:rsidP="00147876">
            <w:pPr>
              <w:autoSpaceDE w:val="0"/>
              <w:autoSpaceDN w:val="0"/>
              <w:adjustRightInd w:val="0"/>
              <w:jc w:val="center"/>
              <w:rPr>
                <w:sz w:val="20"/>
                <w:szCs w:val="20"/>
              </w:rPr>
            </w:pPr>
            <w:r w:rsidRPr="002F09C4">
              <w:rPr>
                <w:sz w:val="20"/>
                <w:szCs w:val="20"/>
              </w:rPr>
              <w:t>1 g</w:t>
            </w:r>
          </w:p>
        </w:tc>
        <w:tc>
          <w:tcPr>
            <w:tcW w:w="3450" w:type="dxa"/>
            <w:vAlign w:val="center"/>
          </w:tcPr>
          <w:p w14:paraId="724E397C" w14:textId="77777777" w:rsidR="000C51B3" w:rsidRPr="002F09C4" w:rsidRDefault="000C51B3" w:rsidP="00147876">
            <w:pPr>
              <w:jc w:val="center"/>
              <w:rPr>
                <w:sz w:val="20"/>
                <w:szCs w:val="20"/>
              </w:rPr>
            </w:pPr>
            <w:r w:rsidRPr="002F09C4">
              <w:rPr>
                <w:sz w:val="20"/>
                <w:szCs w:val="20"/>
              </w:rPr>
              <w:t>Mean ± SD: 41% ± 21%</w:t>
            </w:r>
          </w:p>
        </w:tc>
        <w:tc>
          <w:tcPr>
            <w:tcW w:w="3450" w:type="dxa"/>
            <w:vAlign w:val="center"/>
          </w:tcPr>
          <w:p w14:paraId="3E002C34" w14:textId="77777777" w:rsidR="000C51B3" w:rsidRPr="002F09C4" w:rsidRDefault="000C51B3" w:rsidP="00147876">
            <w:pPr>
              <w:jc w:val="center"/>
              <w:rPr>
                <w:sz w:val="20"/>
                <w:szCs w:val="20"/>
              </w:rPr>
            </w:pPr>
            <w:r w:rsidRPr="002F09C4">
              <w:rPr>
                <w:sz w:val="20"/>
                <w:szCs w:val="20"/>
              </w:rPr>
              <w:t>Mean ± SD: 36.2 ± 17.9</w:t>
            </w:r>
          </w:p>
        </w:tc>
        <w:tc>
          <w:tcPr>
            <w:tcW w:w="3450" w:type="dxa"/>
            <w:vAlign w:val="center"/>
          </w:tcPr>
          <w:p w14:paraId="27AC9EEF" w14:textId="77777777" w:rsidR="000C51B3" w:rsidRPr="002F09C4" w:rsidRDefault="000C51B3" w:rsidP="00147876">
            <w:pPr>
              <w:jc w:val="center"/>
              <w:rPr>
                <w:sz w:val="20"/>
                <w:szCs w:val="20"/>
              </w:rPr>
            </w:pPr>
            <w:r w:rsidRPr="002F09C4">
              <w:rPr>
                <w:sz w:val="20"/>
                <w:szCs w:val="20"/>
              </w:rPr>
              <w:t>Mean ± SD: 95.4 ± 46.6</w:t>
            </w:r>
          </w:p>
        </w:tc>
      </w:tr>
      <w:tr w:rsidR="000C51B3" w:rsidRPr="002F09C4" w14:paraId="27BADB98" w14:textId="77777777" w:rsidTr="00147876">
        <w:trPr>
          <w:trHeight w:val="540"/>
        </w:trPr>
        <w:tc>
          <w:tcPr>
            <w:tcW w:w="1800" w:type="dxa"/>
            <w:vAlign w:val="center"/>
          </w:tcPr>
          <w:p w14:paraId="2AF3E153" w14:textId="77777777" w:rsidR="000C51B3" w:rsidRPr="002F09C4" w:rsidRDefault="000C51B3" w:rsidP="00147876">
            <w:pPr>
              <w:rPr>
                <w:sz w:val="20"/>
                <w:szCs w:val="20"/>
              </w:rPr>
            </w:pPr>
            <w:r w:rsidRPr="002F09C4">
              <w:rPr>
                <w:sz w:val="20"/>
                <w:szCs w:val="20"/>
              </w:rPr>
              <w:t>Levofloxacin [57]</w:t>
            </w:r>
          </w:p>
        </w:tc>
        <w:tc>
          <w:tcPr>
            <w:tcW w:w="990" w:type="dxa"/>
            <w:vAlign w:val="center"/>
          </w:tcPr>
          <w:p w14:paraId="6917F262" w14:textId="77777777" w:rsidR="000C51B3" w:rsidRPr="002F09C4" w:rsidRDefault="000C51B3" w:rsidP="00147876">
            <w:pPr>
              <w:jc w:val="center"/>
              <w:rPr>
                <w:sz w:val="20"/>
                <w:szCs w:val="20"/>
              </w:rPr>
            </w:pPr>
            <w:r w:rsidRPr="002F09C4">
              <w:rPr>
                <w:sz w:val="20"/>
                <w:szCs w:val="20"/>
              </w:rPr>
              <w:t>500 mg</w:t>
            </w:r>
          </w:p>
        </w:tc>
        <w:tc>
          <w:tcPr>
            <w:tcW w:w="3450" w:type="dxa"/>
            <w:vAlign w:val="center"/>
          </w:tcPr>
          <w:p w14:paraId="56BA9382" w14:textId="77777777" w:rsidR="000C51B3" w:rsidRPr="002F09C4" w:rsidRDefault="000C51B3" w:rsidP="00147876">
            <w:pPr>
              <w:jc w:val="center"/>
              <w:rPr>
                <w:sz w:val="20"/>
                <w:szCs w:val="20"/>
              </w:rPr>
            </w:pPr>
            <w:r w:rsidRPr="002F09C4">
              <w:rPr>
                <w:sz w:val="20"/>
                <w:szCs w:val="20"/>
              </w:rPr>
              <w:t>Median: 60%  (range: 40-90)</w:t>
            </w:r>
          </w:p>
        </w:tc>
        <w:tc>
          <w:tcPr>
            <w:tcW w:w="3450" w:type="dxa"/>
            <w:vAlign w:val="center"/>
          </w:tcPr>
          <w:p w14:paraId="4EB9D05F" w14:textId="77777777" w:rsidR="000C51B3" w:rsidRPr="002F09C4" w:rsidRDefault="000C51B3" w:rsidP="00147876">
            <w:pPr>
              <w:jc w:val="center"/>
              <w:rPr>
                <w:sz w:val="20"/>
                <w:szCs w:val="20"/>
              </w:rPr>
            </w:pPr>
            <w:r w:rsidRPr="002F09C4">
              <w:rPr>
                <w:sz w:val="20"/>
                <w:szCs w:val="20"/>
              </w:rPr>
              <w:t>Median: 18.6 (range: 10.1-33.6)</w:t>
            </w:r>
          </w:p>
        </w:tc>
        <w:tc>
          <w:tcPr>
            <w:tcW w:w="3450" w:type="dxa"/>
            <w:vAlign w:val="center"/>
          </w:tcPr>
          <w:p w14:paraId="497BA6CD" w14:textId="77777777" w:rsidR="000C51B3" w:rsidRPr="002F09C4" w:rsidRDefault="000C51B3" w:rsidP="00147876">
            <w:pPr>
              <w:jc w:val="center"/>
              <w:rPr>
                <w:sz w:val="20"/>
                <w:szCs w:val="20"/>
              </w:rPr>
            </w:pPr>
            <w:r w:rsidRPr="002F09C4">
              <w:rPr>
                <w:sz w:val="20"/>
                <w:szCs w:val="20"/>
              </w:rPr>
              <w:t>Median: 32.6 (range: 24.3-44.2)</w:t>
            </w:r>
          </w:p>
        </w:tc>
      </w:tr>
      <w:tr w:rsidR="000C51B3" w:rsidRPr="002F09C4" w14:paraId="62C8A653" w14:textId="77777777" w:rsidTr="00147876">
        <w:trPr>
          <w:trHeight w:val="540"/>
        </w:trPr>
        <w:tc>
          <w:tcPr>
            <w:tcW w:w="1800" w:type="dxa"/>
            <w:vAlign w:val="center"/>
          </w:tcPr>
          <w:p w14:paraId="468716E2" w14:textId="77777777" w:rsidR="000C51B3" w:rsidRPr="002F09C4" w:rsidRDefault="000C51B3" w:rsidP="00147876">
            <w:pPr>
              <w:rPr>
                <w:sz w:val="20"/>
                <w:szCs w:val="20"/>
              </w:rPr>
            </w:pPr>
            <w:r w:rsidRPr="002F09C4">
              <w:rPr>
                <w:sz w:val="20"/>
                <w:szCs w:val="20"/>
              </w:rPr>
              <w:t>Levofloxacin [58]</w:t>
            </w:r>
          </w:p>
        </w:tc>
        <w:tc>
          <w:tcPr>
            <w:tcW w:w="990" w:type="dxa"/>
            <w:vAlign w:val="center"/>
          </w:tcPr>
          <w:p w14:paraId="4785AC93" w14:textId="77777777" w:rsidR="000C51B3" w:rsidRPr="002F09C4" w:rsidRDefault="000C51B3" w:rsidP="00147876">
            <w:pPr>
              <w:jc w:val="center"/>
              <w:rPr>
                <w:sz w:val="20"/>
                <w:szCs w:val="20"/>
              </w:rPr>
            </w:pPr>
            <w:r w:rsidRPr="002F09C4">
              <w:rPr>
                <w:sz w:val="20"/>
                <w:szCs w:val="20"/>
              </w:rPr>
              <w:t>500 mg</w:t>
            </w:r>
          </w:p>
        </w:tc>
        <w:tc>
          <w:tcPr>
            <w:tcW w:w="3450" w:type="dxa"/>
            <w:vAlign w:val="center"/>
          </w:tcPr>
          <w:p w14:paraId="6E3A6063" w14:textId="77777777" w:rsidR="000C51B3" w:rsidRPr="002F09C4" w:rsidRDefault="000C51B3" w:rsidP="00147876">
            <w:pPr>
              <w:jc w:val="center"/>
              <w:rPr>
                <w:sz w:val="20"/>
                <w:szCs w:val="20"/>
              </w:rPr>
            </w:pPr>
            <w:r w:rsidRPr="002F09C4">
              <w:rPr>
                <w:sz w:val="20"/>
                <w:szCs w:val="20"/>
              </w:rPr>
              <w:t>Mean: 67%</w:t>
            </w:r>
          </w:p>
        </w:tc>
        <w:tc>
          <w:tcPr>
            <w:tcW w:w="3450" w:type="dxa"/>
            <w:vAlign w:val="center"/>
          </w:tcPr>
          <w:p w14:paraId="50909FC3" w14:textId="77777777" w:rsidR="000C51B3" w:rsidRPr="002F09C4" w:rsidRDefault="000C51B3" w:rsidP="00147876">
            <w:pPr>
              <w:jc w:val="center"/>
              <w:rPr>
                <w:sz w:val="20"/>
                <w:szCs w:val="20"/>
              </w:rPr>
            </w:pPr>
            <w:r w:rsidRPr="002F09C4">
              <w:rPr>
                <w:sz w:val="20"/>
                <w:szCs w:val="20"/>
              </w:rPr>
              <w:t>Median: 37.8 (range: 33.0-39.3)</w:t>
            </w:r>
          </w:p>
        </w:tc>
        <w:tc>
          <w:tcPr>
            <w:tcW w:w="3450" w:type="dxa"/>
            <w:vAlign w:val="center"/>
          </w:tcPr>
          <w:p w14:paraId="574DE7F6" w14:textId="77777777" w:rsidR="000C51B3" w:rsidRPr="002F09C4" w:rsidRDefault="000C51B3" w:rsidP="00147876">
            <w:pPr>
              <w:jc w:val="center"/>
              <w:rPr>
                <w:sz w:val="20"/>
                <w:szCs w:val="20"/>
              </w:rPr>
            </w:pPr>
            <w:r w:rsidRPr="002F09C4">
              <w:rPr>
                <w:sz w:val="20"/>
                <w:szCs w:val="20"/>
              </w:rPr>
              <w:t>Median: 56.3 (range: 41.8-89.6)</w:t>
            </w:r>
          </w:p>
        </w:tc>
      </w:tr>
      <w:tr w:rsidR="000C51B3" w:rsidRPr="002F09C4" w14:paraId="2BA4EEB4" w14:textId="77777777" w:rsidTr="00147876">
        <w:trPr>
          <w:trHeight w:val="540"/>
        </w:trPr>
        <w:tc>
          <w:tcPr>
            <w:tcW w:w="1800" w:type="dxa"/>
            <w:vAlign w:val="center"/>
          </w:tcPr>
          <w:p w14:paraId="46A1B5D0" w14:textId="77777777" w:rsidR="000C51B3" w:rsidRPr="002F09C4" w:rsidRDefault="000C51B3" w:rsidP="00147876">
            <w:pPr>
              <w:spacing w:before="120"/>
              <w:rPr>
                <w:sz w:val="20"/>
                <w:szCs w:val="20"/>
              </w:rPr>
            </w:pPr>
            <w:r w:rsidRPr="002F09C4">
              <w:rPr>
                <w:sz w:val="20"/>
                <w:szCs w:val="20"/>
              </w:rPr>
              <w:t>Levofloxacin [59]</w:t>
            </w:r>
          </w:p>
        </w:tc>
        <w:tc>
          <w:tcPr>
            <w:tcW w:w="990" w:type="dxa"/>
            <w:vAlign w:val="center"/>
          </w:tcPr>
          <w:p w14:paraId="44C8C979" w14:textId="77777777" w:rsidR="000C51B3" w:rsidRPr="002F09C4" w:rsidRDefault="000C51B3" w:rsidP="00147876">
            <w:pPr>
              <w:spacing w:before="120"/>
              <w:jc w:val="center"/>
              <w:rPr>
                <w:sz w:val="20"/>
                <w:szCs w:val="20"/>
              </w:rPr>
            </w:pPr>
            <w:r w:rsidRPr="002F09C4">
              <w:rPr>
                <w:sz w:val="20"/>
                <w:szCs w:val="20"/>
              </w:rPr>
              <w:t>500 mg</w:t>
            </w:r>
          </w:p>
        </w:tc>
        <w:tc>
          <w:tcPr>
            <w:tcW w:w="3450" w:type="dxa"/>
            <w:vAlign w:val="center"/>
          </w:tcPr>
          <w:p w14:paraId="65E609C9" w14:textId="77777777" w:rsidR="000C51B3" w:rsidRPr="002F09C4" w:rsidRDefault="000C51B3" w:rsidP="00147876">
            <w:pPr>
              <w:spacing w:before="120"/>
              <w:jc w:val="center"/>
              <w:rPr>
                <w:sz w:val="20"/>
                <w:szCs w:val="20"/>
              </w:rPr>
            </w:pPr>
            <w:r w:rsidRPr="002F09C4">
              <w:rPr>
                <w:sz w:val="20"/>
                <w:szCs w:val="20"/>
              </w:rPr>
              <w:t xml:space="preserve">Median: 30%  (range: 10-70) </w:t>
            </w:r>
            <w:r w:rsidRPr="002F09C4">
              <w:rPr>
                <w:rFonts w:cs="Arial"/>
                <w:sz w:val="20"/>
                <w:szCs w:val="20"/>
                <w:vertAlign w:val="superscript"/>
              </w:rPr>
              <w:t>‡</w:t>
            </w:r>
          </w:p>
          <w:p w14:paraId="45125443" w14:textId="77777777" w:rsidR="000C51B3" w:rsidRPr="002F09C4" w:rsidRDefault="000C51B3" w:rsidP="00147876">
            <w:pPr>
              <w:spacing w:after="120"/>
              <w:jc w:val="center"/>
              <w:rPr>
                <w:sz w:val="20"/>
                <w:szCs w:val="20"/>
              </w:rPr>
            </w:pPr>
            <w:r w:rsidRPr="002F09C4">
              <w:rPr>
                <w:sz w:val="20"/>
                <w:szCs w:val="20"/>
              </w:rPr>
              <w:t>Median: 70% (range: 40-80)</w:t>
            </w:r>
            <w:r w:rsidRPr="002F09C4">
              <w:rPr>
                <w:rFonts w:cs="Arial"/>
                <w:sz w:val="20"/>
                <w:szCs w:val="20"/>
                <w:vertAlign w:val="superscript"/>
              </w:rPr>
              <w:t xml:space="preserve"> †</w:t>
            </w:r>
          </w:p>
        </w:tc>
        <w:tc>
          <w:tcPr>
            <w:tcW w:w="3450" w:type="dxa"/>
            <w:vAlign w:val="center"/>
          </w:tcPr>
          <w:p w14:paraId="6B376BEC" w14:textId="77777777" w:rsidR="000C51B3" w:rsidRPr="002F09C4" w:rsidRDefault="000C51B3" w:rsidP="00147876">
            <w:pPr>
              <w:spacing w:before="120"/>
              <w:jc w:val="center"/>
              <w:rPr>
                <w:sz w:val="20"/>
                <w:szCs w:val="20"/>
              </w:rPr>
            </w:pPr>
            <w:r w:rsidRPr="002F09C4">
              <w:rPr>
                <w:sz w:val="20"/>
                <w:szCs w:val="20"/>
              </w:rPr>
              <w:t xml:space="preserve">Median: 15.7 (range: 2.7-24.3) </w:t>
            </w:r>
            <w:r w:rsidRPr="002F09C4">
              <w:rPr>
                <w:rFonts w:cs="Arial"/>
                <w:sz w:val="20"/>
                <w:szCs w:val="20"/>
                <w:vertAlign w:val="superscript"/>
              </w:rPr>
              <w:t>‡</w:t>
            </w:r>
          </w:p>
          <w:p w14:paraId="483437EB" w14:textId="77777777" w:rsidR="000C51B3" w:rsidRPr="002F09C4" w:rsidRDefault="000C51B3" w:rsidP="00147876">
            <w:pPr>
              <w:spacing w:after="120"/>
              <w:jc w:val="center"/>
              <w:rPr>
                <w:sz w:val="20"/>
                <w:szCs w:val="20"/>
              </w:rPr>
            </w:pPr>
            <w:r w:rsidRPr="002F09C4">
              <w:rPr>
                <w:sz w:val="20"/>
                <w:szCs w:val="20"/>
              </w:rPr>
              <w:t>Median: 72.2 (range: 22.2-95.8 )</w:t>
            </w:r>
            <w:r w:rsidRPr="002F09C4">
              <w:rPr>
                <w:rFonts w:cs="Arial"/>
                <w:sz w:val="20"/>
                <w:szCs w:val="20"/>
                <w:vertAlign w:val="superscript"/>
              </w:rPr>
              <w:t xml:space="preserve"> †</w:t>
            </w:r>
          </w:p>
        </w:tc>
        <w:tc>
          <w:tcPr>
            <w:tcW w:w="3450" w:type="dxa"/>
            <w:vAlign w:val="center"/>
          </w:tcPr>
          <w:p w14:paraId="1651FD87" w14:textId="77777777" w:rsidR="000C51B3" w:rsidRPr="002F09C4" w:rsidRDefault="000C51B3" w:rsidP="00147876">
            <w:pPr>
              <w:spacing w:before="120"/>
              <w:jc w:val="center"/>
              <w:rPr>
                <w:sz w:val="20"/>
                <w:szCs w:val="20"/>
              </w:rPr>
            </w:pPr>
            <w:r w:rsidRPr="002F09C4">
              <w:rPr>
                <w:sz w:val="20"/>
                <w:szCs w:val="20"/>
              </w:rPr>
              <w:t xml:space="preserve">Median: 77.2 (range: 53.5-95.2) </w:t>
            </w:r>
            <w:r w:rsidRPr="002F09C4">
              <w:rPr>
                <w:rFonts w:cs="Arial"/>
                <w:sz w:val="20"/>
                <w:szCs w:val="20"/>
                <w:vertAlign w:val="superscript"/>
              </w:rPr>
              <w:t>‡</w:t>
            </w:r>
          </w:p>
          <w:p w14:paraId="6277DEA3" w14:textId="77777777" w:rsidR="000C51B3" w:rsidRPr="002F09C4" w:rsidRDefault="000C51B3" w:rsidP="00147876">
            <w:pPr>
              <w:spacing w:after="120"/>
              <w:jc w:val="center"/>
              <w:rPr>
                <w:sz w:val="20"/>
                <w:szCs w:val="20"/>
              </w:rPr>
            </w:pPr>
            <w:r w:rsidRPr="002F09C4">
              <w:rPr>
                <w:sz w:val="20"/>
                <w:szCs w:val="20"/>
              </w:rPr>
              <w:t xml:space="preserve">Median: 82.5 (range: 66.3-106.7) </w:t>
            </w:r>
            <w:r w:rsidRPr="002F09C4">
              <w:rPr>
                <w:rFonts w:cs="Arial"/>
                <w:sz w:val="20"/>
                <w:szCs w:val="20"/>
                <w:vertAlign w:val="superscript"/>
              </w:rPr>
              <w:t>†</w:t>
            </w:r>
          </w:p>
        </w:tc>
      </w:tr>
      <w:tr w:rsidR="000C51B3" w:rsidRPr="002F09C4" w14:paraId="0BA8840F" w14:textId="77777777" w:rsidTr="00147876">
        <w:trPr>
          <w:trHeight w:val="540"/>
        </w:trPr>
        <w:tc>
          <w:tcPr>
            <w:tcW w:w="1800" w:type="dxa"/>
            <w:vAlign w:val="center"/>
          </w:tcPr>
          <w:p w14:paraId="716640E9" w14:textId="77777777" w:rsidR="000C51B3" w:rsidRPr="002F09C4" w:rsidRDefault="000C51B3" w:rsidP="00147876">
            <w:pPr>
              <w:spacing w:before="120"/>
              <w:rPr>
                <w:sz w:val="20"/>
                <w:szCs w:val="20"/>
              </w:rPr>
            </w:pPr>
            <w:r w:rsidRPr="002F09C4">
              <w:rPr>
                <w:sz w:val="20"/>
                <w:szCs w:val="20"/>
              </w:rPr>
              <w:t>Fosfomycin [60]</w:t>
            </w:r>
          </w:p>
        </w:tc>
        <w:tc>
          <w:tcPr>
            <w:tcW w:w="990" w:type="dxa"/>
            <w:vAlign w:val="center"/>
          </w:tcPr>
          <w:p w14:paraId="7AD51C75" w14:textId="77777777" w:rsidR="000C51B3" w:rsidRPr="002F09C4" w:rsidRDefault="000C51B3" w:rsidP="00147876">
            <w:pPr>
              <w:spacing w:before="120"/>
              <w:jc w:val="center"/>
              <w:rPr>
                <w:sz w:val="20"/>
                <w:szCs w:val="20"/>
              </w:rPr>
            </w:pPr>
            <w:r w:rsidRPr="002F09C4">
              <w:rPr>
                <w:sz w:val="20"/>
                <w:szCs w:val="20"/>
              </w:rPr>
              <w:t>4 g</w:t>
            </w:r>
          </w:p>
        </w:tc>
        <w:tc>
          <w:tcPr>
            <w:tcW w:w="3450" w:type="dxa"/>
            <w:vAlign w:val="center"/>
          </w:tcPr>
          <w:p w14:paraId="5CB1B168" w14:textId="77777777" w:rsidR="000C51B3" w:rsidRPr="002F09C4" w:rsidRDefault="000C51B3" w:rsidP="00147876">
            <w:pPr>
              <w:spacing w:before="120"/>
              <w:jc w:val="center"/>
              <w:rPr>
                <w:sz w:val="20"/>
                <w:szCs w:val="20"/>
              </w:rPr>
            </w:pPr>
            <w:r w:rsidRPr="002F09C4">
              <w:rPr>
                <w:sz w:val="20"/>
                <w:szCs w:val="20"/>
              </w:rPr>
              <w:t>Mean ± SD: 53% ± 31%*</w:t>
            </w:r>
          </w:p>
          <w:p w14:paraId="27EFDB31" w14:textId="77777777" w:rsidR="000C51B3" w:rsidRPr="002F09C4" w:rsidRDefault="000C51B3" w:rsidP="00147876">
            <w:pPr>
              <w:spacing w:after="120"/>
              <w:jc w:val="center"/>
              <w:rPr>
                <w:sz w:val="20"/>
                <w:szCs w:val="20"/>
              </w:rPr>
            </w:pPr>
            <w:r w:rsidRPr="002F09C4">
              <w:rPr>
                <w:sz w:val="20"/>
                <w:szCs w:val="20"/>
              </w:rPr>
              <w:t>Mean ± SD: 63% ± 31%#</w:t>
            </w:r>
          </w:p>
        </w:tc>
        <w:tc>
          <w:tcPr>
            <w:tcW w:w="3450" w:type="dxa"/>
            <w:vAlign w:val="center"/>
          </w:tcPr>
          <w:p w14:paraId="37B8BCAB" w14:textId="77777777" w:rsidR="000C51B3" w:rsidRPr="002F09C4" w:rsidRDefault="000C51B3" w:rsidP="00147876">
            <w:pPr>
              <w:spacing w:before="120"/>
              <w:jc w:val="center"/>
              <w:rPr>
                <w:sz w:val="20"/>
                <w:szCs w:val="20"/>
              </w:rPr>
            </w:pPr>
            <w:r w:rsidRPr="002F09C4">
              <w:rPr>
                <w:sz w:val="20"/>
                <w:szCs w:val="20"/>
              </w:rPr>
              <w:t>Mean ± SD: 315.1 ± 151.2*</w:t>
            </w:r>
          </w:p>
          <w:p w14:paraId="452ACC1B" w14:textId="77777777" w:rsidR="000C51B3" w:rsidRPr="002F09C4" w:rsidRDefault="000C51B3" w:rsidP="00147876">
            <w:pPr>
              <w:spacing w:after="120"/>
              <w:jc w:val="center"/>
              <w:rPr>
                <w:sz w:val="20"/>
                <w:szCs w:val="20"/>
              </w:rPr>
            </w:pPr>
            <w:r w:rsidRPr="002F09C4">
              <w:rPr>
                <w:sz w:val="20"/>
                <w:szCs w:val="20"/>
              </w:rPr>
              <w:t>Mean ± SD: 367.6 ± 111.9#</w:t>
            </w:r>
          </w:p>
        </w:tc>
        <w:tc>
          <w:tcPr>
            <w:tcW w:w="3450" w:type="dxa"/>
            <w:vAlign w:val="center"/>
          </w:tcPr>
          <w:p w14:paraId="15E4F570" w14:textId="77777777" w:rsidR="000C51B3" w:rsidRPr="002F09C4" w:rsidRDefault="000C51B3" w:rsidP="00147876">
            <w:pPr>
              <w:spacing w:before="120"/>
              <w:jc w:val="center"/>
              <w:rPr>
                <w:sz w:val="20"/>
                <w:szCs w:val="20"/>
              </w:rPr>
            </w:pPr>
            <w:r w:rsidRPr="002F09C4">
              <w:rPr>
                <w:sz w:val="20"/>
                <w:szCs w:val="20"/>
              </w:rPr>
              <w:t>Mean ± SD: 665.9 ± 179.5</w:t>
            </w:r>
          </w:p>
        </w:tc>
      </w:tr>
    </w:tbl>
    <w:p w14:paraId="5ADEFA08" w14:textId="77777777" w:rsidR="000C51B3" w:rsidRPr="002F09C4" w:rsidRDefault="000C51B3" w:rsidP="000C51B3">
      <w:pPr>
        <w:spacing w:after="0" w:line="240" w:lineRule="auto"/>
      </w:pPr>
    </w:p>
    <w:p w14:paraId="372AE2CB" w14:textId="77777777" w:rsidR="000C51B3" w:rsidRPr="002F09C4" w:rsidRDefault="000C51B3" w:rsidP="000C51B3">
      <w:pPr>
        <w:spacing w:after="0" w:line="240" w:lineRule="auto"/>
        <w:rPr>
          <w:vertAlign w:val="subscript"/>
        </w:rPr>
      </w:pPr>
      <w:r w:rsidRPr="002F09C4">
        <w:t>Penetration ratio was determined in all studies by the ratio of AUC</w:t>
      </w:r>
      <w:r w:rsidRPr="002F09C4">
        <w:rPr>
          <w:vertAlign w:val="subscript"/>
        </w:rPr>
        <w:t>interstitial fluid</w:t>
      </w:r>
      <w:r w:rsidRPr="002F09C4">
        <w:t>/AUC</w:t>
      </w:r>
      <w:r w:rsidRPr="002F09C4">
        <w:rPr>
          <w:vertAlign w:val="subscript"/>
        </w:rPr>
        <w:t>plasma</w:t>
      </w:r>
    </w:p>
    <w:p w14:paraId="034B5014" w14:textId="77777777" w:rsidR="000C51B3" w:rsidRPr="002F09C4" w:rsidRDefault="000C51B3" w:rsidP="000C51B3">
      <w:pPr>
        <w:autoSpaceDE w:val="0"/>
        <w:autoSpaceDN w:val="0"/>
        <w:adjustRightInd w:val="0"/>
        <w:spacing w:after="0" w:line="240" w:lineRule="auto"/>
      </w:pPr>
      <w:r w:rsidRPr="002F09C4">
        <w:t>* infected lung</w:t>
      </w:r>
    </w:p>
    <w:p w14:paraId="7B4BC9EE" w14:textId="77777777" w:rsidR="000C51B3" w:rsidRPr="002F09C4" w:rsidRDefault="000C51B3" w:rsidP="000C51B3">
      <w:pPr>
        <w:autoSpaceDE w:val="0"/>
        <w:autoSpaceDN w:val="0"/>
        <w:adjustRightInd w:val="0"/>
        <w:spacing w:after="0" w:line="240" w:lineRule="auto"/>
      </w:pPr>
      <w:r w:rsidRPr="002F09C4">
        <w:rPr>
          <w:vertAlign w:val="superscript"/>
        </w:rPr>
        <w:t>#</w:t>
      </w:r>
      <w:r w:rsidRPr="002F09C4">
        <w:t xml:space="preserve"> uninfected lung</w:t>
      </w:r>
    </w:p>
    <w:p w14:paraId="258EB849" w14:textId="77777777" w:rsidR="000C51B3" w:rsidRPr="002F09C4" w:rsidRDefault="000C51B3" w:rsidP="000C51B3">
      <w:pPr>
        <w:autoSpaceDE w:val="0"/>
        <w:autoSpaceDN w:val="0"/>
        <w:adjustRightInd w:val="0"/>
        <w:spacing w:after="0" w:line="240" w:lineRule="auto"/>
        <w:rPr>
          <w:rFonts w:ascii="Arial" w:hAnsi="Arial" w:cs="Arial"/>
          <w:sz w:val="20"/>
          <w:szCs w:val="20"/>
        </w:rPr>
      </w:pPr>
      <w:r w:rsidRPr="002F09C4">
        <w:rPr>
          <w:rFonts w:ascii="Arial" w:hAnsi="Arial" w:cs="Arial"/>
          <w:sz w:val="20"/>
          <w:szCs w:val="20"/>
          <w:vertAlign w:val="superscript"/>
        </w:rPr>
        <w:t>‡</w:t>
      </w:r>
      <w:r w:rsidRPr="002F09C4">
        <w:rPr>
          <w:rFonts w:ascii="Arial" w:hAnsi="Arial" w:cs="Arial"/>
          <w:sz w:val="20"/>
          <w:szCs w:val="20"/>
        </w:rPr>
        <w:t xml:space="preserve"> patients undergoing coronary artery bypass with cardiopulmonary bypass</w:t>
      </w:r>
    </w:p>
    <w:p w14:paraId="6F4086A2" w14:textId="77777777" w:rsidR="000C51B3" w:rsidRPr="006C1051" w:rsidRDefault="000C51B3" w:rsidP="000C51B3">
      <w:pPr>
        <w:autoSpaceDE w:val="0"/>
        <w:autoSpaceDN w:val="0"/>
        <w:adjustRightInd w:val="0"/>
        <w:spacing w:after="0" w:line="240" w:lineRule="auto"/>
      </w:pPr>
      <w:r w:rsidRPr="002F09C4">
        <w:rPr>
          <w:rFonts w:ascii="Arial" w:hAnsi="Arial" w:cs="Arial"/>
          <w:sz w:val="20"/>
          <w:szCs w:val="20"/>
          <w:vertAlign w:val="superscript"/>
        </w:rPr>
        <w:t>†</w:t>
      </w:r>
      <w:r w:rsidRPr="002F09C4">
        <w:rPr>
          <w:rFonts w:ascii="Arial" w:hAnsi="Arial" w:cs="Arial"/>
          <w:sz w:val="20"/>
          <w:szCs w:val="20"/>
        </w:rPr>
        <w:t xml:space="preserve"> </w:t>
      </w:r>
      <w:r w:rsidRPr="002F09C4">
        <w:rPr>
          <w:rFonts w:cs="AdvPTimes"/>
        </w:rPr>
        <w:t>patients operated with the off-pump coronary artery bypass grafting technique.</w:t>
      </w:r>
    </w:p>
    <w:p w14:paraId="1979E4F2" w14:textId="77777777" w:rsidR="000C51B3" w:rsidRDefault="000C51B3" w:rsidP="000C51B3"/>
    <w:p w14:paraId="7450E78F" w14:textId="77777777" w:rsidR="00AA45A8" w:rsidRPr="00EF54BC" w:rsidRDefault="00AA45A8" w:rsidP="008E5183">
      <w:pPr>
        <w:tabs>
          <w:tab w:val="left" w:pos="360"/>
        </w:tabs>
        <w:spacing w:after="0" w:line="480" w:lineRule="auto"/>
      </w:pPr>
    </w:p>
    <w:sectPr w:rsidR="00AA45A8" w:rsidRPr="00EF54BC" w:rsidSect="000C51B3">
      <w:pgSz w:w="15840" w:h="12240" w:orient="landscape"/>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F8124" w14:textId="77777777" w:rsidR="00090A53" w:rsidRDefault="00090A53" w:rsidP="000C51B3">
      <w:pPr>
        <w:spacing w:after="0" w:line="240" w:lineRule="auto"/>
      </w:pPr>
      <w:r>
        <w:separator/>
      </w:r>
    </w:p>
  </w:endnote>
  <w:endnote w:type="continuationSeparator" w:id="0">
    <w:p w14:paraId="2909727C" w14:textId="77777777" w:rsidR="00090A53" w:rsidRDefault="00090A53" w:rsidP="000C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Dutch801BT-Roman">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4A104" w14:textId="77777777" w:rsidR="00090A53" w:rsidRDefault="00090A53" w:rsidP="000C51B3">
      <w:pPr>
        <w:spacing w:after="0" w:line="240" w:lineRule="auto"/>
      </w:pPr>
      <w:r>
        <w:separator/>
      </w:r>
    </w:p>
  </w:footnote>
  <w:footnote w:type="continuationSeparator" w:id="0">
    <w:p w14:paraId="6BBFABB8" w14:textId="77777777" w:rsidR="00090A53" w:rsidRDefault="00090A53" w:rsidP="000C51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507452"/>
      <w:docPartObj>
        <w:docPartGallery w:val="Page Numbers (Top of Page)"/>
        <w:docPartUnique/>
      </w:docPartObj>
    </w:sdtPr>
    <w:sdtEndPr>
      <w:rPr>
        <w:noProof/>
      </w:rPr>
    </w:sdtEndPr>
    <w:sdtContent>
      <w:p w14:paraId="4856C6E5" w14:textId="090F7A12" w:rsidR="00183037" w:rsidRDefault="00183037">
        <w:pPr>
          <w:pStyle w:val="Header"/>
          <w:jc w:val="right"/>
        </w:pPr>
        <w:r>
          <w:fldChar w:fldCharType="begin"/>
        </w:r>
        <w:r>
          <w:instrText xml:space="preserve"> PAGE   \* MERGEFORMAT </w:instrText>
        </w:r>
        <w:r>
          <w:fldChar w:fldCharType="separate"/>
        </w:r>
        <w:r w:rsidR="004E0072">
          <w:rPr>
            <w:noProof/>
          </w:rPr>
          <w:t>3</w:t>
        </w:r>
        <w:r>
          <w:rPr>
            <w:noProof/>
          </w:rPr>
          <w:fldChar w:fldCharType="end"/>
        </w:r>
      </w:p>
    </w:sdtContent>
  </w:sdt>
  <w:p w14:paraId="4419113D" w14:textId="77777777" w:rsidR="00183037" w:rsidRDefault="001830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7791A"/>
    <w:multiLevelType w:val="hybridMultilevel"/>
    <w:tmpl w:val="634CB462"/>
    <w:lvl w:ilvl="0" w:tplc="0809000F">
      <w:start w:val="1"/>
      <w:numFmt w:val="decimal"/>
      <w:lvlText w:val="%1."/>
      <w:lvlJc w:val="left"/>
      <w:pPr>
        <w:ind w:left="1166" w:hanging="360"/>
      </w:pPr>
    </w:lvl>
    <w:lvl w:ilvl="1" w:tplc="08090019" w:tentative="1">
      <w:start w:val="1"/>
      <w:numFmt w:val="lowerLetter"/>
      <w:lvlText w:val="%2."/>
      <w:lvlJc w:val="left"/>
      <w:pPr>
        <w:ind w:left="1886" w:hanging="360"/>
      </w:pPr>
    </w:lvl>
    <w:lvl w:ilvl="2" w:tplc="0809001B" w:tentative="1">
      <w:start w:val="1"/>
      <w:numFmt w:val="lowerRoman"/>
      <w:lvlText w:val="%3."/>
      <w:lvlJc w:val="right"/>
      <w:pPr>
        <w:ind w:left="2606" w:hanging="180"/>
      </w:pPr>
    </w:lvl>
    <w:lvl w:ilvl="3" w:tplc="0809000F" w:tentative="1">
      <w:start w:val="1"/>
      <w:numFmt w:val="decimal"/>
      <w:lvlText w:val="%4."/>
      <w:lvlJc w:val="left"/>
      <w:pPr>
        <w:ind w:left="3326" w:hanging="360"/>
      </w:pPr>
    </w:lvl>
    <w:lvl w:ilvl="4" w:tplc="08090019" w:tentative="1">
      <w:start w:val="1"/>
      <w:numFmt w:val="lowerLetter"/>
      <w:lvlText w:val="%5."/>
      <w:lvlJc w:val="left"/>
      <w:pPr>
        <w:ind w:left="4046" w:hanging="360"/>
      </w:pPr>
    </w:lvl>
    <w:lvl w:ilvl="5" w:tplc="0809001B" w:tentative="1">
      <w:start w:val="1"/>
      <w:numFmt w:val="lowerRoman"/>
      <w:lvlText w:val="%6."/>
      <w:lvlJc w:val="right"/>
      <w:pPr>
        <w:ind w:left="4766" w:hanging="180"/>
      </w:pPr>
    </w:lvl>
    <w:lvl w:ilvl="6" w:tplc="0809000F" w:tentative="1">
      <w:start w:val="1"/>
      <w:numFmt w:val="decimal"/>
      <w:lvlText w:val="%7."/>
      <w:lvlJc w:val="left"/>
      <w:pPr>
        <w:ind w:left="5486" w:hanging="360"/>
      </w:pPr>
    </w:lvl>
    <w:lvl w:ilvl="7" w:tplc="08090019" w:tentative="1">
      <w:start w:val="1"/>
      <w:numFmt w:val="lowerLetter"/>
      <w:lvlText w:val="%8."/>
      <w:lvlJc w:val="left"/>
      <w:pPr>
        <w:ind w:left="6206" w:hanging="360"/>
      </w:pPr>
    </w:lvl>
    <w:lvl w:ilvl="8" w:tplc="0809001B" w:tentative="1">
      <w:start w:val="1"/>
      <w:numFmt w:val="lowerRoman"/>
      <w:lvlText w:val="%9."/>
      <w:lvlJc w:val="right"/>
      <w:pPr>
        <w:ind w:left="69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74"/>
    <w:rsid w:val="00003279"/>
    <w:rsid w:val="000042C3"/>
    <w:rsid w:val="00004AC0"/>
    <w:rsid w:val="00004D9A"/>
    <w:rsid w:val="00014940"/>
    <w:rsid w:val="00022019"/>
    <w:rsid w:val="000258F0"/>
    <w:rsid w:val="0004003F"/>
    <w:rsid w:val="00053FCA"/>
    <w:rsid w:val="00073B3F"/>
    <w:rsid w:val="00090A53"/>
    <w:rsid w:val="00096730"/>
    <w:rsid w:val="000967C9"/>
    <w:rsid w:val="000A07AE"/>
    <w:rsid w:val="000A269A"/>
    <w:rsid w:val="000A50D8"/>
    <w:rsid w:val="000C00B3"/>
    <w:rsid w:val="000C51B3"/>
    <w:rsid w:val="000D19B0"/>
    <w:rsid w:val="000E6C7A"/>
    <w:rsid w:val="000E73CC"/>
    <w:rsid w:val="000F5280"/>
    <w:rsid w:val="00104E68"/>
    <w:rsid w:val="00121AF6"/>
    <w:rsid w:val="00123769"/>
    <w:rsid w:val="00126C5B"/>
    <w:rsid w:val="00127769"/>
    <w:rsid w:val="00132A8F"/>
    <w:rsid w:val="001375CD"/>
    <w:rsid w:val="00147876"/>
    <w:rsid w:val="001651FF"/>
    <w:rsid w:val="00183037"/>
    <w:rsid w:val="0019213D"/>
    <w:rsid w:val="00196CE1"/>
    <w:rsid w:val="001A2AC7"/>
    <w:rsid w:val="001B368D"/>
    <w:rsid w:val="001B4668"/>
    <w:rsid w:val="001B4DAB"/>
    <w:rsid w:val="001B56B3"/>
    <w:rsid w:val="001B59BD"/>
    <w:rsid w:val="001C156C"/>
    <w:rsid w:val="001C5E1B"/>
    <w:rsid w:val="001E0097"/>
    <w:rsid w:val="001E7B4E"/>
    <w:rsid w:val="0027659F"/>
    <w:rsid w:val="0027730F"/>
    <w:rsid w:val="00282123"/>
    <w:rsid w:val="002823BC"/>
    <w:rsid w:val="00284C31"/>
    <w:rsid w:val="00285EBB"/>
    <w:rsid w:val="00297CC9"/>
    <w:rsid w:val="002B0657"/>
    <w:rsid w:val="002B59A5"/>
    <w:rsid w:val="002C365E"/>
    <w:rsid w:val="002C4388"/>
    <w:rsid w:val="002D16FC"/>
    <w:rsid w:val="002D1D31"/>
    <w:rsid w:val="002D7B0E"/>
    <w:rsid w:val="002F09C4"/>
    <w:rsid w:val="002F5FB1"/>
    <w:rsid w:val="00305540"/>
    <w:rsid w:val="00317952"/>
    <w:rsid w:val="00326AEC"/>
    <w:rsid w:val="00332E81"/>
    <w:rsid w:val="00333343"/>
    <w:rsid w:val="00341A44"/>
    <w:rsid w:val="00350371"/>
    <w:rsid w:val="00356FFF"/>
    <w:rsid w:val="0036059E"/>
    <w:rsid w:val="0037640A"/>
    <w:rsid w:val="003B0797"/>
    <w:rsid w:val="003B1074"/>
    <w:rsid w:val="003C2DFF"/>
    <w:rsid w:val="003C59A9"/>
    <w:rsid w:val="003C6892"/>
    <w:rsid w:val="003D0092"/>
    <w:rsid w:val="003D3442"/>
    <w:rsid w:val="003E2343"/>
    <w:rsid w:val="003E75CB"/>
    <w:rsid w:val="00400A9D"/>
    <w:rsid w:val="00412DBD"/>
    <w:rsid w:val="00421C61"/>
    <w:rsid w:val="00424AF1"/>
    <w:rsid w:val="00427F11"/>
    <w:rsid w:val="004362D5"/>
    <w:rsid w:val="00456340"/>
    <w:rsid w:val="0049787A"/>
    <w:rsid w:val="004A0BD6"/>
    <w:rsid w:val="004A3A79"/>
    <w:rsid w:val="004C3E87"/>
    <w:rsid w:val="004C6F5C"/>
    <w:rsid w:val="004D27F4"/>
    <w:rsid w:val="004E0072"/>
    <w:rsid w:val="004E14E8"/>
    <w:rsid w:val="004E2029"/>
    <w:rsid w:val="004E4E7C"/>
    <w:rsid w:val="00500618"/>
    <w:rsid w:val="005050FB"/>
    <w:rsid w:val="0051263A"/>
    <w:rsid w:val="00515A5B"/>
    <w:rsid w:val="00542D5C"/>
    <w:rsid w:val="00554B6B"/>
    <w:rsid w:val="00570080"/>
    <w:rsid w:val="00570EF1"/>
    <w:rsid w:val="00575A10"/>
    <w:rsid w:val="005819AD"/>
    <w:rsid w:val="00586159"/>
    <w:rsid w:val="005B1DEF"/>
    <w:rsid w:val="005C6BBA"/>
    <w:rsid w:val="005D0E18"/>
    <w:rsid w:val="005E7304"/>
    <w:rsid w:val="005E794E"/>
    <w:rsid w:val="005F197C"/>
    <w:rsid w:val="00602174"/>
    <w:rsid w:val="006038F6"/>
    <w:rsid w:val="00610750"/>
    <w:rsid w:val="0062709B"/>
    <w:rsid w:val="0063131E"/>
    <w:rsid w:val="00634510"/>
    <w:rsid w:val="00640585"/>
    <w:rsid w:val="00640B9F"/>
    <w:rsid w:val="00643C7A"/>
    <w:rsid w:val="00644C8C"/>
    <w:rsid w:val="006454D8"/>
    <w:rsid w:val="0066794C"/>
    <w:rsid w:val="006862CC"/>
    <w:rsid w:val="00693C2F"/>
    <w:rsid w:val="006A4497"/>
    <w:rsid w:val="006B23C5"/>
    <w:rsid w:val="006B5EEB"/>
    <w:rsid w:val="006C5856"/>
    <w:rsid w:val="006D79DD"/>
    <w:rsid w:val="006F534F"/>
    <w:rsid w:val="0072434A"/>
    <w:rsid w:val="007371A2"/>
    <w:rsid w:val="00737622"/>
    <w:rsid w:val="0074341B"/>
    <w:rsid w:val="007536B5"/>
    <w:rsid w:val="007632CF"/>
    <w:rsid w:val="007637BA"/>
    <w:rsid w:val="00781F96"/>
    <w:rsid w:val="007963BC"/>
    <w:rsid w:val="007C18EC"/>
    <w:rsid w:val="007C448D"/>
    <w:rsid w:val="007C68A6"/>
    <w:rsid w:val="007E105B"/>
    <w:rsid w:val="007E53A7"/>
    <w:rsid w:val="007F1B76"/>
    <w:rsid w:val="007F2392"/>
    <w:rsid w:val="007F6E5E"/>
    <w:rsid w:val="0081101E"/>
    <w:rsid w:val="008141DB"/>
    <w:rsid w:val="00814C74"/>
    <w:rsid w:val="00816460"/>
    <w:rsid w:val="00834102"/>
    <w:rsid w:val="008435F0"/>
    <w:rsid w:val="0085128C"/>
    <w:rsid w:val="0088069D"/>
    <w:rsid w:val="008A1445"/>
    <w:rsid w:val="008A575F"/>
    <w:rsid w:val="008A6835"/>
    <w:rsid w:val="008B3429"/>
    <w:rsid w:val="008C0041"/>
    <w:rsid w:val="008C1D89"/>
    <w:rsid w:val="008D58EE"/>
    <w:rsid w:val="008E5183"/>
    <w:rsid w:val="00903941"/>
    <w:rsid w:val="0090628B"/>
    <w:rsid w:val="00921469"/>
    <w:rsid w:val="0092490B"/>
    <w:rsid w:val="009275A1"/>
    <w:rsid w:val="0094374A"/>
    <w:rsid w:val="009458A7"/>
    <w:rsid w:val="00947262"/>
    <w:rsid w:val="009630F6"/>
    <w:rsid w:val="00964DCE"/>
    <w:rsid w:val="00965E58"/>
    <w:rsid w:val="009661EA"/>
    <w:rsid w:val="00983D61"/>
    <w:rsid w:val="00991872"/>
    <w:rsid w:val="009A1895"/>
    <w:rsid w:val="009C6F2C"/>
    <w:rsid w:val="009D1A38"/>
    <w:rsid w:val="009D6C71"/>
    <w:rsid w:val="009E17A3"/>
    <w:rsid w:val="009F1C71"/>
    <w:rsid w:val="00A02018"/>
    <w:rsid w:val="00A0384E"/>
    <w:rsid w:val="00A51476"/>
    <w:rsid w:val="00A649D2"/>
    <w:rsid w:val="00A74EF7"/>
    <w:rsid w:val="00AA30C0"/>
    <w:rsid w:val="00AA45A8"/>
    <w:rsid w:val="00AA63C6"/>
    <w:rsid w:val="00AE4EAB"/>
    <w:rsid w:val="00AE7301"/>
    <w:rsid w:val="00AF647B"/>
    <w:rsid w:val="00B22B60"/>
    <w:rsid w:val="00B22EE0"/>
    <w:rsid w:val="00B412D1"/>
    <w:rsid w:val="00B43BF2"/>
    <w:rsid w:val="00B456D5"/>
    <w:rsid w:val="00B53CAF"/>
    <w:rsid w:val="00B6668F"/>
    <w:rsid w:val="00B70910"/>
    <w:rsid w:val="00B7159C"/>
    <w:rsid w:val="00B738F4"/>
    <w:rsid w:val="00B824EF"/>
    <w:rsid w:val="00B8257C"/>
    <w:rsid w:val="00B87EE4"/>
    <w:rsid w:val="00B93E8E"/>
    <w:rsid w:val="00BA39D7"/>
    <w:rsid w:val="00BA7908"/>
    <w:rsid w:val="00BB1831"/>
    <w:rsid w:val="00BB223A"/>
    <w:rsid w:val="00BB55AF"/>
    <w:rsid w:val="00BB6225"/>
    <w:rsid w:val="00BC3BE1"/>
    <w:rsid w:val="00BD4728"/>
    <w:rsid w:val="00BD6C5A"/>
    <w:rsid w:val="00BF1924"/>
    <w:rsid w:val="00BF76AE"/>
    <w:rsid w:val="00C00D2D"/>
    <w:rsid w:val="00C14A29"/>
    <w:rsid w:val="00C153E5"/>
    <w:rsid w:val="00C46269"/>
    <w:rsid w:val="00C62AC2"/>
    <w:rsid w:val="00C82105"/>
    <w:rsid w:val="00C83008"/>
    <w:rsid w:val="00C8792B"/>
    <w:rsid w:val="00C9130E"/>
    <w:rsid w:val="00C93B4B"/>
    <w:rsid w:val="00C94C46"/>
    <w:rsid w:val="00C9648C"/>
    <w:rsid w:val="00CA248E"/>
    <w:rsid w:val="00CA5DDA"/>
    <w:rsid w:val="00CB0336"/>
    <w:rsid w:val="00CB1141"/>
    <w:rsid w:val="00CB4EC7"/>
    <w:rsid w:val="00CC057C"/>
    <w:rsid w:val="00CC7C35"/>
    <w:rsid w:val="00CF3989"/>
    <w:rsid w:val="00D00814"/>
    <w:rsid w:val="00D10CCB"/>
    <w:rsid w:val="00D152B6"/>
    <w:rsid w:val="00D3609E"/>
    <w:rsid w:val="00D40E93"/>
    <w:rsid w:val="00D51DC0"/>
    <w:rsid w:val="00D53DBD"/>
    <w:rsid w:val="00D60831"/>
    <w:rsid w:val="00D63FD4"/>
    <w:rsid w:val="00D73C07"/>
    <w:rsid w:val="00D76EE3"/>
    <w:rsid w:val="00D87080"/>
    <w:rsid w:val="00D9182E"/>
    <w:rsid w:val="00D94F3C"/>
    <w:rsid w:val="00D9664F"/>
    <w:rsid w:val="00DA137E"/>
    <w:rsid w:val="00DA39E4"/>
    <w:rsid w:val="00DA6C7D"/>
    <w:rsid w:val="00DA700F"/>
    <w:rsid w:val="00DC1E0E"/>
    <w:rsid w:val="00DD150E"/>
    <w:rsid w:val="00DE15F8"/>
    <w:rsid w:val="00E01241"/>
    <w:rsid w:val="00E02B6C"/>
    <w:rsid w:val="00E112DC"/>
    <w:rsid w:val="00E35445"/>
    <w:rsid w:val="00E43923"/>
    <w:rsid w:val="00E47E23"/>
    <w:rsid w:val="00E52AF2"/>
    <w:rsid w:val="00E55DD2"/>
    <w:rsid w:val="00E62612"/>
    <w:rsid w:val="00E6487D"/>
    <w:rsid w:val="00E752C4"/>
    <w:rsid w:val="00EA3C39"/>
    <w:rsid w:val="00EB32D4"/>
    <w:rsid w:val="00ED4DC8"/>
    <w:rsid w:val="00ED512F"/>
    <w:rsid w:val="00EF2B27"/>
    <w:rsid w:val="00EF54BC"/>
    <w:rsid w:val="00EF55E2"/>
    <w:rsid w:val="00F02F96"/>
    <w:rsid w:val="00F06235"/>
    <w:rsid w:val="00F0650A"/>
    <w:rsid w:val="00F1052C"/>
    <w:rsid w:val="00F108FC"/>
    <w:rsid w:val="00F35302"/>
    <w:rsid w:val="00F377FE"/>
    <w:rsid w:val="00F44247"/>
    <w:rsid w:val="00F45485"/>
    <w:rsid w:val="00F51859"/>
    <w:rsid w:val="00F61D0A"/>
    <w:rsid w:val="00F70753"/>
    <w:rsid w:val="00F841D7"/>
    <w:rsid w:val="00F84302"/>
    <w:rsid w:val="00F843D5"/>
    <w:rsid w:val="00F863A2"/>
    <w:rsid w:val="00F94BF5"/>
    <w:rsid w:val="00F96589"/>
    <w:rsid w:val="00FA56A8"/>
    <w:rsid w:val="00FC17DC"/>
    <w:rsid w:val="00FC7B2C"/>
    <w:rsid w:val="00FD1661"/>
    <w:rsid w:val="00FD33D8"/>
    <w:rsid w:val="00FE0B42"/>
    <w:rsid w:val="00FE1DDD"/>
    <w:rsid w:val="00FE5A01"/>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C77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AF1"/>
    <w:rPr>
      <w:color w:val="0000FF"/>
      <w:u w:val="single"/>
    </w:rPr>
  </w:style>
  <w:style w:type="paragraph" w:customStyle="1" w:styleId="para">
    <w:name w:val="para"/>
    <w:basedOn w:val="Normal"/>
    <w:rsid w:val="009A18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895"/>
    <w:rPr>
      <w:i/>
      <w:iCs/>
    </w:rPr>
  </w:style>
  <w:style w:type="paragraph" w:styleId="BalloonText">
    <w:name w:val="Balloon Text"/>
    <w:basedOn w:val="Normal"/>
    <w:link w:val="BalloonTextChar"/>
    <w:uiPriority w:val="99"/>
    <w:semiHidden/>
    <w:unhideWhenUsed/>
    <w:rsid w:val="00737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A2"/>
    <w:rPr>
      <w:rFonts w:ascii="Segoe UI" w:hAnsi="Segoe UI" w:cs="Segoe UI"/>
      <w:sz w:val="18"/>
      <w:szCs w:val="18"/>
    </w:rPr>
  </w:style>
  <w:style w:type="table" w:styleId="TableGrid">
    <w:name w:val="Table Grid"/>
    <w:basedOn w:val="TableNormal"/>
    <w:uiPriority w:val="39"/>
    <w:rsid w:val="000C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5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B3"/>
  </w:style>
  <w:style w:type="paragraph" w:styleId="Footer">
    <w:name w:val="footer"/>
    <w:basedOn w:val="Normal"/>
    <w:link w:val="FooterChar"/>
    <w:uiPriority w:val="99"/>
    <w:unhideWhenUsed/>
    <w:rsid w:val="000C5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B3"/>
  </w:style>
  <w:style w:type="paragraph" w:styleId="NormalWeb">
    <w:name w:val="Normal (Web)"/>
    <w:basedOn w:val="Normal"/>
    <w:uiPriority w:val="99"/>
    <w:semiHidden/>
    <w:unhideWhenUsed/>
    <w:rsid w:val="001921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BB1831"/>
    <w:pPr>
      <w:spacing w:after="0" w:line="240" w:lineRule="auto"/>
    </w:pPr>
  </w:style>
  <w:style w:type="paragraph" w:styleId="ListParagraph">
    <w:name w:val="List Paragraph"/>
    <w:basedOn w:val="Normal"/>
    <w:uiPriority w:val="34"/>
    <w:qFormat/>
    <w:rsid w:val="00A649D2"/>
    <w:pPr>
      <w:ind w:left="720"/>
      <w:contextualSpacing/>
    </w:pPr>
  </w:style>
  <w:style w:type="paragraph" w:styleId="EndnoteText">
    <w:name w:val="endnote text"/>
    <w:basedOn w:val="Normal"/>
    <w:link w:val="EndnoteTextChar"/>
    <w:uiPriority w:val="99"/>
    <w:unhideWhenUsed/>
    <w:rsid w:val="003D0092"/>
    <w:pPr>
      <w:spacing w:after="0" w:line="240" w:lineRule="auto"/>
    </w:pPr>
    <w:rPr>
      <w:sz w:val="24"/>
      <w:szCs w:val="24"/>
    </w:rPr>
  </w:style>
  <w:style w:type="character" w:customStyle="1" w:styleId="EndnoteTextChar">
    <w:name w:val="Endnote Text Char"/>
    <w:basedOn w:val="DefaultParagraphFont"/>
    <w:link w:val="EndnoteText"/>
    <w:uiPriority w:val="99"/>
    <w:rsid w:val="003D0092"/>
    <w:rPr>
      <w:sz w:val="24"/>
      <w:szCs w:val="24"/>
    </w:rPr>
  </w:style>
  <w:style w:type="character" w:styleId="EndnoteReference">
    <w:name w:val="endnote reference"/>
    <w:basedOn w:val="DefaultParagraphFont"/>
    <w:uiPriority w:val="99"/>
    <w:unhideWhenUsed/>
    <w:rsid w:val="003D0092"/>
    <w:rPr>
      <w:vertAlign w:val="superscript"/>
    </w:rPr>
  </w:style>
  <w:style w:type="paragraph" w:styleId="FootnoteText">
    <w:name w:val="footnote text"/>
    <w:basedOn w:val="Normal"/>
    <w:link w:val="FootnoteTextChar"/>
    <w:uiPriority w:val="99"/>
    <w:unhideWhenUsed/>
    <w:rsid w:val="003D0092"/>
    <w:pPr>
      <w:spacing w:after="0" w:line="240" w:lineRule="auto"/>
    </w:pPr>
    <w:rPr>
      <w:sz w:val="24"/>
      <w:szCs w:val="24"/>
    </w:rPr>
  </w:style>
  <w:style w:type="character" w:customStyle="1" w:styleId="FootnoteTextChar">
    <w:name w:val="Footnote Text Char"/>
    <w:basedOn w:val="DefaultParagraphFont"/>
    <w:link w:val="FootnoteText"/>
    <w:uiPriority w:val="99"/>
    <w:rsid w:val="003D0092"/>
    <w:rPr>
      <w:sz w:val="24"/>
      <w:szCs w:val="24"/>
    </w:rPr>
  </w:style>
  <w:style w:type="character" w:styleId="FootnoteReference">
    <w:name w:val="footnote reference"/>
    <w:basedOn w:val="DefaultParagraphFont"/>
    <w:uiPriority w:val="99"/>
    <w:unhideWhenUsed/>
    <w:rsid w:val="003D0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9774">
      <w:bodyDiv w:val="1"/>
      <w:marLeft w:val="0"/>
      <w:marRight w:val="0"/>
      <w:marTop w:val="0"/>
      <w:marBottom w:val="0"/>
      <w:divBdr>
        <w:top w:val="none" w:sz="0" w:space="0" w:color="auto"/>
        <w:left w:val="none" w:sz="0" w:space="0" w:color="auto"/>
        <w:bottom w:val="none" w:sz="0" w:space="0" w:color="auto"/>
        <w:right w:val="none" w:sz="0" w:space="0" w:color="auto"/>
      </w:divBdr>
      <w:divsChild>
        <w:div w:id="1152327393">
          <w:marLeft w:val="0"/>
          <w:marRight w:val="0"/>
          <w:marTop w:val="0"/>
          <w:marBottom w:val="0"/>
          <w:divBdr>
            <w:top w:val="none" w:sz="0" w:space="0" w:color="auto"/>
            <w:left w:val="none" w:sz="0" w:space="0" w:color="auto"/>
            <w:bottom w:val="none" w:sz="0" w:space="0" w:color="auto"/>
            <w:right w:val="none" w:sz="0" w:space="0" w:color="auto"/>
          </w:divBdr>
        </w:div>
        <w:div w:id="657072398">
          <w:marLeft w:val="0"/>
          <w:marRight w:val="0"/>
          <w:marTop w:val="0"/>
          <w:marBottom w:val="0"/>
          <w:divBdr>
            <w:top w:val="none" w:sz="0" w:space="0" w:color="auto"/>
            <w:left w:val="none" w:sz="0" w:space="0" w:color="auto"/>
            <w:bottom w:val="none" w:sz="0" w:space="0" w:color="auto"/>
            <w:right w:val="none" w:sz="0" w:space="0" w:color="auto"/>
          </w:divBdr>
        </w:div>
        <w:div w:id="966155662">
          <w:marLeft w:val="0"/>
          <w:marRight w:val="0"/>
          <w:marTop w:val="0"/>
          <w:marBottom w:val="0"/>
          <w:divBdr>
            <w:top w:val="none" w:sz="0" w:space="0" w:color="auto"/>
            <w:left w:val="none" w:sz="0" w:space="0" w:color="auto"/>
            <w:bottom w:val="none" w:sz="0" w:space="0" w:color="auto"/>
            <w:right w:val="none" w:sz="0" w:space="0" w:color="auto"/>
          </w:divBdr>
        </w:div>
        <w:div w:id="606354348">
          <w:marLeft w:val="0"/>
          <w:marRight w:val="0"/>
          <w:marTop w:val="0"/>
          <w:marBottom w:val="0"/>
          <w:divBdr>
            <w:top w:val="none" w:sz="0" w:space="0" w:color="auto"/>
            <w:left w:val="none" w:sz="0" w:space="0" w:color="auto"/>
            <w:bottom w:val="none" w:sz="0" w:space="0" w:color="auto"/>
            <w:right w:val="none" w:sz="0" w:space="0" w:color="auto"/>
          </w:divBdr>
        </w:div>
        <w:div w:id="1443649982">
          <w:marLeft w:val="0"/>
          <w:marRight w:val="0"/>
          <w:marTop w:val="0"/>
          <w:marBottom w:val="0"/>
          <w:divBdr>
            <w:top w:val="none" w:sz="0" w:space="0" w:color="auto"/>
            <w:left w:val="none" w:sz="0" w:space="0" w:color="auto"/>
            <w:bottom w:val="none" w:sz="0" w:space="0" w:color="auto"/>
            <w:right w:val="none" w:sz="0" w:space="0" w:color="auto"/>
          </w:divBdr>
        </w:div>
        <w:div w:id="1604529396">
          <w:marLeft w:val="0"/>
          <w:marRight w:val="0"/>
          <w:marTop w:val="0"/>
          <w:marBottom w:val="0"/>
          <w:divBdr>
            <w:top w:val="none" w:sz="0" w:space="0" w:color="auto"/>
            <w:left w:val="none" w:sz="0" w:space="0" w:color="auto"/>
            <w:bottom w:val="none" w:sz="0" w:space="0" w:color="auto"/>
            <w:right w:val="none" w:sz="0" w:space="0" w:color="auto"/>
          </w:divBdr>
        </w:div>
        <w:div w:id="490144425">
          <w:marLeft w:val="0"/>
          <w:marRight w:val="0"/>
          <w:marTop w:val="0"/>
          <w:marBottom w:val="0"/>
          <w:divBdr>
            <w:top w:val="none" w:sz="0" w:space="0" w:color="auto"/>
            <w:left w:val="none" w:sz="0" w:space="0" w:color="auto"/>
            <w:bottom w:val="none" w:sz="0" w:space="0" w:color="auto"/>
            <w:right w:val="none" w:sz="0" w:space="0" w:color="auto"/>
          </w:divBdr>
        </w:div>
        <w:div w:id="446431429">
          <w:marLeft w:val="0"/>
          <w:marRight w:val="0"/>
          <w:marTop w:val="0"/>
          <w:marBottom w:val="0"/>
          <w:divBdr>
            <w:top w:val="none" w:sz="0" w:space="0" w:color="auto"/>
            <w:left w:val="none" w:sz="0" w:space="0" w:color="auto"/>
            <w:bottom w:val="none" w:sz="0" w:space="0" w:color="auto"/>
            <w:right w:val="none" w:sz="0" w:space="0" w:color="auto"/>
          </w:divBdr>
        </w:div>
      </w:divsChild>
    </w:div>
    <w:div w:id="478570277">
      <w:bodyDiv w:val="1"/>
      <w:marLeft w:val="0"/>
      <w:marRight w:val="0"/>
      <w:marTop w:val="0"/>
      <w:marBottom w:val="0"/>
      <w:divBdr>
        <w:top w:val="none" w:sz="0" w:space="0" w:color="auto"/>
        <w:left w:val="none" w:sz="0" w:space="0" w:color="auto"/>
        <w:bottom w:val="none" w:sz="0" w:space="0" w:color="auto"/>
        <w:right w:val="none" w:sz="0" w:space="0" w:color="auto"/>
      </w:divBdr>
      <w:divsChild>
        <w:div w:id="650140699">
          <w:marLeft w:val="0"/>
          <w:marRight w:val="0"/>
          <w:marTop w:val="0"/>
          <w:marBottom w:val="0"/>
          <w:divBdr>
            <w:top w:val="none" w:sz="0" w:space="0" w:color="auto"/>
            <w:left w:val="none" w:sz="0" w:space="0" w:color="auto"/>
            <w:bottom w:val="none" w:sz="0" w:space="0" w:color="auto"/>
            <w:right w:val="none" w:sz="0" w:space="0" w:color="auto"/>
          </w:divBdr>
        </w:div>
        <w:div w:id="340007437">
          <w:marLeft w:val="0"/>
          <w:marRight w:val="0"/>
          <w:marTop w:val="0"/>
          <w:marBottom w:val="0"/>
          <w:divBdr>
            <w:top w:val="none" w:sz="0" w:space="0" w:color="auto"/>
            <w:left w:val="none" w:sz="0" w:space="0" w:color="auto"/>
            <w:bottom w:val="none" w:sz="0" w:space="0" w:color="auto"/>
            <w:right w:val="none" w:sz="0" w:space="0" w:color="auto"/>
          </w:divBdr>
        </w:div>
        <w:div w:id="2129856213">
          <w:marLeft w:val="0"/>
          <w:marRight w:val="0"/>
          <w:marTop w:val="0"/>
          <w:marBottom w:val="0"/>
          <w:divBdr>
            <w:top w:val="none" w:sz="0" w:space="0" w:color="auto"/>
            <w:left w:val="none" w:sz="0" w:space="0" w:color="auto"/>
            <w:bottom w:val="none" w:sz="0" w:space="0" w:color="auto"/>
            <w:right w:val="none" w:sz="0" w:space="0" w:color="auto"/>
          </w:divBdr>
        </w:div>
        <w:div w:id="796415174">
          <w:marLeft w:val="0"/>
          <w:marRight w:val="0"/>
          <w:marTop w:val="0"/>
          <w:marBottom w:val="0"/>
          <w:divBdr>
            <w:top w:val="none" w:sz="0" w:space="0" w:color="auto"/>
            <w:left w:val="none" w:sz="0" w:space="0" w:color="auto"/>
            <w:bottom w:val="none" w:sz="0" w:space="0" w:color="auto"/>
            <w:right w:val="none" w:sz="0" w:space="0" w:color="auto"/>
          </w:divBdr>
        </w:div>
        <w:div w:id="1377966163">
          <w:marLeft w:val="0"/>
          <w:marRight w:val="0"/>
          <w:marTop w:val="0"/>
          <w:marBottom w:val="0"/>
          <w:divBdr>
            <w:top w:val="none" w:sz="0" w:space="0" w:color="auto"/>
            <w:left w:val="none" w:sz="0" w:space="0" w:color="auto"/>
            <w:bottom w:val="none" w:sz="0" w:space="0" w:color="auto"/>
            <w:right w:val="none" w:sz="0" w:space="0" w:color="auto"/>
          </w:divBdr>
        </w:div>
        <w:div w:id="711852291">
          <w:marLeft w:val="0"/>
          <w:marRight w:val="0"/>
          <w:marTop w:val="0"/>
          <w:marBottom w:val="0"/>
          <w:divBdr>
            <w:top w:val="none" w:sz="0" w:space="0" w:color="auto"/>
            <w:left w:val="none" w:sz="0" w:space="0" w:color="auto"/>
            <w:bottom w:val="none" w:sz="0" w:space="0" w:color="auto"/>
            <w:right w:val="none" w:sz="0" w:space="0" w:color="auto"/>
          </w:divBdr>
        </w:div>
        <w:div w:id="1202590172">
          <w:marLeft w:val="0"/>
          <w:marRight w:val="0"/>
          <w:marTop w:val="0"/>
          <w:marBottom w:val="0"/>
          <w:divBdr>
            <w:top w:val="none" w:sz="0" w:space="0" w:color="auto"/>
            <w:left w:val="none" w:sz="0" w:space="0" w:color="auto"/>
            <w:bottom w:val="none" w:sz="0" w:space="0" w:color="auto"/>
            <w:right w:val="none" w:sz="0" w:space="0" w:color="auto"/>
          </w:divBdr>
        </w:div>
        <w:div w:id="971399928">
          <w:marLeft w:val="0"/>
          <w:marRight w:val="0"/>
          <w:marTop w:val="0"/>
          <w:marBottom w:val="0"/>
          <w:divBdr>
            <w:top w:val="none" w:sz="0" w:space="0" w:color="auto"/>
            <w:left w:val="none" w:sz="0" w:space="0" w:color="auto"/>
            <w:bottom w:val="none" w:sz="0" w:space="0" w:color="auto"/>
            <w:right w:val="none" w:sz="0" w:space="0" w:color="auto"/>
          </w:divBdr>
        </w:div>
        <w:div w:id="2033454712">
          <w:marLeft w:val="0"/>
          <w:marRight w:val="0"/>
          <w:marTop w:val="0"/>
          <w:marBottom w:val="0"/>
          <w:divBdr>
            <w:top w:val="none" w:sz="0" w:space="0" w:color="auto"/>
            <w:left w:val="none" w:sz="0" w:space="0" w:color="auto"/>
            <w:bottom w:val="none" w:sz="0" w:space="0" w:color="auto"/>
            <w:right w:val="none" w:sz="0" w:space="0" w:color="auto"/>
          </w:divBdr>
        </w:div>
        <w:div w:id="301692627">
          <w:marLeft w:val="0"/>
          <w:marRight w:val="0"/>
          <w:marTop w:val="0"/>
          <w:marBottom w:val="0"/>
          <w:divBdr>
            <w:top w:val="none" w:sz="0" w:space="0" w:color="auto"/>
            <w:left w:val="none" w:sz="0" w:space="0" w:color="auto"/>
            <w:bottom w:val="none" w:sz="0" w:space="0" w:color="auto"/>
            <w:right w:val="none" w:sz="0" w:space="0" w:color="auto"/>
          </w:divBdr>
        </w:div>
        <w:div w:id="536353217">
          <w:marLeft w:val="0"/>
          <w:marRight w:val="0"/>
          <w:marTop w:val="0"/>
          <w:marBottom w:val="0"/>
          <w:divBdr>
            <w:top w:val="none" w:sz="0" w:space="0" w:color="auto"/>
            <w:left w:val="none" w:sz="0" w:space="0" w:color="auto"/>
            <w:bottom w:val="none" w:sz="0" w:space="0" w:color="auto"/>
            <w:right w:val="none" w:sz="0" w:space="0" w:color="auto"/>
          </w:divBdr>
        </w:div>
        <w:div w:id="546377168">
          <w:marLeft w:val="0"/>
          <w:marRight w:val="0"/>
          <w:marTop w:val="0"/>
          <w:marBottom w:val="0"/>
          <w:divBdr>
            <w:top w:val="none" w:sz="0" w:space="0" w:color="auto"/>
            <w:left w:val="none" w:sz="0" w:space="0" w:color="auto"/>
            <w:bottom w:val="none" w:sz="0" w:space="0" w:color="auto"/>
            <w:right w:val="none" w:sz="0" w:space="0" w:color="auto"/>
          </w:divBdr>
        </w:div>
        <w:div w:id="2113553829">
          <w:marLeft w:val="0"/>
          <w:marRight w:val="0"/>
          <w:marTop w:val="0"/>
          <w:marBottom w:val="0"/>
          <w:divBdr>
            <w:top w:val="none" w:sz="0" w:space="0" w:color="auto"/>
            <w:left w:val="none" w:sz="0" w:space="0" w:color="auto"/>
            <w:bottom w:val="none" w:sz="0" w:space="0" w:color="auto"/>
            <w:right w:val="none" w:sz="0" w:space="0" w:color="auto"/>
          </w:divBdr>
        </w:div>
        <w:div w:id="1592546712">
          <w:marLeft w:val="0"/>
          <w:marRight w:val="0"/>
          <w:marTop w:val="0"/>
          <w:marBottom w:val="0"/>
          <w:divBdr>
            <w:top w:val="none" w:sz="0" w:space="0" w:color="auto"/>
            <w:left w:val="none" w:sz="0" w:space="0" w:color="auto"/>
            <w:bottom w:val="none" w:sz="0" w:space="0" w:color="auto"/>
            <w:right w:val="none" w:sz="0" w:space="0" w:color="auto"/>
          </w:divBdr>
        </w:div>
        <w:div w:id="1256287387">
          <w:marLeft w:val="0"/>
          <w:marRight w:val="0"/>
          <w:marTop w:val="0"/>
          <w:marBottom w:val="0"/>
          <w:divBdr>
            <w:top w:val="none" w:sz="0" w:space="0" w:color="auto"/>
            <w:left w:val="none" w:sz="0" w:space="0" w:color="auto"/>
            <w:bottom w:val="none" w:sz="0" w:space="0" w:color="auto"/>
            <w:right w:val="none" w:sz="0" w:space="0" w:color="auto"/>
          </w:divBdr>
        </w:div>
        <w:div w:id="685525086">
          <w:marLeft w:val="0"/>
          <w:marRight w:val="0"/>
          <w:marTop w:val="0"/>
          <w:marBottom w:val="0"/>
          <w:divBdr>
            <w:top w:val="none" w:sz="0" w:space="0" w:color="auto"/>
            <w:left w:val="none" w:sz="0" w:space="0" w:color="auto"/>
            <w:bottom w:val="none" w:sz="0" w:space="0" w:color="auto"/>
            <w:right w:val="none" w:sz="0" w:space="0" w:color="auto"/>
          </w:divBdr>
        </w:div>
        <w:div w:id="1807309095">
          <w:marLeft w:val="0"/>
          <w:marRight w:val="0"/>
          <w:marTop w:val="0"/>
          <w:marBottom w:val="0"/>
          <w:divBdr>
            <w:top w:val="none" w:sz="0" w:space="0" w:color="auto"/>
            <w:left w:val="none" w:sz="0" w:space="0" w:color="auto"/>
            <w:bottom w:val="none" w:sz="0" w:space="0" w:color="auto"/>
            <w:right w:val="none" w:sz="0" w:space="0" w:color="auto"/>
          </w:divBdr>
        </w:div>
        <w:div w:id="1123572407">
          <w:marLeft w:val="0"/>
          <w:marRight w:val="0"/>
          <w:marTop w:val="0"/>
          <w:marBottom w:val="0"/>
          <w:divBdr>
            <w:top w:val="none" w:sz="0" w:space="0" w:color="auto"/>
            <w:left w:val="none" w:sz="0" w:space="0" w:color="auto"/>
            <w:bottom w:val="none" w:sz="0" w:space="0" w:color="auto"/>
            <w:right w:val="none" w:sz="0" w:space="0" w:color="auto"/>
          </w:divBdr>
        </w:div>
        <w:div w:id="1196962913">
          <w:marLeft w:val="0"/>
          <w:marRight w:val="0"/>
          <w:marTop w:val="0"/>
          <w:marBottom w:val="0"/>
          <w:divBdr>
            <w:top w:val="none" w:sz="0" w:space="0" w:color="auto"/>
            <w:left w:val="none" w:sz="0" w:space="0" w:color="auto"/>
            <w:bottom w:val="none" w:sz="0" w:space="0" w:color="auto"/>
            <w:right w:val="none" w:sz="0" w:space="0" w:color="auto"/>
          </w:divBdr>
        </w:div>
        <w:div w:id="221138712">
          <w:marLeft w:val="0"/>
          <w:marRight w:val="0"/>
          <w:marTop w:val="0"/>
          <w:marBottom w:val="0"/>
          <w:divBdr>
            <w:top w:val="none" w:sz="0" w:space="0" w:color="auto"/>
            <w:left w:val="none" w:sz="0" w:space="0" w:color="auto"/>
            <w:bottom w:val="none" w:sz="0" w:space="0" w:color="auto"/>
            <w:right w:val="none" w:sz="0" w:space="0" w:color="auto"/>
          </w:divBdr>
        </w:div>
        <w:div w:id="1989244751">
          <w:marLeft w:val="0"/>
          <w:marRight w:val="0"/>
          <w:marTop w:val="0"/>
          <w:marBottom w:val="0"/>
          <w:divBdr>
            <w:top w:val="none" w:sz="0" w:space="0" w:color="auto"/>
            <w:left w:val="none" w:sz="0" w:space="0" w:color="auto"/>
            <w:bottom w:val="none" w:sz="0" w:space="0" w:color="auto"/>
            <w:right w:val="none" w:sz="0" w:space="0" w:color="auto"/>
          </w:divBdr>
        </w:div>
        <w:div w:id="845483934">
          <w:marLeft w:val="0"/>
          <w:marRight w:val="0"/>
          <w:marTop w:val="0"/>
          <w:marBottom w:val="0"/>
          <w:divBdr>
            <w:top w:val="none" w:sz="0" w:space="0" w:color="auto"/>
            <w:left w:val="none" w:sz="0" w:space="0" w:color="auto"/>
            <w:bottom w:val="none" w:sz="0" w:space="0" w:color="auto"/>
            <w:right w:val="none" w:sz="0" w:space="0" w:color="auto"/>
          </w:divBdr>
        </w:div>
        <w:div w:id="840312591">
          <w:marLeft w:val="0"/>
          <w:marRight w:val="0"/>
          <w:marTop w:val="0"/>
          <w:marBottom w:val="0"/>
          <w:divBdr>
            <w:top w:val="none" w:sz="0" w:space="0" w:color="auto"/>
            <w:left w:val="none" w:sz="0" w:space="0" w:color="auto"/>
            <w:bottom w:val="none" w:sz="0" w:space="0" w:color="auto"/>
            <w:right w:val="none" w:sz="0" w:space="0" w:color="auto"/>
          </w:divBdr>
        </w:div>
        <w:div w:id="65342437">
          <w:marLeft w:val="0"/>
          <w:marRight w:val="0"/>
          <w:marTop w:val="0"/>
          <w:marBottom w:val="0"/>
          <w:divBdr>
            <w:top w:val="none" w:sz="0" w:space="0" w:color="auto"/>
            <w:left w:val="none" w:sz="0" w:space="0" w:color="auto"/>
            <w:bottom w:val="none" w:sz="0" w:space="0" w:color="auto"/>
            <w:right w:val="none" w:sz="0" w:space="0" w:color="auto"/>
          </w:divBdr>
        </w:div>
        <w:div w:id="1466240883">
          <w:marLeft w:val="0"/>
          <w:marRight w:val="0"/>
          <w:marTop w:val="0"/>
          <w:marBottom w:val="0"/>
          <w:divBdr>
            <w:top w:val="none" w:sz="0" w:space="0" w:color="auto"/>
            <w:left w:val="none" w:sz="0" w:space="0" w:color="auto"/>
            <w:bottom w:val="none" w:sz="0" w:space="0" w:color="auto"/>
            <w:right w:val="none" w:sz="0" w:space="0" w:color="auto"/>
          </w:divBdr>
        </w:div>
        <w:div w:id="954672755">
          <w:marLeft w:val="0"/>
          <w:marRight w:val="0"/>
          <w:marTop w:val="0"/>
          <w:marBottom w:val="0"/>
          <w:divBdr>
            <w:top w:val="none" w:sz="0" w:space="0" w:color="auto"/>
            <w:left w:val="none" w:sz="0" w:space="0" w:color="auto"/>
            <w:bottom w:val="none" w:sz="0" w:space="0" w:color="auto"/>
            <w:right w:val="none" w:sz="0" w:space="0" w:color="auto"/>
          </w:divBdr>
        </w:div>
        <w:div w:id="462886313">
          <w:marLeft w:val="0"/>
          <w:marRight w:val="0"/>
          <w:marTop w:val="0"/>
          <w:marBottom w:val="0"/>
          <w:divBdr>
            <w:top w:val="none" w:sz="0" w:space="0" w:color="auto"/>
            <w:left w:val="none" w:sz="0" w:space="0" w:color="auto"/>
            <w:bottom w:val="none" w:sz="0" w:space="0" w:color="auto"/>
            <w:right w:val="none" w:sz="0" w:space="0" w:color="auto"/>
          </w:divBdr>
        </w:div>
        <w:div w:id="1912962875">
          <w:marLeft w:val="0"/>
          <w:marRight w:val="0"/>
          <w:marTop w:val="0"/>
          <w:marBottom w:val="0"/>
          <w:divBdr>
            <w:top w:val="none" w:sz="0" w:space="0" w:color="auto"/>
            <w:left w:val="none" w:sz="0" w:space="0" w:color="auto"/>
            <w:bottom w:val="none" w:sz="0" w:space="0" w:color="auto"/>
            <w:right w:val="none" w:sz="0" w:space="0" w:color="auto"/>
          </w:divBdr>
        </w:div>
        <w:div w:id="865411787">
          <w:marLeft w:val="0"/>
          <w:marRight w:val="0"/>
          <w:marTop w:val="0"/>
          <w:marBottom w:val="0"/>
          <w:divBdr>
            <w:top w:val="none" w:sz="0" w:space="0" w:color="auto"/>
            <w:left w:val="none" w:sz="0" w:space="0" w:color="auto"/>
            <w:bottom w:val="none" w:sz="0" w:space="0" w:color="auto"/>
            <w:right w:val="none" w:sz="0" w:space="0" w:color="auto"/>
          </w:divBdr>
        </w:div>
        <w:div w:id="1181240616">
          <w:marLeft w:val="0"/>
          <w:marRight w:val="0"/>
          <w:marTop w:val="0"/>
          <w:marBottom w:val="0"/>
          <w:divBdr>
            <w:top w:val="none" w:sz="0" w:space="0" w:color="auto"/>
            <w:left w:val="none" w:sz="0" w:space="0" w:color="auto"/>
            <w:bottom w:val="none" w:sz="0" w:space="0" w:color="auto"/>
            <w:right w:val="none" w:sz="0" w:space="0" w:color="auto"/>
          </w:divBdr>
        </w:div>
        <w:div w:id="297613889">
          <w:marLeft w:val="0"/>
          <w:marRight w:val="0"/>
          <w:marTop w:val="0"/>
          <w:marBottom w:val="0"/>
          <w:divBdr>
            <w:top w:val="none" w:sz="0" w:space="0" w:color="auto"/>
            <w:left w:val="none" w:sz="0" w:space="0" w:color="auto"/>
            <w:bottom w:val="none" w:sz="0" w:space="0" w:color="auto"/>
            <w:right w:val="none" w:sz="0" w:space="0" w:color="auto"/>
          </w:divBdr>
        </w:div>
        <w:div w:id="2036416801">
          <w:marLeft w:val="0"/>
          <w:marRight w:val="0"/>
          <w:marTop w:val="0"/>
          <w:marBottom w:val="0"/>
          <w:divBdr>
            <w:top w:val="none" w:sz="0" w:space="0" w:color="auto"/>
            <w:left w:val="none" w:sz="0" w:space="0" w:color="auto"/>
            <w:bottom w:val="none" w:sz="0" w:space="0" w:color="auto"/>
            <w:right w:val="none" w:sz="0" w:space="0" w:color="auto"/>
          </w:divBdr>
        </w:div>
        <w:div w:id="783160159">
          <w:marLeft w:val="0"/>
          <w:marRight w:val="0"/>
          <w:marTop w:val="0"/>
          <w:marBottom w:val="0"/>
          <w:divBdr>
            <w:top w:val="none" w:sz="0" w:space="0" w:color="auto"/>
            <w:left w:val="none" w:sz="0" w:space="0" w:color="auto"/>
            <w:bottom w:val="none" w:sz="0" w:space="0" w:color="auto"/>
            <w:right w:val="none" w:sz="0" w:space="0" w:color="auto"/>
          </w:divBdr>
        </w:div>
        <w:div w:id="895777481">
          <w:marLeft w:val="0"/>
          <w:marRight w:val="0"/>
          <w:marTop w:val="0"/>
          <w:marBottom w:val="0"/>
          <w:divBdr>
            <w:top w:val="none" w:sz="0" w:space="0" w:color="auto"/>
            <w:left w:val="none" w:sz="0" w:space="0" w:color="auto"/>
            <w:bottom w:val="none" w:sz="0" w:space="0" w:color="auto"/>
            <w:right w:val="none" w:sz="0" w:space="0" w:color="auto"/>
          </w:divBdr>
        </w:div>
        <w:div w:id="332418348">
          <w:marLeft w:val="0"/>
          <w:marRight w:val="0"/>
          <w:marTop w:val="0"/>
          <w:marBottom w:val="0"/>
          <w:divBdr>
            <w:top w:val="none" w:sz="0" w:space="0" w:color="auto"/>
            <w:left w:val="none" w:sz="0" w:space="0" w:color="auto"/>
            <w:bottom w:val="none" w:sz="0" w:space="0" w:color="auto"/>
            <w:right w:val="none" w:sz="0" w:space="0" w:color="auto"/>
          </w:divBdr>
        </w:div>
        <w:div w:id="107374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2092-AD39-F647-B8DD-FB63BC37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7192</Words>
  <Characters>41001</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48097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Rodvold</dc:creator>
  <cp:lastModifiedBy>Hope, William</cp:lastModifiedBy>
  <cp:revision>2</cp:revision>
  <cp:lastPrinted>2017-07-27T21:31:00Z</cp:lastPrinted>
  <dcterms:created xsi:type="dcterms:W3CDTF">2018-01-13T16:46:00Z</dcterms:created>
  <dcterms:modified xsi:type="dcterms:W3CDTF">2018-01-13T16:46:00Z</dcterms:modified>
</cp:coreProperties>
</file>