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C02" w:rsidRPr="00C35C02" w:rsidRDefault="00C35C02" w:rsidP="00C35C02">
      <w:pPr>
        <w:spacing w:line="480" w:lineRule="auto"/>
        <w:jc w:val="both"/>
        <w:rPr>
          <w:rFonts w:ascii="Times New Roman" w:eastAsia="Calibri" w:hAnsi="Times New Roman" w:cs="Times New Roman"/>
          <w:b/>
          <w:sz w:val="24"/>
          <w:szCs w:val="24"/>
        </w:rPr>
      </w:pPr>
      <w:r w:rsidRPr="00C35C02">
        <w:rPr>
          <w:rFonts w:ascii="Times New Roman" w:eastAsia="Calibri" w:hAnsi="Times New Roman" w:cs="Times New Roman"/>
          <w:b/>
          <w:sz w:val="24"/>
          <w:szCs w:val="24"/>
        </w:rPr>
        <w:t xml:space="preserve">Alex Broadhead </w:t>
      </w:r>
    </w:p>
    <w:p w:rsidR="00C35C02" w:rsidRPr="00C35C02" w:rsidRDefault="00C35C02" w:rsidP="00C35C02">
      <w:pPr>
        <w:spacing w:line="480" w:lineRule="auto"/>
        <w:jc w:val="both"/>
        <w:rPr>
          <w:rFonts w:ascii="Times New Roman" w:eastAsia="Calibri" w:hAnsi="Times New Roman" w:cs="Times New Roman"/>
          <w:b/>
          <w:sz w:val="24"/>
          <w:szCs w:val="24"/>
        </w:rPr>
      </w:pPr>
      <w:r w:rsidRPr="00C35C02">
        <w:rPr>
          <w:rFonts w:ascii="Times New Roman" w:eastAsia="Calibri" w:hAnsi="Times New Roman" w:cs="Times New Roman"/>
          <w:b/>
          <w:sz w:val="24"/>
          <w:szCs w:val="24"/>
        </w:rPr>
        <w:t>The Romantics in Alternate History from Hawthorne to Clarke: Generic Edges and the Counterfactual Turn</w:t>
      </w:r>
    </w:p>
    <w:p w:rsidR="00C35C02" w:rsidRPr="00C35C02" w:rsidRDefault="00C35C02" w:rsidP="00C35C02">
      <w:pPr>
        <w:spacing w:line="480" w:lineRule="auto"/>
        <w:jc w:val="both"/>
        <w:rPr>
          <w:rFonts w:ascii="Times New Roman" w:eastAsia="Calibri" w:hAnsi="Times New Roman" w:cs="Times New Roman"/>
          <w:b/>
          <w:sz w:val="24"/>
          <w:szCs w:val="24"/>
        </w:rPr>
      </w:pPr>
    </w:p>
    <w:p w:rsidR="00C35C02" w:rsidRPr="00C35C02" w:rsidRDefault="00C35C02" w:rsidP="00C35C02">
      <w:pPr>
        <w:spacing w:line="480" w:lineRule="auto"/>
        <w:jc w:val="both"/>
        <w:rPr>
          <w:rFonts w:ascii="Times New Roman" w:eastAsia="Calibri" w:hAnsi="Times New Roman" w:cs="Times New Roman"/>
          <w:sz w:val="24"/>
          <w:szCs w:val="24"/>
        </w:rPr>
      </w:pPr>
      <w:r w:rsidRPr="00C35C02">
        <w:rPr>
          <w:rFonts w:ascii="Times New Roman" w:eastAsia="Calibri" w:hAnsi="Times New Roman" w:cs="Times New Roman"/>
          <w:b/>
          <w:sz w:val="24"/>
          <w:szCs w:val="24"/>
        </w:rPr>
        <w:t xml:space="preserve">Keywords: </w:t>
      </w:r>
      <w:r w:rsidRPr="00C35C02">
        <w:rPr>
          <w:rFonts w:ascii="Times New Roman" w:eastAsia="Calibri" w:hAnsi="Times New Roman" w:cs="Times New Roman"/>
          <w:sz w:val="24"/>
          <w:szCs w:val="24"/>
        </w:rPr>
        <w:t>alternate history, counterfactual historiography, reception history, afterlives, legacy, contemporary fiction</w:t>
      </w:r>
    </w:p>
    <w:p w:rsidR="00C35C02" w:rsidRPr="00C35C02" w:rsidRDefault="00C35C02" w:rsidP="00C35C02">
      <w:pPr>
        <w:spacing w:line="480" w:lineRule="auto"/>
        <w:jc w:val="both"/>
        <w:rPr>
          <w:rFonts w:ascii="Times New Roman" w:eastAsia="Calibri" w:hAnsi="Times New Roman" w:cs="Times New Roman"/>
          <w:sz w:val="24"/>
          <w:szCs w:val="24"/>
        </w:rPr>
      </w:pPr>
    </w:p>
    <w:p w:rsidR="00C35C02" w:rsidRPr="00C35C02" w:rsidRDefault="00C35C02" w:rsidP="00C35C02">
      <w:pPr>
        <w:spacing w:line="480" w:lineRule="auto"/>
        <w:jc w:val="both"/>
        <w:rPr>
          <w:rFonts w:ascii="Times New Roman" w:eastAsia="Calibri" w:hAnsi="Times New Roman" w:cs="Times New Roman"/>
          <w:sz w:val="24"/>
          <w:szCs w:val="24"/>
        </w:rPr>
      </w:pPr>
      <w:r w:rsidRPr="00C35C02">
        <w:rPr>
          <w:rFonts w:ascii="Times New Roman" w:eastAsia="Calibri" w:hAnsi="Times New Roman" w:cs="Times New Roman"/>
          <w:i/>
          <w:sz w:val="24"/>
          <w:szCs w:val="24"/>
        </w:rPr>
        <w:t>Edgy Romanticism</w:t>
      </w:r>
      <w:r w:rsidRPr="00C35C02">
        <w:rPr>
          <w:rFonts w:ascii="Times New Roman" w:eastAsia="Calibri" w:hAnsi="Times New Roman" w:cs="Times New Roman"/>
          <w:sz w:val="24"/>
          <w:szCs w:val="24"/>
        </w:rPr>
        <w:t xml:space="preserve"> asks us to consider where, if anywhere, lie the boundaries in an area of study which has, for at least thirty years, sought consistently to bring the marginalised into centre-focus. One uniquely complex answer to that question can be found in the case of alternate histories: fictions intended for a general readership, which speculatively and often sensationally imagine history taking a different course to the one documented in public records and memory (the Nazis winning the Second World War, for instance). From the invocation of Byron in the preface to Louis-Napoléon Geoffroy-Château’s novel, </w:t>
      </w:r>
      <w:r w:rsidRPr="00C35C02">
        <w:rPr>
          <w:rFonts w:ascii="Times New Roman" w:eastAsia="Calibri" w:hAnsi="Times New Roman" w:cs="Times New Roman"/>
          <w:i/>
          <w:sz w:val="24"/>
          <w:szCs w:val="24"/>
        </w:rPr>
        <w:t>Napoléon et la Conquête du Monde: 1812 à 1832</w:t>
      </w:r>
      <w:r w:rsidRPr="00C35C02">
        <w:rPr>
          <w:rFonts w:ascii="Times New Roman" w:eastAsia="Calibri" w:hAnsi="Times New Roman" w:cs="Times New Roman"/>
          <w:sz w:val="24"/>
          <w:szCs w:val="24"/>
        </w:rPr>
        <w:t xml:space="preserve"> (1836),</w:t>
      </w:r>
      <w:r w:rsidRPr="00C35C02">
        <w:rPr>
          <w:rFonts w:ascii="Times New Roman" w:eastAsia="Calibri" w:hAnsi="Times New Roman" w:cs="Times New Roman"/>
          <w:sz w:val="24"/>
          <w:szCs w:val="24"/>
          <w:vertAlign w:val="superscript"/>
        </w:rPr>
        <w:endnoteReference w:id="1"/>
      </w:r>
      <w:r w:rsidRPr="00C35C02">
        <w:rPr>
          <w:rFonts w:ascii="Times New Roman" w:eastAsia="Calibri" w:hAnsi="Times New Roman" w:cs="Times New Roman"/>
          <w:sz w:val="24"/>
          <w:szCs w:val="24"/>
        </w:rPr>
        <w:t xml:space="preserve"> to Nathaniel Hawthorne’s ‘P’s Correspondence’ (1845), which  envisions Byron, Keats, and Shelley living into middle age, through to  more recent works such as Orson Scott Card’s </w:t>
      </w:r>
      <w:r w:rsidRPr="00C35C02">
        <w:rPr>
          <w:rFonts w:ascii="Times New Roman" w:eastAsia="Calibri" w:hAnsi="Times New Roman" w:cs="Times New Roman"/>
          <w:i/>
          <w:sz w:val="24"/>
          <w:szCs w:val="24"/>
        </w:rPr>
        <w:t>Seventh Son</w:t>
      </w:r>
      <w:r w:rsidRPr="00C35C02">
        <w:rPr>
          <w:rFonts w:ascii="Times New Roman" w:eastAsia="Calibri" w:hAnsi="Times New Roman" w:cs="Times New Roman"/>
          <w:sz w:val="24"/>
          <w:szCs w:val="24"/>
        </w:rPr>
        <w:t xml:space="preserve"> (1987), in which Blake emigrated to America in the late eighteenth century, the alternate history tradition has a long-standing fascination with the Romantics. In light of the growing critical interest in Romantic counterfactualism, in particular Damian Walford Davies’s 2009 call for a ‘counterfactual turn’ in Romantic studies,</w:t>
      </w:r>
      <w:r w:rsidRPr="00C35C02">
        <w:rPr>
          <w:rFonts w:ascii="Times New Roman" w:eastAsia="Calibri" w:hAnsi="Times New Roman" w:cs="Times New Roman"/>
          <w:sz w:val="24"/>
          <w:szCs w:val="24"/>
          <w:vertAlign w:val="superscript"/>
        </w:rPr>
        <w:endnoteReference w:id="2"/>
      </w:r>
      <w:r w:rsidRPr="00C35C02">
        <w:rPr>
          <w:rFonts w:ascii="Times New Roman" w:eastAsia="Calibri" w:hAnsi="Times New Roman" w:cs="Times New Roman"/>
          <w:sz w:val="24"/>
          <w:szCs w:val="24"/>
        </w:rPr>
        <w:t xml:space="preserve"> the present moment seems especially auspicious for a revaluation of this body of writing.</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lastRenderedPageBreak/>
        <w:t>The non-canonical status of much of the work associated with this genre scarcely needs to be pointed out, although there is a growing corpus of literary criticism which makes a persuasive case for its idiosyncratically multi-layered exploration of philosophical, historiographical and narratological possibilities.</w:t>
      </w:r>
      <w:r w:rsidRPr="00C35C02">
        <w:rPr>
          <w:rFonts w:ascii="Times New Roman" w:eastAsia="Calibri" w:hAnsi="Times New Roman" w:cs="Times New Roman"/>
          <w:sz w:val="24"/>
          <w:szCs w:val="24"/>
          <w:vertAlign w:val="superscript"/>
        </w:rPr>
        <w:endnoteReference w:id="3"/>
      </w:r>
      <w:r w:rsidRPr="00C35C02">
        <w:rPr>
          <w:rFonts w:ascii="Times New Roman" w:eastAsia="Calibri" w:hAnsi="Times New Roman" w:cs="Times New Roman"/>
          <w:sz w:val="24"/>
          <w:szCs w:val="24"/>
        </w:rPr>
        <w:t xml:space="preserve"> Correspondingly, the methodological applications of counterfactual speculation are being rediscovered in disciplines ranging from history and political science to psychology and cognitive linguistics.</w:t>
      </w:r>
      <w:r w:rsidRPr="00C35C02">
        <w:rPr>
          <w:rFonts w:ascii="Times New Roman" w:eastAsia="Calibri" w:hAnsi="Times New Roman" w:cs="Times New Roman"/>
          <w:sz w:val="24"/>
          <w:szCs w:val="24"/>
          <w:vertAlign w:val="superscript"/>
        </w:rPr>
        <w:endnoteReference w:id="4"/>
      </w:r>
      <w:r w:rsidRPr="00C35C02">
        <w:rPr>
          <w:rFonts w:ascii="Times New Roman" w:eastAsia="Calibri" w:hAnsi="Times New Roman" w:cs="Times New Roman"/>
          <w:sz w:val="24"/>
          <w:szCs w:val="24"/>
        </w:rPr>
        <w:t xml:space="preserve"> Yet the academic legitimacy of counterfactual speculations continues, after several decades of controversy, to be disputed by scholars working within those disciplines (history in particular). And alternate history – the mass-market, fictional counterpart to the more respectable academic version of the mode (which I will refer to as ‘counterfactual historiography’) – has itself been marginalised by some of the louder voices working within the academic tradition of counterfactual writing, most notably that of the historian, Niall Ferguson.</w:t>
      </w:r>
      <w:r w:rsidRPr="00C35C02">
        <w:rPr>
          <w:rFonts w:ascii="Times New Roman" w:eastAsia="Calibri" w:hAnsi="Times New Roman" w:cs="Times New Roman"/>
          <w:sz w:val="24"/>
          <w:szCs w:val="24"/>
          <w:vertAlign w:val="superscript"/>
        </w:rPr>
        <w:t xml:space="preserve"> </w:t>
      </w:r>
      <w:r w:rsidRPr="00C35C02">
        <w:rPr>
          <w:rFonts w:ascii="Times New Roman" w:eastAsia="Calibri" w:hAnsi="Times New Roman" w:cs="Times New Roman"/>
          <w:sz w:val="24"/>
          <w:szCs w:val="24"/>
          <w:vertAlign w:val="superscript"/>
        </w:rPr>
        <w:endnoteReference w:id="5"/>
      </w:r>
      <w:r w:rsidRPr="00C35C02">
        <w:rPr>
          <w:rFonts w:ascii="Times New Roman" w:eastAsia="Calibri" w:hAnsi="Times New Roman" w:cs="Times New Roman"/>
          <w:sz w:val="24"/>
          <w:szCs w:val="24"/>
        </w:rPr>
        <w:t xml:space="preserve">  Alternate history finds itself on the wrong side of the tracks; on the comparatively better side of the tracks we find a mode (counterfactual historiography) which has itself traditionally occupied a liminal position in relation to mainstream academic discourse and yet is beginning to move closer to the centre. The edges are shifting on several fronts in ways that affect the status of alternate history ambivalently.  </w:t>
      </w:r>
    </w:p>
    <w:p w:rsidR="00C35C02" w:rsidRPr="00C35C02" w:rsidRDefault="00C35C02" w:rsidP="00C35C02">
      <w:pPr>
        <w:spacing w:after="0"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b/>
        <w:t xml:space="preserve">This article makes a case for the critical as well as the creative value of alternate histories featuring the Romantics. To this end, I focus on a point where two edges meet: the boundary separating alternate history from counterfactual historiography. This borderline, I want to suggest, is a meaningful one: by attending to the unique qualities of alternate history  as opposed to counterfactual historiography we can begin to understand why the Romantics have proved popular as subjects of alternate history since the earliest days of the genre. What is more,  concentrating on the differences between the two genres  will help to clarify the ways in which alternate histories might be used both to offset and to complement works of </w:t>
      </w:r>
      <w:r w:rsidRPr="00C35C02">
        <w:rPr>
          <w:rFonts w:ascii="Times New Roman" w:eastAsia="Calibri" w:hAnsi="Times New Roman" w:cs="Times New Roman"/>
          <w:sz w:val="24"/>
          <w:szCs w:val="24"/>
        </w:rPr>
        <w:lastRenderedPageBreak/>
        <w:t>counterfactual historiography. Ultimately, I suggest that attending to the differences between alternate history and counterfactual historiography will  serve to illuminate the forking paths that the counterfactual turn in Romantic studies, as proposed by Davies, might take.</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Davies first invited Romanticists to embrace counterfactual thinking in the introduction to </w:t>
      </w:r>
      <w:r w:rsidRPr="00C35C02">
        <w:rPr>
          <w:rFonts w:ascii="Times New Roman" w:eastAsia="Calibri" w:hAnsi="Times New Roman" w:cs="Times New Roman"/>
          <w:i/>
          <w:sz w:val="24"/>
          <w:szCs w:val="24"/>
        </w:rPr>
        <w:t xml:space="preserve">Romanticism, History, Historicism: Essay on an Orthodoxy </w:t>
      </w:r>
      <w:r w:rsidRPr="00C35C02">
        <w:rPr>
          <w:rFonts w:ascii="Times New Roman" w:eastAsia="Calibri" w:hAnsi="Times New Roman" w:cs="Times New Roman"/>
          <w:sz w:val="24"/>
          <w:szCs w:val="24"/>
        </w:rPr>
        <w:t xml:space="preserve">(2009). The proposition comes in the final part of a survey of the ‘mixed inheritance’ of New Historicism, and is presented both as continuation of and corrective to that older movement (7). Where New Historicism sought largely unsuccessfully, Davies suggests, to extricate itself from what it termed ‘the Romantic Ideology,’ counterfactual experiments would ‘tendentiously involve us deeply in [it] while guaranteeing a skeptical distantiation’ (11), by allowing us to express and simultaneously to identify ‘our own allegiances and prejudices, personal and professional’ (11-12).  The inspiration for this idea derives in part, as Davies explains, from Susan Wolfson’s reading, in the same volume, of two separate attempts by Stuart Curran and Marilyn Butler to imagine what shape the Romantic period would have taken had Wordsworth and his other, male, more canonical contemporaries died young (9-10). Such ‘what-if’ experiments, he suggests (summarising Wolfson), raise ‘questions about the contours of Romanticism and the critical lenses through which we focus that phenomenon’ (10). </w:t>
      </w:r>
    </w:p>
    <w:p w:rsidR="00C35C02" w:rsidRPr="00C35C02" w:rsidRDefault="00C35C02" w:rsidP="00C35C02">
      <w:pPr>
        <w:spacing w:line="480" w:lineRule="auto"/>
        <w:ind w:firstLine="720"/>
        <w:jc w:val="both"/>
        <w:rPr>
          <w:rFonts w:ascii="Calibri" w:eastAsia="Calibri" w:hAnsi="Calibri" w:cs="Times New Roman"/>
        </w:rPr>
      </w:pPr>
      <w:r w:rsidRPr="00C35C02">
        <w:rPr>
          <w:rFonts w:ascii="Times New Roman" w:eastAsia="Calibri" w:hAnsi="Times New Roman" w:cs="Times New Roman"/>
          <w:sz w:val="24"/>
          <w:szCs w:val="24"/>
        </w:rPr>
        <w:t xml:space="preserve">After observing that counterfactual history has ‘been recognized within the academy’, and citing Niall Ferguson’s edited collection </w:t>
      </w:r>
      <w:r w:rsidRPr="00C35C02">
        <w:rPr>
          <w:rFonts w:ascii="Times New Roman" w:eastAsia="Calibri" w:hAnsi="Times New Roman" w:cs="Times New Roman"/>
          <w:i/>
          <w:sz w:val="24"/>
          <w:szCs w:val="24"/>
        </w:rPr>
        <w:t>Virtual History: Alternatives and Counterfactuals</w:t>
      </w:r>
      <w:r w:rsidRPr="00C35C02">
        <w:rPr>
          <w:rFonts w:ascii="Times New Roman" w:eastAsia="Calibri" w:hAnsi="Times New Roman" w:cs="Times New Roman"/>
          <w:sz w:val="24"/>
          <w:szCs w:val="24"/>
        </w:rPr>
        <w:t xml:space="preserve"> (1997), Davies makes a distinction between ‘creative revisionings of the past’ in fiction and ‘more stringent counterfactual historiography,’ noting that the ‘boundaries’ between the two are ‘interestingly permeable’</w:t>
      </w:r>
      <w:r w:rsidRPr="00C35C02">
        <w:rPr>
          <w:rFonts w:ascii="Times New Roman" w:eastAsia="Calibri" w:hAnsi="Times New Roman" w:cs="Times New Roman"/>
          <w:sz w:val="24"/>
          <w:szCs w:val="24"/>
          <w:vertAlign w:val="superscript"/>
        </w:rPr>
        <w:t xml:space="preserve"> </w:t>
      </w:r>
      <w:r w:rsidRPr="00C35C02">
        <w:rPr>
          <w:rFonts w:ascii="Times New Roman" w:eastAsia="Calibri" w:hAnsi="Times New Roman" w:cs="Times New Roman"/>
          <w:sz w:val="24"/>
          <w:szCs w:val="24"/>
        </w:rPr>
        <w:t xml:space="preserve">(10). In this he follows Ferguson who, in the introduction to </w:t>
      </w:r>
      <w:r w:rsidRPr="00C35C02">
        <w:rPr>
          <w:rFonts w:ascii="Times New Roman" w:eastAsia="Calibri" w:hAnsi="Times New Roman" w:cs="Times New Roman"/>
          <w:i/>
          <w:sz w:val="24"/>
          <w:szCs w:val="24"/>
        </w:rPr>
        <w:t>Virtual History</w:t>
      </w:r>
      <w:r w:rsidRPr="00C35C02">
        <w:rPr>
          <w:rFonts w:ascii="Times New Roman" w:eastAsia="Calibri" w:hAnsi="Times New Roman" w:cs="Times New Roman"/>
          <w:sz w:val="24"/>
          <w:szCs w:val="24"/>
        </w:rPr>
        <w:t xml:space="preserve">, discusses the literary tendencies in several quasi-academic collections of counterfactual historiography (7-17). But where Ferguson views this </w:t>
      </w:r>
      <w:r w:rsidRPr="00C35C02">
        <w:rPr>
          <w:rFonts w:ascii="Times New Roman" w:eastAsia="Calibri" w:hAnsi="Times New Roman" w:cs="Times New Roman"/>
          <w:sz w:val="24"/>
          <w:szCs w:val="24"/>
        </w:rPr>
        <w:lastRenderedPageBreak/>
        <w:t xml:space="preserve">intermixture as an unfortunate turn of events which has stunted the growth of counterfactual thinking in the discipline of history (14), Davies is more sensitive to the ways in which the two genres might inter-animate one another. Indeed,  Davies’s forthcoming edited collection, </w:t>
      </w:r>
      <w:r w:rsidRPr="00C35C02">
        <w:rPr>
          <w:rFonts w:ascii="Times New Roman" w:eastAsia="Calibri" w:hAnsi="Times New Roman" w:cs="Times New Roman"/>
          <w:i/>
          <w:sz w:val="24"/>
          <w:szCs w:val="24"/>
        </w:rPr>
        <w:t xml:space="preserve">Romantic Counterfactuals </w:t>
      </w:r>
      <w:r w:rsidRPr="00C35C02">
        <w:rPr>
          <w:rFonts w:ascii="Times New Roman" w:eastAsia="Calibri" w:hAnsi="Times New Roman" w:cs="Times New Roman"/>
          <w:sz w:val="24"/>
          <w:szCs w:val="24"/>
        </w:rPr>
        <w:t>(2017), which may serve as a decisive step towards the realisation of the proposed counterfactual turn, promises to continue in this catholic vein, insofar as it ‘seeks to explore the counterfactual heuristic – always sceptically – in relation to historicist, creative-critical, biographical and philosophical-theoretical modalities of literary history.’</w:t>
      </w:r>
      <w:r w:rsidRPr="00C35C02">
        <w:rPr>
          <w:rFonts w:ascii="Times New Roman" w:eastAsia="Calibri" w:hAnsi="Times New Roman" w:cs="Times New Roman"/>
          <w:sz w:val="24"/>
          <w:szCs w:val="24"/>
          <w:vertAlign w:val="superscript"/>
        </w:rPr>
        <w:endnoteReference w:id="6"/>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On the surface of things, the boundaries described by Ferguson and Davies – between creative revisionings and stringent historiography, between fiction and historical enquiry – might be seen to correspond to the generic boundary subsisting between alternate history and counterfactual historiography. Yet in applying these labels to earlier narratives such as ‘P.’s Correspondence,’ we run several risks, not least the danger of anachronism. As Winthrop-Young observes, the modern alternate history as we know it – a sub-genre of SF – did not exist before the mid-twentieth century, even if counterfactual short stories and novels intended for a popular audience did.</w:t>
      </w:r>
      <w:r w:rsidRPr="00C35C02">
        <w:rPr>
          <w:rFonts w:ascii="Times New Roman" w:eastAsia="Calibri" w:hAnsi="Times New Roman" w:cs="Times New Roman"/>
          <w:sz w:val="24"/>
          <w:szCs w:val="24"/>
          <w:vertAlign w:val="superscript"/>
        </w:rPr>
        <w:endnoteReference w:id="7"/>
      </w:r>
      <w:r w:rsidRPr="00C35C02">
        <w:rPr>
          <w:rFonts w:ascii="Times New Roman" w:eastAsia="Calibri" w:hAnsi="Times New Roman" w:cs="Times New Roman"/>
          <w:sz w:val="24"/>
          <w:szCs w:val="24"/>
        </w:rPr>
        <w:t xml:space="preserve"> In grouping texts under the rubric of alternate history, one also hazards exaggerating the extent to which its conventions and characteristics are stable or codified. Singles has argued that ‘the newness and “makeshiftedness” of the genre’ appears to have ‘resulted </w:t>
      </w:r>
      <w:bookmarkStart w:id="0" w:name="_GoBack"/>
      <w:bookmarkEnd w:id="0"/>
      <w:r w:rsidRPr="00C35C02">
        <w:rPr>
          <w:rFonts w:ascii="Times New Roman" w:eastAsia="Calibri" w:hAnsi="Times New Roman" w:cs="Times New Roman"/>
          <w:sz w:val="24"/>
          <w:szCs w:val="24"/>
        </w:rPr>
        <w:t xml:space="preserve">in often dizzying inconsistencies in the attempt to define’ [it] (14-15). This in turn has given rise to a labyrinth of competing taxonomies and terms (22-26). </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Even so, we find in nineteenth-century texts such as ‘P.’s Correspondence’ and in early twentieth-century texts such as Harold Nicolson’s ‘If Byron Had Become King of Greece’ (1932) effects which strongly resemble those  produced in contemporary alternate histories such as Gibson and Sterling’s </w:t>
      </w:r>
      <w:r w:rsidRPr="00C35C02">
        <w:rPr>
          <w:rFonts w:ascii="Times New Roman" w:eastAsia="Calibri" w:hAnsi="Times New Roman" w:cs="Times New Roman"/>
          <w:i/>
          <w:sz w:val="24"/>
          <w:szCs w:val="24"/>
        </w:rPr>
        <w:t xml:space="preserve">The Difference Engine </w:t>
      </w:r>
      <w:r w:rsidRPr="00C35C02">
        <w:rPr>
          <w:rFonts w:ascii="Times New Roman" w:eastAsia="Calibri" w:hAnsi="Times New Roman" w:cs="Times New Roman"/>
          <w:sz w:val="24"/>
          <w:szCs w:val="24"/>
        </w:rPr>
        <w:t xml:space="preserve">(1990) and Card’s </w:t>
      </w:r>
      <w:r w:rsidRPr="00C35C02">
        <w:rPr>
          <w:rFonts w:ascii="Times New Roman" w:eastAsia="Calibri" w:hAnsi="Times New Roman" w:cs="Times New Roman"/>
          <w:i/>
          <w:sz w:val="24"/>
          <w:szCs w:val="24"/>
        </w:rPr>
        <w:t>Seventh Son</w:t>
      </w:r>
      <w:r w:rsidRPr="00C35C02">
        <w:rPr>
          <w:rFonts w:ascii="Times New Roman" w:eastAsia="Calibri" w:hAnsi="Times New Roman" w:cs="Times New Roman"/>
          <w:sz w:val="24"/>
          <w:szCs w:val="24"/>
        </w:rPr>
        <w:t xml:space="preserve"> (1987). It is not simply that these narratives all imagine history taking a different course: both the older and the newer texts ask ‘what-if’ questions in order to make complex statements </w:t>
      </w:r>
      <w:r w:rsidRPr="00C35C02">
        <w:rPr>
          <w:rFonts w:ascii="Times New Roman" w:eastAsia="Calibri" w:hAnsi="Times New Roman" w:cs="Times New Roman"/>
          <w:sz w:val="24"/>
          <w:szCs w:val="24"/>
        </w:rPr>
        <w:lastRenderedPageBreak/>
        <w:t xml:space="preserve">about personality, perspective and the symbolic dimensions of historical narratives, in ways that – as we will see – seem related to their use of the Romantics as characters and in ways that distinguish them collectively from scholarly works in the tradition of counterfactual historiography. </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 chief difference between the two genres lies in their treatment of the self, for in counterfactual historiography, unlike alternate history, the personalities of historical figures tend to remain constant. Gallagher observes of nineteenth-century narratives in this tradition that such works conform closely to the philosophy of ‘Leibniz, Blanqui, and Kripke [who each] imply that the very definition of being real is that we might have led different lives while remaining ourselves.’</w:t>
      </w:r>
      <w:r w:rsidRPr="00C35C02">
        <w:rPr>
          <w:rFonts w:ascii="Times New Roman" w:eastAsia="Calibri" w:hAnsi="Times New Roman" w:cs="Times New Roman"/>
          <w:sz w:val="24"/>
          <w:szCs w:val="24"/>
          <w:vertAlign w:val="superscript"/>
        </w:rPr>
        <w:endnoteReference w:id="8"/>
      </w:r>
      <w:r w:rsidRPr="00C35C02">
        <w:rPr>
          <w:rFonts w:ascii="Times New Roman" w:eastAsia="Calibri" w:hAnsi="Times New Roman" w:cs="Times New Roman"/>
          <w:sz w:val="24"/>
          <w:szCs w:val="24"/>
        </w:rPr>
        <w:t xml:space="preserve"> This line is maintained by latter-day scholars of counterfactual historiography, such as Richard J. Evans and Geoffrey Hawthorn, who both insist that the plausibility of a ‘what-if’ narrative is dependent, in part, on the personalities of real-life figures remaining unchanged by historical alterations.</w:t>
      </w:r>
      <w:r w:rsidRPr="00C35C02">
        <w:rPr>
          <w:rFonts w:ascii="Times New Roman" w:eastAsia="Calibri" w:hAnsi="Times New Roman" w:cs="Times New Roman"/>
          <w:sz w:val="24"/>
          <w:szCs w:val="24"/>
          <w:vertAlign w:val="superscript"/>
        </w:rPr>
        <w:endnoteReference w:id="9"/>
      </w:r>
      <w:r w:rsidRPr="00C35C02">
        <w:rPr>
          <w:rFonts w:ascii="Times New Roman" w:eastAsia="Calibri" w:hAnsi="Times New Roman" w:cs="Times New Roman"/>
          <w:sz w:val="24"/>
          <w:szCs w:val="24"/>
        </w:rPr>
        <w:t xml:space="preserve"> Although this rigid and essentialist belief in the knowability and consistency of historical personalities might appear to be one of the weaknesses of counterfactual historiography, it can be used as a convincing method of demythologisation, as it is, for example in Diane Kunz’s ‘Camelot Continued: What if John F. Kennedy had lived?’ Had he escaped assassination, Kunz argues, JFK would have been exposed as the wavering and by no means enthusiastic supporter of the Civil Rights movement that she suggests he in fact was, contrary to popular myth.</w:t>
      </w:r>
      <w:r w:rsidRPr="00C35C02">
        <w:rPr>
          <w:rFonts w:ascii="Times New Roman" w:eastAsia="Calibri" w:hAnsi="Times New Roman" w:cs="Times New Roman"/>
          <w:sz w:val="24"/>
          <w:szCs w:val="24"/>
          <w:vertAlign w:val="superscript"/>
        </w:rPr>
        <w:endnoteReference w:id="10"/>
      </w:r>
      <w:r w:rsidRPr="00C35C02">
        <w:rPr>
          <w:rFonts w:ascii="Times New Roman" w:eastAsia="Calibri" w:hAnsi="Times New Roman" w:cs="Times New Roman"/>
          <w:sz w:val="24"/>
          <w:szCs w:val="24"/>
        </w:rPr>
        <w:t xml:space="preserve"> </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Similar tendencies can be found in early responses to the death of the younger Romantics, as Jewett points out in his study of Hawthorne’s ‘P’s Correspondence’: </w:t>
      </w:r>
    </w:p>
    <w:p w:rsidR="00C35C02" w:rsidRPr="00C35C02" w:rsidRDefault="00C35C02" w:rsidP="00C35C02">
      <w:pPr>
        <w:spacing w:line="480" w:lineRule="auto"/>
        <w:ind w:left="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the what-if genre has a close relation to romanticism precisely because of the ‘dying young’ topos, which allows the critic to imagine any unrealized future as a way of specifying the undisclosed essence of the dead poet.</w:t>
      </w:r>
      <w:r w:rsidRPr="00C35C02">
        <w:rPr>
          <w:rFonts w:ascii="Times New Roman" w:eastAsia="Calibri" w:hAnsi="Times New Roman" w:cs="Times New Roman"/>
          <w:sz w:val="24"/>
          <w:szCs w:val="24"/>
          <w:vertAlign w:val="superscript"/>
        </w:rPr>
        <w:endnoteReference w:id="11"/>
      </w:r>
    </w:p>
    <w:p w:rsidR="00C35C02" w:rsidRPr="00C35C02" w:rsidRDefault="00C35C02" w:rsidP="00C35C02">
      <w:pPr>
        <w:spacing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lastRenderedPageBreak/>
        <w:t>Jewett describes how commentators such as Robert Browning, Charles Kingsley and Margaret Fuller ‘like[d] to speculate that the heretical romantics would have lived on to find their place in the institutions of England – as they did in a sense, if we regard these speculations as one such institution’ (65). As Jewett notes, ‘P.’s Correspondence’ appears superficially to reproduce this recuperative manoeuvre, by presenting a Byron and Shelley who did not die in 1822 and 1824 but instead lived to become religious and political conservatives  (65). To complicate things, however, this counterfactual scenario is presented not as the objective reality of the world in which ‘P.’s Correspondence’ takes place, but rather as the delusion of the titular P., whose fantasies have led to his incarceration in a psychiatric institution. As such, suggests Jewett, Hawthorne’s short story serves to satirise, allegorically, the ways in which the lives and works of the Romantics have been eclipsed by the biographical constructions inflicted upon them by the Victorian establishment (66-8). In the following passage, P. describes a confusing encounter with Robert Burns:</w:t>
      </w:r>
    </w:p>
    <w:p w:rsidR="00C35C02" w:rsidRPr="00C35C02" w:rsidRDefault="00C35C02" w:rsidP="00C35C02">
      <w:pPr>
        <w:spacing w:line="480" w:lineRule="auto"/>
        <w:ind w:left="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I have already had the honor of an introduction to [Burns] at the British Museum, where he was examining a collection of his own unpublished letters, interspersed with songs, which have escaped the notice of all his biographers. </w:t>
      </w:r>
    </w:p>
    <w:p w:rsidR="00C35C02" w:rsidRPr="00C35C02" w:rsidRDefault="00C35C02" w:rsidP="00C35C02">
      <w:pPr>
        <w:spacing w:line="480" w:lineRule="auto"/>
        <w:ind w:left="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Poh! Nonsense! What am I thinking of? How should Burns have been embalmed in biography when he is still a hearty old man?</w:t>
      </w:r>
      <w:r w:rsidRPr="00C35C02">
        <w:rPr>
          <w:rFonts w:ascii="Times New Roman" w:eastAsia="Calibri" w:hAnsi="Times New Roman" w:cs="Times New Roman"/>
          <w:sz w:val="24"/>
          <w:szCs w:val="24"/>
          <w:vertAlign w:val="superscript"/>
        </w:rPr>
        <w:endnoteReference w:id="12"/>
      </w:r>
    </w:p>
    <w:p w:rsidR="00C35C02" w:rsidRPr="00C35C02" w:rsidRDefault="00C35C02" w:rsidP="00C35C02">
      <w:pPr>
        <w:spacing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Here, not only P. but Burns himself is put in the position of the reader of alternate history. Just as P. struggles to sift the true from the imaginary Burns, and just as Burns (it is implied) is estranged from himself to the extent that he must visit a museum in order to access his own past, so too are we challenged to reconcile Hawthorne’s multiply displaced images of Burns and the other Romantics with what we think we know about them. Burns’s own sense of self has been lost amid the discursive fragments of his life, and the lack of cohesion in this textual </w:t>
      </w:r>
      <w:r w:rsidRPr="00C35C02">
        <w:rPr>
          <w:rFonts w:ascii="Times New Roman" w:eastAsia="Calibri" w:hAnsi="Times New Roman" w:cs="Times New Roman"/>
          <w:sz w:val="24"/>
          <w:szCs w:val="24"/>
        </w:rPr>
        <w:lastRenderedPageBreak/>
        <w:t>identity has been exacerbated first by the (implied) censorship exercised by his biographers and second by the Victorian appropriation of Burns as an imperial mascot, whose transgressive works are paraded in chains in the British Museum, alongside the other spoils of empire.</w:t>
      </w:r>
    </w:p>
    <w:p w:rsidR="00C35C02" w:rsidRPr="00C35C02" w:rsidRDefault="00C35C02" w:rsidP="00C35C02">
      <w:pPr>
        <w:spacing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b/>
        <w:t>If, then, in works of counterfactual historiography, the historical personality is stable and knowable, the opposite is often true in alternate histories, especially those featuring the Romantics. In ‘P.’s Correspondence’ and the narratives that followed it, the Romantic self is unknowable, fragmented, displaced and/or subject to startling transformations. To some extent, this aspect of Hawthorne’s reimagining of the Romantics prefigures postmodernism, insofar as it draws attention to the constructedness of biographical narrative by reconstructing it. Yet the treatment of Romantic personalities in alternate history is not solely an elaboration of the Baudrillardian problem that continues to vex scholars of the genre (see Hellekson, 5 and Singles, 7): namely, do historical narratives have any purchase on a truth existing outside that narrative? As the case of Burns in ‘P.’s Correspondence’ illustrates, the dialectic introduced by alternate histories is not primarily that of reality versus simulation, but the more obviously Romantic dialectic of fragmentation versus cohesion and completion.</w:t>
      </w:r>
      <w:r w:rsidRPr="00C35C02">
        <w:rPr>
          <w:rFonts w:ascii="Times New Roman" w:eastAsia="Calibri" w:hAnsi="Times New Roman" w:cs="Times New Roman"/>
          <w:sz w:val="24"/>
          <w:szCs w:val="24"/>
          <w:vertAlign w:val="superscript"/>
        </w:rPr>
        <w:endnoteReference w:id="13"/>
      </w:r>
    </w:p>
    <w:p w:rsidR="00C35C02" w:rsidRPr="00C35C02" w:rsidRDefault="00C35C02" w:rsidP="00C35C02">
      <w:pPr>
        <w:spacing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 </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Published nearly 150 years after Hawthorne’s story, Walter Jon Williams’s </w:t>
      </w:r>
      <w:r w:rsidRPr="00C35C02">
        <w:rPr>
          <w:rFonts w:ascii="Times New Roman" w:eastAsia="Calibri" w:hAnsi="Times New Roman" w:cs="Times New Roman"/>
          <w:i/>
          <w:sz w:val="24"/>
          <w:szCs w:val="24"/>
        </w:rPr>
        <w:t>Wall Stone Craft</w:t>
      </w:r>
      <w:r w:rsidRPr="00C35C02">
        <w:rPr>
          <w:rFonts w:ascii="Times New Roman" w:eastAsia="Calibri" w:hAnsi="Times New Roman" w:cs="Times New Roman"/>
          <w:sz w:val="24"/>
          <w:szCs w:val="24"/>
        </w:rPr>
        <w:t xml:space="preserve"> (1993)</w:t>
      </w:r>
      <w:r w:rsidRPr="00C35C02">
        <w:rPr>
          <w:rFonts w:ascii="Times New Roman" w:eastAsia="Calibri" w:hAnsi="Times New Roman" w:cs="Times New Roman"/>
          <w:sz w:val="24"/>
          <w:szCs w:val="24"/>
          <w:vertAlign w:val="superscript"/>
        </w:rPr>
        <w:endnoteReference w:id="14"/>
      </w:r>
      <w:r w:rsidRPr="00C35C02">
        <w:rPr>
          <w:rFonts w:ascii="Times New Roman" w:eastAsia="Calibri" w:hAnsi="Times New Roman" w:cs="Times New Roman"/>
          <w:sz w:val="24"/>
          <w:szCs w:val="24"/>
        </w:rPr>
        <w:t xml:space="preserve"> sets a similar opposition in motion. In this novella, Williams takes up an idea introduced by Harold Nicolson’s ‘If Byron Had Become King of Greece’, in which the poet survives the fever at Missolonghi only to lose his impaired leg in a gunpowder accident. The resulting absence of Byron’s club foot causes him to lose his ‘violent energy’ and thus to undergo a reversal of character.</w:t>
      </w:r>
      <w:r w:rsidRPr="00C35C02">
        <w:rPr>
          <w:rFonts w:ascii="Times New Roman" w:eastAsia="Calibri" w:hAnsi="Times New Roman" w:cs="Times New Roman"/>
          <w:sz w:val="24"/>
          <w:szCs w:val="24"/>
          <w:vertAlign w:val="superscript"/>
        </w:rPr>
        <w:endnoteReference w:id="15"/>
      </w:r>
      <w:r w:rsidRPr="00C35C02">
        <w:rPr>
          <w:rFonts w:ascii="Times New Roman" w:eastAsia="Calibri" w:hAnsi="Times New Roman" w:cs="Times New Roman"/>
          <w:sz w:val="24"/>
          <w:szCs w:val="24"/>
        </w:rPr>
        <w:t xml:space="preserve"> Similarly, the Byron of </w:t>
      </w:r>
      <w:r w:rsidRPr="00C35C02">
        <w:rPr>
          <w:rFonts w:ascii="Times New Roman" w:eastAsia="Calibri" w:hAnsi="Times New Roman" w:cs="Times New Roman"/>
          <w:i/>
          <w:sz w:val="24"/>
          <w:szCs w:val="24"/>
        </w:rPr>
        <w:t>Wall Stone Craft</w:t>
      </w:r>
      <w:r w:rsidRPr="00C35C02">
        <w:rPr>
          <w:rFonts w:ascii="Times New Roman" w:eastAsia="Calibri" w:hAnsi="Times New Roman" w:cs="Times New Roman"/>
          <w:sz w:val="24"/>
          <w:szCs w:val="24"/>
        </w:rPr>
        <w:t xml:space="preserve">  is born without a club foot and consequently  grows up to become a military hero of the Napoleonic wars </w:t>
      </w:r>
      <w:r w:rsidRPr="00C35C02">
        <w:rPr>
          <w:rFonts w:ascii="Times New Roman" w:eastAsia="Calibri" w:hAnsi="Times New Roman" w:cs="Times New Roman"/>
          <w:sz w:val="24"/>
          <w:szCs w:val="24"/>
        </w:rPr>
        <w:lastRenderedPageBreak/>
        <w:t xml:space="preserve">rather than a poet. At the outset of the novella, we join Byron in  Geneva, 1816, during his first encounter with the Shelleys. Up to this point, Percy and Mary have led lives identical, it would seem, to those of their real-life counterparts. In contrast, Williams’s Byron is an extrovert and a political conservative who prefers Southey to Milton. But, in the course of the narrative, the life of the counterfactual Byron begins to converge more closely with that of the Byron of history, as he becomes estranged from his wife, is exiled from British polite society, impregnates and abandons Claire Clairmont, becomes disabled as a result of a leg injury and concludes the story fighting for the revolutionary cause in South America. Quite how interchangeable the Byron who concludes </w:t>
      </w:r>
      <w:r w:rsidRPr="00C35C02">
        <w:rPr>
          <w:rFonts w:ascii="Times New Roman" w:eastAsia="Calibri" w:hAnsi="Times New Roman" w:cs="Times New Roman"/>
          <w:i/>
          <w:sz w:val="24"/>
          <w:szCs w:val="24"/>
        </w:rPr>
        <w:t>Wall Stone Craft</w:t>
      </w:r>
      <w:r w:rsidRPr="00C35C02">
        <w:rPr>
          <w:rFonts w:ascii="Times New Roman" w:eastAsia="Calibri" w:hAnsi="Times New Roman" w:cs="Times New Roman"/>
          <w:sz w:val="24"/>
          <w:szCs w:val="24"/>
        </w:rPr>
        <w:t xml:space="preserve"> is with the original on which he is based remains unclear. Writing of biographies of Byron, Stephen Minta has suggested that the life and work of the poet have ‘polarised responses to such an extent that there have often seemed no alternatives except attack or defence, abuse or hagiography.’</w:t>
      </w:r>
      <w:r w:rsidRPr="00C35C02">
        <w:rPr>
          <w:rFonts w:ascii="Times New Roman" w:eastAsia="Calibri" w:hAnsi="Times New Roman" w:cs="Times New Roman"/>
          <w:sz w:val="24"/>
          <w:szCs w:val="24"/>
          <w:vertAlign w:val="superscript"/>
        </w:rPr>
        <w:endnoteReference w:id="16"/>
      </w:r>
      <w:r w:rsidRPr="00C35C02">
        <w:rPr>
          <w:rFonts w:ascii="Times New Roman" w:eastAsia="Calibri" w:hAnsi="Times New Roman" w:cs="Times New Roman"/>
          <w:sz w:val="24"/>
          <w:szCs w:val="24"/>
        </w:rPr>
        <w:t xml:space="preserve"> Williams’s alternate history thematises this aspect of Byron’s reception history by creating another Byron whose supposed flaws and virtues may or may not be the same as those of his historical counterpart: multiplying Byron serves to exaggerate – and thus to foreground – rather than clarify the ambiguity surrounding his personality.</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Where, in Nicolson’s story, the rearrangement of a key part of the Byron myth creates a whole that is an inversion of the more recognisable Byronic personality, in </w:t>
      </w:r>
      <w:r w:rsidRPr="00C35C02">
        <w:rPr>
          <w:rFonts w:ascii="Times New Roman" w:eastAsia="Calibri" w:hAnsi="Times New Roman" w:cs="Times New Roman"/>
          <w:i/>
          <w:sz w:val="24"/>
          <w:szCs w:val="24"/>
        </w:rPr>
        <w:t>Wall Stone Craft</w:t>
      </w:r>
      <w:r w:rsidRPr="00C35C02">
        <w:rPr>
          <w:rFonts w:ascii="Times New Roman" w:eastAsia="Calibri" w:hAnsi="Times New Roman" w:cs="Times New Roman"/>
          <w:sz w:val="24"/>
          <w:szCs w:val="24"/>
        </w:rPr>
        <w:t xml:space="preserve"> the reshuffled parts form a whole without a definable shape: what we are presented with may be no more than fragments. Indeed, this is hinted at by the title of the novella, which dissolves the name ‘Wollstonecraft’ – which, ambiguously, might refer to Mary Shelley’s middle name or to the surname of her mother, who is invoked intermittently  throughout the text – into a sequence of ostensibly unrelated parts. Correspondingly, throughout the text, pseudonyms, nicknames, misnomers and misunderstandings about names proliferate. Byron, in fact, is referred to consistently as ‘George’, and we learn that a few months earlier he has </w:t>
      </w:r>
      <w:r w:rsidRPr="00C35C02">
        <w:rPr>
          <w:rFonts w:ascii="Times New Roman" w:eastAsia="Calibri" w:hAnsi="Times New Roman" w:cs="Times New Roman"/>
          <w:sz w:val="24"/>
          <w:szCs w:val="24"/>
        </w:rPr>
        <w:lastRenderedPageBreak/>
        <w:t xml:space="preserve">received the title ‘Marquess Newstead’. By playing with nomenclature, by presenting a Byron who might have gone by many other names, Williams invites us to ask how coherent his identity really is: to consider whether each of his names might merely be fragments of an incomplete, incohesive or an unfixed self. </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Both counterfactual historiography and alternate history have Romantic antecedents where the treatment of personality is concerned. It has been customary, at least since the publication of Jerome McGann’s </w:t>
      </w:r>
      <w:r w:rsidRPr="00C35C02">
        <w:rPr>
          <w:rFonts w:ascii="Times New Roman" w:eastAsia="Calibri" w:hAnsi="Times New Roman" w:cs="Times New Roman"/>
          <w:i/>
          <w:sz w:val="24"/>
          <w:szCs w:val="24"/>
        </w:rPr>
        <w:t xml:space="preserve">The Romantic Ideology </w:t>
      </w:r>
      <w:r w:rsidRPr="00C35C02">
        <w:rPr>
          <w:rFonts w:ascii="Times New Roman" w:eastAsia="Calibri" w:hAnsi="Times New Roman" w:cs="Times New Roman"/>
          <w:sz w:val="24"/>
          <w:szCs w:val="24"/>
        </w:rPr>
        <w:t>(1983), to associate canonical Romanticism with the belief ‘that the self is and acts as a transcendental presence’</w:t>
      </w:r>
      <w:r w:rsidRPr="00C35C02">
        <w:rPr>
          <w:rFonts w:ascii="Times New Roman" w:eastAsia="Calibri" w:hAnsi="Times New Roman" w:cs="Times New Roman"/>
          <w:sz w:val="24"/>
          <w:szCs w:val="24"/>
          <w:vertAlign w:val="superscript"/>
        </w:rPr>
        <w:endnoteReference w:id="17"/>
      </w:r>
      <w:r w:rsidRPr="00C35C02">
        <w:rPr>
          <w:rFonts w:ascii="Times New Roman" w:eastAsia="Calibri" w:hAnsi="Times New Roman" w:cs="Times New Roman"/>
          <w:sz w:val="24"/>
          <w:szCs w:val="24"/>
        </w:rPr>
        <w:t xml:space="preserve"> or with the valorisation of an ‘autonomous self’ distinguished by its ‘sublime and solitary individualism’,</w:t>
      </w:r>
      <w:r w:rsidRPr="00C35C02">
        <w:rPr>
          <w:rFonts w:ascii="Times New Roman" w:eastAsia="Calibri" w:hAnsi="Times New Roman" w:cs="Times New Roman"/>
          <w:sz w:val="24"/>
          <w:szCs w:val="24"/>
          <w:vertAlign w:val="superscript"/>
        </w:rPr>
        <w:endnoteReference w:id="18"/>
      </w:r>
      <w:r w:rsidRPr="00C35C02">
        <w:rPr>
          <w:rFonts w:ascii="Times New Roman" w:eastAsia="Calibri" w:hAnsi="Times New Roman" w:cs="Times New Roman"/>
          <w:sz w:val="24"/>
          <w:szCs w:val="24"/>
        </w:rPr>
        <w:t xml:space="preserve"> and untouched by social or historical forces. Such formulations, which owe something to Keats’s characterisation of the Wordsworthian egotistical sublime, make clear the similarities between Romantic theories of the self and the representation of personality in counterfactual historiography. Yet there is another side to the Romantic treatment of personality which has more in common with alternate history. It receives its fullest expression in the writings of Shelley, whose Prometheus asks ‘What can hide man from Mutability?’</w:t>
      </w:r>
      <w:r w:rsidRPr="00C35C02">
        <w:rPr>
          <w:rFonts w:ascii="Times New Roman" w:eastAsia="Calibri" w:hAnsi="Times New Roman" w:cs="Times New Roman"/>
          <w:sz w:val="24"/>
          <w:szCs w:val="24"/>
          <w:vertAlign w:val="superscript"/>
        </w:rPr>
        <w:endnoteReference w:id="19"/>
      </w:r>
      <w:r w:rsidRPr="00C35C02">
        <w:rPr>
          <w:rFonts w:ascii="Times New Roman" w:eastAsia="Calibri" w:hAnsi="Times New Roman" w:cs="Times New Roman"/>
          <w:sz w:val="24"/>
          <w:szCs w:val="24"/>
        </w:rPr>
        <w:t xml:space="preserve"> and whose all-conquering tyrant, Ozymandias, has been reduced to a ‘half sunk’ and ‘shattered visage’ (4). Shelley’s ‘King of Kings’ has been fragmented and obscured as a result of being forgotten. Conversely, the personalities of alternate history are fractured and hidden precisely because they are remembered too much: the proliferation of narratives about Burns and Byron reveal the fragmentary nature of their – and indeed all – personalities.</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 more appositely counterfactual example can be found in the work of the very poet most commonly associated with the Romantic notion of the autonomous and stable personality. In ‘At the Grave of Burns 1803,’ Wordsworth suffers a moment of cognitive dissonance as he stands at the graveside of the Scottish poet, unable to reconcile the nearness of his ‘bones’ with the fact that he is ‘forbidden to appear’.</w:t>
      </w:r>
      <w:r w:rsidRPr="00C35C02">
        <w:rPr>
          <w:rFonts w:ascii="Times New Roman" w:eastAsia="Calibri" w:hAnsi="Times New Roman" w:cs="Times New Roman"/>
          <w:sz w:val="24"/>
          <w:szCs w:val="24"/>
          <w:vertAlign w:val="superscript"/>
        </w:rPr>
        <w:endnoteReference w:id="20"/>
      </w:r>
      <w:r w:rsidRPr="00C35C02">
        <w:rPr>
          <w:rFonts w:ascii="Times New Roman" w:eastAsia="Calibri" w:hAnsi="Times New Roman" w:cs="Times New Roman"/>
          <w:sz w:val="24"/>
          <w:szCs w:val="24"/>
        </w:rPr>
        <w:t xml:space="preserve"> His horror dramatises the ‘pain’ </w:t>
      </w:r>
      <w:r w:rsidRPr="00C35C02">
        <w:rPr>
          <w:rFonts w:ascii="Times New Roman" w:eastAsia="Calibri" w:hAnsi="Times New Roman" w:cs="Times New Roman"/>
          <w:sz w:val="24"/>
          <w:szCs w:val="24"/>
        </w:rPr>
        <w:lastRenderedPageBreak/>
        <w:t>he later claims to have felt on first reading James Currie’s 1800 biography of Burns.</w:t>
      </w:r>
      <w:r w:rsidRPr="00C35C02">
        <w:rPr>
          <w:rFonts w:ascii="Times New Roman" w:eastAsia="Calibri" w:hAnsi="Times New Roman" w:cs="Times New Roman"/>
          <w:sz w:val="24"/>
          <w:szCs w:val="24"/>
          <w:vertAlign w:val="superscript"/>
        </w:rPr>
        <w:endnoteReference w:id="21"/>
      </w:r>
      <w:r w:rsidRPr="00C35C02">
        <w:rPr>
          <w:rFonts w:ascii="Times New Roman" w:eastAsia="Calibri" w:hAnsi="Times New Roman" w:cs="Times New Roman"/>
          <w:sz w:val="24"/>
          <w:szCs w:val="24"/>
        </w:rPr>
        <w:t xml:space="preserve"> Here the poet’s bodily fragments reflect the inadequately contextualised facts about his perceived misdeeds that so disturbed Wordsworth about Currie’s biography, and Burns is ‘forbidden to appear’ in the sense that the generous and tolerant spirit of his work is nowhere to be found in Currie’s account (‘Letter,’ 416-7). But Wordsworth in his elegy is able to overcome the fragmentation of Burns enacted by his biographers through an act of counterfactual speculation: the subsequent stanzas of the poem do not dwell on the particulars of his life, but instead imagine that he and the older poet could have become friends had Burns lived (41-54). Wordsworth’s poem does not purport to offer a definitive picture of Burns. On the contrary, by focusing on the unrealised possibilities of Burns’s and his own life, Wordsworth implies that any individual life itself is only a small part of a larger (perhaps inexhaustible) totality, comprised of all of the lives we might have led and all of the larger social organisms of which we might have formed an ‘entwined’ ‘fibre’ (45). What alternate histories share with Wordsworth’s poem is the desire for a form of biographical statement that not only resists closure but also signals its impossibility. In this the personalities of alternate history recall Schlegel’s ideal of ‘the romantic kind of poetry,’ which ‘should forever be becoming and never be perfected’: in other words, a fragment.</w:t>
      </w:r>
      <w:r w:rsidRPr="00C35C02">
        <w:rPr>
          <w:rFonts w:ascii="Times New Roman" w:eastAsia="Calibri" w:hAnsi="Times New Roman" w:cs="Times New Roman"/>
          <w:sz w:val="24"/>
          <w:szCs w:val="24"/>
          <w:vertAlign w:val="superscript"/>
        </w:rPr>
        <w:endnoteReference w:id="22"/>
      </w:r>
      <w:r w:rsidRPr="00C35C02">
        <w:rPr>
          <w:rFonts w:ascii="Times New Roman" w:eastAsia="Calibri" w:hAnsi="Times New Roman" w:cs="Times New Roman"/>
          <w:sz w:val="24"/>
          <w:szCs w:val="24"/>
        </w:rPr>
        <w:t xml:space="preserve"> And if indeed Levinson is correct when she suggests that the Romantics were drawn to the fragment form because it resisted commodification and allowed writers to present themselves as something other than ‘providers of definable goods and services,’</w:t>
      </w:r>
      <w:r w:rsidRPr="00C35C02">
        <w:rPr>
          <w:rFonts w:ascii="Times New Roman" w:eastAsia="Calibri" w:hAnsi="Times New Roman" w:cs="Times New Roman"/>
          <w:sz w:val="24"/>
          <w:szCs w:val="24"/>
          <w:vertAlign w:val="superscript"/>
        </w:rPr>
        <w:endnoteReference w:id="23"/>
      </w:r>
      <w:r w:rsidRPr="00C35C02">
        <w:rPr>
          <w:rFonts w:ascii="Times New Roman" w:eastAsia="Calibri" w:hAnsi="Times New Roman" w:cs="Times New Roman"/>
          <w:sz w:val="24"/>
          <w:szCs w:val="24"/>
        </w:rPr>
        <w:t xml:space="preserve"> then there is a peculiar irony at work here. For it is precisely the Romantic understanding of the self as fragment that has lent the lives of the Romantics to the reimaginings of alternate history: a genre aimed squarely at the popular market. </w:t>
      </w:r>
    </w:p>
    <w:p w:rsidR="00C35C02" w:rsidRPr="00C35C02" w:rsidRDefault="00C35C02" w:rsidP="00C35C02">
      <w:pPr>
        <w:spacing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b/>
        <w:t xml:space="preserve"> Personality is not the only area in which alternate history and counterfactual historiography differ.   A second point of contrast between the two lies in the greater stress </w:t>
      </w:r>
      <w:r w:rsidRPr="00C35C02">
        <w:rPr>
          <w:rFonts w:ascii="Times New Roman" w:eastAsia="Calibri" w:hAnsi="Times New Roman" w:cs="Times New Roman"/>
          <w:sz w:val="24"/>
          <w:szCs w:val="24"/>
        </w:rPr>
        <w:lastRenderedPageBreak/>
        <w:t>that   alternate history places on perspective and consciousness. Hilary Dannenberg distinguishes between the two genres on the following grounds:</w:t>
      </w:r>
    </w:p>
    <w:p w:rsidR="00C35C02" w:rsidRPr="00C35C02" w:rsidRDefault="00C35C02" w:rsidP="00C35C02">
      <w:pPr>
        <w:spacing w:line="480" w:lineRule="auto"/>
        <w:ind w:left="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Academic historical counterfactualizing […] centers on the construction of coherent and linear causal-progenerative chains leading from antecedent to consequent. In fictional forms of counterfactual history, however, the full details of the historical antecedent may only be implied because the major focus is on the imaginative narrative creation of the counterfactual world of the historical consequent.</w:t>
      </w:r>
      <w:r w:rsidRPr="00C35C02">
        <w:rPr>
          <w:rFonts w:ascii="Times New Roman" w:eastAsia="Calibri" w:hAnsi="Times New Roman" w:cs="Times New Roman"/>
          <w:sz w:val="24"/>
          <w:szCs w:val="24"/>
          <w:vertAlign w:val="superscript"/>
        </w:rPr>
        <w:endnoteReference w:id="24"/>
      </w:r>
      <w:r w:rsidRPr="00C35C02">
        <w:rPr>
          <w:rFonts w:ascii="Times New Roman" w:eastAsia="Calibri" w:hAnsi="Times New Roman" w:cs="Times New Roman"/>
          <w:sz w:val="24"/>
          <w:szCs w:val="24"/>
        </w:rPr>
        <w:t xml:space="preserve">  </w:t>
      </w:r>
    </w:p>
    <w:p w:rsidR="00C35C02" w:rsidRPr="00C35C02" w:rsidRDefault="00C35C02" w:rsidP="00C35C02">
      <w:pPr>
        <w:spacing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It follows, therefore, that if alternate histories are more interested in world-creation than in the analysis of cause and effect, then characters and historical figures in this mode will be more likely to serve not only as the agents or patients of historical change, but as focalisers through which we might view the altered reality more closely. And, indeed, when the Romantics appear in alternate history, they often do so as mediators of the counterfactual worlds they inhabit. How else to explain the presence of Byron in Susanna Clarke’s </w:t>
      </w:r>
      <w:r w:rsidRPr="00C35C02">
        <w:rPr>
          <w:rFonts w:ascii="Times New Roman" w:eastAsia="Calibri" w:hAnsi="Times New Roman" w:cs="Times New Roman"/>
          <w:i/>
          <w:sz w:val="24"/>
          <w:szCs w:val="24"/>
        </w:rPr>
        <w:t>Jonathan Strange and Mr Norrell</w:t>
      </w:r>
      <w:r w:rsidRPr="00C35C02">
        <w:rPr>
          <w:rFonts w:ascii="Times New Roman" w:eastAsia="Calibri" w:hAnsi="Times New Roman" w:cs="Times New Roman"/>
          <w:sz w:val="24"/>
          <w:szCs w:val="24"/>
        </w:rPr>
        <w:t>, whose fleeting appearances are extraneous to the main plot but whose deflatory comments regarding the eponymous Strange echo Clarke’s own authorial voice?</w:t>
      </w:r>
      <w:r w:rsidRPr="00C35C02">
        <w:rPr>
          <w:rFonts w:ascii="Times New Roman" w:eastAsia="Calibri" w:hAnsi="Times New Roman" w:cs="Times New Roman"/>
          <w:sz w:val="24"/>
          <w:szCs w:val="24"/>
          <w:vertAlign w:val="superscript"/>
        </w:rPr>
        <w:endnoteReference w:id="25"/>
      </w:r>
      <w:r w:rsidRPr="00C35C02">
        <w:rPr>
          <w:rFonts w:ascii="Times New Roman" w:eastAsia="Calibri" w:hAnsi="Times New Roman" w:cs="Times New Roman"/>
          <w:sz w:val="24"/>
          <w:szCs w:val="24"/>
        </w:rPr>
        <w:t xml:space="preserve"> Here, as elsewhere,</w:t>
      </w:r>
      <w:r w:rsidRPr="00C35C02">
        <w:rPr>
          <w:rFonts w:ascii="Times New Roman" w:eastAsia="Calibri" w:hAnsi="Times New Roman" w:cs="Times New Roman"/>
          <w:i/>
          <w:sz w:val="24"/>
          <w:szCs w:val="24"/>
        </w:rPr>
        <w:t xml:space="preserve"> </w:t>
      </w:r>
      <w:r w:rsidRPr="00C35C02">
        <w:rPr>
          <w:rFonts w:ascii="Times New Roman" w:eastAsia="Calibri" w:hAnsi="Times New Roman" w:cs="Times New Roman"/>
          <w:sz w:val="24"/>
          <w:szCs w:val="24"/>
        </w:rPr>
        <w:t xml:space="preserve">it is not simply that a counterfactual perspective is being applied to the lives of the Romantics; rather that a Romantic perspective is being used to frame the counterfactual dimensions of the novel.  </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One explanation for why authors of alternate history have drawn upon Romantic perspectives may be found in the prevalence of counterfactual thinking in the works of the Romantics themselves. The last fifteen years have seen a growth of critical interest in the counterfactual strain in Romantic writing, with Rajan, Kelley, Davies and Fermanis, among others, exploring the ways in which Romantic anti-determinism occasionally spilt over into speculative rewritings of history.</w:t>
      </w:r>
      <w:r w:rsidRPr="00C35C02">
        <w:rPr>
          <w:rFonts w:ascii="Times New Roman" w:eastAsia="Calibri" w:hAnsi="Times New Roman" w:cs="Times New Roman"/>
          <w:sz w:val="24"/>
          <w:szCs w:val="24"/>
          <w:vertAlign w:val="superscript"/>
        </w:rPr>
        <w:endnoteReference w:id="26"/>
      </w:r>
      <w:r w:rsidRPr="00C35C02">
        <w:rPr>
          <w:rFonts w:ascii="Times New Roman" w:eastAsia="Calibri" w:hAnsi="Times New Roman" w:cs="Times New Roman"/>
          <w:sz w:val="24"/>
          <w:szCs w:val="24"/>
        </w:rPr>
        <w:t xml:space="preserve"> Rajan and Kelley, for instance, have separately suggested </w:t>
      </w:r>
      <w:r w:rsidRPr="00C35C02">
        <w:rPr>
          <w:rFonts w:ascii="Times New Roman" w:eastAsia="Calibri" w:hAnsi="Times New Roman" w:cs="Times New Roman"/>
          <w:sz w:val="24"/>
          <w:szCs w:val="24"/>
        </w:rPr>
        <w:lastRenderedPageBreak/>
        <w:t xml:space="preserve">that Mary Shelley’s </w:t>
      </w:r>
      <w:r w:rsidRPr="00C35C02">
        <w:rPr>
          <w:rFonts w:ascii="Times New Roman" w:eastAsia="Calibri" w:hAnsi="Times New Roman" w:cs="Times New Roman"/>
          <w:i/>
          <w:sz w:val="24"/>
          <w:szCs w:val="24"/>
        </w:rPr>
        <w:t>Valperga</w:t>
      </w:r>
      <w:r w:rsidRPr="00C35C02">
        <w:rPr>
          <w:rFonts w:ascii="Times New Roman" w:eastAsia="Calibri" w:hAnsi="Times New Roman" w:cs="Times New Roman"/>
          <w:sz w:val="24"/>
          <w:szCs w:val="24"/>
        </w:rPr>
        <w:t xml:space="preserve"> (1823) might fruitfully be read as a counterfactual novel, while Fermanis has proposed that Joanna Baillie’s </w:t>
      </w:r>
      <w:r w:rsidRPr="00C35C02">
        <w:rPr>
          <w:rFonts w:ascii="Times New Roman" w:eastAsia="Calibri" w:hAnsi="Times New Roman" w:cs="Times New Roman"/>
          <w:i/>
          <w:sz w:val="24"/>
          <w:szCs w:val="24"/>
        </w:rPr>
        <w:t>Metrical Legends</w:t>
      </w:r>
      <w:r w:rsidRPr="00C35C02">
        <w:rPr>
          <w:rFonts w:ascii="Times New Roman" w:eastAsia="Calibri" w:hAnsi="Times New Roman" w:cs="Times New Roman"/>
          <w:sz w:val="24"/>
          <w:szCs w:val="24"/>
        </w:rPr>
        <w:t xml:space="preserve"> (1821) constitutes a rejection of what she saw as the prevailing counterfactual tendency in contemporary historiography (333).  </w:t>
      </w:r>
    </w:p>
    <w:p w:rsidR="00C35C02" w:rsidRPr="00C35C02" w:rsidRDefault="00C35C02" w:rsidP="00C35C02">
      <w:pPr>
        <w:spacing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b/>
        <w:t xml:space="preserve">. Accordingly, when the Romantics lend their point of view in alternate history, we often find them throwing the mechanisms of history into relief: that is, the forces of contingency or (in contrast) determinism that link sequences of events together. Take the example of Keats in William Gibson and Bruce Sterling’s </w:t>
      </w:r>
      <w:r w:rsidRPr="00C35C02">
        <w:rPr>
          <w:rFonts w:ascii="Times New Roman" w:eastAsia="Calibri" w:hAnsi="Times New Roman" w:cs="Times New Roman"/>
          <w:i/>
          <w:sz w:val="24"/>
          <w:szCs w:val="24"/>
        </w:rPr>
        <w:t>The Difference Engine</w:t>
      </w:r>
      <w:r w:rsidRPr="00C35C02">
        <w:rPr>
          <w:rFonts w:ascii="Times New Roman" w:eastAsia="Calibri" w:hAnsi="Times New Roman" w:cs="Times New Roman"/>
          <w:sz w:val="24"/>
          <w:szCs w:val="24"/>
        </w:rPr>
        <w:t xml:space="preserve"> (1990). In this highly influential steampunk novel, the mass production and wide adoption of Charles Babbage’s Analytical Engine has brought about an information age in Victorian England. Although several of the Romantic poets are mentioned at second-hand in the narrative, including Byron as the Prime Minister, none of them of them makes an appearance in person with the exception of Keats, who is given two walk-on roles. When he speaks, Keats makes remarks, which, though brief, serve to suggest a connection between Keatsian aesthetics, the socio-technological developments that take place within the novel and their present-day equivalents for which the novel is, in part, analogical. The following passage describes action taking place in 1855 and features Keats as a middle-aged kinoptrist, which might be characterised as a creator of computerised cinematic projections involving wooden, analogue versions of pixels. Keats has been asked to explain his theories of kinoptry to Laurence Oliphant who, in this reality, covertly works in intelligence on the Government’s behalf. Previously, Oliphant has informed Keats of his wish to use the Analytical Engines of the police to spy on the public, and Keats has expressed a desire to help him. Keats goes on to narrate what happens next:</w:t>
      </w:r>
    </w:p>
    <w:p w:rsidR="00C35C02" w:rsidRPr="00C35C02" w:rsidRDefault="00C35C02" w:rsidP="00C35C02">
      <w:pPr>
        <w:spacing w:line="480" w:lineRule="auto"/>
        <w:ind w:left="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‘I then explained to him, as nearly as possible in layman’s terms, how the nature of the human eye necessitates, in kinoptry, both remarkable speed and remarkable </w:t>
      </w:r>
      <w:r w:rsidRPr="00C35C02">
        <w:rPr>
          <w:rFonts w:ascii="Times New Roman" w:eastAsia="Calibri" w:hAnsi="Times New Roman" w:cs="Times New Roman"/>
          <w:sz w:val="24"/>
          <w:szCs w:val="24"/>
        </w:rPr>
        <w:lastRenderedPageBreak/>
        <w:t>complexity. For this reason, I concluded, we kinoptrists must be numbered among Britain’s most adept programmers of Enginery of any sort, and virtually all advances in the compression of data have originated as kinoptric applications.’</w:t>
      </w:r>
      <w:r w:rsidRPr="00C35C02">
        <w:rPr>
          <w:rFonts w:ascii="Times New Roman" w:eastAsia="Calibri" w:hAnsi="Times New Roman" w:cs="Times New Roman"/>
          <w:sz w:val="24"/>
          <w:szCs w:val="24"/>
          <w:vertAlign w:val="superscript"/>
        </w:rPr>
        <w:endnoteReference w:id="27"/>
      </w:r>
      <w:r w:rsidRPr="00C35C02">
        <w:rPr>
          <w:rFonts w:ascii="Times New Roman" w:eastAsia="Calibri" w:hAnsi="Times New Roman" w:cs="Times New Roman"/>
          <w:sz w:val="24"/>
          <w:szCs w:val="24"/>
        </w:rPr>
        <w:t xml:space="preserve"> </w:t>
      </w:r>
    </w:p>
    <w:p w:rsidR="00C35C02" w:rsidRPr="00C35C02" w:rsidRDefault="00C35C02" w:rsidP="00C35C02">
      <w:pPr>
        <w:spacing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The poet is father to the kinoptrist,. That is to say,  this counterfactual Keats’s interest in the compression of data, which he also voices during his earlier cameo, echoes the real Keats’s famous injunction to Shelley to ‘be more of an artist, and “load every rift” of your subject with ore’.</w:t>
      </w:r>
      <w:r w:rsidRPr="00C35C02">
        <w:rPr>
          <w:rFonts w:ascii="Times New Roman" w:eastAsia="Calibri" w:hAnsi="Times New Roman" w:cs="Times New Roman"/>
          <w:sz w:val="24"/>
          <w:szCs w:val="24"/>
          <w:vertAlign w:val="superscript"/>
        </w:rPr>
        <w:endnoteReference w:id="28"/>
      </w:r>
      <w:r w:rsidRPr="00C35C02">
        <w:rPr>
          <w:rFonts w:ascii="Times New Roman" w:eastAsia="Calibri" w:hAnsi="Times New Roman" w:cs="Times New Roman"/>
          <w:sz w:val="24"/>
          <w:szCs w:val="24"/>
        </w:rPr>
        <w:t xml:space="preserve">  Similarly, the comments regarding ‘the human eye’ recall Keats’s interest in the physiological dimensions of literary affect. More pertinently, however, when Keats suggests that the information age of this novel is driven by artistic experimentation, immediately following his conversation with Oliphant concerning surveillance, he provides a vantage point on the connections between the subtext of </w:t>
      </w:r>
      <w:r w:rsidRPr="00C35C02">
        <w:rPr>
          <w:rFonts w:ascii="Times New Roman" w:eastAsia="Calibri" w:hAnsi="Times New Roman" w:cs="Times New Roman"/>
          <w:i/>
          <w:sz w:val="24"/>
          <w:szCs w:val="24"/>
        </w:rPr>
        <w:t>The Difference Engine</w:t>
      </w:r>
      <w:r w:rsidRPr="00C35C02">
        <w:rPr>
          <w:rFonts w:ascii="Times New Roman" w:eastAsia="Calibri" w:hAnsi="Times New Roman" w:cs="Times New Roman"/>
          <w:sz w:val="24"/>
          <w:szCs w:val="24"/>
        </w:rPr>
        <w:t xml:space="preserve"> and other works by Gibson, most notably </w:t>
      </w:r>
      <w:r w:rsidRPr="00C35C02">
        <w:rPr>
          <w:rFonts w:ascii="Times New Roman" w:eastAsia="Calibri" w:hAnsi="Times New Roman" w:cs="Times New Roman"/>
          <w:i/>
          <w:sz w:val="24"/>
          <w:szCs w:val="24"/>
        </w:rPr>
        <w:t>Spook Country</w:t>
      </w:r>
      <w:r w:rsidRPr="00C35C02">
        <w:rPr>
          <w:rFonts w:ascii="Times New Roman" w:eastAsia="Calibri" w:hAnsi="Times New Roman" w:cs="Times New Roman"/>
          <w:sz w:val="24"/>
          <w:szCs w:val="24"/>
        </w:rPr>
        <w:t xml:space="preserve"> (2007). In both novels we find a recurring interest in the appropriation of art and culture as a testing ground in which the espionage and military potential of new forms of communication technology might be ascertained. Peculiarly modern as such an idea might seem, it nevertheless draws on specifically Shelleyan ideas. In the </w:t>
      </w:r>
      <w:r w:rsidRPr="00C35C02">
        <w:rPr>
          <w:rFonts w:ascii="Times New Roman" w:eastAsia="Calibri" w:hAnsi="Times New Roman" w:cs="Times New Roman"/>
          <w:i/>
          <w:sz w:val="24"/>
          <w:szCs w:val="24"/>
        </w:rPr>
        <w:t xml:space="preserve">Defence of Poetry </w:t>
      </w:r>
      <w:r w:rsidRPr="00C35C02">
        <w:rPr>
          <w:rFonts w:ascii="Times New Roman" w:eastAsia="Calibri" w:hAnsi="Times New Roman" w:cs="Times New Roman"/>
          <w:sz w:val="24"/>
          <w:szCs w:val="24"/>
        </w:rPr>
        <w:t>(written in 1821), art is the engine that propels macrocosmic changes in law, in consciousness and the social structure.</w:t>
      </w:r>
      <w:r w:rsidRPr="00C35C02">
        <w:rPr>
          <w:rFonts w:ascii="Times New Roman" w:eastAsia="Calibri" w:hAnsi="Times New Roman" w:cs="Times New Roman"/>
          <w:sz w:val="24"/>
          <w:szCs w:val="24"/>
          <w:vertAlign w:val="superscript"/>
        </w:rPr>
        <w:endnoteReference w:id="29"/>
      </w:r>
      <w:r w:rsidRPr="00C35C02">
        <w:rPr>
          <w:rFonts w:ascii="Times New Roman" w:eastAsia="Calibri" w:hAnsi="Times New Roman" w:cs="Times New Roman"/>
          <w:sz w:val="24"/>
          <w:szCs w:val="24"/>
        </w:rPr>
        <w:t xml:space="preserve"> Like Keats in </w:t>
      </w:r>
      <w:r w:rsidRPr="00C35C02">
        <w:rPr>
          <w:rFonts w:ascii="Times New Roman" w:eastAsia="Calibri" w:hAnsi="Times New Roman" w:cs="Times New Roman"/>
          <w:i/>
          <w:sz w:val="24"/>
          <w:szCs w:val="24"/>
        </w:rPr>
        <w:t>The Difference Engine</w:t>
      </w:r>
      <w:r w:rsidRPr="00C35C02">
        <w:rPr>
          <w:rFonts w:ascii="Times New Roman" w:eastAsia="Calibri" w:hAnsi="Times New Roman" w:cs="Times New Roman"/>
          <w:sz w:val="24"/>
          <w:szCs w:val="24"/>
        </w:rPr>
        <w:t>, the historical Shelley offers this in defence of his profession. In the context of a dystopian novel, however, such a claim cannot help but take on a grim irony. Matt Hills writes of Gibson and Sterling’s novel that it ‘speaks to contemporary concerns and epistemologies regarding technological determinism.’</w:t>
      </w:r>
      <w:r w:rsidRPr="00C35C02">
        <w:rPr>
          <w:rFonts w:ascii="Times New Roman" w:eastAsia="Calibri" w:hAnsi="Times New Roman" w:cs="Times New Roman"/>
          <w:sz w:val="24"/>
          <w:szCs w:val="24"/>
          <w:vertAlign w:val="superscript"/>
        </w:rPr>
        <w:endnoteReference w:id="30"/>
      </w:r>
      <w:r w:rsidRPr="00C35C02">
        <w:rPr>
          <w:rFonts w:ascii="Times New Roman" w:eastAsia="Calibri" w:hAnsi="Times New Roman" w:cs="Times New Roman"/>
          <w:sz w:val="24"/>
          <w:szCs w:val="24"/>
        </w:rPr>
        <w:t xml:space="preserve"> To this we might add that in narrating the story of a Britain that never was, the authors of </w:t>
      </w:r>
      <w:r w:rsidRPr="00C35C02">
        <w:rPr>
          <w:rFonts w:ascii="Times New Roman" w:eastAsia="Calibri" w:hAnsi="Times New Roman" w:cs="Times New Roman"/>
          <w:i/>
          <w:sz w:val="24"/>
          <w:szCs w:val="24"/>
        </w:rPr>
        <w:t>The Difference Engine</w:t>
      </w:r>
      <w:r w:rsidRPr="00C35C02">
        <w:rPr>
          <w:rFonts w:ascii="Times New Roman" w:eastAsia="Calibri" w:hAnsi="Times New Roman" w:cs="Times New Roman"/>
          <w:sz w:val="24"/>
          <w:szCs w:val="24"/>
        </w:rPr>
        <w:t xml:space="preserve"> implicitly tell the parallel stories both of the late twentieth century and the nineteenth century such as they really were:  in our time, in the Victorian period of historical record and in the alternate world of the novel, it is implied, , culture, technology and political control interact in surprising and sinister ways. </w:t>
      </w:r>
    </w:p>
    <w:p w:rsidR="00C35C02" w:rsidRPr="00C35C02" w:rsidRDefault="00C35C02" w:rsidP="00C35C02">
      <w:pPr>
        <w:spacing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lastRenderedPageBreak/>
        <w:t xml:space="preserve">In </w:t>
      </w:r>
      <w:r w:rsidRPr="00C35C02">
        <w:rPr>
          <w:rFonts w:ascii="Times New Roman" w:eastAsia="Calibri" w:hAnsi="Times New Roman" w:cs="Times New Roman"/>
          <w:i/>
          <w:sz w:val="24"/>
          <w:szCs w:val="24"/>
        </w:rPr>
        <w:t>The Difference Engine</w:t>
      </w:r>
      <w:r w:rsidRPr="00C35C02">
        <w:rPr>
          <w:rFonts w:ascii="Times New Roman" w:eastAsia="Calibri" w:hAnsi="Times New Roman" w:cs="Times New Roman"/>
          <w:sz w:val="24"/>
          <w:szCs w:val="24"/>
        </w:rPr>
        <w:t xml:space="preserve">, then, Keats holds the key to understanding the relationship between the real world and the counterfactual world of the novel. His relevance to the plot is minimal and his personality is not explored in any depth or at any length. Keats the kinoptrist is less of a character and more of a choral figure, whose perspective serves to throw the symbolic and analogical aspects of the novel into relief. Herein lies the third and most significant respect in which the aims of alternate history diverge from those of counterfactual historiography: where works such as ‘P.’s Correspondence’ and </w:t>
      </w:r>
      <w:r w:rsidRPr="00C35C02">
        <w:rPr>
          <w:rFonts w:ascii="Times New Roman" w:eastAsia="Calibri" w:hAnsi="Times New Roman" w:cs="Times New Roman"/>
          <w:i/>
          <w:sz w:val="24"/>
          <w:szCs w:val="24"/>
        </w:rPr>
        <w:t>The Difference Engine</w:t>
      </w:r>
      <w:r w:rsidRPr="00C35C02">
        <w:rPr>
          <w:rFonts w:ascii="Times New Roman" w:eastAsia="Calibri" w:hAnsi="Times New Roman" w:cs="Times New Roman"/>
          <w:sz w:val="24"/>
          <w:szCs w:val="24"/>
        </w:rPr>
        <w:t xml:space="preserve"> consistently reach beyond the literal meaning of events, essays such as those collected in </w:t>
      </w:r>
      <w:r w:rsidRPr="00C35C02">
        <w:rPr>
          <w:rFonts w:ascii="Times New Roman" w:eastAsia="Calibri" w:hAnsi="Times New Roman" w:cs="Times New Roman"/>
          <w:i/>
          <w:sz w:val="24"/>
          <w:szCs w:val="24"/>
        </w:rPr>
        <w:t>Virtual History</w:t>
      </w:r>
      <w:r w:rsidRPr="00C35C02">
        <w:rPr>
          <w:rFonts w:ascii="Times New Roman" w:eastAsia="Calibri" w:hAnsi="Times New Roman" w:cs="Times New Roman"/>
          <w:sz w:val="24"/>
          <w:szCs w:val="24"/>
        </w:rPr>
        <w:t xml:space="preserve"> do not. In the introduction to the same collection, Ferguson distances counterfactual historiography from the postmodern ‘narrative revival’ in historical studies, pointing out that ‘to write history according to the conventions of a novel or a play is therefore to impose a new kind of determinism on the past: the teleology of the traditional narrative form’ (67). Narrative is a tool for literally and transparently expressing the possibility of specific historical outcomes; the signifier is subordinated to a single, well-defined signified. If the signifier is given undue significance, if the play of meanings is permitted, then the mechanisms of causation will be misrepresented.</w:t>
      </w:r>
    </w:p>
    <w:p w:rsidR="00C35C02" w:rsidRPr="00C35C02" w:rsidRDefault="00C35C02" w:rsidP="00C35C02">
      <w:pPr>
        <w:spacing w:after="0"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b/>
        <w:t>In contrast, alternate history is a self-reflexively symbolic form. As we have seen, Jewett reads ‘P.’s Correspondence’ as a ‘literalizing allegory,’ which ‘asks to what extent cultural habitudes (poetic canons, historical myths, etc.) have [an] allegorical structure.’ (66,  60).</w:t>
      </w:r>
      <w:r w:rsidRPr="00C35C02">
        <w:rPr>
          <w:rFonts w:ascii="Times New Roman" w:eastAsia="Calibri" w:hAnsi="Times New Roman" w:cs="Times New Roman"/>
          <w:sz w:val="24"/>
          <w:szCs w:val="24"/>
          <w:vertAlign w:val="superscript"/>
        </w:rPr>
        <w:t>.</w:t>
      </w:r>
      <w:r w:rsidRPr="00C35C02">
        <w:rPr>
          <w:rFonts w:ascii="Times New Roman" w:eastAsia="Calibri" w:hAnsi="Times New Roman" w:cs="Times New Roman"/>
          <w:sz w:val="24"/>
          <w:szCs w:val="24"/>
        </w:rPr>
        <w:t xml:space="preserve"> Hawthorne’s story asks the question, suggests Jewett, but it does not necessarily answer it. We might similarly read Nicolson’s story, ‘If Byron Had Become King of Greece’, in which the fledgling Greek state descends into in-fighting and Byron fails to live up to his legend, as an allegory for the discontents of  nationalism and hero-worship as political models in the nineteenth and early twentieth centuries. And, in both texts, the allegory is complicated by the paradoxical use of counterfact to stand for fact. Metaphor is predicated on </w:t>
      </w:r>
      <w:r w:rsidRPr="00C35C02">
        <w:rPr>
          <w:rFonts w:ascii="Times New Roman" w:eastAsia="Calibri" w:hAnsi="Times New Roman" w:cs="Times New Roman"/>
          <w:sz w:val="24"/>
          <w:szCs w:val="24"/>
        </w:rPr>
        <w:lastRenderedPageBreak/>
        <w:t>similarities shared by the vehicle and tenor: if alternate history employs counterfacts – the significance of which derives from  their being different from the facts – to symbolise the very thing they oppose, then the metaphors of alternate history can be distinguished by their tendency to self-deconstruct.</w:t>
      </w:r>
    </w:p>
    <w:p w:rsidR="00C35C02" w:rsidRPr="00C35C02" w:rsidRDefault="00C35C02" w:rsidP="00C35C02">
      <w:pPr>
        <w:spacing w:after="0"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By far the most ambitious example of this can be found in Paul Muldoon’s </w:t>
      </w:r>
      <w:r w:rsidRPr="00C35C02">
        <w:rPr>
          <w:rFonts w:ascii="Times New Roman" w:eastAsia="Calibri" w:hAnsi="Times New Roman" w:cs="Times New Roman"/>
          <w:i/>
          <w:sz w:val="24"/>
          <w:szCs w:val="24"/>
        </w:rPr>
        <w:t>Madoc: A Mystery</w:t>
      </w:r>
      <w:r w:rsidRPr="00C35C02">
        <w:rPr>
          <w:rFonts w:ascii="Times New Roman" w:eastAsia="Calibri" w:hAnsi="Times New Roman" w:cs="Times New Roman"/>
          <w:sz w:val="24"/>
          <w:szCs w:val="24"/>
        </w:rPr>
        <w:t xml:space="preserve"> (1991), which imagines Coleridge and Southey emigrating to America in 1790s as they, in reality, had once planned and failed to do.</w:t>
      </w:r>
      <w:r w:rsidRPr="00C35C02">
        <w:rPr>
          <w:rFonts w:ascii="Calibri" w:eastAsia="Calibri" w:hAnsi="Calibri" w:cs="Times New Roman"/>
        </w:rPr>
        <w:t xml:space="preserve"> </w:t>
      </w:r>
      <w:r w:rsidRPr="00C35C02">
        <w:rPr>
          <w:rFonts w:ascii="Times New Roman" w:eastAsia="Calibri" w:hAnsi="Times New Roman" w:cs="Times New Roman"/>
          <w:sz w:val="24"/>
          <w:szCs w:val="24"/>
        </w:rPr>
        <w:t xml:space="preserve">Although not an alternate history per se, by virtue of its being a cycle of lyric poems rather than a prose narrative, </w:t>
      </w:r>
      <w:r w:rsidRPr="00C35C02">
        <w:rPr>
          <w:rFonts w:ascii="Times New Roman" w:eastAsia="Calibri" w:hAnsi="Times New Roman" w:cs="Times New Roman"/>
          <w:i/>
          <w:sz w:val="24"/>
          <w:szCs w:val="24"/>
        </w:rPr>
        <w:t>Madoc</w:t>
      </w:r>
      <w:r w:rsidRPr="00C35C02">
        <w:rPr>
          <w:rFonts w:ascii="Times New Roman" w:eastAsia="Calibri" w:hAnsi="Times New Roman" w:cs="Times New Roman"/>
          <w:sz w:val="24"/>
          <w:szCs w:val="24"/>
        </w:rPr>
        <w:t xml:space="preserve"> recalls other texts in this tradition by implicitly framing the misadventures of the poets as an allegory of the history of western thought through the device of naming each of the individual poems after an eminent figure in that tradition. That </w:t>
      </w:r>
      <w:r w:rsidRPr="00C35C02">
        <w:rPr>
          <w:rFonts w:ascii="Times New Roman" w:eastAsia="Calibri" w:hAnsi="Times New Roman" w:cs="Times New Roman"/>
          <w:i/>
          <w:sz w:val="24"/>
          <w:szCs w:val="24"/>
        </w:rPr>
        <w:t>Madoc</w:t>
      </w:r>
      <w:r w:rsidRPr="00C35C02">
        <w:rPr>
          <w:rFonts w:ascii="Times New Roman" w:eastAsia="Calibri" w:hAnsi="Times New Roman" w:cs="Times New Roman"/>
          <w:sz w:val="24"/>
          <w:szCs w:val="24"/>
        </w:rPr>
        <w:t xml:space="preserve"> is a </w:t>
      </w:r>
      <w:r w:rsidRPr="00C35C02">
        <w:rPr>
          <w:rFonts w:ascii="Times New Roman" w:eastAsia="Calibri" w:hAnsi="Times New Roman" w:cs="Times New Roman"/>
          <w:i/>
          <w:sz w:val="24"/>
          <w:szCs w:val="24"/>
        </w:rPr>
        <w:t xml:space="preserve">self-deconstructing </w:t>
      </w:r>
      <w:r w:rsidRPr="00C35C02">
        <w:rPr>
          <w:rFonts w:ascii="Times New Roman" w:eastAsia="Calibri" w:hAnsi="Times New Roman" w:cs="Times New Roman"/>
          <w:sz w:val="24"/>
          <w:szCs w:val="24"/>
        </w:rPr>
        <w:t>allegory is clear enough in poems such as ‘Protagoras’, in which a ‘Scots-Irish scout’ ‘fondles a tobacco-/ pouch made from the scrotal sac / Of a conestoga’.</w:t>
      </w:r>
      <w:r w:rsidRPr="00C35C02">
        <w:rPr>
          <w:rFonts w:ascii="Times New Roman" w:eastAsia="Calibri" w:hAnsi="Times New Roman" w:cs="Times New Roman"/>
          <w:sz w:val="24"/>
          <w:szCs w:val="24"/>
          <w:vertAlign w:val="superscript"/>
        </w:rPr>
        <w:endnoteReference w:id="31"/>
      </w:r>
      <w:r w:rsidRPr="00C35C02">
        <w:rPr>
          <w:rFonts w:ascii="Times New Roman" w:eastAsia="Calibri" w:hAnsi="Times New Roman" w:cs="Times New Roman"/>
          <w:sz w:val="24"/>
          <w:szCs w:val="24"/>
        </w:rPr>
        <w:t xml:space="preserve"> The use of an amputated scrotum to carry tobacco serves as a pun on Protagoras’s maxim ‘man is the measure of all things’ (quoted in the final line of the poem).  In this instance, the events of the poem do not symbolise Protagoras’s contribution to philosophy so much as use it for the occasion of a play on words,  which both trivialises the ‘Idea of Progress’-esque narrative implied by Muldoon’s allegorical structure and exposes what such narratives typically elide: namely, the relationship between Western progress, colonialism and genocide.    </w:t>
      </w:r>
    </w:p>
    <w:p w:rsidR="00C35C02" w:rsidRPr="00C35C02" w:rsidRDefault="00C35C02" w:rsidP="00C35C02">
      <w:pPr>
        <w:spacing w:after="0"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It is in Orson Scott Card’s </w:t>
      </w:r>
      <w:r w:rsidRPr="00C35C02">
        <w:rPr>
          <w:rFonts w:ascii="Times New Roman" w:eastAsia="Calibri" w:hAnsi="Times New Roman" w:cs="Times New Roman"/>
          <w:i/>
          <w:sz w:val="24"/>
          <w:szCs w:val="24"/>
        </w:rPr>
        <w:t>Seventh Son</w:t>
      </w:r>
      <w:r w:rsidRPr="00C35C02">
        <w:rPr>
          <w:rFonts w:ascii="Times New Roman" w:eastAsia="Calibri" w:hAnsi="Times New Roman" w:cs="Times New Roman"/>
          <w:sz w:val="24"/>
          <w:szCs w:val="24"/>
        </w:rPr>
        <w:t xml:space="preserve"> (1987) that we find the author of an alternate history engaging with the complexly symbolic nature of the genre most directly. </w:t>
      </w:r>
      <w:r w:rsidRPr="00C35C02">
        <w:rPr>
          <w:rFonts w:ascii="Times New Roman" w:eastAsia="Calibri" w:hAnsi="Times New Roman" w:cs="Times New Roman"/>
          <w:i/>
          <w:sz w:val="24"/>
          <w:szCs w:val="24"/>
        </w:rPr>
        <w:t xml:space="preserve">Seventh Son </w:t>
      </w:r>
      <w:r w:rsidRPr="00C35C02">
        <w:rPr>
          <w:rFonts w:ascii="Times New Roman" w:eastAsia="Calibri" w:hAnsi="Times New Roman" w:cs="Times New Roman"/>
          <w:sz w:val="24"/>
          <w:szCs w:val="24"/>
        </w:rPr>
        <w:t>takes place in a balkanised version of early nineteenth-century North America, in which folk magic is part of everyday life. The novel is, as Michael Collings has shown, deeply infused with the Mormonism of its author, not least through the inclusion of a protagonist who bears more than a passing resemblance to Joseph Smith.</w:t>
      </w:r>
      <w:r w:rsidRPr="00C35C02">
        <w:rPr>
          <w:rFonts w:ascii="Times New Roman" w:eastAsia="Calibri" w:hAnsi="Times New Roman" w:cs="Times New Roman"/>
          <w:sz w:val="24"/>
          <w:szCs w:val="24"/>
          <w:vertAlign w:val="superscript"/>
        </w:rPr>
        <w:endnoteReference w:id="32"/>
      </w:r>
      <w:r w:rsidRPr="00C35C02">
        <w:rPr>
          <w:rFonts w:ascii="Times New Roman" w:eastAsia="Calibri" w:hAnsi="Times New Roman" w:cs="Times New Roman"/>
          <w:sz w:val="24"/>
          <w:szCs w:val="24"/>
        </w:rPr>
        <w:t xml:space="preserve"> Traces of this are detectable in the </w:t>
      </w:r>
      <w:r w:rsidRPr="00C35C02">
        <w:rPr>
          <w:rFonts w:ascii="Times New Roman" w:eastAsia="Calibri" w:hAnsi="Times New Roman" w:cs="Times New Roman"/>
          <w:sz w:val="24"/>
          <w:szCs w:val="24"/>
        </w:rPr>
        <w:lastRenderedPageBreak/>
        <w:t xml:space="preserve">following passage, in which Taleswapper, the character who comes to serve as a mentor to the  protagonist surveys a swatch of newly-cultivated land. Taleswapper, as we come to learn, is none other than William Blake: once a poet and engraver, now an itinerant collector of oral tales who emigrated to America in the late eighteenth century. It is Blake’s role as a recorder of stories that have led to the nickname ‘Taleswapper’: an appellation that implies the duplication and revision of narratives; the swapping of received histories for new accounts, of fact for counterfact. Blake, therefore, is a figure whose perspective helps to frame the novel as a whole, and who embodies a particular understanding of alternate history, as is evident in the following extract: </w:t>
      </w:r>
    </w:p>
    <w:p w:rsidR="00C35C02" w:rsidRPr="00C35C02" w:rsidRDefault="00C35C02" w:rsidP="00C35C02">
      <w:pPr>
        <w:spacing w:after="0" w:line="480" w:lineRule="auto"/>
        <w:jc w:val="both"/>
        <w:rPr>
          <w:rFonts w:ascii="Times New Roman" w:eastAsia="Calibri" w:hAnsi="Times New Roman" w:cs="Times New Roman"/>
          <w:sz w:val="24"/>
          <w:szCs w:val="24"/>
        </w:rPr>
      </w:pPr>
    </w:p>
    <w:p w:rsidR="00C35C02" w:rsidRPr="00C35C02" w:rsidRDefault="00C35C02" w:rsidP="00C35C02">
      <w:pPr>
        <w:spacing w:after="0" w:line="480" w:lineRule="auto"/>
        <w:ind w:left="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All the country between the Hio and the Wobbish was being settled, sparsely but evenly, and even now, from his perch atop a willow at the crest of a rise, Taleswapper could see three dozen cookfires sending pillars of smoke straight up into the cold autumn air. And in every direction, great swatches of forest had been cleared, the land plowed, crops planted, tended, harvested, so that where once great trees had shielded the earth from the sky’s eye, now the stubbled soil was naked, waiting for winter to cover its shame.</w:t>
      </w:r>
    </w:p>
    <w:p w:rsidR="00C35C02" w:rsidRPr="00C35C02" w:rsidRDefault="00C35C02" w:rsidP="00C35C02">
      <w:pPr>
        <w:spacing w:after="0" w:line="480" w:lineRule="auto"/>
        <w:ind w:left="720"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Taleswapper remembered his vision of Drunken Noah. He had engraved it for an edition of Genesis for Scottish rite Sunday schools. Noah, nude, his mouth lolling open, a cup half-spilled still dangling from his curled fingers; Ham, not far off, laughing derisively; and Japheth and Shem, walking backward to draw a robe over their father, so they would not see what their father had exposed in his stupefaction. With an electric excitement, Taleswapper realised that this, now, is what the prophetic moment foreshadowed. That he, Taleswapper, perched atop a tree, was seeing the </w:t>
      </w:r>
      <w:r w:rsidRPr="00C35C02">
        <w:rPr>
          <w:rFonts w:ascii="Times New Roman" w:eastAsia="Calibri" w:hAnsi="Times New Roman" w:cs="Times New Roman"/>
          <w:sz w:val="24"/>
          <w:szCs w:val="24"/>
        </w:rPr>
        <w:lastRenderedPageBreak/>
        <w:t>naked land in its stupor, awaiting the modest covering of winter. It was prophecy fulfilled, a thing which one hoped for but could not expect in one’s own life.</w:t>
      </w:r>
    </w:p>
    <w:p w:rsidR="00C35C02" w:rsidRPr="00C35C02" w:rsidRDefault="00C35C02" w:rsidP="00C35C02">
      <w:pPr>
        <w:spacing w:after="0" w:line="480" w:lineRule="auto"/>
        <w:ind w:left="720"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Or, then again, the story of drunken Noah might not be a figure of this moment at all. Why not the other way around? Why not cleared land as a figure for drunken Noah? </w:t>
      </w:r>
    </w:p>
    <w:p w:rsidR="00C35C02" w:rsidRPr="00C35C02" w:rsidRDefault="00C35C02" w:rsidP="00C35C02">
      <w:pPr>
        <w:spacing w:after="0" w:line="480" w:lineRule="auto"/>
        <w:ind w:left="720"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Taleswapper was in a foul mood by the time he reached the ground. He thought and thought, trying to open his mind to see visions, to be a good prophet. Yet every time he thought he had got something firm and tight, it shifted, it changed. He thought one thought too many, and the whole fabric came undone, and he was left as uncertain as before.</w:t>
      </w:r>
      <w:r w:rsidRPr="00C35C02">
        <w:rPr>
          <w:rFonts w:ascii="Times New Roman" w:eastAsia="Calibri" w:hAnsi="Times New Roman" w:cs="Times New Roman"/>
          <w:sz w:val="24"/>
          <w:szCs w:val="24"/>
          <w:vertAlign w:val="superscript"/>
        </w:rPr>
        <w:endnoteReference w:id="33"/>
      </w:r>
    </w:p>
    <w:p w:rsidR="00C35C02" w:rsidRPr="00C35C02" w:rsidRDefault="00C35C02" w:rsidP="00C35C02">
      <w:pPr>
        <w:spacing w:after="0"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Taleswapper’s position in this passage is similar to the narrative perspective of Blake in his 1793 work, </w:t>
      </w:r>
      <w:r w:rsidRPr="00C35C02">
        <w:rPr>
          <w:rFonts w:ascii="Times New Roman" w:eastAsia="Calibri" w:hAnsi="Times New Roman" w:cs="Times New Roman"/>
          <w:i/>
          <w:sz w:val="24"/>
          <w:szCs w:val="24"/>
        </w:rPr>
        <w:t>America: A Prophecy</w:t>
      </w:r>
      <w:r w:rsidRPr="00C35C02">
        <w:rPr>
          <w:rFonts w:ascii="Times New Roman" w:eastAsia="Calibri" w:hAnsi="Times New Roman" w:cs="Times New Roman"/>
          <w:sz w:val="24"/>
          <w:szCs w:val="24"/>
        </w:rPr>
        <w:t>.</w:t>
      </w:r>
      <w:r w:rsidRPr="00C35C02">
        <w:rPr>
          <w:rFonts w:ascii="Times New Roman" w:eastAsia="Calibri" w:hAnsi="Times New Roman" w:cs="Times New Roman"/>
          <w:sz w:val="24"/>
          <w:szCs w:val="24"/>
          <w:vertAlign w:val="superscript"/>
        </w:rPr>
        <w:endnoteReference w:id="34"/>
      </w:r>
      <w:r w:rsidRPr="00C35C02">
        <w:rPr>
          <w:rFonts w:ascii="Times New Roman" w:eastAsia="Calibri" w:hAnsi="Times New Roman" w:cs="Times New Roman"/>
          <w:sz w:val="24"/>
          <w:szCs w:val="24"/>
        </w:rPr>
        <w:t xml:space="preserve"> In both, Blake takes a panoramic view of the North American continent as a way of rendering the historical and mythical forces at work there. What is more, Card borrows Blake’s imagery but inverts its meaning in the process. For Taleswapper, the nakedness of Noah and the land is associated with the sinful state of humanity and the earth, while snow is a blessing which mercifully covers the shame of the cultivated earth. In contrast, the rending off of robes in </w:t>
      </w:r>
      <w:r w:rsidRPr="00C35C02">
        <w:rPr>
          <w:rFonts w:ascii="Times New Roman" w:eastAsia="Calibri" w:hAnsi="Times New Roman" w:cs="Times New Roman"/>
          <w:i/>
          <w:sz w:val="24"/>
          <w:szCs w:val="24"/>
        </w:rPr>
        <w:t>America</w:t>
      </w:r>
      <w:r w:rsidRPr="00C35C02">
        <w:rPr>
          <w:rFonts w:ascii="Times New Roman" w:eastAsia="Calibri" w:hAnsi="Times New Roman" w:cs="Times New Roman"/>
          <w:sz w:val="24"/>
          <w:szCs w:val="24"/>
        </w:rPr>
        <w:t xml:space="preserve"> is a symbol of revolutionary defiance (14. 2), snow is one of the weapons used by the autocratic Urizen (18. 9), and the inability of Albion’s Angel to ‘bring the stubbed oak to overgrow the hills’ (11. 8) reflects the failure of British imperial interference to halt American agricultural progress.</w:t>
      </w:r>
    </w:p>
    <w:p w:rsidR="00C35C02" w:rsidRPr="00C35C02" w:rsidRDefault="00C35C02" w:rsidP="00C35C02">
      <w:pPr>
        <w:spacing w:after="0"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b/>
        <w:t xml:space="preserve">Just as Blake rewrote the Pentateuch in the Books of </w:t>
      </w:r>
      <w:r w:rsidRPr="00C35C02">
        <w:rPr>
          <w:rFonts w:ascii="Times New Roman" w:eastAsia="Calibri" w:hAnsi="Times New Roman" w:cs="Times New Roman"/>
          <w:i/>
          <w:sz w:val="24"/>
          <w:szCs w:val="24"/>
        </w:rPr>
        <w:t>Urizen</w:t>
      </w:r>
      <w:r w:rsidRPr="00C35C02">
        <w:rPr>
          <w:rFonts w:ascii="Times New Roman" w:eastAsia="Calibri" w:hAnsi="Times New Roman" w:cs="Times New Roman"/>
          <w:sz w:val="24"/>
          <w:szCs w:val="24"/>
        </w:rPr>
        <w:t xml:space="preserve">, </w:t>
      </w:r>
      <w:r w:rsidRPr="00C35C02">
        <w:rPr>
          <w:rFonts w:ascii="Times New Roman" w:eastAsia="Calibri" w:hAnsi="Times New Roman" w:cs="Times New Roman"/>
          <w:i/>
          <w:sz w:val="24"/>
          <w:szCs w:val="24"/>
        </w:rPr>
        <w:t>Ahania</w:t>
      </w:r>
      <w:r w:rsidRPr="00C35C02">
        <w:rPr>
          <w:rFonts w:ascii="Times New Roman" w:eastAsia="Calibri" w:hAnsi="Times New Roman" w:cs="Times New Roman"/>
          <w:sz w:val="24"/>
          <w:szCs w:val="24"/>
        </w:rPr>
        <w:t>,</w:t>
      </w:r>
      <w:r w:rsidRPr="00C35C02">
        <w:rPr>
          <w:rFonts w:ascii="Times New Roman" w:eastAsia="Calibri" w:hAnsi="Times New Roman" w:cs="Times New Roman"/>
          <w:i/>
          <w:sz w:val="24"/>
          <w:szCs w:val="24"/>
        </w:rPr>
        <w:t xml:space="preserve"> </w:t>
      </w:r>
      <w:r w:rsidRPr="00C35C02">
        <w:rPr>
          <w:rFonts w:ascii="Times New Roman" w:eastAsia="Calibri" w:hAnsi="Times New Roman" w:cs="Times New Roman"/>
          <w:sz w:val="24"/>
          <w:szCs w:val="24"/>
        </w:rPr>
        <w:t xml:space="preserve">and </w:t>
      </w:r>
      <w:r w:rsidRPr="00C35C02">
        <w:rPr>
          <w:rFonts w:ascii="Times New Roman" w:eastAsia="Calibri" w:hAnsi="Times New Roman" w:cs="Times New Roman"/>
          <w:i/>
          <w:sz w:val="24"/>
          <w:szCs w:val="24"/>
        </w:rPr>
        <w:t>Los</w:t>
      </w:r>
      <w:r w:rsidRPr="00C35C02">
        <w:rPr>
          <w:rFonts w:ascii="Times New Roman" w:eastAsia="Calibri" w:hAnsi="Times New Roman" w:cs="Times New Roman"/>
          <w:sz w:val="24"/>
          <w:szCs w:val="24"/>
        </w:rPr>
        <w:t xml:space="preserve">, so too does Card repurpose the imagery of Blake’s prophecy, if not in a way that transforms him into a mouthpiece for Mormonism, then certainly in a manner that makes him more Mormon-friendly. Taleswapper is an inverted Blake; a revised Blake; a swapped Blake. Undoubtedly, in appropriating Blake after this fashion, Card exposes himself to the charges of recuperation </w:t>
      </w:r>
      <w:r w:rsidRPr="00C35C02">
        <w:rPr>
          <w:rFonts w:ascii="Times New Roman" w:eastAsia="Calibri" w:hAnsi="Times New Roman" w:cs="Times New Roman"/>
          <w:sz w:val="24"/>
          <w:szCs w:val="24"/>
        </w:rPr>
        <w:lastRenderedPageBreak/>
        <w:t xml:space="preserve">and historical revisionism. Nevertheless, the depth of his engagement with Blake’s symbolic practice is undeniable. This is especially apparent in Taleswapper’s interrogation of his own metaphors, which recalls Blake’s self-reflexive use of figurative language in </w:t>
      </w:r>
      <w:r w:rsidRPr="00C35C02">
        <w:rPr>
          <w:rFonts w:ascii="Times New Roman" w:eastAsia="Calibri" w:hAnsi="Times New Roman" w:cs="Times New Roman"/>
          <w:i/>
          <w:sz w:val="24"/>
          <w:szCs w:val="24"/>
        </w:rPr>
        <w:t>America</w:t>
      </w:r>
      <w:r w:rsidRPr="00C35C02">
        <w:rPr>
          <w:rFonts w:ascii="Times New Roman" w:eastAsia="Calibri" w:hAnsi="Times New Roman" w:cs="Times New Roman"/>
          <w:sz w:val="24"/>
          <w:szCs w:val="24"/>
        </w:rPr>
        <w:t xml:space="preserve">. Ronald Schleifer has suggested that Blake’s ‘rendering of simile as metaphor is the central device of this poem’, which, he argues, helps to realise ‘the central concern of </w:t>
      </w:r>
      <w:r w:rsidRPr="00C35C02">
        <w:rPr>
          <w:rFonts w:ascii="Times New Roman" w:eastAsia="Calibri" w:hAnsi="Times New Roman" w:cs="Times New Roman"/>
          <w:i/>
          <w:sz w:val="24"/>
          <w:szCs w:val="24"/>
        </w:rPr>
        <w:t>America</w:t>
      </w:r>
      <w:r w:rsidRPr="00C35C02">
        <w:rPr>
          <w:rFonts w:ascii="Times New Roman" w:eastAsia="Calibri" w:hAnsi="Times New Roman" w:cs="Times New Roman"/>
          <w:sz w:val="24"/>
          <w:szCs w:val="24"/>
        </w:rPr>
        <w:t>, the creation of prophecy.’</w:t>
      </w:r>
      <w:r w:rsidRPr="00C35C02">
        <w:rPr>
          <w:rFonts w:ascii="Times New Roman" w:eastAsia="Calibri" w:hAnsi="Times New Roman" w:cs="Times New Roman"/>
          <w:sz w:val="24"/>
          <w:szCs w:val="24"/>
          <w:vertAlign w:val="superscript"/>
        </w:rPr>
        <w:endnoteReference w:id="35"/>
      </w:r>
      <w:r w:rsidRPr="00C35C02">
        <w:rPr>
          <w:rFonts w:ascii="Times New Roman" w:eastAsia="Calibri" w:hAnsi="Times New Roman" w:cs="Times New Roman"/>
          <w:sz w:val="24"/>
          <w:szCs w:val="24"/>
        </w:rPr>
        <w:t xml:space="preserve"> For Schleifer, Blake’s two-, three- and fourfold vision, as described in the ‘Letter to Thomas Butts’ (22 November 1802), are realised by different types of figurative language. If simile is twofold vision – which sees the world in terms of pairs and opposites; then metaphor is threefold vision, in which the pairs are blended and become one (571). Taleswapper, in this passage, remains frustratedly within the realm of twofold vision: first perceiving the engraving of Noah as a figure for the American landscape, then reversing the relationship between vehicle and tenor, yet ultimately unable to resolve the relationship between the two and move beyond a binary understanding of the symbolic. </w:t>
      </w:r>
    </w:p>
    <w:p w:rsidR="00C35C02" w:rsidRPr="00C35C02" w:rsidRDefault="00C35C02" w:rsidP="00C35C02">
      <w:pPr>
        <w:spacing w:after="0"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b/>
        <w:t xml:space="preserve">Taleswapper’s vision culminates in a sense of prophetic failure; I would like to suggest, however, that his self-interrogatory use of figures serves as a paradigm of the perspective that Romantic characters bring to alternate history. For what links the writing of the Romantics and the alternate histories they have inspired is a sensitivity to the problematic relationship subsisting between the surface meanings and the subtexts of historical narratives. In the first of his </w:t>
      </w:r>
      <w:r w:rsidRPr="00C35C02">
        <w:rPr>
          <w:rFonts w:ascii="Times New Roman" w:eastAsia="Calibri" w:hAnsi="Times New Roman" w:cs="Times New Roman"/>
          <w:i/>
          <w:sz w:val="24"/>
          <w:szCs w:val="24"/>
        </w:rPr>
        <w:t>Lay Sermons</w:t>
      </w:r>
      <w:r w:rsidRPr="00C35C02">
        <w:rPr>
          <w:rFonts w:ascii="Times New Roman" w:eastAsia="Calibri" w:hAnsi="Times New Roman" w:cs="Times New Roman"/>
          <w:sz w:val="24"/>
          <w:szCs w:val="24"/>
        </w:rPr>
        <w:t>, published in 1816, Coleridge compares scriptural history, which is comprised of a ‘system of symbols, harmonious in themselves and consubstantial with the truths of which they are the conductors’, with ‘the histories and political economy of the present and preceding century [which] partake in the general contagion of its mechanic philosophy’.</w:t>
      </w:r>
      <w:r w:rsidRPr="00C35C02">
        <w:rPr>
          <w:rFonts w:ascii="Times New Roman" w:eastAsia="Calibri" w:hAnsi="Times New Roman" w:cs="Times New Roman"/>
          <w:sz w:val="24"/>
          <w:szCs w:val="24"/>
          <w:vertAlign w:val="superscript"/>
        </w:rPr>
        <w:endnoteReference w:id="36"/>
      </w:r>
      <w:r w:rsidRPr="00C35C02">
        <w:rPr>
          <w:rFonts w:ascii="Times New Roman" w:eastAsia="Calibri" w:hAnsi="Times New Roman" w:cs="Times New Roman"/>
          <w:sz w:val="24"/>
          <w:szCs w:val="24"/>
        </w:rPr>
        <w:t xml:space="preserve"> Coleridge discovered in the symbols of scripture a third way between, on the one hand, Medieval and Evangelical readings of history and Biblical narrative, in which events are merely vehicles of divine revelation, and, on the other, a sceptical Enlightenment </w:t>
      </w:r>
      <w:r w:rsidRPr="00C35C02">
        <w:rPr>
          <w:rFonts w:ascii="Times New Roman" w:eastAsia="Calibri" w:hAnsi="Times New Roman" w:cs="Times New Roman"/>
          <w:sz w:val="24"/>
          <w:szCs w:val="24"/>
        </w:rPr>
        <w:lastRenderedPageBreak/>
        <w:t>approach to historiography and hermeneutics, in which events are read in exclusively literal terms. In Coleridge’s formulation, historical events have subtext and symbolic meaning, but they are not subordinated to what they symbolise. In the respect that the symbol and its meaning are part of the same ‘truth’, they are interchangeable.</w:t>
      </w:r>
    </w:p>
    <w:p w:rsidR="00C35C02" w:rsidRPr="00C35C02" w:rsidRDefault="00C35C02" w:rsidP="00C35C02">
      <w:pPr>
        <w:spacing w:after="0" w:line="480" w:lineRule="auto"/>
        <w:ind w:firstLine="720"/>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 xml:space="preserve">Coleridge is calling for a form of historical writing which breaks the univocality of Enlightenment historiography and reverses the unidirectionality of its Medieval predecessor. Alternate history represents one way of doing this – of cracking open the surface of history to create a multi-levelled narrative, comprised not only of what could or should have happened but also what did happen, as well as the different symbolic meanings and historical archetypes that accrue to past events. From this point of view, the exclusive focus of counterfactual historiographers on the literal looks a lot like Blake’s ‘single vision’. In contrast, alternate history offers a means of offsetting the ideological, mythological and psychological subtexts of history against the details which constitute its surface content – in a way that does not fix them in a static relationship with one another or assign differing levels of importance to them. In Card’s novel, Taleswapper attempts a similar thing when he asks whether Noah (the embodiment of myth) stands for the American landscape (the embodiment of history) or vice versa. But whereas Coleridge resolves this paradox through the idea of consubstantiality, Card’s alternate Blake cannot seem to find a comparably neat solution. This doubt is where such alternate histories break with Romanticism and come into closer orbit with postmodernism. Alternate history is predicated on inaccuracy and anachronism: any claim to truth that it might make is always at least implicitly undermined by the fact it has chosen to tell history wrong. But in Card’s novel and elsewhere this doubt rarely hardens into a Baudrillard-esque reading of historical narrative as simulation. It is a doubt that is punctuated by moments of conviction and historical insight, just as the conventional </w:t>
      </w:r>
      <w:r w:rsidRPr="00C35C02">
        <w:rPr>
          <w:rFonts w:ascii="Times New Roman" w:eastAsia="Calibri" w:hAnsi="Times New Roman" w:cs="Times New Roman"/>
          <w:sz w:val="24"/>
          <w:szCs w:val="24"/>
        </w:rPr>
        <w:lastRenderedPageBreak/>
        <w:t xml:space="preserve">inaccuracies and anachronisms of alternate history lead it to hit upon eccentric but suggestive connections that would otherwise go unnoticed. </w:t>
      </w:r>
    </w:p>
    <w:p w:rsidR="00C35C02" w:rsidRPr="00C35C02" w:rsidRDefault="00C35C02" w:rsidP="00C35C02">
      <w:pPr>
        <w:spacing w:after="0"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b/>
        <w:t xml:space="preserve">Earlier I suggested that the contrasting qualities that distinguish alternate history from counterfactual historiography could be used to explore the different paths that a counterfactual turn might take. Counterfactual historiography, with its emphasis on literal cause-and-effect and the stability of identities, offers Romanticists a framework with which they might explore the accidents, choices and dovetailing of events which conspired (and continue to conspire) to shape our understanding of the Romantic. Alternate history, on the other hand, might be employed to conjure and to interrogate the necessarily fragmentary structures and symbolic subtexts of the stories we tell about Romanticism. </w:t>
      </w:r>
      <w:r w:rsidRPr="00C35C02">
        <w:rPr>
          <w:rFonts w:ascii="Times New Roman" w:eastAsia="Calibri" w:hAnsi="Times New Roman" w:cs="Times New Roman"/>
          <w:sz w:val="24"/>
          <w:szCs w:val="24"/>
        </w:rPr>
        <w:tab/>
      </w:r>
    </w:p>
    <w:p w:rsidR="00C35C02" w:rsidRPr="00C35C02" w:rsidRDefault="00C35C02" w:rsidP="00C35C02">
      <w:pPr>
        <w:spacing w:after="0" w:line="480" w:lineRule="auto"/>
        <w:jc w:val="both"/>
        <w:rPr>
          <w:rFonts w:ascii="Times New Roman" w:eastAsia="Calibri" w:hAnsi="Times New Roman" w:cs="Times New Roman"/>
          <w:sz w:val="24"/>
          <w:szCs w:val="24"/>
        </w:rPr>
      </w:pPr>
      <w:r w:rsidRPr="00C35C02">
        <w:rPr>
          <w:rFonts w:ascii="Times New Roman" w:eastAsia="Calibri" w:hAnsi="Times New Roman" w:cs="Times New Roman"/>
          <w:sz w:val="24"/>
          <w:szCs w:val="24"/>
        </w:rPr>
        <w:tab/>
        <w:t xml:space="preserve">But is a synthesis of the two possible? And what would it look like, if so? A counterfactual turn that transcended the boundary separating alternate history from counterfactual historiography would be one which viewed historical figures both as works-in-progress </w:t>
      </w:r>
      <w:r w:rsidRPr="00C35C02">
        <w:rPr>
          <w:rFonts w:ascii="Times New Roman" w:eastAsia="Calibri" w:hAnsi="Times New Roman" w:cs="Times New Roman"/>
          <w:i/>
          <w:sz w:val="24"/>
          <w:szCs w:val="24"/>
        </w:rPr>
        <w:t xml:space="preserve">and </w:t>
      </w:r>
      <w:r w:rsidRPr="00C35C02">
        <w:rPr>
          <w:rFonts w:ascii="Times New Roman" w:eastAsia="Calibri" w:hAnsi="Times New Roman" w:cs="Times New Roman"/>
          <w:sz w:val="24"/>
          <w:szCs w:val="24"/>
        </w:rPr>
        <w:t>as individuals answerable for their lives and writings. It would be capable of debunking myths without devaluing the mythological understanding of history.  It would privilege the literal and the factual without banishing the subtextual. It would comprise a dialectical form of literary history that could offset a Romantic perspective of history against the perspectives of other periods and cultures (real and imagined) without negating one or the other. But whichever of these possibilities it realises, the counterfactual turn in Romantic studies will be richer, more surprising and more insightful for its engagement with the alternate history tradition.</w:t>
      </w:r>
    </w:p>
    <w:p w:rsidR="00C35C02" w:rsidRPr="00C35C02" w:rsidRDefault="00C35C02" w:rsidP="00C35C02">
      <w:pPr>
        <w:spacing w:after="0" w:line="480" w:lineRule="auto"/>
        <w:jc w:val="both"/>
        <w:rPr>
          <w:rFonts w:ascii="Times New Roman" w:eastAsia="Calibri" w:hAnsi="Times New Roman" w:cs="Times New Roman"/>
          <w:sz w:val="24"/>
          <w:szCs w:val="24"/>
        </w:rPr>
      </w:pPr>
    </w:p>
    <w:p w:rsidR="00C35C02" w:rsidRPr="00C35C02" w:rsidRDefault="00C35C02" w:rsidP="00C35C02">
      <w:pPr>
        <w:jc w:val="both"/>
        <w:rPr>
          <w:rFonts w:ascii="Calibri" w:eastAsia="Calibri" w:hAnsi="Calibri" w:cs="Times New Roman"/>
        </w:rPr>
      </w:pPr>
    </w:p>
    <w:p w:rsidR="00C35C02" w:rsidRPr="00C35C02" w:rsidRDefault="00C35C02" w:rsidP="00C35C02"/>
    <w:p w:rsidR="006F0946" w:rsidRDefault="00102442"/>
    <w:sectPr w:rsidR="006F0946">
      <w:head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442" w:rsidRDefault="00102442" w:rsidP="00C35C02">
      <w:pPr>
        <w:spacing w:after="0" w:line="240" w:lineRule="auto"/>
      </w:pPr>
      <w:r>
        <w:separator/>
      </w:r>
    </w:p>
  </w:endnote>
  <w:endnote w:type="continuationSeparator" w:id="0">
    <w:p w:rsidR="00102442" w:rsidRDefault="00102442" w:rsidP="00C35C02">
      <w:pPr>
        <w:spacing w:after="0" w:line="240" w:lineRule="auto"/>
      </w:pPr>
      <w:r>
        <w:continuationSeparator/>
      </w:r>
    </w:p>
  </w:endnote>
  <w:endnote w:id="1">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Louis-Napoléon Geoffroy-Château, </w:t>
      </w:r>
      <w:r w:rsidRPr="00B46706">
        <w:rPr>
          <w:rFonts w:ascii="Times New Roman" w:hAnsi="Times New Roman"/>
          <w:i/>
        </w:rPr>
        <w:t>Napoléon et la Conquête du Monde: 1812 à 1832</w:t>
      </w:r>
      <w:r w:rsidRPr="00B46706">
        <w:rPr>
          <w:rFonts w:ascii="Times New Roman" w:hAnsi="Times New Roman"/>
        </w:rPr>
        <w:t xml:space="preserve"> (Paris, 1836), 1.</w:t>
      </w:r>
    </w:p>
  </w:endnote>
  <w:endnote w:id="2">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Damian Walford Davies, ‘Introduction: Reflections on Orthodoxy’, in </w:t>
      </w:r>
      <w:r w:rsidRPr="00B46706">
        <w:rPr>
          <w:rFonts w:ascii="Times New Roman" w:hAnsi="Times New Roman"/>
          <w:i/>
        </w:rPr>
        <w:t>Romanticism, History, Historicism: Essays on an Orthodoxy</w:t>
      </w:r>
      <w:r w:rsidRPr="00B46706">
        <w:rPr>
          <w:rFonts w:ascii="Times New Roman" w:hAnsi="Times New Roman"/>
        </w:rPr>
        <w:t>, ed. Davies (London, 2009), 1-13.</w:t>
      </w:r>
    </w:p>
  </w:endnote>
  <w:endnote w:id="3">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See for example Karen Hellekson, </w:t>
      </w:r>
      <w:r w:rsidRPr="00B46706">
        <w:rPr>
          <w:rFonts w:ascii="Times New Roman" w:hAnsi="Times New Roman"/>
          <w:i/>
        </w:rPr>
        <w:t>The Alternate History: Refiguring Historical Time</w:t>
      </w:r>
      <w:r w:rsidRPr="00B46706">
        <w:rPr>
          <w:rFonts w:ascii="Times New Roman" w:hAnsi="Times New Roman"/>
        </w:rPr>
        <w:t xml:space="preserve"> (Kent OH, 2001); Kathleen Singles, </w:t>
      </w:r>
      <w:r w:rsidRPr="00B46706">
        <w:rPr>
          <w:rFonts w:ascii="Times New Roman" w:hAnsi="Times New Roman"/>
          <w:i/>
        </w:rPr>
        <w:t>Alternate History: Playing with Contingency and Necessity</w:t>
      </w:r>
      <w:r w:rsidRPr="00B46706">
        <w:rPr>
          <w:rFonts w:ascii="Times New Roman" w:hAnsi="Times New Roman"/>
        </w:rPr>
        <w:t xml:space="preserve"> (Berlin, 2013); Derek J. Thiess, </w:t>
      </w:r>
      <w:r w:rsidRPr="00B46706">
        <w:rPr>
          <w:rFonts w:ascii="Times New Roman" w:hAnsi="Times New Roman"/>
          <w:i/>
        </w:rPr>
        <w:t>Relativism, Alternate History, and the Forgetful Reader: Reading Science Fiction and Historiography</w:t>
      </w:r>
      <w:r w:rsidRPr="00B46706">
        <w:rPr>
          <w:rFonts w:ascii="Times New Roman" w:hAnsi="Times New Roman"/>
        </w:rPr>
        <w:t xml:space="preserve"> (Lanham MD, 2015).</w:t>
      </w:r>
    </w:p>
  </w:endnote>
  <w:endnote w:id="4">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Dorothee Birke, Michael Butter and Tilmann Köppe, ‘Introduction: England Win’, in </w:t>
      </w:r>
      <w:r w:rsidRPr="00B46706">
        <w:rPr>
          <w:rFonts w:ascii="Times New Roman" w:hAnsi="Times New Roman"/>
          <w:i/>
        </w:rPr>
        <w:t>Counterfactual Thinking, Counterfactual Writin</w:t>
      </w:r>
      <w:r w:rsidRPr="00B46706">
        <w:rPr>
          <w:rFonts w:ascii="Times New Roman" w:hAnsi="Times New Roman"/>
        </w:rPr>
        <w:t>g, ed. Birke, Butter and Köppe (Berlin, 2011), 1-11, 3.</w:t>
      </w:r>
    </w:p>
  </w:endnote>
  <w:endnote w:id="5">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Niall Ferguson, ‘Introduction: Virtual History: Towards a “chaotic”</w:t>
      </w:r>
      <w:r>
        <w:rPr>
          <w:rFonts w:ascii="Times New Roman" w:hAnsi="Times New Roman"/>
        </w:rPr>
        <w:t xml:space="preserve"> theory</w:t>
      </w:r>
      <w:r w:rsidRPr="00B46706">
        <w:rPr>
          <w:rFonts w:ascii="Times New Roman" w:hAnsi="Times New Roman"/>
        </w:rPr>
        <w:t xml:space="preserve"> of the past’, in </w:t>
      </w:r>
      <w:r w:rsidRPr="00B46706">
        <w:rPr>
          <w:rFonts w:ascii="Times New Roman" w:hAnsi="Times New Roman"/>
          <w:i/>
        </w:rPr>
        <w:t>Virtual History: Alternatives and Counterfactuals</w:t>
      </w:r>
      <w:r w:rsidRPr="00B46706">
        <w:rPr>
          <w:rFonts w:ascii="Times New Roman" w:hAnsi="Times New Roman"/>
        </w:rPr>
        <w:t>, ed. Ferguson (London, 1998), 1-90, 7-8.</w:t>
      </w:r>
    </w:p>
  </w:endnote>
  <w:endnote w:id="6">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Damian Walford Davies, Email correspondence with the author (2/9/16).</w:t>
      </w:r>
    </w:p>
  </w:endnote>
  <w:endnote w:id="7">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Geoffrey Winthrop-Young, ‘Fallacies and Thresholds: Notes on the Early Evolution of Alternate History’, </w:t>
      </w:r>
      <w:r w:rsidRPr="00B46706">
        <w:rPr>
          <w:rFonts w:ascii="Times New Roman" w:hAnsi="Times New Roman"/>
          <w:i/>
        </w:rPr>
        <w:t>Historical Social Research</w:t>
      </w:r>
      <w:r w:rsidRPr="00B46706">
        <w:rPr>
          <w:rFonts w:ascii="Times New Roman" w:hAnsi="Times New Roman"/>
        </w:rPr>
        <w:t>, 34.2 (2009), 99-117.</w:t>
      </w:r>
    </w:p>
  </w:endnote>
  <w:endnote w:id="8">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Catherine Gallagher, ‘What Would Napoleon Do? Historical, Fictional, and Counterfactual Characters’</w:t>
      </w:r>
      <w:r w:rsidRPr="00B46706">
        <w:rPr>
          <w:rFonts w:ascii="Times New Roman" w:hAnsi="Times New Roman"/>
          <w:i/>
        </w:rPr>
        <w:t>, New Literary History,</w:t>
      </w:r>
      <w:r w:rsidRPr="00B46706">
        <w:rPr>
          <w:rFonts w:ascii="Times New Roman" w:hAnsi="Times New Roman"/>
        </w:rPr>
        <w:t xml:space="preserve"> 42.2 (Spring 2011), 315-36, 330.</w:t>
      </w:r>
    </w:p>
  </w:endnote>
  <w:endnote w:id="9">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Richard J. Evans, </w:t>
      </w:r>
      <w:r w:rsidRPr="00B46706">
        <w:rPr>
          <w:rFonts w:ascii="Times New Roman" w:hAnsi="Times New Roman"/>
          <w:i/>
        </w:rPr>
        <w:t>Altered Pasts: Counterfactuals in History</w:t>
      </w:r>
      <w:r w:rsidRPr="00B46706">
        <w:rPr>
          <w:rFonts w:ascii="Times New Roman" w:hAnsi="Times New Roman"/>
        </w:rPr>
        <w:t xml:space="preserve"> (London, 2014), 20-1; Geoffrey Hawthorn, </w:t>
      </w:r>
      <w:r w:rsidRPr="00B46706">
        <w:rPr>
          <w:rFonts w:ascii="Times New Roman" w:hAnsi="Times New Roman"/>
          <w:i/>
        </w:rPr>
        <w:t>Plausible Worlds: Possibility and Understanding in the Social Sciences</w:t>
      </w:r>
      <w:r w:rsidRPr="00B46706">
        <w:rPr>
          <w:rFonts w:ascii="Times New Roman" w:hAnsi="Times New Roman"/>
        </w:rPr>
        <w:t xml:space="preserve"> (Cambridge, 1990), 165.</w:t>
      </w:r>
    </w:p>
  </w:endnote>
  <w:endnote w:id="10">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Diane Kunz, ‘Camelot Continued: What if John F. Kennedy had lived?’ in Ferguson (ed.), 368-91.</w:t>
      </w:r>
    </w:p>
  </w:endnote>
  <w:endnote w:id="11">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William Jewett, ‘Hawthorne’s Romanticism: From Canon to Corpus’, </w:t>
      </w:r>
      <w:r w:rsidRPr="00B46706">
        <w:rPr>
          <w:rFonts w:ascii="Times New Roman" w:hAnsi="Times New Roman"/>
          <w:i/>
        </w:rPr>
        <w:t>Modern Language Quarterly</w:t>
      </w:r>
      <w:r w:rsidRPr="00B46706">
        <w:rPr>
          <w:rFonts w:ascii="Times New Roman" w:hAnsi="Times New Roman"/>
        </w:rPr>
        <w:t xml:space="preserve">, 57.1 (1996), 51-72, 59. </w:t>
      </w:r>
    </w:p>
  </w:endnote>
  <w:endnote w:id="12">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Nathaniel Hawthorne, ‘P.’s Correspondence’, in </w:t>
      </w:r>
      <w:r w:rsidRPr="00B46706">
        <w:rPr>
          <w:rFonts w:ascii="Times New Roman" w:hAnsi="Times New Roman"/>
          <w:i/>
        </w:rPr>
        <w:t>Mosses from an Old Manse</w:t>
      </w:r>
      <w:r w:rsidRPr="00B46706">
        <w:rPr>
          <w:rFonts w:ascii="Times New Roman" w:hAnsi="Times New Roman"/>
        </w:rPr>
        <w:t xml:space="preserve"> (2 vols, London, 1846), ii: 113-32, 119.</w:t>
      </w:r>
    </w:p>
  </w:endnote>
  <w:endnote w:id="13">
    <w:p w:rsidR="00C35C02" w:rsidRDefault="00C35C02" w:rsidP="00C35C02">
      <w:pPr>
        <w:pStyle w:val="EndnoteText"/>
        <w:spacing w:line="480" w:lineRule="auto"/>
      </w:pPr>
      <w:r>
        <w:rPr>
          <w:rStyle w:val="EndnoteReference"/>
        </w:rPr>
        <w:endnoteRef/>
      </w:r>
      <w:r>
        <w:t xml:space="preserve"> F</w:t>
      </w:r>
      <w:r>
        <w:rPr>
          <w:rFonts w:ascii="Times New Roman" w:hAnsi="Times New Roman"/>
          <w:sz w:val="24"/>
          <w:szCs w:val="24"/>
        </w:rPr>
        <w:t xml:space="preserve">or a recent account both of the centrality of the fragment to Romantic culture and of the criticism it has inspired, see </w:t>
      </w:r>
      <w:r>
        <w:rPr>
          <w:rFonts w:ascii="Times New Roman" w:hAnsi="Times New Roman"/>
          <w:sz w:val="22"/>
          <w:szCs w:val="22"/>
        </w:rPr>
        <w:t xml:space="preserve">Michael Bradshaw, ‘Hedgehog Theory: How to Read a Romantic Poem’, </w:t>
      </w:r>
      <w:r w:rsidRPr="00153C82">
        <w:rPr>
          <w:rFonts w:ascii="Times New Roman" w:hAnsi="Times New Roman"/>
          <w:i/>
          <w:sz w:val="22"/>
          <w:szCs w:val="22"/>
        </w:rPr>
        <w:t>Literature Compass</w:t>
      </w:r>
      <w:r>
        <w:rPr>
          <w:rFonts w:ascii="Times New Roman" w:hAnsi="Times New Roman"/>
          <w:sz w:val="22"/>
          <w:szCs w:val="22"/>
        </w:rPr>
        <w:t>, 5.1 (2008), 73-89.</w:t>
      </w:r>
    </w:p>
  </w:endnote>
  <w:endnote w:id="14">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Walter Jon Williams, </w:t>
      </w:r>
      <w:r w:rsidRPr="00B46706">
        <w:rPr>
          <w:rFonts w:ascii="Times New Roman" w:hAnsi="Times New Roman"/>
          <w:i/>
        </w:rPr>
        <w:t>Wall Stone Craft</w:t>
      </w:r>
      <w:r w:rsidRPr="00B46706">
        <w:rPr>
          <w:rFonts w:ascii="Times New Roman" w:hAnsi="Times New Roman"/>
        </w:rPr>
        <w:t xml:space="preserve"> (Eugene OR, 1993).</w:t>
      </w:r>
    </w:p>
  </w:endnote>
  <w:endnote w:id="15">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Harold Nicolson, ‘If Byron Had Become King of Greece’, in </w:t>
      </w:r>
      <w:r w:rsidRPr="00B46706">
        <w:rPr>
          <w:rFonts w:ascii="Times New Roman" w:hAnsi="Times New Roman"/>
          <w:i/>
        </w:rPr>
        <w:t>If It Had Happened Otherwise</w:t>
      </w:r>
      <w:r w:rsidRPr="00B46706">
        <w:rPr>
          <w:rFonts w:ascii="Times New Roman" w:hAnsi="Times New Roman"/>
        </w:rPr>
        <w:t xml:space="preserve"> [1932], ed. J. C. Squire (London, 1972), 145-72, 145.</w:t>
      </w:r>
    </w:p>
  </w:endnote>
  <w:endnote w:id="16">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Stephen Minta, ‘Changing Faces: Byron’s Life and Work,’ </w:t>
      </w:r>
      <w:r w:rsidRPr="00B46706">
        <w:rPr>
          <w:rFonts w:ascii="Times New Roman" w:hAnsi="Times New Roman"/>
          <w:i/>
        </w:rPr>
        <w:t>Cambridge Quarterly</w:t>
      </w:r>
      <w:r w:rsidRPr="00B46706">
        <w:rPr>
          <w:rFonts w:ascii="Times New Roman" w:hAnsi="Times New Roman"/>
        </w:rPr>
        <w:t xml:space="preserve">, 32.4 (2003): 389-95, 389. </w:t>
      </w:r>
    </w:p>
  </w:endnote>
  <w:endnote w:id="17">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Paul Michael Privateer, </w:t>
      </w:r>
      <w:r w:rsidRPr="00B46706">
        <w:rPr>
          <w:rFonts w:ascii="Times New Roman" w:hAnsi="Times New Roman"/>
          <w:i/>
        </w:rPr>
        <w:t>Romantic Voices: Identity and Ideology in British Poetry: 1789-1850</w:t>
      </w:r>
      <w:r w:rsidRPr="00B46706">
        <w:rPr>
          <w:rFonts w:ascii="Times New Roman" w:hAnsi="Times New Roman"/>
        </w:rPr>
        <w:t xml:space="preserve"> (Athens, 1991), xii.</w:t>
      </w:r>
    </w:p>
  </w:endnote>
  <w:endnote w:id="18">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Eugene Stelzig, ‘Introduction: Romantic Autobiography in England: Exploring its Range and Variety,’ in </w:t>
      </w:r>
      <w:r w:rsidRPr="00B46706">
        <w:rPr>
          <w:rFonts w:ascii="Times New Roman" w:hAnsi="Times New Roman"/>
          <w:i/>
        </w:rPr>
        <w:t>Romantic Autobiography in England</w:t>
      </w:r>
      <w:r w:rsidRPr="00B46706">
        <w:rPr>
          <w:rFonts w:ascii="Times New Roman" w:hAnsi="Times New Roman"/>
        </w:rPr>
        <w:t>, ed. Eugene Stelzig (Aldershot, 2009), 1-12, 5.</w:t>
      </w:r>
    </w:p>
  </w:endnote>
  <w:endnote w:id="19">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Percy Bysshe Shelley, </w:t>
      </w:r>
      <w:r w:rsidRPr="00B46706">
        <w:rPr>
          <w:rFonts w:ascii="Times New Roman" w:hAnsi="Times New Roman"/>
          <w:i/>
        </w:rPr>
        <w:t>Prometheus Unbound</w:t>
      </w:r>
      <w:r w:rsidRPr="00B46706">
        <w:rPr>
          <w:rFonts w:ascii="Times New Roman" w:hAnsi="Times New Roman"/>
        </w:rPr>
        <w:t xml:space="preserve">, in </w:t>
      </w:r>
      <w:r w:rsidRPr="00B46706">
        <w:rPr>
          <w:rFonts w:ascii="Times New Roman" w:hAnsi="Times New Roman"/>
          <w:i/>
        </w:rPr>
        <w:t>Poetry and Prose</w:t>
      </w:r>
      <w:r w:rsidRPr="00B46706">
        <w:rPr>
          <w:rFonts w:ascii="Times New Roman" w:hAnsi="Times New Roman"/>
        </w:rPr>
        <w:t>, ed. Donald Reiman and Neil Fraistat (London, 2002), III.iii: 24-5.</w:t>
      </w:r>
    </w:p>
  </w:endnote>
  <w:endnote w:id="20">
    <w:p w:rsidR="00C35C02" w:rsidRPr="00B46706" w:rsidRDefault="00C35C02" w:rsidP="00C35C02">
      <w:pPr>
        <w:pStyle w:val="EndnoteText"/>
        <w:spacing w:before="100" w:beforeAutospacing="1" w:after="100" w:afterAutospacing="1" w:line="480" w:lineRule="auto"/>
        <w:contextualSpacing/>
        <w:jc w:val="both"/>
        <w:rPr>
          <w:rFonts w:ascii="Times New Roman" w:hAnsi="Times New Roman"/>
          <w:sz w:val="22"/>
          <w:szCs w:val="22"/>
        </w:rPr>
      </w:pPr>
      <w:r w:rsidRPr="00B46706">
        <w:rPr>
          <w:rStyle w:val="EndnoteReference"/>
          <w:rFonts w:ascii="Times New Roman" w:hAnsi="Times New Roman"/>
          <w:sz w:val="22"/>
          <w:szCs w:val="22"/>
        </w:rPr>
        <w:endnoteRef/>
      </w:r>
      <w:r w:rsidRPr="00B46706">
        <w:rPr>
          <w:rFonts w:ascii="Times New Roman" w:hAnsi="Times New Roman"/>
          <w:sz w:val="22"/>
          <w:szCs w:val="22"/>
        </w:rPr>
        <w:t xml:space="preserve"> William Wordsworth, ‘At the Grave of Burns, 1803’, in </w:t>
      </w:r>
      <w:r w:rsidRPr="00664E90">
        <w:rPr>
          <w:rFonts w:ascii="Times New Roman" w:hAnsi="Times New Roman"/>
          <w:i/>
          <w:sz w:val="22"/>
          <w:szCs w:val="22"/>
        </w:rPr>
        <w:t>Poetical Works</w:t>
      </w:r>
      <w:r w:rsidRPr="00B46706">
        <w:rPr>
          <w:rFonts w:ascii="Times New Roman" w:hAnsi="Times New Roman"/>
          <w:sz w:val="22"/>
          <w:szCs w:val="22"/>
        </w:rPr>
        <w:t>, ed. Thomas Hutchinson, rev. Ernest De Selincourt (Oxford, 1969), 7</w:t>
      </w:r>
      <w:r>
        <w:rPr>
          <w:rFonts w:ascii="Times New Roman" w:hAnsi="Times New Roman"/>
          <w:sz w:val="22"/>
          <w:szCs w:val="22"/>
        </w:rPr>
        <w:t>-</w:t>
      </w:r>
      <w:r w:rsidRPr="00B46706">
        <w:rPr>
          <w:rFonts w:ascii="Times New Roman" w:hAnsi="Times New Roman"/>
          <w:sz w:val="22"/>
          <w:szCs w:val="22"/>
        </w:rPr>
        <w:t>8.</w:t>
      </w:r>
    </w:p>
  </w:endnote>
  <w:endnote w:id="21">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Pr>
          <w:rFonts w:ascii="Times New Roman" w:hAnsi="Times New Roman"/>
        </w:rPr>
        <w:t>-</w:t>
      </w:r>
      <w:r w:rsidRPr="00B46706">
        <w:rPr>
          <w:rStyle w:val="EndnoteReference"/>
          <w:rFonts w:ascii="Times New Roman" w:hAnsi="Times New Roman"/>
        </w:rPr>
        <w:endnoteRef/>
      </w:r>
      <w:r w:rsidRPr="00B46706">
        <w:rPr>
          <w:rFonts w:ascii="Times New Roman" w:hAnsi="Times New Roman"/>
        </w:rPr>
        <w:t xml:space="preserve"> William Wordsworth, ‘A Letter to a Friend of Robert Burns’, in </w:t>
      </w:r>
      <w:r w:rsidRPr="00B46706">
        <w:rPr>
          <w:rFonts w:ascii="Times New Roman" w:hAnsi="Times New Roman"/>
          <w:i/>
        </w:rPr>
        <w:t>Selected Prose</w:t>
      </w:r>
      <w:r w:rsidRPr="00B46706">
        <w:rPr>
          <w:rFonts w:ascii="Times New Roman" w:hAnsi="Times New Roman"/>
        </w:rPr>
        <w:t>, ed. John O. Hayden (London, 1988), 414-30, 416.</w:t>
      </w:r>
    </w:p>
  </w:endnote>
  <w:endnote w:id="22">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Friedrich Schlegel, ‘Fragment 116’ [1797-8], in </w:t>
      </w:r>
      <w:r w:rsidRPr="00B46706">
        <w:rPr>
          <w:rFonts w:ascii="Times New Roman" w:hAnsi="Times New Roman"/>
          <w:i/>
        </w:rPr>
        <w:t>Lucinde and the Fragments</w:t>
      </w:r>
      <w:r w:rsidRPr="00B46706">
        <w:rPr>
          <w:rFonts w:ascii="Times New Roman" w:hAnsi="Times New Roman"/>
        </w:rPr>
        <w:t>, ed. Peter Firchow (London, 1971), 175.</w:t>
      </w:r>
    </w:p>
  </w:endnote>
  <w:endnote w:id="23">
    <w:p w:rsidR="00C35C02" w:rsidRPr="00664E90" w:rsidRDefault="00C35C02" w:rsidP="00C35C02">
      <w:pPr>
        <w:pStyle w:val="EndnoteText"/>
        <w:spacing w:line="480" w:lineRule="auto"/>
        <w:rPr>
          <w:rFonts w:ascii="Times New Roman" w:hAnsi="Times New Roman"/>
          <w:sz w:val="22"/>
          <w:szCs w:val="22"/>
        </w:rPr>
      </w:pPr>
      <w:r w:rsidRPr="00664E90">
        <w:rPr>
          <w:rStyle w:val="EndnoteReference"/>
          <w:rFonts w:ascii="Times New Roman" w:hAnsi="Times New Roman"/>
          <w:sz w:val="22"/>
          <w:szCs w:val="22"/>
        </w:rPr>
        <w:endnoteRef/>
      </w:r>
      <w:r w:rsidRPr="00664E90">
        <w:rPr>
          <w:rFonts w:ascii="Times New Roman" w:hAnsi="Times New Roman"/>
          <w:sz w:val="22"/>
          <w:szCs w:val="22"/>
        </w:rPr>
        <w:t xml:space="preserve"> Marjori</w:t>
      </w:r>
      <w:r>
        <w:rPr>
          <w:rFonts w:ascii="Times New Roman" w:hAnsi="Times New Roman"/>
          <w:sz w:val="22"/>
          <w:szCs w:val="22"/>
        </w:rPr>
        <w:t xml:space="preserve">e Levinson,  </w:t>
      </w:r>
      <w:r w:rsidRPr="00664E90">
        <w:rPr>
          <w:rFonts w:ascii="Times New Roman" w:hAnsi="Times New Roman"/>
          <w:i/>
          <w:sz w:val="22"/>
          <w:szCs w:val="22"/>
        </w:rPr>
        <w:t>The Romantic Fragment Poem: A Critique of a Form</w:t>
      </w:r>
      <w:r>
        <w:rPr>
          <w:rFonts w:ascii="Times New Roman" w:hAnsi="Times New Roman"/>
          <w:sz w:val="22"/>
          <w:szCs w:val="22"/>
        </w:rPr>
        <w:t xml:space="preserve"> (London, 1986), 209  </w:t>
      </w:r>
    </w:p>
  </w:endnote>
  <w:endnote w:id="24">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Hillary P. Dannenberg, </w:t>
      </w:r>
      <w:r w:rsidRPr="00B46706">
        <w:rPr>
          <w:rFonts w:ascii="Times New Roman" w:hAnsi="Times New Roman"/>
          <w:i/>
        </w:rPr>
        <w:t>Coincidence and Counterfactuality: Plotting Time and Space in Narrative Fiction</w:t>
      </w:r>
      <w:r w:rsidRPr="00B46706">
        <w:rPr>
          <w:rFonts w:ascii="Times New Roman" w:hAnsi="Times New Roman"/>
        </w:rPr>
        <w:t xml:space="preserve"> (London, 2008), chap. 50, 127.</w:t>
      </w:r>
    </w:p>
  </w:endnote>
  <w:endnote w:id="25">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Susanna Clarke, </w:t>
      </w:r>
      <w:r w:rsidRPr="00B46706">
        <w:rPr>
          <w:rFonts w:ascii="Times New Roman" w:hAnsi="Times New Roman"/>
          <w:i/>
        </w:rPr>
        <w:t>Jonathan Strange and Mr Norrell</w:t>
      </w:r>
      <w:r w:rsidRPr="00B46706">
        <w:rPr>
          <w:rFonts w:ascii="Times New Roman" w:hAnsi="Times New Roman"/>
        </w:rPr>
        <w:t xml:space="preserve"> (London, 2004), 554.</w:t>
      </w:r>
    </w:p>
  </w:endnote>
  <w:endnote w:id="26">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Tilottoma Rajan, ‘Introduction: Imagining History’, </w:t>
      </w:r>
      <w:r w:rsidRPr="00B46706">
        <w:rPr>
          <w:rFonts w:ascii="Times New Roman" w:hAnsi="Times New Roman"/>
          <w:i/>
        </w:rPr>
        <w:t>PMLA</w:t>
      </w:r>
      <w:r w:rsidRPr="00B46706">
        <w:rPr>
          <w:rFonts w:ascii="Times New Roman" w:hAnsi="Times New Roman"/>
        </w:rPr>
        <w:t>,</w:t>
      </w:r>
      <w:r w:rsidRPr="00B46706">
        <w:rPr>
          <w:rFonts w:ascii="Times New Roman" w:hAnsi="Times New Roman"/>
          <w:i/>
        </w:rPr>
        <w:t xml:space="preserve"> </w:t>
      </w:r>
      <w:r w:rsidRPr="00B46706">
        <w:rPr>
          <w:rFonts w:ascii="Times New Roman" w:hAnsi="Times New Roman"/>
        </w:rPr>
        <w:t xml:space="preserve">118.3 (May 2003), 427-35; Theresa M. Kelley, ‘Romantic Temporality, Contingency, and Mary Shelley’, </w:t>
      </w:r>
      <w:r w:rsidRPr="00B46706">
        <w:rPr>
          <w:rFonts w:ascii="Times New Roman" w:hAnsi="Times New Roman"/>
          <w:i/>
        </w:rPr>
        <w:t>ELH</w:t>
      </w:r>
      <w:r w:rsidRPr="00B46706">
        <w:rPr>
          <w:rFonts w:ascii="Times New Roman" w:hAnsi="Times New Roman"/>
        </w:rPr>
        <w:t xml:space="preserve">, 75.3 (2008), 625-52; Porsca Fermanis, ‘Countering the Counterfactual: Joanna Baillie’s </w:t>
      </w:r>
      <w:r w:rsidRPr="00B46706">
        <w:rPr>
          <w:rFonts w:ascii="Times New Roman" w:hAnsi="Times New Roman"/>
          <w:i/>
        </w:rPr>
        <w:t>Metrical Legends of Exalted Characters</w:t>
      </w:r>
      <w:r w:rsidRPr="00B46706">
        <w:rPr>
          <w:rFonts w:ascii="Times New Roman" w:hAnsi="Times New Roman"/>
        </w:rPr>
        <w:t xml:space="preserve"> (1821) and the Paratexts of History’, </w:t>
      </w:r>
      <w:r w:rsidRPr="00B46706">
        <w:rPr>
          <w:rFonts w:ascii="Times New Roman" w:hAnsi="Times New Roman"/>
          <w:i/>
        </w:rPr>
        <w:t>Women’s Writing</w:t>
      </w:r>
      <w:r w:rsidRPr="00B46706">
        <w:rPr>
          <w:rFonts w:ascii="Times New Roman" w:hAnsi="Times New Roman"/>
        </w:rPr>
        <w:t>, 19.3 (2012), 333-50.</w:t>
      </w:r>
    </w:p>
  </w:endnote>
  <w:endnote w:id="27">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William Gibson and Bruce Sterling, ‘John Keats in Half Moon Street’, in </w:t>
      </w:r>
      <w:r w:rsidRPr="00B46706">
        <w:rPr>
          <w:rFonts w:ascii="Times New Roman" w:hAnsi="Times New Roman"/>
          <w:i/>
        </w:rPr>
        <w:t>The Difference Engine</w:t>
      </w:r>
      <w:r w:rsidRPr="00B46706">
        <w:rPr>
          <w:rFonts w:ascii="Times New Roman" w:hAnsi="Times New Roman"/>
        </w:rPr>
        <w:t xml:space="preserve"> (London, 2003), 371-2, 371.</w:t>
      </w:r>
    </w:p>
  </w:endnote>
  <w:endnote w:id="28">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w:t>
      </w:r>
      <w:r w:rsidRPr="00B46706">
        <w:rPr>
          <w:rFonts w:ascii="Times New Roman" w:hAnsi="Times New Roman"/>
          <w:i/>
        </w:rPr>
        <w:t>Letters of John Keats 1814-1821</w:t>
      </w:r>
      <w:r w:rsidRPr="00B46706">
        <w:rPr>
          <w:rFonts w:ascii="Times New Roman" w:hAnsi="Times New Roman"/>
        </w:rPr>
        <w:t xml:space="preserve">, ed. Hyder Edward Rollins (2 vols, Cambridge MA, 1958), ii: 322-3, 323. </w:t>
      </w:r>
    </w:p>
  </w:endnote>
  <w:endnote w:id="29">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Shelley, ‘Defence of Poetry’, in </w:t>
      </w:r>
      <w:r w:rsidRPr="00B46706">
        <w:rPr>
          <w:rFonts w:ascii="Times New Roman" w:hAnsi="Times New Roman"/>
          <w:i/>
        </w:rPr>
        <w:t>Poetry and Prose</w:t>
      </w:r>
      <w:r w:rsidRPr="00B46706">
        <w:rPr>
          <w:rFonts w:ascii="Times New Roman" w:hAnsi="Times New Roman"/>
        </w:rPr>
        <w:t>, 509-35, 512.</w:t>
      </w:r>
    </w:p>
  </w:endnote>
  <w:endnote w:id="30">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Matt Hills, ‘Time, Possible Worlds and Counterfactuals,’ in </w:t>
      </w:r>
      <w:r w:rsidRPr="00B46706">
        <w:rPr>
          <w:rFonts w:ascii="Times New Roman" w:hAnsi="Times New Roman"/>
          <w:i/>
        </w:rPr>
        <w:t>The Routledge Companion to Science Fiction</w:t>
      </w:r>
      <w:r w:rsidRPr="00B46706">
        <w:rPr>
          <w:rFonts w:ascii="Times New Roman" w:hAnsi="Times New Roman"/>
        </w:rPr>
        <w:t>, ed. Mark Bould, Andrew M. Butler, Adam Roberts, and Sherryl Vint (London, 2009), 433-41, 435.</w:t>
      </w:r>
    </w:p>
  </w:endnote>
  <w:endnote w:id="31">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Paul Muldoon, ‘Protagoras’, in </w:t>
      </w:r>
      <w:r w:rsidRPr="00B46706">
        <w:rPr>
          <w:rFonts w:ascii="Times New Roman" w:hAnsi="Times New Roman"/>
          <w:i/>
        </w:rPr>
        <w:t>Madoc: a Mystery</w:t>
      </w:r>
      <w:r w:rsidRPr="00B46706">
        <w:rPr>
          <w:rFonts w:ascii="Times New Roman" w:hAnsi="Times New Roman"/>
        </w:rPr>
        <w:t xml:space="preserve"> (London, 1991), 26.</w:t>
      </w:r>
    </w:p>
  </w:endnote>
  <w:endnote w:id="32">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Michael R. Collings, </w:t>
      </w:r>
      <w:r w:rsidRPr="00B46706">
        <w:rPr>
          <w:rFonts w:ascii="Times New Roman" w:hAnsi="Times New Roman"/>
          <w:i/>
        </w:rPr>
        <w:t>In the Image of God: Theme, Characterization, and Landscape in the Fiction of Orson Scott Card</w:t>
      </w:r>
      <w:r w:rsidRPr="00B46706">
        <w:rPr>
          <w:rFonts w:ascii="Times New Roman" w:hAnsi="Times New Roman"/>
        </w:rPr>
        <w:t xml:space="preserve"> (Westport CT, 1990), 72, 126.</w:t>
      </w:r>
    </w:p>
  </w:endnote>
  <w:endnote w:id="33">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Orson Scott Card, </w:t>
      </w:r>
      <w:r w:rsidRPr="00B46706">
        <w:rPr>
          <w:rFonts w:ascii="Times New Roman" w:hAnsi="Times New Roman"/>
          <w:i/>
        </w:rPr>
        <w:t>Seventh Son</w:t>
      </w:r>
      <w:r w:rsidRPr="00B46706">
        <w:rPr>
          <w:rFonts w:ascii="Times New Roman" w:hAnsi="Times New Roman"/>
        </w:rPr>
        <w:t xml:space="preserve"> (London, 2001), chap.9, 91-2.</w:t>
      </w:r>
    </w:p>
  </w:endnote>
  <w:endnote w:id="34">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William Blake, </w:t>
      </w:r>
      <w:r w:rsidRPr="00B46706">
        <w:rPr>
          <w:rFonts w:ascii="Times New Roman" w:hAnsi="Times New Roman"/>
          <w:i/>
        </w:rPr>
        <w:t>America: A Prophecy</w:t>
      </w:r>
      <w:r w:rsidRPr="00B46706">
        <w:rPr>
          <w:rFonts w:ascii="Times New Roman" w:hAnsi="Times New Roman"/>
        </w:rPr>
        <w:t xml:space="preserve">, in </w:t>
      </w:r>
      <w:r w:rsidRPr="00B46706">
        <w:rPr>
          <w:rFonts w:ascii="Times New Roman" w:hAnsi="Times New Roman"/>
          <w:i/>
        </w:rPr>
        <w:t>Poetry and Designs</w:t>
      </w:r>
      <w:r w:rsidRPr="00B46706">
        <w:rPr>
          <w:rFonts w:ascii="Times New Roman" w:hAnsi="Times New Roman"/>
        </w:rPr>
        <w:t>, ed. Mary Lynn Johnson and John E. Grant (London, 2008), 85-95.</w:t>
      </w:r>
    </w:p>
  </w:endnote>
  <w:endnote w:id="35">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Ronald Schleifer, ‘Simile, Metaphor and Vision: Blake’s Narration of Prophecy in America,’ </w:t>
      </w:r>
      <w:r w:rsidRPr="00B46706">
        <w:rPr>
          <w:rFonts w:ascii="Times New Roman" w:hAnsi="Times New Roman"/>
          <w:i/>
        </w:rPr>
        <w:t>SEL</w:t>
      </w:r>
      <w:r w:rsidRPr="00B46706">
        <w:rPr>
          <w:rFonts w:ascii="Times New Roman" w:hAnsi="Times New Roman"/>
        </w:rPr>
        <w:t>, 19.4 (January 1979), 569-88, 75</w:t>
      </w:r>
    </w:p>
  </w:endnote>
  <w:endnote w:id="36">
    <w:p w:rsidR="00C35C02" w:rsidRPr="00B46706" w:rsidRDefault="00C35C02" w:rsidP="00C35C02">
      <w:pPr>
        <w:pStyle w:val="NoSpacing"/>
        <w:spacing w:before="100" w:beforeAutospacing="1" w:after="100" w:afterAutospacing="1" w:line="480" w:lineRule="auto"/>
        <w:contextualSpacing/>
        <w:jc w:val="both"/>
        <w:rPr>
          <w:rFonts w:ascii="Times New Roman" w:hAnsi="Times New Roman"/>
        </w:rPr>
      </w:pPr>
      <w:r w:rsidRPr="00B46706">
        <w:rPr>
          <w:rStyle w:val="EndnoteReference"/>
          <w:rFonts w:ascii="Times New Roman" w:hAnsi="Times New Roman"/>
        </w:rPr>
        <w:endnoteRef/>
      </w:r>
      <w:r w:rsidRPr="00B46706">
        <w:rPr>
          <w:rFonts w:ascii="Times New Roman" w:hAnsi="Times New Roman"/>
        </w:rPr>
        <w:t xml:space="preserve"> Samuel Taylor Coleridge, ‘Lay Sermons: I’, in </w:t>
      </w:r>
      <w:r w:rsidRPr="00B46706">
        <w:rPr>
          <w:rFonts w:ascii="Times New Roman" w:hAnsi="Times New Roman"/>
          <w:i/>
        </w:rPr>
        <w:t>Samuel Taylor Coleridge</w:t>
      </w:r>
      <w:r w:rsidRPr="00B46706">
        <w:rPr>
          <w:rFonts w:ascii="Times New Roman" w:hAnsi="Times New Roman"/>
        </w:rPr>
        <w:t>, ed. H. J. Jackson (Oxford, 1985), 660-2, 660.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442" w:rsidRDefault="00102442" w:rsidP="00C35C02">
      <w:pPr>
        <w:spacing w:after="0" w:line="240" w:lineRule="auto"/>
      </w:pPr>
      <w:r>
        <w:separator/>
      </w:r>
    </w:p>
  </w:footnote>
  <w:footnote w:type="continuationSeparator" w:id="0">
    <w:p w:rsidR="00102442" w:rsidRDefault="00102442" w:rsidP="00C35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B45" w:rsidRPr="00B46706" w:rsidRDefault="00FE0549">
    <w:pPr>
      <w:pStyle w:val="Header"/>
      <w:jc w:val="right"/>
      <w:rPr>
        <w:rFonts w:ascii="Times New Roman" w:hAnsi="Times New Roman"/>
      </w:rPr>
    </w:pPr>
    <w:r w:rsidRPr="00B46706">
      <w:rPr>
        <w:rFonts w:ascii="Times New Roman" w:hAnsi="Times New Roman"/>
      </w:rPr>
      <w:fldChar w:fldCharType="begin"/>
    </w:r>
    <w:r w:rsidRPr="00B46706">
      <w:rPr>
        <w:rFonts w:ascii="Times New Roman" w:hAnsi="Times New Roman"/>
      </w:rPr>
      <w:instrText xml:space="preserve"> PAGE   \* MERGEFORMAT </w:instrText>
    </w:r>
    <w:r w:rsidRPr="00B46706">
      <w:rPr>
        <w:rFonts w:ascii="Times New Roman" w:hAnsi="Times New Roman"/>
      </w:rPr>
      <w:fldChar w:fldCharType="separate"/>
    </w:r>
    <w:r w:rsidR="00AD796C">
      <w:rPr>
        <w:rFonts w:ascii="Times New Roman" w:hAnsi="Times New Roman"/>
        <w:noProof/>
      </w:rPr>
      <w:t>5</w:t>
    </w:r>
    <w:r w:rsidRPr="00B46706">
      <w:rPr>
        <w:rFonts w:ascii="Times New Roman" w:hAnsi="Times New Roman"/>
        <w:noProof/>
      </w:rPr>
      <w:fldChar w:fldCharType="end"/>
    </w:r>
  </w:p>
  <w:p w:rsidR="00464B45" w:rsidRDefault="00102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C02"/>
    <w:rsid w:val="00102442"/>
    <w:rsid w:val="007226AA"/>
    <w:rsid w:val="008721C1"/>
    <w:rsid w:val="00AD796C"/>
    <w:rsid w:val="00C35C02"/>
    <w:rsid w:val="00FE05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35C02"/>
    <w:pPr>
      <w:spacing w:line="240" w:lineRule="auto"/>
    </w:pPr>
    <w:rPr>
      <w:sz w:val="20"/>
      <w:szCs w:val="20"/>
    </w:rPr>
  </w:style>
  <w:style w:type="character" w:customStyle="1" w:styleId="CommentTextChar">
    <w:name w:val="Comment Text Char"/>
    <w:basedOn w:val="DefaultParagraphFont"/>
    <w:link w:val="CommentText"/>
    <w:uiPriority w:val="99"/>
    <w:semiHidden/>
    <w:rsid w:val="00C35C02"/>
    <w:rPr>
      <w:sz w:val="20"/>
      <w:szCs w:val="20"/>
    </w:rPr>
  </w:style>
  <w:style w:type="paragraph" w:styleId="EndnoteText">
    <w:name w:val="endnote text"/>
    <w:basedOn w:val="Normal"/>
    <w:link w:val="EndnoteTextChar"/>
    <w:uiPriority w:val="99"/>
    <w:semiHidden/>
    <w:unhideWhenUsed/>
    <w:rsid w:val="00C35C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5C02"/>
    <w:rPr>
      <w:sz w:val="20"/>
      <w:szCs w:val="20"/>
    </w:rPr>
  </w:style>
  <w:style w:type="paragraph" w:styleId="Header">
    <w:name w:val="header"/>
    <w:basedOn w:val="Normal"/>
    <w:link w:val="HeaderChar"/>
    <w:uiPriority w:val="99"/>
    <w:semiHidden/>
    <w:unhideWhenUsed/>
    <w:rsid w:val="00C35C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5C02"/>
  </w:style>
  <w:style w:type="paragraph" w:styleId="NoSpacing">
    <w:name w:val="No Spacing"/>
    <w:uiPriority w:val="1"/>
    <w:qFormat/>
    <w:rsid w:val="00C35C02"/>
    <w:pPr>
      <w:spacing w:after="0" w:line="240" w:lineRule="auto"/>
    </w:pPr>
    <w:rPr>
      <w:rFonts w:ascii="Calibri" w:eastAsia="Calibri" w:hAnsi="Calibri" w:cs="Times New Roman"/>
    </w:rPr>
  </w:style>
  <w:style w:type="character" w:styleId="EndnoteReference">
    <w:name w:val="endnote reference"/>
    <w:uiPriority w:val="99"/>
    <w:semiHidden/>
    <w:unhideWhenUsed/>
    <w:rsid w:val="00C35C02"/>
    <w:rPr>
      <w:vertAlign w:val="superscript"/>
    </w:rPr>
  </w:style>
  <w:style w:type="character" w:styleId="CommentReference">
    <w:name w:val="annotation reference"/>
    <w:uiPriority w:val="99"/>
    <w:semiHidden/>
    <w:unhideWhenUsed/>
    <w:rsid w:val="00C35C02"/>
    <w:rPr>
      <w:sz w:val="16"/>
      <w:szCs w:val="16"/>
    </w:rPr>
  </w:style>
  <w:style w:type="paragraph" w:styleId="BalloonText">
    <w:name w:val="Balloon Text"/>
    <w:basedOn w:val="Normal"/>
    <w:link w:val="BalloonTextChar"/>
    <w:uiPriority w:val="99"/>
    <w:semiHidden/>
    <w:unhideWhenUsed/>
    <w:rsid w:val="00C3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02"/>
    <w:rPr>
      <w:rFonts w:ascii="Tahoma" w:hAnsi="Tahoma" w:cs="Tahoma"/>
      <w:sz w:val="16"/>
      <w:szCs w:val="16"/>
    </w:rPr>
  </w:style>
  <w:style w:type="paragraph" w:styleId="Revision">
    <w:name w:val="Revision"/>
    <w:hidden/>
    <w:uiPriority w:val="99"/>
    <w:semiHidden/>
    <w:rsid w:val="00C35C0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35C02"/>
    <w:pPr>
      <w:spacing w:line="240" w:lineRule="auto"/>
    </w:pPr>
    <w:rPr>
      <w:sz w:val="20"/>
      <w:szCs w:val="20"/>
    </w:rPr>
  </w:style>
  <w:style w:type="character" w:customStyle="1" w:styleId="CommentTextChar">
    <w:name w:val="Comment Text Char"/>
    <w:basedOn w:val="DefaultParagraphFont"/>
    <w:link w:val="CommentText"/>
    <w:uiPriority w:val="99"/>
    <w:semiHidden/>
    <w:rsid w:val="00C35C02"/>
    <w:rPr>
      <w:sz w:val="20"/>
      <w:szCs w:val="20"/>
    </w:rPr>
  </w:style>
  <w:style w:type="paragraph" w:styleId="EndnoteText">
    <w:name w:val="endnote text"/>
    <w:basedOn w:val="Normal"/>
    <w:link w:val="EndnoteTextChar"/>
    <w:uiPriority w:val="99"/>
    <w:semiHidden/>
    <w:unhideWhenUsed/>
    <w:rsid w:val="00C35C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5C02"/>
    <w:rPr>
      <w:sz w:val="20"/>
      <w:szCs w:val="20"/>
    </w:rPr>
  </w:style>
  <w:style w:type="paragraph" w:styleId="Header">
    <w:name w:val="header"/>
    <w:basedOn w:val="Normal"/>
    <w:link w:val="HeaderChar"/>
    <w:uiPriority w:val="99"/>
    <w:semiHidden/>
    <w:unhideWhenUsed/>
    <w:rsid w:val="00C35C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35C02"/>
  </w:style>
  <w:style w:type="paragraph" w:styleId="NoSpacing">
    <w:name w:val="No Spacing"/>
    <w:uiPriority w:val="1"/>
    <w:qFormat/>
    <w:rsid w:val="00C35C02"/>
    <w:pPr>
      <w:spacing w:after="0" w:line="240" w:lineRule="auto"/>
    </w:pPr>
    <w:rPr>
      <w:rFonts w:ascii="Calibri" w:eastAsia="Calibri" w:hAnsi="Calibri" w:cs="Times New Roman"/>
    </w:rPr>
  </w:style>
  <w:style w:type="character" w:styleId="EndnoteReference">
    <w:name w:val="endnote reference"/>
    <w:uiPriority w:val="99"/>
    <w:semiHidden/>
    <w:unhideWhenUsed/>
    <w:rsid w:val="00C35C02"/>
    <w:rPr>
      <w:vertAlign w:val="superscript"/>
    </w:rPr>
  </w:style>
  <w:style w:type="character" w:styleId="CommentReference">
    <w:name w:val="annotation reference"/>
    <w:uiPriority w:val="99"/>
    <w:semiHidden/>
    <w:unhideWhenUsed/>
    <w:rsid w:val="00C35C02"/>
    <w:rPr>
      <w:sz w:val="16"/>
      <w:szCs w:val="16"/>
    </w:rPr>
  </w:style>
  <w:style w:type="paragraph" w:styleId="BalloonText">
    <w:name w:val="Balloon Text"/>
    <w:basedOn w:val="Normal"/>
    <w:link w:val="BalloonTextChar"/>
    <w:uiPriority w:val="99"/>
    <w:semiHidden/>
    <w:unhideWhenUsed/>
    <w:rsid w:val="00C35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5C02"/>
    <w:rPr>
      <w:rFonts w:ascii="Tahoma" w:hAnsi="Tahoma" w:cs="Tahoma"/>
      <w:sz w:val="16"/>
      <w:szCs w:val="16"/>
    </w:rPr>
  </w:style>
  <w:style w:type="paragraph" w:styleId="Revision">
    <w:name w:val="Revision"/>
    <w:hidden/>
    <w:uiPriority w:val="99"/>
    <w:semiHidden/>
    <w:rsid w:val="00C35C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23</Pages>
  <Words>6254</Words>
  <Characters>35651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broadhead</dc:creator>
  <cp:lastModifiedBy>alex broadhead</cp:lastModifiedBy>
  <cp:revision>2</cp:revision>
  <dcterms:created xsi:type="dcterms:W3CDTF">2017-06-22T08:54:00Z</dcterms:created>
  <dcterms:modified xsi:type="dcterms:W3CDTF">2017-06-22T08:57:00Z</dcterms:modified>
</cp:coreProperties>
</file>