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045" w:rsidRPr="00D07AE4" w:rsidRDefault="00DE4F46" w:rsidP="00BC0698">
      <w:pPr>
        <w:pStyle w:val="Articletitle"/>
      </w:pPr>
      <w:r w:rsidRPr="00D07AE4">
        <w:t>A Broadband Helical Saline Water Liquid Antenna for Wearable Systems</w:t>
      </w:r>
    </w:p>
    <w:p w:rsidR="00442B9C" w:rsidRPr="00D07AE4" w:rsidRDefault="00DE4F46" w:rsidP="009914A5">
      <w:pPr>
        <w:pStyle w:val="Authornames"/>
      </w:pPr>
      <w:r w:rsidRPr="00D07AE4">
        <w:t>Gaosheng Li, Yi Huang, Gui Gao, Cheng Yang, Zhonghao Lu, and Wei Liu</w:t>
      </w:r>
    </w:p>
    <w:p w:rsidR="00997B0F" w:rsidRPr="00D07AE4" w:rsidRDefault="00F30B4A" w:rsidP="00A2360E">
      <w:pPr>
        <w:pStyle w:val="Affiliation"/>
      </w:pPr>
      <w:r w:rsidRPr="00D07AE4">
        <w:t xml:space="preserve">Gaosheng Li, </w:t>
      </w:r>
      <w:r w:rsidR="00DE4F46" w:rsidRPr="00D07AE4">
        <w:t>Gui Gao</w:t>
      </w:r>
      <w:r w:rsidR="00427B11" w:rsidRPr="00D07AE4">
        <w:t xml:space="preserve">, </w:t>
      </w:r>
      <w:r w:rsidR="00DE4F46" w:rsidRPr="00D07AE4">
        <w:t xml:space="preserve">Cheng Yang, Zhonghao Lu and </w:t>
      </w:r>
      <w:r w:rsidR="00427B11" w:rsidRPr="00D07AE4">
        <w:t>Wei Liu</w:t>
      </w:r>
      <w:r w:rsidRPr="00D07AE4">
        <w:t xml:space="preserve"> are with the College of Electronic Science and Engineering, National University of Defense Technology, Changsha, 410073, China. (</w:t>
      </w:r>
      <w:hyperlink r:id="rId8" w:history="1">
        <w:r w:rsidRPr="00D07AE4">
          <w:rPr>
            <w:rStyle w:val="aa"/>
            <w:color w:val="auto"/>
          </w:rPr>
          <w:t>Gaosheng7070@vip.163.com</w:t>
        </w:r>
      </w:hyperlink>
      <w:r w:rsidRPr="00D07AE4">
        <w:t>)</w:t>
      </w:r>
    </w:p>
    <w:p w:rsidR="00F30B4A" w:rsidRPr="00D07AE4" w:rsidRDefault="00F30B4A" w:rsidP="00A2360E">
      <w:pPr>
        <w:pStyle w:val="Affiliation"/>
      </w:pPr>
      <w:r w:rsidRPr="00D07AE4">
        <w:t>Y</w:t>
      </w:r>
      <w:r w:rsidR="00DE4F46" w:rsidRPr="00D07AE4">
        <w:t>i Huang</w:t>
      </w:r>
      <w:r w:rsidRPr="00D07AE4">
        <w:t xml:space="preserve"> is with the </w:t>
      </w:r>
      <w:r w:rsidR="00DE4F46" w:rsidRPr="00D07AE4">
        <w:t>Department</w:t>
      </w:r>
      <w:r w:rsidR="003C7825" w:rsidRPr="00D07AE4">
        <w:t xml:space="preserve"> of </w:t>
      </w:r>
      <w:r w:rsidR="00DE4F46" w:rsidRPr="00D07AE4">
        <w:t>Electrical Engineering and Electronics,</w:t>
      </w:r>
      <w:r w:rsidRPr="00D07AE4">
        <w:t xml:space="preserve"> University</w:t>
      </w:r>
      <w:r w:rsidR="00DE4F46" w:rsidRPr="00D07AE4">
        <w:t xml:space="preserve"> of Liverpool</w:t>
      </w:r>
      <w:r w:rsidRPr="00D07AE4">
        <w:t xml:space="preserve">, </w:t>
      </w:r>
      <w:r w:rsidR="00DE4F46" w:rsidRPr="00D07AE4">
        <w:t>Liverpool</w:t>
      </w:r>
      <w:r w:rsidR="003C7825" w:rsidRPr="00D07AE4">
        <w:t xml:space="preserve">, </w:t>
      </w:r>
      <w:r w:rsidR="00DE4F46" w:rsidRPr="00D07AE4">
        <w:t>L69 3GJ</w:t>
      </w:r>
      <w:r w:rsidRPr="00D07AE4">
        <w:t xml:space="preserve">, </w:t>
      </w:r>
      <w:r w:rsidR="00DE4F46" w:rsidRPr="00D07AE4">
        <w:t>United Kingdom</w:t>
      </w:r>
      <w:r w:rsidRPr="00D07AE4">
        <w:t>.</w:t>
      </w:r>
      <w:r w:rsidR="00457720" w:rsidRPr="00D07AE4">
        <w:t xml:space="preserve"> Gaosheng Li is a visiting scholar with the University of Liverpool during 2016-2017.</w:t>
      </w:r>
    </w:p>
    <w:p w:rsidR="00DE4F46" w:rsidRPr="00D07AE4" w:rsidRDefault="00D6336A" w:rsidP="00DE4F46">
      <w:pPr>
        <w:pStyle w:val="Notesoncontributors"/>
        <w:jc w:val="both"/>
        <w:rPr>
          <w:sz w:val="24"/>
        </w:rPr>
      </w:pPr>
      <w:r w:rsidRPr="00D07AE4">
        <w:rPr>
          <w:b/>
          <w:sz w:val="24"/>
        </w:rPr>
        <w:t>Gaosheng Li</w:t>
      </w:r>
      <w:r w:rsidRPr="00D07AE4">
        <w:rPr>
          <w:sz w:val="24"/>
        </w:rPr>
        <w:t xml:space="preserve"> </w:t>
      </w:r>
      <w:r w:rsidR="00DE4F46" w:rsidRPr="00D07AE4">
        <w:rPr>
          <w:sz w:val="24"/>
        </w:rPr>
        <w:t>received his B.S. degree in electromagnetic field and microwave and his M.S. degree as well as his PH. D. in electronic science and technology from the National University of Defense Technology (NUDT), Changsha, China, in 2002, 2004 and 2013, respectively.</w:t>
      </w:r>
    </w:p>
    <w:p w:rsidR="00DE4F46" w:rsidRPr="00D07AE4" w:rsidRDefault="00DE4F46" w:rsidP="00DE4F46">
      <w:pPr>
        <w:pStyle w:val="Notesoncontributors"/>
        <w:jc w:val="both"/>
        <w:rPr>
          <w:sz w:val="24"/>
        </w:rPr>
      </w:pPr>
      <w:r w:rsidRPr="00D07AE4">
        <w:rPr>
          <w:sz w:val="24"/>
        </w:rPr>
        <w:t>He has been with NUDT as a Teaching Assistant from 2004 to 2006, and a Lecturer from 2006 to 2011, and then as an Associate Professor since 2011. From 2014 to 2016, he was with Nanjing University of Aeronautics and Astronautics (NUAA) and Wuxi Huace Electronic Systems Co., Ltd., China as a Postdoctoral Research Fellow. From 2016 to 2017, he is a Visiting Scholar with the University of Liverpool (UoL), United Kingdom, sponsored by China Scholarship Council (CSC).</w:t>
      </w:r>
    </w:p>
    <w:p w:rsidR="006B1BA0" w:rsidRPr="00D07AE4" w:rsidRDefault="00DE4F46" w:rsidP="00DE4F46">
      <w:pPr>
        <w:pStyle w:val="Notesoncontributors"/>
        <w:jc w:val="both"/>
        <w:rPr>
          <w:sz w:val="24"/>
        </w:rPr>
      </w:pPr>
      <w:r w:rsidRPr="00D07AE4">
        <w:rPr>
          <w:sz w:val="24"/>
        </w:rPr>
        <w:t>Dr. Li is the author or co</w:t>
      </w:r>
      <w:r w:rsidR="009430B5" w:rsidRPr="00D07AE4">
        <w:rPr>
          <w:sz w:val="24"/>
        </w:rPr>
        <w:t>-</w:t>
      </w:r>
      <w:r w:rsidRPr="00D07AE4">
        <w:rPr>
          <w:sz w:val="24"/>
        </w:rPr>
        <w:t xml:space="preserve">author of </w:t>
      </w:r>
      <w:r w:rsidR="00457720" w:rsidRPr="00D07AE4">
        <w:rPr>
          <w:sz w:val="24"/>
        </w:rPr>
        <w:t xml:space="preserve">6 </w:t>
      </w:r>
      <w:r w:rsidRPr="00D07AE4">
        <w:rPr>
          <w:sz w:val="24"/>
        </w:rPr>
        <w:t xml:space="preserve">books and </w:t>
      </w:r>
      <w:r w:rsidR="008E421B" w:rsidRPr="00D07AE4">
        <w:rPr>
          <w:sz w:val="24"/>
        </w:rPr>
        <w:t xml:space="preserve">91 </w:t>
      </w:r>
      <w:r w:rsidRPr="00D07AE4">
        <w:rPr>
          <w:sz w:val="24"/>
        </w:rPr>
        <w:t xml:space="preserve">papers published in journals and conference proceedings. He owns </w:t>
      </w:r>
      <w:r w:rsidR="008E421B" w:rsidRPr="00D07AE4">
        <w:rPr>
          <w:sz w:val="24"/>
        </w:rPr>
        <w:t xml:space="preserve">16 </w:t>
      </w:r>
      <w:r w:rsidRPr="00D07AE4">
        <w:rPr>
          <w:sz w:val="24"/>
        </w:rPr>
        <w:t xml:space="preserve">Chinese patents and </w:t>
      </w:r>
      <w:r w:rsidR="008E421B" w:rsidRPr="00D07AE4">
        <w:rPr>
          <w:sz w:val="24"/>
        </w:rPr>
        <w:t xml:space="preserve">6 </w:t>
      </w:r>
      <w:r w:rsidRPr="00D07AE4">
        <w:rPr>
          <w:sz w:val="24"/>
        </w:rPr>
        <w:t xml:space="preserve">software copyrights. He won 2 national scientific prizes in 2007 and 2013, respectively. He is a Member (2008) of the IEEE AP Society and EMC Society, a Member (2016) of IET, and a Member (2011) of the Institute of Electronics, </w:t>
      </w:r>
      <w:bookmarkStart w:id="0" w:name="_GoBack"/>
      <w:bookmarkEnd w:id="0"/>
      <w:r w:rsidRPr="00D07AE4">
        <w:rPr>
          <w:sz w:val="24"/>
        </w:rPr>
        <w:t>Information and Communication Engineers (IEICE), as well as a Senior Member (M’2008, SM’2014) of the Chinese Institute of Electronics (CIE).</w:t>
      </w:r>
    </w:p>
    <w:p w:rsidR="006C2954" w:rsidRPr="00D07AE4" w:rsidRDefault="006C2954" w:rsidP="00D6336A">
      <w:pPr>
        <w:pStyle w:val="Notesoncontributors"/>
        <w:jc w:val="both"/>
        <w:rPr>
          <w:sz w:val="24"/>
        </w:rPr>
      </w:pPr>
      <w:r w:rsidRPr="00D07AE4">
        <w:rPr>
          <w:sz w:val="24"/>
        </w:rPr>
        <w:t>ORCID ID: orcid.org/0000-0001-5230-1428</w:t>
      </w:r>
    </w:p>
    <w:p w:rsidR="006C2954" w:rsidRPr="00D07AE4" w:rsidRDefault="006C2954" w:rsidP="00C255F8">
      <w:pPr>
        <w:pStyle w:val="Notesoncontributors"/>
        <w:jc w:val="both"/>
        <w:rPr>
          <w:sz w:val="24"/>
        </w:rPr>
      </w:pPr>
      <w:r w:rsidRPr="00D07AE4">
        <w:t xml:space="preserve">Total number of words: </w:t>
      </w:r>
      <w:r w:rsidR="00AE74C9" w:rsidRPr="00D07AE4">
        <w:t>40</w:t>
      </w:r>
      <w:r w:rsidR="00E65E2C">
        <w:t>27</w:t>
      </w:r>
    </w:p>
    <w:p w:rsidR="00C246C5" w:rsidRPr="00D07AE4" w:rsidRDefault="00C14585" w:rsidP="009B24B5">
      <w:pPr>
        <w:pStyle w:val="Articletitle"/>
      </w:pPr>
      <w:r w:rsidRPr="00D07AE4">
        <w:br w:type="page"/>
      </w:r>
      <w:r w:rsidR="00DE4F46" w:rsidRPr="00D07AE4">
        <w:lastRenderedPageBreak/>
        <w:t>A Broadband Helical Saline Water Liquid Antenna for Wearable Systems</w:t>
      </w:r>
    </w:p>
    <w:p w:rsidR="00266354" w:rsidRPr="00D07AE4" w:rsidRDefault="00E65E2C" w:rsidP="00856850">
      <w:pPr>
        <w:pStyle w:val="Abstract"/>
        <w:jc w:val="both"/>
      </w:pPr>
      <w:r w:rsidRPr="00E65E2C">
        <w:t>A broadband helical liquid antenna made of saline water is proposed. A transparent hollow support is employed to fabricate the antenna. The rotation structure is fabricated with a thin flexible tube. The saline water with a concentration of 3.5% can be injected into or be extracted out from the tube to change the quantity of the solution. Thus, the tunability of the radiation pattern could be realized by applying the fluidity of the liquid. The radiation feature of the liquid antenna is compared with that of a metal one, and fairly good agreement has been achieved. Furthermore, three statements of the radiation performance corresponding to the ratio of the diameter to the wavelength of the helical saline water antenna have been proposed. It has been found that the resonance frequency increases when the length of the feeding probe or the radius of the vertical part of the liquid decreases. The fractional bandwidth can reach over 20% with a total height of 185 mm at 1.80 GHz. The measured results indicate reasonable approximation to the simulated. The characteristics of the liquid antenna make it a good candidate for various wireless applications especially the wearable systems.</w:t>
      </w:r>
    </w:p>
    <w:p w:rsidR="002B1B1A" w:rsidRPr="00D07AE4" w:rsidRDefault="00997B0F" w:rsidP="005F1C52">
      <w:pPr>
        <w:pStyle w:val="Keywords"/>
      </w:pPr>
      <w:r w:rsidRPr="00D07AE4">
        <w:t xml:space="preserve">Keywords: </w:t>
      </w:r>
      <w:r w:rsidR="00110772" w:rsidRPr="00D07AE4">
        <w:rPr>
          <w:noProof/>
        </w:rPr>
        <w:t>Helical</w:t>
      </w:r>
      <w:r w:rsidR="00110772" w:rsidRPr="00D07AE4">
        <w:t xml:space="preserve"> antenna</w:t>
      </w:r>
      <w:r w:rsidR="00D07AE4" w:rsidRPr="00D07AE4">
        <w:t>,</w:t>
      </w:r>
      <w:r w:rsidR="00110772" w:rsidRPr="00D07AE4">
        <w:t xml:space="preserve"> liquid </w:t>
      </w:r>
      <w:r w:rsidR="00DE4F46" w:rsidRPr="00D07AE4">
        <w:t>antenna</w:t>
      </w:r>
      <w:r w:rsidR="00D07AE4" w:rsidRPr="00D07AE4">
        <w:t>,</w:t>
      </w:r>
      <w:r w:rsidR="00DE4F46" w:rsidRPr="00D07AE4">
        <w:t xml:space="preserve"> tunable antenna</w:t>
      </w:r>
      <w:r w:rsidR="00D07AE4" w:rsidRPr="00D07AE4">
        <w:t>,</w:t>
      </w:r>
      <w:r w:rsidR="00DE4F46" w:rsidRPr="00D07AE4">
        <w:t xml:space="preserve"> water antenna.</w:t>
      </w:r>
    </w:p>
    <w:p w:rsidR="00997B0F" w:rsidRPr="00D07AE4" w:rsidRDefault="00EC74B5" w:rsidP="00106DAF">
      <w:pPr>
        <w:pStyle w:val="1"/>
      </w:pPr>
      <w:r w:rsidRPr="00D07AE4">
        <w:t>1</w:t>
      </w:r>
      <w:r w:rsidR="0092202F" w:rsidRPr="00D07AE4">
        <w:t xml:space="preserve">. </w:t>
      </w:r>
      <w:r w:rsidRPr="00D07AE4">
        <w:t>Introduction</w:t>
      </w:r>
    </w:p>
    <w:p w:rsidR="00BC66F2" w:rsidRPr="00D07AE4" w:rsidRDefault="00BC66F2" w:rsidP="00BC66F2">
      <w:pPr>
        <w:pStyle w:val="Paragraph"/>
        <w:jc w:val="both"/>
        <w:rPr>
          <w:sz w:val="22"/>
          <w:szCs w:val="22"/>
        </w:rPr>
      </w:pPr>
      <w:r w:rsidRPr="00D07AE4">
        <w:rPr>
          <w:sz w:val="22"/>
          <w:szCs w:val="22"/>
        </w:rPr>
        <w:t>Liquid antennas, especially the non-metal liquid antennas, have drawn more and more attentions in recent years due to the potential in reconfigurability and the virtue of flexibility, transparency, together with the low price, etc.</w:t>
      </w:r>
    </w:p>
    <w:p w:rsidR="00BC66F2" w:rsidRPr="00D07AE4" w:rsidRDefault="00BC66F2" w:rsidP="00BC66F2">
      <w:pPr>
        <w:pStyle w:val="Paragraph"/>
        <w:jc w:val="both"/>
        <w:rPr>
          <w:sz w:val="22"/>
          <w:szCs w:val="22"/>
        </w:rPr>
      </w:pPr>
      <w:r w:rsidRPr="00D07AE4">
        <w:rPr>
          <w:sz w:val="22"/>
          <w:szCs w:val="22"/>
        </w:rPr>
        <w:t xml:space="preserve">Several kinds of non-metal liquid antennas have been proposed or demonstrated. The first </w:t>
      </w:r>
      <w:r w:rsidR="00183700" w:rsidRPr="00D07AE4">
        <w:rPr>
          <w:sz w:val="22"/>
          <w:szCs w:val="22"/>
        </w:rPr>
        <w:t xml:space="preserve">type </w:t>
      </w:r>
      <w:r w:rsidRPr="00D07AE4">
        <w:rPr>
          <w:sz w:val="22"/>
          <w:szCs w:val="22"/>
        </w:rPr>
        <w:t>is to use sea water, saline water or distilled water to build the radiation structure</w:t>
      </w:r>
      <w:r w:rsidR="00183700" w:rsidRPr="00D07AE4">
        <w:rPr>
          <w:sz w:val="22"/>
          <w:szCs w:val="22"/>
        </w:rPr>
        <w:t xml:space="preserve">. For </w:t>
      </w:r>
      <w:r w:rsidRPr="00D07AE4">
        <w:rPr>
          <w:sz w:val="22"/>
          <w:szCs w:val="22"/>
        </w:rPr>
        <w:t>instance, to form a monopole or a dielectric resonator antenna. The second idea is to substitute some part of the conventional antenna to make a new one. The water patch microstrip antenna is one of the examples.</w:t>
      </w:r>
    </w:p>
    <w:p w:rsidR="00BC66F2" w:rsidRPr="00D07AE4" w:rsidRDefault="00BC66F2" w:rsidP="00BC66F2">
      <w:pPr>
        <w:pStyle w:val="Paragraph"/>
        <w:jc w:val="both"/>
        <w:rPr>
          <w:sz w:val="22"/>
          <w:szCs w:val="22"/>
        </w:rPr>
      </w:pPr>
      <w:r w:rsidRPr="00D07AE4">
        <w:rPr>
          <w:rFonts w:hint="eastAsia"/>
          <w:sz w:val="22"/>
          <w:szCs w:val="22"/>
        </w:rPr>
        <w:t>A wideband</w:t>
      </w:r>
      <w:r w:rsidRPr="00D07AE4">
        <w:rPr>
          <w:sz w:val="22"/>
          <w:szCs w:val="22"/>
        </w:rPr>
        <w:t xml:space="preserve"> </w:t>
      </w:r>
      <w:r w:rsidRPr="00D07AE4">
        <w:rPr>
          <w:rFonts w:hint="eastAsia"/>
          <w:sz w:val="22"/>
          <w:szCs w:val="22"/>
        </w:rPr>
        <w:t>hybrid</w:t>
      </w:r>
      <w:r w:rsidRPr="00D07AE4">
        <w:rPr>
          <w:sz w:val="22"/>
          <w:szCs w:val="22"/>
        </w:rPr>
        <w:t xml:space="preserve"> </w:t>
      </w:r>
      <w:r w:rsidRPr="00D07AE4">
        <w:rPr>
          <w:rFonts w:hint="eastAsia"/>
          <w:sz w:val="22"/>
          <w:szCs w:val="22"/>
        </w:rPr>
        <w:t>rectangular water</w:t>
      </w:r>
      <w:r w:rsidRPr="00D07AE4">
        <w:rPr>
          <w:sz w:val="22"/>
          <w:szCs w:val="22"/>
        </w:rPr>
        <w:t xml:space="preserve"> </w:t>
      </w:r>
      <w:r w:rsidRPr="00D07AE4">
        <w:rPr>
          <w:rFonts w:hint="eastAsia"/>
          <w:sz w:val="22"/>
          <w:szCs w:val="22"/>
        </w:rPr>
        <w:t>antenna</w:t>
      </w:r>
      <w:r w:rsidRPr="00D07AE4">
        <w:rPr>
          <w:sz w:val="22"/>
          <w:szCs w:val="22"/>
        </w:rPr>
        <w:t xml:space="preserve"> </w:t>
      </w:r>
      <w:r w:rsidRPr="00D07AE4">
        <w:rPr>
          <w:rFonts w:hint="eastAsia"/>
          <w:sz w:val="22"/>
          <w:szCs w:val="22"/>
        </w:rPr>
        <w:t>for</w:t>
      </w:r>
      <w:r w:rsidRPr="00D07AE4">
        <w:rPr>
          <w:sz w:val="22"/>
          <w:szCs w:val="22"/>
        </w:rPr>
        <w:t xml:space="preserve"> DVB-H</w:t>
      </w:r>
      <w:r w:rsidRPr="00D07AE4">
        <w:rPr>
          <w:rFonts w:hint="eastAsia"/>
          <w:sz w:val="22"/>
          <w:szCs w:val="22"/>
        </w:rPr>
        <w:t xml:space="preserve"> </w:t>
      </w:r>
      <w:r w:rsidRPr="00D07AE4">
        <w:rPr>
          <w:sz w:val="22"/>
          <w:szCs w:val="22"/>
        </w:rPr>
        <w:t>(Digital Video Broadcasting - Handheld)</w:t>
      </w:r>
      <w:r w:rsidRPr="00D07AE4">
        <w:rPr>
          <w:rFonts w:hint="eastAsia"/>
          <w:sz w:val="22"/>
          <w:szCs w:val="22"/>
        </w:rPr>
        <w:t xml:space="preserve"> applications was developed. </w:t>
      </w:r>
      <w:r w:rsidRPr="00D07AE4">
        <w:rPr>
          <w:sz w:val="22"/>
          <w:szCs w:val="22"/>
        </w:rPr>
        <w:t>The hybrid structure combine</w:t>
      </w:r>
      <w:r w:rsidRPr="00D07AE4">
        <w:rPr>
          <w:rFonts w:hint="eastAsia"/>
          <w:sz w:val="22"/>
          <w:szCs w:val="22"/>
        </w:rPr>
        <w:t>d</w:t>
      </w:r>
      <w:r w:rsidRPr="00D07AE4">
        <w:rPr>
          <w:sz w:val="22"/>
          <w:szCs w:val="22"/>
        </w:rPr>
        <w:t xml:space="preserve"> a dielectric resonator</w:t>
      </w:r>
      <w:r w:rsidRPr="00D07AE4">
        <w:rPr>
          <w:rFonts w:hint="eastAsia"/>
          <w:sz w:val="22"/>
          <w:szCs w:val="22"/>
        </w:rPr>
        <w:t xml:space="preserve"> </w:t>
      </w:r>
      <w:r w:rsidRPr="00D07AE4">
        <w:rPr>
          <w:sz w:val="22"/>
          <w:szCs w:val="22"/>
        </w:rPr>
        <w:lastRenderedPageBreak/>
        <w:t>antenna and a monopole antenna to effectively double the available</w:t>
      </w:r>
      <w:r w:rsidRPr="00D07AE4">
        <w:rPr>
          <w:rFonts w:hint="eastAsia"/>
          <w:sz w:val="22"/>
          <w:szCs w:val="22"/>
        </w:rPr>
        <w:t xml:space="preserve"> </w:t>
      </w:r>
      <w:r w:rsidRPr="00D07AE4">
        <w:rPr>
          <w:sz w:val="22"/>
          <w:szCs w:val="22"/>
        </w:rPr>
        <w:t>bandwidth without compromising other characteristics</w:t>
      </w:r>
      <w:r w:rsidRPr="00D07AE4">
        <w:rPr>
          <w:rFonts w:hint="eastAsia"/>
          <w:sz w:val="22"/>
          <w:szCs w:val="22"/>
        </w:rPr>
        <w:t xml:space="preserve"> [1]</w:t>
      </w:r>
      <w:r w:rsidRPr="00D07AE4">
        <w:rPr>
          <w:sz w:val="22"/>
          <w:szCs w:val="22"/>
        </w:rPr>
        <w:t>. A transparent water dielectric patch antenna</w:t>
      </w:r>
      <w:r w:rsidRPr="00D07AE4">
        <w:rPr>
          <w:rFonts w:hint="eastAsia"/>
          <w:sz w:val="22"/>
          <w:szCs w:val="22"/>
        </w:rPr>
        <w:t xml:space="preserve"> </w:t>
      </w:r>
      <w:r w:rsidRPr="00D07AE4">
        <w:rPr>
          <w:sz w:val="22"/>
          <w:szCs w:val="22"/>
        </w:rPr>
        <w:t xml:space="preserve">fed by an L-shaped probe </w:t>
      </w:r>
      <w:r w:rsidRPr="00D07AE4">
        <w:rPr>
          <w:rFonts w:hint="eastAsia"/>
          <w:sz w:val="22"/>
          <w:szCs w:val="22"/>
        </w:rPr>
        <w:t>wa</w:t>
      </w:r>
      <w:r w:rsidRPr="00D07AE4">
        <w:rPr>
          <w:sz w:val="22"/>
          <w:szCs w:val="22"/>
        </w:rPr>
        <w:t xml:space="preserve">s proposed. In contrast to </w:t>
      </w:r>
      <w:r w:rsidR="00183700" w:rsidRPr="00D07AE4">
        <w:rPr>
          <w:sz w:val="22"/>
          <w:szCs w:val="22"/>
        </w:rPr>
        <w:t xml:space="preserve">other </w:t>
      </w:r>
      <w:r w:rsidRPr="00D07AE4">
        <w:rPr>
          <w:sz w:val="22"/>
          <w:szCs w:val="22"/>
        </w:rPr>
        <w:t>reported</w:t>
      </w:r>
      <w:r w:rsidRPr="00D07AE4">
        <w:rPr>
          <w:rFonts w:hint="eastAsia"/>
          <w:sz w:val="22"/>
          <w:szCs w:val="22"/>
        </w:rPr>
        <w:t xml:space="preserve"> </w:t>
      </w:r>
      <w:r w:rsidRPr="00D07AE4">
        <w:rPr>
          <w:sz w:val="22"/>
          <w:szCs w:val="22"/>
        </w:rPr>
        <w:t>water antennas, the proposed design ha</w:t>
      </w:r>
      <w:r w:rsidRPr="00D07AE4">
        <w:rPr>
          <w:rFonts w:hint="eastAsia"/>
          <w:sz w:val="22"/>
          <w:szCs w:val="22"/>
        </w:rPr>
        <w:t>d</w:t>
      </w:r>
      <w:r w:rsidRPr="00D07AE4">
        <w:rPr>
          <w:sz w:val="22"/>
          <w:szCs w:val="22"/>
        </w:rPr>
        <w:t xml:space="preserve"> the operation</w:t>
      </w:r>
      <w:r w:rsidRPr="00D07AE4">
        <w:rPr>
          <w:rFonts w:hint="eastAsia"/>
          <w:sz w:val="22"/>
          <w:szCs w:val="22"/>
        </w:rPr>
        <w:t xml:space="preserve"> </w:t>
      </w:r>
      <w:r w:rsidRPr="00D07AE4">
        <w:rPr>
          <w:sz w:val="22"/>
          <w:szCs w:val="22"/>
        </w:rPr>
        <w:t>mechanism similar to the conventional metallic patch antenna</w:t>
      </w:r>
      <w:r w:rsidRPr="00D07AE4">
        <w:rPr>
          <w:rFonts w:hint="eastAsia"/>
          <w:sz w:val="22"/>
          <w:szCs w:val="22"/>
        </w:rPr>
        <w:t xml:space="preserve"> [</w:t>
      </w:r>
      <w:r w:rsidRPr="00D07AE4">
        <w:rPr>
          <w:sz w:val="22"/>
          <w:szCs w:val="22"/>
        </w:rPr>
        <w:t>2</w:t>
      </w:r>
      <w:r w:rsidRPr="00D07AE4">
        <w:rPr>
          <w:rFonts w:hint="eastAsia"/>
          <w:sz w:val="22"/>
          <w:szCs w:val="22"/>
        </w:rPr>
        <w:t>]</w:t>
      </w:r>
      <w:r w:rsidRPr="00D07AE4">
        <w:rPr>
          <w:sz w:val="22"/>
          <w:szCs w:val="22"/>
        </w:rPr>
        <w:t xml:space="preserve">. A mechanically reconfigurable frequency-tunable microstrip antenna that uses a liquid actuator as the dielectric layer to reduce the size is reported [3]. The dielectric liquid is encapsulated in the polymer to form an actuator, which can change the liquid thickness. Thus, the resonant frequency of the fabricated antenna can be changed. A sea water monopole antenna consists of a feeding probe and a sea-water cylinder held by a clear acrylic tube for maritime wireless communications was presented to demonstrate the feasibility of liquid antenna [4]. Measurement shows that the proposed sea-water antenna has high radiation performance. A Compact </w:t>
      </w:r>
      <w:r w:rsidRPr="00D07AE4">
        <w:rPr>
          <w:rFonts w:hint="eastAsia"/>
          <w:sz w:val="22"/>
          <w:szCs w:val="22"/>
        </w:rPr>
        <w:t>d</w:t>
      </w:r>
      <w:r w:rsidRPr="00D07AE4">
        <w:rPr>
          <w:sz w:val="22"/>
          <w:szCs w:val="22"/>
        </w:rPr>
        <w:t xml:space="preserve">ual-feed </w:t>
      </w:r>
      <w:r w:rsidRPr="00D07AE4">
        <w:rPr>
          <w:rFonts w:hint="eastAsia"/>
          <w:sz w:val="22"/>
          <w:szCs w:val="22"/>
        </w:rPr>
        <w:t>w</w:t>
      </w:r>
      <w:r w:rsidRPr="00D07AE4">
        <w:rPr>
          <w:sz w:val="22"/>
          <w:szCs w:val="22"/>
        </w:rPr>
        <w:t xml:space="preserve">ater-based </w:t>
      </w:r>
      <w:r w:rsidRPr="00D07AE4">
        <w:rPr>
          <w:rFonts w:hint="eastAsia"/>
          <w:sz w:val="22"/>
          <w:szCs w:val="22"/>
        </w:rPr>
        <w:t>a</w:t>
      </w:r>
      <w:r w:rsidRPr="00D07AE4">
        <w:rPr>
          <w:sz w:val="22"/>
          <w:szCs w:val="22"/>
        </w:rPr>
        <w:t>ntenna</w:t>
      </w:r>
      <w:r w:rsidRPr="00D07AE4">
        <w:rPr>
          <w:rFonts w:hint="eastAsia"/>
          <w:sz w:val="22"/>
          <w:szCs w:val="22"/>
        </w:rPr>
        <w:t xml:space="preserve"> for hand portable systems was developed, and a </w:t>
      </w:r>
      <w:r w:rsidRPr="00D07AE4">
        <w:rPr>
          <w:sz w:val="22"/>
          <w:szCs w:val="22"/>
        </w:rPr>
        <w:t xml:space="preserve">ground defect structure </w:t>
      </w:r>
      <w:r w:rsidRPr="00D07AE4">
        <w:rPr>
          <w:rFonts w:hint="eastAsia"/>
          <w:sz w:val="22"/>
          <w:szCs w:val="22"/>
        </w:rPr>
        <w:t>wa</w:t>
      </w:r>
      <w:r w:rsidRPr="00D07AE4">
        <w:rPr>
          <w:sz w:val="22"/>
          <w:szCs w:val="22"/>
        </w:rPr>
        <w:t>s employed to provide a decoupling path</w:t>
      </w:r>
      <w:r w:rsidRPr="00D07AE4">
        <w:rPr>
          <w:rFonts w:hint="eastAsia"/>
          <w:sz w:val="22"/>
          <w:szCs w:val="22"/>
        </w:rPr>
        <w:t xml:space="preserve"> </w:t>
      </w:r>
      <w:r w:rsidRPr="00D07AE4">
        <w:rPr>
          <w:sz w:val="22"/>
          <w:szCs w:val="22"/>
        </w:rPr>
        <w:t>between the antenna ports</w:t>
      </w:r>
      <w:r w:rsidRPr="00D07AE4">
        <w:rPr>
          <w:rFonts w:hint="eastAsia"/>
          <w:sz w:val="22"/>
          <w:szCs w:val="22"/>
        </w:rPr>
        <w:t xml:space="preserve"> [5].</w:t>
      </w:r>
      <w:r w:rsidRPr="00D07AE4">
        <w:rPr>
          <w:sz w:val="22"/>
          <w:szCs w:val="22"/>
        </w:rPr>
        <w:t xml:space="preserve"> </w:t>
      </w:r>
      <w:r w:rsidRPr="00D07AE4">
        <w:rPr>
          <w:rFonts w:hint="eastAsia"/>
          <w:sz w:val="22"/>
          <w:szCs w:val="22"/>
        </w:rPr>
        <w:t xml:space="preserve">A </w:t>
      </w:r>
      <w:r w:rsidRPr="00D07AE4">
        <w:rPr>
          <w:sz w:val="22"/>
          <w:szCs w:val="22"/>
        </w:rPr>
        <w:t>Sea-Water Half-Loop Antenna</w:t>
      </w:r>
      <w:r w:rsidRPr="00D07AE4">
        <w:rPr>
          <w:rFonts w:hint="eastAsia"/>
          <w:sz w:val="22"/>
          <w:szCs w:val="22"/>
        </w:rPr>
        <w:t xml:space="preserve"> was designed</w:t>
      </w:r>
      <w:r w:rsidRPr="00D07AE4">
        <w:rPr>
          <w:sz w:val="22"/>
          <w:szCs w:val="22"/>
        </w:rPr>
        <w:t xml:space="preserve"> for maritime wireless</w:t>
      </w:r>
      <w:r w:rsidRPr="00D07AE4">
        <w:rPr>
          <w:rFonts w:hint="eastAsia"/>
          <w:sz w:val="22"/>
          <w:szCs w:val="22"/>
        </w:rPr>
        <w:t xml:space="preserve"> </w:t>
      </w:r>
      <w:r w:rsidRPr="00D07AE4">
        <w:rPr>
          <w:sz w:val="22"/>
          <w:szCs w:val="22"/>
        </w:rPr>
        <w:t>communications</w:t>
      </w:r>
      <w:r w:rsidRPr="00D07AE4">
        <w:rPr>
          <w:rFonts w:hint="eastAsia"/>
          <w:sz w:val="22"/>
          <w:szCs w:val="22"/>
        </w:rPr>
        <w:t xml:space="preserve"> [</w:t>
      </w:r>
      <w:r w:rsidRPr="00D07AE4">
        <w:rPr>
          <w:sz w:val="22"/>
          <w:szCs w:val="22"/>
        </w:rPr>
        <w:t>6</w:t>
      </w:r>
      <w:r w:rsidRPr="00D07AE4">
        <w:rPr>
          <w:rFonts w:hint="eastAsia"/>
          <w:sz w:val="22"/>
          <w:szCs w:val="22"/>
        </w:rPr>
        <w:t>]</w:t>
      </w:r>
      <w:r w:rsidRPr="00D07AE4">
        <w:rPr>
          <w:sz w:val="22"/>
          <w:szCs w:val="22"/>
        </w:rPr>
        <w:t>, which could generate a new antenna when needed with the help of a pump in the ocean environment</w:t>
      </w:r>
      <w:r w:rsidRPr="00D07AE4">
        <w:rPr>
          <w:rFonts w:hint="eastAsia"/>
          <w:sz w:val="22"/>
          <w:szCs w:val="22"/>
        </w:rPr>
        <w:t>.</w:t>
      </w:r>
      <w:r w:rsidRPr="00D07AE4">
        <w:rPr>
          <w:sz w:val="22"/>
          <w:szCs w:val="22"/>
        </w:rPr>
        <w:t xml:space="preserve"> </w:t>
      </w:r>
      <w:r w:rsidRPr="00D07AE4">
        <w:rPr>
          <w:rFonts w:hint="eastAsia"/>
          <w:sz w:val="22"/>
          <w:szCs w:val="22"/>
        </w:rPr>
        <w:t xml:space="preserve">An </w:t>
      </w:r>
      <w:r w:rsidRPr="00D07AE4">
        <w:rPr>
          <w:sz w:val="22"/>
          <w:szCs w:val="22"/>
        </w:rPr>
        <w:t>antenna consist</w:t>
      </w:r>
      <w:r w:rsidRPr="00D07AE4">
        <w:rPr>
          <w:rFonts w:hint="eastAsia"/>
          <w:sz w:val="22"/>
          <w:szCs w:val="22"/>
        </w:rPr>
        <w:t xml:space="preserve">ed </w:t>
      </w:r>
      <w:r w:rsidRPr="00D07AE4">
        <w:rPr>
          <w:sz w:val="22"/>
          <w:szCs w:val="22"/>
        </w:rPr>
        <w:t>of a cylindrical conducting monopole antenna, saline-water</w:t>
      </w:r>
      <w:r w:rsidRPr="00D07AE4">
        <w:rPr>
          <w:rFonts w:hint="eastAsia"/>
          <w:sz w:val="22"/>
          <w:szCs w:val="22"/>
        </w:rPr>
        <w:t xml:space="preserve"> </w:t>
      </w:r>
      <w:r w:rsidRPr="00D07AE4">
        <w:rPr>
          <w:sz w:val="22"/>
          <w:szCs w:val="22"/>
        </w:rPr>
        <w:t>and</w:t>
      </w:r>
      <w:r w:rsidRPr="00D07AE4">
        <w:rPr>
          <w:rFonts w:hint="eastAsia"/>
          <w:sz w:val="22"/>
          <w:szCs w:val="22"/>
        </w:rPr>
        <w:t xml:space="preserve"> </w:t>
      </w:r>
      <w:r w:rsidRPr="00D07AE4">
        <w:rPr>
          <w:sz w:val="22"/>
          <w:szCs w:val="22"/>
        </w:rPr>
        <w:t>a biocompatible shell</w:t>
      </w:r>
      <w:r w:rsidRPr="00D07AE4">
        <w:rPr>
          <w:rFonts w:hint="eastAsia"/>
          <w:sz w:val="22"/>
          <w:szCs w:val="22"/>
        </w:rPr>
        <w:t xml:space="preserve"> was designed for </w:t>
      </w:r>
      <w:r w:rsidRPr="00D07AE4">
        <w:rPr>
          <w:sz w:val="22"/>
          <w:szCs w:val="22"/>
        </w:rPr>
        <w:t>Industrial, Science and Medical</w:t>
      </w:r>
      <w:r w:rsidRPr="00D07AE4">
        <w:rPr>
          <w:rFonts w:hint="eastAsia"/>
          <w:sz w:val="22"/>
          <w:szCs w:val="22"/>
        </w:rPr>
        <w:t xml:space="preserve"> </w:t>
      </w:r>
      <w:r w:rsidRPr="00D07AE4">
        <w:rPr>
          <w:sz w:val="22"/>
          <w:szCs w:val="22"/>
        </w:rPr>
        <w:t>(ISM, 2.45 GHz) band</w:t>
      </w:r>
      <w:r w:rsidRPr="00D07AE4">
        <w:rPr>
          <w:rFonts w:hint="eastAsia"/>
          <w:sz w:val="22"/>
          <w:szCs w:val="22"/>
        </w:rPr>
        <w:t xml:space="preserve"> [</w:t>
      </w:r>
      <w:r w:rsidRPr="00D07AE4">
        <w:rPr>
          <w:sz w:val="22"/>
          <w:szCs w:val="22"/>
        </w:rPr>
        <w:t>7</w:t>
      </w:r>
      <w:r w:rsidRPr="00D07AE4">
        <w:rPr>
          <w:rFonts w:hint="eastAsia"/>
          <w:sz w:val="22"/>
          <w:szCs w:val="22"/>
        </w:rPr>
        <w:t>]</w:t>
      </w:r>
      <w:r w:rsidRPr="00D07AE4">
        <w:rPr>
          <w:sz w:val="22"/>
          <w:szCs w:val="22"/>
        </w:rPr>
        <w:t xml:space="preserve">. . The miniaturization of </w:t>
      </w:r>
      <w:r w:rsidR="008E421B" w:rsidRPr="00D07AE4">
        <w:rPr>
          <w:sz w:val="22"/>
          <w:szCs w:val="22"/>
        </w:rPr>
        <w:t>a liquid-based DRA</w:t>
      </w:r>
      <w:r w:rsidRPr="00D07AE4">
        <w:rPr>
          <w:sz w:val="22"/>
          <w:szCs w:val="22"/>
        </w:rPr>
        <w:t xml:space="preserve"> due to the high relative permittivity of water was demonstrated. Furthermore, a DRA-based technique was proposed for measuring liquid permittivity</w:t>
      </w:r>
      <w:r w:rsidR="008E421B" w:rsidRPr="00D07AE4">
        <w:rPr>
          <w:sz w:val="22"/>
          <w:szCs w:val="22"/>
        </w:rPr>
        <w:t xml:space="preserve"> [8]</w:t>
      </w:r>
      <w:r w:rsidRPr="00D07AE4">
        <w:rPr>
          <w:sz w:val="22"/>
          <w:szCs w:val="22"/>
        </w:rPr>
        <w:t>. A hybrid antenna with solid and liquid materials was discussed [9], with the focus of the influence of the feeding locations and the distribution of the liquid.</w:t>
      </w:r>
    </w:p>
    <w:p w:rsidR="00BC66F2" w:rsidRPr="00D07AE4" w:rsidRDefault="00BC66F2" w:rsidP="00BC66F2">
      <w:pPr>
        <w:pStyle w:val="Paragraph"/>
        <w:jc w:val="both"/>
        <w:rPr>
          <w:sz w:val="22"/>
          <w:szCs w:val="22"/>
        </w:rPr>
      </w:pPr>
      <w:r w:rsidRPr="00D07AE4">
        <w:rPr>
          <w:sz w:val="22"/>
          <w:szCs w:val="22"/>
        </w:rPr>
        <w:t xml:space="preserve">In the area of wearable </w:t>
      </w:r>
      <w:r w:rsidR="00183700" w:rsidRPr="00D07AE4">
        <w:rPr>
          <w:sz w:val="22"/>
          <w:szCs w:val="22"/>
        </w:rPr>
        <w:t>and body-centric networks</w:t>
      </w:r>
      <w:r w:rsidRPr="00D07AE4">
        <w:rPr>
          <w:sz w:val="22"/>
          <w:szCs w:val="22"/>
        </w:rPr>
        <w:t>, a conformal wearable antenna for medical body-area network was developed [10]. This antenna was built by placing a truncated meta-surface, consisting of a 2</w:t>
      </w:r>
      <w:r w:rsidRPr="00D07AE4">
        <w:rPr>
          <w:rFonts w:hint="eastAsia"/>
          <w:sz w:val="22"/>
          <w:szCs w:val="22"/>
        </w:rPr>
        <w:t>×</w:t>
      </w:r>
      <w:r w:rsidRPr="00D07AE4">
        <w:rPr>
          <w:rFonts w:hint="eastAsia"/>
          <w:sz w:val="22"/>
          <w:szCs w:val="22"/>
        </w:rPr>
        <w:t>2</w:t>
      </w:r>
      <w:r w:rsidRPr="00D07AE4">
        <w:rPr>
          <w:sz w:val="22"/>
          <w:szCs w:val="22"/>
        </w:rPr>
        <w:t xml:space="preserve"> array of I-shaped elements, underneath a planar monopole. </w:t>
      </w:r>
      <w:r w:rsidR="00183700" w:rsidRPr="00D07AE4">
        <w:rPr>
          <w:sz w:val="22"/>
          <w:szCs w:val="22"/>
        </w:rPr>
        <w:t xml:space="preserve">Narrowband interference mitigation in body surface to external communication in ultra-wide-band body-area network using first order pulse has been proposed </w:t>
      </w:r>
      <w:r w:rsidR="00183700" w:rsidRPr="00D07AE4">
        <w:rPr>
          <w:rFonts w:hint="eastAsia"/>
          <w:sz w:val="22"/>
          <w:szCs w:val="22"/>
          <w:lang w:eastAsia="zh-CN"/>
        </w:rPr>
        <w:t>[</w:t>
      </w:r>
      <w:r w:rsidR="00183700" w:rsidRPr="00D07AE4">
        <w:rPr>
          <w:sz w:val="22"/>
          <w:szCs w:val="22"/>
          <w:lang w:eastAsia="zh-CN"/>
        </w:rPr>
        <w:t>11</w:t>
      </w:r>
      <w:r w:rsidR="00183700" w:rsidRPr="00D07AE4">
        <w:rPr>
          <w:rFonts w:hint="eastAsia"/>
          <w:sz w:val="22"/>
          <w:szCs w:val="22"/>
          <w:lang w:eastAsia="zh-CN"/>
        </w:rPr>
        <w:t>]</w:t>
      </w:r>
      <w:r w:rsidR="00183700" w:rsidRPr="00D07AE4">
        <w:rPr>
          <w:sz w:val="22"/>
          <w:szCs w:val="22"/>
        </w:rPr>
        <w:t xml:space="preserve">. </w:t>
      </w:r>
      <w:r w:rsidR="00396E3A" w:rsidRPr="00D07AE4">
        <w:rPr>
          <w:sz w:val="22"/>
          <w:szCs w:val="22"/>
        </w:rPr>
        <w:t xml:space="preserve">A wireless wearable surface functional electrical stimulator has been developed [12]. </w:t>
      </w:r>
      <w:r w:rsidRPr="00D07AE4">
        <w:rPr>
          <w:sz w:val="22"/>
          <w:szCs w:val="22"/>
        </w:rPr>
        <w:t xml:space="preserve">An all-textile logo antenna was </w:t>
      </w:r>
      <w:r w:rsidRPr="00D07AE4">
        <w:rPr>
          <w:sz w:val="22"/>
          <w:szCs w:val="22"/>
        </w:rPr>
        <w:lastRenderedPageBreak/>
        <w:t>designed [</w:t>
      </w:r>
      <w:r w:rsidR="00183700" w:rsidRPr="00D07AE4">
        <w:rPr>
          <w:sz w:val="22"/>
          <w:szCs w:val="22"/>
        </w:rPr>
        <w:t>1</w:t>
      </w:r>
      <w:r w:rsidR="00396E3A" w:rsidRPr="00D07AE4">
        <w:rPr>
          <w:sz w:val="22"/>
          <w:szCs w:val="22"/>
        </w:rPr>
        <w:t>3</w:t>
      </w:r>
      <w:r w:rsidRPr="00D07AE4">
        <w:rPr>
          <w:sz w:val="22"/>
          <w:szCs w:val="22"/>
        </w:rPr>
        <w:t>]. The crossed LV-shaped logo composed of two longer thin arms and two shorter thick arms. The proposed antenna was fabricated from a conductive textile and a leather substrate. A CPW-Fed wearable monopole antenna using conductive nanomaterial with different conductivity for on-body applications was designed [</w:t>
      </w:r>
      <w:r w:rsidR="00183700" w:rsidRPr="00D07AE4">
        <w:rPr>
          <w:sz w:val="22"/>
          <w:szCs w:val="22"/>
        </w:rPr>
        <w:t>1</w:t>
      </w:r>
      <w:r w:rsidR="00396E3A" w:rsidRPr="00D07AE4">
        <w:rPr>
          <w:sz w:val="22"/>
          <w:szCs w:val="22"/>
        </w:rPr>
        <w:t>4</w:t>
      </w:r>
      <w:r w:rsidRPr="00D07AE4">
        <w:rPr>
          <w:sz w:val="22"/>
          <w:szCs w:val="22"/>
        </w:rPr>
        <w:t>]. The antenna consisted of a rectangular patch with improved ground plane structures using graphene and carbon nanotubes on the flexible substrate.</w:t>
      </w:r>
    </w:p>
    <w:p w:rsidR="00BC66F2" w:rsidRPr="00D07AE4" w:rsidRDefault="00BC66F2" w:rsidP="00BC66F2">
      <w:pPr>
        <w:pStyle w:val="Paragraph"/>
        <w:jc w:val="both"/>
        <w:rPr>
          <w:sz w:val="22"/>
          <w:szCs w:val="22"/>
        </w:rPr>
      </w:pPr>
      <w:r w:rsidRPr="00D07AE4">
        <w:rPr>
          <w:sz w:val="22"/>
          <w:szCs w:val="22"/>
        </w:rPr>
        <w:t xml:space="preserve">Till now, some of the published liquid antennas are of fixed forms without using of the fluidity of the liquid. Others obtained primary performance of reconfigurability, but further study is still needed to improve the convenience together with the variety and the </w:t>
      </w:r>
      <w:r w:rsidR="008E421B" w:rsidRPr="00D07AE4">
        <w:rPr>
          <w:sz w:val="22"/>
          <w:szCs w:val="22"/>
        </w:rPr>
        <w:t xml:space="preserve">diversity </w:t>
      </w:r>
      <w:r w:rsidRPr="00D07AE4">
        <w:rPr>
          <w:sz w:val="22"/>
          <w:szCs w:val="22"/>
        </w:rPr>
        <w:t>of the antennas. At the same time, the requirement for new types of wearable systems become more and more intense.</w:t>
      </w:r>
    </w:p>
    <w:p w:rsidR="00EF0F45" w:rsidRPr="00D07AE4" w:rsidRDefault="00BC66F2" w:rsidP="00BC66F2">
      <w:pPr>
        <w:pStyle w:val="Paragraph"/>
        <w:jc w:val="both"/>
        <w:rPr>
          <w:sz w:val="22"/>
          <w:szCs w:val="22"/>
        </w:rPr>
      </w:pPr>
      <w:r w:rsidRPr="00D07AE4">
        <w:rPr>
          <w:rFonts w:ascii="Times-Roman" w:hAnsi="Times-Roman" w:cs="Times-Roman"/>
          <w:sz w:val="22"/>
          <w:szCs w:val="22"/>
        </w:rPr>
        <w:t xml:space="preserve">Here, we </w:t>
      </w:r>
      <w:r w:rsidR="00405152" w:rsidRPr="00D07AE4">
        <w:rPr>
          <w:rFonts w:ascii="Times-Roman" w:hAnsi="Times-Roman" w:cs="Times-Roman"/>
          <w:sz w:val="22"/>
          <w:szCs w:val="22"/>
        </w:rPr>
        <w:t xml:space="preserve">will </w:t>
      </w:r>
      <w:r w:rsidRPr="00D07AE4">
        <w:rPr>
          <w:rFonts w:ascii="Times-Roman" w:hAnsi="Times-Roman" w:cs="Times-Roman"/>
          <w:sz w:val="22"/>
          <w:szCs w:val="22"/>
        </w:rPr>
        <w:t xml:space="preserve">present a manually tunable broadband helical saline water antenna, the performance of which could </w:t>
      </w:r>
      <w:r w:rsidRPr="00D07AE4">
        <w:rPr>
          <w:rFonts w:ascii="Times-Roman" w:hAnsi="Times-Roman" w:cs="Times-Roman"/>
          <w:noProof/>
          <w:sz w:val="22"/>
          <w:szCs w:val="22"/>
        </w:rPr>
        <w:t>be changed</w:t>
      </w:r>
      <w:r w:rsidRPr="00D07AE4">
        <w:rPr>
          <w:rFonts w:ascii="Times-Roman" w:hAnsi="Times-Roman" w:cs="Times-Roman"/>
          <w:sz w:val="22"/>
          <w:szCs w:val="22"/>
        </w:rPr>
        <w:t xml:space="preserve"> by adding or reducing the water. The influence of relative parameters on the operating frequency bands and the radiation patterns has </w:t>
      </w:r>
      <w:r w:rsidRPr="00D07AE4">
        <w:rPr>
          <w:rFonts w:ascii="Times-Roman" w:hAnsi="Times-Roman" w:cs="Times-Roman"/>
          <w:noProof/>
          <w:sz w:val="22"/>
          <w:szCs w:val="22"/>
        </w:rPr>
        <w:t>been studied</w:t>
      </w:r>
      <w:r w:rsidRPr="00D07AE4">
        <w:rPr>
          <w:rFonts w:ascii="Times-Roman" w:hAnsi="Times-Roman" w:cs="Times-Roman"/>
          <w:sz w:val="22"/>
          <w:szCs w:val="22"/>
        </w:rPr>
        <w:t>. The features of the antenna make it suitable for several application environments of wireless systems.</w:t>
      </w:r>
    </w:p>
    <w:p w:rsidR="0092202F" w:rsidRPr="00D07AE4" w:rsidRDefault="00EC74B5" w:rsidP="0092202F">
      <w:pPr>
        <w:pStyle w:val="1"/>
      </w:pPr>
      <w:r w:rsidRPr="00D07AE4">
        <w:t>2</w:t>
      </w:r>
      <w:r w:rsidR="0092202F" w:rsidRPr="00D07AE4">
        <w:t xml:space="preserve">. </w:t>
      </w:r>
      <w:r w:rsidRPr="00D07AE4">
        <w:t>Configuration and structure</w:t>
      </w:r>
    </w:p>
    <w:p w:rsidR="00BC66F2" w:rsidRPr="00D07AE4" w:rsidRDefault="00405152" w:rsidP="00BC66F2">
      <w:pPr>
        <w:pStyle w:val="Paragraph"/>
        <w:jc w:val="both"/>
        <w:rPr>
          <w:sz w:val="22"/>
          <w:szCs w:val="22"/>
        </w:rPr>
      </w:pPr>
      <w:r w:rsidRPr="00D07AE4">
        <w:rPr>
          <w:sz w:val="22"/>
          <w:szCs w:val="22"/>
        </w:rPr>
        <w:t>The designing of the antenna is in accordance with the elementary principle of helical antennas</w:t>
      </w:r>
      <w:r w:rsidR="00391203" w:rsidRPr="00D07AE4">
        <w:rPr>
          <w:sz w:val="22"/>
          <w:szCs w:val="22"/>
        </w:rPr>
        <w:t xml:space="preserve"> [15]</w:t>
      </w:r>
      <w:r w:rsidRPr="00D07AE4">
        <w:rPr>
          <w:sz w:val="22"/>
          <w:szCs w:val="22"/>
        </w:rPr>
        <w:t xml:space="preserve">. The general theory of the thin metal wire helical antenna also work for this one, especially for the relationship between the electrical size and the radiation pattern. </w:t>
      </w:r>
      <w:r w:rsidR="00BC66F2" w:rsidRPr="00D07AE4">
        <w:rPr>
          <w:sz w:val="22"/>
          <w:szCs w:val="22"/>
        </w:rPr>
        <w:t>A hollow cylindrical transparent hard plastic tube is used to fabricate the liquid helical antenna, and a thin flexible tube containing liquid is twined around the cylindrical one, as shown in Fig</w:t>
      </w:r>
      <w:r w:rsidR="0098221A" w:rsidRPr="00D07AE4">
        <w:rPr>
          <w:sz w:val="22"/>
          <w:szCs w:val="22"/>
        </w:rPr>
        <w:t xml:space="preserve">ure </w:t>
      </w:r>
      <w:r w:rsidR="00BC66F2" w:rsidRPr="00D07AE4">
        <w:rPr>
          <w:sz w:val="22"/>
          <w:szCs w:val="22"/>
        </w:rPr>
        <w:t>1 (a). Here, the total height of the hard tube is 185 mm and the inner and outer radius is 8 mm and 10 mm, respectively. Furthermore, this kind of antenna can be applied to wearable systems with convenient, as shown in Fig</w:t>
      </w:r>
      <w:r w:rsidR="0098221A" w:rsidRPr="00D07AE4">
        <w:rPr>
          <w:sz w:val="22"/>
          <w:szCs w:val="22"/>
        </w:rPr>
        <w:t xml:space="preserve">ure </w:t>
      </w:r>
      <w:r w:rsidR="00BC66F2" w:rsidRPr="00D07AE4">
        <w:rPr>
          <w:sz w:val="22"/>
          <w:szCs w:val="22"/>
        </w:rPr>
        <w:t>1 (b), where a flexible antenna is fixed on the arm of the user by himself. A digital thermometer and a syringe together with an electronic balance are helpful for the investigation, as shown in Fig</w:t>
      </w:r>
      <w:r w:rsidR="0098221A" w:rsidRPr="00D07AE4">
        <w:rPr>
          <w:sz w:val="22"/>
          <w:szCs w:val="22"/>
        </w:rPr>
        <w:t xml:space="preserve">ure </w:t>
      </w:r>
      <w:r w:rsidR="00BC66F2" w:rsidRPr="00D07AE4">
        <w:rPr>
          <w:sz w:val="22"/>
          <w:szCs w:val="22"/>
        </w:rPr>
        <w:t>1 (c), (d) and (e). An SMA interface with a long probe sticking into the lower end of the liquid is used for the signal excitation, as shown in Fig</w:t>
      </w:r>
      <w:r w:rsidR="0098221A" w:rsidRPr="00D07AE4">
        <w:rPr>
          <w:sz w:val="22"/>
          <w:szCs w:val="22"/>
        </w:rPr>
        <w:t xml:space="preserve">ure </w:t>
      </w:r>
      <w:r w:rsidR="00BC66F2" w:rsidRPr="00D07AE4">
        <w:rPr>
          <w:sz w:val="22"/>
          <w:szCs w:val="22"/>
        </w:rPr>
        <w:t xml:space="preserve">1 (f). A piece of single side </w:t>
      </w:r>
      <w:r w:rsidR="00BC66F2" w:rsidRPr="00D07AE4">
        <w:rPr>
          <w:sz w:val="22"/>
          <w:szCs w:val="22"/>
        </w:rPr>
        <w:lastRenderedPageBreak/>
        <w:t>substrate with the size of 100 mm×70 mm is used for the mounting of the feeding interface.</w:t>
      </w:r>
    </w:p>
    <w:p w:rsidR="00BC66F2" w:rsidRPr="00D07AE4" w:rsidRDefault="00BC66F2" w:rsidP="00BC66F2">
      <w:pPr>
        <w:pStyle w:val="Text"/>
        <w:ind w:firstLine="0"/>
        <w:jc w:val="center"/>
        <w:rPr>
          <w:noProof/>
          <w:lang w:eastAsia="zh-CN"/>
        </w:rPr>
      </w:pPr>
      <w:r w:rsidRPr="00D07AE4">
        <w:rPr>
          <w:noProof/>
          <w:lang w:eastAsia="zh-CN"/>
        </w:rPr>
        <w:drawing>
          <wp:inline distT="0" distB="0" distL="0" distR="0" wp14:anchorId="692493B1" wp14:editId="3B42CF62">
            <wp:extent cx="1310400" cy="2203200"/>
            <wp:effectExtent l="0" t="0" r="4445"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0400" cy="2203200"/>
                    </a:xfrm>
                    <a:prstGeom prst="rect">
                      <a:avLst/>
                    </a:prstGeom>
                  </pic:spPr>
                </pic:pic>
              </a:graphicData>
            </a:graphic>
          </wp:inline>
        </w:drawing>
      </w:r>
      <w:r w:rsidRPr="00D07AE4">
        <w:rPr>
          <w:noProof/>
          <w:lang w:eastAsia="zh-CN"/>
        </w:rPr>
        <w:t xml:space="preserve">        </w:t>
      </w:r>
      <w:r w:rsidRPr="00D07AE4">
        <w:rPr>
          <w:noProof/>
          <w:lang w:eastAsia="zh-CN"/>
        </w:rPr>
        <w:drawing>
          <wp:inline distT="0" distB="0" distL="0" distR="0" wp14:anchorId="0D1AB387" wp14:editId="5465FC1D">
            <wp:extent cx="1031846" cy="2203450"/>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46509" cy="2234761"/>
                    </a:xfrm>
                    <a:prstGeom prst="rect">
                      <a:avLst/>
                    </a:prstGeom>
                  </pic:spPr>
                </pic:pic>
              </a:graphicData>
            </a:graphic>
          </wp:inline>
        </w:drawing>
      </w:r>
      <w:r w:rsidR="007311D4" w:rsidRPr="00D07AE4">
        <w:rPr>
          <w:noProof/>
          <w:lang w:eastAsia="zh-CN"/>
        </w:rPr>
        <w:t xml:space="preserve"> </w:t>
      </w:r>
      <w:r w:rsidR="007311D4" w:rsidRPr="00D07AE4">
        <w:rPr>
          <w:noProof/>
          <w:lang w:eastAsia="zh-CN"/>
        </w:rPr>
        <w:drawing>
          <wp:inline distT="0" distB="0" distL="0" distR="0" wp14:anchorId="7DB3D9A7" wp14:editId="77B1C623">
            <wp:extent cx="1173600" cy="156240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3600" cy="1562400"/>
                    </a:xfrm>
                    <a:prstGeom prst="rect">
                      <a:avLst/>
                    </a:prstGeom>
                  </pic:spPr>
                </pic:pic>
              </a:graphicData>
            </a:graphic>
          </wp:inline>
        </w:drawing>
      </w:r>
      <w:r w:rsidR="007311D4" w:rsidRPr="00D07AE4">
        <w:rPr>
          <w:noProof/>
          <w:lang w:eastAsia="zh-CN"/>
        </w:rPr>
        <w:t xml:space="preserve"> </w:t>
      </w:r>
      <w:r w:rsidR="007311D4" w:rsidRPr="00D07AE4">
        <w:rPr>
          <w:noProof/>
          <w:lang w:eastAsia="zh-CN"/>
        </w:rPr>
        <w:drawing>
          <wp:inline distT="0" distB="0" distL="0" distR="0" wp14:anchorId="5BD16074" wp14:editId="0A6E1C22">
            <wp:extent cx="951044" cy="156210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59965" cy="1576753"/>
                    </a:xfrm>
                    <a:prstGeom prst="rect">
                      <a:avLst/>
                    </a:prstGeom>
                  </pic:spPr>
                </pic:pic>
              </a:graphicData>
            </a:graphic>
          </wp:inline>
        </w:drawing>
      </w:r>
    </w:p>
    <w:p w:rsidR="00BC66F2" w:rsidRPr="00D07AE4" w:rsidRDefault="00BC66F2" w:rsidP="007311D4">
      <w:pPr>
        <w:pStyle w:val="Text"/>
        <w:ind w:firstLineChars="700" w:firstLine="1400"/>
        <w:rPr>
          <w:noProof/>
          <w:lang w:eastAsia="zh-CN"/>
        </w:rPr>
      </w:pPr>
      <w:r w:rsidRPr="00D07AE4">
        <w:rPr>
          <w:rFonts w:hint="eastAsia"/>
          <w:lang w:eastAsia="zh-CN"/>
        </w:rPr>
        <w:t>(</w:t>
      </w:r>
      <w:r w:rsidRPr="00D07AE4">
        <w:rPr>
          <w:lang w:eastAsia="zh-CN"/>
        </w:rPr>
        <w:t>a</w:t>
      </w:r>
      <w:r w:rsidRPr="00D07AE4">
        <w:rPr>
          <w:rFonts w:hint="eastAsia"/>
          <w:lang w:eastAsia="zh-CN"/>
        </w:rPr>
        <w:t>)</w:t>
      </w:r>
      <w:r w:rsidRPr="00D07AE4">
        <w:rPr>
          <w:lang w:eastAsia="zh-CN"/>
        </w:rPr>
        <w:t xml:space="preserve">                                 </w:t>
      </w:r>
      <w:r w:rsidR="007311D4" w:rsidRPr="00D07AE4">
        <w:rPr>
          <w:lang w:eastAsia="zh-CN"/>
        </w:rPr>
        <w:t xml:space="preserve"> </w:t>
      </w:r>
      <w:r w:rsidRPr="00D07AE4">
        <w:rPr>
          <w:lang w:eastAsia="zh-CN"/>
        </w:rPr>
        <w:t xml:space="preserve">     </w:t>
      </w:r>
      <w:r w:rsidRPr="00D07AE4">
        <w:rPr>
          <w:rFonts w:hint="eastAsia"/>
          <w:lang w:eastAsia="zh-CN"/>
        </w:rPr>
        <w:t>(</w:t>
      </w:r>
      <w:r w:rsidRPr="00D07AE4">
        <w:rPr>
          <w:lang w:eastAsia="zh-CN"/>
        </w:rPr>
        <w:t>b</w:t>
      </w:r>
      <w:r w:rsidRPr="00D07AE4">
        <w:rPr>
          <w:rFonts w:hint="eastAsia"/>
          <w:lang w:eastAsia="zh-CN"/>
        </w:rPr>
        <w:t>)</w:t>
      </w:r>
      <w:r w:rsidR="007311D4" w:rsidRPr="00D07AE4">
        <w:rPr>
          <w:lang w:eastAsia="zh-CN"/>
        </w:rPr>
        <w:t xml:space="preserve">                                (c)</w:t>
      </w:r>
      <w:r w:rsidRPr="00D07AE4">
        <w:rPr>
          <w:lang w:eastAsia="zh-CN"/>
        </w:rPr>
        <w:t xml:space="preserve">                              </w:t>
      </w:r>
      <w:r w:rsidRPr="00D07AE4">
        <w:rPr>
          <w:rFonts w:hint="eastAsia"/>
          <w:lang w:eastAsia="zh-CN"/>
        </w:rPr>
        <w:t xml:space="preserve"> (</w:t>
      </w:r>
      <w:r w:rsidRPr="00D07AE4">
        <w:rPr>
          <w:lang w:eastAsia="zh-CN"/>
        </w:rPr>
        <w:t>d</w:t>
      </w:r>
      <w:r w:rsidRPr="00D07AE4">
        <w:rPr>
          <w:rFonts w:hint="eastAsia"/>
          <w:lang w:eastAsia="zh-CN"/>
        </w:rPr>
        <w:t>)</w:t>
      </w:r>
    </w:p>
    <w:p w:rsidR="00BC66F2" w:rsidRPr="00D07AE4" w:rsidRDefault="00BC66F2" w:rsidP="00BC66F2">
      <w:pPr>
        <w:pStyle w:val="Text"/>
        <w:ind w:firstLine="0"/>
        <w:jc w:val="center"/>
      </w:pPr>
      <w:r w:rsidRPr="00D07AE4">
        <w:rPr>
          <w:noProof/>
          <w:lang w:eastAsia="zh-CN"/>
        </w:rPr>
        <w:drawing>
          <wp:inline distT="0" distB="0" distL="0" distR="0" wp14:anchorId="689AECE6" wp14:editId="1A7F1FD4">
            <wp:extent cx="1868400" cy="1008000"/>
            <wp:effectExtent l="0" t="0" r="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68400" cy="1008000"/>
                    </a:xfrm>
                    <a:prstGeom prst="rect">
                      <a:avLst/>
                    </a:prstGeom>
                  </pic:spPr>
                </pic:pic>
              </a:graphicData>
            </a:graphic>
          </wp:inline>
        </w:drawing>
      </w:r>
      <w:r w:rsidRPr="00D07AE4">
        <w:rPr>
          <w:noProof/>
          <w:lang w:eastAsia="zh-CN"/>
        </w:rPr>
        <w:t xml:space="preserve"> </w:t>
      </w:r>
      <w:r w:rsidR="007311D4" w:rsidRPr="00D07AE4">
        <w:rPr>
          <w:noProof/>
          <w:lang w:eastAsia="zh-CN"/>
        </w:rPr>
        <w:t xml:space="preserve">       </w:t>
      </w:r>
      <w:r w:rsidRPr="00D07AE4">
        <w:rPr>
          <w:noProof/>
          <w:lang w:eastAsia="zh-CN"/>
        </w:rPr>
        <w:t xml:space="preserve"> </w:t>
      </w:r>
      <w:r w:rsidRPr="00D07AE4">
        <w:rPr>
          <w:noProof/>
          <w:lang w:eastAsia="zh-CN"/>
        </w:rPr>
        <w:drawing>
          <wp:inline distT="0" distB="0" distL="0" distR="0" wp14:anchorId="19F4CD8D" wp14:editId="5F7E6347">
            <wp:extent cx="1245600" cy="1008000"/>
            <wp:effectExtent l="0" t="0" r="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5600" cy="1008000"/>
                    </a:xfrm>
                    <a:prstGeom prst="rect">
                      <a:avLst/>
                    </a:prstGeom>
                  </pic:spPr>
                </pic:pic>
              </a:graphicData>
            </a:graphic>
          </wp:inline>
        </w:drawing>
      </w:r>
    </w:p>
    <w:p w:rsidR="00BC66F2" w:rsidRPr="00D07AE4" w:rsidRDefault="007311D4" w:rsidP="00BC66F2">
      <w:pPr>
        <w:pStyle w:val="Text"/>
        <w:ind w:firstLine="0"/>
        <w:jc w:val="center"/>
        <w:rPr>
          <w:lang w:eastAsia="zh-CN"/>
        </w:rPr>
      </w:pPr>
      <w:r w:rsidRPr="00D07AE4">
        <w:rPr>
          <w:lang w:eastAsia="zh-CN"/>
        </w:rPr>
        <w:t xml:space="preserve">         </w:t>
      </w:r>
      <w:r w:rsidR="00BC66F2" w:rsidRPr="00D07AE4">
        <w:rPr>
          <w:rFonts w:hint="eastAsia"/>
          <w:lang w:eastAsia="zh-CN"/>
        </w:rPr>
        <w:t>(</w:t>
      </w:r>
      <w:r w:rsidR="00BC66F2" w:rsidRPr="00D07AE4">
        <w:rPr>
          <w:lang w:eastAsia="zh-CN"/>
        </w:rPr>
        <w:t>e</w:t>
      </w:r>
      <w:r w:rsidR="00BC66F2" w:rsidRPr="00D07AE4">
        <w:rPr>
          <w:rFonts w:hint="eastAsia"/>
          <w:lang w:eastAsia="zh-CN"/>
        </w:rPr>
        <w:t>)</w:t>
      </w:r>
      <w:r w:rsidR="00BC66F2" w:rsidRPr="00D07AE4">
        <w:rPr>
          <w:lang w:eastAsia="zh-CN"/>
        </w:rPr>
        <w:t xml:space="preserve">        </w:t>
      </w:r>
      <w:r w:rsidRPr="00D07AE4">
        <w:rPr>
          <w:lang w:eastAsia="zh-CN"/>
        </w:rPr>
        <w:t xml:space="preserve">              </w:t>
      </w:r>
      <w:r w:rsidR="00BC66F2" w:rsidRPr="00D07AE4">
        <w:rPr>
          <w:lang w:eastAsia="zh-CN"/>
        </w:rPr>
        <w:t xml:space="preserve">                                     </w:t>
      </w:r>
      <w:r w:rsidR="00BC66F2" w:rsidRPr="00D07AE4">
        <w:rPr>
          <w:rFonts w:hint="eastAsia"/>
          <w:lang w:eastAsia="zh-CN"/>
        </w:rPr>
        <w:t>(</w:t>
      </w:r>
      <w:r w:rsidR="00BC66F2" w:rsidRPr="00D07AE4">
        <w:rPr>
          <w:lang w:eastAsia="zh-CN"/>
        </w:rPr>
        <w:t>f</w:t>
      </w:r>
      <w:r w:rsidR="00BC66F2" w:rsidRPr="00D07AE4">
        <w:rPr>
          <w:rFonts w:hint="eastAsia"/>
          <w:lang w:eastAsia="zh-CN"/>
        </w:rPr>
        <w:t>)</w:t>
      </w:r>
    </w:p>
    <w:p w:rsidR="00BC66F2" w:rsidRPr="00D07AE4" w:rsidRDefault="00BC66F2" w:rsidP="007311D4">
      <w:pPr>
        <w:pStyle w:val="Text"/>
        <w:spacing w:line="480" w:lineRule="auto"/>
        <w:ind w:firstLine="0"/>
        <w:jc w:val="center"/>
        <w:rPr>
          <w:sz w:val="22"/>
          <w:szCs w:val="22"/>
          <w:lang w:eastAsia="zh-CN"/>
        </w:rPr>
      </w:pPr>
      <w:r w:rsidRPr="00D07AE4">
        <w:rPr>
          <w:lang w:eastAsia="zh-CN"/>
        </w:rPr>
        <w:t>Fig</w:t>
      </w:r>
      <w:r w:rsidR="0098221A" w:rsidRPr="00D07AE4">
        <w:rPr>
          <w:lang w:eastAsia="zh-CN"/>
        </w:rPr>
        <w:t xml:space="preserve">ure </w:t>
      </w:r>
      <w:r w:rsidRPr="00D07AE4">
        <w:rPr>
          <w:lang w:eastAsia="zh-CN"/>
        </w:rPr>
        <w:t xml:space="preserve">1. Photographs of the helical liquid antenna. (a) </w:t>
      </w:r>
      <w:r w:rsidR="001F535F" w:rsidRPr="00D07AE4">
        <w:rPr>
          <w:noProof/>
          <w:lang w:eastAsia="zh-CN"/>
        </w:rPr>
        <w:t xml:space="preserve">Photograph </w:t>
      </w:r>
      <w:r w:rsidR="001F535F" w:rsidRPr="00D07AE4">
        <w:rPr>
          <w:noProof/>
          <w:sz w:val="22"/>
          <w:szCs w:val="22"/>
          <w:lang w:eastAsia="zh-CN"/>
        </w:rPr>
        <w:t>of the saline water antenna</w:t>
      </w:r>
      <w:r w:rsidRPr="00D07AE4">
        <w:rPr>
          <w:noProof/>
          <w:lang w:eastAsia="zh-CN"/>
        </w:rPr>
        <w:t>, (b)</w:t>
      </w:r>
      <w:r w:rsidR="001F535F" w:rsidRPr="00D07AE4">
        <w:rPr>
          <w:noProof/>
          <w:lang w:eastAsia="zh-CN"/>
        </w:rPr>
        <w:t xml:space="preserve"> A helical liquid antenna on the arm</w:t>
      </w:r>
      <w:r w:rsidR="001F535F" w:rsidRPr="00D07AE4" w:rsidDel="001F535F">
        <w:rPr>
          <w:noProof/>
          <w:lang w:eastAsia="zh-CN"/>
        </w:rPr>
        <w:t xml:space="preserve"> </w:t>
      </w:r>
      <w:r w:rsidRPr="00D07AE4">
        <w:rPr>
          <w:noProof/>
          <w:sz w:val="22"/>
          <w:szCs w:val="22"/>
          <w:lang w:eastAsia="zh-CN"/>
        </w:rPr>
        <w:t>, (c) Measuring the temperature of the saline water, (d) Extracting the liquid from a beaker with a syringe, (e) Measuring the distance of the circles of the soft tube, and (f) The feeding probe of the antenna.</w:t>
      </w:r>
    </w:p>
    <w:p w:rsidR="00D92A30" w:rsidRPr="00D07AE4" w:rsidRDefault="00D92A30" w:rsidP="00BC66F2">
      <w:pPr>
        <w:pStyle w:val="Paragraph"/>
        <w:jc w:val="both"/>
        <w:rPr>
          <w:sz w:val="22"/>
          <w:szCs w:val="22"/>
        </w:rPr>
      </w:pPr>
      <w:r w:rsidRPr="00D07AE4">
        <w:rPr>
          <w:sz w:val="22"/>
          <w:szCs w:val="22"/>
        </w:rPr>
        <w:t>Sure, it is impossible for the antenna with a big substrate as shown in Fig</w:t>
      </w:r>
      <w:r w:rsidR="0098221A" w:rsidRPr="00D07AE4">
        <w:rPr>
          <w:sz w:val="22"/>
          <w:szCs w:val="22"/>
        </w:rPr>
        <w:t>ure</w:t>
      </w:r>
      <w:r w:rsidRPr="00D07AE4">
        <w:rPr>
          <w:sz w:val="22"/>
          <w:szCs w:val="22"/>
        </w:rPr>
        <w:t xml:space="preserve"> 1(a) to operate in the scenario shown in Fig</w:t>
      </w:r>
      <w:r w:rsidR="0098221A" w:rsidRPr="00D07AE4">
        <w:rPr>
          <w:sz w:val="22"/>
          <w:szCs w:val="22"/>
        </w:rPr>
        <w:t>ure</w:t>
      </w:r>
      <w:r w:rsidRPr="00D07AE4">
        <w:rPr>
          <w:sz w:val="22"/>
          <w:szCs w:val="22"/>
        </w:rPr>
        <w:t xml:space="preserve"> 1(b). However, we have simulated and fabricated a much smaller feeding structure that has a substrate dimensions of 2 cm</w:t>
      </w:r>
      <w:r w:rsidRPr="00D07AE4">
        <w:rPr>
          <w:rFonts w:hint="eastAsia"/>
          <w:sz w:val="22"/>
          <w:szCs w:val="22"/>
        </w:rPr>
        <w:t>×</w:t>
      </w:r>
      <w:r w:rsidRPr="00D07AE4">
        <w:rPr>
          <w:sz w:val="22"/>
          <w:szCs w:val="22"/>
        </w:rPr>
        <w:t>2 cm</w:t>
      </w:r>
      <w:r w:rsidRPr="00D07AE4">
        <w:rPr>
          <w:rFonts w:hint="eastAsia"/>
          <w:sz w:val="22"/>
          <w:szCs w:val="22"/>
        </w:rPr>
        <w:t>×</w:t>
      </w:r>
      <w:r w:rsidRPr="00D07AE4">
        <w:rPr>
          <w:sz w:val="22"/>
          <w:szCs w:val="22"/>
        </w:rPr>
        <w:t>0.1 cm, which is affordable for the user. By the way, there is really not very detailed investigations for the applications of wearable systems. The proposed application scenario is only the elementary design and we will try to optimize it. At the same time, we hope the proposed design experiences would enrich the choices of sea water antennas for the navy and others.</w:t>
      </w:r>
    </w:p>
    <w:p w:rsidR="00BC66F2" w:rsidRPr="00D07AE4" w:rsidRDefault="00BC66F2" w:rsidP="00BC66F2">
      <w:pPr>
        <w:pStyle w:val="Paragraph"/>
        <w:jc w:val="both"/>
        <w:rPr>
          <w:sz w:val="22"/>
          <w:szCs w:val="22"/>
        </w:rPr>
      </w:pPr>
      <w:r w:rsidRPr="00D07AE4">
        <w:rPr>
          <w:sz w:val="22"/>
          <w:szCs w:val="22"/>
        </w:rPr>
        <w:t xml:space="preserve">The solution consists of water and salt is made up and the temperature of the saline water is measured to be 21.5 </w:t>
      </w:r>
      <w:r w:rsidRPr="00D07AE4">
        <w:rPr>
          <w:rFonts w:hint="eastAsia"/>
          <w:sz w:val="22"/>
          <w:szCs w:val="22"/>
        </w:rPr>
        <w:t>℃</w:t>
      </w:r>
      <w:r w:rsidRPr="00D07AE4">
        <w:rPr>
          <w:rFonts w:hint="eastAsia"/>
          <w:sz w:val="22"/>
          <w:szCs w:val="22"/>
        </w:rPr>
        <w:t xml:space="preserve"> at that time</w:t>
      </w:r>
      <w:r w:rsidRPr="00D07AE4">
        <w:rPr>
          <w:sz w:val="22"/>
          <w:szCs w:val="22"/>
        </w:rPr>
        <w:t xml:space="preserve">. The concentration of the solution is 3.5%, which is similar to that of the average value of the sea water. The model and the geometry structure of the antenna </w:t>
      </w:r>
      <w:r w:rsidRPr="00D07AE4">
        <w:rPr>
          <w:sz w:val="22"/>
          <w:szCs w:val="22"/>
        </w:rPr>
        <w:lastRenderedPageBreak/>
        <w:t>is shown in Fig</w:t>
      </w:r>
      <w:r w:rsidR="0098221A" w:rsidRPr="00D07AE4">
        <w:rPr>
          <w:sz w:val="22"/>
          <w:szCs w:val="22"/>
        </w:rPr>
        <w:t xml:space="preserve">ure </w:t>
      </w:r>
      <w:r w:rsidRPr="00D07AE4">
        <w:rPr>
          <w:sz w:val="22"/>
          <w:szCs w:val="22"/>
        </w:rPr>
        <w:t>2.</w:t>
      </w:r>
      <w:r w:rsidR="00376759" w:rsidRPr="00D07AE4">
        <w:rPr>
          <w:sz w:val="22"/>
          <w:szCs w:val="22"/>
        </w:rPr>
        <w:t xml:space="preserve"> </w:t>
      </w:r>
      <w:r w:rsidR="003D2C83" w:rsidRPr="00D07AE4">
        <w:rPr>
          <w:sz w:val="22"/>
          <w:szCs w:val="22"/>
        </w:rPr>
        <w:t>The dimensions of the antenna is shown in T</w:t>
      </w:r>
      <w:r w:rsidR="00643505" w:rsidRPr="00D07AE4">
        <w:rPr>
          <w:sz w:val="22"/>
          <w:szCs w:val="22"/>
        </w:rPr>
        <w:t>able 1</w:t>
      </w:r>
      <w:r w:rsidR="005B58FF" w:rsidRPr="00D07AE4">
        <w:rPr>
          <w:sz w:val="22"/>
          <w:szCs w:val="22"/>
        </w:rPr>
        <w:t>.</w:t>
      </w:r>
    </w:p>
    <w:p w:rsidR="005B58FF" w:rsidRPr="00D07AE4" w:rsidRDefault="005B58FF" w:rsidP="00C56BA1">
      <w:pPr>
        <w:rPr>
          <w:sz w:val="20"/>
          <w:szCs w:val="20"/>
          <w:lang w:eastAsia="zh-CN"/>
        </w:rPr>
      </w:pPr>
      <w:r w:rsidRPr="00D07AE4">
        <w:rPr>
          <w:sz w:val="20"/>
          <w:szCs w:val="20"/>
          <w:lang w:eastAsia="zh-CN"/>
        </w:rPr>
        <w:t>T</w:t>
      </w:r>
      <w:r w:rsidR="00643505" w:rsidRPr="00D07AE4">
        <w:rPr>
          <w:sz w:val="20"/>
          <w:szCs w:val="20"/>
          <w:lang w:eastAsia="zh-CN"/>
        </w:rPr>
        <w:t>able</w:t>
      </w:r>
      <w:r w:rsidRPr="00D07AE4">
        <w:rPr>
          <w:sz w:val="20"/>
          <w:szCs w:val="20"/>
          <w:lang w:eastAsia="zh-CN"/>
        </w:rPr>
        <w:t xml:space="preserve"> </w:t>
      </w:r>
      <w:r w:rsidR="00643505" w:rsidRPr="00D07AE4">
        <w:rPr>
          <w:sz w:val="20"/>
          <w:szCs w:val="20"/>
          <w:lang w:eastAsia="zh-CN"/>
        </w:rPr>
        <w:t xml:space="preserve">1. </w:t>
      </w:r>
      <w:r w:rsidRPr="00D07AE4">
        <w:rPr>
          <w:sz w:val="20"/>
          <w:szCs w:val="20"/>
          <w:lang w:eastAsia="zh-CN"/>
        </w:rPr>
        <w:t>T</w:t>
      </w:r>
      <w:r w:rsidR="00643505" w:rsidRPr="00D07AE4">
        <w:rPr>
          <w:sz w:val="20"/>
          <w:szCs w:val="20"/>
          <w:lang w:eastAsia="zh-CN"/>
        </w:rPr>
        <w:t>he</w:t>
      </w:r>
      <w:r w:rsidRPr="00D07AE4">
        <w:rPr>
          <w:sz w:val="20"/>
          <w:szCs w:val="20"/>
          <w:lang w:eastAsia="zh-CN"/>
        </w:rPr>
        <w:t xml:space="preserve"> </w:t>
      </w:r>
      <w:r w:rsidR="00643505" w:rsidRPr="00D07AE4">
        <w:rPr>
          <w:sz w:val="20"/>
          <w:szCs w:val="20"/>
          <w:lang w:eastAsia="zh-CN"/>
        </w:rPr>
        <w:t>dimensions of the liquid antenna.</w:t>
      </w:r>
    </w:p>
    <w:tbl>
      <w:tblPr>
        <w:tblStyle w:val="ae"/>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5"/>
        <w:gridCol w:w="1695"/>
        <w:gridCol w:w="1134"/>
        <w:gridCol w:w="1701"/>
      </w:tblGrid>
      <w:tr w:rsidR="00D07AE4" w:rsidRPr="00D07AE4" w:rsidTr="00C56BA1">
        <w:trPr>
          <w:jc w:val="center"/>
        </w:trPr>
        <w:tc>
          <w:tcPr>
            <w:tcW w:w="1135" w:type="dxa"/>
            <w:vAlign w:val="center"/>
          </w:tcPr>
          <w:p w:rsidR="00E8018B" w:rsidRPr="00D07AE4" w:rsidRDefault="00E8018B" w:rsidP="00110772">
            <w:pPr>
              <w:jc w:val="center"/>
              <w:rPr>
                <w:rFonts w:ascii="Times New Roman" w:eastAsia="宋体" w:hAnsi="Times New Roman" w:cs="Times New Roman"/>
                <w:kern w:val="0"/>
                <w:sz w:val="20"/>
                <w:szCs w:val="20"/>
              </w:rPr>
            </w:pPr>
            <w:r w:rsidRPr="00D07AE4">
              <w:rPr>
                <w:rFonts w:ascii="Times New Roman" w:eastAsia="宋体" w:hAnsi="Times New Roman" w:cs="Times New Roman"/>
                <w:sz w:val="20"/>
                <w:szCs w:val="20"/>
              </w:rPr>
              <w:t>Parameter</w:t>
            </w:r>
          </w:p>
        </w:tc>
        <w:tc>
          <w:tcPr>
            <w:tcW w:w="1695" w:type="dxa"/>
            <w:vAlign w:val="center"/>
          </w:tcPr>
          <w:p w:rsidR="00E8018B" w:rsidRPr="00D07AE4" w:rsidRDefault="00E8018B">
            <w:pPr>
              <w:jc w:val="center"/>
              <w:rPr>
                <w:rFonts w:ascii="Times New Roman" w:eastAsia="宋体" w:hAnsi="Times New Roman" w:cs="Times New Roman"/>
                <w:kern w:val="0"/>
                <w:sz w:val="20"/>
                <w:szCs w:val="20"/>
              </w:rPr>
            </w:pPr>
            <w:r w:rsidRPr="00D07AE4">
              <w:rPr>
                <w:rFonts w:ascii="Times New Roman" w:eastAsia="宋体" w:hAnsi="Times New Roman" w:cs="Times New Roman"/>
                <w:sz w:val="20"/>
                <w:szCs w:val="20"/>
              </w:rPr>
              <w:t>Dimension (mm)</w:t>
            </w:r>
          </w:p>
        </w:tc>
        <w:tc>
          <w:tcPr>
            <w:tcW w:w="1134" w:type="dxa"/>
            <w:vAlign w:val="center"/>
          </w:tcPr>
          <w:p w:rsidR="00E8018B" w:rsidRPr="00D07AE4" w:rsidRDefault="00E8018B">
            <w:pPr>
              <w:jc w:val="center"/>
              <w:rPr>
                <w:rFonts w:ascii="Times New Roman" w:eastAsia="宋体" w:hAnsi="Times New Roman" w:cs="Times New Roman"/>
                <w:kern w:val="0"/>
                <w:sz w:val="20"/>
                <w:szCs w:val="20"/>
              </w:rPr>
            </w:pPr>
            <w:r w:rsidRPr="00D07AE4">
              <w:rPr>
                <w:rFonts w:ascii="Times New Roman" w:eastAsia="宋体" w:hAnsi="Times New Roman" w:cs="Times New Roman"/>
                <w:sz w:val="20"/>
                <w:szCs w:val="20"/>
              </w:rPr>
              <w:t>Parameter</w:t>
            </w:r>
          </w:p>
        </w:tc>
        <w:tc>
          <w:tcPr>
            <w:tcW w:w="1701" w:type="dxa"/>
            <w:vAlign w:val="center"/>
          </w:tcPr>
          <w:p w:rsidR="00E8018B" w:rsidRPr="00D07AE4" w:rsidRDefault="00E8018B">
            <w:pPr>
              <w:jc w:val="center"/>
              <w:rPr>
                <w:rFonts w:ascii="Times New Roman" w:hAnsi="Times New Roman" w:cs="Times New Roman"/>
                <w:sz w:val="20"/>
                <w:szCs w:val="20"/>
              </w:rPr>
            </w:pPr>
            <w:r w:rsidRPr="00D07AE4">
              <w:rPr>
                <w:rFonts w:ascii="Times New Roman" w:eastAsia="宋体" w:hAnsi="Times New Roman" w:cs="Times New Roman"/>
                <w:sz w:val="20"/>
                <w:szCs w:val="20"/>
              </w:rPr>
              <w:t>Dimension (mm)</w:t>
            </w:r>
          </w:p>
        </w:tc>
      </w:tr>
      <w:tr w:rsidR="00D07AE4" w:rsidRPr="00D07AE4" w:rsidTr="00C56BA1">
        <w:trPr>
          <w:trHeight w:val="365"/>
          <w:jc w:val="center"/>
        </w:trPr>
        <w:tc>
          <w:tcPr>
            <w:tcW w:w="1135" w:type="dxa"/>
            <w:vAlign w:val="center"/>
          </w:tcPr>
          <w:p w:rsidR="00E8018B" w:rsidRPr="00D07AE4" w:rsidRDefault="00E8018B" w:rsidP="00110772">
            <w:pPr>
              <w:jc w:val="center"/>
              <w:rPr>
                <w:rFonts w:ascii="Times New Roman" w:eastAsia="宋体" w:hAnsi="Times New Roman" w:cs="Times New Roman"/>
                <w:kern w:val="0"/>
                <w:sz w:val="20"/>
                <w:szCs w:val="20"/>
              </w:rPr>
            </w:pPr>
            <w:r w:rsidRPr="00D07AE4">
              <w:rPr>
                <w:rFonts w:ascii="Times New Roman" w:eastAsia="宋体" w:hAnsi="Times New Roman" w:cs="Times New Roman"/>
                <w:sz w:val="20"/>
                <w:szCs w:val="20"/>
              </w:rPr>
              <w:t>Hs</w:t>
            </w:r>
          </w:p>
        </w:tc>
        <w:tc>
          <w:tcPr>
            <w:tcW w:w="1695" w:type="dxa"/>
            <w:vAlign w:val="center"/>
          </w:tcPr>
          <w:p w:rsidR="00E8018B" w:rsidRPr="00D07AE4" w:rsidRDefault="003D2C83" w:rsidP="00110772">
            <w:pPr>
              <w:jc w:val="center"/>
              <w:rPr>
                <w:rFonts w:ascii="Times New Roman" w:eastAsia="宋体" w:hAnsi="Times New Roman" w:cs="Times New Roman"/>
                <w:kern w:val="0"/>
                <w:sz w:val="20"/>
                <w:szCs w:val="20"/>
              </w:rPr>
            </w:pPr>
            <w:r w:rsidRPr="00D07AE4">
              <w:rPr>
                <w:rFonts w:ascii="Times New Roman" w:eastAsia="宋体" w:hAnsi="Times New Roman" w:cs="Times New Roman"/>
                <w:kern w:val="0"/>
                <w:sz w:val="20"/>
                <w:szCs w:val="20"/>
              </w:rPr>
              <w:t>185</w:t>
            </w:r>
          </w:p>
        </w:tc>
        <w:tc>
          <w:tcPr>
            <w:tcW w:w="1134" w:type="dxa"/>
            <w:vAlign w:val="center"/>
          </w:tcPr>
          <w:p w:rsidR="00E8018B" w:rsidRPr="00D07AE4" w:rsidRDefault="00E8018B" w:rsidP="00110772">
            <w:pPr>
              <w:jc w:val="center"/>
              <w:rPr>
                <w:rFonts w:ascii="Times New Roman" w:eastAsia="宋体" w:hAnsi="Times New Roman" w:cs="Times New Roman"/>
                <w:kern w:val="0"/>
                <w:sz w:val="20"/>
                <w:szCs w:val="20"/>
              </w:rPr>
            </w:pPr>
            <w:r w:rsidRPr="00D07AE4">
              <w:rPr>
                <w:rFonts w:ascii="Times New Roman" w:hAnsi="Times New Roman" w:cs="Times New Roman"/>
                <w:sz w:val="20"/>
                <w:szCs w:val="20"/>
              </w:rPr>
              <w:t>Lp</w:t>
            </w:r>
          </w:p>
        </w:tc>
        <w:tc>
          <w:tcPr>
            <w:tcW w:w="1701" w:type="dxa"/>
            <w:vAlign w:val="center"/>
          </w:tcPr>
          <w:p w:rsidR="00E8018B" w:rsidRPr="00D07AE4" w:rsidRDefault="003D2C83" w:rsidP="00110772">
            <w:pPr>
              <w:jc w:val="center"/>
              <w:rPr>
                <w:rFonts w:ascii="Times New Roman" w:eastAsia="宋体" w:hAnsi="Times New Roman" w:cs="Times New Roman"/>
                <w:sz w:val="20"/>
                <w:szCs w:val="20"/>
              </w:rPr>
            </w:pPr>
            <w:r w:rsidRPr="00D07AE4">
              <w:rPr>
                <w:rFonts w:ascii="Times New Roman" w:eastAsia="宋体" w:hAnsi="Times New Roman" w:cs="Times New Roman"/>
                <w:sz w:val="20"/>
                <w:szCs w:val="20"/>
              </w:rPr>
              <w:t>8</w:t>
            </w:r>
          </w:p>
        </w:tc>
      </w:tr>
      <w:tr w:rsidR="00D07AE4" w:rsidRPr="00D07AE4" w:rsidTr="00C56BA1">
        <w:trPr>
          <w:jc w:val="center"/>
        </w:trPr>
        <w:tc>
          <w:tcPr>
            <w:tcW w:w="1135" w:type="dxa"/>
            <w:vAlign w:val="center"/>
          </w:tcPr>
          <w:p w:rsidR="00E8018B" w:rsidRPr="00D07AE4" w:rsidRDefault="00E8018B" w:rsidP="00110772">
            <w:pPr>
              <w:jc w:val="center"/>
              <w:rPr>
                <w:rFonts w:ascii="Times New Roman" w:eastAsia="宋体" w:hAnsi="Times New Roman" w:cs="Times New Roman"/>
                <w:kern w:val="0"/>
                <w:sz w:val="20"/>
                <w:szCs w:val="20"/>
              </w:rPr>
            </w:pPr>
            <w:r w:rsidRPr="00D07AE4">
              <w:rPr>
                <w:rFonts w:ascii="Times New Roman" w:eastAsia="宋体" w:hAnsi="Times New Roman" w:cs="Times New Roman"/>
                <w:sz w:val="20"/>
                <w:szCs w:val="20"/>
              </w:rPr>
              <w:t>Ds</w:t>
            </w:r>
          </w:p>
        </w:tc>
        <w:tc>
          <w:tcPr>
            <w:tcW w:w="1695" w:type="dxa"/>
            <w:vAlign w:val="center"/>
          </w:tcPr>
          <w:p w:rsidR="00E8018B" w:rsidRPr="00D07AE4" w:rsidRDefault="003D2C83" w:rsidP="00110772">
            <w:pPr>
              <w:jc w:val="center"/>
              <w:rPr>
                <w:rFonts w:ascii="Times New Roman" w:eastAsia="宋体" w:hAnsi="Times New Roman" w:cs="Times New Roman"/>
                <w:kern w:val="0"/>
                <w:sz w:val="20"/>
                <w:szCs w:val="20"/>
              </w:rPr>
            </w:pPr>
            <w:r w:rsidRPr="00D07AE4">
              <w:rPr>
                <w:rFonts w:ascii="Times New Roman" w:eastAsia="宋体" w:hAnsi="Times New Roman" w:cs="Times New Roman"/>
                <w:kern w:val="0"/>
                <w:sz w:val="20"/>
                <w:szCs w:val="20"/>
              </w:rPr>
              <w:t>21</w:t>
            </w:r>
          </w:p>
        </w:tc>
        <w:tc>
          <w:tcPr>
            <w:tcW w:w="1134" w:type="dxa"/>
            <w:vAlign w:val="center"/>
          </w:tcPr>
          <w:p w:rsidR="00E8018B" w:rsidRPr="00D07AE4" w:rsidRDefault="00E8018B" w:rsidP="00110772">
            <w:pPr>
              <w:jc w:val="center"/>
              <w:rPr>
                <w:rFonts w:ascii="Times New Roman" w:eastAsia="宋体" w:hAnsi="Times New Roman" w:cs="Times New Roman"/>
                <w:kern w:val="0"/>
                <w:sz w:val="20"/>
                <w:szCs w:val="20"/>
              </w:rPr>
            </w:pPr>
            <w:r w:rsidRPr="00D07AE4">
              <w:rPr>
                <w:rFonts w:ascii="Times New Roman" w:hAnsi="Times New Roman" w:cs="Times New Roman"/>
                <w:sz w:val="20"/>
                <w:szCs w:val="20"/>
              </w:rPr>
              <w:t>Rto</w:t>
            </w:r>
          </w:p>
        </w:tc>
        <w:tc>
          <w:tcPr>
            <w:tcW w:w="1701" w:type="dxa"/>
            <w:vAlign w:val="center"/>
          </w:tcPr>
          <w:p w:rsidR="00E8018B" w:rsidRPr="00D07AE4" w:rsidRDefault="003D2C83" w:rsidP="00110772">
            <w:pPr>
              <w:jc w:val="center"/>
              <w:rPr>
                <w:rFonts w:ascii="Times New Roman" w:eastAsia="宋体" w:hAnsi="Times New Roman" w:cs="Times New Roman"/>
                <w:sz w:val="20"/>
                <w:szCs w:val="20"/>
              </w:rPr>
            </w:pPr>
            <w:r w:rsidRPr="00D07AE4">
              <w:rPr>
                <w:rFonts w:ascii="Times New Roman" w:eastAsia="宋体" w:hAnsi="Times New Roman" w:cs="Times New Roman"/>
                <w:sz w:val="20"/>
                <w:szCs w:val="20"/>
              </w:rPr>
              <w:t>5</w:t>
            </w:r>
          </w:p>
        </w:tc>
      </w:tr>
      <w:tr w:rsidR="00D07AE4" w:rsidRPr="00D07AE4" w:rsidTr="00C56BA1">
        <w:trPr>
          <w:jc w:val="center"/>
        </w:trPr>
        <w:tc>
          <w:tcPr>
            <w:tcW w:w="1135" w:type="dxa"/>
            <w:vAlign w:val="center"/>
          </w:tcPr>
          <w:p w:rsidR="00E8018B" w:rsidRPr="00D07AE4" w:rsidRDefault="00E8018B" w:rsidP="00110772">
            <w:pPr>
              <w:jc w:val="center"/>
              <w:rPr>
                <w:rFonts w:ascii="Times New Roman" w:eastAsia="宋体" w:hAnsi="Times New Roman" w:cs="Times New Roman"/>
                <w:kern w:val="0"/>
                <w:sz w:val="20"/>
                <w:szCs w:val="20"/>
              </w:rPr>
            </w:pPr>
            <w:r w:rsidRPr="00D07AE4">
              <w:rPr>
                <w:rFonts w:ascii="Times New Roman" w:hAnsi="Times New Roman" w:cs="Times New Roman"/>
                <w:sz w:val="20"/>
                <w:szCs w:val="20"/>
              </w:rPr>
              <w:t>Lg</w:t>
            </w:r>
          </w:p>
        </w:tc>
        <w:tc>
          <w:tcPr>
            <w:tcW w:w="1695" w:type="dxa"/>
            <w:vAlign w:val="center"/>
          </w:tcPr>
          <w:p w:rsidR="00E8018B" w:rsidRPr="00D07AE4" w:rsidRDefault="003D2C83" w:rsidP="00110772">
            <w:pPr>
              <w:jc w:val="center"/>
              <w:rPr>
                <w:rFonts w:ascii="Times New Roman" w:eastAsia="宋体" w:hAnsi="Times New Roman" w:cs="Times New Roman"/>
                <w:kern w:val="0"/>
                <w:sz w:val="20"/>
                <w:szCs w:val="20"/>
              </w:rPr>
            </w:pPr>
            <w:r w:rsidRPr="00D07AE4">
              <w:rPr>
                <w:rFonts w:ascii="Times New Roman" w:eastAsia="宋体" w:hAnsi="Times New Roman" w:cs="Times New Roman"/>
                <w:kern w:val="0"/>
                <w:sz w:val="20"/>
                <w:szCs w:val="20"/>
              </w:rPr>
              <w:t>100</w:t>
            </w:r>
          </w:p>
        </w:tc>
        <w:tc>
          <w:tcPr>
            <w:tcW w:w="1134" w:type="dxa"/>
            <w:vAlign w:val="center"/>
          </w:tcPr>
          <w:p w:rsidR="00E8018B" w:rsidRPr="00D07AE4" w:rsidRDefault="00E8018B" w:rsidP="00110772">
            <w:pPr>
              <w:jc w:val="center"/>
              <w:rPr>
                <w:rFonts w:ascii="Times New Roman" w:eastAsia="宋体" w:hAnsi="Times New Roman" w:cs="Times New Roman"/>
                <w:kern w:val="0"/>
                <w:sz w:val="20"/>
                <w:szCs w:val="20"/>
              </w:rPr>
            </w:pPr>
            <w:r w:rsidRPr="00D07AE4">
              <w:rPr>
                <w:rFonts w:ascii="Times New Roman" w:hAnsi="Times New Roman" w:cs="Times New Roman"/>
                <w:sz w:val="20"/>
                <w:szCs w:val="20"/>
              </w:rPr>
              <w:t>Tg</w:t>
            </w:r>
          </w:p>
        </w:tc>
        <w:tc>
          <w:tcPr>
            <w:tcW w:w="1701" w:type="dxa"/>
            <w:vAlign w:val="center"/>
          </w:tcPr>
          <w:p w:rsidR="00E8018B" w:rsidRPr="00D07AE4" w:rsidRDefault="003D2C83" w:rsidP="00110772">
            <w:pPr>
              <w:jc w:val="center"/>
              <w:rPr>
                <w:rFonts w:ascii="Times New Roman" w:eastAsia="宋体" w:hAnsi="Times New Roman" w:cs="Times New Roman"/>
                <w:sz w:val="20"/>
                <w:szCs w:val="20"/>
              </w:rPr>
            </w:pPr>
            <w:r w:rsidRPr="00D07AE4">
              <w:rPr>
                <w:rFonts w:ascii="Times New Roman" w:eastAsia="宋体" w:hAnsi="Times New Roman" w:cs="Times New Roman"/>
                <w:sz w:val="20"/>
                <w:szCs w:val="20"/>
              </w:rPr>
              <w:t>0.035</w:t>
            </w:r>
          </w:p>
        </w:tc>
      </w:tr>
      <w:tr w:rsidR="00D07AE4" w:rsidRPr="00D07AE4" w:rsidTr="00C56BA1">
        <w:trPr>
          <w:jc w:val="center"/>
        </w:trPr>
        <w:tc>
          <w:tcPr>
            <w:tcW w:w="1135" w:type="dxa"/>
            <w:vAlign w:val="center"/>
          </w:tcPr>
          <w:p w:rsidR="00E8018B" w:rsidRPr="00D07AE4" w:rsidRDefault="00E8018B" w:rsidP="00110772">
            <w:pPr>
              <w:jc w:val="center"/>
              <w:rPr>
                <w:rFonts w:ascii="Times New Roman" w:eastAsia="宋体" w:hAnsi="Times New Roman" w:cs="Times New Roman"/>
                <w:kern w:val="0"/>
                <w:sz w:val="20"/>
                <w:szCs w:val="20"/>
              </w:rPr>
            </w:pPr>
            <w:r w:rsidRPr="00D07AE4">
              <w:rPr>
                <w:rFonts w:ascii="Times New Roman" w:hAnsi="Times New Roman" w:cs="Times New Roman"/>
                <w:sz w:val="20"/>
                <w:szCs w:val="20"/>
              </w:rPr>
              <w:t>Wg</w:t>
            </w:r>
          </w:p>
        </w:tc>
        <w:tc>
          <w:tcPr>
            <w:tcW w:w="1695" w:type="dxa"/>
            <w:vAlign w:val="center"/>
          </w:tcPr>
          <w:p w:rsidR="00E8018B" w:rsidRPr="00D07AE4" w:rsidRDefault="003D2C83" w:rsidP="00110772">
            <w:pPr>
              <w:jc w:val="center"/>
              <w:rPr>
                <w:rFonts w:ascii="Times New Roman" w:eastAsia="宋体" w:hAnsi="Times New Roman" w:cs="Times New Roman"/>
                <w:kern w:val="0"/>
                <w:sz w:val="20"/>
                <w:szCs w:val="20"/>
              </w:rPr>
            </w:pPr>
            <w:r w:rsidRPr="00D07AE4">
              <w:rPr>
                <w:rFonts w:ascii="Times New Roman" w:eastAsia="宋体" w:hAnsi="Times New Roman" w:cs="Times New Roman"/>
                <w:kern w:val="0"/>
                <w:sz w:val="20"/>
                <w:szCs w:val="20"/>
              </w:rPr>
              <w:t>70</w:t>
            </w:r>
          </w:p>
        </w:tc>
        <w:tc>
          <w:tcPr>
            <w:tcW w:w="1134" w:type="dxa"/>
            <w:vAlign w:val="center"/>
          </w:tcPr>
          <w:p w:rsidR="00E8018B" w:rsidRPr="00D07AE4" w:rsidRDefault="00E8018B" w:rsidP="00110772">
            <w:pPr>
              <w:jc w:val="center"/>
              <w:rPr>
                <w:rFonts w:ascii="Times New Roman" w:eastAsia="宋体" w:hAnsi="Times New Roman" w:cs="Times New Roman"/>
                <w:kern w:val="0"/>
                <w:sz w:val="20"/>
                <w:szCs w:val="20"/>
              </w:rPr>
            </w:pPr>
            <w:r w:rsidRPr="00D07AE4">
              <w:rPr>
                <w:rFonts w:ascii="Times New Roman" w:hAnsi="Times New Roman" w:cs="Times New Roman"/>
                <w:sz w:val="20"/>
                <w:szCs w:val="20"/>
              </w:rPr>
              <w:t>Ts</w:t>
            </w:r>
          </w:p>
        </w:tc>
        <w:tc>
          <w:tcPr>
            <w:tcW w:w="1701" w:type="dxa"/>
            <w:vAlign w:val="center"/>
          </w:tcPr>
          <w:p w:rsidR="00E8018B" w:rsidRPr="00D07AE4" w:rsidRDefault="003D2C83" w:rsidP="00110772">
            <w:pPr>
              <w:jc w:val="center"/>
              <w:rPr>
                <w:rFonts w:ascii="Times New Roman" w:eastAsia="宋体" w:hAnsi="Times New Roman" w:cs="Times New Roman"/>
                <w:sz w:val="20"/>
                <w:szCs w:val="20"/>
              </w:rPr>
            </w:pPr>
            <w:r w:rsidRPr="00D07AE4">
              <w:rPr>
                <w:rFonts w:ascii="Times New Roman" w:eastAsia="宋体" w:hAnsi="Times New Roman" w:cs="Times New Roman"/>
                <w:sz w:val="20"/>
                <w:szCs w:val="20"/>
              </w:rPr>
              <w:t>2.2</w:t>
            </w:r>
          </w:p>
        </w:tc>
      </w:tr>
      <w:tr w:rsidR="00D07AE4" w:rsidRPr="00D07AE4" w:rsidTr="00C56BA1">
        <w:trPr>
          <w:jc w:val="center"/>
        </w:trPr>
        <w:tc>
          <w:tcPr>
            <w:tcW w:w="1135" w:type="dxa"/>
            <w:vAlign w:val="center"/>
          </w:tcPr>
          <w:p w:rsidR="00E8018B" w:rsidRPr="00D07AE4" w:rsidRDefault="00E8018B" w:rsidP="00110772">
            <w:pPr>
              <w:jc w:val="center"/>
              <w:rPr>
                <w:rFonts w:ascii="Times New Roman" w:eastAsia="宋体" w:hAnsi="Times New Roman" w:cs="Times New Roman"/>
                <w:kern w:val="0"/>
                <w:sz w:val="20"/>
                <w:szCs w:val="20"/>
              </w:rPr>
            </w:pPr>
            <w:r w:rsidRPr="00D07AE4">
              <w:rPr>
                <w:rFonts w:ascii="Times New Roman" w:hAnsi="Times New Roman" w:cs="Times New Roman"/>
                <w:sz w:val="20"/>
                <w:szCs w:val="20"/>
              </w:rPr>
              <w:t>Hv</w:t>
            </w:r>
          </w:p>
        </w:tc>
        <w:tc>
          <w:tcPr>
            <w:tcW w:w="1695" w:type="dxa"/>
            <w:vAlign w:val="center"/>
          </w:tcPr>
          <w:p w:rsidR="00E8018B" w:rsidRPr="00D07AE4" w:rsidRDefault="003D2C83" w:rsidP="00110772">
            <w:pPr>
              <w:jc w:val="center"/>
              <w:rPr>
                <w:rFonts w:ascii="Times New Roman" w:eastAsia="宋体" w:hAnsi="Times New Roman" w:cs="Times New Roman"/>
                <w:kern w:val="0"/>
                <w:sz w:val="20"/>
                <w:szCs w:val="20"/>
              </w:rPr>
            </w:pPr>
            <w:r w:rsidRPr="00D07AE4">
              <w:rPr>
                <w:rFonts w:ascii="Times New Roman" w:eastAsia="宋体" w:hAnsi="Times New Roman" w:cs="Times New Roman"/>
                <w:kern w:val="0"/>
                <w:sz w:val="20"/>
                <w:szCs w:val="20"/>
              </w:rPr>
              <w:t>17</w:t>
            </w:r>
          </w:p>
        </w:tc>
        <w:tc>
          <w:tcPr>
            <w:tcW w:w="1134" w:type="dxa"/>
            <w:vAlign w:val="center"/>
          </w:tcPr>
          <w:p w:rsidR="00E8018B" w:rsidRPr="00D07AE4" w:rsidRDefault="00E8018B" w:rsidP="00110772">
            <w:pPr>
              <w:jc w:val="center"/>
              <w:rPr>
                <w:rFonts w:ascii="Times New Roman" w:eastAsia="宋体" w:hAnsi="Times New Roman" w:cs="Times New Roman"/>
                <w:kern w:val="0"/>
                <w:sz w:val="20"/>
                <w:szCs w:val="20"/>
              </w:rPr>
            </w:pPr>
          </w:p>
        </w:tc>
        <w:tc>
          <w:tcPr>
            <w:tcW w:w="1701" w:type="dxa"/>
            <w:vAlign w:val="center"/>
          </w:tcPr>
          <w:p w:rsidR="00E8018B" w:rsidRPr="00D07AE4" w:rsidRDefault="00E8018B" w:rsidP="00110772">
            <w:pPr>
              <w:jc w:val="center"/>
              <w:rPr>
                <w:rFonts w:ascii="Times New Roman" w:eastAsia="宋体" w:hAnsi="Times New Roman" w:cs="Times New Roman"/>
                <w:sz w:val="20"/>
                <w:szCs w:val="20"/>
              </w:rPr>
            </w:pPr>
          </w:p>
        </w:tc>
      </w:tr>
    </w:tbl>
    <w:p w:rsidR="00CA36BF" w:rsidRPr="00D07AE4" w:rsidRDefault="00376759" w:rsidP="00CA36BF">
      <w:pPr>
        <w:pStyle w:val="Text"/>
        <w:ind w:firstLine="0"/>
        <w:jc w:val="center"/>
        <w:rPr>
          <w:lang w:eastAsia="zh-CN"/>
        </w:rPr>
      </w:pPr>
      <w:r w:rsidRPr="00D07AE4">
        <w:t xml:space="preserve"> </w:t>
      </w:r>
      <w:r w:rsidRPr="00D07AE4">
        <w:object w:dxaOrig="6888" w:dyaOrig="7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pt;height:319pt" o:ole="">
            <v:imagedata r:id="rId15" o:title=""/>
          </v:shape>
          <o:OLEObject Type="Embed" ProgID="Visio.Drawing.11" ShapeID="_x0000_i1025" DrawAspect="Content" ObjectID="_1559389815" r:id="rId16"/>
        </w:object>
      </w:r>
    </w:p>
    <w:p w:rsidR="00CA36BF" w:rsidRPr="00D07AE4" w:rsidRDefault="00CA36BF" w:rsidP="00C56BA1">
      <w:pPr>
        <w:pStyle w:val="Newparagraph"/>
        <w:ind w:firstLine="0"/>
        <w:jc w:val="center"/>
      </w:pPr>
      <w:r w:rsidRPr="00D07AE4">
        <w:rPr>
          <w:rFonts w:hint="eastAsia"/>
          <w:sz w:val="22"/>
          <w:szCs w:val="22"/>
          <w:lang w:eastAsia="zh-CN"/>
        </w:rPr>
        <w:t>Fig</w:t>
      </w:r>
      <w:r w:rsidR="0098221A" w:rsidRPr="00D07AE4">
        <w:rPr>
          <w:sz w:val="22"/>
          <w:szCs w:val="22"/>
          <w:lang w:eastAsia="zh-CN"/>
        </w:rPr>
        <w:t>ure</w:t>
      </w:r>
      <w:r w:rsidRPr="00D07AE4">
        <w:rPr>
          <w:rFonts w:hint="eastAsia"/>
          <w:sz w:val="22"/>
          <w:szCs w:val="22"/>
          <w:lang w:eastAsia="zh-CN"/>
        </w:rPr>
        <w:t xml:space="preserve"> 2. </w:t>
      </w:r>
      <w:r w:rsidRPr="00D07AE4">
        <w:rPr>
          <w:noProof/>
          <w:sz w:val="22"/>
          <w:szCs w:val="22"/>
          <w:lang w:eastAsia="zh-CN"/>
        </w:rPr>
        <w:t>The s</w:t>
      </w:r>
      <w:r w:rsidRPr="00D07AE4">
        <w:rPr>
          <w:rFonts w:hint="eastAsia"/>
          <w:noProof/>
          <w:sz w:val="22"/>
          <w:szCs w:val="22"/>
          <w:lang w:eastAsia="zh-CN"/>
        </w:rPr>
        <w:t>tructure</w:t>
      </w:r>
      <w:r w:rsidRPr="00D07AE4">
        <w:rPr>
          <w:rFonts w:hint="eastAsia"/>
          <w:sz w:val="22"/>
          <w:szCs w:val="22"/>
          <w:lang w:eastAsia="zh-CN"/>
        </w:rPr>
        <w:t xml:space="preserve"> of the </w:t>
      </w:r>
      <w:r w:rsidRPr="00D07AE4">
        <w:rPr>
          <w:sz w:val="22"/>
          <w:szCs w:val="22"/>
          <w:lang w:eastAsia="zh-CN"/>
        </w:rPr>
        <w:t>helical saline water antenna.</w:t>
      </w:r>
    </w:p>
    <w:p w:rsidR="009430B5" w:rsidRPr="00D07AE4" w:rsidRDefault="009430B5" w:rsidP="00C56BA1">
      <w:pPr>
        <w:pStyle w:val="Newparagraph"/>
        <w:ind w:firstLine="0"/>
        <w:jc w:val="both"/>
        <w:rPr>
          <w:sz w:val="22"/>
          <w:szCs w:val="22"/>
        </w:rPr>
      </w:pPr>
      <w:r w:rsidRPr="00D07AE4">
        <w:rPr>
          <w:sz w:val="22"/>
          <w:szCs w:val="22"/>
        </w:rPr>
        <w:t>A flexible transparent tube with the inner diameter of 3.0 mm and the outer diameter of 5.0 mm is used to contain the saline water, and it is twined around the c</w:t>
      </w:r>
      <w:r w:rsidR="00257B01" w:rsidRPr="00D07AE4">
        <w:rPr>
          <w:sz w:val="22"/>
          <w:szCs w:val="22"/>
        </w:rPr>
        <w:t>ylindrical</w:t>
      </w:r>
      <w:r w:rsidRPr="00D07AE4">
        <w:rPr>
          <w:sz w:val="22"/>
          <w:szCs w:val="22"/>
        </w:rPr>
        <w:t xml:space="preserve"> support for eight circles. Since t</w:t>
      </w:r>
      <w:r w:rsidRPr="00D07AE4">
        <w:rPr>
          <w:rFonts w:hint="eastAsia"/>
          <w:sz w:val="22"/>
          <w:szCs w:val="22"/>
        </w:rPr>
        <w:t xml:space="preserve">he </w:t>
      </w:r>
      <w:r w:rsidRPr="00D07AE4">
        <w:rPr>
          <w:sz w:val="22"/>
          <w:szCs w:val="22"/>
        </w:rPr>
        <w:t xml:space="preserve">hard tube is fixed at the center of the substrate, thus, the location of the feeding probe is 12.5 mm to the center of the substrate, considering the radius of the two tubes. </w:t>
      </w:r>
      <w:r w:rsidR="000D24E3" w:rsidRPr="00D07AE4">
        <w:rPr>
          <w:sz w:val="22"/>
          <w:szCs w:val="22"/>
        </w:rPr>
        <w:t xml:space="preserve">As has been introduced, the total length of the transparent hard cylindrical tube is 185 mm. There is not only 8 circles around it, but also a vertical straight liquid part of 17.0 mm at the lower end. So the total </w:t>
      </w:r>
      <w:r w:rsidR="000D24E3" w:rsidRPr="00D07AE4">
        <w:rPr>
          <w:sz w:val="22"/>
          <w:szCs w:val="22"/>
        </w:rPr>
        <w:lastRenderedPageBreak/>
        <w:t>length of the circles is 168 mm, and the distance between the adjacent helical circles is 21.0 mm each.</w:t>
      </w:r>
    </w:p>
    <w:p w:rsidR="009430B5" w:rsidRPr="00D07AE4" w:rsidRDefault="009430B5" w:rsidP="00C56BA1">
      <w:pPr>
        <w:pStyle w:val="Newparagraph"/>
        <w:ind w:firstLine="0"/>
        <w:jc w:val="both"/>
      </w:pPr>
      <w:r w:rsidRPr="00D07AE4">
        <w:rPr>
          <w:sz w:val="22"/>
          <w:szCs w:val="22"/>
        </w:rPr>
        <w:t xml:space="preserve">The liquid can be injected into or be sucked out from the soft tube by the syringe, thus to realize the tunability of the antenna. That is to say, we could get a rotation angle of 2,880 degrees of the maximum, while the angle could be decreased to be only 720 degrees or even </w:t>
      </w:r>
      <w:r w:rsidRPr="00D07AE4">
        <w:rPr>
          <w:noProof/>
          <w:sz w:val="22"/>
          <w:szCs w:val="22"/>
        </w:rPr>
        <w:t>less,</w:t>
      </w:r>
      <w:r w:rsidRPr="00D07AE4">
        <w:rPr>
          <w:sz w:val="22"/>
          <w:szCs w:val="22"/>
        </w:rPr>
        <w:t xml:space="preserve"> if we get water out of the tube. By this means, the manual tunability of the antenna could </w:t>
      </w:r>
      <w:r w:rsidRPr="00D07AE4">
        <w:rPr>
          <w:noProof/>
          <w:sz w:val="22"/>
          <w:szCs w:val="22"/>
        </w:rPr>
        <w:t>be obtained</w:t>
      </w:r>
      <w:r w:rsidRPr="00D07AE4">
        <w:rPr>
          <w:sz w:val="22"/>
          <w:szCs w:val="22"/>
        </w:rPr>
        <w:t>. And there is no need to change the whole structure during the variations of the inner liquid.</w:t>
      </w:r>
    </w:p>
    <w:p w:rsidR="00BC66F2" w:rsidRPr="00D07AE4" w:rsidRDefault="00BC66F2" w:rsidP="00BC66F2">
      <w:pPr>
        <w:pStyle w:val="Text"/>
        <w:ind w:firstLine="0"/>
        <w:jc w:val="center"/>
        <w:rPr>
          <w:sz w:val="22"/>
          <w:szCs w:val="22"/>
          <w:lang w:eastAsia="zh-CN"/>
        </w:rPr>
      </w:pPr>
    </w:p>
    <w:p w:rsidR="0092202F" w:rsidRPr="00D07AE4" w:rsidRDefault="00EC74B5" w:rsidP="0092202F">
      <w:pPr>
        <w:pStyle w:val="1"/>
      </w:pPr>
      <w:r w:rsidRPr="00D07AE4">
        <w:t>3</w:t>
      </w:r>
      <w:r w:rsidR="0092202F" w:rsidRPr="00D07AE4">
        <w:t xml:space="preserve">. </w:t>
      </w:r>
      <w:r w:rsidRPr="00D07AE4">
        <w:t>Simulations and analysis</w:t>
      </w:r>
    </w:p>
    <w:p w:rsidR="00BC66F2" w:rsidRPr="00D07AE4" w:rsidRDefault="00EC74B5" w:rsidP="00BC66F2">
      <w:pPr>
        <w:pStyle w:val="2"/>
      </w:pPr>
      <w:r w:rsidRPr="00D07AE4">
        <w:t>3.1</w:t>
      </w:r>
      <w:r w:rsidR="00BC66F2" w:rsidRPr="00D07AE4">
        <w:t xml:space="preserve">. Variations of the </w:t>
      </w:r>
      <w:r w:rsidRPr="00D07AE4">
        <w:t xml:space="preserve">radiation diversity according </w:t>
      </w:r>
      <w:r w:rsidR="00BC66F2" w:rsidRPr="00D07AE4">
        <w:t xml:space="preserve">to the </w:t>
      </w:r>
      <w:r w:rsidRPr="00D07AE4">
        <w:t xml:space="preserve">ratio </w:t>
      </w:r>
      <w:r w:rsidR="00BC66F2" w:rsidRPr="00D07AE4">
        <w:t xml:space="preserve">of the </w:t>
      </w:r>
      <w:r w:rsidRPr="00D07AE4">
        <w:t xml:space="preserve">diameter </w:t>
      </w:r>
      <w:r w:rsidR="00BC66F2" w:rsidRPr="00D07AE4">
        <w:t xml:space="preserve">to the </w:t>
      </w:r>
      <w:r w:rsidRPr="00D07AE4">
        <w:t>wavelength</w:t>
      </w:r>
    </w:p>
    <w:p w:rsidR="00BC66F2" w:rsidRPr="00D07AE4" w:rsidRDefault="00BC66F2" w:rsidP="00161812">
      <w:pPr>
        <w:pStyle w:val="Newparagraph"/>
        <w:ind w:firstLine="0"/>
        <w:jc w:val="both"/>
        <w:rPr>
          <w:sz w:val="22"/>
          <w:szCs w:val="22"/>
        </w:rPr>
      </w:pPr>
      <w:r w:rsidRPr="00D07AE4">
        <w:rPr>
          <w:sz w:val="22"/>
          <w:szCs w:val="22"/>
        </w:rPr>
        <w:t>For a metal helical antenna, it has been proved that the antenna with a certain ratio of the diameter to the operating wavelength will present three state</w:t>
      </w:r>
      <w:r w:rsidR="00D07AE4">
        <w:rPr>
          <w:sz w:val="22"/>
          <w:szCs w:val="22"/>
        </w:rPr>
        <w:t>ment</w:t>
      </w:r>
      <w:r w:rsidRPr="00D07AE4">
        <w:rPr>
          <w:sz w:val="22"/>
          <w:szCs w:val="22"/>
        </w:rPr>
        <w:t>s of radiation patterns, as shown in Fig</w:t>
      </w:r>
      <w:r w:rsidR="0098221A" w:rsidRPr="00D07AE4">
        <w:rPr>
          <w:sz w:val="22"/>
          <w:szCs w:val="22"/>
        </w:rPr>
        <w:t xml:space="preserve">ure </w:t>
      </w:r>
      <w:r w:rsidRPr="00D07AE4">
        <w:rPr>
          <w:sz w:val="22"/>
          <w:szCs w:val="22"/>
        </w:rPr>
        <w:t>3</w:t>
      </w:r>
      <w:r w:rsidR="00243976" w:rsidRPr="00D07AE4">
        <w:rPr>
          <w:sz w:val="22"/>
          <w:szCs w:val="22"/>
        </w:rPr>
        <w:t xml:space="preserve"> </w:t>
      </w:r>
      <w:r w:rsidR="00243976" w:rsidRPr="00D07AE4">
        <w:rPr>
          <w:rFonts w:hint="eastAsia"/>
          <w:sz w:val="22"/>
          <w:szCs w:val="22"/>
          <w:lang w:eastAsia="zh-CN"/>
        </w:rPr>
        <w:t>[</w:t>
      </w:r>
      <w:r w:rsidR="00243976" w:rsidRPr="00D07AE4">
        <w:rPr>
          <w:sz w:val="22"/>
          <w:szCs w:val="22"/>
          <w:lang w:eastAsia="zh-CN"/>
        </w:rPr>
        <w:t>1</w:t>
      </w:r>
      <w:r w:rsidR="00396E3A" w:rsidRPr="00D07AE4">
        <w:rPr>
          <w:sz w:val="22"/>
          <w:szCs w:val="22"/>
          <w:lang w:eastAsia="zh-CN"/>
        </w:rPr>
        <w:t>6</w:t>
      </w:r>
      <w:r w:rsidR="00243976" w:rsidRPr="00D07AE4">
        <w:rPr>
          <w:sz w:val="22"/>
          <w:szCs w:val="22"/>
          <w:lang w:eastAsia="zh-CN"/>
        </w:rPr>
        <w:t>]</w:t>
      </w:r>
      <w:r w:rsidRPr="00D07AE4">
        <w:rPr>
          <w:sz w:val="22"/>
          <w:szCs w:val="22"/>
        </w:rPr>
        <w:t>.</w:t>
      </w:r>
    </w:p>
    <w:p w:rsidR="00BC66F2" w:rsidRPr="00D07AE4" w:rsidRDefault="00BC66F2" w:rsidP="00BC66F2">
      <w:pPr>
        <w:pStyle w:val="Text"/>
        <w:ind w:firstLine="0"/>
        <w:jc w:val="center"/>
      </w:pPr>
      <w:r w:rsidRPr="00D07AE4">
        <w:rPr>
          <w:noProof/>
          <w:lang w:eastAsia="zh-CN"/>
        </w:rPr>
        <w:drawing>
          <wp:inline distT="0" distB="0" distL="0" distR="0" wp14:anchorId="773C03FE" wp14:editId="547225FA">
            <wp:extent cx="2227987" cy="1679171"/>
            <wp:effectExtent l="0" t="0" r="127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3137" cy="1705663"/>
                    </a:xfrm>
                    <a:prstGeom prst="rect">
                      <a:avLst/>
                    </a:prstGeom>
                  </pic:spPr>
                </pic:pic>
              </a:graphicData>
            </a:graphic>
          </wp:inline>
        </w:drawing>
      </w:r>
    </w:p>
    <w:p w:rsidR="00BC66F2" w:rsidRPr="00D07AE4" w:rsidRDefault="00BC66F2" w:rsidP="00BC66F2">
      <w:pPr>
        <w:pStyle w:val="Text"/>
        <w:ind w:firstLine="0"/>
        <w:jc w:val="center"/>
        <w:rPr>
          <w:sz w:val="22"/>
          <w:szCs w:val="22"/>
        </w:rPr>
      </w:pPr>
      <w:r w:rsidRPr="00D07AE4">
        <w:rPr>
          <w:sz w:val="22"/>
          <w:szCs w:val="22"/>
        </w:rPr>
        <w:t>Fig</w:t>
      </w:r>
      <w:r w:rsidR="0098221A" w:rsidRPr="00D07AE4">
        <w:rPr>
          <w:sz w:val="22"/>
          <w:szCs w:val="22"/>
        </w:rPr>
        <w:t xml:space="preserve">ure </w:t>
      </w:r>
      <w:r w:rsidRPr="00D07AE4">
        <w:rPr>
          <w:sz w:val="22"/>
          <w:szCs w:val="22"/>
        </w:rPr>
        <w:t>3. The variation of the radiation patterns according to the ratio of the diameter to the wavelength.</w:t>
      </w:r>
    </w:p>
    <w:p w:rsidR="00BC66F2" w:rsidRPr="00D07AE4" w:rsidRDefault="00D07AE4" w:rsidP="00161812">
      <w:pPr>
        <w:pStyle w:val="Newparagraph"/>
        <w:ind w:firstLine="0"/>
        <w:jc w:val="both"/>
        <w:rPr>
          <w:sz w:val="22"/>
          <w:szCs w:val="22"/>
        </w:rPr>
      </w:pPr>
      <w:r>
        <w:rPr>
          <w:sz w:val="22"/>
          <w:szCs w:val="22"/>
        </w:rPr>
        <w:t>A</w:t>
      </w:r>
      <w:r w:rsidR="00BC66F2" w:rsidRPr="00D07AE4">
        <w:rPr>
          <w:sz w:val="22"/>
          <w:szCs w:val="22"/>
        </w:rPr>
        <w:t xml:space="preserve"> similar conclusion as metal antennas has been achieved after our investigation on the saline water helical antenna. The directivity of three statements of the antenna, including horizontal omnidirectional, end-fire and sloping up radiation.</w:t>
      </w:r>
      <w:r w:rsidR="00AB7077" w:rsidRPr="00D07AE4">
        <w:rPr>
          <w:sz w:val="22"/>
          <w:szCs w:val="22"/>
        </w:rPr>
        <w:t xml:space="preserve"> CST Microwave Studio is used for the modelling and the simulations.</w:t>
      </w:r>
    </w:p>
    <w:p w:rsidR="00BC66F2" w:rsidRPr="00D07AE4" w:rsidRDefault="00BC66F2" w:rsidP="00BC66F2">
      <w:pPr>
        <w:pStyle w:val="Text"/>
        <w:ind w:firstLine="0"/>
        <w:jc w:val="center"/>
        <w:rPr>
          <w:lang w:eastAsia="zh-CN"/>
        </w:rPr>
      </w:pPr>
      <w:r w:rsidRPr="00D07AE4">
        <w:rPr>
          <w:noProof/>
          <w:lang w:eastAsia="zh-CN"/>
        </w:rPr>
        <w:lastRenderedPageBreak/>
        <w:drawing>
          <wp:inline distT="0" distB="0" distL="0" distR="0" wp14:anchorId="3A27C7A7" wp14:editId="232337B9">
            <wp:extent cx="1595783" cy="1619250"/>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992" cy="1624536"/>
                    </a:xfrm>
                    <a:prstGeom prst="rect">
                      <a:avLst/>
                    </a:prstGeom>
                  </pic:spPr>
                </pic:pic>
              </a:graphicData>
            </a:graphic>
          </wp:inline>
        </w:drawing>
      </w:r>
      <w:r w:rsidR="007311D4" w:rsidRPr="00D07AE4">
        <w:rPr>
          <w:rFonts w:hint="eastAsia"/>
          <w:lang w:eastAsia="zh-CN"/>
        </w:rPr>
        <w:t xml:space="preserve"> </w:t>
      </w:r>
      <w:r w:rsidR="00C13F7C" w:rsidRPr="00D07AE4">
        <w:t xml:space="preserve"> </w:t>
      </w:r>
      <w:r w:rsidR="00C13F7C" w:rsidRPr="00D07AE4">
        <w:object w:dxaOrig="4756" w:dyaOrig="3667">
          <v:shape id="_x0000_i1026" type="#_x0000_t75" style="width:238pt;height:183.5pt" o:ole="">
            <v:imagedata r:id="rId19" o:title=""/>
          </v:shape>
          <o:OLEObject Type="Embed" ProgID="Origin50.Graph" ShapeID="_x0000_i1026" DrawAspect="Content" ObjectID="_1559389816" r:id="rId20"/>
        </w:object>
      </w:r>
    </w:p>
    <w:p w:rsidR="00BC66F2" w:rsidRPr="00D07AE4" w:rsidRDefault="007311D4" w:rsidP="007311D4">
      <w:pPr>
        <w:pStyle w:val="Text"/>
        <w:numPr>
          <w:ilvl w:val="0"/>
          <w:numId w:val="38"/>
        </w:numPr>
        <w:rPr>
          <w:lang w:eastAsia="zh-CN"/>
        </w:rPr>
      </w:pPr>
      <w:r w:rsidRPr="00D07AE4">
        <w:rPr>
          <w:lang w:eastAsia="zh-CN"/>
        </w:rPr>
        <w:t xml:space="preserve">                                                                       </w:t>
      </w:r>
      <w:r w:rsidR="00BC66F2" w:rsidRPr="00D07AE4">
        <w:t>(b)</w:t>
      </w:r>
    </w:p>
    <w:p w:rsidR="00BC66F2" w:rsidRPr="00D07AE4" w:rsidRDefault="00BC66F2" w:rsidP="001C1559">
      <w:pPr>
        <w:pStyle w:val="Text"/>
        <w:spacing w:line="480" w:lineRule="auto"/>
        <w:ind w:firstLine="0"/>
        <w:jc w:val="center"/>
        <w:rPr>
          <w:sz w:val="22"/>
          <w:szCs w:val="22"/>
        </w:rPr>
      </w:pPr>
      <w:r w:rsidRPr="00D07AE4">
        <w:rPr>
          <w:sz w:val="22"/>
          <w:szCs w:val="22"/>
        </w:rPr>
        <w:t>Fig</w:t>
      </w:r>
      <w:r w:rsidR="0098221A" w:rsidRPr="00D07AE4">
        <w:rPr>
          <w:sz w:val="22"/>
          <w:szCs w:val="22"/>
        </w:rPr>
        <w:t xml:space="preserve">ure </w:t>
      </w:r>
      <w:r w:rsidRPr="00D07AE4">
        <w:rPr>
          <w:sz w:val="22"/>
          <w:szCs w:val="22"/>
        </w:rPr>
        <w:t>4. Radiation patterns of the saline antenna at 0.5 GHz. (a) The 3-D radiation pattern. (b) The 2-D radiation patterns of four angles of conditions including Phi=0°, Phi=90°, Theta=0° and Theta=90°</w:t>
      </w:r>
      <w:r w:rsidR="00C13F7C" w:rsidRPr="00D07AE4">
        <w:rPr>
          <w:sz w:val="22"/>
          <w:szCs w:val="22"/>
        </w:rPr>
        <w:t xml:space="preserve"> </w:t>
      </w:r>
      <w:r w:rsidR="00C13F7C" w:rsidRPr="00D07AE4">
        <w:rPr>
          <w:rFonts w:hint="eastAsia"/>
          <w:sz w:val="22"/>
          <w:szCs w:val="22"/>
          <w:lang w:eastAsia="zh-CN"/>
        </w:rPr>
        <w:t>(</w:t>
      </w:r>
      <w:r w:rsidR="00C13F7C" w:rsidRPr="00D07AE4">
        <w:rPr>
          <w:sz w:val="22"/>
          <w:szCs w:val="22"/>
          <w:lang w:eastAsia="zh-CN"/>
        </w:rPr>
        <w:t xml:space="preserve">The other varies from </w:t>
      </w:r>
      <w:r w:rsidR="00C13F7C" w:rsidRPr="00D07AE4">
        <w:rPr>
          <w:sz w:val="22"/>
          <w:szCs w:val="22"/>
        </w:rPr>
        <w:t>0° to 360°</w:t>
      </w:r>
      <w:r w:rsidR="00C13F7C" w:rsidRPr="00D07AE4">
        <w:rPr>
          <w:rFonts w:hint="eastAsia"/>
          <w:sz w:val="22"/>
          <w:szCs w:val="22"/>
          <w:lang w:eastAsia="zh-CN"/>
        </w:rPr>
        <w:t>)</w:t>
      </w:r>
      <w:r w:rsidRPr="00D07AE4">
        <w:rPr>
          <w:sz w:val="22"/>
          <w:szCs w:val="22"/>
        </w:rPr>
        <w:t>.</w:t>
      </w:r>
    </w:p>
    <w:p w:rsidR="00BC66F2" w:rsidRPr="00D07AE4" w:rsidRDefault="00BC66F2" w:rsidP="00161812">
      <w:pPr>
        <w:pStyle w:val="Newparagraph"/>
        <w:ind w:firstLine="0"/>
        <w:jc w:val="both"/>
      </w:pPr>
      <w:r w:rsidRPr="00D07AE4">
        <w:rPr>
          <w:sz w:val="22"/>
          <w:szCs w:val="22"/>
        </w:rPr>
        <w:t>Fig</w:t>
      </w:r>
      <w:r w:rsidR="0098221A" w:rsidRPr="00D07AE4">
        <w:rPr>
          <w:sz w:val="22"/>
          <w:szCs w:val="22"/>
        </w:rPr>
        <w:t xml:space="preserve">ure </w:t>
      </w:r>
      <w:r w:rsidRPr="00D07AE4">
        <w:rPr>
          <w:sz w:val="22"/>
          <w:szCs w:val="22"/>
        </w:rPr>
        <w:t>4 presents the 3-D radiation pattern as well as the 2-D patterns in</w:t>
      </w:r>
      <w:r w:rsidR="00AB7077" w:rsidRPr="00D07AE4">
        <w:rPr>
          <w:sz w:val="22"/>
          <w:szCs w:val="22"/>
        </w:rPr>
        <w:t xml:space="preserve"> a</w:t>
      </w:r>
      <w:r w:rsidRPr="00D07AE4">
        <w:rPr>
          <w:sz w:val="22"/>
          <w:szCs w:val="22"/>
        </w:rPr>
        <w:t xml:space="preserve"> polar coordinate at </w:t>
      </w:r>
      <w:r w:rsidRPr="00D07AE4">
        <w:t xml:space="preserve">0.5 GHz, including four curves, namely the slice of Phi=0°, Phi=90°, Theta=0° and Theta=90°, while the other angle varies from 0° </w:t>
      </w:r>
      <w:r w:rsidRPr="00D07AE4">
        <w:rPr>
          <w:rFonts w:hint="eastAsia"/>
        </w:rPr>
        <w:t>to</w:t>
      </w:r>
      <w:r w:rsidRPr="00D07AE4">
        <w:t xml:space="preserve"> 360°. </w:t>
      </w:r>
      <w:r w:rsidR="00AB7077" w:rsidRPr="00D07AE4">
        <w:t>This is the first statement corresponding to Fig</w:t>
      </w:r>
      <w:r w:rsidR="00643505" w:rsidRPr="00D07AE4">
        <w:t>ure</w:t>
      </w:r>
      <w:r w:rsidR="00AB7077" w:rsidRPr="00D07AE4">
        <w:t xml:space="preserve"> 3, namely, the </w:t>
      </w:r>
      <w:r w:rsidR="00AB7077" w:rsidRPr="00D07AE4">
        <w:rPr>
          <w:sz w:val="22"/>
          <w:szCs w:val="22"/>
        </w:rPr>
        <w:t>horizontal omnidirectional</w:t>
      </w:r>
      <w:r w:rsidR="00AB7077" w:rsidRPr="00D07AE4">
        <w:t xml:space="preserve"> one. </w:t>
      </w:r>
      <w:r w:rsidRPr="00D07AE4">
        <w:t>It could be seen that the radiation distributes evenly in the horizontal plane.</w:t>
      </w:r>
    </w:p>
    <w:p w:rsidR="00BC66F2" w:rsidRPr="00D07AE4" w:rsidRDefault="00BC66F2" w:rsidP="00BC66F2">
      <w:pPr>
        <w:pStyle w:val="Text"/>
        <w:ind w:firstLine="0"/>
        <w:jc w:val="center"/>
      </w:pPr>
      <w:r w:rsidRPr="00D07AE4">
        <w:rPr>
          <w:noProof/>
          <w:lang w:eastAsia="zh-CN"/>
        </w:rPr>
        <w:drawing>
          <wp:inline distT="0" distB="0" distL="0" distR="0" wp14:anchorId="191D76D2" wp14:editId="1A641C20">
            <wp:extent cx="1648800" cy="1620000"/>
            <wp:effectExtent l="0" t="0" r="889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8800" cy="1620000"/>
                    </a:xfrm>
                    <a:prstGeom prst="rect">
                      <a:avLst/>
                    </a:prstGeom>
                  </pic:spPr>
                </pic:pic>
              </a:graphicData>
            </a:graphic>
          </wp:inline>
        </w:drawing>
      </w:r>
      <w:r w:rsidR="007311D4" w:rsidRPr="00D07AE4">
        <w:t xml:space="preserve"> </w:t>
      </w:r>
      <w:r w:rsidR="00D07AE4" w:rsidRPr="00D07AE4">
        <w:object w:dxaOrig="4756" w:dyaOrig="3666">
          <v:shape id="_x0000_i1027" type="#_x0000_t75" style="width:225.5pt;height:172.5pt" o:ole="">
            <v:imagedata r:id="rId22" o:title=""/>
          </v:shape>
          <o:OLEObject Type="Embed" ProgID="Origin50.Graph" ShapeID="_x0000_i1027" DrawAspect="Content" ObjectID="_1559389817" r:id="rId23"/>
        </w:object>
      </w:r>
    </w:p>
    <w:p w:rsidR="00BC66F2" w:rsidRPr="00D07AE4" w:rsidRDefault="007311D4" w:rsidP="007311D4">
      <w:pPr>
        <w:pStyle w:val="Text"/>
        <w:numPr>
          <w:ilvl w:val="0"/>
          <w:numId w:val="36"/>
        </w:numPr>
        <w:rPr>
          <w:lang w:eastAsia="zh-CN"/>
        </w:rPr>
      </w:pPr>
      <w:r w:rsidRPr="00D07AE4">
        <w:rPr>
          <w:lang w:eastAsia="zh-CN"/>
        </w:rPr>
        <w:t xml:space="preserve">                                                                          </w:t>
      </w:r>
      <w:r w:rsidR="00BC66F2" w:rsidRPr="00D07AE4">
        <w:t>(b)</w:t>
      </w:r>
    </w:p>
    <w:p w:rsidR="00BC66F2" w:rsidRPr="00D07AE4" w:rsidRDefault="00BC66F2" w:rsidP="001C1559">
      <w:pPr>
        <w:pStyle w:val="Text"/>
        <w:spacing w:line="480" w:lineRule="auto"/>
        <w:ind w:firstLine="0"/>
        <w:jc w:val="center"/>
        <w:rPr>
          <w:sz w:val="22"/>
          <w:szCs w:val="22"/>
        </w:rPr>
      </w:pPr>
      <w:r w:rsidRPr="00D07AE4">
        <w:rPr>
          <w:sz w:val="22"/>
          <w:szCs w:val="22"/>
        </w:rPr>
        <w:t>Fig</w:t>
      </w:r>
      <w:r w:rsidR="0098221A" w:rsidRPr="00D07AE4">
        <w:rPr>
          <w:sz w:val="22"/>
          <w:szCs w:val="22"/>
        </w:rPr>
        <w:t xml:space="preserve">ure </w:t>
      </w:r>
      <w:r w:rsidRPr="00D07AE4">
        <w:rPr>
          <w:sz w:val="22"/>
          <w:szCs w:val="22"/>
        </w:rPr>
        <w:t>5. Radiation patterns of the liquid antenna at 3.7 GHz. (a) 3-D radiation pattern. (b) 2-D radiation patterns of four angles of slices including Phi=0°, Phi=90°, Theta=0° and Theta=90°.</w:t>
      </w:r>
    </w:p>
    <w:p w:rsidR="00BC66F2" w:rsidRPr="00D07AE4" w:rsidRDefault="00BC66F2" w:rsidP="00161812">
      <w:pPr>
        <w:pStyle w:val="Newparagraph"/>
        <w:ind w:firstLine="0"/>
        <w:jc w:val="both"/>
        <w:rPr>
          <w:sz w:val="22"/>
          <w:szCs w:val="22"/>
        </w:rPr>
      </w:pPr>
      <w:r w:rsidRPr="00D07AE4">
        <w:rPr>
          <w:sz w:val="22"/>
          <w:szCs w:val="22"/>
        </w:rPr>
        <w:t>The corresponding radiation patterns at 3.7 GHz are shown in Fig</w:t>
      </w:r>
      <w:r w:rsidR="00643505" w:rsidRPr="00D07AE4">
        <w:rPr>
          <w:sz w:val="22"/>
          <w:szCs w:val="22"/>
        </w:rPr>
        <w:t xml:space="preserve">ure </w:t>
      </w:r>
      <w:r w:rsidRPr="00D07AE4">
        <w:rPr>
          <w:sz w:val="22"/>
          <w:szCs w:val="22"/>
        </w:rPr>
        <w:t>5, which belong to the situation of end-fire radiation with the main lobe at the upper axial direction.</w:t>
      </w:r>
    </w:p>
    <w:p w:rsidR="00BC66F2" w:rsidRPr="00D07AE4" w:rsidRDefault="00BC66F2" w:rsidP="00161812">
      <w:pPr>
        <w:pStyle w:val="Newparagraph"/>
        <w:ind w:firstLine="0"/>
        <w:jc w:val="both"/>
        <w:rPr>
          <w:sz w:val="22"/>
          <w:szCs w:val="22"/>
        </w:rPr>
      </w:pPr>
      <w:r w:rsidRPr="00D07AE4">
        <w:rPr>
          <w:sz w:val="22"/>
          <w:szCs w:val="22"/>
        </w:rPr>
        <w:lastRenderedPageBreak/>
        <w:t>The energy in the axial direction decreases with the rising of the frequency above 4.8 GHz. As it could be observed from Fig</w:t>
      </w:r>
      <w:r w:rsidR="0098221A" w:rsidRPr="00D07AE4">
        <w:rPr>
          <w:sz w:val="22"/>
          <w:szCs w:val="22"/>
        </w:rPr>
        <w:t xml:space="preserve">ure </w:t>
      </w:r>
      <w:r w:rsidRPr="00D07AE4">
        <w:rPr>
          <w:sz w:val="22"/>
          <w:szCs w:val="22"/>
        </w:rPr>
        <w:t>6 (Take the example of 6.0 GHz for explanation), the large radiation directions move to that around the overhead area, which is similar to that of the metal helical antenna.</w:t>
      </w:r>
    </w:p>
    <w:p w:rsidR="00BC66F2" w:rsidRPr="00D07AE4" w:rsidRDefault="00BC66F2" w:rsidP="00BC66F2">
      <w:pPr>
        <w:pStyle w:val="Text"/>
        <w:ind w:firstLine="0"/>
        <w:jc w:val="center"/>
      </w:pPr>
      <w:r w:rsidRPr="00D07AE4">
        <w:t xml:space="preserve">   </w:t>
      </w:r>
      <w:r w:rsidRPr="00D07AE4">
        <w:rPr>
          <w:noProof/>
          <w:lang w:eastAsia="zh-CN"/>
        </w:rPr>
        <w:drawing>
          <wp:inline distT="0" distB="0" distL="0" distR="0" wp14:anchorId="0D97B632" wp14:editId="103542FB">
            <wp:extent cx="1695600" cy="1620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95600" cy="1620000"/>
                    </a:xfrm>
                    <a:prstGeom prst="rect">
                      <a:avLst/>
                    </a:prstGeom>
                  </pic:spPr>
                </pic:pic>
              </a:graphicData>
            </a:graphic>
          </wp:inline>
        </w:drawing>
      </w:r>
      <w:r w:rsidR="007311D4" w:rsidRPr="00D07AE4">
        <w:t xml:space="preserve">  </w:t>
      </w:r>
      <w:r w:rsidR="00D07AE4" w:rsidRPr="00D07AE4">
        <w:object w:dxaOrig="4756" w:dyaOrig="3666">
          <v:shape id="_x0000_i1028" type="#_x0000_t75" style="width:212.5pt;height:162.5pt" o:ole="">
            <v:imagedata r:id="rId25" o:title=""/>
          </v:shape>
          <o:OLEObject Type="Embed" ProgID="Origin50.Graph" ShapeID="_x0000_i1028" DrawAspect="Content" ObjectID="_1559389818" r:id="rId26"/>
        </w:object>
      </w:r>
    </w:p>
    <w:p w:rsidR="00BC66F2" w:rsidRPr="00D07AE4" w:rsidRDefault="007311D4" w:rsidP="007311D4">
      <w:pPr>
        <w:pStyle w:val="Text"/>
        <w:ind w:left="360" w:firstLineChars="700" w:firstLine="1400"/>
        <w:rPr>
          <w:lang w:eastAsia="zh-CN"/>
        </w:rPr>
      </w:pPr>
      <w:r w:rsidRPr="00D07AE4">
        <w:t xml:space="preserve">(a)                                                                           </w:t>
      </w:r>
      <w:r w:rsidR="00BC66F2" w:rsidRPr="00D07AE4">
        <w:t>(b)</w:t>
      </w:r>
    </w:p>
    <w:p w:rsidR="00BC66F2" w:rsidRPr="00D07AE4" w:rsidRDefault="00BC66F2" w:rsidP="007311D4">
      <w:pPr>
        <w:pStyle w:val="Text"/>
        <w:spacing w:line="480" w:lineRule="auto"/>
        <w:ind w:firstLine="0"/>
        <w:jc w:val="center"/>
        <w:rPr>
          <w:sz w:val="22"/>
          <w:szCs w:val="22"/>
          <w:lang w:eastAsia="zh-CN"/>
        </w:rPr>
      </w:pPr>
      <w:r w:rsidRPr="00D07AE4">
        <w:rPr>
          <w:sz w:val="22"/>
          <w:szCs w:val="22"/>
          <w:lang w:eastAsia="zh-CN"/>
        </w:rPr>
        <w:t>Fig</w:t>
      </w:r>
      <w:r w:rsidR="0098221A" w:rsidRPr="00D07AE4">
        <w:rPr>
          <w:sz w:val="22"/>
          <w:szCs w:val="22"/>
          <w:lang w:eastAsia="zh-CN"/>
        </w:rPr>
        <w:t xml:space="preserve">ure </w:t>
      </w:r>
      <w:r w:rsidRPr="00D07AE4">
        <w:rPr>
          <w:sz w:val="22"/>
          <w:szCs w:val="22"/>
          <w:lang w:eastAsia="zh-CN"/>
        </w:rPr>
        <w:t xml:space="preserve">6. Radiation patterns of the saline water antenna at 6.0 GHz. </w:t>
      </w:r>
      <w:r w:rsidRPr="00D07AE4">
        <w:rPr>
          <w:sz w:val="22"/>
          <w:szCs w:val="22"/>
        </w:rPr>
        <w:t>(a) The 3-D radiation pattern. (b) The 2-D radiation patterns of four angles of conditions including Phi=0°, Phi=90°, Theta=0° and Theta=90°.</w:t>
      </w:r>
    </w:p>
    <w:p w:rsidR="00BC66F2" w:rsidRPr="00D07AE4" w:rsidRDefault="00BC66F2" w:rsidP="007311D4">
      <w:pPr>
        <w:pStyle w:val="Newparagraph"/>
        <w:ind w:firstLine="0"/>
        <w:jc w:val="both"/>
        <w:rPr>
          <w:sz w:val="22"/>
          <w:szCs w:val="22"/>
        </w:rPr>
      </w:pPr>
      <w:r w:rsidRPr="00D07AE4">
        <w:rPr>
          <w:sz w:val="22"/>
          <w:szCs w:val="22"/>
        </w:rPr>
        <w:t>The detailed values of the above-mentioned situations are shown in TABLE I. As it could be seen from the table, the radiation directivity turning points of the liquid antenna is 0.1 and 0.4, which are lower than the metal helical antenna (0.18 and 0.5), while the gap remains nearly the same, namely 0.30 and 0.32, respectively.</w:t>
      </w:r>
      <w:r w:rsidR="00692503" w:rsidRPr="00D07AE4">
        <w:rPr>
          <w:sz w:val="22"/>
          <w:szCs w:val="22"/>
        </w:rPr>
        <w:t xml:space="preserve"> </w:t>
      </w:r>
      <w:r w:rsidR="007B6096" w:rsidRPr="00D07AE4">
        <w:rPr>
          <w:sz w:val="22"/>
          <w:szCs w:val="22"/>
        </w:rPr>
        <w:t>Corresponding to the parameters in T</w:t>
      </w:r>
      <w:r w:rsidR="00643505" w:rsidRPr="00D07AE4">
        <w:rPr>
          <w:sz w:val="22"/>
          <w:szCs w:val="22"/>
        </w:rPr>
        <w:t>able 2</w:t>
      </w:r>
      <w:r w:rsidR="007B6096" w:rsidRPr="00D07AE4">
        <w:rPr>
          <w:sz w:val="22"/>
          <w:szCs w:val="22"/>
        </w:rPr>
        <w:t xml:space="preserve">, it is really difficult for one antenna to operate in such a wide frequency band and cover the range from several hundred MHz to several GHz. </w:t>
      </w:r>
      <w:r w:rsidR="00692503" w:rsidRPr="00D07AE4">
        <w:rPr>
          <w:sz w:val="22"/>
          <w:szCs w:val="22"/>
        </w:rPr>
        <w:t>A specifically designed feeding structure would benefit the matching performance of the antenna, and furthermore to enlarge the bandwidth.</w:t>
      </w:r>
    </w:p>
    <w:p w:rsidR="00BC66F2" w:rsidRPr="00D07AE4" w:rsidRDefault="00BC66F2" w:rsidP="00C56BA1">
      <w:pPr>
        <w:rPr>
          <w:lang w:eastAsia="zh-CN"/>
        </w:rPr>
      </w:pPr>
      <w:r w:rsidRPr="00D07AE4">
        <w:rPr>
          <w:sz w:val="20"/>
          <w:szCs w:val="20"/>
          <w:lang w:eastAsia="zh-CN"/>
        </w:rPr>
        <w:t>T</w:t>
      </w:r>
      <w:r w:rsidR="00643505" w:rsidRPr="00D07AE4">
        <w:rPr>
          <w:sz w:val="20"/>
          <w:szCs w:val="20"/>
          <w:lang w:eastAsia="zh-CN"/>
        </w:rPr>
        <w:t>able 2. Radiation parameters of the antenna according to the ratio of the diameter to the wavelength.</w:t>
      </w:r>
    </w:p>
    <w:tbl>
      <w:tblPr>
        <w:tblStyle w:val="ae"/>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256"/>
        <w:gridCol w:w="2556"/>
        <w:gridCol w:w="1418"/>
        <w:gridCol w:w="1134"/>
      </w:tblGrid>
      <w:tr w:rsidR="00D07AE4" w:rsidRPr="00D07AE4" w:rsidTr="00C56BA1">
        <w:trPr>
          <w:jc w:val="center"/>
        </w:trPr>
        <w:tc>
          <w:tcPr>
            <w:tcW w:w="3256"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Radiation Situation</w:t>
            </w:r>
          </w:p>
        </w:tc>
        <w:tc>
          <w:tcPr>
            <w:tcW w:w="2556"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Horizontal Omnidirectional</w:t>
            </w:r>
          </w:p>
        </w:tc>
        <w:tc>
          <w:tcPr>
            <w:tcW w:w="1418"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End- Fire</w:t>
            </w:r>
          </w:p>
        </w:tc>
        <w:tc>
          <w:tcPr>
            <w:tcW w:w="1134" w:type="dxa"/>
            <w:vAlign w:val="center"/>
          </w:tcPr>
          <w:p w:rsidR="00BC66F2" w:rsidRPr="00D07AE4" w:rsidRDefault="00BC66F2" w:rsidP="00110772">
            <w:pPr>
              <w:ind w:left="100" w:hangingChars="50" w:hanging="100"/>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Sloping Up</w:t>
            </w:r>
          </w:p>
        </w:tc>
      </w:tr>
      <w:tr w:rsidR="00D07AE4" w:rsidRPr="00D07AE4" w:rsidTr="00C56BA1">
        <w:trPr>
          <w:jc w:val="center"/>
        </w:trPr>
        <w:tc>
          <w:tcPr>
            <w:tcW w:w="3256" w:type="dxa"/>
            <w:vAlign w:val="center"/>
          </w:tcPr>
          <w:p w:rsidR="00BC66F2" w:rsidRPr="00D07AE4" w:rsidRDefault="00BC66F2" w:rsidP="00110772">
            <w:pPr>
              <w:jc w:val="center"/>
              <w:rPr>
                <w:rStyle w:val="BodyText2"/>
                <w:rFonts w:ascii="Times New Roman" w:hAnsi="Times New Roman" w:cs="Times New Roman"/>
                <w:color w:val="auto"/>
                <w:sz w:val="20"/>
                <w:szCs w:val="20"/>
              </w:rPr>
            </w:pPr>
            <w:r w:rsidRPr="00D07AE4">
              <w:rPr>
                <w:rStyle w:val="BodyText2"/>
                <w:rFonts w:ascii="Times New Roman" w:eastAsia="宋体" w:hAnsi="Times New Roman" w:cs="Times New Roman"/>
                <w:color w:val="auto"/>
                <w:sz w:val="20"/>
                <w:szCs w:val="20"/>
              </w:rPr>
              <w:t>Diameter (mm)</w:t>
            </w:r>
          </w:p>
        </w:tc>
        <w:tc>
          <w:tcPr>
            <w:tcW w:w="2556"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25</w:t>
            </w:r>
          </w:p>
        </w:tc>
        <w:tc>
          <w:tcPr>
            <w:tcW w:w="1418"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25</w:t>
            </w:r>
          </w:p>
        </w:tc>
        <w:tc>
          <w:tcPr>
            <w:tcW w:w="1134" w:type="dxa"/>
            <w:vAlign w:val="center"/>
          </w:tcPr>
          <w:p w:rsidR="00BC66F2" w:rsidRPr="00D07AE4" w:rsidRDefault="00BC66F2" w:rsidP="00110772">
            <w:pPr>
              <w:ind w:left="100" w:hangingChars="50" w:hanging="100"/>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25</w:t>
            </w:r>
          </w:p>
        </w:tc>
      </w:tr>
      <w:tr w:rsidR="00D07AE4" w:rsidRPr="00D07AE4" w:rsidTr="00C56BA1">
        <w:trPr>
          <w:jc w:val="center"/>
        </w:trPr>
        <w:tc>
          <w:tcPr>
            <w:tcW w:w="3256"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Frequency Range (</w:t>
            </w:r>
            <w:r w:rsidRPr="00D07AE4">
              <w:rPr>
                <w:rStyle w:val="BodyText2"/>
                <w:rFonts w:ascii="Times New Roman" w:hAnsi="Times New Roman" w:cs="Times New Roman"/>
                <w:color w:val="auto"/>
                <w:sz w:val="20"/>
                <w:szCs w:val="20"/>
              </w:rPr>
              <w:t>GHz)</w:t>
            </w:r>
          </w:p>
        </w:tc>
        <w:tc>
          <w:tcPr>
            <w:tcW w:w="2556"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&lt; 1.2</w:t>
            </w:r>
          </w:p>
        </w:tc>
        <w:tc>
          <w:tcPr>
            <w:tcW w:w="1418"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 xml:space="preserve">1.2-4.8 </w:t>
            </w:r>
          </w:p>
        </w:tc>
        <w:tc>
          <w:tcPr>
            <w:tcW w:w="1134"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&gt;</w:t>
            </w:r>
            <w:r w:rsidR="007B6096" w:rsidRPr="00D07AE4">
              <w:rPr>
                <w:rStyle w:val="BodyText2"/>
                <w:rFonts w:ascii="Times New Roman" w:eastAsia="宋体" w:hAnsi="Times New Roman" w:cs="Times New Roman"/>
                <w:color w:val="auto"/>
                <w:sz w:val="20"/>
                <w:szCs w:val="20"/>
              </w:rPr>
              <w:t xml:space="preserve"> </w:t>
            </w:r>
            <w:r w:rsidRPr="00D07AE4">
              <w:rPr>
                <w:rStyle w:val="BodyText2"/>
                <w:rFonts w:ascii="Times New Roman" w:eastAsia="宋体" w:hAnsi="Times New Roman" w:cs="Times New Roman"/>
                <w:color w:val="auto"/>
                <w:sz w:val="20"/>
                <w:szCs w:val="20"/>
              </w:rPr>
              <w:t>4.8</w:t>
            </w:r>
          </w:p>
        </w:tc>
      </w:tr>
      <w:tr w:rsidR="00D07AE4" w:rsidRPr="00D07AE4" w:rsidTr="00C56BA1">
        <w:trPr>
          <w:jc w:val="center"/>
        </w:trPr>
        <w:tc>
          <w:tcPr>
            <w:tcW w:w="3256" w:type="dxa"/>
            <w:vAlign w:val="center"/>
          </w:tcPr>
          <w:p w:rsidR="00BC66F2" w:rsidRPr="00D07AE4" w:rsidRDefault="00BC66F2" w:rsidP="00110772">
            <w:pPr>
              <w:jc w:val="center"/>
              <w:rPr>
                <w:rStyle w:val="BodyText2"/>
                <w:rFonts w:ascii="Times New Roman" w:hAnsi="Times New Roman" w:cs="Times New Roman"/>
                <w:color w:val="auto"/>
                <w:sz w:val="20"/>
                <w:szCs w:val="20"/>
              </w:rPr>
            </w:pPr>
            <w:r w:rsidRPr="00D07AE4">
              <w:rPr>
                <w:rStyle w:val="BodyText2"/>
                <w:rFonts w:ascii="Times New Roman" w:eastAsia="宋体" w:hAnsi="Times New Roman" w:cs="Times New Roman"/>
                <w:color w:val="auto"/>
                <w:sz w:val="20"/>
                <w:szCs w:val="20"/>
              </w:rPr>
              <w:t>Wavelength Range (mm)</w:t>
            </w:r>
          </w:p>
        </w:tc>
        <w:tc>
          <w:tcPr>
            <w:tcW w:w="2556" w:type="dxa"/>
            <w:vAlign w:val="center"/>
          </w:tcPr>
          <w:p w:rsidR="00BC66F2" w:rsidRPr="00D07AE4" w:rsidRDefault="00BC66F2" w:rsidP="00110772">
            <w:pPr>
              <w:jc w:val="center"/>
              <w:rPr>
                <w:rStyle w:val="BodyText2"/>
                <w:rFonts w:ascii="Times New Roman" w:hAnsi="Times New Roman" w:cs="Times New Roman"/>
                <w:color w:val="auto"/>
                <w:sz w:val="20"/>
                <w:szCs w:val="20"/>
              </w:rPr>
            </w:pPr>
            <w:r w:rsidRPr="00D07AE4">
              <w:rPr>
                <w:rStyle w:val="BodyText2"/>
                <w:rFonts w:ascii="Times New Roman" w:eastAsia="宋体" w:hAnsi="Times New Roman" w:cs="Times New Roman"/>
                <w:color w:val="auto"/>
                <w:sz w:val="20"/>
                <w:szCs w:val="20"/>
              </w:rPr>
              <w:t>&gt;</w:t>
            </w:r>
            <w:r w:rsidR="007B6096" w:rsidRPr="00D07AE4">
              <w:rPr>
                <w:rStyle w:val="BodyText2"/>
                <w:rFonts w:ascii="Times New Roman" w:eastAsia="宋体" w:hAnsi="Times New Roman" w:cs="Times New Roman"/>
                <w:color w:val="auto"/>
                <w:sz w:val="20"/>
                <w:szCs w:val="20"/>
              </w:rPr>
              <w:t xml:space="preserve"> </w:t>
            </w:r>
            <w:r w:rsidRPr="00D07AE4">
              <w:rPr>
                <w:rStyle w:val="BodyText2"/>
                <w:rFonts w:ascii="Times New Roman" w:eastAsia="宋体" w:hAnsi="Times New Roman" w:cs="Times New Roman"/>
                <w:color w:val="auto"/>
                <w:sz w:val="20"/>
                <w:szCs w:val="20"/>
              </w:rPr>
              <w:t>250</w:t>
            </w:r>
          </w:p>
        </w:tc>
        <w:tc>
          <w:tcPr>
            <w:tcW w:w="1418"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62.5-250</w:t>
            </w:r>
          </w:p>
        </w:tc>
        <w:tc>
          <w:tcPr>
            <w:tcW w:w="1134"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&lt;</w:t>
            </w:r>
            <w:r w:rsidR="007B6096" w:rsidRPr="00D07AE4">
              <w:rPr>
                <w:rStyle w:val="BodyText2"/>
                <w:rFonts w:ascii="Times New Roman" w:eastAsia="宋体" w:hAnsi="Times New Roman" w:cs="Times New Roman"/>
                <w:color w:val="auto"/>
                <w:sz w:val="20"/>
                <w:szCs w:val="20"/>
              </w:rPr>
              <w:t xml:space="preserve"> </w:t>
            </w:r>
            <w:r w:rsidRPr="00D07AE4">
              <w:rPr>
                <w:rStyle w:val="BodyText2"/>
                <w:rFonts w:ascii="Times New Roman" w:eastAsia="宋体" w:hAnsi="Times New Roman" w:cs="Times New Roman"/>
                <w:color w:val="auto"/>
                <w:sz w:val="20"/>
                <w:szCs w:val="20"/>
              </w:rPr>
              <w:t>62.5</w:t>
            </w:r>
          </w:p>
        </w:tc>
      </w:tr>
      <w:tr w:rsidR="00D07AE4" w:rsidRPr="00D07AE4" w:rsidTr="00C56BA1">
        <w:trPr>
          <w:jc w:val="center"/>
        </w:trPr>
        <w:tc>
          <w:tcPr>
            <w:tcW w:w="3256" w:type="dxa"/>
            <w:vAlign w:val="center"/>
          </w:tcPr>
          <w:p w:rsidR="00BC66F2" w:rsidRPr="00D07AE4" w:rsidRDefault="00BC66F2" w:rsidP="00110772">
            <w:pPr>
              <w:jc w:val="center"/>
              <w:rPr>
                <w:rStyle w:val="BodyText2"/>
                <w:rFonts w:ascii="Times New Roman" w:hAnsi="Times New Roman" w:cs="Times New Roman"/>
                <w:color w:val="auto"/>
                <w:sz w:val="20"/>
                <w:szCs w:val="20"/>
              </w:rPr>
            </w:pPr>
            <w:r w:rsidRPr="00D07AE4">
              <w:rPr>
                <w:rStyle w:val="BodyText2"/>
                <w:rFonts w:ascii="Times New Roman" w:eastAsia="宋体" w:hAnsi="Times New Roman" w:cs="Times New Roman"/>
                <w:color w:val="auto"/>
                <w:sz w:val="20"/>
                <w:szCs w:val="20"/>
              </w:rPr>
              <w:t>Ratio (</w:t>
            </w:r>
            <m:oMath>
              <m:r>
                <m:rPr>
                  <m:sty m:val="p"/>
                </m:rPr>
                <w:rPr>
                  <w:rFonts w:ascii="Cambria Math" w:hAnsi="Cambria Math" w:cs="Times New Roman"/>
                  <w:sz w:val="20"/>
                  <w:szCs w:val="20"/>
                </w:rPr>
                <m:t>D/λ</m:t>
              </m:r>
            </m:oMath>
            <w:r w:rsidRPr="00D07AE4">
              <w:rPr>
                <w:rStyle w:val="BodyText2"/>
                <w:rFonts w:ascii="Times New Roman" w:eastAsia="宋体" w:hAnsi="Times New Roman" w:cs="Times New Roman"/>
                <w:color w:val="auto"/>
                <w:sz w:val="20"/>
                <w:szCs w:val="20"/>
              </w:rPr>
              <w:t>)</w:t>
            </w:r>
          </w:p>
        </w:tc>
        <w:tc>
          <w:tcPr>
            <w:tcW w:w="2556"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&lt;</w:t>
            </w:r>
            <w:r w:rsidR="007B6096" w:rsidRPr="00D07AE4">
              <w:rPr>
                <w:rStyle w:val="BodyText2"/>
                <w:rFonts w:ascii="Times New Roman" w:eastAsia="宋体" w:hAnsi="Times New Roman" w:cs="Times New Roman"/>
                <w:color w:val="auto"/>
                <w:sz w:val="20"/>
                <w:szCs w:val="20"/>
              </w:rPr>
              <w:t xml:space="preserve"> </w:t>
            </w:r>
            <w:r w:rsidRPr="00D07AE4">
              <w:rPr>
                <w:rStyle w:val="BodyText2"/>
                <w:rFonts w:ascii="Times New Roman" w:eastAsia="宋体" w:hAnsi="Times New Roman" w:cs="Times New Roman"/>
                <w:color w:val="auto"/>
                <w:sz w:val="20"/>
                <w:szCs w:val="20"/>
              </w:rPr>
              <w:t>0.1</w:t>
            </w:r>
          </w:p>
        </w:tc>
        <w:tc>
          <w:tcPr>
            <w:tcW w:w="1418"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0.1-0.4</w:t>
            </w:r>
          </w:p>
        </w:tc>
        <w:tc>
          <w:tcPr>
            <w:tcW w:w="1134"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&gt;</w:t>
            </w:r>
            <w:r w:rsidR="007B6096" w:rsidRPr="00D07AE4">
              <w:rPr>
                <w:rStyle w:val="BodyText2"/>
                <w:rFonts w:ascii="Times New Roman" w:eastAsia="宋体" w:hAnsi="Times New Roman" w:cs="Times New Roman"/>
                <w:color w:val="auto"/>
                <w:sz w:val="20"/>
                <w:szCs w:val="20"/>
              </w:rPr>
              <w:t xml:space="preserve"> </w:t>
            </w:r>
            <w:r w:rsidRPr="00D07AE4">
              <w:rPr>
                <w:rStyle w:val="BodyText2"/>
                <w:rFonts w:ascii="Times New Roman" w:eastAsia="宋体" w:hAnsi="Times New Roman" w:cs="Times New Roman"/>
                <w:color w:val="auto"/>
                <w:sz w:val="20"/>
                <w:szCs w:val="20"/>
              </w:rPr>
              <w:t>0.4</w:t>
            </w:r>
          </w:p>
        </w:tc>
      </w:tr>
      <w:tr w:rsidR="00D07AE4" w:rsidRPr="00D07AE4" w:rsidTr="00C56BA1">
        <w:trPr>
          <w:jc w:val="center"/>
        </w:trPr>
        <w:tc>
          <w:tcPr>
            <w:tcW w:w="3256"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Ratio of Metal Antenna (</w:t>
            </w:r>
            <m:oMath>
              <m:r>
                <m:rPr>
                  <m:sty m:val="p"/>
                </m:rPr>
                <w:rPr>
                  <w:rFonts w:ascii="Cambria Math" w:hAnsi="Cambria Math" w:cs="Times New Roman"/>
                  <w:sz w:val="20"/>
                  <w:szCs w:val="20"/>
                </w:rPr>
                <m:t>D/λ</m:t>
              </m:r>
            </m:oMath>
            <w:r w:rsidRPr="00D07AE4">
              <w:rPr>
                <w:rStyle w:val="BodyText2"/>
                <w:rFonts w:ascii="Times New Roman" w:eastAsia="宋体" w:hAnsi="Times New Roman" w:cs="Times New Roman"/>
                <w:color w:val="auto"/>
                <w:sz w:val="20"/>
                <w:szCs w:val="20"/>
              </w:rPr>
              <w:t>)</w:t>
            </w:r>
          </w:p>
        </w:tc>
        <w:tc>
          <w:tcPr>
            <w:tcW w:w="2556"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&lt;</w:t>
            </w:r>
            <w:r w:rsidR="007B6096" w:rsidRPr="00D07AE4">
              <w:rPr>
                <w:rStyle w:val="BodyText2"/>
                <w:rFonts w:ascii="Times New Roman" w:eastAsia="宋体" w:hAnsi="Times New Roman" w:cs="Times New Roman"/>
                <w:color w:val="auto"/>
                <w:sz w:val="20"/>
                <w:szCs w:val="20"/>
              </w:rPr>
              <w:t xml:space="preserve"> </w:t>
            </w:r>
            <w:r w:rsidRPr="00D07AE4">
              <w:rPr>
                <w:rStyle w:val="BodyText2"/>
                <w:rFonts w:ascii="Times New Roman" w:eastAsia="宋体" w:hAnsi="Times New Roman" w:cs="Times New Roman"/>
                <w:color w:val="auto"/>
                <w:sz w:val="20"/>
                <w:szCs w:val="20"/>
              </w:rPr>
              <w:t>0.18</w:t>
            </w:r>
          </w:p>
        </w:tc>
        <w:tc>
          <w:tcPr>
            <w:tcW w:w="1418"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0.25-0.46</w:t>
            </w:r>
          </w:p>
        </w:tc>
        <w:tc>
          <w:tcPr>
            <w:tcW w:w="1134" w:type="dxa"/>
            <w:vAlign w:val="center"/>
          </w:tcPr>
          <w:p w:rsidR="00BC66F2" w:rsidRPr="00D07AE4" w:rsidRDefault="00BC66F2" w:rsidP="00110772">
            <w:pPr>
              <w:jc w:val="center"/>
              <w:rPr>
                <w:rStyle w:val="BodyText2"/>
                <w:rFonts w:ascii="Times New Roman" w:eastAsia="宋体" w:hAnsi="Times New Roman" w:cs="Times New Roman"/>
                <w:color w:val="auto"/>
                <w:sz w:val="20"/>
                <w:szCs w:val="20"/>
              </w:rPr>
            </w:pPr>
            <w:r w:rsidRPr="00D07AE4">
              <w:rPr>
                <w:rStyle w:val="BodyText2"/>
                <w:rFonts w:ascii="Times New Roman" w:eastAsia="宋体" w:hAnsi="Times New Roman" w:cs="Times New Roman"/>
                <w:color w:val="auto"/>
                <w:sz w:val="20"/>
                <w:szCs w:val="20"/>
              </w:rPr>
              <w:t>&gt;</w:t>
            </w:r>
            <w:r w:rsidR="007B6096" w:rsidRPr="00D07AE4">
              <w:rPr>
                <w:rStyle w:val="BodyText2"/>
                <w:rFonts w:ascii="Times New Roman" w:eastAsia="宋体" w:hAnsi="Times New Roman" w:cs="Times New Roman"/>
                <w:color w:val="auto"/>
                <w:sz w:val="20"/>
                <w:szCs w:val="20"/>
              </w:rPr>
              <w:t xml:space="preserve"> </w:t>
            </w:r>
            <w:r w:rsidRPr="00D07AE4">
              <w:rPr>
                <w:rStyle w:val="BodyText2"/>
                <w:rFonts w:ascii="Times New Roman" w:eastAsia="宋体" w:hAnsi="Times New Roman" w:cs="Times New Roman"/>
                <w:color w:val="auto"/>
                <w:sz w:val="20"/>
                <w:szCs w:val="20"/>
              </w:rPr>
              <w:t>0.5</w:t>
            </w:r>
          </w:p>
        </w:tc>
      </w:tr>
    </w:tbl>
    <w:p w:rsidR="00BC66F2" w:rsidRPr="00D07AE4" w:rsidRDefault="00EC74B5" w:rsidP="00BC66F2">
      <w:pPr>
        <w:pStyle w:val="2"/>
      </w:pPr>
      <w:r w:rsidRPr="00D07AE4">
        <w:lastRenderedPageBreak/>
        <w:t>3.2</w:t>
      </w:r>
      <w:r w:rsidR="00BC66F2" w:rsidRPr="00D07AE4">
        <w:rPr>
          <w:rFonts w:hint="eastAsia"/>
        </w:rPr>
        <w:t xml:space="preserve">. </w:t>
      </w:r>
      <w:r w:rsidR="00BC66F2" w:rsidRPr="00D07AE4">
        <w:t xml:space="preserve">Comparisons of </w:t>
      </w:r>
      <w:r w:rsidRPr="00D07AE4">
        <w:t xml:space="preserve">saline water antenna </w:t>
      </w:r>
      <w:r w:rsidR="00F3234E" w:rsidRPr="00D07AE4">
        <w:t>with</w:t>
      </w:r>
      <w:r w:rsidR="00BC66F2" w:rsidRPr="00D07AE4">
        <w:t xml:space="preserve"> the </w:t>
      </w:r>
      <w:r w:rsidRPr="00D07AE4">
        <w:t>metal helical antenna</w:t>
      </w:r>
    </w:p>
    <w:p w:rsidR="00BC66F2" w:rsidRPr="00D07AE4" w:rsidRDefault="00BC66F2" w:rsidP="00161812">
      <w:pPr>
        <w:pStyle w:val="Newparagraph"/>
        <w:ind w:firstLine="0"/>
        <w:jc w:val="both"/>
        <w:rPr>
          <w:sz w:val="22"/>
          <w:szCs w:val="22"/>
        </w:rPr>
      </w:pPr>
      <w:r w:rsidRPr="00D07AE4">
        <w:rPr>
          <w:sz w:val="22"/>
          <w:szCs w:val="22"/>
        </w:rPr>
        <w:t>The comparisons of radiation patterns of the saline water helical antenna with that of the metal one are shown in Fig</w:t>
      </w:r>
      <w:r w:rsidR="0098221A" w:rsidRPr="00D07AE4">
        <w:rPr>
          <w:sz w:val="22"/>
          <w:szCs w:val="22"/>
        </w:rPr>
        <w:t xml:space="preserve">ure </w:t>
      </w:r>
      <w:r w:rsidRPr="00D07AE4">
        <w:rPr>
          <w:sz w:val="22"/>
          <w:szCs w:val="22"/>
        </w:rPr>
        <w:t>7. The 2-D patterns at 1.8 GHz and 2.0 GHz are displayed respectively. The plane of Theta=90° &amp; Phi varies from 0° to 360° is presented, and it could be found from the figure that the gains of the metal antenna are higher than that of the liquid one.</w:t>
      </w:r>
    </w:p>
    <w:p w:rsidR="00BC66F2" w:rsidRPr="00D07AE4" w:rsidRDefault="00D07AE4" w:rsidP="00BC66F2">
      <w:pPr>
        <w:pStyle w:val="Text"/>
        <w:ind w:firstLine="0"/>
        <w:jc w:val="center"/>
      </w:pPr>
      <w:r w:rsidRPr="00D07AE4">
        <w:object w:dxaOrig="4756" w:dyaOrig="3666">
          <v:shape id="_x0000_i1029" type="#_x0000_t75" style="width:221pt;height:169pt" o:ole="">
            <v:imagedata r:id="rId27" o:title=""/>
          </v:shape>
          <o:OLEObject Type="Embed" ProgID="Origin50.Graph" ShapeID="_x0000_i1029" DrawAspect="Content" ObjectID="_1559389819" r:id="rId28"/>
        </w:object>
      </w:r>
    </w:p>
    <w:p w:rsidR="00BC66F2" w:rsidRPr="00D07AE4" w:rsidRDefault="00BC66F2" w:rsidP="00BC66F2">
      <w:pPr>
        <w:pStyle w:val="Text"/>
        <w:ind w:firstLine="0"/>
        <w:jc w:val="center"/>
        <w:rPr>
          <w:sz w:val="22"/>
          <w:szCs w:val="22"/>
        </w:rPr>
      </w:pPr>
      <w:r w:rsidRPr="00D07AE4">
        <w:rPr>
          <w:sz w:val="22"/>
          <w:szCs w:val="22"/>
        </w:rPr>
        <w:t>Fig</w:t>
      </w:r>
      <w:r w:rsidR="0098221A" w:rsidRPr="00D07AE4">
        <w:rPr>
          <w:sz w:val="22"/>
          <w:szCs w:val="22"/>
        </w:rPr>
        <w:t xml:space="preserve">ure </w:t>
      </w:r>
      <w:r w:rsidRPr="00D07AE4">
        <w:rPr>
          <w:sz w:val="22"/>
          <w:szCs w:val="22"/>
        </w:rPr>
        <w:t xml:space="preserve">7. </w:t>
      </w:r>
      <w:r w:rsidRPr="00D07AE4">
        <w:rPr>
          <w:sz w:val="22"/>
          <w:szCs w:val="22"/>
          <w:lang w:eastAsia="zh-CN"/>
        </w:rPr>
        <w:t>Radiation patterns of the saline water helical antenna compared with that of a metal antenna (Theta=90° &amp; Phi varies from 0° to 360°)</w:t>
      </w:r>
      <w:r w:rsidRPr="00D07AE4">
        <w:rPr>
          <w:sz w:val="22"/>
          <w:szCs w:val="22"/>
        </w:rPr>
        <w:t>.</w:t>
      </w:r>
    </w:p>
    <w:p w:rsidR="00BC66F2" w:rsidRPr="00D07AE4" w:rsidRDefault="00BC66F2" w:rsidP="00161812">
      <w:pPr>
        <w:pStyle w:val="Newparagraph"/>
        <w:ind w:firstLine="0"/>
        <w:jc w:val="both"/>
        <w:rPr>
          <w:sz w:val="22"/>
          <w:szCs w:val="22"/>
        </w:rPr>
      </w:pPr>
      <w:r w:rsidRPr="00D07AE4">
        <w:rPr>
          <w:sz w:val="22"/>
          <w:szCs w:val="22"/>
        </w:rPr>
        <w:t>T</w:t>
      </w:r>
      <w:r w:rsidRPr="00D07AE4">
        <w:rPr>
          <w:rFonts w:hint="eastAsia"/>
          <w:sz w:val="22"/>
          <w:szCs w:val="22"/>
        </w:rPr>
        <w:t>he</w:t>
      </w:r>
      <w:r w:rsidRPr="00D07AE4">
        <w:rPr>
          <w:sz w:val="22"/>
          <w:szCs w:val="22"/>
        </w:rPr>
        <w:t xml:space="preserve"> gain of each </w:t>
      </w:r>
      <w:r w:rsidR="003148CC" w:rsidRPr="00D07AE4">
        <w:rPr>
          <w:sz w:val="22"/>
          <w:szCs w:val="22"/>
        </w:rPr>
        <w:t xml:space="preserve">configuration </w:t>
      </w:r>
      <w:r w:rsidRPr="00D07AE4">
        <w:rPr>
          <w:sz w:val="22"/>
          <w:szCs w:val="22"/>
        </w:rPr>
        <w:t>is shown in T</w:t>
      </w:r>
      <w:r w:rsidR="00643505" w:rsidRPr="00D07AE4">
        <w:rPr>
          <w:sz w:val="22"/>
          <w:szCs w:val="22"/>
        </w:rPr>
        <w:t>able 3</w:t>
      </w:r>
      <w:r w:rsidRPr="00D07AE4">
        <w:rPr>
          <w:sz w:val="22"/>
          <w:szCs w:val="22"/>
        </w:rPr>
        <w:t>, where it could be found that the differences are 2.47 dB</w:t>
      </w:r>
      <w:r w:rsidR="00D07AE4">
        <w:rPr>
          <w:sz w:val="22"/>
          <w:szCs w:val="22"/>
        </w:rPr>
        <w:t>i</w:t>
      </w:r>
      <w:r w:rsidRPr="00D07AE4">
        <w:rPr>
          <w:sz w:val="22"/>
          <w:szCs w:val="22"/>
        </w:rPr>
        <w:t xml:space="preserve"> and 1.15 dB</w:t>
      </w:r>
      <w:r w:rsidR="00D07AE4">
        <w:rPr>
          <w:sz w:val="22"/>
          <w:szCs w:val="22"/>
        </w:rPr>
        <w:t>i</w:t>
      </w:r>
      <w:r w:rsidRPr="00D07AE4">
        <w:rPr>
          <w:sz w:val="22"/>
          <w:szCs w:val="22"/>
        </w:rPr>
        <w:t>.</w:t>
      </w:r>
      <w:r w:rsidR="003148CC" w:rsidRPr="00D07AE4">
        <w:rPr>
          <w:sz w:val="22"/>
          <w:szCs w:val="22"/>
        </w:rPr>
        <w:t xml:space="preserve"> </w:t>
      </w:r>
      <w:r w:rsidR="00F3234E" w:rsidRPr="00D07AE4">
        <w:rPr>
          <w:sz w:val="22"/>
          <w:szCs w:val="22"/>
        </w:rPr>
        <w:t xml:space="preserve">The gaps are mainly the result of the </w:t>
      </w:r>
      <w:r w:rsidR="00EE2036" w:rsidRPr="00D07AE4">
        <w:rPr>
          <w:sz w:val="22"/>
          <w:szCs w:val="22"/>
        </w:rPr>
        <w:t>obvious distinction in the conductivity, which leads to different surface current distributions, especially for the amplitudes.</w:t>
      </w:r>
    </w:p>
    <w:p w:rsidR="00BC66F2" w:rsidRPr="00D07AE4" w:rsidRDefault="00BC66F2" w:rsidP="00BC66F2">
      <w:pPr>
        <w:jc w:val="center"/>
        <w:rPr>
          <w:lang w:eastAsia="zh-CN"/>
        </w:rPr>
      </w:pPr>
      <w:r w:rsidRPr="00D07AE4">
        <w:rPr>
          <w:sz w:val="20"/>
          <w:szCs w:val="20"/>
          <w:lang w:eastAsia="zh-CN"/>
        </w:rPr>
        <w:t>T</w:t>
      </w:r>
      <w:r w:rsidR="00643505" w:rsidRPr="00D07AE4">
        <w:rPr>
          <w:sz w:val="20"/>
          <w:szCs w:val="20"/>
          <w:lang w:eastAsia="zh-CN"/>
        </w:rPr>
        <w:t>able 3. Comparison of the gain of the liquid antenna with the helical metal antenna.</w:t>
      </w:r>
    </w:p>
    <w:tbl>
      <w:tblPr>
        <w:tblStyle w:val="ae"/>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56"/>
        <w:gridCol w:w="1275"/>
        <w:gridCol w:w="832"/>
      </w:tblGrid>
      <w:tr w:rsidR="00D07AE4" w:rsidRPr="00D07AE4" w:rsidTr="00C56BA1">
        <w:trPr>
          <w:jc w:val="center"/>
        </w:trPr>
        <w:tc>
          <w:tcPr>
            <w:tcW w:w="2456"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hint="eastAsia"/>
                <w:color w:val="auto"/>
                <w:sz w:val="20"/>
                <w:szCs w:val="20"/>
              </w:rPr>
              <w:t xml:space="preserve">Antenna </w:t>
            </w:r>
            <w:r w:rsidRPr="00D07AE4">
              <w:rPr>
                <w:rStyle w:val="BodyText2"/>
                <w:rFonts w:ascii="Times" w:eastAsia="宋体" w:hAnsi="Times"/>
                <w:color w:val="auto"/>
                <w:sz w:val="20"/>
                <w:szCs w:val="20"/>
              </w:rPr>
              <w:t>Material</w:t>
            </w:r>
          </w:p>
        </w:tc>
        <w:tc>
          <w:tcPr>
            <w:tcW w:w="1275"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hint="eastAsia"/>
                <w:color w:val="auto"/>
                <w:sz w:val="20"/>
                <w:szCs w:val="20"/>
              </w:rPr>
              <w:t>Saline Water</w:t>
            </w:r>
          </w:p>
        </w:tc>
        <w:tc>
          <w:tcPr>
            <w:tcW w:w="832" w:type="dxa"/>
            <w:vAlign w:val="center"/>
          </w:tcPr>
          <w:p w:rsidR="00BC66F2" w:rsidRPr="00D07AE4" w:rsidRDefault="00BC66F2" w:rsidP="00110772">
            <w:pPr>
              <w:ind w:left="100" w:hangingChars="50" w:hanging="100"/>
              <w:jc w:val="center"/>
              <w:rPr>
                <w:rStyle w:val="BodyText2"/>
                <w:rFonts w:ascii="Times" w:eastAsia="宋体" w:hAnsi="Times"/>
                <w:color w:val="auto"/>
                <w:sz w:val="20"/>
                <w:szCs w:val="20"/>
              </w:rPr>
            </w:pPr>
            <w:r w:rsidRPr="00D07AE4">
              <w:rPr>
                <w:rStyle w:val="BodyText2"/>
                <w:rFonts w:ascii="Times" w:eastAsia="宋体" w:hAnsi="Times" w:hint="eastAsia"/>
                <w:color w:val="auto"/>
                <w:sz w:val="20"/>
                <w:szCs w:val="20"/>
              </w:rPr>
              <w:t>Metal</w:t>
            </w:r>
          </w:p>
        </w:tc>
      </w:tr>
      <w:tr w:rsidR="00D07AE4" w:rsidRPr="00D07AE4" w:rsidTr="00C56BA1">
        <w:trPr>
          <w:jc w:val="center"/>
        </w:trPr>
        <w:tc>
          <w:tcPr>
            <w:tcW w:w="2456"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Gain at 1.8 GHz (dBi)</w:t>
            </w:r>
          </w:p>
        </w:tc>
        <w:tc>
          <w:tcPr>
            <w:tcW w:w="1275"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3.80</w:t>
            </w:r>
          </w:p>
        </w:tc>
        <w:tc>
          <w:tcPr>
            <w:tcW w:w="832" w:type="dxa"/>
            <w:vAlign w:val="center"/>
          </w:tcPr>
          <w:p w:rsidR="00BC66F2" w:rsidRPr="00D07AE4" w:rsidRDefault="00BC66F2" w:rsidP="00110772">
            <w:pPr>
              <w:ind w:left="100" w:hangingChars="50" w:hanging="100"/>
              <w:jc w:val="center"/>
              <w:rPr>
                <w:rStyle w:val="BodyText2"/>
                <w:rFonts w:ascii="Times" w:hAnsi="Times"/>
                <w:color w:val="auto"/>
                <w:sz w:val="20"/>
                <w:szCs w:val="20"/>
              </w:rPr>
            </w:pPr>
            <w:r w:rsidRPr="00D07AE4">
              <w:rPr>
                <w:rStyle w:val="BodyText2"/>
                <w:rFonts w:ascii="Times" w:eastAsia="宋体" w:hAnsi="Times"/>
                <w:color w:val="auto"/>
                <w:sz w:val="20"/>
                <w:szCs w:val="20"/>
              </w:rPr>
              <w:t>6.27</w:t>
            </w:r>
          </w:p>
        </w:tc>
      </w:tr>
      <w:tr w:rsidR="00D07AE4" w:rsidRPr="00D07AE4" w:rsidTr="00C56BA1">
        <w:trPr>
          <w:jc w:val="center"/>
        </w:trPr>
        <w:tc>
          <w:tcPr>
            <w:tcW w:w="2456"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Gain at 2.0 GHz (dBi)</w:t>
            </w:r>
          </w:p>
        </w:tc>
        <w:tc>
          <w:tcPr>
            <w:tcW w:w="1275"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hint="eastAsia"/>
                <w:color w:val="auto"/>
                <w:sz w:val="20"/>
                <w:szCs w:val="20"/>
              </w:rPr>
              <w:t>4.48</w:t>
            </w:r>
          </w:p>
        </w:tc>
        <w:tc>
          <w:tcPr>
            <w:tcW w:w="832"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5.63</w:t>
            </w:r>
          </w:p>
        </w:tc>
      </w:tr>
    </w:tbl>
    <w:p w:rsidR="00BC66F2" w:rsidRPr="00D07AE4" w:rsidRDefault="00EC74B5" w:rsidP="00BC66F2">
      <w:pPr>
        <w:pStyle w:val="2"/>
      </w:pPr>
      <w:r w:rsidRPr="00D07AE4">
        <w:t>3.3</w:t>
      </w:r>
      <w:r w:rsidR="00BC66F2" w:rsidRPr="00D07AE4">
        <w:t xml:space="preserve">. Reflection </w:t>
      </w:r>
      <w:r w:rsidRPr="00D07AE4">
        <w:t>coefficient vs</w:t>
      </w:r>
      <w:r w:rsidR="00BC66F2" w:rsidRPr="00D07AE4">
        <w:t xml:space="preserve">. </w:t>
      </w:r>
      <w:r w:rsidRPr="00D07AE4">
        <w:t xml:space="preserve">length </w:t>
      </w:r>
      <w:r w:rsidR="00BC66F2" w:rsidRPr="00D07AE4">
        <w:t xml:space="preserve">of the </w:t>
      </w:r>
      <w:r w:rsidRPr="00D07AE4">
        <w:t>probe</w:t>
      </w:r>
    </w:p>
    <w:p w:rsidR="00BC66F2" w:rsidRPr="00D07AE4" w:rsidRDefault="00D07AE4" w:rsidP="00BC66F2">
      <w:pPr>
        <w:pStyle w:val="Text"/>
        <w:ind w:firstLine="0"/>
        <w:jc w:val="center"/>
      </w:pPr>
      <w:r w:rsidRPr="00D07AE4">
        <w:object w:dxaOrig="4756" w:dyaOrig="3666">
          <v:shape id="_x0000_i1030" type="#_x0000_t75" style="width:198pt;height:152.5pt" o:ole="">
            <v:imagedata r:id="rId29" o:title=""/>
          </v:shape>
          <o:OLEObject Type="Embed" ProgID="Origin50.Graph" ShapeID="_x0000_i1030" DrawAspect="Content" ObjectID="_1559389820" r:id="rId30"/>
        </w:object>
      </w:r>
    </w:p>
    <w:p w:rsidR="00BC66F2" w:rsidRPr="00D07AE4" w:rsidRDefault="00BC66F2" w:rsidP="00BC66F2">
      <w:pPr>
        <w:pStyle w:val="Text"/>
        <w:jc w:val="center"/>
        <w:rPr>
          <w:sz w:val="22"/>
          <w:szCs w:val="22"/>
        </w:rPr>
      </w:pPr>
      <w:r w:rsidRPr="00D07AE4">
        <w:rPr>
          <w:sz w:val="22"/>
          <w:szCs w:val="22"/>
        </w:rPr>
        <w:t>Fig</w:t>
      </w:r>
      <w:r w:rsidR="0098221A" w:rsidRPr="00D07AE4">
        <w:rPr>
          <w:sz w:val="22"/>
          <w:szCs w:val="22"/>
        </w:rPr>
        <w:t xml:space="preserve">ure </w:t>
      </w:r>
      <w:r w:rsidRPr="00D07AE4">
        <w:rPr>
          <w:sz w:val="22"/>
          <w:szCs w:val="22"/>
        </w:rPr>
        <w:t xml:space="preserve">8. </w:t>
      </w:r>
      <w:r w:rsidRPr="00D07AE4">
        <w:rPr>
          <w:noProof/>
          <w:sz w:val="22"/>
          <w:szCs w:val="22"/>
        </w:rPr>
        <w:t>Reflection coefficient vs. probe length.</w:t>
      </w:r>
    </w:p>
    <w:p w:rsidR="00BC66F2" w:rsidRPr="00D07AE4" w:rsidRDefault="00BC66F2" w:rsidP="00BC66F2">
      <w:pPr>
        <w:pStyle w:val="Newparagraph"/>
        <w:ind w:firstLine="0"/>
        <w:jc w:val="both"/>
        <w:rPr>
          <w:sz w:val="22"/>
          <w:szCs w:val="22"/>
        </w:rPr>
      </w:pPr>
      <w:r w:rsidRPr="00D07AE4">
        <w:rPr>
          <w:sz w:val="22"/>
          <w:szCs w:val="22"/>
        </w:rPr>
        <w:lastRenderedPageBreak/>
        <w:t xml:space="preserve">The length of the probe has an important </w:t>
      </w:r>
      <w:r w:rsidR="005E3F49" w:rsidRPr="00D07AE4">
        <w:rPr>
          <w:sz w:val="22"/>
          <w:szCs w:val="22"/>
        </w:rPr>
        <w:t xml:space="preserve">impact </w:t>
      </w:r>
      <w:r w:rsidRPr="00D07AE4">
        <w:rPr>
          <w:sz w:val="22"/>
          <w:szCs w:val="22"/>
        </w:rPr>
        <w:t>on the performance of the antenna. Fig</w:t>
      </w:r>
      <w:r w:rsidR="0098221A" w:rsidRPr="00D07AE4">
        <w:rPr>
          <w:sz w:val="22"/>
          <w:szCs w:val="22"/>
        </w:rPr>
        <w:t xml:space="preserve">ure </w:t>
      </w:r>
      <w:r w:rsidRPr="00D07AE4">
        <w:rPr>
          <w:sz w:val="22"/>
          <w:szCs w:val="22"/>
        </w:rPr>
        <w:t>8 shows the reflection coefficients of four sizes, from which it could be observed that the resonance frequency increases when the length of the probe decreases from 12.0 mm to 8.0 mm, 5.0 mm and finally to 2.0 mm, as shown in T</w:t>
      </w:r>
      <w:r w:rsidR="00643505" w:rsidRPr="00D07AE4">
        <w:rPr>
          <w:sz w:val="22"/>
          <w:szCs w:val="22"/>
        </w:rPr>
        <w:t>able 4</w:t>
      </w:r>
      <w:r w:rsidRPr="00D07AE4">
        <w:rPr>
          <w:sz w:val="22"/>
          <w:szCs w:val="22"/>
        </w:rPr>
        <w:t xml:space="preserve">. </w:t>
      </w:r>
      <w:r w:rsidR="00144F56" w:rsidRPr="00D07AE4">
        <w:rPr>
          <w:sz w:val="22"/>
          <w:szCs w:val="22"/>
        </w:rPr>
        <w:t xml:space="preserve">The tendency is a positive proportion that nearly linear variation between the </w:t>
      </w:r>
      <w:r w:rsidR="00E123AD" w:rsidRPr="00D07AE4">
        <w:rPr>
          <w:sz w:val="22"/>
          <w:szCs w:val="22"/>
        </w:rPr>
        <w:t xml:space="preserve">size of the </w:t>
      </w:r>
      <w:r w:rsidR="00144F56" w:rsidRPr="00D07AE4">
        <w:rPr>
          <w:sz w:val="22"/>
          <w:szCs w:val="22"/>
        </w:rPr>
        <w:t xml:space="preserve">wavelength and the probe length. </w:t>
      </w:r>
      <w:r w:rsidRPr="00D07AE4">
        <w:rPr>
          <w:sz w:val="22"/>
          <w:szCs w:val="22"/>
        </w:rPr>
        <w:t xml:space="preserve">All the </w:t>
      </w:r>
      <w:r w:rsidR="00E76C8C" w:rsidRPr="00D07AE4">
        <w:rPr>
          <w:sz w:val="22"/>
          <w:szCs w:val="22"/>
        </w:rPr>
        <w:t xml:space="preserve">fractional </w:t>
      </w:r>
      <w:r w:rsidRPr="00D07AE4">
        <w:rPr>
          <w:sz w:val="22"/>
          <w:szCs w:val="22"/>
        </w:rPr>
        <w:t>bandwidths are over 20% with the maximum of 24.1%.</w:t>
      </w:r>
    </w:p>
    <w:p w:rsidR="00BC66F2" w:rsidRPr="00D07AE4" w:rsidRDefault="00BC66F2" w:rsidP="00C56BA1">
      <w:pPr>
        <w:rPr>
          <w:sz w:val="20"/>
          <w:szCs w:val="20"/>
          <w:lang w:eastAsia="zh-CN"/>
        </w:rPr>
      </w:pPr>
      <w:r w:rsidRPr="00D07AE4">
        <w:rPr>
          <w:sz w:val="20"/>
          <w:szCs w:val="20"/>
          <w:lang w:eastAsia="zh-CN"/>
        </w:rPr>
        <w:t>T</w:t>
      </w:r>
      <w:r w:rsidR="00643505" w:rsidRPr="00D07AE4">
        <w:rPr>
          <w:sz w:val="20"/>
          <w:szCs w:val="20"/>
          <w:lang w:eastAsia="zh-CN"/>
        </w:rPr>
        <w:t>able 4. The influence of the probe length on the reflection coefficients.</w:t>
      </w:r>
    </w:p>
    <w:tbl>
      <w:tblPr>
        <w:tblStyle w:val="ae"/>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743"/>
        <w:gridCol w:w="1002"/>
        <w:gridCol w:w="1088"/>
        <w:gridCol w:w="983"/>
        <w:gridCol w:w="1010"/>
      </w:tblGrid>
      <w:tr w:rsidR="00D07AE4" w:rsidRPr="00D07AE4" w:rsidTr="00C56BA1">
        <w:trPr>
          <w:jc w:val="center"/>
        </w:trPr>
        <w:tc>
          <w:tcPr>
            <w:tcW w:w="2743"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Probe Length (mm)</w:t>
            </w:r>
          </w:p>
        </w:tc>
        <w:tc>
          <w:tcPr>
            <w:tcW w:w="1002"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12.0</w:t>
            </w:r>
          </w:p>
        </w:tc>
        <w:tc>
          <w:tcPr>
            <w:tcW w:w="1088" w:type="dxa"/>
            <w:vAlign w:val="center"/>
          </w:tcPr>
          <w:p w:rsidR="00BC66F2" w:rsidRPr="00D07AE4" w:rsidRDefault="00BC66F2" w:rsidP="00110772">
            <w:pPr>
              <w:ind w:left="100" w:hangingChars="50" w:hanging="100"/>
              <w:jc w:val="center"/>
              <w:rPr>
                <w:rStyle w:val="BodyText2"/>
                <w:rFonts w:ascii="Times" w:hAnsi="Times"/>
                <w:color w:val="auto"/>
                <w:sz w:val="20"/>
                <w:szCs w:val="20"/>
              </w:rPr>
            </w:pPr>
            <w:r w:rsidRPr="00D07AE4">
              <w:rPr>
                <w:rStyle w:val="BodyText2"/>
                <w:rFonts w:ascii="Times" w:hAnsi="Times"/>
                <w:color w:val="auto"/>
                <w:sz w:val="20"/>
                <w:szCs w:val="20"/>
              </w:rPr>
              <w:t>8.0</w:t>
            </w:r>
          </w:p>
        </w:tc>
        <w:tc>
          <w:tcPr>
            <w:tcW w:w="983"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hAnsi="Times"/>
                <w:color w:val="auto"/>
                <w:sz w:val="20"/>
                <w:szCs w:val="20"/>
              </w:rPr>
              <w:t>5.0</w:t>
            </w:r>
          </w:p>
        </w:tc>
        <w:tc>
          <w:tcPr>
            <w:tcW w:w="1010" w:type="dxa"/>
            <w:vAlign w:val="center"/>
          </w:tcPr>
          <w:p w:rsidR="00BC66F2" w:rsidRPr="00D07AE4" w:rsidRDefault="00BC66F2" w:rsidP="00110772">
            <w:pPr>
              <w:ind w:left="100" w:hangingChars="50" w:hanging="100"/>
              <w:jc w:val="center"/>
              <w:rPr>
                <w:rStyle w:val="BodyText2"/>
                <w:rFonts w:ascii="Times" w:eastAsia="宋体" w:hAnsi="Times"/>
                <w:color w:val="auto"/>
                <w:sz w:val="20"/>
                <w:szCs w:val="20"/>
              </w:rPr>
            </w:pPr>
            <w:r w:rsidRPr="00D07AE4">
              <w:rPr>
                <w:rStyle w:val="BodyText2"/>
                <w:rFonts w:ascii="Times" w:hAnsi="Times"/>
                <w:color w:val="auto"/>
                <w:sz w:val="20"/>
                <w:szCs w:val="20"/>
              </w:rPr>
              <w:t>2.0</w:t>
            </w:r>
          </w:p>
        </w:tc>
      </w:tr>
      <w:tr w:rsidR="00D07AE4" w:rsidRPr="00D07AE4" w:rsidTr="00C56BA1">
        <w:trPr>
          <w:jc w:val="center"/>
        </w:trPr>
        <w:tc>
          <w:tcPr>
            <w:tcW w:w="2743"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Center Freq.</w:t>
            </w:r>
            <w:r w:rsidR="00E76C8C" w:rsidRPr="00D07AE4">
              <w:rPr>
                <w:rStyle w:val="BodyText2"/>
                <w:rFonts w:ascii="Times" w:eastAsia="宋体" w:hAnsi="Times"/>
                <w:color w:val="auto"/>
                <w:sz w:val="20"/>
                <w:szCs w:val="20"/>
              </w:rPr>
              <w:t xml:space="preserve"> </w:t>
            </w:r>
            <w:r w:rsidRPr="00D07AE4">
              <w:rPr>
                <w:rStyle w:val="BodyText2"/>
                <w:rFonts w:ascii="Times" w:eastAsia="宋体" w:hAnsi="Times"/>
                <w:color w:val="auto"/>
                <w:sz w:val="20"/>
                <w:szCs w:val="20"/>
              </w:rPr>
              <w:t>(</w:t>
            </w:r>
            <w:r w:rsidRPr="00D07AE4">
              <w:rPr>
                <w:rStyle w:val="BodyText2"/>
                <w:rFonts w:ascii="Times" w:hAnsi="Times"/>
                <w:color w:val="auto"/>
                <w:sz w:val="20"/>
                <w:szCs w:val="20"/>
              </w:rPr>
              <w:t>GHz)</w:t>
            </w:r>
          </w:p>
        </w:tc>
        <w:tc>
          <w:tcPr>
            <w:tcW w:w="1002"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hAnsi="Times"/>
                <w:color w:val="auto"/>
                <w:sz w:val="20"/>
                <w:szCs w:val="20"/>
              </w:rPr>
              <w:t>1.70</w:t>
            </w:r>
          </w:p>
        </w:tc>
        <w:tc>
          <w:tcPr>
            <w:tcW w:w="1088"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hAnsi="Times"/>
                <w:color w:val="auto"/>
                <w:sz w:val="20"/>
                <w:szCs w:val="20"/>
              </w:rPr>
              <w:t>1.92</w:t>
            </w:r>
          </w:p>
        </w:tc>
        <w:tc>
          <w:tcPr>
            <w:tcW w:w="983"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2.12</w:t>
            </w:r>
          </w:p>
        </w:tc>
        <w:tc>
          <w:tcPr>
            <w:tcW w:w="1010"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2.44</w:t>
            </w:r>
          </w:p>
        </w:tc>
      </w:tr>
      <w:tr w:rsidR="00D07AE4" w:rsidRPr="00D07AE4" w:rsidTr="00C56BA1">
        <w:trPr>
          <w:jc w:val="center"/>
        </w:trPr>
        <w:tc>
          <w:tcPr>
            <w:tcW w:w="2743"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hint="eastAsia"/>
                <w:color w:val="auto"/>
                <w:sz w:val="20"/>
                <w:szCs w:val="20"/>
              </w:rPr>
              <w:t>Min.</w:t>
            </w:r>
            <w:r w:rsidRPr="00D07AE4">
              <w:rPr>
                <w:rStyle w:val="BodyText2"/>
                <w:rFonts w:ascii="Times" w:eastAsia="宋体" w:hAnsi="Times"/>
                <w:color w:val="auto"/>
                <w:sz w:val="20"/>
                <w:szCs w:val="20"/>
              </w:rPr>
              <w:t xml:space="preserve"> S11 (dB)</w:t>
            </w:r>
          </w:p>
        </w:tc>
        <w:tc>
          <w:tcPr>
            <w:tcW w:w="1002"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hint="eastAsia"/>
                <w:color w:val="auto"/>
                <w:sz w:val="20"/>
                <w:szCs w:val="20"/>
              </w:rPr>
              <w:t>-2</w:t>
            </w:r>
            <w:r w:rsidRPr="00D07AE4">
              <w:rPr>
                <w:rStyle w:val="BodyText2"/>
                <w:rFonts w:ascii="Times" w:eastAsia="宋体" w:hAnsi="Times"/>
                <w:color w:val="auto"/>
                <w:sz w:val="20"/>
                <w:szCs w:val="20"/>
              </w:rPr>
              <w:t>5.7</w:t>
            </w:r>
          </w:p>
        </w:tc>
        <w:tc>
          <w:tcPr>
            <w:tcW w:w="1088"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hint="eastAsia"/>
                <w:color w:val="auto"/>
                <w:sz w:val="20"/>
                <w:szCs w:val="20"/>
              </w:rPr>
              <w:t>-1</w:t>
            </w:r>
            <w:r w:rsidRPr="00D07AE4">
              <w:rPr>
                <w:rStyle w:val="BodyText2"/>
                <w:rFonts w:ascii="Times" w:eastAsia="宋体" w:hAnsi="Times"/>
                <w:color w:val="auto"/>
                <w:sz w:val="20"/>
                <w:szCs w:val="20"/>
              </w:rPr>
              <w:t>9.9</w:t>
            </w:r>
          </w:p>
        </w:tc>
        <w:tc>
          <w:tcPr>
            <w:tcW w:w="983"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hint="eastAsia"/>
                <w:color w:val="auto"/>
                <w:sz w:val="20"/>
                <w:szCs w:val="20"/>
              </w:rPr>
              <w:t>-1</w:t>
            </w:r>
            <w:r w:rsidRPr="00D07AE4">
              <w:rPr>
                <w:rStyle w:val="BodyText2"/>
                <w:rFonts w:ascii="Times" w:eastAsia="宋体" w:hAnsi="Times"/>
                <w:color w:val="auto"/>
                <w:sz w:val="20"/>
                <w:szCs w:val="20"/>
              </w:rPr>
              <w:t>6.3</w:t>
            </w:r>
          </w:p>
        </w:tc>
        <w:tc>
          <w:tcPr>
            <w:tcW w:w="1010"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hint="eastAsia"/>
                <w:color w:val="auto"/>
                <w:sz w:val="20"/>
                <w:szCs w:val="20"/>
              </w:rPr>
              <w:t>-1</w:t>
            </w:r>
            <w:r w:rsidRPr="00D07AE4">
              <w:rPr>
                <w:rStyle w:val="BodyText2"/>
                <w:rFonts w:ascii="Times" w:eastAsia="宋体" w:hAnsi="Times"/>
                <w:color w:val="auto"/>
                <w:sz w:val="20"/>
                <w:szCs w:val="20"/>
              </w:rPr>
              <w:t>2.9</w:t>
            </w:r>
          </w:p>
        </w:tc>
      </w:tr>
      <w:tr w:rsidR="00D07AE4" w:rsidRPr="00D07AE4" w:rsidTr="00C56BA1">
        <w:trPr>
          <w:jc w:val="center"/>
        </w:trPr>
        <w:tc>
          <w:tcPr>
            <w:tcW w:w="2743"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Freq.</w:t>
            </w:r>
            <w:r w:rsidR="0092568A" w:rsidRPr="00D07AE4">
              <w:rPr>
                <w:rStyle w:val="BodyText2"/>
                <w:rFonts w:ascii="Times" w:eastAsia="宋体" w:hAnsi="Times"/>
                <w:color w:val="auto"/>
                <w:sz w:val="20"/>
                <w:szCs w:val="20"/>
              </w:rPr>
              <w:t xml:space="preserve"> </w:t>
            </w:r>
            <w:r w:rsidRPr="00D07AE4">
              <w:rPr>
                <w:rStyle w:val="BodyText2"/>
                <w:rFonts w:ascii="Times" w:eastAsia="宋体" w:hAnsi="Times"/>
                <w:color w:val="auto"/>
                <w:sz w:val="20"/>
                <w:szCs w:val="20"/>
              </w:rPr>
              <w:t>Range (GHz)</w:t>
            </w:r>
          </w:p>
        </w:tc>
        <w:tc>
          <w:tcPr>
            <w:tcW w:w="1002"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hint="eastAsia"/>
                <w:color w:val="auto"/>
                <w:sz w:val="20"/>
                <w:szCs w:val="20"/>
              </w:rPr>
              <w:t>1.</w:t>
            </w:r>
            <w:r w:rsidRPr="00D07AE4">
              <w:rPr>
                <w:rStyle w:val="BodyText2"/>
                <w:rFonts w:ascii="Times" w:eastAsia="宋体" w:hAnsi="Times"/>
                <w:color w:val="auto"/>
                <w:sz w:val="20"/>
                <w:szCs w:val="20"/>
              </w:rPr>
              <w:t>54</w:t>
            </w:r>
            <w:r w:rsidRPr="00D07AE4">
              <w:rPr>
                <w:rStyle w:val="BodyText2"/>
                <w:rFonts w:ascii="Times" w:eastAsia="宋体" w:hAnsi="Times" w:hint="eastAsia"/>
                <w:color w:val="auto"/>
                <w:sz w:val="20"/>
                <w:szCs w:val="20"/>
              </w:rPr>
              <w:t>-1.</w:t>
            </w:r>
            <w:r w:rsidRPr="00D07AE4">
              <w:rPr>
                <w:rStyle w:val="BodyText2"/>
                <w:rFonts w:ascii="Times" w:eastAsia="宋体" w:hAnsi="Times"/>
                <w:color w:val="auto"/>
                <w:sz w:val="20"/>
                <w:szCs w:val="20"/>
              </w:rPr>
              <w:t>90</w:t>
            </w:r>
          </w:p>
        </w:tc>
        <w:tc>
          <w:tcPr>
            <w:tcW w:w="1088"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hint="eastAsia"/>
                <w:color w:val="auto"/>
                <w:sz w:val="20"/>
                <w:szCs w:val="20"/>
              </w:rPr>
              <w:t>1.</w:t>
            </w:r>
            <w:r w:rsidRPr="00D07AE4">
              <w:rPr>
                <w:rStyle w:val="BodyText2"/>
                <w:rFonts w:ascii="Times" w:eastAsia="宋体" w:hAnsi="Times"/>
                <w:color w:val="auto"/>
                <w:sz w:val="20"/>
                <w:szCs w:val="20"/>
              </w:rPr>
              <w:t>73</w:t>
            </w:r>
            <w:r w:rsidRPr="00D07AE4">
              <w:rPr>
                <w:rStyle w:val="BodyText2"/>
                <w:rFonts w:ascii="Times" w:eastAsia="宋体" w:hAnsi="Times" w:hint="eastAsia"/>
                <w:color w:val="auto"/>
                <w:sz w:val="20"/>
                <w:szCs w:val="20"/>
              </w:rPr>
              <w:t>-</w:t>
            </w:r>
            <w:r w:rsidRPr="00D07AE4">
              <w:rPr>
                <w:rStyle w:val="BodyText2"/>
                <w:rFonts w:ascii="Times" w:eastAsia="宋体" w:hAnsi="Times"/>
                <w:color w:val="auto"/>
                <w:sz w:val="20"/>
                <w:szCs w:val="20"/>
              </w:rPr>
              <w:t>2.17</w:t>
            </w:r>
          </w:p>
        </w:tc>
        <w:tc>
          <w:tcPr>
            <w:tcW w:w="983"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hint="eastAsia"/>
                <w:color w:val="auto"/>
                <w:sz w:val="20"/>
                <w:szCs w:val="20"/>
              </w:rPr>
              <w:t>1.</w:t>
            </w:r>
            <w:r w:rsidRPr="00D07AE4">
              <w:rPr>
                <w:rStyle w:val="BodyText2"/>
                <w:rFonts w:ascii="Times" w:eastAsia="宋体" w:hAnsi="Times"/>
                <w:color w:val="auto"/>
                <w:sz w:val="20"/>
                <w:szCs w:val="20"/>
              </w:rPr>
              <w:t>90</w:t>
            </w:r>
            <w:r w:rsidRPr="00D07AE4">
              <w:rPr>
                <w:rStyle w:val="BodyText2"/>
                <w:rFonts w:ascii="Times" w:eastAsia="宋体" w:hAnsi="Times" w:hint="eastAsia"/>
                <w:color w:val="auto"/>
                <w:sz w:val="20"/>
                <w:szCs w:val="20"/>
              </w:rPr>
              <w:t>-</w:t>
            </w:r>
            <w:r w:rsidRPr="00D07AE4">
              <w:rPr>
                <w:rStyle w:val="BodyText2"/>
                <w:rFonts w:ascii="Times" w:eastAsia="宋体" w:hAnsi="Times"/>
                <w:color w:val="auto"/>
                <w:sz w:val="20"/>
                <w:szCs w:val="20"/>
              </w:rPr>
              <w:t>2.42</w:t>
            </w:r>
          </w:p>
        </w:tc>
        <w:tc>
          <w:tcPr>
            <w:tcW w:w="1010"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2.19</w:t>
            </w:r>
            <w:r w:rsidRPr="00D07AE4">
              <w:rPr>
                <w:rStyle w:val="BodyText2"/>
                <w:rFonts w:ascii="Times" w:eastAsia="宋体" w:hAnsi="Times" w:hint="eastAsia"/>
                <w:color w:val="auto"/>
                <w:sz w:val="20"/>
                <w:szCs w:val="20"/>
              </w:rPr>
              <w:t>-</w:t>
            </w:r>
            <w:r w:rsidRPr="00D07AE4">
              <w:rPr>
                <w:rStyle w:val="BodyText2"/>
                <w:rFonts w:ascii="Times" w:eastAsia="宋体" w:hAnsi="Times"/>
                <w:color w:val="auto"/>
                <w:sz w:val="20"/>
                <w:szCs w:val="20"/>
              </w:rPr>
              <w:t>2.75</w:t>
            </w:r>
          </w:p>
        </w:tc>
      </w:tr>
      <w:tr w:rsidR="00D07AE4" w:rsidRPr="00D07AE4" w:rsidTr="00C56BA1">
        <w:trPr>
          <w:jc w:val="center"/>
        </w:trPr>
        <w:tc>
          <w:tcPr>
            <w:tcW w:w="2743" w:type="dxa"/>
            <w:vAlign w:val="center"/>
          </w:tcPr>
          <w:p w:rsidR="00BC66F2" w:rsidRPr="00D07AE4" w:rsidRDefault="00B87A0E"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Fractional</w:t>
            </w:r>
            <w:r w:rsidRPr="00D07AE4">
              <w:rPr>
                <w:rStyle w:val="BodyText2"/>
                <w:rFonts w:ascii="Times" w:eastAsia="宋体" w:hAnsi="Times" w:hint="eastAsia"/>
                <w:color w:val="auto"/>
                <w:sz w:val="20"/>
                <w:szCs w:val="20"/>
              </w:rPr>
              <w:t xml:space="preserve"> </w:t>
            </w:r>
            <w:r w:rsidR="00BC66F2" w:rsidRPr="00D07AE4">
              <w:rPr>
                <w:rStyle w:val="BodyText2"/>
                <w:rFonts w:ascii="Times" w:eastAsia="宋体" w:hAnsi="Times" w:hint="eastAsia"/>
                <w:color w:val="auto"/>
                <w:sz w:val="20"/>
                <w:szCs w:val="20"/>
              </w:rPr>
              <w:t>Bandwidth</w:t>
            </w:r>
          </w:p>
        </w:tc>
        <w:tc>
          <w:tcPr>
            <w:tcW w:w="1002"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20.9</w:t>
            </w:r>
            <w:r w:rsidRPr="00D07AE4">
              <w:rPr>
                <w:rStyle w:val="BodyText2"/>
                <w:rFonts w:ascii="Times" w:eastAsia="宋体" w:hAnsi="Times" w:hint="eastAsia"/>
                <w:color w:val="auto"/>
                <w:sz w:val="20"/>
                <w:szCs w:val="20"/>
              </w:rPr>
              <w:t>%</w:t>
            </w:r>
          </w:p>
        </w:tc>
        <w:tc>
          <w:tcPr>
            <w:tcW w:w="1088"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22.6</w:t>
            </w:r>
            <w:r w:rsidRPr="00D07AE4">
              <w:rPr>
                <w:rStyle w:val="BodyText2"/>
                <w:rFonts w:ascii="Times" w:eastAsia="宋体" w:hAnsi="Times" w:hint="eastAsia"/>
                <w:color w:val="auto"/>
                <w:sz w:val="20"/>
                <w:szCs w:val="20"/>
              </w:rPr>
              <w:t>%</w:t>
            </w:r>
          </w:p>
        </w:tc>
        <w:tc>
          <w:tcPr>
            <w:tcW w:w="983"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24.1</w:t>
            </w:r>
            <w:r w:rsidRPr="00D07AE4">
              <w:rPr>
                <w:rStyle w:val="BodyText2"/>
                <w:rFonts w:ascii="Times" w:eastAsia="宋体" w:hAnsi="Times" w:hint="eastAsia"/>
                <w:color w:val="auto"/>
                <w:sz w:val="20"/>
                <w:szCs w:val="20"/>
              </w:rPr>
              <w:t>%</w:t>
            </w:r>
          </w:p>
        </w:tc>
        <w:tc>
          <w:tcPr>
            <w:tcW w:w="1010"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22.7</w:t>
            </w:r>
            <w:r w:rsidRPr="00D07AE4">
              <w:rPr>
                <w:rStyle w:val="BodyText2"/>
                <w:rFonts w:ascii="Times" w:eastAsia="宋体" w:hAnsi="Times" w:hint="eastAsia"/>
                <w:color w:val="auto"/>
                <w:sz w:val="20"/>
                <w:szCs w:val="20"/>
              </w:rPr>
              <w:t>%</w:t>
            </w:r>
          </w:p>
        </w:tc>
      </w:tr>
    </w:tbl>
    <w:p w:rsidR="00BC66F2" w:rsidRPr="00D07AE4" w:rsidRDefault="00EC74B5" w:rsidP="00BC66F2">
      <w:pPr>
        <w:pStyle w:val="2"/>
      </w:pPr>
      <w:r w:rsidRPr="00D07AE4">
        <w:t>3.4</w:t>
      </w:r>
      <w:r w:rsidR="00BC66F2" w:rsidRPr="00D07AE4">
        <w:t xml:space="preserve">. Reflection </w:t>
      </w:r>
      <w:r w:rsidRPr="00D07AE4">
        <w:t>coefficient vs</w:t>
      </w:r>
      <w:r w:rsidR="00BC66F2" w:rsidRPr="00D07AE4">
        <w:t xml:space="preserve">. </w:t>
      </w:r>
      <w:r w:rsidRPr="00D07AE4">
        <w:t xml:space="preserve">thickness </w:t>
      </w:r>
      <w:r w:rsidR="00BC66F2" w:rsidRPr="00D07AE4">
        <w:t xml:space="preserve">of the </w:t>
      </w:r>
      <w:r w:rsidRPr="00D07AE4">
        <w:t>substrate</w:t>
      </w:r>
    </w:p>
    <w:p w:rsidR="00BC66F2" w:rsidRPr="00D07AE4" w:rsidRDefault="00BC66F2" w:rsidP="00BC66F2">
      <w:pPr>
        <w:pStyle w:val="Newparagraph"/>
        <w:ind w:firstLine="0"/>
        <w:jc w:val="both"/>
        <w:rPr>
          <w:sz w:val="22"/>
          <w:szCs w:val="22"/>
        </w:rPr>
      </w:pPr>
      <w:r w:rsidRPr="00D07AE4">
        <w:rPr>
          <w:sz w:val="22"/>
          <w:szCs w:val="22"/>
        </w:rPr>
        <w:t xml:space="preserve">The thickness of the substrate would lay some influence on the matching performance of the feeding structure. Here, the material of Rogers RT5880 with a dielectric permittivity of 2.2 is chosen for the study. The resonance frequency decreases from 1.74 GHz to 1.70 GHz, 1.66 GHz and </w:t>
      </w:r>
      <w:r w:rsidR="00D676FA" w:rsidRPr="00D07AE4">
        <w:rPr>
          <w:sz w:val="22"/>
          <w:szCs w:val="22"/>
        </w:rPr>
        <w:t xml:space="preserve">then </w:t>
      </w:r>
      <w:r w:rsidRPr="00D07AE4">
        <w:rPr>
          <w:sz w:val="22"/>
          <w:szCs w:val="22"/>
        </w:rPr>
        <w:t>1.62 GHz, when the thickness of the substrate increases from 0.6 mm to 1.2 mm, 2.2 mm and 3.0 mm, as shown in Fig</w:t>
      </w:r>
      <w:r w:rsidR="0098221A" w:rsidRPr="00D07AE4">
        <w:rPr>
          <w:sz w:val="22"/>
          <w:szCs w:val="22"/>
        </w:rPr>
        <w:t xml:space="preserve">ure </w:t>
      </w:r>
      <w:r w:rsidRPr="00D07AE4">
        <w:rPr>
          <w:sz w:val="22"/>
          <w:szCs w:val="22"/>
        </w:rPr>
        <w:t>9 and T</w:t>
      </w:r>
      <w:r w:rsidR="00643505" w:rsidRPr="00D07AE4">
        <w:rPr>
          <w:sz w:val="22"/>
          <w:szCs w:val="22"/>
        </w:rPr>
        <w:t>able 5</w:t>
      </w:r>
      <w:r w:rsidRPr="00D07AE4">
        <w:rPr>
          <w:sz w:val="22"/>
          <w:szCs w:val="22"/>
        </w:rPr>
        <w:t xml:space="preserve">. </w:t>
      </w:r>
      <w:r w:rsidR="00D676FA" w:rsidRPr="00D07AE4">
        <w:rPr>
          <w:sz w:val="22"/>
          <w:szCs w:val="22"/>
        </w:rPr>
        <w:t xml:space="preserve">The thicker the substrate gets, the lower resonance frequency it would obtain. During the variation, the fractional </w:t>
      </w:r>
      <w:r w:rsidRPr="00D07AE4">
        <w:rPr>
          <w:sz w:val="22"/>
          <w:szCs w:val="22"/>
        </w:rPr>
        <w:t xml:space="preserve">bandwidth </w:t>
      </w:r>
      <w:r w:rsidR="00D676FA" w:rsidRPr="00D07AE4">
        <w:rPr>
          <w:sz w:val="22"/>
          <w:szCs w:val="22"/>
        </w:rPr>
        <w:t xml:space="preserve">remains </w:t>
      </w:r>
      <w:r w:rsidRPr="00D07AE4">
        <w:rPr>
          <w:sz w:val="22"/>
          <w:szCs w:val="22"/>
        </w:rPr>
        <w:t>nearly the same value of 20%.</w:t>
      </w:r>
    </w:p>
    <w:p w:rsidR="00BC66F2" w:rsidRPr="00D07AE4" w:rsidRDefault="00D07AE4" w:rsidP="00BC66F2">
      <w:pPr>
        <w:pStyle w:val="Text"/>
        <w:ind w:firstLine="0"/>
        <w:jc w:val="center"/>
      </w:pPr>
      <w:r w:rsidRPr="00D07AE4">
        <w:object w:dxaOrig="4756" w:dyaOrig="3666">
          <v:shape id="_x0000_i1031" type="#_x0000_t75" style="width:224pt;height:171.5pt" o:ole="">
            <v:imagedata r:id="rId31" o:title=""/>
          </v:shape>
          <o:OLEObject Type="Embed" ProgID="Origin50.Graph" ShapeID="_x0000_i1031" DrawAspect="Content" ObjectID="_1559389821" r:id="rId32"/>
        </w:object>
      </w:r>
    </w:p>
    <w:p w:rsidR="00BC66F2" w:rsidRPr="00D07AE4" w:rsidRDefault="00BC66F2" w:rsidP="00BC66F2">
      <w:pPr>
        <w:pStyle w:val="Text"/>
        <w:jc w:val="center"/>
        <w:rPr>
          <w:sz w:val="22"/>
          <w:szCs w:val="22"/>
        </w:rPr>
      </w:pPr>
      <w:r w:rsidRPr="00D07AE4">
        <w:rPr>
          <w:sz w:val="22"/>
          <w:szCs w:val="22"/>
        </w:rPr>
        <w:t>Fig</w:t>
      </w:r>
      <w:r w:rsidR="0098221A" w:rsidRPr="00D07AE4">
        <w:rPr>
          <w:sz w:val="22"/>
          <w:szCs w:val="22"/>
        </w:rPr>
        <w:t xml:space="preserve">ure </w:t>
      </w:r>
      <w:r w:rsidRPr="00D07AE4">
        <w:rPr>
          <w:sz w:val="22"/>
          <w:szCs w:val="22"/>
        </w:rPr>
        <w:t xml:space="preserve">9. Reflection coefficients </w:t>
      </w:r>
      <w:r w:rsidRPr="00D07AE4">
        <w:rPr>
          <w:noProof/>
          <w:sz w:val="22"/>
          <w:szCs w:val="22"/>
        </w:rPr>
        <w:t>according to</w:t>
      </w:r>
      <w:r w:rsidRPr="00D07AE4">
        <w:rPr>
          <w:sz w:val="22"/>
          <w:szCs w:val="22"/>
        </w:rPr>
        <w:t xml:space="preserve"> different thicknesses of the substrate.</w:t>
      </w:r>
    </w:p>
    <w:p w:rsidR="00BC66F2" w:rsidRPr="00D07AE4" w:rsidRDefault="00643505" w:rsidP="00C56BA1">
      <w:pPr>
        <w:rPr>
          <w:sz w:val="20"/>
          <w:szCs w:val="20"/>
          <w:lang w:eastAsia="zh-CN"/>
        </w:rPr>
      </w:pPr>
      <w:r w:rsidRPr="00D07AE4">
        <w:rPr>
          <w:sz w:val="20"/>
          <w:szCs w:val="20"/>
          <w:lang w:eastAsia="zh-CN"/>
        </w:rPr>
        <w:lastRenderedPageBreak/>
        <w:t>Table 5. The influence of the substrate thickness on the reflection coefficients.</w:t>
      </w:r>
    </w:p>
    <w:tbl>
      <w:tblPr>
        <w:tblStyle w:val="ae"/>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85"/>
        <w:gridCol w:w="1002"/>
        <w:gridCol w:w="1088"/>
        <w:gridCol w:w="983"/>
        <w:gridCol w:w="1010"/>
      </w:tblGrid>
      <w:tr w:rsidR="00D07AE4" w:rsidRPr="00D07AE4" w:rsidTr="00C56BA1">
        <w:trPr>
          <w:jc w:val="center"/>
        </w:trPr>
        <w:tc>
          <w:tcPr>
            <w:tcW w:w="2885"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Substrate Thickness (mm)</w:t>
            </w:r>
          </w:p>
        </w:tc>
        <w:tc>
          <w:tcPr>
            <w:tcW w:w="1002"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0.6</w:t>
            </w:r>
          </w:p>
        </w:tc>
        <w:tc>
          <w:tcPr>
            <w:tcW w:w="1088" w:type="dxa"/>
            <w:vAlign w:val="center"/>
          </w:tcPr>
          <w:p w:rsidR="00BC66F2" w:rsidRPr="00D07AE4" w:rsidRDefault="00BC66F2" w:rsidP="00110772">
            <w:pPr>
              <w:ind w:left="100" w:hangingChars="50" w:hanging="100"/>
              <w:jc w:val="center"/>
              <w:rPr>
                <w:rStyle w:val="BodyText2"/>
                <w:rFonts w:ascii="Times" w:hAnsi="Times"/>
                <w:color w:val="auto"/>
                <w:sz w:val="20"/>
                <w:szCs w:val="20"/>
              </w:rPr>
            </w:pPr>
            <w:r w:rsidRPr="00D07AE4">
              <w:rPr>
                <w:rStyle w:val="BodyText2"/>
                <w:rFonts w:ascii="Times" w:hAnsi="Times"/>
                <w:color w:val="auto"/>
                <w:sz w:val="20"/>
                <w:szCs w:val="20"/>
              </w:rPr>
              <w:t>1.2</w:t>
            </w:r>
          </w:p>
        </w:tc>
        <w:tc>
          <w:tcPr>
            <w:tcW w:w="983"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hAnsi="Times"/>
                <w:color w:val="auto"/>
                <w:sz w:val="20"/>
                <w:szCs w:val="20"/>
              </w:rPr>
              <w:t>2.2</w:t>
            </w:r>
          </w:p>
        </w:tc>
        <w:tc>
          <w:tcPr>
            <w:tcW w:w="1010" w:type="dxa"/>
            <w:vAlign w:val="center"/>
          </w:tcPr>
          <w:p w:rsidR="00BC66F2" w:rsidRPr="00D07AE4" w:rsidRDefault="00BC66F2" w:rsidP="00110772">
            <w:pPr>
              <w:ind w:left="100" w:hangingChars="50" w:hanging="100"/>
              <w:jc w:val="center"/>
              <w:rPr>
                <w:rStyle w:val="BodyText2"/>
                <w:rFonts w:ascii="Times" w:eastAsia="宋体" w:hAnsi="Times"/>
                <w:color w:val="auto"/>
                <w:sz w:val="20"/>
                <w:szCs w:val="20"/>
              </w:rPr>
            </w:pPr>
            <w:r w:rsidRPr="00D07AE4">
              <w:rPr>
                <w:rStyle w:val="BodyText2"/>
                <w:rFonts w:ascii="Times" w:hAnsi="Times"/>
                <w:color w:val="auto"/>
                <w:sz w:val="20"/>
                <w:szCs w:val="20"/>
              </w:rPr>
              <w:t>3.0</w:t>
            </w:r>
          </w:p>
        </w:tc>
      </w:tr>
      <w:tr w:rsidR="00D07AE4" w:rsidRPr="00D07AE4" w:rsidTr="00C56BA1">
        <w:trPr>
          <w:jc w:val="center"/>
        </w:trPr>
        <w:tc>
          <w:tcPr>
            <w:tcW w:w="2885"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Center Freq.</w:t>
            </w:r>
            <w:r w:rsidR="00D676FA" w:rsidRPr="00D07AE4">
              <w:rPr>
                <w:rStyle w:val="BodyText2"/>
                <w:rFonts w:ascii="Times" w:eastAsia="宋体" w:hAnsi="Times"/>
                <w:color w:val="auto"/>
                <w:sz w:val="20"/>
                <w:szCs w:val="20"/>
              </w:rPr>
              <w:t xml:space="preserve"> </w:t>
            </w:r>
            <w:r w:rsidRPr="00D07AE4">
              <w:rPr>
                <w:rStyle w:val="BodyText2"/>
                <w:rFonts w:ascii="Times" w:eastAsia="宋体" w:hAnsi="Times"/>
                <w:color w:val="auto"/>
                <w:sz w:val="20"/>
                <w:szCs w:val="20"/>
              </w:rPr>
              <w:t>(</w:t>
            </w:r>
            <w:r w:rsidRPr="00D07AE4">
              <w:rPr>
                <w:rStyle w:val="BodyText2"/>
                <w:rFonts w:ascii="Times" w:hAnsi="Times"/>
                <w:color w:val="auto"/>
                <w:sz w:val="20"/>
                <w:szCs w:val="20"/>
              </w:rPr>
              <w:t>GHz)</w:t>
            </w:r>
          </w:p>
        </w:tc>
        <w:tc>
          <w:tcPr>
            <w:tcW w:w="1002"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hAnsi="Times"/>
                <w:color w:val="auto"/>
                <w:sz w:val="20"/>
                <w:szCs w:val="20"/>
              </w:rPr>
              <w:t>1.74</w:t>
            </w:r>
          </w:p>
        </w:tc>
        <w:tc>
          <w:tcPr>
            <w:tcW w:w="1088"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hAnsi="Times"/>
                <w:color w:val="auto"/>
                <w:sz w:val="20"/>
                <w:szCs w:val="20"/>
              </w:rPr>
              <w:t>1.70</w:t>
            </w:r>
          </w:p>
        </w:tc>
        <w:tc>
          <w:tcPr>
            <w:tcW w:w="983"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1.66</w:t>
            </w:r>
          </w:p>
        </w:tc>
        <w:tc>
          <w:tcPr>
            <w:tcW w:w="1010"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1.62</w:t>
            </w:r>
          </w:p>
        </w:tc>
      </w:tr>
      <w:tr w:rsidR="00D07AE4" w:rsidRPr="00D07AE4" w:rsidTr="00C56BA1">
        <w:trPr>
          <w:jc w:val="center"/>
        </w:trPr>
        <w:tc>
          <w:tcPr>
            <w:tcW w:w="2885"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hint="eastAsia"/>
                <w:color w:val="auto"/>
                <w:sz w:val="20"/>
                <w:szCs w:val="20"/>
              </w:rPr>
              <w:t>Min.</w:t>
            </w:r>
            <w:r w:rsidRPr="00D07AE4">
              <w:rPr>
                <w:rStyle w:val="BodyText2"/>
                <w:rFonts w:ascii="Times" w:eastAsia="宋体" w:hAnsi="Times"/>
                <w:color w:val="auto"/>
                <w:sz w:val="20"/>
                <w:szCs w:val="20"/>
              </w:rPr>
              <w:t xml:space="preserve"> S11 (dB)</w:t>
            </w:r>
          </w:p>
        </w:tc>
        <w:tc>
          <w:tcPr>
            <w:tcW w:w="1002"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hint="eastAsia"/>
                <w:color w:val="auto"/>
                <w:sz w:val="20"/>
                <w:szCs w:val="20"/>
              </w:rPr>
              <w:t>-2</w:t>
            </w:r>
            <w:r w:rsidRPr="00D07AE4">
              <w:rPr>
                <w:rStyle w:val="BodyText2"/>
                <w:rFonts w:ascii="Times" w:eastAsia="宋体" w:hAnsi="Times"/>
                <w:color w:val="auto"/>
                <w:sz w:val="20"/>
                <w:szCs w:val="20"/>
              </w:rPr>
              <w:t>4.9</w:t>
            </w:r>
          </w:p>
        </w:tc>
        <w:tc>
          <w:tcPr>
            <w:tcW w:w="1088"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hint="eastAsia"/>
                <w:color w:val="auto"/>
                <w:sz w:val="20"/>
                <w:szCs w:val="20"/>
              </w:rPr>
              <w:t>-</w:t>
            </w:r>
            <w:r w:rsidRPr="00D07AE4">
              <w:rPr>
                <w:rStyle w:val="BodyText2"/>
                <w:rFonts w:ascii="Times" w:eastAsia="宋体" w:hAnsi="Times"/>
                <w:color w:val="auto"/>
                <w:sz w:val="20"/>
                <w:szCs w:val="20"/>
              </w:rPr>
              <w:t>25.5</w:t>
            </w:r>
          </w:p>
        </w:tc>
        <w:tc>
          <w:tcPr>
            <w:tcW w:w="983"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hint="eastAsia"/>
                <w:color w:val="auto"/>
                <w:sz w:val="20"/>
                <w:szCs w:val="20"/>
              </w:rPr>
              <w:t>-</w:t>
            </w:r>
            <w:r w:rsidRPr="00D07AE4">
              <w:rPr>
                <w:rStyle w:val="BodyText2"/>
                <w:rFonts w:ascii="Times" w:eastAsia="宋体" w:hAnsi="Times"/>
                <w:color w:val="auto"/>
                <w:sz w:val="20"/>
                <w:szCs w:val="20"/>
              </w:rPr>
              <w:t>26.8</w:t>
            </w:r>
          </w:p>
        </w:tc>
        <w:tc>
          <w:tcPr>
            <w:tcW w:w="1010"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hint="eastAsia"/>
                <w:color w:val="auto"/>
                <w:sz w:val="20"/>
                <w:szCs w:val="20"/>
              </w:rPr>
              <w:t>-</w:t>
            </w:r>
            <w:r w:rsidRPr="00D07AE4">
              <w:rPr>
                <w:rStyle w:val="BodyText2"/>
                <w:rFonts w:ascii="Times" w:eastAsia="宋体" w:hAnsi="Times"/>
                <w:color w:val="auto"/>
                <w:sz w:val="20"/>
                <w:szCs w:val="20"/>
              </w:rPr>
              <w:t>27.2</w:t>
            </w:r>
          </w:p>
        </w:tc>
      </w:tr>
      <w:tr w:rsidR="00D07AE4" w:rsidRPr="00D07AE4" w:rsidTr="00C56BA1">
        <w:trPr>
          <w:jc w:val="center"/>
        </w:trPr>
        <w:tc>
          <w:tcPr>
            <w:tcW w:w="2885"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Freq.</w:t>
            </w:r>
            <w:r w:rsidR="006E6B9D" w:rsidRPr="00D07AE4">
              <w:rPr>
                <w:rStyle w:val="BodyText2"/>
                <w:rFonts w:ascii="Times" w:eastAsia="宋体" w:hAnsi="Times"/>
                <w:color w:val="auto"/>
                <w:sz w:val="20"/>
                <w:szCs w:val="20"/>
              </w:rPr>
              <w:t xml:space="preserve"> </w:t>
            </w:r>
            <w:r w:rsidRPr="00D07AE4">
              <w:rPr>
                <w:rStyle w:val="BodyText2"/>
                <w:rFonts w:ascii="Times" w:eastAsia="宋体" w:hAnsi="Times"/>
                <w:color w:val="auto"/>
                <w:sz w:val="20"/>
                <w:szCs w:val="20"/>
              </w:rPr>
              <w:t>Range (GHz)</w:t>
            </w:r>
          </w:p>
        </w:tc>
        <w:tc>
          <w:tcPr>
            <w:tcW w:w="1002"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hint="eastAsia"/>
                <w:color w:val="auto"/>
                <w:sz w:val="20"/>
                <w:szCs w:val="20"/>
              </w:rPr>
              <w:t>1.</w:t>
            </w:r>
            <w:r w:rsidRPr="00D07AE4">
              <w:rPr>
                <w:rStyle w:val="BodyText2"/>
                <w:rFonts w:ascii="Times" w:eastAsia="宋体" w:hAnsi="Times"/>
                <w:color w:val="auto"/>
                <w:sz w:val="20"/>
                <w:szCs w:val="20"/>
              </w:rPr>
              <w:t>57</w:t>
            </w:r>
            <w:r w:rsidRPr="00D07AE4">
              <w:rPr>
                <w:rStyle w:val="BodyText2"/>
                <w:rFonts w:ascii="Times" w:eastAsia="宋体" w:hAnsi="Times" w:hint="eastAsia"/>
                <w:color w:val="auto"/>
                <w:sz w:val="20"/>
                <w:szCs w:val="20"/>
              </w:rPr>
              <w:t>-1.</w:t>
            </w:r>
            <w:r w:rsidRPr="00D07AE4">
              <w:rPr>
                <w:rStyle w:val="BodyText2"/>
                <w:rFonts w:ascii="Times" w:eastAsia="宋体" w:hAnsi="Times"/>
                <w:color w:val="auto"/>
                <w:sz w:val="20"/>
                <w:szCs w:val="20"/>
              </w:rPr>
              <w:t>93</w:t>
            </w:r>
          </w:p>
        </w:tc>
        <w:tc>
          <w:tcPr>
            <w:tcW w:w="1088"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hint="eastAsia"/>
                <w:color w:val="auto"/>
                <w:sz w:val="20"/>
                <w:szCs w:val="20"/>
              </w:rPr>
              <w:t>1.</w:t>
            </w:r>
            <w:r w:rsidRPr="00D07AE4">
              <w:rPr>
                <w:rStyle w:val="BodyText2"/>
                <w:rFonts w:ascii="Times" w:eastAsia="宋体" w:hAnsi="Times"/>
                <w:color w:val="auto"/>
                <w:sz w:val="20"/>
                <w:szCs w:val="20"/>
              </w:rPr>
              <w:t>54</w:t>
            </w:r>
            <w:r w:rsidRPr="00D07AE4">
              <w:rPr>
                <w:rStyle w:val="BodyText2"/>
                <w:rFonts w:ascii="Times" w:eastAsia="宋体" w:hAnsi="Times" w:hint="eastAsia"/>
                <w:color w:val="auto"/>
                <w:sz w:val="20"/>
                <w:szCs w:val="20"/>
              </w:rPr>
              <w:t>-</w:t>
            </w:r>
            <w:r w:rsidRPr="00D07AE4">
              <w:rPr>
                <w:rStyle w:val="BodyText2"/>
                <w:rFonts w:ascii="Times" w:eastAsia="宋体" w:hAnsi="Times"/>
                <w:color w:val="auto"/>
                <w:sz w:val="20"/>
                <w:szCs w:val="20"/>
              </w:rPr>
              <w:t>1.89</w:t>
            </w:r>
          </w:p>
        </w:tc>
        <w:tc>
          <w:tcPr>
            <w:tcW w:w="983"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hint="eastAsia"/>
                <w:color w:val="auto"/>
                <w:sz w:val="20"/>
                <w:szCs w:val="20"/>
              </w:rPr>
              <w:t>1.</w:t>
            </w:r>
            <w:r w:rsidRPr="00D07AE4">
              <w:rPr>
                <w:rStyle w:val="BodyText2"/>
                <w:rFonts w:ascii="Times" w:eastAsia="宋体" w:hAnsi="Times"/>
                <w:color w:val="auto"/>
                <w:sz w:val="20"/>
                <w:szCs w:val="20"/>
              </w:rPr>
              <w:t>50</w:t>
            </w:r>
            <w:r w:rsidRPr="00D07AE4">
              <w:rPr>
                <w:rStyle w:val="BodyText2"/>
                <w:rFonts w:ascii="Times" w:eastAsia="宋体" w:hAnsi="Times" w:hint="eastAsia"/>
                <w:color w:val="auto"/>
                <w:sz w:val="20"/>
                <w:szCs w:val="20"/>
              </w:rPr>
              <w:t>-</w:t>
            </w:r>
            <w:r w:rsidRPr="00D07AE4">
              <w:rPr>
                <w:rStyle w:val="BodyText2"/>
                <w:rFonts w:ascii="Times" w:eastAsia="宋体" w:hAnsi="Times"/>
                <w:color w:val="auto"/>
                <w:sz w:val="20"/>
                <w:szCs w:val="20"/>
              </w:rPr>
              <w:t>1.84</w:t>
            </w:r>
          </w:p>
        </w:tc>
        <w:tc>
          <w:tcPr>
            <w:tcW w:w="1010"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1.47</w:t>
            </w:r>
            <w:r w:rsidRPr="00D07AE4">
              <w:rPr>
                <w:rStyle w:val="BodyText2"/>
                <w:rFonts w:ascii="Times" w:eastAsia="宋体" w:hAnsi="Times" w:hint="eastAsia"/>
                <w:color w:val="auto"/>
                <w:sz w:val="20"/>
                <w:szCs w:val="20"/>
              </w:rPr>
              <w:t>-</w:t>
            </w:r>
            <w:r w:rsidRPr="00D07AE4">
              <w:rPr>
                <w:rStyle w:val="BodyText2"/>
                <w:rFonts w:ascii="Times" w:eastAsia="宋体" w:hAnsi="Times"/>
                <w:color w:val="auto"/>
                <w:sz w:val="20"/>
                <w:szCs w:val="20"/>
              </w:rPr>
              <w:t>1.80</w:t>
            </w:r>
          </w:p>
        </w:tc>
      </w:tr>
      <w:tr w:rsidR="00D07AE4" w:rsidRPr="00D07AE4" w:rsidTr="00C56BA1">
        <w:trPr>
          <w:jc w:val="center"/>
        </w:trPr>
        <w:tc>
          <w:tcPr>
            <w:tcW w:w="2885" w:type="dxa"/>
            <w:vAlign w:val="center"/>
          </w:tcPr>
          <w:p w:rsidR="00BC66F2" w:rsidRPr="00D07AE4" w:rsidRDefault="00D676FA"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Fractional</w:t>
            </w:r>
            <w:r w:rsidRPr="00D07AE4">
              <w:rPr>
                <w:rStyle w:val="BodyText2"/>
                <w:rFonts w:ascii="Times" w:eastAsia="宋体" w:hAnsi="Times" w:hint="eastAsia"/>
                <w:color w:val="auto"/>
                <w:sz w:val="20"/>
                <w:szCs w:val="20"/>
              </w:rPr>
              <w:t xml:space="preserve"> </w:t>
            </w:r>
            <w:r w:rsidR="00BC66F2" w:rsidRPr="00D07AE4">
              <w:rPr>
                <w:rStyle w:val="BodyText2"/>
                <w:rFonts w:ascii="Times" w:eastAsia="宋体" w:hAnsi="Times" w:hint="eastAsia"/>
                <w:color w:val="auto"/>
                <w:sz w:val="20"/>
                <w:szCs w:val="20"/>
              </w:rPr>
              <w:t>Bandwidth</w:t>
            </w:r>
          </w:p>
        </w:tc>
        <w:tc>
          <w:tcPr>
            <w:tcW w:w="1002"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20.1</w:t>
            </w:r>
            <w:r w:rsidRPr="00D07AE4">
              <w:rPr>
                <w:rStyle w:val="BodyText2"/>
                <w:rFonts w:ascii="Times" w:eastAsia="宋体" w:hAnsi="Times" w:hint="eastAsia"/>
                <w:color w:val="auto"/>
                <w:sz w:val="20"/>
                <w:szCs w:val="20"/>
              </w:rPr>
              <w:t>%</w:t>
            </w:r>
          </w:p>
        </w:tc>
        <w:tc>
          <w:tcPr>
            <w:tcW w:w="1088"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20.4</w:t>
            </w:r>
            <w:r w:rsidRPr="00D07AE4">
              <w:rPr>
                <w:rStyle w:val="BodyText2"/>
                <w:rFonts w:ascii="Times" w:eastAsia="宋体" w:hAnsi="Times" w:hint="eastAsia"/>
                <w:color w:val="auto"/>
                <w:sz w:val="20"/>
                <w:szCs w:val="20"/>
              </w:rPr>
              <w:t>%</w:t>
            </w:r>
          </w:p>
        </w:tc>
        <w:tc>
          <w:tcPr>
            <w:tcW w:w="983"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20.3</w:t>
            </w:r>
            <w:r w:rsidRPr="00D07AE4">
              <w:rPr>
                <w:rStyle w:val="BodyText2"/>
                <w:rFonts w:ascii="Times" w:eastAsia="宋体" w:hAnsi="Times" w:hint="eastAsia"/>
                <w:color w:val="auto"/>
                <w:sz w:val="20"/>
                <w:szCs w:val="20"/>
              </w:rPr>
              <w:t>%</w:t>
            </w:r>
          </w:p>
        </w:tc>
        <w:tc>
          <w:tcPr>
            <w:tcW w:w="1010"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20.2</w:t>
            </w:r>
            <w:r w:rsidRPr="00D07AE4">
              <w:rPr>
                <w:rStyle w:val="BodyText2"/>
                <w:rFonts w:ascii="Times" w:eastAsia="宋体" w:hAnsi="Times" w:hint="eastAsia"/>
                <w:color w:val="auto"/>
                <w:sz w:val="20"/>
                <w:szCs w:val="20"/>
              </w:rPr>
              <w:t>%</w:t>
            </w:r>
          </w:p>
        </w:tc>
      </w:tr>
    </w:tbl>
    <w:p w:rsidR="00BC66F2" w:rsidRPr="00D07AE4" w:rsidRDefault="00EC74B5" w:rsidP="00BC66F2">
      <w:pPr>
        <w:pStyle w:val="2"/>
      </w:pPr>
      <w:r w:rsidRPr="00D07AE4">
        <w:t>3.5</w:t>
      </w:r>
      <w:r w:rsidR="00BC66F2" w:rsidRPr="00D07AE4">
        <w:t xml:space="preserve">. Reflection </w:t>
      </w:r>
      <w:r w:rsidRPr="00D07AE4">
        <w:t>coefficient vs</w:t>
      </w:r>
      <w:r w:rsidR="00BC66F2" w:rsidRPr="00D07AE4">
        <w:t xml:space="preserve">. </w:t>
      </w:r>
      <w:r w:rsidRPr="00D07AE4">
        <w:t xml:space="preserve">material </w:t>
      </w:r>
      <w:r w:rsidR="00BC66F2" w:rsidRPr="00D07AE4">
        <w:t xml:space="preserve">of the </w:t>
      </w:r>
      <w:r w:rsidRPr="00D07AE4">
        <w:t>substrate</w:t>
      </w:r>
    </w:p>
    <w:p w:rsidR="00BC66F2" w:rsidRPr="00D07AE4" w:rsidRDefault="00BC66F2" w:rsidP="00BC66F2">
      <w:pPr>
        <w:pStyle w:val="Newparagraph"/>
        <w:ind w:firstLine="0"/>
        <w:jc w:val="both"/>
        <w:rPr>
          <w:sz w:val="22"/>
          <w:szCs w:val="22"/>
        </w:rPr>
      </w:pPr>
      <w:r w:rsidRPr="00D07AE4">
        <w:rPr>
          <w:sz w:val="22"/>
          <w:szCs w:val="22"/>
        </w:rPr>
        <w:t>If we change the material of the substrate while keeping the thickness and other configurations stable, the resonance frequency will stay at the same point, with only differences in the concrete values</w:t>
      </w:r>
      <w:r w:rsidR="009430B5" w:rsidRPr="00D07AE4">
        <w:rPr>
          <w:sz w:val="22"/>
          <w:szCs w:val="22"/>
        </w:rPr>
        <w:t>, as shown in Fig</w:t>
      </w:r>
      <w:r w:rsidR="0098221A" w:rsidRPr="00D07AE4">
        <w:rPr>
          <w:sz w:val="22"/>
          <w:szCs w:val="22"/>
        </w:rPr>
        <w:t xml:space="preserve">ure </w:t>
      </w:r>
      <w:r w:rsidR="009430B5" w:rsidRPr="00D07AE4">
        <w:rPr>
          <w:sz w:val="22"/>
          <w:szCs w:val="22"/>
        </w:rPr>
        <w:t>10.</w:t>
      </w:r>
      <w:r w:rsidR="008608B1" w:rsidRPr="00D07AE4">
        <w:rPr>
          <w:sz w:val="22"/>
          <w:szCs w:val="22"/>
        </w:rPr>
        <w:t xml:space="preserve"> This phenomenon verifies that the </w:t>
      </w:r>
      <w:r w:rsidR="00196459" w:rsidRPr="00D07AE4">
        <w:rPr>
          <w:sz w:val="22"/>
          <w:szCs w:val="22"/>
        </w:rPr>
        <w:t>resonance frequency</w:t>
      </w:r>
      <w:r w:rsidR="008608B1" w:rsidRPr="00D07AE4">
        <w:rPr>
          <w:sz w:val="22"/>
          <w:szCs w:val="22"/>
        </w:rPr>
        <w:t xml:space="preserve"> is determined by several parameters except the dielectric permittivity of the substrate.</w:t>
      </w:r>
    </w:p>
    <w:p w:rsidR="00BC66F2" w:rsidRPr="00D07AE4" w:rsidRDefault="00D07AE4" w:rsidP="00BC66F2">
      <w:pPr>
        <w:pStyle w:val="Text"/>
        <w:ind w:firstLine="0"/>
        <w:jc w:val="center"/>
      </w:pPr>
      <w:r w:rsidRPr="00D07AE4">
        <w:object w:dxaOrig="4756" w:dyaOrig="3666">
          <v:shape id="_x0000_i1032" type="#_x0000_t75" style="width:227.5pt;height:174pt" o:ole="">
            <v:imagedata r:id="rId33" o:title=""/>
          </v:shape>
          <o:OLEObject Type="Embed" ProgID="Origin50.Graph" ShapeID="_x0000_i1032" DrawAspect="Content" ObjectID="_1559389822" r:id="rId34"/>
        </w:object>
      </w:r>
    </w:p>
    <w:p w:rsidR="00BC66F2" w:rsidRPr="00D07AE4" w:rsidRDefault="00BC66F2" w:rsidP="00BC66F2">
      <w:pPr>
        <w:pStyle w:val="Text"/>
        <w:jc w:val="center"/>
        <w:rPr>
          <w:noProof/>
          <w:sz w:val="22"/>
          <w:szCs w:val="22"/>
        </w:rPr>
      </w:pPr>
      <w:r w:rsidRPr="00D07AE4">
        <w:rPr>
          <w:sz w:val="22"/>
          <w:szCs w:val="22"/>
        </w:rPr>
        <w:t>Fig</w:t>
      </w:r>
      <w:r w:rsidR="0098221A" w:rsidRPr="00D07AE4">
        <w:rPr>
          <w:sz w:val="22"/>
          <w:szCs w:val="22"/>
        </w:rPr>
        <w:t xml:space="preserve">ure </w:t>
      </w:r>
      <w:r w:rsidRPr="00D07AE4">
        <w:rPr>
          <w:sz w:val="22"/>
          <w:szCs w:val="22"/>
        </w:rPr>
        <w:t xml:space="preserve">10. </w:t>
      </w:r>
      <w:r w:rsidRPr="00D07AE4">
        <w:rPr>
          <w:noProof/>
          <w:sz w:val="22"/>
          <w:szCs w:val="22"/>
        </w:rPr>
        <w:t>Reflection coefficient vs. dielectric permittivity.</w:t>
      </w:r>
    </w:p>
    <w:p w:rsidR="009430B5" w:rsidRPr="00D07AE4" w:rsidRDefault="009430B5" w:rsidP="00D07AE4">
      <w:pPr>
        <w:pStyle w:val="Text"/>
        <w:spacing w:line="480" w:lineRule="auto"/>
        <w:ind w:firstLine="0"/>
        <w:rPr>
          <w:sz w:val="22"/>
          <w:szCs w:val="22"/>
        </w:rPr>
      </w:pPr>
      <w:r w:rsidRPr="00D07AE4">
        <w:rPr>
          <w:sz w:val="22"/>
          <w:szCs w:val="22"/>
        </w:rPr>
        <w:t>The materials used here refer to Rogers TMM13i, Arlon ar600, FR-4 and Rogers RT 5880, with the permittivity of 12.85, 6.0, 4.3 and 2.2, respectively. An interesting phenomenon is that the matching performance will improve as the permittivity decreases.</w:t>
      </w:r>
    </w:p>
    <w:p w:rsidR="00BC66F2" w:rsidRPr="00D07AE4" w:rsidRDefault="00EC74B5" w:rsidP="00BC66F2">
      <w:pPr>
        <w:pStyle w:val="2"/>
      </w:pPr>
      <w:r w:rsidRPr="00D07AE4">
        <w:t>3.6</w:t>
      </w:r>
      <w:r w:rsidR="00BC66F2" w:rsidRPr="00D07AE4">
        <w:t xml:space="preserve">. Reflection </w:t>
      </w:r>
      <w:r w:rsidRPr="00D07AE4">
        <w:t>coefficient vs</w:t>
      </w:r>
      <w:r w:rsidR="00BC66F2" w:rsidRPr="00D07AE4">
        <w:t xml:space="preserve">. </w:t>
      </w:r>
      <w:r w:rsidRPr="00D07AE4">
        <w:t xml:space="preserve">radius </w:t>
      </w:r>
      <w:r w:rsidR="00BC66F2" w:rsidRPr="00D07AE4">
        <w:t>of the vertical liquid</w:t>
      </w:r>
    </w:p>
    <w:p w:rsidR="00BC66F2" w:rsidRPr="00D07AE4" w:rsidRDefault="00BC66F2" w:rsidP="00BC66F2">
      <w:pPr>
        <w:pStyle w:val="Newparagraph"/>
        <w:ind w:firstLine="0"/>
        <w:jc w:val="both"/>
        <w:rPr>
          <w:sz w:val="22"/>
          <w:szCs w:val="22"/>
        </w:rPr>
      </w:pPr>
      <w:r w:rsidRPr="00D07AE4">
        <w:rPr>
          <w:sz w:val="22"/>
          <w:szCs w:val="22"/>
        </w:rPr>
        <w:t>The operating frequency range of the antenna could be changed by alternating the radius of the vertical part of the liquid at the lower end, as shown in Fig</w:t>
      </w:r>
      <w:r w:rsidR="0098221A" w:rsidRPr="00D07AE4">
        <w:rPr>
          <w:sz w:val="22"/>
          <w:szCs w:val="22"/>
        </w:rPr>
        <w:t xml:space="preserve">ure </w:t>
      </w:r>
      <w:r w:rsidRPr="00D07AE4">
        <w:rPr>
          <w:sz w:val="22"/>
          <w:szCs w:val="22"/>
        </w:rPr>
        <w:t>11 and T</w:t>
      </w:r>
      <w:r w:rsidR="00643505" w:rsidRPr="00D07AE4">
        <w:rPr>
          <w:sz w:val="22"/>
          <w:szCs w:val="22"/>
        </w:rPr>
        <w:t>able 6</w:t>
      </w:r>
      <w:r w:rsidRPr="00D07AE4">
        <w:rPr>
          <w:sz w:val="22"/>
          <w:szCs w:val="22"/>
        </w:rPr>
        <w:t>.</w:t>
      </w:r>
      <w:r w:rsidR="002577A5" w:rsidRPr="00D07AE4">
        <w:rPr>
          <w:sz w:val="22"/>
          <w:szCs w:val="22"/>
        </w:rPr>
        <w:t xml:space="preserve"> Again, it is proved that the resonance frequency of the antenna has a positive proportion relationship with the size of the structure, which is the radius of the vertical cylindrical liquid here.</w:t>
      </w:r>
    </w:p>
    <w:p w:rsidR="00BC66F2" w:rsidRPr="00D07AE4" w:rsidRDefault="00D07AE4" w:rsidP="00BC66F2">
      <w:pPr>
        <w:pStyle w:val="Text"/>
        <w:ind w:firstLine="0"/>
        <w:jc w:val="center"/>
      </w:pPr>
      <w:r w:rsidRPr="00D07AE4">
        <w:object w:dxaOrig="4756" w:dyaOrig="3666">
          <v:shape id="_x0000_i1033" type="#_x0000_t75" style="width:217.5pt;height:166.5pt" o:ole="">
            <v:imagedata r:id="rId35" o:title=""/>
          </v:shape>
          <o:OLEObject Type="Embed" ProgID="Origin50.Graph" ShapeID="_x0000_i1033" DrawAspect="Content" ObjectID="_1559389823" r:id="rId36"/>
        </w:object>
      </w:r>
    </w:p>
    <w:p w:rsidR="00BC66F2" w:rsidRPr="00D07AE4" w:rsidRDefault="00BC66F2" w:rsidP="00BC66F2">
      <w:pPr>
        <w:pStyle w:val="Text"/>
        <w:jc w:val="center"/>
        <w:rPr>
          <w:sz w:val="22"/>
          <w:szCs w:val="22"/>
        </w:rPr>
      </w:pPr>
      <w:r w:rsidRPr="00D07AE4">
        <w:rPr>
          <w:sz w:val="22"/>
          <w:szCs w:val="22"/>
        </w:rPr>
        <w:t>Fig</w:t>
      </w:r>
      <w:r w:rsidR="0098221A" w:rsidRPr="00D07AE4">
        <w:rPr>
          <w:sz w:val="22"/>
          <w:szCs w:val="22"/>
        </w:rPr>
        <w:t xml:space="preserve">ure </w:t>
      </w:r>
      <w:r w:rsidRPr="00D07AE4">
        <w:rPr>
          <w:sz w:val="22"/>
          <w:szCs w:val="22"/>
        </w:rPr>
        <w:t xml:space="preserve">11. </w:t>
      </w:r>
      <w:r w:rsidRPr="00D07AE4">
        <w:rPr>
          <w:noProof/>
          <w:sz w:val="22"/>
          <w:szCs w:val="22"/>
        </w:rPr>
        <w:t>Reflection</w:t>
      </w:r>
      <w:r w:rsidRPr="00D07AE4">
        <w:rPr>
          <w:sz w:val="22"/>
          <w:szCs w:val="22"/>
        </w:rPr>
        <w:t xml:space="preserve"> coefficient vs. radius of the vertical part of the liquid.</w:t>
      </w:r>
    </w:p>
    <w:p w:rsidR="00BC66F2" w:rsidRPr="00D07AE4" w:rsidRDefault="00643505" w:rsidP="00C56BA1">
      <w:pPr>
        <w:rPr>
          <w:sz w:val="20"/>
          <w:szCs w:val="20"/>
          <w:lang w:eastAsia="zh-CN"/>
        </w:rPr>
      </w:pPr>
      <w:r w:rsidRPr="00D07AE4">
        <w:rPr>
          <w:sz w:val="20"/>
          <w:szCs w:val="20"/>
          <w:lang w:eastAsia="zh-CN"/>
        </w:rPr>
        <w:t>Table 6. The influence of the radius of the vertical liquid on the reflection coefficients.</w:t>
      </w:r>
    </w:p>
    <w:tbl>
      <w:tblPr>
        <w:tblStyle w:val="ae"/>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29"/>
        <w:gridCol w:w="1002"/>
        <w:gridCol w:w="1088"/>
        <w:gridCol w:w="983"/>
        <w:gridCol w:w="1010"/>
      </w:tblGrid>
      <w:tr w:rsidR="00D07AE4" w:rsidRPr="00D07AE4" w:rsidTr="00C56BA1">
        <w:trPr>
          <w:jc w:val="center"/>
        </w:trPr>
        <w:tc>
          <w:tcPr>
            <w:tcW w:w="2029"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Radius (mm)</w:t>
            </w:r>
          </w:p>
        </w:tc>
        <w:tc>
          <w:tcPr>
            <w:tcW w:w="1002"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1.0</w:t>
            </w:r>
          </w:p>
        </w:tc>
        <w:tc>
          <w:tcPr>
            <w:tcW w:w="1088" w:type="dxa"/>
            <w:vAlign w:val="center"/>
          </w:tcPr>
          <w:p w:rsidR="00BC66F2" w:rsidRPr="00D07AE4" w:rsidRDefault="00BC66F2" w:rsidP="00110772">
            <w:pPr>
              <w:ind w:left="100" w:hangingChars="50" w:hanging="100"/>
              <w:jc w:val="center"/>
              <w:rPr>
                <w:rStyle w:val="BodyText2"/>
                <w:rFonts w:ascii="Times" w:hAnsi="Times"/>
                <w:color w:val="auto"/>
                <w:sz w:val="20"/>
                <w:szCs w:val="20"/>
              </w:rPr>
            </w:pPr>
            <w:r w:rsidRPr="00D07AE4">
              <w:rPr>
                <w:rStyle w:val="BodyText2"/>
                <w:rFonts w:ascii="Times" w:hAnsi="Times"/>
                <w:color w:val="auto"/>
                <w:sz w:val="20"/>
                <w:szCs w:val="20"/>
              </w:rPr>
              <w:t>1.5</w:t>
            </w:r>
          </w:p>
        </w:tc>
        <w:tc>
          <w:tcPr>
            <w:tcW w:w="983"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hAnsi="Times"/>
                <w:color w:val="auto"/>
                <w:sz w:val="20"/>
                <w:szCs w:val="20"/>
              </w:rPr>
              <w:t>2.0</w:t>
            </w:r>
          </w:p>
        </w:tc>
        <w:tc>
          <w:tcPr>
            <w:tcW w:w="1010" w:type="dxa"/>
            <w:vAlign w:val="center"/>
          </w:tcPr>
          <w:p w:rsidR="00BC66F2" w:rsidRPr="00D07AE4" w:rsidRDefault="00BC66F2" w:rsidP="00110772">
            <w:pPr>
              <w:ind w:left="100" w:hangingChars="50" w:hanging="100"/>
              <w:jc w:val="center"/>
              <w:rPr>
                <w:rStyle w:val="BodyText2"/>
                <w:rFonts w:ascii="Times" w:eastAsia="宋体" w:hAnsi="Times"/>
                <w:color w:val="auto"/>
                <w:sz w:val="20"/>
                <w:szCs w:val="20"/>
              </w:rPr>
            </w:pPr>
            <w:r w:rsidRPr="00D07AE4">
              <w:rPr>
                <w:rStyle w:val="BodyText2"/>
                <w:rFonts w:ascii="Times" w:hAnsi="Times"/>
                <w:color w:val="auto"/>
                <w:sz w:val="20"/>
                <w:szCs w:val="20"/>
              </w:rPr>
              <w:t>2.5</w:t>
            </w:r>
          </w:p>
        </w:tc>
      </w:tr>
      <w:tr w:rsidR="00D07AE4" w:rsidRPr="00D07AE4" w:rsidTr="00C56BA1">
        <w:trPr>
          <w:jc w:val="center"/>
        </w:trPr>
        <w:tc>
          <w:tcPr>
            <w:tcW w:w="2029"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Center Freq.(</w:t>
            </w:r>
            <w:r w:rsidRPr="00D07AE4">
              <w:rPr>
                <w:rStyle w:val="BodyText2"/>
                <w:rFonts w:ascii="Times" w:hAnsi="Times"/>
                <w:color w:val="auto"/>
                <w:sz w:val="20"/>
                <w:szCs w:val="20"/>
              </w:rPr>
              <w:t>GHz)</w:t>
            </w:r>
          </w:p>
        </w:tc>
        <w:tc>
          <w:tcPr>
            <w:tcW w:w="1002"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hAnsi="Times"/>
                <w:color w:val="auto"/>
                <w:sz w:val="20"/>
                <w:szCs w:val="20"/>
              </w:rPr>
              <w:t>2.02</w:t>
            </w:r>
          </w:p>
        </w:tc>
        <w:tc>
          <w:tcPr>
            <w:tcW w:w="1088"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hAnsi="Times"/>
                <w:color w:val="auto"/>
                <w:sz w:val="20"/>
                <w:szCs w:val="20"/>
              </w:rPr>
              <w:t>1.79</w:t>
            </w:r>
          </w:p>
        </w:tc>
        <w:tc>
          <w:tcPr>
            <w:tcW w:w="983"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1.73</w:t>
            </w:r>
          </w:p>
        </w:tc>
        <w:tc>
          <w:tcPr>
            <w:tcW w:w="1010"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1.64</w:t>
            </w:r>
          </w:p>
        </w:tc>
      </w:tr>
      <w:tr w:rsidR="00D07AE4" w:rsidRPr="00D07AE4" w:rsidTr="00C56BA1">
        <w:trPr>
          <w:jc w:val="center"/>
        </w:trPr>
        <w:tc>
          <w:tcPr>
            <w:tcW w:w="2029"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hint="eastAsia"/>
                <w:color w:val="auto"/>
                <w:sz w:val="20"/>
                <w:szCs w:val="20"/>
              </w:rPr>
              <w:t>Min.</w:t>
            </w:r>
            <w:r w:rsidRPr="00D07AE4">
              <w:rPr>
                <w:rStyle w:val="BodyText2"/>
                <w:rFonts w:ascii="Times" w:eastAsia="宋体" w:hAnsi="Times"/>
                <w:color w:val="auto"/>
                <w:sz w:val="20"/>
                <w:szCs w:val="20"/>
              </w:rPr>
              <w:t xml:space="preserve"> S11 (dB)</w:t>
            </w:r>
          </w:p>
        </w:tc>
        <w:tc>
          <w:tcPr>
            <w:tcW w:w="1002"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hint="eastAsia"/>
                <w:color w:val="auto"/>
                <w:sz w:val="20"/>
                <w:szCs w:val="20"/>
              </w:rPr>
              <w:t>-2</w:t>
            </w:r>
            <w:r w:rsidRPr="00D07AE4">
              <w:rPr>
                <w:rStyle w:val="BodyText2"/>
                <w:rFonts w:ascii="Times" w:eastAsia="宋体" w:hAnsi="Times"/>
                <w:color w:val="auto"/>
                <w:sz w:val="20"/>
                <w:szCs w:val="20"/>
              </w:rPr>
              <w:t>1.4</w:t>
            </w:r>
          </w:p>
        </w:tc>
        <w:tc>
          <w:tcPr>
            <w:tcW w:w="1088"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hint="eastAsia"/>
                <w:color w:val="auto"/>
                <w:sz w:val="20"/>
                <w:szCs w:val="20"/>
              </w:rPr>
              <w:t>-</w:t>
            </w:r>
            <w:r w:rsidRPr="00D07AE4">
              <w:rPr>
                <w:rStyle w:val="BodyText2"/>
                <w:rFonts w:ascii="Times" w:eastAsia="宋体" w:hAnsi="Times"/>
                <w:color w:val="auto"/>
                <w:sz w:val="20"/>
                <w:szCs w:val="20"/>
              </w:rPr>
              <w:t>23.5</w:t>
            </w:r>
          </w:p>
        </w:tc>
        <w:tc>
          <w:tcPr>
            <w:tcW w:w="983"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hint="eastAsia"/>
                <w:color w:val="auto"/>
                <w:sz w:val="20"/>
                <w:szCs w:val="20"/>
              </w:rPr>
              <w:t>-</w:t>
            </w:r>
            <w:r w:rsidRPr="00D07AE4">
              <w:rPr>
                <w:rStyle w:val="BodyText2"/>
                <w:rFonts w:ascii="Times" w:eastAsia="宋体" w:hAnsi="Times"/>
                <w:color w:val="auto"/>
                <w:sz w:val="20"/>
                <w:szCs w:val="20"/>
              </w:rPr>
              <w:t>17.7</w:t>
            </w:r>
          </w:p>
        </w:tc>
        <w:tc>
          <w:tcPr>
            <w:tcW w:w="1010"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hint="eastAsia"/>
                <w:color w:val="auto"/>
                <w:sz w:val="20"/>
                <w:szCs w:val="20"/>
              </w:rPr>
              <w:t>-</w:t>
            </w:r>
            <w:r w:rsidRPr="00D07AE4">
              <w:rPr>
                <w:rStyle w:val="BodyText2"/>
                <w:rFonts w:ascii="Times" w:eastAsia="宋体" w:hAnsi="Times"/>
                <w:color w:val="auto"/>
                <w:sz w:val="20"/>
                <w:szCs w:val="20"/>
              </w:rPr>
              <w:t>15.8</w:t>
            </w:r>
          </w:p>
        </w:tc>
      </w:tr>
      <w:tr w:rsidR="00D07AE4" w:rsidRPr="00D07AE4" w:rsidTr="00C56BA1">
        <w:trPr>
          <w:jc w:val="center"/>
        </w:trPr>
        <w:tc>
          <w:tcPr>
            <w:tcW w:w="2029"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Freq.</w:t>
            </w:r>
            <w:r w:rsidR="006E6B9D" w:rsidRPr="00D07AE4">
              <w:rPr>
                <w:rStyle w:val="BodyText2"/>
                <w:rFonts w:ascii="Times" w:eastAsia="宋体" w:hAnsi="Times"/>
                <w:color w:val="auto"/>
                <w:sz w:val="20"/>
                <w:szCs w:val="20"/>
              </w:rPr>
              <w:t xml:space="preserve"> </w:t>
            </w:r>
            <w:r w:rsidRPr="00D07AE4">
              <w:rPr>
                <w:rStyle w:val="BodyText2"/>
                <w:rFonts w:ascii="Times" w:eastAsia="宋体" w:hAnsi="Times"/>
                <w:color w:val="auto"/>
                <w:sz w:val="20"/>
                <w:szCs w:val="20"/>
              </w:rPr>
              <w:t>Range (GHz)</w:t>
            </w:r>
          </w:p>
        </w:tc>
        <w:tc>
          <w:tcPr>
            <w:tcW w:w="1002"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hint="eastAsia"/>
                <w:color w:val="auto"/>
                <w:sz w:val="20"/>
                <w:szCs w:val="20"/>
              </w:rPr>
              <w:t>1.</w:t>
            </w:r>
            <w:r w:rsidRPr="00D07AE4">
              <w:rPr>
                <w:rStyle w:val="BodyText2"/>
                <w:rFonts w:ascii="Times" w:eastAsia="宋体" w:hAnsi="Times"/>
                <w:color w:val="auto"/>
                <w:sz w:val="20"/>
                <w:szCs w:val="20"/>
              </w:rPr>
              <w:t>51</w:t>
            </w:r>
            <w:r w:rsidRPr="00D07AE4">
              <w:rPr>
                <w:rStyle w:val="BodyText2"/>
                <w:rFonts w:ascii="Times" w:eastAsia="宋体" w:hAnsi="Times" w:hint="eastAsia"/>
                <w:color w:val="auto"/>
                <w:sz w:val="20"/>
                <w:szCs w:val="20"/>
              </w:rPr>
              <w:t>-1.</w:t>
            </w:r>
            <w:r w:rsidRPr="00D07AE4">
              <w:rPr>
                <w:rStyle w:val="BodyText2"/>
                <w:rFonts w:ascii="Times" w:eastAsia="宋体" w:hAnsi="Times"/>
                <w:color w:val="auto"/>
                <w:sz w:val="20"/>
                <w:szCs w:val="20"/>
              </w:rPr>
              <w:t>80</w:t>
            </w:r>
          </w:p>
        </w:tc>
        <w:tc>
          <w:tcPr>
            <w:tcW w:w="1088"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hint="eastAsia"/>
                <w:color w:val="auto"/>
                <w:sz w:val="20"/>
                <w:szCs w:val="20"/>
              </w:rPr>
              <w:t>1.</w:t>
            </w:r>
            <w:r w:rsidRPr="00D07AE4">
              <w:rPr>
                <w:rStyle w:val="BodyText2"/>
                <w:rFonts w:ascii="Times" w:eastAsia="宋体" w:hAnsi="Times"/>
                <w:color w:val="auto"/>
                <w:sz w:val="20"/>
                <w:szCs w:val="20"/>
              </w:rPr>
              <w:t>58</w:t>
            </w:r>
            <w:r w:rsidRPr="00D07AE4">
              <w:rPr>
                <w:rStyle w:val="BodyText2"/>
                <w:rFonts w:ascii="Times" w:eastAsia="宋体" w:hAnsi="Times" w:hint="eastAsia"/>
                <w:color w:val="auto"/>
                <w:sz w:val="20"/>
                <w:szCs w:val="20"/>
              </w:rPr>
              <w:t>-</w:t>
            </w:r>
            <w:r w:rsidRPr="00D07AE4">
              <w:rPr>
                <w:rStyle w:val="BodyText2"/>
                <w:rFonts w:ascii="Times" w:eastAsia="宋体" w:hAnsi="Times"/>
                <w:color w:val="auto"/>
                <w:sz w:val="20"/>
                <w:szCs w:val="20"/>
              </w:rPr>
              <w:t>1.91</w:t>
            </w:r>
          </w:p>
        </w:tc>
        <w:tc>
          <w:tcPr>
            <w:tcW w:w="983"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hint="eastAsia"/>
                <w:color w:val="auto"/>
                <w:sz w:val="20"/>
                <w:szCs w:val="20"/>
              </w:rPr>
              <w:t>1.</w:t>
            </w:r>
            <w:r w:rsidRPr="00D07AE4">
              <w:rPr>
                <w:rStyle w:val="BodyText2"/>
                <w:rFonts w:ascii="Times" w:eastAsia="宋体" w:hAnsi="Times"/>
                <w:color w:val="auto"/>
                <w:sz w:val="20"/>
                <w:szCs w:val="20"/>
              </w:rPr>
              <w:t>61</w:t>
            </w:r>
            <w:r w:rsidRPr="00D07AE4">
              <w:rPr>
                <w:rStyle w:val="BodyText2"/>
                <w:rFonts w:ascii="Times" w:eastAsia="宋体" w:hAnsi="Times" w:hint="eastAsia"/>
                <w:color w:val="auto"/>
                <w:sz w:val="20"/>
                <w:szCs w:val="20"/>
              </w:rPr>
              <w:t>-</w:t>
            </w:r>
            <w:r w:rsidRPr="00D07AE4">
              <w:rPr>
                <w:rStyle w:val="BodyText2"/>
                <w:rFonts w:ascii="Times" w:eastAsia="宋体" w:hAnsi="Times"/>
                <w:color w:val="auto"/>
                <w:sz w:val="20"/>
                <w:szCs w:val="20"/>
              </w:rPr>
              <w:t>1.99</w:t>
            </w:r>
          </w:p>
        </w:tc>
        <w:tc>
          <w:tcPr>
            <w:tcW w:w="1010" w:type="dxa"/>
            <w:vAlign w:val="center"/>
          </w:tcPr>
          <w:p w:rsidR="00BC66F2" w:rsidRPr="00D07AE4" w:rsidRDefault="00BC66F2" w:rsidP="00110772">
            <w:pPr>
              <w:jc w:val="center"/>
              <w:rPr>
                <w:rStyle w:val="BodyText2"/>
                <w:rFonts w:ascii="Times" w:eastAsia="宋体" w:hAnsi="Times"/>
                <w:color w:val="auto"/>
                <w:sz w:val="20"/>
                <w:szCs w:val="20"/>
              </w:rPr>
            </w:pPr>
            <w:r w:rsidRPr="00D07AE4">
              <w:rPr>
                <w:rStyle w:val="BodyText2"/>
                <w:rFonts w:ascii="Times" w:eastAsia="宋体" w:hAnsi="Times"/>
                <w:color w:val="auto"/>
                <w:sz w:val="20"/>
                <w:szCs w:val="20"/>
              </w:rPr>
              <w:t>1.83</w:t>
            </w:r>
            <w:r w:rsidRPr="00D07AE4">
              <w:rPr>
                <w:rStyle w:val="BodyText2"/>
                <w:rFonts w:ascii="Times" w:eastAsia="宋体" w:hAnsi="Times" w:hint="eastAsia"/>
                <w:color w:val="auto"/>
                <w:sz w:val="20"/>
                <w:szCs w:val="20"/>
              </w:rPr>
              <w:t>-</w:t>
            </w:r>
            <w:r w:rsidRPr="00D07AE4">
              <w:rPr>
                <w:rStyle w:val="BodyText2"/>
                <w:rFonts w:ascii="Times" w:eastAsia="宋体" w:hAnsi="Times"/>
                <w:color w:val="auto"/>
                <w:sz w:val="20"/>
                <w:szCs w:val="20"/>
              </w:rPr>
              <w:t>2.26</w:t>
            </w:r>
          </w:p>
        </w:tc>
      </w:tr>
      <w:tr w:rsidR="00D07AE4" w:rsidRPr="00D07AE4" w:rsidTr="00C56BA1">
        <w:trPr>
          <w:jc w:val="center"/>
        </w:trPr>
        <w:tc>
          <w:tcPr>
            <w:tcW w:w="2029"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hint="eastAsia"/>
                <w:color w:val="auto"/>
                <w:sz w:val="20"/>
                <w:szCs w:val="20"/>
              </w:rPr>
              <w:t>Relative Bandwidth</w:t>
            </w:r>
          </w:p>
        </w:tc>
        <w:tc>
          <w:tcPr>
            <w:tcW w:w="1002"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17.5</w:t>
            </w:r>
            <w:r w:rsidRPr="00D07AE4">
              <w:rPr>
                <w:rStyle w:val="BodyText2"/>
                <w:rFonts w:ascii="Times" w:eastAsia="宋体" w:hAnsi="Times" w:hint="eastAsia"/>
                <w:color w:val="auto"/>
                <w:sz w:val="20"/>
                <w:szCs w:val="20"/>
              </w:rPr>
              <w:t>%</w:t>
            </w:r>
          </w:p>
        </w:tc>
        <w:tc>
          <w:tcPr>
            <w:tcW w:w="1088"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18.9</w:t>
            </w:r>
            <w:r w:rsidRPr="00D07AE4">
              <w:rPr>
                <w:rStyle w:val="BodyText2"/>
                <w:rFonts w:ascii="Times" w:eastAsia="宋体" w:hAnsi="Times" w:hint="eastAsia"/>
                <w:color w:val="auto"/>
                <w:sz w:val="20"/>
                <w:szCs w:val="20"/>
              </w:rPr>
              <w:t>%</w:t>
            </w:r>
          </w:p>
        </w:tc>
        <w:tc>
          <w:tcPr>
            <w:tcW w:w="983"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21.1</w:t>
            </w:r>
            <w:r w:rsidRPr="00D07AE4">
              <w:rPr>
                <w:rStyle w:val="BodyText2"/>
                <w:rFonts w:ascii="Times" w:eastAsia="宋体" w:hAnsi="Times" w:hint="eastAsia"/>
                <w:color w:val="auto"/>
                <w:sz w:val="20"/>
                <w:szCs w:val="20"/>
              </w:rPr>
              <w:t>%</w:t>
            </w:r>
          </w:p>
        </w:tc>
        <w:tc>
          <w:tcPr>
            <w:tcW w:w="1010" w:type="dxa"/>
            <w:vAlign w:val="center"/>
          </w:tcPr>
          <w:p w:rsidR="00BC66F2" w:rsidRPr="00D07AE4" w:rsidRDefault="00BC66F2" w:rsidP="00110772">
            <w:pPr>
              <w:jc w:val="center"/>
              <w:rPr>
                <w:rStyle w:val="BodyText2"/>
                <w:rFonts w:ascii="Times" w:hAnsi="Times"/>
                <w:color w:val="auto"/>
                <w:sz w:val="20"/>
                <w:szCs w:val="20"/>
              </w:rPr>
            </w:pPr>
            <w:r w:rsidRPr="00D07AE4">
              <w:rPr>
                <w:rStyle w:val="BodyText2"/>
                <w:rFonts w:ascii="Times" w:eastAsia="宋体" w:hAnsi="Times"/>
                <w:color w:val="auto"/>
                <w:sz w:val="20"/>
                <w:szCs w:val="20"/>
              </w:rPr>
              <w:t>21.0</w:t>
            </w:r>
            <w:r w:rsidRPr="00D07AE4">
              <w:rPr>
                <w:rStyle w:val="BodyText2"/>
                <w:rFonts w:ascii="Times" w:eastAsia="宋体" w:hAnsi="Times" w:hint="eastAsia"/>
                <w:color w:val="auto"/>
                <w:sz w:val="20"/>
                <w:szCs w:val="20"/>
              </w:rPr>
              <w:t>%</w:t>
            </w:r>
          </w:p>
        </w:tc>
      </w:tr>
    </w:tbl>
    <w:p w:rsidR="00BC66F2" w:rsidRPr="00D07AE4" w:rsidRDefault="00EC74B5" w:rsidP="007311D4">
      <w:pPr>
        <w:pStyle w:val="Text"/>
        <w:spacing w:line="480" w:lineRule="auto"/>
        <w:ind w:firstLine="0"/>
        <w:rPr>
          <w:rFonts w:eastAsiaTheme="minorEastAsia" w:cs="Arial"/>
          <w:b/>
          <w:bCs/>
          <w:i/>
          <w:iCs/>
          <w:sz w:val="24"/>
          <w:szCs w:val="28"/>
          <w:lang w:val="en-GB" w:eastAsia="en-GB"/>
        </w:rPr>
      </w:pPr>
      <w:r w:rsidRPr="00D07AE4">
        <w:rPr>
          <w:rFonts w:eastAsiaTheme="minorEastAsia" w:cs="Arial"/>
          <w:b/>
          <w:bCs/>
          <w:i/>
          <w:iCs/>
          <w:sz w:val="24"/>
          <w:szCs w:val="28"/>
          <w:lang w:val="en-GB" w:eastAsia="en-GB"/>
        </w:rPr>
        <w:t>3.7</w:t>
      </w:r>
      <w:r w:rsidR="00BC66F2" w:rsidRPr="00D07AE4">
        <w:rPr>
          <w:rFonts w:eastAsiaTheme="minorEastAsia" w:cs="Arial" w:hint="eastAsia"/>
          <w:b/>
          <w:bCs/>
          <w:i/>
          <w:iCs/>
          <w:sz w:val="24"/>
          <w:szCs w:val="28"/>
          <w:lang w:val="en-GB" w:eastAsia="en-GB"/>
        </w:rPr>
        <w:t xml:space="preserve">. </w:t>
      </w:r>
      <w:r w:rsidR="00BC66F2" w:rsidRPr="00D07AE4">
        <w:rPr>
          <w:rFonts w:eastAsiaTheme="minorEastAsia" w:cs="Arial"/>
          <w:b/>
          <w:bCs/>
          <w:i/>
          <w:iCs/>
          <w:sz w:val="24"/>
          <w:szCs w:val="28"/>
          <w:lang w:val="en-GB" w:eastAsia="en-GB"/>
        </w:rPr>
        <w:t xml:space="preserve">Tunability of the </w:t>
      </w:r>
      <w:r w:rsidRPr="00D07AE4">
        <w:rPr>
          <w:rFonts w:eastAsiaTheme="minorEastAsia" w:cs="Arial"/>
          <w:b/>
          <w:bCs/>
          <w:i/>
          <w:iCs/>
          <w:sz w:val="24"/>
          <w:szCs w:val="28"/>
          <w:lang w:val="en-GB" w:eastAsia="en-GB"/>
        </w:rPr>
        <w:t>liquid antenna</w:t>
      </w:r>
    </w:p>
    <w:p w:rsidR="00BC66F2" w:rsidRPr="00D07AE4" w:rsidRDefault="00BC66F2" w:rsidP="007311D4">
      <w:pPr>
        <w:pStyle w:val="Newparagraph"/>
        <w:ind w:firstLine="0"/>
        <w:jc w:val="both"/>
        <w:rPr>
          <w:sz w:val="22"/>
          <w:szCs w:val="22"/>
        </w:rPr>
      </w:pPr>
      <w:r w:rsidRPr="00D07AE4">
        <w:rPr>
          <w:sz w:val="22"/>
          <w:szCs w:val="22"/>
        </w:rPr>
        <w:t>As the main radiation material is liquid, there is a potential to make use of the fluidity to achieve the tunability of the antenna. The quantity of the water can be added or be reduced, which would bring forth the increasing or decrease of the rotation angle of the helical antenna. Thus the variation in the radiation would occur. We carried out some calculations for the rotation angles of 2520°, 2160°, 1800° and 1440°, which refers to the circle number of 7, 6, 5 and 4. The computational results are shown in Fig</w:t>
      </w:r>
      <w:r w:rsidR="0098221A" w:rsidRPr="00D07AE4">
        <w:rPr>
          <w:sz w:val="22"/>
          <w:szCs w:val="22"/>
        </w:rPr>
        <w:t xml:space="preserve">ure </w:t>
      </w:r>
      <w:r w:rsidRPr="00D07AE4">
        <w:rPr>
          <w:sz w:val="22"/>
          <w:szCs w:val="22"/>
        </w:rPr>
        <w:t>12. Variations in the radiation pattern could be noticed, though not so large.</w:t>
      </w:r>
    </w:p>
    <w:p w:rsidR="00BC66F2" w:rsidRPr="00D07AE4" w:rsidRDefault="00D07AE4" w:rsidP="00BC66F2">
      <w:pPr>
        <w:pStyle w:val="Text"/>
        <w:ind w:firstLine="0"/>
        <w:jc w:val="center"/>
      </w:pPr>
      <w:r w:rsidRPr="00D07AE4">
        <w:object w:dxaOrig="4756" w:dyaOrig="3666">
          <v:shape id="_x0000_i1034" type="#_x0000_t75" style="width:209.5pt;height:161pt" o:ole="">
            <v:imagedata r:id="rId37" o:title=""/>
          </v:shape>
          <o:OLEObject Type="Embed" ProgID="Origin50.Graph" ShapeID="_x0000_i1034" DrawAspect="Content" ObjectID="_1559389824" r:id="rId38"/>
        </w:object>
      </w:r>
    </w:p>
    <w:p w:rsidR="006F074A" w:rsidRPr="00D07AE4" w:rsidRDefault="00BC66F2" w:rsidP="00BC66F2">
      <w:pPr>
        <w:pStyle w:val="Newparagraph"/>
        <w:ind w:firstLine="0"/>
        <w:rPr>
          <w:sz w:val="22"/>
          <w:szCs w:val="22"/>
        </w:rPr>
      </w:pPr>
      <w:r w:rsidRPr="00D07AE4">
        <w:rPr>
          <w:sz w:val="22"/>
          <w:szCs w:val="22"/>
        </w:rPr>
        <w:t>Fig</w:t>
      </w:r>
      <w:r w:rsidR="0098221A" w:rsidRPr="00D07AE4">
        <w:rPr>
          <w:sz w:val="22"/>
          <w:szCs w:val="22"/>
        </w:rPr>
        <w:t xml:space="preserve">ure </w:t>
      </w:r>
      <w:r w:rsidRPr="00D07AE4">
        <w:rPr>
          <w:sz w:val="22"/>
          <w:szCs w:val="22"/>
        </w:rPr>
        <w:t>12. Radiation pattern vs. rotation angle of the helical liquid antenna at 1.60 GHz.</w:t>
      </w:r>
    </w:p>
    <w:p w:rsidR="00542398" w:rsidRPr="00D07AE4" w:rsidRDefault="00EC74B5" w:rsidP="00542398">
      <w:pPr>
        <w:pStyle w:val="1"/>
      </w:pPr>
      <w:r w:rsidRPr="00D07AE4">
        <w:lastRenderedPageBreak/>
        <w:t>4</w:t>
      </w:r>
      <w:r w:rsidR="00542398" w:rsidRPr="00D07AE4">
        <w:t xml:space="preserve">. </w:t>
      </w:r>
      <w:r w:rsidR="00161812" w:rsidRPr="00D07AE4">
        <w:t>M</w:t>
      </w:r>
      <w:r w:rsidRPr="00D07AE4">
        <w:t>easurements and results</w:t>
      </w:r>
    </w:p>
    <w:p w:rsidR="00161812" w:rsidRPr="00D07AE4" w:rsidRDefault="00161812" w:rsidP="00161812">
      <w:pPr>
        <w:pStyle w:val="Newparagraph"/>
        <w:ind w:firstLine="0"/>
        <w:jc w:val="both"/>
        <w:rPr>
          <w:sz w:val="22"/>
          <w:szCs w:val="22"/>
        </w:rPr>
      </w:pPr>
      <w:r w:rsidRPr="00D07AE4">
        <w:rPr>
          <w:sz w:val="22"/>
          <w:szCs w:val="22"/>
        </w:rPr>
        <w:t xml:space="preserve">A saline water liquid helical antenna is fabricated and measured for verification of the proposed simulations and analysis. </w:t>
      </w:r>
    </w:p>
    <w:p w:rsidR="00161812" w:rsidRPr="00D07AE4" w:rsidRDefault="00161812" w:rsidP="00161812">
      <w:pPr>
        <w:jc w:val="center"/>
        <w:rPr>
          <w:rStyle w:val="BodyText2"/>
          <w:rFonts w:ascii="Times" w:hAnsi="Times"/>
          <w:iCs/>
          <w:color w:val="auto"/>
          <w:sz w:val="20"/>
          <w:szCs w:val="20"/>
        </w:rPr>
      </w:pPr>
      <w:r w:rsidRPr="00D07AE4">
        <w:rPr>
          <w:noProof/>
          <w:lang w:val="en-US" w:eastAsia="zh-CN"/>
        </w:rPr>
        <w:drawing>
          <wp:inline distT="0" distB="0" distL="0" distR="0" wp14:anchorId="1F294AF9" wp14:editId="0E2DF034">
            <wp:extent cx="2109030" cy="1543050"/>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18053" cy="1549651"/>
                    </a:xfrm>
                    <a:prstGeom prst="rect">
                      <a:avLst/>
                    </a:prstGeom>
                  </pic:spPr>
                </pic:pic>
              </a:graphicData>
            </a:graphic>
          </wp:inline>
        </w:drawing>
      </w:r>
    </w:p>
    <w:p w:rsidR="00161812" w:rsidRPr="00D07AE4" w:rsidRDefault="00161812" w:rsidP="00161812">
      <w:pPr>
        <w:jc w:val="center"/>
        <w:rPr>
          <w:rStyle w:val="BodyText2"/>
          <w:rFonts w:ascii="Times" w:hAnsi="Times"/>
          <w:iCs/>
          <w:color w:val="auto"/>
          <w:lang w:eastAsia="zh-CN"/>
        </w:rPr>
      </w:pPr>
      <w:r w:rsidRPr="00D07AE4">
        <w:rPr>
          <w:rStyle w:val="BodyText2"/>
          <w:rFonts w:ascii="Times" w:hAnsi="Times" w:hint="eastAsia"/>
          <w:iCs/>
          <w:color w:val="auto"/>
          <w:lang w:eastAsia="zh-CN"/>
        </w:rPr>
        <w:t>F</w:t>
      </w:r>
      <w:r w:rsidRPr="00D07AE4">
        <w:rPr>
          <w:rStyle w:val="BodyText2"/>
          <w:rFonts w:ascii="Times" w:hAnsi="Times"/>
          <w:iCs/>
          <w:color w:val="auto"/>
          <w:lang w:eastAsia="zh-CN"/>
        </w:rPr>
        <w:t>ig</w:t>
      </w:r>
      <w:r w:rsidR="0098221A" w:rsidRPr="00D07AE4">
        <w:rPr>
          <w:rStyle w:val="BodyText2"/>
          <w:rFonts w:ascii="Times" w:hAnsi="Times"/>
          <w:iCs/>
          <w:color w:val="auto"/>
          <w:lang w:eastAsia="zh-CN"/>
        </w:rPr>
        <w:t xml:space="preserve">ure </w:t>
      </w:r>
      <w:r w:rsidRPr="00D07AE4">
        <w:rPr>
          <w:rStyle w:val="BodyText2"/>
          <w:rFonts w:ascii="Times" w:hAnsi="Times"/>
          <w:iCs/>
          <w:color w:val="auto"/>
          <w:lang w:eastAsia="zh-CN"/>
        </w:rPr>
        <w:t>13. Measurement of the reflection coefficients of the helical liquid antenna with the vector network analyzer.</w:t>
      </w:r>
    </w:p>
    <w:p w:rsidR="00161812" w:rsidRPr="00D07AE4" w:rsidRDefault="00161812" w:rsidP="00161812">
      <w:pPr>
        <w:pStyle w:val="Newparagraph"/>
        <w:ind w:firstLine="0"/>
        <w:jc w:val="both"/>
        <w:rPr>
          <w:sz w:val="22"/>
          <w:szCs w:val="22"/>
        </w:rPr>
      </w:pPr>
      <w:r w:rsidRPr="00D07AE4">
        <w:rPr>
          <w:sz w:val="22"/>
          <w:szCs w:val="22"/>
        </w:rPr>
        <w:t>The substrate is Rogers RT5880 with the size of 99.5 mm</w:t>
      </w:r>
      <w:r w:rsidRPr="00D07AE4">
        <w:rPr>
          <w:rFonts w:hint="eastAsia"/>
          <w:sz w:val="22"/>
          <w:szCs w:val="22"/>
        </w:rPr>
        <w:t>×</w:t>
      </w:r>
      <w:r w:rsidRPr="00D07AE4">
        <w:rPr>
          <w:sz w:val="22"/>
          <w:szCs w:val="22"/>
        </w:rPr>
        <w:t>69.6 mm</w:t>
      </w:r>
      <w:r w:rsidRPr="00D07AE4">
        <w:rPr>
          <w:rFonts w:hint="eastAsia"/>
          <w:sz w:val="22"/>
          <w:szCs w:val="22"/>
        </w:rPr>
        <w:t>, and the thickness is 1.</w:t>
      </w:r>
      <w:r w:rsidRPr="00D07AE4">
        <w:rPr>
          <w:sz w:val="22"/>
          <w:szCs w:val="22"/>
        </w:rPr>
        <w:t>18</w:t>
      </w:r>
      <w:r w:rsidRPr="00D07AE4">
        <w:rPr>
          <w:rFonts w:hint="eastAsia"/>
          <w:sz w:val="22"/>
          <w:szCs w:val="22"/>
        </w:rPr>
        <w:t xml:space="preserve"> mm. </w:t>
      </w:r>
      <w:r w:rsidRPr="00D07AE4">
        <w:rPr>
          <w:sz w:val="22"/>
          <w:szCs w:val="22"/>
        </w:rPr>
        <w:t>An SMA connector with a probe on the head is used to make excitations. For the measurement of the reflection coefficients, a vector network analyzer (VNA), Anritsu 37369A, is used to get the S11, as shown in Fig</w:t>
      </w:r>
      <w:r w:rsidR="0098221A" w:rsidRPr="00D07AE4">
        <w:rPr>
          <w:sz w:val="22"/>
          <w:szCs w:val="22"/>
        </w:rPr>
        <w:t xml:space="preserve">ure </w:t>
      </w:r>
      <w:r w:rsidRPr="00D07AE4">
        <w:rPr>
          <w:sz w:val="22"/>
          <w:szCs w:val="22"/>
        </w:rPr>
        <w:t>13.</w:t>
      </w:r>
    </w:p>
    <w:p w:rsidR="00161812" w:rsidRPr="00D07AE4" w:rsidRDefault="00161812" w:rsidP="00161812">
      <w:pPr>
        <w:pStyle w:val="Newparagraph"/>
        <w:ind w:firstLine="0"/>
        <w:jc w:val="both"/>
        <w:rPr>
          <w:sz w:val="22"/>
          <w:szCs w:val="22"/>
        </w:rPr>
      </w:pPr>
      <w:r w:rsidRPr="00D07AE4">
        <w:rPr>
          <w:sz w:val="22"/>
          <w:szCs w:val="22"/>
        </w:rPr>
        <w:t>Fig</w:t>
      </w:r>
      <w:r w:rsidR="0098221A" w:rsidRPr="00D07AE4">
        <w:rPr>
          <w:sz w:val="22"/>
          <w:szCs w:val="22"/>
        </w:rPr>
        <w:t xml:space="preserve">ure </w:t>
      </w:r>
      <w:r w:rsidRPr="00D07AE4">
        <w:rPr>
          <w:sz w:val="22"/>
          <w:szCs w:val="22"/>
        </w:rPr>
        <w:t xml:space="preserve">14 presents the comparison of the simulated and the measured S11 curves from 40 MHz to 3.0 GHz. </w:t>
      </w:r>
      <w:r w:rsidR="005B58FF" w:rsidRPr="00D07AE4">
        <w:rPr>
          <w:sz w:val="22"/>
          <w:szCs w:val="22"/>
        </w:rPr>
        <w:t>The reflection coefficients</w:t>
      </w:r>
      <w:r w:rsidRPr="00D07AE4">
        <w:rPr>
          <w:sz w:val="22"/>
          <w:szCs w:val="22"/>
        </w:rPr>
        <w:t xml:space="preserve"> </w:t>
      </w:r>
      <w:r w:rsidR="001D092E" w:rsidRPr="00D07AE4">
        <w:rPr>
          <w:sz w:val="22"/>
          <w:szCs w:val="22"/>
        </w:rPr>
        <w:t xml:space="preserve">at the configuration of </w:t>
      </w:r>
      <w:r w:rsidRPr="00D07AE4">
        <w:rPr>
          <w:sz w:val="22"/>
          <w:szCs w:val="22"/>
        </w:rPr>
        <w:t xml:space="preserve">the probe length 8.0 mm and that of the substrate thickness of 2.2 mm are shown. Both of the </w:t>
      </w:r>
      <w:r w:rsidR="00F61271" w:rsidRPr="00D07AE4">
        <w:rPr>
          <w:sz w:val="22"/>
          <w:szCs w:val="22"/>
        </w:rPr>
        <w:t>two r</w:t>
      </w:r>
      <w:r w:rsidRPr="00D07AE4">
        <w:rPr>
          <w:sz w:val="22"/>
          <w:szCs w:val="22"/>
        </w:rPr>
        <w:t xml:space="preserve">esonance frequencies are slightly lower than that of the simulated values </w:t>
      </w:r>
      <w:r w:rsidR="001D092E" w:rsidRPr="00D07AE4">
        <w:rPr>
          <w:sz w:val="22"/>
          <w:szCs w:val="22"/>
        </w:rPr>
        <w:t xml:space="preserve">under </w:t>
      </w:r>
      <w:r w:rsidRPr="00D07AE4">
        <w:rPr>
          <w:sz w:val="22"/>
          <w:szCs w:val="22"/>
        </w:rPr>
        <w:t>the two configurations while the whole shapes agree well.</w:t>
      </w:r>
    </w:p>
    <w:p w:rsidR="00161812" w:rsidRPr="00D07AE4" w:rsidRDefault="001D092E" w:rsidP="00161812">
      <w:pPr>
        <w:jc w:val="center"/>
      </w:pPr>
      <w:r w:rsidRPr="00D07AE4">
        <w:t xml:space="preserve"> </w:t>
      </w:r>
      <w:r w:rsidR="00D07AE4" w:rsidRPr="00D07AE4">
        <w:object w:dxaOrig="4756" w:dyaOrig="3667">
          <v:shape id="_x0000_i1035" type="#_x0000_t75" style="width:228pt;height:176pt" o:ole="">
            <v:imagedata r:id="rId40" o:title=""/>
          </v:shape>
          <o:OLEObject Type="Embed" ProgID="Origin50.Graph" ShapeID="_x0000_i1035" DrawAspect="Content" ObjectID="_1559389825" r:id="rId41"/>
        </w:object>
      </w:r>
    </w:p>
    <w:p w:rsidR="00161812" w:rsidRPr="00D07AE4" w:rsidRDefault="00161812" w:rsidP="00161812">
      <w:pPr>
        <w:jc w:val="center"/>
        <w:rPr>
          <w:sz w:val="22"/>
          <w:szCs w:val="22"/>
        </w:rPr>
      </w:pPr>
      <w:r w:rsidRPr="00D07AE4">
        <w:rPr>
          <w:sz w:val="22"/>
          <w:szCs w:val="22"/>
        </w:rPr>
        <w:t>Fig</w:t>
      </w:r>
      <w:r w:rsidR="0098221A" w:rsidRPr="00D07AE4">
        <w:rPr>
          <w:sz w:val="22"/>
          <w:szCs w:val="22"/>
        </w:rPr>
        <w:t xml:space="preserve">ure </w:t>
      </w:r>
      <w:r w:rsidRPr="00D07AE4">
        <w:rPr>
          <w:sz w:val="22"/>
          <w:szCs w:val="22"/>
        </w:rPr>
        <w:t xml:space="preserve">14. Comparison of </w:t>
      </w:r>
      <w:r w:rsidR="001D092E" w:rsidRPr="00D07AE4">
        <w:rPr>
          <w:sz w:val="22"/>
          <w:szCs w:val="22"/>
        </w:rPr>
        <w:t xml:space="preserve">the </w:t>
      </w:r>
      <w:r w:rsidRPr="00D07AE4">
        <w:rPr>
          <w:sz w:val="22"/>
          <w:szCs w:val="22"/>
        </w:rPr>
        <w:t xml:space="preserve">simulated and </w:t>
      </w:r>
      <w:r w:rsidR="005B58FF" w:rsidRPr="00D07AE4">
        <w:rPr>
          <w:sz w:val="22"/>
          <w:szCs w:val="22"/>
        </w:rPr>
        <w:t xml:space="preserve">the </w:t>
      </w:r>
      <w:r w:rsidRPr="00D07AE4">
        <w:rPr>
          <w:sz w:val="22"/>
          <w:szCs w:val="22"/>
        </w:rPr>
        <w:t xml:space="preserve">measured results of </w:t>
      </w:r>
      <w:r w:rsidR="005B58FF" w:rsidRPr="00D07AE4">
        <w:rPr>
          <w:sz w:val="22"/>
          <w:szCs w:val="22"/>
        </w:rPr>
        <w:t>the reflection coefficients</w:t>
      </w:r>
      <w:r w:rsidRPr="00D07AE4">
        <w:rPr>
          <w:sz w:val="22"/>
          <w:szCs w:val="22"/>
        </w:rPr>
        <w:t>.</w:t>
      </w:r>
    </w:p>
    <w:p w:rsidR="00161812" w:rsidRPr="00D07AE4" w:rsidRDefault="00161812" w:rsidP="00161812">
      <w:pPr>
        <w:pStyle w:val="Newparagraph"/>
        <w:ind w:firstLine="0"/>
        <w:jc w:val="both"/>
        <w:rPr>
          <w:sz w:val="22"/>
          <w:szCs w:val="22"/>
        </w:rPr>
      </w:pPr>
      <w:r w:rsidRPr="00D07AE4">
        <w:rPr>
          <w:sz w:val="22"/>
          <w:szCs w:val="22"/>
        </w:rPr>
        <w:lastRenderedPageBreak/>
        <w:t>The radiation patterns are measured in the anechoic chamber with the help of a turntable and the VNA, as shown in Fig</w:t>
      </w:r>
      <w:r w:rsidR="0098221A" w:rsidRPr="00D07AE4">
        <w:rPr>
          <w:sz w:val="22"/>
          <w:szCs w:val="22"/>
        </w:rPr>
        <w:t xml:space="preserve">ure </w:t>
      </w:r>
      <w:r w:rsidRPr="00D07AE4">
        <w:rPr>
          <w:sz w:val="22"/>
          <w:szCs w:val="22"/>
        </w:rPr>
        <w:t>15. A wideband ridged horn is used to radiate signals.</w:t>
      </w:r>
    </w:p>
    <w:p w:rsidR="00161812" w:rsidRPr="00D07AE4" w:rsidRDefault="00161812" w:rsidP="00161812">
      <w:pPr>
        <w:jc w:val="center"/>
        <w:rPr>
          <w:rStyle w:val="BodyText2"/>
          <w:rFonts w:ascii="Times" w:hAnsi="Times"/>
          <w:color w:val="auto"/>
          <w:sz w:val="20"/>
          <w:szCs w:val="20"/>
        </w:rPr>
      </w:pPr>
      <w:r w:rsidRPr="00D07AE4">
        <w:rPr>
          <w:noProof/>
          <w:lang w:val="en-US" w:eastAsia="zh-CN"/>
        </w:rPr>
        <w:drawing>
          <wp:inline distT="0" distB="0" distL="0" distR="0" wp14:anchorId="1364A1C8" wp14:editId="169F338D">
            <wp:extent cx="2863509" cy="16668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71420" cy="1671480"/>
                    </a:xfrm>
                    <a:prstGeom prst="rect">
                      <a:avLst/>
                    </a:prstGeom>
                  </pic:spPr>
                </pic:pic>
              </a:graphicData>
            </a:graphic>
          </wp:inline>
        </w:drawing>
      </w:r>
    </w:p>
    <w:p w:rsidR="00161812" w:rsidRPr="00D07AE4" w:rsidRDefault="00161812" w:rsidP="00161812">
      <w:pPr>
        <w:jc w:val="center"/>
        <w:rPr>
          <w:rStyle w:val="BodyText2"/>
          <w:rFonts w:ascii="Times" w:hAnsi="Times"/>
          <w:color w:val="auto"/>
          <w:lang w:eastAsia="zh-CN"/>
        </w:rPr>
      </w:pPr>
      <w:r w:rsidRPr="00D07AE4">
        <w:rPr>
          <w:rStyle w:val="BodyText2"/>
          <w:rFonts w:ascii="Times" w:hAnsi="Times" w:hint="eastAsia"/>
          <w:color w:val="auto"/>
          <w:lang w:eastAsia="zh-CN"/>
        </w:rPr>
        <w:t>Fig</w:t>
      </w:r>
      <w:r w:rsidR="0098221A" w:rsidRPr="00D07AE4">
        <w:rPr>
          <w:rStyle w:val="BodyText2"/>
          <w:rFonts w:ascii="Times" w:hAnsi="Times"/>
          <w:color w:val="auto"/>
          <w:lang w:eastAsia="zh-CN"/>
        </w:rPr>
        <w:t>ure</w:t>
      </w:r>
      <w:r w:rsidR="0098221A" w:rsidRPr="00D07AE4">
        <w:rPr>
          <w:rStyle w:val="BodyText2"/>
          <w:rFonts w:ascii="Times" w:hAnsi="Times" w:hint="eastAsia"/>
          <w:color w:val="auto"/>
          <w:lang w:eastAsia="zh-CN"/>
        </w:rPr>
        <w:t xml:space="preserve"> </w:t>
      </w:r>
      <w:r w:rsidRPr="00D07AE4">
        <w:rPr>
          <w:rStyle w:val="BodyText2"/>
          <w:rFonts w:ascii="Times" w:hAnsi="Times"/>
          <w:color w:val="auto"/>
          <w:lang w:eastAsia="zh-CN"/>
        </w:rPr>
        <w:t>15. Measurement of the radiation patterns of the helical antenna in the anechoic chamber.</w:t>
      </w:r>
    </w:p>
    <w:p w:rsidR="00161812" w:rsidRPr="00D07AE4" w:rsidRDefault="00161812" w:rsidP="00161812">
      <w:pPr>
        <w:pStyle w:val="Newparagraph"/>
        <w:ind w:firstLine="0"/>
        <w:jc w:val="both"/>
        <w:rPr>
          <w:sz w:val="22"/>
          <w:szCs w:val="22"/>
        </w:rPr>
      </w:pPr>
      <w:r w:rsidRPr="00D07AE4">
        <w:rPr>
          <w:sz w:val="22"/>
          <w:szCs w:val="22"/>
        </w:rPr>
        <w:t>Fig</w:t>
      </w:r>
      <w:r w:rsidR="0098221A" w:rsidRPr="00D07AE4">
        <w:rPr>
          <w:sz w:val="22"/>
          <w:szCs w:val="22"/>
        </w:rPr>
        <w:t xml:space="preserve">ure </w:t>
      </w:r>
      <w:r w:rsidRPr="00D07AE4">
        <w:rPr>
          <w:sz w:val="22"/>
          <w:szCs w:val="22"/>
        </w:rPr>
        <w:t>16 presents the comparison of the simulated and the measured radiation patterns of the saline water antenna at 1.90 GHz, when the rotation angle of the liquid is 2,790 degrees.</w:t>
      </w:r>
    </w:p>
    <w:p w:rsidR="00161812" w:rsidRPr="00D07AE4" w:rsidRDefault="00161812" w:rsidP="00161812">
      <w:pPr>
        <w:jc w:val="center"/>
      </w:pPr>
      <w:r w:rsidRPr="00D07AE4">
        <w:object w:dxaOrig="4756" w:dyaOrig="3666">
          <v:shape id="_x0000_i1036" type="#_x0000_t75" style="width:219.5pt;height:169pt" o:ole="">
            <v:imagedata r:id="rId43" o:title=""/>
          </v:shape>
          <o:OLEObject Type="Embed" ProgID="Origin50.Graph" ShapeID="_x0000_i1036" DrawAspect="Content" ObjectID="_1559389826" r:id="rId44"/>
        </w:object>
      </w:r>
      <w:r w:rsidRPr="00D07AE4">
        <w:object w:dxaOrig="4756" w:dyaOrig="3666">
          <v:shape id="_x0000_i1037" type="#_x0000_t75" style="width:203.5pt;height:156.5pt" o:ole="">
            <v:imagedata r:id="rId45" o:title=""/>
          </v:shape>
          <o:OLEObject Type="Embed" ProgID="Origin50.Graph" ShapeID="_x0000_i1037" DrawAspect="Content" ObjectID="_1559389827" r:id="rId46"/>
        </w:object>
      </w:r>
    </w:p>
    <w:p w:rsidR="00161812" w:rsidRPr="00D07AE4" w:rsidRDefault="00161812" w:rsidP="00161812">
      <w:pPr>
        <w:pStyle w:val="af"/>
        <w:numPr>
          <w:ilvl w:val="0"/>
          <w:numId w:val="33"/>
        </w:numPr>
        <w:ind w:firstLineChars="0"/>
        <w:jc w:val="center"/>
        <w:rPr>
          <w:sz w:val="22"/>
          <w:szCs w:val="22"/>
        </w:rPr>
      </w:pPr>
      <w:r w:rsidRPr="00D07AE4">
        <w:rPr>
          <w:sz w:val="22"/>
          <w:szCs w:val="22"/>
        </w:rPr>
        <w:t xml:space="preserve">                                                                (b)</w:t>
      </w:r>
    </w:p>
    <w:p w:rsidR="00161812" w:rsidRPr="00D07AE4" w:rsidRDefault="00161812" w:rsidP="00161812">
      <w:pPr>
        <w:jc w:val="center"/>
        <w:rPr>
          <w:rStyle w:val="BodyText2"/>
          <w:rFonts w:ascii="Times" w:hAnsi="Times"/>
          <w:color w:val="auto"/>
          <w:lang w:eastAsia="zh-CN"/>
        </w:rPr>
      </w:pPr>
      <w:r w:rsidRPr="00D07AE4">
        <w:rPr>
          <w:rStyle w:val="BodyText2"/>
          <w:rFonts w:ascii="Times" w:hAnsi="Times" w:hint="eastAsia"/>
          <w:color w:val="auto"/>
          <w:lang w:eastAsia="zh-CN"/>
        </w:rPr>
        <w:t>Fig</w:t>
      </w:r>
      <w:r w:rsidR="0098221A" w:rsidRPr="00D07AE4">
        <w:rPr>
          <w:rStyle w:val="BodyText2"/>
          <w:rFonts w:ascii="Times" w:hAnsi="Times"/>
          <w:color w:val="auto"/>
          <w:lang w:eastAsia="zh-CN"/>
        </w:rPr>
        <w:t>ure</w:t>
      </w:r>
      <w:r w:rsidR="0098221A" w:rsidRPr="00D07AE4">
        <w:rPr>
          <w:rStyle w:val="BodyText2"/>
          <w:rFonts w:ascii="Times" w:hAnsi="Times" w:hint="eastAsia"/>
          <w:color w:val="auto"/>
          <w:lang w:eastAsia="zh-CN"/>
        </w:rPr>
        <w:t xml:space="preserve"> </w:t>
      </w:r>
      <w:r w:rsidRPr="00D07AE4">
        <w:rPr>
          <w:rStyle w:val="BodyText2"/>
          <w:rFonts w:ascii="Times" w:hAnsi="Times" w:hint="eastAsia"/>
          <w:color w:val="auto"/>
          <w:lang w:eastAsia="zh-CN"/>
        </w:rPr>
        <w:t>1</w:t>
      </w:r>
      <w:r w:rsidRPr="00D07AE4">
        <w:rPr>
          <w:rStyle w:val="BodyText2"/>
          <w:rFonts w:ascii="Times" w:hAnsi="Times"/>
          <w:color w:val="auto"/>
          <w:lang w:eastAsia="zh-CN"/>
        </w:rPr>
        <w:t>6</w:t>
      </w:r>
      <w:r w:rsidRPr="00D07AE4">
        <w:rPr>
          <w:rStyle w:val="BodyText2"/>
          <w:rFonts w:ascii="Times" w:hAnsi="Times" w:hint="eastAsia"/>
          <w:color w:val="auto"/>
          <w:lang w:eastAsia="zh-CN"/>
        </w:rPr>
        <w:t>. Comparison of the simulated and measured radiation patterns of the helical antenna</w:t>
      </w:r>
      <w:r w:rsidRPr="00D07AE4">
        <w:rPr>
          <w:rStyle w:val="BodyText2"/>
          <w:rFonts w:ascii="Times" w:hAnsi="Times"/>
          <w:color w:val="auto"/>
          <w:lang w:eastAsia="zh-CN"/>
        </w:rPr>
        <w:t>.</w:t>
      </w:r>
      <w:r w:rsidR="00D93672" w:rsidRPr="00D07AE4">
        <w:rPr>
          <w:rStyle w:val="BodyText2"/>
          <w:rFonts w:ascii="Times" w:hAnsi="Times"/>
          <w:color w:val="auto"/>
          <w:lang w:eastAsia="zh-CN"/>
        </w:rPr>
        <w:t xml:space="preserve"> (a) Horizontal polarization, (b) Vertical polarization.</w:t>
      </w:r>
    </w:p>
    <w:p w:rsidR="00161812" w:rsidRPr="00D07AE4" w:rsidRDefault="00161812" w:rsidP="00161812">
      <w:pPr>
        <w:pStyle w:val="Newparagraph"/>
        <w:ind w:firstLine="0"/>
        <w:jc w:val="both"/>
        <w:rPr>
          <w:sz w:val="22"/>
          <w:szCs w:val="22"/>
        </w:rPr>
      </w:pPr>
      <w:r w:rsidRPr="00D07AE4">
        <w:rPr>
          <w:sz w:val="22"/>
          <w:szCs w:val="22"/>
        </w:rPr>
        <w:t xml:space="preserve">The horizontal and vertical polarizations of the auxiliary testing antenna are used </w:t>
      </w:r>
      <w:r w:rsidR="00D93672" w:rsidRPr="00D07AE4">
        <w:rPr>
          <w:sz w:val="22"/>
          <w:szCs w:val="22"/>
        </w:rPr>
        <w:t>one by one</w:t>
      </w:r>
      <w:r w:rsidRPr="00D07AE4">
        <w:rPr>
          <w:sz w:val="22"/>
          <w:szCs w:val="22"/>
        </w:rPr>
        <w:t xml:space="preserve">. The points of view </w:t>
      </w:r>
      <w:r w:rsidR="00D93672" w:rsidRPr="00D07AE4">
        <w:rPr>
          <w:sz w:val="22"/>
          <w:szCs w:val="22"/>
        </w:rPr>
        <w:t xml:space="preserve">for the two slices </w:t>
      </w:r>
      <w:r w:rsidRPr="00D07AE4">
        <w:rPr>
          <w:sz w:val="22"/>
          <w:szCs w:val="22"/>
        </w:rPr>
        <w:t xml:space="preserve">are Theta=90° </w:t>
      </w:r>
      <w:r w:rsidR="00D93672" w:rsidRPr="00D07AE4">
        <w:rPr>
          <w:sz w:val="22"/>
          <w:szCs w:val="22"/>
        </w:rPr>
        <w:t xml:space="preserve">while </w:t>
      </w:r>
      <w:r w:rsidRPr="00D07AE4">
        <w:rPr>
          <w:sz w:val="22"/>
          <w:szCs w:val="22"/>
        </w:rPr>
        <w:t>Phi varies from 0° to 360° in Fig</w:t>
      </w:r>
      <w:r w:rsidR="0098221A" w:rsidRPr="00D07AE4">
        <w:rPr>
          <w:sz w:val="22"/>
          <w:szCs w:val="22"/>
        </w:rPr>
        <w:t xml:space="preserve">ure </w:t>
      </w:r>
      <w:r w:rsidRPr="00D07AE4">
        <w:rPr>
          <w:sz w:val="22"/>
          <w:szCs w:val="22"/>
        </w:rPr>
        <w:t>16 (a)</w:t>
      </w:r>
      <w:r w:rsidR="00D93672" w:rsidRPr="00D07AE4">
        <w:rPr>
          <w:sz w:val="22"/>
          <w:szCs w:val="22"/>
        </w:rPr>
        <w:t>,</w:t>
      </w:r>
      <w:r w:rsidRPr="00D07AE4">
        <w:rPr>
          <w:sz w:val="22"/>
          <w:szCs w:val="22"/>
        </w:rPr>
        <w:t xml:space="preserve"> and Phi=90° </w:t>
      </w:r>
      <w:r w:rsidR="00D93672" w:rsidRPr="00D07AE4">
        <w:rPr>
          <w:sz w:val="22"/>
          <w:szCs w:val="22"/>
        </w:rPr>
        <w:t xml:space="preserve">while </w:t>
      </w:r>
      <w:r w:rsidRPr="00D07AE4">
        <w:rPr>
          <w:sz w:val="22"/>
          <w:szCs w:val="22"/>
        </w:rPr>
        <w:t>Theta varies from 0° to 360° in Fig</w:t>
      </w:r>
      <w:r w:rsidR="0098221A" w:rsidRPr="00D07AE4">
        <w:rPr>
          <w:sz w:val="22"/>
          <w:szCs w:val="22"/>
        </w:rPr>
        <w:t xml:space="preserve">ure </w:t>
      </w:r>
      <w:r w:rsidRPr="00D07AE4">
        <w:rPr>
          <w:sz w:val="22"/>
          <w:szCs w:val="22"/>
        </w:rPr>
        <w:t>16 (b).</w:t>
      </w:r>
    </w:p>
    <w:p w:rsidR="00542398" w:rsidRPr="00D07AE4" w:rsidRDefault="00161812" w:rsidP="00161812">
      <w:pPr>
        <w:pStyle w:val="Newparagraph"/>
        <w:ind w:firstLine="0"/>
        <w:jc w:val="both"/>
        <w:rPr>
          <w:sz w:val="22"/>
          <w:szCs w:val="22"/>
        </w:rPr>
      </w:pPr>
      <w:r w:rsidRPr="00D07AE4">
        <w:rPr>
          <w:sz w:val="22"/>
          <w:szCs w:val="22"/>
        </w:rPr>
        <w:t>The measured shapes of the radiation patterns in the two slices are similar to those simulated. Fairly good similarities and agreements could be found especially in the locations of the valleys and zeros.</w:t>
      </w:r>
    </w:p>
    <w:p w:rsidR="00161812" w:rsidRPr="00D07AE4" w:rsidRDefault="00EC74B5" w:rsidP="00161812">
      <w:pPr>
        <w:pStyle w:val="1"/>
      </w:pPr>
      <w:r w:rsidRPr="00D07AE4">
        <w:lastRenderedPageBreak/>
        <w:t>5</w:t>
      </w:r>
      <w:r w:rsidR="00161812" w:rsidRPr="00D07AE4">
        <w:t xml:space="preserve">. </w:t>
      </w:r>
      <w:r w:rsidRPr="00D07AE4">
        <w:t>Conclusion</w:t>
      </w:r>
    </w:p>
    <w:p w:rsidR="00161812" w:rsidRPr="00D07AE4" w:rsidRDefault="00161812" w:rsidP="00161812">
      <w:pPr>
        <w:pStyle w:val="Newparagraph"/>
        <w:ind w:firstLine="0"/>
        <w:jc w:val="both"/>
        <w:rPr>
          <w:rFonts w:ascii="Times" w:hAnsi="Times"/>
          <w:sz w:val="22"/>
          <w:szCs w:val="22"/>
        </w:rPr>
      </w:pPr>
      <w:r w:rsidRPr="00D07AE4">
        <w:rPr>
          <w:sz w:val="22"/>
          <w:szCs w:val="22"/>
        </w:rPr>
        <w:t xml:space="preserve">The simulations and measurements demonstrated the validation of the helical saline water liquid antenna. The flexibility and the fluidity of the liquid make it a good candidate for wireless wearable electronics systems, including body-center network, Internet of Things (IoT), wireless energy harvesting, sports and health monitoring as well as multimedia amusement systems and so forth. To change the parameters of the probe, the substrate, the diameter and the height of the vertical liquid together with the concentration of the saline water would bring the variations of the matching performance in frequency ranges of the antenna. To change the quantity of the liquid solution could lead to the changes of the radiation patterns, which is an easily realized means of low cost and complexity for tunability. The flexibility of the tube as well as the liquid enables the convenience of folding and packing up when it is not in use, which </w:t>
      </w:r>
      <w:r w:rsidRPr="00D07AE4">
        <w:rPr>
          <w:noProof/>
          <w:sz w:val="22"/>
          <w:szCs w:val="22"/>
        </w:rPr>
        <w:t>gives</w:t>
      </w:r>
      <w:r w:rsidRPr="00D07AE4">
        <w:rPr>
          <w:sz w:val="22"/>
          <w:szCs w:val="22"/>
        </w:rPr>
        <w:t xml:space="preserve"> more freedom of the applications of the antenna.</w:t>
      </w:r>
    </w:p>
    <w:p w:rsidR="00080899" w:rsidRPr="00D07AE4" w:rsidRDefault="00EC74B5" w:rsidP="00080899">
      <w:pPr>
        <w:pStyle w:val="1"/>
      </w:pPr>
      <w:r w:rsidRPr="00D07AE4">
        <w:t>References</w:t>
      </w:r>
    </w:p>
    <w:p w:rsidR="00161812" w:rsidRPr="00D07AE4" w:rsidRDefault="00161812" w:rsidP="001C1559">
      <w:pPr>
        <w:pStyle w:val="References0"/>
        <w:numPr>
          <w:ilvl w:val="0"/>
          <w:numId w:val="32"/>
        </w:numPr>
        <w:spacing w:before="0"/>
        <w:contextualSpacing w:val="0"/>
        <w:jc w:val="both"/>
        <w:rPr>
          <w:sz w:val="22"/>
          <w:szCs w:val="22"/>
        </w:rPr>
      </w:pPr>
      <w:r w:rsidRPr="00D07AE4">
        <w:rPr>
          <w:sz w:val="22"/>
          <w:szCs w:val="22"/>
        </w:rPr>
        <w:t xml:space="preserve">Lei Xing, Yi Huang, Qian Xu, and </w:t>
      </w:r>
      <w:r w:rsidRPr="00D07AE4">
        <w:rPr>
          <w:noProof/>
          <w:sz w:val="22"/>
          <w:szCs w:val="22"/>
        </w:rPr>
        <w:t>Saqer</w:t>
      </w:r>
      <w:r w:rsidRPr="00D07AE4">
        <w:rPr>
          <w:sz w:val="22"/>
          <w:szCs w:val="22"/>
        </w:rPr>
        <w:t xml:space="preserve"> AlJa’</w:t>
      </w:r>
      <w:r w:rsidR="00E25EE4" w:rsidRPr="00D07AE4">
        <w:rPr>
          <w:sz w:val="22"/>
          <w:szCs w:val="22"/>
        </w:rPr>
        <w:t xml:space="preserve"> </w:t>
      </w:r>
      <w:r w:rsidRPr="00D07AE4">
        <w:rPr>
          <w:sz w:val="22"/>
          <w:szCs w:val="22"/>
        </w:rPr>
        <w:t>afreh, “</w:t>
      </w:r>
      <w:r w:rsidRPr="00D07AE4">
        <w:rPr>
          <w:sz w:val="22"/>
          <w:szCs w:val="22"/>
          <w:lang w:eastAsia="zh-CN"/>
        </w:rPr>
        <w:t>Wideband</w:t>
      </w:r>
      <w:r w:rsidRPr="00D07AE4">
        <w:rPr>
          <w:rFonts w:eastAsia="MS Mincho"/>
          <w:sz w:val="22"/>
          <w:szCs w:val="22"/>
        </w:rPr>
        <w:t xml:space="preserve">, </w:t>
      </w:r>
      <w:r w:rsidRPr="00D07AE4">
        <w:rPr>
          <w:rFonts w:eastAsia="MS Mincho"/>
          <w:noProof/>
          <w:sz w:val="22"/>
          <w:szCs w:val="22"/>
        </w:rPr>
        <w:t>H</w:t>
      </w:r>
      <w:r w:rsidRPr="00D07AE4">
        <w:rPr>
          <w:noProof/>
          <w:sz w:val="22"/>
          <w:szCs w:val="22"/>
          <w:lang w:eastAsia="zh-CN"/>
        </w:rPr>
        <w:t>ybrid</w:t>
      </w:r>
      <w:r w:rsidRPr="00D07AE4">
        <w:rPr>
          <w:rFonts w:eastAsia="MS Mincho"/>
          <w:noProof/>
          <w:sz w:val="22"/>
          <w:szCs w:val="22"/>
        </w:rPr>
        <w:t xml:space="preserve"> R</w:t>
      </w:r>
      <w:r w:rsidRPr="00D07AE4">
        <w:rPr>
          <w:noProof/>
          <w:sz w:val="22"/>
          <w:szCs w:val="22"/>
          <w:lang w:eastAsia="zh-CN"/>
        </w:rPr>
        <w:t>ectangular</w:t>
      </w:r>
      <w:r w:rsidRPr="00D07AE4">
        <w:rPr>
          <w:sz w:val="22"/>
          <w:szCs w:val="22"/>
          <w:lang w:eastAsia="zh-CN"/>
        </w:rPr>
        <w:t xml:space="preserve"> </w:t>
      </w:r>
      <w:r w:rsidRPr="00D07AE4">
        <w:rPr>
          <w:rFonts w:eastAsia="MS Mincho"/>
          <w:sz w:val="22"/>
          <w:szCs w:val="22"/>
        </w:rPr>
        <w:t>W</w:t>
      </w:r>
      <w:r w:rsidRPr="00D07AE4">
        <w:rPr>
          <w:sz w:val="22"/>
          <w:szCs w:val="22"/>
          <w:lang w:eastAsia="zh-CN"/>
        </w:rPr>
        <w:t>ater</w:t>
      </w:r>
      <w:r w:rsidRPr="00D07AE4">
        <w:rPr>
          <w:rFonts w:eastAsia="MS Mincho"/>
          <w:sz w:val="22"/>
          <w:szCs w:val="22"/>
        </w:rPr>
        <w:t xml:space="preserve"> A</w:t>
      </w:r>
      <w:r w:rsidRPr="00D07AE4">
        <w:rPr>
          <w:sz w:val="22"/>
          <w:szCs w:val="22"/>
          <w:lang w:eastAsia="zh-CN"/>
        </w:rPr>
        <w:t>ntenna</w:t>
      </w:r>
      <w:r w:rsidRPr="00D07AE4">
        <w:rPr>
          <w:rFonts w:eastAsia="MS Mincho"/>
          <w:sz w:val="22"/>
          <w:szCs w:val="22"/>
        </w:rPr>
        <w:t xml:space="preserve"> </w:t>
      </w:r>
      <w:r w:rsidRPr="00D07AE4">
        <w:rPr>
          <w:sz w:val="22"/>
          <w:szCs w:val="22"/>
          <w:lang w:eastAsia="zh-CN"/>
        </w:rPr>
        <w:t>for</w:t>
      </w:r>
      <w:r w:rsidRPr="00D07AE4">
        <w:rPr>
          <w:rFonts w:eastAsia="MS Mincho"/>
          <w:sz w:val="22"/>
          <w:szCs w:val="22"/>
        </w:rPr>
        <w:t xml:space="preserve"> DVB-H</w:t>
      </w:r>
      <w:r w:rsidRPr="00D07AE4">
        <w:rPr>
          <w:sz w:val="22"/>
          <w:szCs w:val="22"/>
          <w:lang w:eastAsia="zh-CN"/>
        </w:rPr>
        <w:t xml:space="preserve"> </w:t>
      </w:r>
      <w:r w:rsidRPr="00D07AE4">
        <w:rPr>
          <w:rFonts w:eastAsia="MS Mincho"/>
          <w:sz w:val="22"/>
          <w:szCs w:val="22"/>
        </w:rPr>
        <w:t>A</w:t>
      </w:r>
      <w:r w:rsidRPr="00D07AE4">
        <w:rPr>
          <w:sz w:val="22"/>
          <w:szCs w:val="22"/>
          <w:lang w:eastAsia="zh-CN"/>
        </w:rPr>
        <w:t>pplications</w:t>
      </w:r>
      <w:r w:rsidRPr="00D07AE4">
        <w:rPr>
          <w:sz w:val="22"/>
          <w:szCs w:val="22"/>
        </w:rPr>
        <w:t xml:space="preserve">,” </w:t>
      </w:r>
      <w:r w:rsidRPr="00D07AE4">
        <w:rPr>
          <w:i/>
          <w:sz w:val="22"/>
          <w:szCs w:val="22"/>
          <w:lang w:eastAsia="zh-CN"/>
        </w:rPr>
        <w:t>Microwaves and Optical Technology Letters</w:t>
      </w:r>
      <w:r w:rsidRPr="00D07AE4">
        <w:rPr>
          <w:sz w:val="22"/>
          <w:szCs w:val="22"/>
          <w:lang w:eastAsia="zh-CN"/>
        </w:rPr>
        <w:t>,</w:t>
      </w:r>
      <w:r w:rsidRPr="00D07AE4">
        <w:rPr>
          <w:sz w:val="22"/>
          <w:szCs w:val="22"/>
        </w:rPr>
        <w:t xml:space="preserve"> 2015, Vol. </w:t>
      </w:r>
      <w:r w:rsidRPr="00D07AE4">
        <w:rPr>
          <w:sz w:val="22"/>
          <w:szCs w:val="22"/>
          <w:lang w:eastAsia="zh-CN"/>
        </w:rPr>
        <w:t>57</w:t>
      </w:r>
      <w:r w:rsidRPr="00D07AE4">
        <w:rPr>
          <w:sz w:val="22"/>
          <w:szCs w:val="22"/>
        </w:rPr>
        <w:t xml:space="preserve">, Iss. </w:t>
      </w:r>
      <w:r w:rsidRPr="00D07AE4">
        <w:rPr>
          <w:sz w:val="22"/>
          <w:szCs w:val="22"/>
          <w:lang w:eastAsia="zh-CN"/>
        </w:rPr>
        <w:t>9, pp.2160-2164.</w:t>
      </w:r>
    </w:p>
    <w:p w:rsidR="00161812" w:rsidRPr="00D07AE4" w:rsidRDefault="00161812" w:rsidP="001C1559">
      <w:pPr>
        <w:pStyle w:val="References0"/>
        <w:numPr>
          <w:ilvl w:val="0"/>
          <w:numId w:val="32"/>
        </w:numPr>
        <w:spacing w:before="0"/>
        <w:contextualSpacing w:val="0"/>
        <w:jc w:val="both"/>
        <w:rPr>
          <w:sz w:val="22"/>
          <w:szCs w:val="22"/>
        </w:rPr>
      </w:pPr>
      <w:r w:rsidRPr="00D07AE4">
        <w:rPr>
          <w:sz w:val="22"/>
          <w:szCs w:val="22"/>
          <w:lang w:eastAsia="zh-CN"/>
        </w:rPr>
        <w:t>Yujian Li, Kwai-Man Luk</w:t>
      </w:r>
      <w:r w:rsidRPr="00D07AE4">
        <w:rPr>
          <w:sz w:val="22"/>
          <w:szCs w:val="22"/>
        </w:rPr>
        <w:t>, “</w:t>
      </w:r>
      <w:r w:rsidRPr="00D07AE4">
        <w:rPr>
          <w:rFonts w:eastAsia="MS Mincho"/>
          <w:sz w:val="22"/>
          <w:szCs w:val="22"/>
        </w:rPr>
        <w:t>A Water Dense Dielectric Patch Antenna</w:t>
      </w:r>
      <w:r w:rsidRPr="00D07AE4">
        <w:rPr>
          <w:sz w:val="22"/>
          <w:szCs w:val="22"/>
        </w:rPr>
        <w:t xml:space="preserve">,” </w:t>
      </w:r>
      <w:r w:rsidRPr="00D07AE4">
        <w:rPr>
          <w:i/>
          <w:sz w:val="22"/>
          <w:szCs w:val="22"/>
          <w:lang w:eastAsia="zh-CN"/>
        </w:rPr>
        <w:t>IEEE Access</w:t>
      </w:r>
      <w:r w:rsidRPr="00D07AE4">
        <w:rPr>
          <w:sz w:val="22"/>
          <w:szCs w:val="22"/>
          <w:lang w:eastAsia="zh-CN"/>
        </w:rPr>
        <w:t>,</w:t>
      </w:r>
      <w:r w:rsidRPr="00D07AE4">
        <w:rPr>
          <w:sz w:val="22"/>
          <w:szCs w:val="22"/>
        </w:rPr>
        <w:t xml:space="preserve"> </w:t>
      </w:r>
      <w:r w:rsidRPr="00D07AE4">
        <w:rPr>
          <w:noProof/>
          <w:sz w:val="22"/>
          <w:szCs w:val="22"/>
          <w:lang w:eastAsia="zh-CN"/>
        </w:rPr>
        <w:t>vol. 3</w:t>
      </w:r>
      <w:r w:rsidRPr="00D07AE4">
        <w:rPr>
          <w:sz w:val="22"/>
          <w:szCs w:val="22"/>
          <w:lang w:eastAsia="zh-CN"/>
        </w:rPr>
        <w:t xml:space="preserve">, </w:t>
      </w:r>
      <w:r w:rsidR="00A31F99" w:rsidRPr="00D07AE4">
        <w:rPr>
          <w:sz w:val="22"/>
          <w:szCs w:val="22"/>
          <w:lang w:eastAsia="zh-CN"/>
        </w:rPr>
        <w:t xml:space="preserve">2015, </w:t>
      </w:r>
      <w:r w:rsidRPr="00D07AE4">
        <w:rPr>
          <w:sz w:val="22"/>
          <w:szCs w:val="22"/>
          <w:lang w:eastAsia="zh-CN"/>
        </w:rPr>
        <w:t>pp.274-280.</w:t>
      </w:r>
    </w:p>
    <w:p w:rsidR="00161812" w:rsidRPr="00D07AE4" w:rsidRDefault="00161812" w:rsidP="001C1559">
      <w:pPr>
        <w:pStyle w:val="References0"/>
        <w:numPr>
          <w:ilvl w:val="0"/>
          <w:numId w:val="32"/>
        </w:numPr>
        <w:spacing w:before="0"/>
        <w:contextualSpacing w:val="0"/>
        <w:jc w:val="both"/>
        <w:rPr>
          <w:sz w:val="22"/>
          <w:szCs w:val="22"/>
        </w:rPr>
      </w:pPr>
      <w:r w:rsidRPr="00D07AE4">
        <w:rPr>
          <w:sz w:val="22"/>
          <w:szCs w:val="22"/>
        </w:rPr>
        <w:t xml:space="preserve">Kentaro Noda, Makoto </w:t>
      </w:r>
      <w:r w:rsidRPr="00D07AE4">
        <w:rPr>
          <w:noProof/>
          <w:sz w:val="22"/>
          <w:szCs w:val="22"/>
        </w:rPr>
        <w:t>Ohkado</w:t>
      </w:r>
      <w:r w:rsidRPr="00D07AE4">
        <w:rPr>
          <w:sz w:val="22"/>
          <w:szCs w:val="22"/>
        </w:rPr>
        <w:t xml:space="preserve">, Binh Nguyen, Kiyoshi Matsumoto, Hisayoshi Fujikawa, and Isao Shimoyama, “Frequency-Tunable Microstrip Antenna with Liquid Actuator Using Gradually Widened Transmission Line,” </w:t>
      </w:r>
      <w:r w:rsidRPr="00D07AE4">
        <w:rPr>
          <w:i/>
          <w:sz w:val="22"/>
          <w:szCs w:val="22"/>
        </w:rPr>
        <w:t xml:space="preserve">IEEE </w:t>
      </w:r>
      <w:r w:rsidRPr="00D07AE4">
        <w:rPr>
          <w:i/>
          <w:iCs/>
          <w:sz w:val="22"/>
          <w:szCs w:val="22"/>
        </w:rPr>
        <w:t xml:space="preserve">Antennas and Wireless </w:t>
      </w:r>
      <w:r w:rsidRPr="00D07AE4">
        <w:rPr>
          <w:i/>
          <w:iCs/>
          <w:noProof/>
          <w:sz w:val="22"/>
          <w:szCs w:val="22"/>
        </w:rPr>
        <w:t>Propa</w:t>
      </w:r>
      <w:r w:rsidR="00A31F99" w:rsidRPr="00D07AE4">
        <w:rPr>
          <w:i/>
          <w:iCs/>
          <w:sz w:val="22"/>
          <w:szCs w:val="22"/>
        </w:rPr>
        <w:t xml:space="preserve">gation </w:t>
      </w:r>
      <w:r w:rsidRPr="00D07AE4">
        <w:rPr>
          <w:i/>
          <w:iCs/>
          <w:sz w:val="22"/>
          <w:szCs w:val="22"/>
        </w:rPr>
        <w:t>Letters</w:t>
      </w:r>
      <w:r w:rsidRPr="00D07AE4">
        <w:rPr>
          <w:sz w:val="22"/>
          <w:szCs w:val="22"/>
        </w:rPr>
        <w:t xml:space="preserve">, vol. 14, </w:t>
      </w:r>
      <w:r w:rsidR="00A31F99" w:rsidRPr="00D07AE4">
        <w:rPr>
          <w:sz w:val="22"/>
          <w:szCs w:val="22"/>
        </w:rPr>
        <w:t xml:space="preserve">2015, </w:t>
      </w:r>
      <w:r w:rsidRPr="00D07AE4">
        <w:rPr>
          <w:sz w:val="22"/>
          <w:szCs w:val="22"/>
        </w:rPr>
        <w:t>pp. 551–555.</w:t>
      </w:r>
    </w:p>
    <w:p w:rsidR="00161812" w:rsidRPr="00D07AE4" w:rsidRDefault="00161812" w:rsidP="001C1559">
      <w:pPr>
        <w:pStyle w:val="References0"/>
        <w:numPr>
          <w:ilvl w:val="0"/>
          <w:numId w:val="32"/>
        </w:numPr>
        <w:spacing w:before="0"/>
        <w:contextualSpacing w:val="0"/>
        <w:jc w:val="both"/>
        <w:rPr>
          <w:sz w:val="22"/>
          <w:szCs w:val="22"/>
        </w:rPr>
      </w:pPr>
      <w:r w:rsidRPr="00D07AE4">
        <w:rPr>
          <w:sz w:val="22"/>
          <w:szCs w:val="22"/>
        </w:rPr>
        <w:t xml:space="preserve">Changzhou Hua, Zhongxiang Shen, and Jian Lu, “High-Efficiency Sea-Water Monopole Antenna for Maritime Wireless Communications,” </w:t>
      </w:r>
      <w:r w:rsidRPr="00D07AE4">
        <w:rPr>
          <w:i/>
          <w:iCs/>
          <w:sz w:val="22"/>
          <w:szCs w:val="22"/>
        </w:rPr>
        <w:t>IEEE Trans</w:t>
      </w:r>
      <w:r w:rsidR="00A31F99" w:rsidRPr="00D07AE4">
        <w:rPr>
          <w:i/>
          <w:iCs/>
          <w:sz w:val="22"/>
          <w:szCs w:val="22"/>
        </w:rPr>
        <w:t>actions</w:t>
      </w:r>
      <w:r w:rsidRPr="00D07AE4">
        <w:rPr>
          <w:i/>
          <w:iCs/>
          <w:sz w:val="22"/>
          <w:szCs w:val="22"/>
        </w:rPr>
        <w:t xml:space="preserve"> on Antennas and Propa</w:t>
      </w:r>
      <w:r w:rsidR="00A31F99" w:rsidRPr="00D07AE4">
        <w:rPr>
          <w:i/>
          <w:iCs/>
          <w:sz w:val="22"/>
          <w:szCs w:val="22"/>
        </w:rPr>
        <w:t>gation</w:t>
      </w:r>
      <w:r w:rsidR="00A31F99" w:rsidRPr="00D07AE4">
        <w:rPr>
          <w:sz w:val="22"/>
          <w:szCs w:val="22"/>
        </w:rPr>
        <w:t xml:space="preserve">, </w:t>
      </w:r>
      <w:r w:rsidRPr="00D07AE4">
        <w:rPr>
          <w:sz w:val="22"/>
          <w:szCs w:val="22"/>
        </w:rPr>
        <w:t xml:space="preserve">vol. </w:t>
      </w:r>
      <w:r w:rsidRPr="00D07AE4">
        <w:rPr>
          <w:i/>
          <w:iCs/>
          <w:sz w:val="22"/>
          <w:szCs w:val="22"/>
        </w:rPr>
        <w:t xml:space="preserve">62, </w:t>
      </w:r>
      <w:r w:rsidR="00A31F99" w:rsidRPr="00D07AE4">
        <w:rPr>
          <w:iCs/>
          <w:sz w:val="22"/>
          <w:szCs w:val="22"/>
        </w:rPr>
        <w:t xml:space="preserve">2014, </w:t>
      </w:r>
      <w:r w:rsidRPr="00D07AE4">
        <w:rPr>
          <w:sz w:val="22"/>
          <w:szCs w:val="22"/>
        </w:rPr>
        <w:t>pp</w:t>
      </w:r>
      <w:r w:rsidRPr="00D07AE4">
        <w:rPr>
          <w:i/>
          <w:iCs/>
          <w:sz w:val="22"/>
          <w:szCs w:val="22"/>
        </w:rPr>
        <w:t>. 5968-5973</w:t>
      </w:r>
      <w:r w:rsidRPr="00D07AE4">
        <w:rPr>
          <w:sz w:val="22"/>
          <w:szCs w:val="22"/>
        </w:rPr>
        <w:t>.</w:t>
      </w:r>
    </w:p>
    <w:p w:rsidR="00161812" w:rsidRPr="00D07AE4" w:rsidRDefault="00161812" w:rsidP="001C1559">
      <w:pPr>
        <w:pStyle w:val="References0"/>
        <w:numPr>
          <w:ilvl w:val="0"/>
          <w:numId w:val="32"/>
        </w:numPr>
        <w:spacing w:before="0"/>
        <w:contextualSpacing w:val="0"/>
        <w:jc w:val="both"/>
        <w:rPr>
          <w:sz w:val="22"/>
          <w:szCs w:val="22"/>
        </w:rPr>
      </w:pPr>
      <w:r w:rsidRPr="00D07AE4">
        <w:rPr>
          <w:noProof/>
          <w:sz w:val="22"/>
          <w:szCs w:val="22"/>
          <w:lang w:eastAsia="zh-CN"/>
        </w:rPr>
        <w:t>Saqer</w:t>
      </w:r>
      <w:r w:rsidRPr="00D07AE4">
        <w:rPr>
          <w:sz w:val="22"/>
          <w:szCs w:val="22"/>
          <w:lang w:eastAsia="zh-CN"/>
        </w:rPr>
        <w:t xml:space="preserve"> S. Alja’afreh, Yi Huang, Lei Xing</w:t>
      </w:r>
      <w:r w:rsidRPr="00D07AE4">
        <w:rPr>
          <w:sz w:val="22"/>
          <w:szCs w:val="22"/>
        </w:rPr>
        <w:t>, “</w:t>
      </w:r>
      <w:r w:rsidRPr="00D07AE4">
        <w:rPr>
          <w:rFonts w:eastAsia="MS Mincho"/>
          <w:sz w:val="22"/>
          <w:szCs w:val="22"/>
        </w:rPr>
        <w:t>A Compact Dual-feed Water-based Diversity</w:t>
      </w:r>
      <w:r w:rsidRPr="00D07AE4">
        <w:rPr>
          <w:sz w:val="22"/>
          <w:szCs w:val="22"/>
          <w:lang w:eastAsia="zh-CN"/>
        </w:rPr>
        <w:t xml:space="preserve"> </w:t>
      </w:r>
      <w:r w:rsidRPr="00D07AE4">
        <w:rPr>
          <w:rFonts w:eastAsia="MS Mincho"/>
          <w:sz w:val="22"/>
          <w:szCs w:val="22"/>
        </w:rPr>
        <w:t>Antenna</w:t>
      </w:r>
      <w:r w:rsidRPr="00D07AE4">
        <w:rPr>
          <w:sz w:val="22"/>
          <w:szCs w:val="22"/>
        </w:rPr>
        <w:t xml:space="preserve">,” </w:t>
      </w:r>
      <w:r w:rsidRPr="00D07AE4">
        <w:rPr>
          <w:i/>
          <w:sz w:val="22"/>
          <w:szCs w:val="22"/>
          <w:lang w:eastAsia="zh-CN"/>
        </w:rPr>
        <w:t>Proceedings of Loughborough Antennas &amp; Propagation Conference</w:t>
      </w:r>
      <w:r w:rsidRPr="00D07AE4">
        <w:rPr>
          <w:sz w:val="22"/>
          <w:szCs w:val="22"/>
          <w:lang w:eastAsia="zh-CN"/>
        </w:rPr>
        <w:t>,</w:t>
      </w:r>
      <w:r w:rsidRPr="00D07AE4">
        <w:rPr>
          <w:sz w:val="22"/>
          <w:szCs w:val="22"/>
        </w:rPr>
        <w:t xml:space="preserve"> </w:t>
      </w:r>
      <w:r w:rsidRPr="00D07AE4">
        <w:rPr>
          <w:sz w:val="22"/>
          <w:szCs w:val="22"/>
          <w:lang w:eastAsia="zh-CN"/>
        </w:rPr>
        <w:t xml:space="preserve">Loughborough, United Kingdom, </w:t>
      </w:r>
      <w:r w:rsidRPr="00D07AE4">
        <w:rPr>
          <w:noProof/>
          <w:sz w:val="22"/>
          <w:szCs w:val="22"/>
          <w:lang w:eastAsia="zh-CN"/>
        </w:rPr>
        <w:t>November,</w:t>
      </w:r>
      <w:r w:rsidRPr="00D07AE4">
        <w:rPr>
          <w:sz w:val="22"/>
          <w:szCs w:val="22"/>
          <w:lang w:eastAsia="zh-CN"/>
        </w:rPr>
        <w:t xml:space="preserve"> </w:t>
      </w:r>
      <w:r w:rsidRPr="00D07AE4">
        <w:rPr>
          <w:sz w:val="22"/>
          <w:szCs w:val="22"/>
        </w:rPr>
        <w:t>201</w:t>
      </w:r>
      <w:r w:rsidRPr="00D07AE4">
        <w:rPr>
          <w:sz w:val="22"/>
          <w:szCs w:val="22"/>
          <w:lang w:eastAsia="zh-CN"/>
        </w:rPr>
        <w:t>3, pp.182-185.</w:t>
      </w:r>
    </w:p>
    <w:p w:rsidR="00161812" w:rsidRPr="00D07AE4" w:rsidRDefault="00161812" w:rsidP="001C1559">
      <w:pPr>
        <w:pStyle w:val="References0"/>
        <w:numPr>
          <w:ilvl w:val="0"/>
          <w:numId w:val="32"/>
        </w:numPr>
        <w:spacing w:before="0"/>
        <w:contextualSpacing w:val="0"/>
        <w:jc w:val="both"/>
        <w:rPr>
          <w:sz w:val="22"/>
          <w:szCs w:val="22"/>
        </w:rPr>
      </w:pPr>
      <w:r w:rsidRPr="00D07AE4">
        <w:rPr>
          <w:sz w:val="22"/>
          <w:szCs w:val="22"/>
          <w:lang w:eastAsia="zh-CN"/>
        </w:rPr>
        <w:t>Changzhou Hua</w:t>
      </w:r>
      <w:r w:rsidRPr="00D07AE4">
        <w:rPr>
          <w:sz w:val="22"/>
          <w:szCs w:val="22"/>
        </w:rPr>
        <w:t xml:space="preserve">, </w:t>
      </w:r>
      <w:r w:rsidRPr="00D07AE4">
        <w:rPr>
          <w:sz w:val="22"/>
          <w:szCs w:val="22"/>
          <w:lang w:eastAsia="zh-CN"/>
        </w:rPr>
        <w:t>Zhongxiang Shen</w:t>
      </w:r>
      <w:r w:rsidRPr="00D07AE4">
        <w:rPr>
          <w:sz w:val="22"/>
          <w:szCs w:val="22"/>
        </w:rPr>
        <w:t>, “</w:t>
      </w:r>
      <w:r w:rsidRPr="00D07AE4">
        <w:rPr>
          <w:rFonts w:eastAsia="MS Mincho"/>
          <w:sz w:val="22"/>
          <w:szCs w:val="22"/>
        </w:rPr>
        <w:t>Sea-Water Half-Loop Antenna for Maritime Wireless</w:t>
      </w:r>
      <w:r w:rsidRPr="00D07AE4">
        <w:rPr>
          <w:sz w:val="22"/>
          <w:szCs w:val="22"/>
          <w:lang w:eastAsia="zh-CN"/>
        </w:rPr>
        <w:t xml:space="preserve"> </w:t>
      </w:r>
      <w:r w:rsidRPr="00D07AE4">
        <w:rPr>
          <w:rFonts w:eastAsia="MS Mincho"/>
          <w:sz w:val="22"/>
          <w:szCs w:val="22"/>
        </w:rPr>
        <w:t>Communications</w:t>
      </w:r>
      <w:r w:rsidRPr="00D07AE4">
        <w:rPr>
          <w:sz w:val="22"/>
          <w:szCs w:val="22"/>
        </w:rPr>
        <w:t xml:space="preserve">,” </w:t>
      </w:r>
      <w:r w:rsidRPr="00D07AE4">
        <w:rPr>
          <w:i/>
          <w:sz w:val="22"/>
          <w:szCs w:val="22"/>
          <w:lang w:eastAsia="zh-CN"/>
        </w:rPr>
        <w:t>Proceedings of IEEE 4th Asia-Pacific Conference on Antennas and Propagation</w:t>
      </w:r>
      <w:r w:rsidRPr="00D07AE4">
        <w:rPr>
          <w:sz w:val="22"/>
          <w:szCs w:val="22"/>
          <w:lang w:eastAsia="zh-CN"/>
        </w:rPr>
        <w:t>,</w:t>
      </w:r>
      <w:r w:rsidRPr="00D07AE4">
        <w:rPr>
          <w:sz w:val="22"/>
          <w:szCs w:val="22"/>
        </w:rPr>
        <w:t xml:space="preserve"> </w:t>
      </w:r>
      <w:r w:rsidRPr="00D07AE4">
        <w:rPr>
          <w:sz w:val="22"/>
          <w:szCs w:val="22"/>
          <w:lang w:eastAsia="zh-CN"/>
        </w:rPr>
        <w:t xml:space="preserve">Bali, Indonesia, </w:t>
      </w:r>
      <w:r w:rsidRPr="00D07AE4">
        <w:rPr>
          <w:noProof/>
          <w:sz w:val="22"/>
          <w:szCs w:val="22"/>
          <w:lang w:eastAsia="zh-CN"/>
        </w:rPr>
        <w:t>July,</w:t>
      </w:r>
      <w:r w:rsidRPr="00D07AE4">
        <w:rPr>
          <w:sz w:val="22"/>
          <w:szCs w:val="22"/>
          <w:lang w:eastAsia="zh-CN"/>
        </w:rPr>
        <w:t xml:space="preserve"> </w:t>
      </w:r>
      <w:r w:rsidRPr="00D07AE4">
        <w:rPr>
          <w:sz w:val="22"/>
          <w:szCs w:val="22"/>
        </w:rPr>
        <w:t>2015</w:t>
      </w:r>
      <w:r w:rsidR="00A31F99" w:rsidRPr="00D07AE4">
        <w:rPr>
          <w:sz w:val="22"/>
          <w:szCs w:val="22"/>
        </w:rPr>
        <w:t>,</w:t>
      </w:r>
      <w:r w:rsidRPr="00D07AE4">
        <w:rPr>
          <w:sz w:val="22"/>
          <w:szCs w:val="22"/>
          <w:lang w:eastAsia="zh-CN"/>
        </w:rPr>
        <w:t xml:space="preserve"> pp.231-232.</w:t>
      </w:r>
    </w:p>
    <w:p w:rsidR="00161812" w:rsidRPr="00D07AE4" w:rsidRDefault="00161812" w:rsidP="001C1559">
      <w:pPr>
        <w:pStyle w:val="References0"/>
        <w:numPr>
          <w:ilvl w:val="0"/>
          <w:numId w:val="32"/>
        </w:numPr>
        <w:spacing w:before="0"/>
        <w:contextualSpacing w:val="0"/>
        <w:jc w:val="both"/>
        <w:rPr>
          <w:sz w:val="22"/>
          <w:szCs w:val="22"/>
        </w:rPr>
      </w:pPr>
      <w:r w:rsidRPr="00D07AE4">
        <w:rPr>
          <w:sz w:val="22"/>
          <w:szCs w:val="22"/>
        </w:rPr>
        <w:lastRenderedPageBreak/>
        <w:t xml:space="preserve">Yunnan </w:t>
      </w:r>
      <w:r w:rsidRPr="00D07AE4">
        <w:rPr>
          <w:noProof/>
          <w:sz w:val="22"/>
          <w:szCs w:val="22"/>
        </w:rPr>
        <w:t>Jin ,</w:t>
      </w:r>
      <w:r w:rsidRPr="00D07AE4">
        <w:rPr>
          <w:sz w:val="22"/>
          <w:szCs w:val="22"/>
        </w:rPr>
        <w:t xml:space="preserve"> Jinpil Tak</w:t>
      </w:r>
      <w:r w:rsidR="001C0D02" w:rsidRPr="00D07AE4">
        <w:rPr>
          <w:sz w:val="22"/>
          <w:szCs w:val="22"/>
        </w:rPr>
        <w:t>,</w:t>
      </w:r>
      <w:r w:rsidRPr="00D07AE4">
        <w:rPr>
          <w:sz w:val="22"/>
          <w:szCs w:val="22"/>
        </w:rPr>
        <w:t xml:space="preserve"> Jaehoon Choi, “</w:t>
      </w:r>
      <w:r w:rsidRPr="00D07AE4">
        <w:rPr>
          <w:rFonts w:eastAsia="MS Mincho"/>
          <w:sz w:val="22"/>
          <w:szCs w:val="22"/>
        </w:rPr>
        <w:t>Broadband hybrid water antenna for ISM-band ingestible capsule endoscope systems</w:t>
      </w:r>
      <w:r w:rsidRPr="00D07AE4">
        <w:rPr>
          <w:sz w:val="22"/>
          <w:szCs w:val="22"/>
        </w:rPr>
        <w:t xml:space="preserve">,” </w:t>
      </w:r>
      <w:r w:rsidRPr="00D07AE4">
        <w:rPr>
          <w:i/>
          <w:sz w:val="22"/>
          <w:szCs w:val="22"/>
          <w:lang w:eastAsia="zh-CN"/>
        </w:rPr>
        <w:t xml:space="preserve">Proceedings of </w:t>
      </w:r>
      <w:r w:rsidRPr="00D07AE4">
        <w:rPr>
          <w:i/>
          <w:sz w:val="22"/>
          <w:szCs w:val="22"/>
        </w:rPr>
        <w:t>International Workshop on Antenna Technology</w:t>
      </w:r>
      <w:r w:rsidRPr="00D07AE4">
        <w:rPr>
          <w:sz w:val="22"/>
          <w:szCs w:val="22"/>
          <w:lang w:eastAsia="zh-CN"/>
        </w:rPr>
        <w:t>,</w:t>
      </w:r>
      <w:r w:rsidRPr="00D07AE4">
        <w:rPr>
          <w:sz w:val="22"/>
          <w:szCs w:val="22"/>
        </w:rPr>
        <w:t xml:space="preserve"> </w:t>
      </w:r>
      <w:r w:rsidRPr="00D07AE4">
        <w:rPr>
          <w:sz w:val="22"/>
          <w:szCs w:val="22"/>
          <w:lang w:eastAsia="zh-CN"/>
        </w:rPr>
        <w:t xml:space="preserve">pp.82-85. </w:t>
      </w:r>
      <w:r w:rsidRPr="00D07AE4">
        <w:rPr>
          <w:sz w:val="22"/>
          <w:szCs w:val="22"/>
        </w:rPr>
        <w:t>Cocoa Beach, FL</w:t>
      </w:r>
      <w:r w:rsidRPr="00D07AE4">
        <w:rPr>
          <w:sz w:val="22"/>
          <w:szCs w:val="22"/>
          <w:lang w:eastAsia="zh-CN"/>
        </w:rPr>
        <w:t xml:space="preserve">, USA, </w:t>
      </w:r>
      <w:r w:rsidRPr="00D07AE4">
        <w:rPr>
          <w:noProof/>
          <w:sz w:val="22"/>
          <w:szCs w:val="22"/>
          <w:lang w:eastAsia="zh-CN"/>
        </w:rPr>
        <w:t>March,</w:t>
      </w:r>
      <w:r w:rsidRPr="00D07AE4">
        <w:rPr>
          <w:sz w:val="22"/>
          <w:szCs w:val="22"/>
          <w:lang w:eastAsia="zh-CN"/>
        </w:rPr>
        <w:t xml:space="preserve"> 2016.</w:t>
      </w:r>
    </w:p>
    <w:p w:rsidR="00161812" w:rsidRPr="00D07AE4" w:rsidRDefault="00161812" w:rsidP="001C1559">
      <w:pPr>
        <w:pStyle w:val="References0"/>
        <w:numPr>
          <w:ilvl w:val="0"/>
          <w:numId w:val="32"/>
        </w:numPr>
        <w:spacing w:before="0"/>
        <w:contextualSpacing w:val="0"/>
        <w:jc w:val="both"/>
        <w:rPr>
          <w:sz w:val="22"/>
          <w:szCs w:val="22"/>
        </w:rPr>
      </w:pPr>
      <w:r w:rsidRPr="00D07AE4">
        <w:rPr>
          <w:sz w:val="22"/>
          <w:szCs w:val="22"/>
        </w:rPr>
        <w:t xml:space="preserve">Rongguo Zhou, Hualiang Zhang, Hao Xin, “Liquid-based Dielectric Resonator Antenna and its Application for Measuring Liquid Real Permittivities,” </w:t>
      </w:r>
      <w:r w:rsidRPr="00D07AE4">
        <w:rPr>
          <w:i/>
          <w:sz w:val="22"/>
          <w:szCs w:val="22"/>
        </w:rPr>
        <w:t>IET Microwaves, Antennas &amp; Propagation</w:t>
      </w:r>
      <w:r w:rsidRPr="00D07AE4">
        <w:rPr>
          <w:sz w:val="22"/>
          <w:szCs w:val="22"/>
        </w:rPr>
        <w:t>, vol. 8, no. 4, pp. 255-262, 2014.</w:t>
      </w:r>
    </w:p>
    <w:p w:rsidR="00161812" w:rsidRPr="00D07AE4" w:rsidRDefault="00161812" w:rsidP="001C1559">
      <w:pPr>
        <w:pStyle w:val="References0"/>
        <w:numPr>
          <w:ilvl w:val="0"/>
          <w:numId w:val="32"/>
        </w:numPr>
        <w:spacing w:before="0"/>
        <w:contextualSpacing w:val="0"/>
        <w:jc w:val="both"/>
        <w:rPr>
          <w:sz w:val="22"/>
          <w:szCs w:val="22"/>
        </w:rPr>
      </w:pPr>
      <w:r w:rsidRPr="00D07AE4">
        <w:rPr>
          <w:sz w:val="22"/>
          <w:szCs w:val="22"/>
        </w:rPr>
        <w:t xml:space="preserve">Chenglong Lin, Gaosheng Li, Peiguo Liu, Yujian Qin and Yi Huang, “A Hybrid Antenna with Solid and Liquid Materials,” </w:t>
      </w:r>
      <w:r w:rsidRPr="00D07AE4">
        <w:rPr>
          <w:i/>
          <w:sz w:val="22"/>
          <w:szCs w:val="22"/>
        </w:rPr>
        <w:t>International Symposium on Antennas and Propagation</w:t>
      </w:r>
      <w:r w:rsidRPr="00D07AE4">
        <w:rPr>
          <w:sz w:val="22"/>
          <w:szCs w:val="22"/>
        </w:rPr>
        <w:t>, Okinawa, Japan, Oct.</w:t>
      </w:r>
      <w:r w:rsidRPr="00D07AE4">
        <w:rPr>
          <w:noProof/>
          <w:sz w:val="22"/>
          <w:szCs w:val="22"/>
        </w:rPr>
        <w:t>,</w:t>
      </w:r>
      <w:r w:rsidRPr="00D07AE4">
        <w:rPr>
          <w:sz w:val="22"/>
          <w:szCs w:val="22"/>
        </w:rPr>
        <w:t xml:space="preserve"> 2016.</w:t>
      </w:r>
    </w:p>
    <w:p w:rsidR="00161812" w:rsidRPr="00D07AE4" w:rsidRDefault="00161812" w:rsidP="001C1559">
      <w:pPr>
        <w:pStyle w:val="References0"/>
        <w:numPr>
          <w:ilvl w:val="0"/>
          <w:numId w:val="32"/>
        </w:numPr>
        <w:spacing w:before="0"/>
        <w:contextualSpacing w:val="0"/>
        <w:jc w:val="both"/>
        <w:rPr>
          <w:sz w:val="22"/>
          <w:szCs w:val="22"/>
        </w:rPr>
      </w:pPr>
      <w:r w:rsidRPr="00D07AE4">
        <w:rPr>
          <w:noProof/>
          <w:sz w:val="22"/>
          <w:szCs w:val="22"/>
        </w:rPr>
        <w:t>Jiangzhi</w:t>
      </w:r>
      <w:r w:rsidRPr="00D07AE4">
        <w:rPr>
          <w:sz w:val="22"/>
          <w:szCs w:val="22"/>
        </w:rPr>
        <w:t xml:space="preserve"> Hao, Donovan E. Brocker, Peter E. Sieber, and Douglas H. Werner, “A Compact, Low-Profile Metasurface-Enabled Antenna for Wearable Medical Body-Area Network Devices,” </w:t>
      </w:r>
      <w:r w:rsidRPr="00D07AE4">
        <w:rPr>
          <w:i/>
          <w:sz w:val="22"/>
          <w:szCs w:val="22"/>
        </w:rPr>
        <w:t>IEEE Trans</w:t>
      </w:r>
      <w:r w:rsidR="00A31F99" w:rsidRPr="00D07AE4">
        <w:rPr>
          <w:i/>
          <w:sz w:val="22"/>
          <w:szCs w:val="22"/>
        </w:rPr>
        <w:t xml:space="preserve">actions </w:t>
      </w:r>
      <w:r w:rsidRPr="00D07AE4">
        <w:rPr>
          <w:i/>
          <w:sz w:val="22"/>
          <w:szCs w:val="22"/>
        </w:rPr>
        <w:t>Antennas and Propa</w:t>
      </w:r>
      <w:r w:rsidR="00A31F99" w:rsidRPr="00D07AE4">
        <w:rPr>
          <w:i/>
          <w:sz w:val="22"/>
          <w:szCs w:val="22"/>
        </w:rPr>
        <w:t>gation</w:t>
      </w:r>
      <w:r w:rsidR="00A31F99" w:rsidRPr="00D07AE4">
        <w:rPr>
          <w:sz w:val="22"/>
          <w:szCs w:val="22"/>
        </w:rPr>
        <w:t xml:space="preserve">, </w:t>
      </w:r>
      <w:r w:rsidRPr="00D07AE4">
        <w:rPr>
          <w:sz w:val="22"/>
          <w:szCs w:val="22"/>
        </w:rPr>
        <w:t>vol. 62, no. 8, pp. 4021</w:t>
      </w:r>
      <w:r w:rsidR="00A31F99" w:rsidRPr="00D07AE4">
        <w:rPr>
          <w:sz w:val="22"/>
          <w:szCs w:val="22"/>
        </w:rPr>
        <w:t>-</w:t>
      </w:r>
      <w:r w:rsidRPr="00D07AE4">
        <w:rPr>
          <w:sz w:val="22"/>
          <w:szCs w:val="22"/>
        </w:rPr>
        <w:t>4030, Aug</w:t>
      </w:r>
      <w:r w:rsidR="00A31F99" w:rsidRPr="00D07AE4">
        <w:rPr>
          <w:sz w:val="22"/>
          <w:szCs w:val="22"/>
        </w:rPr>
        <w:t>ust</w:t>
      </w:r>
      <w:r w:rsidR="00A31F99" w:rsidRPr="00D07AE4">
        <w:rPr>
          <w:noProof/>
          <w:sz w:val="22"/>
          <w:szCs w:val="22"/>
        </w:rPr>
        <w:t>,</w:t>
      </w:r>
      <w:r w:rsidR="00A31F99" w:rsidRPr="00D07AE4">
        <w:rPr>
          <w:sz w:val="22"/>
          <w:szCs w:val="22"/>
        </w:rPr>
        <w:t xml:space="preserve"> </w:t>
      </w:r>
      <w:r w:rsidRPr="00D07AE4">
        <w:rPr>
          <w:sz w:val="22"/>
          <w:szCs w:val="22"/>
        </w:rPr>
        <w:t>2014.</w:t>
      </w:r>
    </w:p>
    <w:p w:rsidR="00183700" w:rsidRPr="00D07AE4" w:rsidRDefault="00183700" w:rsidP="001C1559">
      <w:pPr>
        <w:pStyle w:val="References0"/>
        <w:numPr>
          <w:ilvl w:val="0"/>
          <w:numId w:val="32"/>
        </w:numPr>
        <w:spacing w:before="0"/>
        <w:contextualSpacing w:val="0"/>
        <w:jc w:val="both"/>
        <w:rPr>
          <w:sz w:val="22"/>
          <w:szCs w:val="22"/>
        </w:rPr>
      </w:pPr>
      <w:r w:rsidRPr="00D07AE4">
        <w:rPr>
          <w:rFonts w:hint="eastAsia"/>
          <w:sz w:val="22"/>
          <w:szCs w:val="22"/>
          <w:lang w:eastAsia="zh-CN"/>
        </w:rPr>
        <w:t>D</w:t>
      </w:r>
      <w:r w:rsidRPr="00D07AE4">
        <w:rPr>
          <w:sz w:val="22"/>
          <w:szCs w:val="22"/>
          <w:lang w:eastAsia="zh-CN"/>
        </w:rPr>
        <w:t>eepak Kumar Rout, Susmita Das, “</w:t>
      </w:r>
      <w:r w:rsidRPr="00D07AE4">
        <w:rPr>
          <w:sz w:val="22"/>
          <w:szCs w:val="22"/>
        </w:rPr>
        <w:t>Narrowband Interference Mitigation in Body Surface to External Communication in Ultra-wide-band Body-area Network using First Order Hermite Pulse</w:t>
      </w:r>
      <w:r w:rsidRPr="00D07AE4">
        <w:rPr>
          <w:sz w:val="22"/>
          <w:szCs w:val="22"/>
          <w:lang w:eastAsia="zh-CN"/>
        </w:rPr>
        <w:t xml:space="preserve">”, </w:t>
      </w:r>
      <w:r w:rsidRPr="00D07AE4">
        <w:rPr>
          <w:i/>
          <w:sz w:val="22"/>
          <w:szCs w:val="22"/>
          <w:lang w:eastAsia="zh-CN"/>
        </w:rPr>
        <w:t>International Journal of Electronics</w:t>
      </w:r>
      <w:r w:rsidRPr="00D07AE4">
        <w:rPr>
          <w:sz w:val="22"/>
          <w:szCs w:val="22"/>
          <w:lang w:eastAsia="zh-CN"/>
        </w:rPr>
        <w:t>, Vol. 103, No. 6</w:t>
      </w:r>
      <w:r w:rsidR="00363788" w:rsidRPr="00D07AE4">
        <w:rPr>
          <w:sz w:val="22"/>
          <w:szCs w:val="22"/>
          <w:lang w:eastAsia="zh-CN"/>
        </w:rPr>
        <w:t>, 2016, pp. 985-1001.</w:t>
      </w:r>
    </w:p>
    <w:p w:rsidR="00396E3A" w:rsidRPr="00D07AE4" w:rsidRDefault="00396E3A" w:rsidP="001C1559">
      <w:pPr>
        <w:pStyle w:val="References0"/>
        <w:numPr>
          <w:ilvl w:val="0"/>
          <w:numId w:val="32"/>
        </w:numPr>
        <w:spacing w:before="0"/>
        <w:contextualSpacing w:val="0"/>
        <w:jc w:val="both"/>
        <w:rPr>
          <w:sz w:val="22"/>
          <w:szCs w:val="22"/>
        </w:rPr>
      </w:pPr>
      <w:r w:rsidRPr="00D07AE4">
        <w:rPr>
          <w:sz w:val="22"/>
          <w:szCs w:val="22"/>
        </w:rPr>
        <w:t xml:space="preserve">Haipeng Wang, Aiwen Guo, Yuxuan Zhou, Yang Xia, etc., “A Wireless Wearable Surface Functional Electrical Stimulator”, </w:t>
      </w:r>
      <w:r w:rsidRPr="00D07AE4">
        <w:rPr>
          <w:i/>
          <w:sz w:val="22"/>
          <w:szCs w:val="22"/>
          <w:lang w:eastAsia="zh-CN"/>
        </w:rPr>
        <w:t>International Journal of Electronics</w:t>
      </w:r>
      <w:r w:rsidRPr="00D07AE4">
        <w:rPr>
          <w:sz w:val="22"/>
          <w:szCs w:val="22"/>
          <w:lang w:eastAsia="zh-CN"/>
        </w:rPr>
        <w:t>, Vol. 104, No. 9, 2017, pp. 1514-1526.</w:t>
      </w:r>
    </w:p>
    <w:p w:rsidR="00161812" w:rsidRPr="00D07AE4" w:rsidRDefault="00161812" w:rsidP="001C1559">
      <w:pPr>
        <w:pStyle w:val="References0"/>
        <w:numPr>
          <w:ilvl w:val="0"/>
          <w:numId w:val="32"/>
        </w:numPr>
        <w:spacing w:before="0"/>
        <w:contextualSpacing w:val="0"/>
        <w:jc w:val="both"/>
        <w:rPr>
          <w:sz w:val="22"/>
          <w:szCs w:val="22"/>
        </w:rPr>
      </w:pPr>
      <w:r w:rsidRPr="00D07AE4">
        <w:rPr>
          <w:sz w:val="22"/>
          <w:szCs w:val="22"/>
        </w:rPr>
        <w:t xml:space="preserve">Jinpil Tak, and Jaehoon Choi, “An All-Textile Louis Vuitton Logo Antenna,” </w:t>
      </w:r>
      <w:r w:rsidRPr="00D07AE4">
        <w:rPr>
          <w:i/>
          <w:iCs/>
          <w:sz w:val="22"/>
          <w:szCs w:val="22"/>
        </w:rPr>
        <w:t xml:space="preserve">IEEE Antennas and Wireless </w:t>
      </w:r>
      <w:r w:rsidRPr="00D07AE4">
        <w:rPr>
          <w:i/>
          <w:iCs/>
          <w:noProof/>
          <w:sz w:val="22"/>
          <w:szCs w:val="22"/>
        </w:rPr>
        <w:t>Propa</w:t>
      </w:r>
      <w:r w:rsidR="00A31F99" w:rsidRPr="00D07AE4">
        <w:rPr>
          <w:i/>
          <w:iCs/>
          <w:sz w:val="22"/>
          <w:szCs w:val="22"/>
        </w:rPr>
        <w:t xml:space="preserve">gation </w:t>
      </w:r>
      <w:r w:rsidRPr="00D07AE4">
        <w:rPr>
          <w:i/>
          <w:iCs/>
          <w:sz w:val="22"/>
          <w:szCs w:val="22"/>
        </w:rPr>
        <w:t>Letters</w:t>
      </w:r>
      <w:r w:rsidRPr="00D07AE4">
        <w:rPr>
          <w:sz w:val="22"/>
          <w:szCs w:val="22"/>
        </w:rPr>
        <w:t xml:space="preserve">, vol. </w:t>
      </w:r>
      <w:r w:rsidRPr="00D07AE4">
        <w:rPr>
          <w:i/>
          <w:iCs/>
          <w:sz w:val="22"/>
          <w:szCs w:val="22"/>
        </w:rPr>
        <w:t xml:space="preserve">14, </w:t>
      </w:r>
      <w:r w:rsidRPr="00D07AE4">
        <w:rPr>
          <w:sz w:val="22"/>
          <w:szCs w:val="22"/>
        </w:rPr>
        <w:t xml:space="preserve">no. </w:t>
      </w:r>
      <w:r w:rsidRPr="00D07AE4">
        <w:rPr>
          <w:i/>
          <w:iCs/>
          <w:sz w:val="22"/>
          <w:szCs w:val="22"/>
        </w:rPr>
        <w:t xml:space="preserve">2, </w:t>
      </w:r>
      <w:r w:rsidRPr="00D07AE4">
        <w:rPr>
          <w:sz w:val="22"/>
          <w:szCs w:val="22"/>
        </w:rPr>
        <w:t>pp</w:t>
      </w:r>
      <w:r w:rsidRPr="00D07AE4">
        <w:rPr>
          <w:i/>
          <w:iCs/>
          <w:sz w:val="22"/>
          <w:szCs w:val="22"/>
        </w:rPr>
        <w:t xml:space="preserve">. 1211-1214, </w:t>
      </w:r>
      <w:r w:rsidRPr="00D07AE4">
        <w:rPr>
          <w:sz w:val="22"/>
          <w:szCs w:val="22"/>
        </w:rPr>
        <w:t>Feb.</w:t>
      </w:r>
      <w:r w:rsidRPr="00D07AE4">
        <w:rPr>
          <w:noProof/>
          <w:sz w:val="22"/>
          <w:szCs w:val="22"/>
        </w:rPr>
        <w:t>,</w:t>
      </w:r>
      <w:r w:rsidRPr="00D07AE4">
        <w:rPr>
          <w:sz w:val="22"/>
          <w:szCs w:val="22"/>
        </w:rPr>
        <w:t xml:space="preserve"> 2015.</w:t>
      </w:r>
    </w:p>
    <w:p w:rsidR="00161812" w:rsidRPr="00D07AE4" w:rsidRDefault="00161812" w:rsidP="001C1559">
      <w:pPr>
        <w:pStyle w:val="References0"/>
        <w:numPr>
          <w:ilvl w:val="0"/>
          <w:numId w:val="32"/>
        </w:numPr>
        <w:spacing w:before="0"/>
        <w:contextualSpacing w:val="0"/>
        <w:jc w:val="both"/>
        <w:rPr>
          <w:sz w:val="22"/>
          <w:szCs w:val="22"/>
        </w:rPr>
      </w:pPr>
      <w:r w:rsidRPr="00D07AE4">
        <w:rPr>
          <w:sz w:val="22"/>
          <w:szCs w:val="22"/>
        </w:rPr>
        <w:t xml:space="preserve">M. M. Mansor, S. K. A. Rahim, and U. Hashim, “A CPW-fed 2.45 GHz Wearable Antenna Using Conductive Nanomaterials for On-Body Applications,” </w:t>
      </w:r>
      <w:r w:rsidRPr="00D07AE4">
        <w:rPr>
          <w:i/>
          <w:iCs/>
          <w:sz w:val="22"/>
          <w:szCs w:val="22"/>
        </w:rPr>
        <w:t>IEEE Region 10 Symposium</w:t>
      </w:r>
      <w:r w:rsidRPr="00D07AE4">
        <w:rPr>
          <w:sz w:val="22"/>
          <w:szCs w:val="22"/>
        </w:rPr>
        <w:t xml:space="preserve">, Kuala Lumpur, Malaysia, 2014, pp. </w:t>
      </w:r>
      <w:r w:rsidRPr="00D07AE4">
        <w:rPr>
          <w:iCs/>
          <w:sz w:val="22"/>
          <w:szCs w:val="22"/>
        </w:rPr>
        <w:t>240-243.</w:t>
      </w:r>
    </w:p>
    <w:p w:rsidR="00391203" w:rsidRPr="00D07AE4" w:rsidRDefault="00391203" w:rsidP="001C1559">
      <w:pPr>
        <w:pStyle w:val="References0"/>
        <w:numPr>
          <w:ilvl w:val="0"/>
          <w:numId w:val="32"/>
        </w:numPr>
        <w:spacing w:before="0"/>
        <w:contextualSpacing w:val="0"/>
        <w:jc w:val="both"/>
        <w:rPr>
          <w:sz w:val="22"/>
          <w:szCs w:val="22"/>
        </w:rPr>
      </w:pPr>
      <w:r w:rsidRPr="00D07AE4">
        <w:rPr>
          <w:sz w:val="22"/>
          <w:szCs w:val="22"/>
        </w:rPr>
        <w:t xml:space="preserve">R. P. Singh, R. N. Singh, “Helical Antenna for Satellite Transmission”, </w:t>
      </w:r>
      <w:r w:rsidRPr="00D07AE4">
        <w:rPr>
          <w:i/>
          <w:sz w:val="22"/>
          <w:szCs w:val="22"/>
          <w:lang w:eastAsia="zh-CN"/>
        </w:rPr>
        <w:t>International Journal of Electronics</w:t>
      </w:r>
      <w:r w:rsidRPr="00D07AE4">
        <w:rPr>
          <w:sz w:val="22"/>
          <w:szCs w:val="22"/>
          <w:lang w:eastAsia="zh-CN"/>
        </w:rPr>
        <w:t>, Vol. 34, No. 5, 1973, pp. 601-607.</w:t>
      </w:r>
    </w:p>
    <w:p w:rsidR="00243976" w:rsidRPr="00D07AE4" w:rsidRDefault="00243976" w:rsidP="001C1559">
      <w:pPr>
        <w:pStyle w:val="References0"/>
        <w:numPr>
          <w:ilvl w:val="0"/>
          <w:numId w:val="32"/>
        </w:numPr>
        <w:spacing w:before="0"/>
        <w:contextualSpacing w:val="0"/>
        <w:jc w:val="both"/>
        <w:rPr>
          <w:sz w:val="22"/>
          <w:szCs w:val="22"/>
        </w:rPr>
      </w:pPr>
      <w:r w:rsidRPr="00D07AE4">
        <w:rPr>
          <w:iCs/>
          <w:sz w:val="22"/>
          <w:szCs w:val="22"/>
        </w:rPr>
        <w:t xml:space="preserve">Zaiping Nie, </w:t>
      </w:r>
      <w:r w:rsidR="00396E3A" w:rsidRPr="00D07AE4">
        <w:rPr>
          <w:iCs/>
          <w:sz w:val="22"/>
          <w:szCs w:val="22"/>
        </w:rPr>
        <w:t>“</w:t>
      </w:r>
      <w:r w:rsidRPr="00D07AE4">
        <w:rPr>
          <w:iCs/>
          <w:sz w:val="22"/>
          <w:szCs w:val="22"/>
        </w:rPr>
        <w:t>Antenna Engineering Handbook</w:t>
      </w:r>
      <w:r w:rsidR="00396E3A" w:rsidRPr="00D07AE4">
        <w:rPr>
          <w:iCs/>
          <w:sz w:val="22"/>
          <w:szCs w:val="22"/>
        </w:rPr>
        <w:t>”</w:t>
      </w:r>
      <w:r w:rsidRPr="00D07AE4">
        <w:rPr>
          <w:iCs/>
          <w:sz w:val="22"/>
          <w:szCs w:val="22"/>
        </w:rPr>
        <w:t xml:space="preserve">, Chengdu: </w:t>
      </w:r>
      <w:r w:rsidRPr="00D07AE4">
        <w:rPr>
          <w:i/>
          <w:iCs/>
          <w:sz w:val="22"/>
          <w:szCs w:val="22"/>
        </w:rPr>
        <w:t>Press of the University of Electronic Science and Technology of China</w:t>
      </w:r>
      <w:r w:rsidRPr="00D07AE4">
        <w:rPr>
          <w:iCs/>
          <w:sz w:val="22"/>
          <w:szCs w:val="22"/>
        </w:rPr>
        <w:t>. July, 2014, pp. 918-919.</w:t>
      </w:r>
    </w:p>
    <w:p w:rsidR="00264D03" w:rsidRPr="00D07AE4" w:rsidRDefault="00264D03" w:rsidP="001C1559">
      <w:pPr>
        <w:pStyle w:val="Newparagraph"/>
        <w:spacing w:line="360" w:lineRule="auto"/>
        <w:ind w:firstLine="0"/>
        <w:jc w:val="both"/>
        <w:rPr>
          <w:sz w:val="22"/>
          <w:szCs w:val="22"/>
        </w:rPr>
      </w:pPr>
    </w:p>
    <w:sectPr w:rsidR="00264D03" w:rsidRPr="00D07AE4" w:rsidSect="008408A3">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79E" w:rsidRDefault="009A479E" w:rsidP="00AF2C92">
      <w:r>
        <w:separator/>
      </w:r>
    </w:p>
  </w:endnote>
  <w:endnote w:type="continuationSeparator" w:id="0">
    <w:p w:rsidR="009A479E" w:rsidRDefault="009A479E"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79E" w:rsidRDefault="009A479E" w:rsidP="00AF2C92">
      <w:r>
        <w:separator/>
      </w:r>
    </w:p>
  </w:footnote>
  <w:footnote w:type="continuationSeparator" w:id="0">
    <w:p w:rsidR="009A479E" w:rsidRDefault="009A479E" w:rsidP="00AF2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BB1021"/>
    <w:multiLevelType w:val="hybridMultilevel"/>
    <w:tmpl w:val="D9DC5468"/>
    <w:lvl w:ilvl="0" w:tplc="33ACD7D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1F756F8"/>
    <w:multiLevelType w:val="hybridMultilevel"/>
    <w:tmpl w:val="0174F754"/>
    <w:lvl w:ilvl="0" w:tplc="675CD60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85C0E80"/>
    <w:multiLevelType w:val="hybridMultilevel"/>
    <w:tmpl w:val="1D883836"/>
    <w:lvl w:ilvl="0" w:tplc="8AF8F442">
      <w:start w:val="1"/>
      <w:numFmt w:val="lowerLetter"/>
      <w:lvlText w:val="(%1)"/>
      <w:lvlJc w:val="left"/>
      <w:pPr>
        <w:ind w:left="1920" w:hanging="360"/>
      </w:pPr>
      <w:rPr>
        <w:rFonts w:hint="default"/>
      </w:rPr>
    </w:lvl>
    <w:lvl w:ilvl="1" w:tplc="04090019" w:tentative="1">
      <w:start w:val="1"/>
      <w:numFmt w:val="lowerLetter"/>
      <w:lvlText w:val="%2)"/>
      <w:lvlJc w:val="left"/>
      <w:pPr>
        <w:ind w:left="2400" w:hanging="420"/>
      </w:pPr>
    </w:lvl>
    <w:lvl w:ilvl="2" w:tplc="0409001B" w:tentative="1">
      <w:start w:val="1"/>
      <w:numFmt w:val="lowerRoman"/>
      <w:lvlText w:val="%3."/>
      <w:lvlJc w:val="right"/>
      <w:pPr>
        <w:ind w:left="2820" w:hanging="420"/>
      </w:pPr>
    </w:lvl>
    <w:lvl w:ilvl="3" w:tplc="0409000F" w:tentative="1">
      <w:start w:val="1"/>
      <w:numFmt w:val="decimal"/>
      <w:lvlText w:val="%4."/>
      <w:lvlJc w:val="left"/>
      <w:pPr>
        <w:ind w:left="3240" w:hanging="420"/>
      </w:pPr>
    </w:lvl>
    <w:lvl w:ilvl="4" w:tplc="04090019" w:tentative="1">
      <w:start w:val="1"/>
      <w:numFmt w:val="lowerLetter"/>
      <w:lvlText w:val="%5)"/>
      <w:lvlJc w:val="left"/>
      <w:pPr>
        <w:ind w:left="3660" w:hanging="420"/>
      </w:pPr>
    </w:lvl>
    <w:lvl w:ilvl="5" w:tplc="0409001B" w:tentative="1">
      <w:start w:val="1"/>
      <w:numFmt w:val="lowerRoman"/>
      <w:lvlText w:val="%6."/>
      <w:lvlJc w:val="right"/>
      <w:pPr>
        <w:ind w:left="4080" w:hanging="420"/>
      </w:pPr>
    </w:lvl>
    <w:lvl w:ilvl="6" w:tplc="0409000F" w:tentative="1">
      <w:start w:val="1"/>
      <w:numFmt w:val="decimal"/>
      <w:lvlText w:val="%7."/>
      <w:lvlJc w:val="left"/>
      <w:pPr>
        <w:ind w:left="4500" w:hanging="420"/>
      </w:pPr>
    </w:lvl>
    <w:lvl w:ilvl="7" w:tplc="04090019" w:tentative="1">
      <w:start w:val="1"/>
      <w:numFmt w:val="lowerLetter"/>
      <w:lvlText w:val="%8)"/>
      <w:lvlJc w:val="left"/>
      <w:pPr>
        <w:ind w:left="4920" w:hanging="420"/>
      </w:pPr>
    </w:lvl>
    <w:lvl w:ilvl="8" w:tplc="0409001B" w:tentative="1">
      <w:start w:val="1"/>
      <w:numFmt w:val="lowerRoman"/>
      <w:lvlText w:val="%9."/>
      <w:lvlJc w:val="right"/>
      <w:pPr>
        <w:ind w:left="5340" w:hanging="420"/>
      </w:pPr>
    </w:lvl>
  </w:abstractNum>
  <w:abstractNum w:abstractNumId="19"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877D64"/>
    <w:multiLevelType w:val="singleLevel"/>
    <w:tmpl w:val="A036E3BC"/>
    <w:lvl w:ilvl="0">
      <w:start w:val="1"/>
      <w:numFmt w:val="decimal"/>
      <w:lvlText w:val="[%1]"/>
      <w:lvlJc w:val="left"/>
      <w:pPr>
        <w:tabs>
          <w:tab w:val="num" w:pos="360"/>
        </w:tabs>
        <w:ind w:left="360" w:hanging="360"/>
      </w:pPr>
      <w:rPr>
        <w:i w:val="0"/>
      </w:rPr>
    </w:lvl>
  </w:abstractNum>
  <w:abstractNum w:abstractNumId="21" w15:restartNumberingAfterBreak="0">
    <w:nsid w:val="3C025ECA"/>
    <w:multiLevelType w:val="hybridMultilevel"/>
    <w:tmpl w:val="E2EAE89C"/>
    <w:lvl w:ilvl="0" w:tplc="500A10F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187687"/>
    <w:multiLevelType w:val="hybridMultilevel"/>
    <w:tmpl w:val="E990E4AC"/>
    <w:lvl w:ilvl="0" w:tplc="26003EFE">
      <w:start w:val="1"/>
      <w:numFmt w:val="lowerLetter"/>
      <w:lvlText w:val="(%1)"/>
      <w:lvlJc w:val="left"/>
      <w:pPr>
        <w:ind w:left="2020" w:hanging="360"/>
      </w:pPr>
      <w:rPr>
        <w:rFonts w:hint="default"/>
      </w:rPr>
    </w:lvl>
    <w:lvl w:ilvl="1" w:tplc="04090019" w:tentative="1">
      <w:start w:val="1"/>
      <w:numFmt w:val="lowerLetter"/>
      <w:lvlText w:val="%2)"/>
      <w:lvlJc w:val="left"/>
      <w:pPr>
        <w:ind w:left="2500" w:hanging="420"/>
      </w:pPr>
    </w:lvl>
    <w:lvl w:ilvl="2" w:tplc="0409001B" w:tentative="1">
      <w:start w:val="1"/>
      <w:numFmt w:val="lowerRoman"/>
      <w:lvlText w:val="%3."/>
      <w:lvlJc w:val="right"/>
      <w:pPr>
        <w:ind w:left="2920" w:hanging="420"/>
      </w:pPr>
    </w:lvl>
    <w:lvl w:ilvl="3" w:tplc="0409000F" w:tentative="1">
      <w:start w:val="1"/>
      <w:numFmt w:val="decimal"/>
      <w:lvlText w:val="%4."/>
      <w:lvlJc w:val="left"/>
      <w:pPr>
        <w:ind w:left="3340" w:hanging="420"/>
      </w:pPr>
    </w:lvl>
    <w:lvl w:ilvl="4" w:tplc="04090019" w:tentative="1">
      <w:start w:val="1"/>
      <w:numFmt w:val="lowerLetter"/>
      <w:lvlText w:val="%5)"/>
      <w:lvlJc w:val="left"/>
      <w:pPr>
        <w:ind w:left="3760" w:hanging="420"/>
      </w:pPr>
    </w:lvl>
    <w:lvl w:ilvl="5" w:tplc="0409001B" w:tentative="1">
      <w:start w:val="1"/>
      <w:numFmt w:val="lowerRoman"/>
      <w:lvlText w:val="%6."/>
      <w:lvlJc w:val="right"/>
      <w:pPr>
        <w:ind w:left="4180" w:hanging="420"/>
      </w:pPr>
    </w:lvl>
    <w:lvl w:ilvl="6" w:tplc="0409000F" w:tentative="1">
      <w:start w:val="1"/>
      <w:numFmt w:val="decimal"/>
      <w:lvlText w:val="%7."/>
      <w:lvlJc w:val="left"/>
      <w:pPr>
        <w:ind w:left="4600" w:hanging="420"/>
      </w:pPr>
    </w:lvl>
    <w:lvl w:ilvl="7" w:tplc="04090019" w:tentative="1">
      <w:start w:val="1"/>
      <w:numFmt w:val="lowerLetter"/>
      <w:lvlText w:val="%8)"/>
      <w:lvlJc w:val="left"/>
      <w:pPr>
        <w:ind w:left="5020" w:hanging="420"/>
      </w:pPr>
    </w:lvl>
    <w:lvl w:ilvl="8" w:tplc="0409001B" w:tentative="1">
      <w:start w:val="1"/>
      <w:numFmt w:val="lowerRoman"/>
      <w:lvlText w:val="%9."/>
      <w:lvlJc w:val="right"/>
      <w:pPr>
        <w:ind w:left="5440" w:hanging="420"/>
      </w:pPr>
    </w:lvl>
  </w:abstractNum>
  <w:abstractNum w:abstractNumId="30"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A30AAE"/>
    <w:multiLevelType w:val="hybridMultilevel"/>
    <w:tmpl w:val="03644C70"/>
    <w:lvl w:ilvl="0" w:tplc="BA9A5A4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25"/>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2"/>
  </w:num>
  <w:num w:numId="14">
    <w:abstractNumId w:val="26"/>
  </w:num>
  <w:num w:numId="15">
    <w:abstractNumId w:val="16"/>
  </w:num>
  <w:num w:numId="16">
    <w:abstractNumId w:val="19"/>
  </w:num>
  <w:num w:numId="17">
    <w:abstractNumId w:val="12"/>
  </w:num>
  <w:num w:numId="18">
    <w:abstractNumId w:val="0"/>
  </w:num>
  <w:num w:numId="19">
    <w:abstractNumId w:val="13"/>
  </w:num>
  <w:num w:numId="20">
    <w:abstractNumId w:val="26"/>
  </w:num>
  <w:num w:numId="21">
    <w:abstractNumId w:val="26"/>
  </w:num>
  <w:num w:numId="22">
    <w:abstractNumId w:val="26"/>
  </w:num>
  <w:num w:numId="23">
    <w:abstractNumId w:val="26"/>
  </w:num>
  <w:num w:numId="24">
    <w:abstractNumId w:val="22"/>
  </w:num>
  <w:num w:numId="25">
    <w:abstractNumId w:val="23"/>
  </w:num>
  <w:num w:numId="26">
    <w:abstractNumId w:val="27"/>
  </w:num>
  <w:num w:numId="27">
    <w:abstractNumId w:val="28"/>
  </w:num>
  <w:num w:numId="28">
    <w:abstractNumId w:val="26"/>
  </w:num>
  <w:num w:numId="29">
    <w:abstractNumId w:val="15"/>
  </w:num>
  <w:num w:numId="30">
    <w:abstractNumId w:val="30"/>
  </w:num>
  <w:num w:numId="31">
    <w:abstractNumId w:val="24"/>
  </w:num>
  <w:num w:numId="32">
    <w:abstractNumId w:val="20"/>
  </w:num>
  <w:num w:numId="33">
    <w:abstractNumId w:val="11"/>
  </w:num>
  <w:num w:numId="34">
    <w:abstractNumId w:val="14"/>
  </w:num>
  <w:num w:numId="35">
    <w:abstractNumId w:val="21"/>
  </w:num>
  <w:num w:numId="36">
    <w:abstractNumId w:val="18"/>
  </w:num>
  <w:num w:numId="37">
    <w:abstractNumId w:val="31"/>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YwtTAxNLcwNzAyMLZU0lEKTi0uzszPAykwqQUA/mXbdywAAAA="/>
  </w:docVars>
  <w:rsids>
    <w:rsidRoot w:val="00BC0698"/>
    <w:rsid w:val="00001899"/>
    <w:rsid w:val="000049AD"/>
    <w:rsid w:val="0000681B"/>
    <w:rsid w:val="000133C0"/>
    <w:rsid w:val="00014C4E"/>
    <w:rsid w:val="00017107"/>
    <w:rsid w:val="000202E2"/>
    <w:rsid w:val="00022441"/>
    <w:rsid w:val="0002261E"/>
    <w:rsid w:val="00024839"/>
    <w:rsid w:val="00026871"/>
    <w:rsid w:val="00027C46"/>
    <w:rsid w:val="00030A06"/>
    <w:rsid w:val="00037A98"/>
    <w:rsid w:val="000427FB"/>
    <w:rsid w:val="0004455E"/>
    <w:rsid w:val="00047CB5"/>
    <w:rsid w:val="00051FAA"/>
    <w:rsid w:val="000572A9"/>
    <w:rsid w:val="00060CA7"/>
    <w:rsid w:val="00061325"/>
    <w:rsid w:val="0006681F"/>
    <w:rsid w:val="000733AC"/>
    <w:rsid w:val="00074B81"/>
    <w:rsid w:val="00074D22"/>
    <w:rsid w:val="00075081"/>
    <w:rsid w:val="0007528A"/>
    <w:rsid w:val="00077E3A"/>
    <w:rsid w:val="00080899"/>
    <w:rsid w:val="000811AB"/>
    <w:rsid w:val="00083C5F"/>
    <w:rsid w:val="0009172C"/>
    <w:rsid w:val="000930EC"/>
    <w:rsid w:val="00095E61"/>
    <w:rsid w:val="000966C1"/>
    <w:rsid w:val="000970AC"/>
    <w:rsid w:val="000A10BC"/>
    <w:rsid w:val="000A1167"/>
    <w:rsid w:val="000A4428"/>
    <w:rsid w:val="000A6D40"/>
    <w:rsid w:val="000A7BC3"/>
    <w:rsid w:val="000B1661"/>
    <w:rsid w:val="000B2E88"/>
    <w:rsid w:val="000B4603"/>
    <w:rsid w:val="000C09BE"/>
    <w:rsid w:val="000C1380"/>
    <w:rsid w:val="000C554F"/>
    <w:rsid w:val="000C711D"/>
    <w:rsid w:val="000D0DC5"/>
    <w:rsid w:val="000D15FF"/>
    <w:rsid w:val="000D24E3"/>
    <w:rsid w:val="000D28DF"/>
    <w:rsid w:val="000D488B"/>
    <w:rsid w:val="000D68DF"/>
    <w:rsid w:val="000E138D"/>
    <w:rsid w:val="000E187A"/>
    <w:rsid w:val="000E2D61"/>
    <w:rsid w:val="000E450E"/>
    <w:rsid w:val="000E6259"/>
    <w:rsid w:val="000F03C7"/>
    <w:rsid w:val="000F4677"/>
    <w:rsid w:val="000F5BE0"/>
    <w:rsid w:val="00100587"/>
    <w:rsid w:val="0010284E"/>
    <w:rsid w:val="00103122"/>
    <w:rsid w:val="0010336A"/>
    <w:rsid w:val="001050F1"/>
    <w:rsid w:val="00105AEA"/>
    <w:rsid w:val="00106DAF"/>
    <w:rsid w:val="00110772"/>
    <w:rsid w:val="00114ABE"/>
    <w:rsid w:val="00116023"/>
    <w:rsid w:val="00134A51"/>
    <w:rsid w:val="00140727"/>
    <w:rsid w:val="00140919"/>
    <w:rsid w:val="00144F56"/>
    <w:rsid w:val="00160628"/>
    <w:rsid w:val="00161344"/>
    <w:rsid w:val="00161812"/>
    <w:rsid w:val="00162195"/>
    <w:rsid w:val="0016322A"/>
    <w:rsid w:val="00165A21"/>
    <w:rsid w:val="001705CE"/>
    <w:rsid w:val="0017714B"/>
    <w:rsid w:val="001804DF"/>
    <w:rsid w:val="00181BDC"/>
    <w:rsid w:val="00181DB0"/>
    <w:rsid w:val="001829E3"/>
    <w:rsid w:val="00183700"/>
    <w:rsid w:val="001924C0"/>
    <w:rsid w:val="00196459"/>
    <w:rsid w:val="0019731E"/>
    <w:rsid w:val="001A09FE"/>
    <w:rsid w:val="001A67C9"/>
    <w:rsid w:val="001A69DE"/>
    <w:rsid w:val="001A713C"/>
    <w:rsid w:val="001B1C7C"/>
    <w:rsid w:val="001B398F"/>
    <w:rsid w:val="001B46C6"/>
    <w:rsid w:val="001B4B48"/>
    <w:rsid w:val="001B4D1F"/>
    <w:rsid w:val="001B7681"/>
    <w:rsid w:val="001B7CAE"/>
    <w:rsid w:val="001C0772"/>
    <w:rsid w:val="001C0D02"/>
    <w:rsid w:val="001C0D4F"/>
    <w:rsid w:val="001C1559"/>
    <w:rsid w:val="001C1BA3"/>
    <w:rsid w:val="001C1DEC"/>
    <w:rsid w:val="001C5736"/>
    <w:rsid w:val="001D092E"/>
    <w:rsid w:val="001D42F8"/>
    <w:rsid w:val="001D647F"/>
    <w:rsid w:val="001D6857"/>
    <w:rsid w:val="001E0572"/>
    <w:rsid w:val="001E0A67"/>
    <w:rsid w:val="001E1028"/>
    <w:rsid w:val="001E14E2"/>
    <w:rsid w:val="001E6302"/>
    <w:rsid w:val="001E7DCB"/>
    <w:rsid w:val="001F3411"/>
    <w:rsid w:val="001F4287"/>
    <w:rsid w:val="001F4DBA"/>
    <w:rsid w:val="001F535F"/>
    <w:rsid w:val="0020415E"/>
    <w:rsid w:val="00204FF4"/>
    <w:rsid w:val="00207074"/>
    <w:rsid w:val="0021056E"/>
    <w:rsid w:val="0021075D"/>
    <w:rsid w:val="0021165A"/>
    <w:rsid w:val="00211BC9"/>
    <w:rsid w:val="0021620C"/>
    <w:rsid w:val="00216E78"/>
    <w:rsid w:val="00217275"/>
    <w:rsid w:val="00223674"/>
    <w:rsid w:val="00236F4B"/>
    <w:rsid w:val="00242B0D"/>
    <w:rsid w:val="00243976"/>
    <w:rsid w:val="00245CE3"/>
    <w:rsid w:val="002467C6"/>
    <w:rsid w:val="0024692A"/>
    <w:rsid w:val="002470E1"/>
    <w:rsid w:val="00252BBA"/>
    <w:rsid w:val="00253123"/>
    <w:rsid w:val="002577A5"/>
    <w:rsid w:val="00257974"/>
    <w:rsid w:val="00257B01"/>
    <w:rsid w:val="00264001"/>
    <w:rsid w:val="00264D03"/>
    <w:rsid w:val="00266354"/>
    <w:rsid w:val="00267A18"/>
    <w:rsid w:val="00273462"/>
    <w:rsid w:val="0027395B"/>
    <w:rsid w:val="00275854"/>
    <w:rsid w:val="00283B41"/>
    <w:rsid w:val="00285F28"/>
    <w:rsid w:val="00286398"/>
    <w:rsid w:val="002932D7"/>
    <w:rsid w:val="002A3C42"/>
    <w:rsid w:val="002A5D75"/>
    <w:rsid w:val="002B1B1A"/>
    <w:rsid w:val="002B7228"/>
    <w:rsid w:val="002C53EE"/>
    <w:rsid w:val="002D24F7"/>
    <w:rsid w:val="002D2799"/>
    <w:rsid w:val="002D2CD7"/>
    <w:rsid w:val="002D4DDC"/>
    <w:rsid w:val="002D4F75"/>
    <w:rsid w:val="002D6493"/>
    <w:rsid w:val="002D7A09"/>
    <w:rsid w:val="002D7AB6"/>
    <w:rsid w:val="002E06D0"/>
    <w:rsid w:val="002E3C27"/>
    <w:rsid w:val="002E403A"/>
    <w:rsid w:val="002E7F3A"/>
    <w:rsid w:val="002F4EDB"/>
    <w:rsid w:val="002F6054"/>
    <w:rsid w:val="003148CC"/>
    <w:rsid w:val="00315713"/>
    <w:rsid w:val="0031686C"/>
    <w:rsid w:val="00316FE0"/>
    <w:rsid w:val="003204D2"/>
    <w:rsid w:val="0032605E"/>
    <w:rsid w:val="003275D1"/>
    <w:rsid w:val="00330B2A"/>
    <w:rsid w:val="00331E17"/>
    <w:rsid w:val="00333063"/>
    <w:rsid w:val="003408E3"/>
    <w:rsid w:val="00343480"/>
    <w:rsid w:val="00345E89"/>
    <w:rsid w:val="003522A1"/>
    <w:rsid w:val="0035254B"/>
    <w:rsid w:val="00353555"/>
    <w:rsid w:val="003565D4"/>
    <w:rsid w:val="003607FB"/>
    <w:rsid w:val="00360FD5"/>
    <w:rsid w:val="0036340D"/>
    <w:rsid w:val="003634A5"/>
    <w:rsid w:val="00363788"/>
    <w:rsid w:val="00366868"/>
    <w:rsid w:val="00367506"/>
    <w:rsid w:val="00370085"/>
    <w:rsid w:val="003744A7"/>
    <w:rsid w:val="00376235"/>
    <w:rsid w:val="00376759"/>
    <w:rsid w:val="00381FB6"/>
    <w:rsid w:val="003836D3"/>
    <w:rsid w:val="00383A52"/>
    <w:rsid w:val="00391203"/>
    <w:rsid w:val="00391652"/>
    <w:rsid w:val="0039507F"/>
    <w:rsid w:val="00396E3A"/>
    <w:rsid w:val="003A1260"/>
    <w:rsid w:val="003A295F"/>
    <w:rsid w:val="003A41DD"/>
    <w:rsid w:val="003A7033"/>
    <w:rsid w:val="003B47FE"/>
    <w:rsid w:val="003B55BC"/>
    <w:rsid w:val="003B5673"/>
    <w:rsid w:val="003B62C9"/>
    <w:rsid w:val="003C7176"/>
    <w:rsid w:val="003C7825"/>
    <w:rsid w:val="003D0929"/>
    <w:rsid w:val="003D2C83"/>
    <w:rsid w:val="003D44B4"/>
    <w:rsid w:val="003D4729"/>
    <w:rsid w:val="003D7DD6"/>
    <w:rsid w:val="003E3C0E"/>
    <w:rsid w:val="003E5AAF"/>
    <w:rsid w:val="003E600D"/>
    <w:rsid w:val="003E64DF"/>
    <w:rsid w:val="003E6A5D"/>
    <w:rsid w:val="003F193A"/>
    <w:rsid w:val="003F4207"/>
    <w:rsid w:val="003F5C46"/>
    <w:rsid w:val="003F7CBB"/>
    <w:rsid w:val="003F7D34"/>
    <w:rsid w:val="00405152"/>
    <w:rsid w:val="00412C8E"/>
    <w:rsid w:val="0041518D"/>
    <w:rsid w:val="0042221D"/>
    <w:rsid w:val="00424DD3"/>
    <w:rsid w:val="004269C5"/>
    <w:rsid w:val="00427B11"/>
    <w:rsid w:val="00435939"/>
    <w:rsid w:val="00437CC7"/>
    <w:rsid w:val="00442B9C"/>
    <w:rsid w:val="00445EFA"/>
    <w:rsid w:val="0044738A"/>
    <w:rsid w:val="004473D3"/>
    <w:rsid w:val="00452231"/>
    <w:rsid w:val="00457720"/>
    <w:rsid w:val="00460C13"/>
    <w:rsid w:val="00463228"/>
    <w:rsid w:val="00463782"/>
    <w:rsid w:val="004667E0"/>
    <w:rsid w:val="0046760E"/>
    <w:rsid w:val="00470E10"/>
    <w:rsid w:val="00477A97"/>
    <w:rsid w:val="00481343"/>
    <w:rsid w:val="0048549E"/>
    <w:rsid w:val="00490D12"/>
    <w:rsid w:val="00493347"/>
    <w:rsid w:val="00496092"/>
    <w:rsid w:val="004A08DB"/>
    <w:rsid w:val="004A25D0"/>
    <w:rsid w:val="004A37E8"/>
    <w:rsid w:val="004A7549"/>
    <w:rsid w:val="004B09D4"/>
    <w:rsid w:val="004B309D"/>
    <w:rsid w:val="004B330A"/>
    <w:rsid w:val="004B7C8E"/>
    <w:rsid w:val="004C3D3C"/>
    <w:rsid w:val="004D0EDC"/>
    <w:rsid w:val="004D1220"/>
    <w:rsid w:val="004D14B3"/>
    <w:rsid w:val="004D1529"/>
    <w:rsid w:val="004D2253"/>
    <w:rsid w:val="004D2AE4"/>
    <w:rsid w:val="004D5514"/>
    <w:rsid w:val="004D56C3"/>
    <w:rsid w:val="004E0338"/>
    <w:rsid w:val="004E4C6E"/>
    <w:rsid w:val="004E4FF3"/>
    <w:rsid w:val="004E56A8"/>
    <w:rsid w:val="004F3B55"/>
    <w:rsid w:val="004F4E46"/>
    <w:rsid w:val="004F6B7D"/>
    <w:rsid w:val="0050062B"/>
    <w:rsid w:val="005015F6"/>
    <w:rsid w:val="005030C4"/>
    <w:rsid w:val="005031C5"/>
    <w:rsid w:val="00504FDC"/>
    <w:rsid w:val="005120CC"/>
    <w:rsid w:val="00512B7B"/>
    <w:rsid w:val="00514EA1"/>
    <w:rsid w:val="0051798B"/>
    <w:rsid w:val="00521F5A"/>
    <w:rsid w:val="00525E06"/>
    <w:rsid w:val="00526454"/>
    <w:rsid w:val="00531823"/>
    <w:rsid w:val="00534ECC"/>
    <w:rsid w:val="0053720D"/>
    <w:rsid w:val="00540EF5"/>
    <w:rsid w:val="00541BF3"/>
    <w:rsid w:val="00541CD3"/>
    <w:rsid w:val="00542398"/>
    <w:rsid w:val="005445A7"/>
    <w:rsid w:val="005476FA"/>
    <w:rsid w:val="0055357C"/>
    <w:rsid w:val="0055595E"/>
    <w:rsid w:val="00557988"/>
    <w:rsid w:val="00562C49"/>
    <w:rsid w:val="00562DEF"/>
    <w:rsid w:val="0056321A"/>
    <w:rsid w:val="00563A35"/>
    <w:rsid w:val="00566596"/>
    <w:rsid w:val="005741E9"/>
    <w:rsid w:val="005748CF"/>
    <w:rsid w:val="00584270"/>
    <w:rsid w:val="00584738"/>
    <w:rsid w:val="005920B0"/>
    <w:rsid w:val="0059380D"/>
    <w:rsid w:val="00595A8F"/>
    <w:rsid w:val="005977C2"/>
    <w:rsid w:val="00597BF2"/>
    <w:rsid w:val="005B134E"/>
    <w:rsid w:val="005B2039"/>
    <w:rsid w:val="005B344F"/>
    <w:rsid w:val="005B3FBA"/>
    <w:rsid w:val="005B4A1D"/>
    <w:rsid w:val="005B58FF"/>
    <w:rsid w:val="005B674D"/>
    <w:rsid w:val="005C0CBE"/>
    <w:rsid w:val="005C1FCF"/>
    <w:rsid w:val="005D08F5"/>
    <w:rsid w:val="005D1885"/>
    <w:rsid w:val="005D4A38"/>
    <w:rsid w:val="005E2EEA"/>
    <w:rsid w:val="005E3708"/>
    <w:rsid w:val="005E3CCD"/>
    <w:rsid w:val="005E3D6B"/>
    <w:rsid w:val="005E3F49"/>
    <w:rsid w:val="005E5B55"/>
    <w:rsid w:val="005E5E4A"/>
    <w:rsid w:val="005E693D"/>
    <w:rsid w:val="005E75BF"/>
    <w:rsid w:val="005F1C52"/>
    <w:rsid w:val="005F57BA"/>
    <w:rsid w:val="005F61E6"/>
    <w:rsid w:val="005F6C45"/>
    <w:rsid w:val="00605A69"/>
    <w:rsid w:val="00606C54"/>
    <w:rsid w:val="00614375"/>
    <w:rsid w:val="006158F3"/>
    <w:rsid w:val="00615B0A"/>
    <w:rsid w:val="006168CF"/>
    <w:rsid w:val="0062011B"/>
    <w:rsid w:val="00626DE0"/>
    <w:rsid w:val="00630901"/>
    <w:rsid w:val="00631F8E"/>
    <w:rsid w:val="00636EE9"/>
    <w:rsid w:val="00640950"/>
    <w:rsid w:val="00641AE7"/>
    <w:rsid w:val="00642629"/>
    <w:rsid w:val="00643505"/>
    <w:rsid w:val="0065293D"/>
    <w:rsid w:val="00653EFC"/>
    <w:rsid w:val="00654021"/>
    <w:rsid w:val="00661045"/>
    <w:rsid w:val="00661422"/>
    <w:rsid w:val="00666DA8"/>
    <w:rsid w:val="00671057"/>
    <w:rsid w:val="00675AAF"/>
    <w:rsid w:val="0068031A"/>
    <w:rsid w:val="00681B2F"/>
    <w:rsid w:val="0068335F"/>
    <w:rsid w:val="00687217"/>
    <w:rsid w:val="00692503"/>
    <w:rsid w:val="00693302"/>
    <w:rsid w:val="0069640B"/>
    <w:rsid w:val="006A1B83"/>
    <w:rsid w:val="006A21CD"/>
    <w:rsid w:val="006A5918"/>
    <w:rsid w:val="006B1BA0"/>
    <w:rsid w:val="006B21B2"/>
    <w:rsid w:val="006B4A4A"/>
    <w:rsid w:val="006C19B2"/>
    <w:rsid w:val="006C2954"/>
    <w:rsid w:val="006C5BB8"/>
    <w:rsid w:val="006C6936"/>
    <w:rsid w:val="006C7B01"/>
    <w:rsid w:val="006D0FE8"/>
    <w:rsid w:val="006D4B2B"/>
    <w:rsid w:val="006D4F3C"/>
    <w:rsid w:val="006D5C66"/>
    <w:rsid w:val="006E1B3C"/>
    <w:rsid w:val="006E23FB"/>
    <w:rsid w:val="006E325A"/>
    <w:rsid w:val="006E33EC"/>
    <w:rsid w:val="006E3802"/>
    <w:rsid w:val="006E6B9D"/>
    <w:rsid w:val="006E6C02"/>
    <w:rsid w:val="006F074A"/>
    <w:rsid w:val="006F231A"/>
    <w:rsid w:val="006F6B55"/>
    <w:rsid w:val="006F788D"/>
    <w:rsid w:val="006F78E1"/>
    <w:rsid w:val="00701072"/>
    <w:rsid w:val="00702054"/>
    <w:rsid w:val="007035A4"/>
    <w:rsid w:val="0070743F"/>
    <w:rsid w:val="00711799"/>
    <w:rsid w:val="00712B78"/>
    <w:rsid w:val="0071393B"/>
    <w:rsid w:val="00713EE2"/>
    <w:rsid w:val="007177FC"/>
    <w:rsid w:val="00720C5E"/>
    <w:rsid w:val="00721701"/>
    <w:rsid w:val="007311D4"/>
    <w:rsid w:val="00731835"/>
    <w:rsid w:val="007341F8"/>
    <w:rsid w:val="00734372"/>
    <w:rsid w:val="00734EB8"/>
    <w:rsid w:val="00735F8B"/>
    <w:rsid w:val="007418C0"/>
    <w:rsid w:val="00742D1F"/>
    <w:rsid w:val="00743EBA"/>
    <w:rsid w:val="00744C8E"/>
    <w:rsid w:val="00745F0E"/>
    <w:rsid w:val="0074707E"/>
    <w:rsid w:val="007516DC"/>
    <w:rsid w:val="00754B80"/>
    <w:rsid w:val="00761918"/>
    <w:rsid w:val="00762F03"/>
    <w:rsid w:val="0076413B"/>
    <w:rsid w:val="007648AE"/>
    <w:rsid w:val="00764BF8"/>
    <w:rsid w:val="0076514D"/>
    <w:rsid w:val="00773D59"/>
    <w:rsid w:val="00781003"/>
    <w:rsid w:val="007911FD"/>
    <w:rsid w:val="00793930"/>
    <w:rsid w:val="00793DD1"/>
    <w:rsid w:val="00794FEC"/>
    <w:rsid w:val="007A003E"/>
    <w:rsid w:val="007A1965"/>
    <w:rsid w:val="007A2ED1"/>
    <w:rsid w:val="007A4BE6"/>
    <w:rsid w:val="007B0DC6"/>
    <w:rsid w:val="007B1094"/>
    <w:rsid w:val="007B1762"/>
    <w:rsid w:val="007B3320"/>
    <w:rsid w:val="007B6096"/>
    <w:rsid w:val="007C301F"/>
    <w:rsid w:val="007C4540"/>
    <w:rsid w:val="007C65AF"/>
    <w:rsid w:val="007D135D"/>
    <w:rsid w:val="007D266B"/>
    <w:rsid w:val="007D730F"/>
    <w:rsid w:val="007D7CD8"/>
    <w:rsid w:val="007E3AA7"/>
    <w:rsid w:val="007F3E90"/>
    <w:rsid w:val="007F737D"/>
    <w:rsid w:val="0080308E"/>
    <w:rsid w:val="00805303"/>
    <w:rsid w:val="00806705"/>
    <w:rsid w:val="00806738"/>
    <w:rsid w:val="00806FD9"/>
    <w:rsid w:val="0081182F"/>
    <w:rsid w:val="00817A34"/>
    <w:rsid w:val="008216D5"/>
    <w:rsid w:val="008249CE"/>
    <w:rsid w:val="008269BF"/>
    <w:rsid w:val="00831A50"/>
    <w:rsid w:val="00831B3C"/>
    <w:rsid w:val="00831C89"/>
    <w:rsid w:val="00832114"/>
    <w:rsid w:val="00834C46"/>
    <w:rsid w:val="00835ACD"/>
    <w:rsid w:val="008408A3"/>
    <w:rsid w:val="0084093E"/>
    <w:rsid w:val="00841CE1"/>
    <w:rsid w:val="008473D8"/>
    <w:rsid w:val="008528DC"/>
    <w:rsid w:val="00852B8C"/>
    <w:rsid w:val="00854981"/>
    <w:rsid w:val="00856850"/>
    <w:rsid w:val="008608B1"/>
    <w:rsid w:val="00864B2E"/>
    <w:rsid w:val="00865963"/>
    <w:rsid w:val="00871C1D"/>
    <w:rsid w:val="0087450E"/>
    <w:rsid w:val="00875A82"/>
    <w:rsid w:val="00876CA3"/>
    <w:rsid w:val="008772FE"/>
    <w:rsid w:val="008775F1"/>
    <w:rsid w:val="008816BC"/>
    <w:rsid w:val="008821AE"/>
    <w:rsid w:val="00883D3A"/>
    <w:rsid w:val="008854F7"/>
    <w:rsid w:val="00885A9D"/>
    <w:rsid w:val="008929D2"/>
    <w:rsid w:val="00893636"/>
    <w:rsid w:val="00893B94"/>
    <w:rsid w:val="00896E9D"/>
    <w:rsid w:val="00896F11"/>
    <w:rsid w:val="008A1049"/>
    <w:rsid w:val="008A1C98"/>
    <w:rsid w:val="008A322D"/>
    <w:rsid w:val="008A4D72"/>
    <w:rsid w:val="008A6285"/>
    <w:rsid w:val="008A63B2"/>
    <w:rsid w:val="008B345D"/>
    <w:rsid w:val="008C1FC2"/>
    <w:rsid w:val="008C2980"/>
    <w:rsid w:val="008C4DD6"/>
    <w:rsid w:val="008C5AFB"/>
    <w:rsid w:val="008D07FB"/>
    <w:rsid w:val="008D0C02"/>
    <w:rsid w:val="008D357D"/>
    <w:rsid w:val="008D435A"/>
    <w:rsid w:val="008E387B"/>
    <w:rsid w:val="008E421B"/>
    <w:rsid w:val="008E6087"/>
    <w:rsid w:val="008E758D"/>
    <w:rsid w:val="008F10A7"/>
    <w:rsid w:val="008F755D"/>
    <w:rsid w:val="008F7A39"/>
    <w:rsid w:val="00901550"/>
    <w:rsid w:val="009021E8"/>
    <w:rsid w:val="00904677"/>
    <w:rsid w:val="00905EE2"/>
    <w:rsid w:val="00911440"/>
    <w:rsid w:val="00911712"/>
    <w:rsid w:val="00911B27"/>
    <w:rsid w:val="009170BE"/>
    <w:rsid w:val="00920B55"/>
    <w:rsid w:val="0092202F"/>
    <w:rsid w:val="0092568A"/>
    <w:rsid w:val="009262C9"/>
    <w:rsid w:val="00930EB9"/>
    <w:rsid w:val="00933DC7"/>
    <w:rsid w:val="009418F4"/>
    <w:rsid w:val="00942BBC"/>
    <w:rsid w:val="009430B5"/>
    <w:rsid w:val="00944180"/>
    <w:rsid w:val="00944AA0"/>
    <w:rsid w:val="00947DA2"/>
    <w:rsid w:val="00951177"/>
    <w:rsid w:val="009673E8"/>
    <w:rsid w:val="00974DB8"/>
    <w:rsid w:val="00980661"/>
    <w:rsid w:val="0098093B"/>
    <w:rsid w:val="0098221A"/>
    <w:rsid w:val="009876D4"/>
    <w:rsid w:val="009914A5"/>
    <w:rsid w:val="0099548E"/>
    <w:rsid w:val="00996456"/>
    <w:rsid w:val="00996A12"/>
    <w:rsid w:val="00997B0F"/>
    <w:rsid w:val="009A1CAD"/>
    <w:rsid w:val="009A3440"/>
    <w:rsid w:val="009A479E"/>
    <w:rsid w:val="009A5832"/>
    <w:rsid w:val="009A6838"/>
    <w:rsid w:val="009B24B5"/>
    <w:rsid w:val="009B4EBC"/>
    <w:rsid w:val="009B5ABB"/>
    <w:rsid w:val="009B73CE"/>
    <w:rsid w:val="009C2461"/>
    <w:rsid w:val="009C6FE2"/>
    <w:rsid w:val="009C7674"/>
    <w:rsid w:val="009D004A"/>
    <w:rsid w:val="009D5880"/>
    <w:rsid w:val="009E1FD4"/>
    <w:rsid w:val="009E3B07"/>
    <w:rsid w:val="009E51D1"/>
    <w:rsid w:val="009E5531"/>
    <w:rsid w:val="009F171E"/>
    <w:rsid w:val="009F3D2F"/>
    <w:rsid w:val="009F7052"/>
    <w:rsid w:val="00A02668"/>
    <w:rsid w:val="00A02801"/>
    <w:rsid w:val="00A03DEC"/>
    <w:rsid w:val="00A04384"/>
    <w:rsid w:val="00A06A39"/>
    <w:rsid w:val="00A07F58"/>
    <w:rsid w:val="00A131CB"/>
    <w:rsid w:val="00A14847"/>
    <w:rsid w:val="00A16D6D"/>
    <w:rsid w:val="00A21383"/>
    <w:rsid w:val="00A2199F"/>
    <w:rsid w:val="00A21B31"/>
    <w:rsid w:val="00A2360E"/>
    <w:rsid w:val="00A26E0C"/>
    <w:rsid w:val="00A31F99"/>
    <w:rsid w:val="00A32FCB"/>
    <w:rsid w:val="00A34C25"/>
    <w:rsid w:val="00A3507D"/>
    <w:rsid w:val="00A3717A"/>
    <w:rsid w:val="00A4088C"/>
    <w:rsid w:val="00A4456B"/>
    <w:rsid w:val="00A448D4"/>
    <w:rsid w:val="00A452E0"/>
    <w:rsid w:val="00A51EA5"/>
    <w:rsid w:val="00A53742"/>
    <w:rsid w:val="00A557A1"/>
    <w:rsid w:val="00A63059"/>
    <w:rsid w:val="00A63AE3"/>
    <w:rsid w:val="00A651A4"/>
    <w:rsid w:val="00A71361"/>
    <w:rsid w:val="00A746E2"/>
    <w:rsid w:val="00A81FF2"/>
    <w:rsid w:val="00A83904"/>
    <w:rsid w:val="00A90A79"/>
    <w:rsid w:val="00A96B30"/>
    <w:rsid w:val="00AA59B5"/>
    <w:rsid w:val="00AA7777"/>
    <w:rsid w:val="00AA7B84"/>
    <w:rsid w:val="00AB7077"/>
    <w:rsid w:val="00AC0B4C"/>
    <w:rsid w:val="00AC1164"/>
    <w:rsid w:val="00AC2296"/>
    <w:rsid w:val="00AC2754"/>
    <w:rsid w:val="00AC48B0"/>
    <w:rsid w:val="00AC4ACD"/>
    <w:rsid w:val="00AC5DFB"/>
    <w:rsid w:val="00AD13DC"/>
    <w:rsid w:val="00AD6AF6"/>
    <w:rsid w:val="00AD6DE2"/>
    <w:rsid w:val="00AE0A40"/>
    <w:rsid w:val="00AE1ED4"/>
    <w:rsid w:val="00AE21E1"/>
    <w:rsid w:val="00AE2F8D"/>
    <w:rsid w:val="00AE3BAE"/>
    <w:rsid w:val="00AE6A21"/>
    <w:rsid w:val="00AE74C9"/>
    <w:rsid w:val="00AF1C8F"/>
    <w:rsid w:val="00AF2B68"/>
    <w:rsid w:val="00AF2C92"/>
    <w:rsid w:val="00AF3EC1"/>
    <w:rsid w:val="00AF5025"/>
    <w:rsid w:val="00AF519F"/>
    <w:rsid w:val="00AF5387"/>
    <w:rsid w:val="00AF55F5"/>
    <w:rsid w:val="00AF7E86"/>
    <w:rsid w:val="00B024B9"/>
    <w:rsid w:val="00B077FA"/>
    <w:rsid w:val="00B110E4"/>
    <w:rsid w:val="00B127D7"/>
    <w:rsid w:val="00B13B0C"/>
    <w:rsid w:val="00B1453A"/>
    <w:rsid w:val="00B20F82"/>
    <w:rsid w:val="00B25BD5"/>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6810"/>
    <w:rsid w:val="00B72BE3"/>
    <w:rsid w:val="00B73B80"/>
    <w:rsid w:val="00B770C7"/>
    <w:rsid w:val="00B80F26"/>
    <w:rsid w:val="00B822BD"/>
    <w:rsid w:val="00B842F4"/>
    <w:rsid w:val="00B87A0E"/>
    <w:rsid w:val="00B91A7B"/>
    <w:rsid w:val="00B929DD"/>
    <w:rsid w:val="00B93AF6"/>
    <w:rsid w:val="00B95405"/>
    <w:rsid w:val="00B963F1"/>
    <w:rsid w:val="00BA020A"/>
    <w:rsid w:val="00BB02A4"/>
    <w:rsid w:val="00BB1270"/>
    <w:rsid w:val="00BB1E44"/>
    <w:rsid w:val="00BB5267"/>
    <w:rsid w:val="00BB52B8"/>
    <w:rsid w:val="00BB59D8"/>
    <w:rsid w:val="00BB7E69"/>
    <w:rsid w:val="00BC0698"/>
    <w:rsid w:val="00BC0E51"/>
    <w:rsid w:val="00BC3C1F"/>
    <w:rsid w:val="00BC66F2"/>
    <w:rsid w:val="00BC7CE7"/>
    <w:rsid w:val="00BD295E"/>
    <w:rsid w:val="00BD4664"/>
    <w:rsid w:val="00BE1193"/>
    <w:rsid w:val="00BF4849"/>
    <w:rsid w:val="00BF4EA7"/>
    <w:rsid w:val="00C00EDB"/>
    <w:rsid w:val="00C02863"/>
    <w:rsid w:val="00C0383A"/>
    <w:rsid w:val="00C04484"/>
    <w:rsid w:val="00C067FF"/>
    <w:rsid w:val="00C0742C"/>
    <w:rsid w:val="00C12862"/>
    <w:rsid w:val="00C133BF"/>
    <w:rsid w:val="00C13D28"/>
    <w:rsid w:val="00C13F7C"/>
    <w:rsid w:val="00C14585"/>
    <w:rsid w:val="00C165A0"/>
    <w:rsid w:val="00C216CE"/>
    <w:rsid w:val="00C2184F"/>
    <w:rsid w:val="00C22A78"/>
    <w:rsid w:val="00C23C7E"/>
    <w:rsid w:val="00C246C5"/>
    <w:rsid w:val="00C255F8"/>
    <w:rsid w:val="00C25A82"/>
    <w:rsid w:val="00C30A2A"/>
    <w:rsid w:val="00C33993"/>
    <w:rsid w:val="00C4069E"/>
    <w:rsid w:val="00C41ADC"/>
    <w:rsid w:val="00C44149"/>
    <w:rsid w:val="00C44410"/>
    <w:rsid w:val="00C44A15"/>
    <w:rsid w:val="00C4630A"/>
    <w:rsid w:val="00C47DC9"/>
    <w:rsid w:val="00C523F0"/>
    <w:rsid w:val="00C526D2"/>
    <w:rsid w:val="00C53A91"/>
    <w:rsid w:val="00C56BA1"/>
    <w:rsid w:val="00C5794E"/>
    <w:rsid w:val="00C60968"/>
    <w:rsid w:val="00C63D39"/>
    <w:rsid w:val="00C63EDD"/>
    <w:rsid w:val="00C65B36"/>
    <w:rsid w:val="00C7292E"/>
    <w:rsid w:val="00C74E88"/>
    <w:rsid w:val="00C80924"/>
    <w:rsid w:val="00C8286B"/>
    <w:rsid w:val="00C947F8"/>
    <w:rsid w:val="00C9515F"/>
    <w:rsid w:val="00C963C5"/>
    <w:rsid w:val="00CA030C"/>
    <w:rsid w:val="00CA1F41"/>
    <w:rsid w:val="00CA32EE"/>
    <w:rsid w:val="00CA36BF"/>
    <w:rsid w:val="00CA5771"/>
    <w:rsid w:val="00CA6A1A"/>
    <w:rsid w:val="00CC14E2"/>
    <w:rsid w:val="00CC1E75"/>
    <w:rsid w:val="00CC2E0E"/>
    <w:rsid w:val="00CC361C"/>
    <w:rsid w:val="00CC474B"/>
    <w:rsid w:val="00CC658C"/>
    <w:rsid w:val="00CC67BF"/>
    <w:rsid w:val="00CD0843"/>
    <w:rsid w:val="00CD2BE0"/>
    <w:rsid w:val="00CD5A78"/>
    <w:rsid w:val="00CD7345"/>
    <w:rsid w:val="00CE372E"/>
    <w:rsid w:val="00CF0A1B"/>
    <w:rsid w:val="00CF19F6"/>
    <w:rsid w:val="00CF2F4F"/>
    <w:rsid w:val="00CF536D"/>
    <w:rsid w:val="00CF71BD"/>
    <w:rsid w:val="00D00057"/>
    <w:rsid w:val="00D02E9D"/>
    <w:rsid w:val="00D07AE4"/>
    <w:rsid w:val="00D10CB8"/>
    <w:rsid w:val="00D12806"/>
    <w:rsid w:val="00D12D44"/>
    <w:rsid w:val="00D15018"/>
    <w:rsid w:val="00D158AC"/>
    <w:rsid w:val="00D1694C"/>
    <w:rsid w:val="00D20F5E"/>
    <w:rsid w:val="00D23B76"/>
    <w:rsid w:val="00D24B4A"/>
    <w:rsid w:val="00D379A3"/>
    <w:rsid w:val="00D45FF3"/>
    <w:rsid w:val="00D512CF"/>
    <w:rsid w:val="00D528B9"/>
    <w:rsid w:val="00D53186"/>
    <w:rsid w:val="00D5487D"/>
    <w:rsid w:val="00D60140"/>
    <w:rsid w:val="00D6024A"/>
    <w:rsid w:val="00D608B5"/>
    <w:rsid w:val="00D6336A"/>
    <w:rsid w:val="00D64739"/>
    <w:rsid w:val="00D64FA5"/>
    <w:rsid w:val="00D65496"/>
    <w:rsid w:val="00D676FA"/>
    <w:rsid w:val="00D71F99"/>
    <w:rsid w:val="00D73CA4"/>
    <w:rsid w:val="00D73D71"/>
    <w:rsid w:val="00D74396"/>
    <w:rsid w:val="00D80284"/>
    <w:rsid w:val="00D81F71"/>
    <w:rsid w:val="00D8642D"/>
    <w:rsid w:val="00D90A5E"/>
    <w:rsid w:val="00D91A68"/>
    <w:rsid w:val="00D92A30"/>
    <w:rsid w:val="00D93672"/>
    <w:rsid w:val="00D95A68"/>
    <w:rsid w:val="00DA17C7"/>
    <w:rsid w:val="00DA43D5"/>
    <w:rsid w:val="00DA6A9A"/>
    <w:rsid w:val="00DB1EFD"/>
    <w:rsid w:val="00DB230F"/>
    <w:rsid w:val="00DB3EAF"/>
    <w:rsid w:val="00DB46C6"/>
    <w:rsid w:val="00DC03EF"/>
    <w:rsid w:val="00DC3203"/>
    <w:rsid w:val="00DC3C99"/>
    <w:rsid w:val="00DC52F5"/>
    <w:rsid w:val="00DC5FD0"/>
    <w:rsid w:val="00DD0354"/>
    <w:rsid w:val="00DD27D7"/>
    <w:rsid w:val="00DD458C"/>
    <w:rsid w:val="00DD72E9"/>
    <w:rsid w:val="00DD7605"/>
    <w:rsid w:val="00DE2020"/>
    <w:rsid w:val="00DE3476"/>
    <w:rsid w:val="00DE4F46"/>
    <w:rsid w:val="00DE5A6B"/>
    <w:rsid w:val="00DE7BEA"/>
    <w:rsid w:val="00DF5B84"/>
    <w:rsid w:val="00DF6D5B"/>
    <w:rsid w:val="00DF771B"/>
    <w:rsid w:val="00DF7EE2"/>
    <w:rsid w:val="00E01BAA"/>
    <w:rsid w:val="00E0282A"/>
    <w:rsid w:val="00E02F9B"/>
    <w:rsid w:val="00E07E14"/>
    <w:rsid w:val="00E123AD"/>
    <w:rsid w:val="00E14F94"/>
    <w:rsid w:val="00E17336"/>
    <w:rsid w:val="00E17D15"/>
    <w:rsid w:val="00E22B95"/>
    <w:rsid w:val="00E25EE4"/>
    <w:rsid w:val="00E30331"/>
    <w:rsid w:val="00E30BB8"/>
    <w:rsid w:val="00E31F9C"/>
    <w:rsid w:val="00E40488"/>
    <w:rsid w:val="00E50367"/>
    <w:rsid w:val="00E51ABA"/>
    <w:rsid w:val="00E524CB"/>
    <w:rsid w:val="00E6324A"/>
    <w:rsid w:val="00E65456"/>
    <w:rsid w:val="00E65A91"/>
    <w:rsid w:val="00E65E2C"/>
    <w:rsid w:val="00E66188"/>
    <w:rsid w:val="00E664FB"/>
    <w:rsid w:val="00E672F0"/>
    <w:rsid w:val="00E70373"/>
    <w:rsid w:val="00E72E40"/>
    <w:rsid w:val="00E73665"/>
    <w:rsid w:val="00E73999"/>
    <w:rsid w:val="00E73BDC"/>
    <w:rsid w:val="00E73E9E"/>
    <w:rsid w:val="00E76C8C"/>
    <w:rsid w:val="00E8018B"/>
    <w:rsid w:val="00E81660"/>
    <w:rsid w:val="00E854FE"/>
    <w:rsid w:val="00E906CC"/>
    <w:rsid w:val="00E939A0"/>
    <w:rsid w:val="00E97E4E"/>
    <w:rsid w:val="00EA1CC2"/>
    <w:rsid w:val="00EA2D76"/>
    <w:rsid w:val="00EA4644"/>
    <w:rsid w:val="00EA758A"/>
    <w:rsid w:val="00EB096F"/>
    <w:rsid w:val="00EB199F"/>
    <w:rsid w:val="00EB27C4"/>
    <w:rsid w:val="00EB5387"/>
    <w:rsid w:val="00EB5C10"/>
    <w:rsid w:val="00EB7322"/>
    <w:rsid w:val="00EC0FE9"/>
    <w:rsid w:val="00EC198B"/>
    <w:rsid w:val="00EC32C0"/>
    <w:rsid w:val="00EC426D"/>
    <w:rsid w:val="00EC571B"/>
    <w:rsid w:val="00EC57D7"/>
    <w:rsid w:val="00EC6385"/>
    <w:rsid w:val="00EC74B5"/>
    <w:rsid w:val="00ED1DE9"/>
    <w:rsid w:val="00ED23D4"/>
    <w:rsid w:val="00ED5E0B"/>
    <w:rsid w:val="00EE2036"/>
    <w:rsid w:val="00EE37B6"/>
    <w:rsid w:val="00EF0F45"/>
    <w:rsid w:val="00EF0F61"/>
    <w:rsid w:val="00EF7463"/>
    <w:rsid w:val="00EF7971"/>
    <w:rsid w:val="00F002EF"/>
    <w:rsid w:val="00F01EE9"/>
    <w:rsid w:val="00F04900"/>
    <w:rsid w:val="00F065A4"/>
    <w:rsid w:val="00F126B9"/>
    <w:rsid w:val="00F12715"/>
    <w:rsid w:val="00F144D5"/>
    <w:rsid w:val="00F146F0"/>
    <w:rsid w:val="00F15039"/>
    <w:rsid w:val="00F20FF3"/>
    <w:rsid w:val="00F2190B"/>
    <w:rsid w:val="00F228B5"/>
    <w:rsid w:val="00F2389C"/>
    <w:rsid w:val="00F25C67"/>
    <w:rsid w:val="00F30B4A"/>
    <w:rsid w:val="00F30DFF"/>
    <w:rsid w:val="00F3234E"/>
    <w:rsid w:val="00F32B80"/>
    <w:rsid w:val="00F340EB"/>
    <w:rsid w:val="00F35285"/>
    <w:rsid w:val="00F41610"/>
    <w:rsid w:val="00F43B9D"/>
    <w:rsid w:val="00F44D5E"/>
    <w:rsid w:val="00F53A35"/>
    <w:rsid w:val="00F55A3D"/>
    <w:rsid w:val="00F5744B"/>
    <w:rsid w:val="00F61209"/>
    <w:rsid w:val="00F61271"/>
    <w:rsid w:val="00F6259E"/>
    <w:rsid w:val="00F65DD4"/>
    <w:rsid w:val="00F672B2"/>
    <w:rsid w:val="00F83973"/>
    <w:rsid w:val="00F87FA3"/>
    <w:rsid w:val="00F93D8C"/>
    <w:rsid w:val="00FA3102"/>
    <w:rsid w:val="00FA48D4"/>
    <w:rsid w:val="00FA54FA"/>
    <w:rsid w:val="00FA6D39"/>
    <w:rsid w:val="00FB227E"/>
    <w:rsid w:val="00FB2375"/>
    <w:rsid w:val="00FB3D61"/>
    <w:rsid w:val="00FB44CE"/>
    <w:rsid w:val="00FB5009"/>
    <w:rsid w:val="00FB76AB"/>
    <w:rsid w:val="00FD03FE"/>
    <w:rsid w:val="00FD126E"/>
    <w:rsid w:val="00FD3C36"/>
    <w:rsid w:val="00FD40C6"/>
    <w:rsid w:val="00FD4D81"/>
    <w:rsid w:val="00FD7498"/>
    <w:rsid w:val="00FD7FB3"/>
    <w:rsid w:val="00FE1E5E"/>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3F0F0F-3AA2-4B8C-B27F-9D761DE89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096F"/>
    <w:pPr>
      <w:spacing w:line="480" w:lineRule="auto"/>
    </w:pPr>
    <w:rPr>
      <w:sz w:val="24"/>
      <w:szCs w:val="24"/>
    </w:rPr>
  </w:style>
  <w:style w:type="paragraph" w:styleId="1">
    <w:name w:val="heading 1"/>
    <w:basedOn w:val="a"/>
    <w:next w:val="Paragraph"/>
    <w:link w:val="1Char"/>
    <w:qFormat/>
    <w:rsid w:val="00AE1ED4"/>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Char"/>
    <w:qFormat/>
    <w:rsid w:val="008D07FB"/>
    <w:pPr>
      <w:keepNext/>
      <w:spacing w:before="360" w:after="60" w:line="360" w:lineRule="auto"/>
      <w:ind w:right="567"/>
      <w:contextualSpacing/>
      <w:outlineLvl w:val="1"/>
    </w:pPr>
    <w:rPr>
      <w:rFonts w:cs="Arial"/>
      <w:b/>
      <w:bCs/>
      <w:i/>
      <w:iCs/>
      <w:szCs w:val="28"/>
    </w:rPr>
  </w:style>
  <w:style w:type="paragraph" w:styleId="3">
    <w:name w:val="heading 3"/>
    <w:basedOn w:val="a"/>
    <w:next w:val="Paragraph"/>
    <w:link w:val="3Char"/>
    <w:qFormat/>
    <w:rsid w:val="00DF7EE2"/>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Char"/>
    <w:rsid w:val="00F43B9D"/>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title">
    <w:name w:val="Article title"/>
    <w:basedOn w:val="a"/>
    <w:next w:val="a"/>
    <w:qFormat/>
    <w:rsid w:val="0024692A"/>
    <w:pPr>
      <w:spacing w:after="120" w:line="360" w:lineRule="auto"/>
    </w:pPr>
    <w:rPr>
      <w:b/>
      <w:sz w:val="28"/>
    </w:rPr>
  </w:style>
  <w:style w:type="paragraph" w:customStyle="1" w:styleId="Authornames">
    <w:name w:val="Author names"/>
    <w:basedOn w:val="a"/>
    <w:next w:val="a"/>
    <w:qFormat/>
    <w:rsid w:val="00F04900"/>
    <w:pPr>
      <w:spacing w:before="240" w:line="360" w:lineRule="auto"/>
    </w:pPr>
    <w:rPr>
      <w:sz w:val="28"/>
    </w:rPr>
  </w:style>
  <w:style w:type="paragraph" w:customStyle="1" w:styleId="Affiliation">
    <w:name w:val="Affiliation"/>
    <w:basedOn w:val="a"/>
    <w:qFormat/>
    <w:rsid w:val="00F04900"/>
    <w:pPr>
      <w:spacing w:before="240" w:line="360" w:lineRule="auto"/>
    </w:pPr>
    <w:rPr>
      <w:i/>
    </w:rPr>
  </w:style>
  <w:style w:type="paragraph" w:customStyle="1" w:styleId="Receiveddates">
    <w:name w:val="Received dates"/>
    <w:basedOn w:val="Affiliation"/>
    <w:next w:val="a"/>
    <w:qFormat/>
    <w:rsid w:val="00CC474B"/>
  </w:style>
  <w:style w:type="paragraph" w:customStyle="1" w:styleId="Abstract">
    <w:name w:val="Abstract"/>
    <w:basedOn w:val="a"/>
    <w:next w:val="Keywords"/>
    <w:qFormat/>
    <w:rsid w:val="00C22A78"/>
    <w:pPr>
      <w:spacing w:before="360" w:after="300" w:line="360" w:lineRule="auto"/>
      <w:ind w:left="720" w:right="567"/>
      <w:contextualSpacing/>
    </w:pPr>
    <w:rPr>
      <w:sz w:val="22"/>
    </w:rPr>
  </w:style>
  <w:style w:type="paragraph" w:customStyle="1" w:styleId="Keywords">
    <w:name w:val="Keywords"/>
    <w:basedOn w:val="a"/>
    <w:next w:val="Paragraph"/>
    <w:qFormat/>
    <w:rsid w:val="00BB1270"/>
    <w:pPr>
      <w:spacing w:before="240" w:after="240" w:line="360" w:lineRule="auto"/>
      <w:ind w:left="720" w:right="567"/>
    </w:pPr>
    <w:rPr>
      <w:sz w:val="22"/>
    </w:rPr>
  </w:style>
  <w:style w:type="paragraph" w:customStyle="1" w:styleId="Correspondencedetails">
    <w:name w:val="Correspondence details"/>
    <w:basedOn w:val="a"/>
    <w:qFormat/>
    <w:rsid w:val="00F04900"/>
    <w:pPr>
      <w:spacing w:before="240" w:line="360" w:lineRule="auto"/>
    </w:pPr>
  </w:style>
  <w:style w:type="paragraph" w:customStyle="1" w:styleId="Displayedquotation">
    <w:name w:val="Displayed quotation"/>
    <w:basedOn w:val="a"/>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a"/>
    <w:next w:val="Paragraph"/>
    <w:qFormat/>
    <w:rsid w:val="00EF0F45"/>
    <w:pPr>
      <w:tabs>
        <w:tab w:val="center" w:pos="4253"/>
        <w:tab w:val="right" w:pos="8222"/>
      </w:tabs>
      <w:spacing w:before="240" w:after="240"/>
      <w:jc w:val="center"/>
    </w:pPr>
  </w:style>
  <w:style w:type="paragraph" w:customStyle="1" w:styleId="Acknowledgements">
    <w:name w:val="Acknowledgements"/>
    <w:basedOn w:val="a"/>
    <w:next w:val="a"/>
    <w:qFormat/>
    <w:rsid w:val="00D379A3"/>
    <w:pPr>
      <w:spacing w:before="120" w:line="360" w:lineRule="auto"/>
    </w:pPr>
    <w:rPr>
      <w:sz w:val="22"/>
    </w:rPr>
  </w:style>
  <w:style w:type="paragraph" w:customStyle="1" w:styleId="Tabletitle">
    <w:name w:val="Table title"/>
    <w:basedOn w:val="a"/>
    <w:next w:val="a"/>
    <w:qFormat/>
    <w:rsid w:val="0031686C"/>
    <w:pPr>
      <w:spacing w:before="240" w:line="360" w:lineRule="auto"/>
    </w:pPr>
  </w:style>
  <w:style w:type="paragraph" w:customStyle="1" w:styleId="Figurecaption">
    <w:name w:val="Figure caption"/>
    <w:basedOn w:val="a"/>
    <w:next w:val="a"/>
    <w:qFormat/>
    <w:rsid w:val="0031686C"/>
    <w:pPr>
      <w:spacing w:before="240" w:line="360" w:lineRule="auto"/>
    </w:pPr>
  </w:style>
  <w:style w:type="paragraph" w:customStyle="1" w:styleId="Footnotes">
    <w:name w:val="Footnotes"/>
    <w:basedOn w:val="a"/>
    <w:qFormat/>
    <w:rsid w:val="006C6936"/>
    <w:pPr>
      <w:spacing w:before="120" w:line="360" w:lineRule="auto"/>
      <w:ind w:left="482" w:hanging="482"/>
      <w:contextualSpacing/>
    </w:pPr>
    <w:rPr>
      <w:sz w:val="22"/>
    </w:rPr>
  </w:style>
  <w:style w:type="paragraph" w:customStyle="1" w:styleId="Notesoncontributors">
    <w:name w:val="Notes on contributors"/>
    <w:basedOn w:val="a"/>
    <w:qFormat/>
    <w:rsid w:val="00F04900"/>
    <w:pPr>
      <w:spacing w:before="240" w:line="360" w:lineRule="auto"/>
    </w:pPr>
    <w:rPr>
      <w:sz w:val="22"/>
    </w:rPr>
  </w:style>
  <w:style w:type="paragraph" w:customStyle="1" w:styleId="Normalparagraphstyle">
    <w:name w:val="Normal paragraph style"/>
    <w:basedOn w:val="a"/>
    <w:next w:val="a"/>
    <w:rsid w:val="00562DEF"/>
  </w:style>
  <w:style w:type="paragraph" w:customStyle="1" w:styleId="Paragraph">
    <w:name w:val="Paragraph"/>
    <w:basedOn w:val="a"/>
    <w:next w:val="Newparagraph"/>
    <w:qFormat/>
    <w:rsid w:val="001B7681"/>
    <w:pPr>
      <w:widowControl w:val="0"/>
      <w:spacing w:before="240"/>
    </w:pPr>
  </w:style>
  <w:style w:type="paragraph" w:customStyle="1" w:styleId="Newparagraph">
    <w:name w:val="New paragraph"/>
    <w:basedOn w:val="a"/>
    <w:qFormat/>
    <w:rsid w:val="00AE2F8D"/>
    <w:pPr>
      <w:ind w:firstLine="720"/>
    </w:pPr>
  </w:style>
  <w:style w:type="paragraph" w:styleId="a3">
    <w:name w:val="Normal Indent"/>
    <w:basedOn w:val="a"/>
    <w:rsid w:val="00526454"/>
    <w:pPr>
      <w:ind w:left="720"/>
    </w:pPr>
  </w:style>
  <w:style w:type="paragraph" w:customStyle="1" w:styleId="References0">
    <w:name w:val="References"/>
    <w:basedOn w:val="a"/>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2Char">
    <w:name w:val="标题 2 Char"/>
    <w:basedOn w:val="a0"/>
    <w:link w:val="2"/>
    <w:rsid w:val="008D07FB"/>
    <w:rPr>
      <w:rFonts w:cs="Arial"/>
      <w:b/>
      <w:bCs/>
      <w:i/>
      <w:iCs/>
      <w:sz w:val="24"/>
      <w:szCs w:val="28"/>
    </w:rPr>
  </w:style>
  <w:style w:type="character" w:customStyle="1" w:styleId="1Char">
    <w:name w:val="标题 1 Char"/>
    <w:basedOn w:val="a0"/>
    <w:link w:val="1"/>
    <w:rsid w:val="00AE1ED4"/>
    <w:rPr>
      <w:rFonts w:cs="Arial"/>
      <w:b/>
      <w:bCs/>
      <w:kern w:val="32"/>
      <w:sz w:val="24"/>
      <w:szCs w:val="32"/>
    </w:rPr>
  </w:style>
  <w:style w:type="character" w:customStyle="1" w:styleId="3Char">
    <w:name w:val="标题 3 Char"/>
    <w:basedOn w:val="a0"/>
    <w:link w:val="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a4">
    <w:name w:val="footnote text"/>
    <w:basedOn w:val="a"/>
    <w:link w:val="Char"/>
    <w:autoRedefine/>
    <w:rsid w:val="006C19B2"/>
    <w:pPr>
      <w:ind w:left="284" w:hanging="284"/>
    </w:pPr>
    <w:rPr>
      <w:sz w:val="22"/>
      <w:szCs w:val="20"/>
    </w:rPr>
  </w:style>
  <w:style w:type="character" w:customStyle="1" w:styleId="Char">
    <w:name w:val="脚注文本 Char"/>
    <w:basedOn w:val="a0"/>
    <w:link w:val="a4"/>
    <w:rsid w:val="006C19B2"/>
    <w:rPr>
      <w:sz w:val="22"/>
    </w:rPr>
  </w:style>
  <w:style w:type="character" w:styleId="a5">
    <w:name w:val="footnote reference"/>
    <w:basedOn w:val="a0"/>
    <w:rsid w:val="00AF2C92"/>
    <w:rPr>
      <w:vertAlign w:val="superscript"/>
    </w:rPr>
  </w:style>
  <w:style w:type="paragraph" w:styleId="a6">
    <w:name w:val="endnote text"/>
    <w:basedOn w:val="a"/>
    <w:link w:val="Char0"/>
    <w:autoRedefine/>
    <w:rsid w:val="006C19B2"/>
    <w:pPr>
      <w:ind w:left="284" w:hanging="284"/>
    </w:pPr>
    <w:rPr>
      <w:sz w:val="22"/>
      <w:szCs w:val="20"/>
    </w:rPr>
  </w:style>
  <w:style w:type="character" w:customStyle="1" w:styleId="Char0">
    <w:name w:val="尾注文本 Char"/>
    <w:basedOn w:val="a0"/>
    <w:link w:val="a6"/>
    <w:rsid w:val="006C19B2"/>
    <w:rPr>
      <w:sz w:val="22"/>
    </w:rPr>
  </w:style>
  <w:style w:type="character" w:styleId="a7">
    <w:name w:val="endnote reference"/>
    <w:basedOn w:val="a0"/>
    <w:rsid w:val="00EC571B"/>
    <w:rPr>
      <w:vertAlign w:val="superscript"/>
    </w:rPr>
  </w:style>
  <w:style w:type="character" w:customStyle="1" w:styleId="4Char">
    <w:name w:val="标题 4 Char"/>
    <w:basedOn w:val="a0"/>
    <w:link w:val="4"/>
    <w:rsid w:val="00F43B9D"/>
    <w:rPr>
      <w:bCs/>
      <w:sz w:val="24"/>
      <w:szCs w:val="28"/>
    </w:rPr>
  </w:style>
  <w:style w:type="paragraph" w:styleId="a8">
    <w:name w:val="header"/>
    <w:basedOn w:val="a"/>
    <w:link w:val="Char1"/>
    <w:rsid w:val="003F193A"/>
    <w:pPr>
      <w:tabs>
        <w:tab w:val="center" w:pos="4320"/>
        <w:tab w:val="right" w:pos="8640"/>
      </w:tabs>
      <w:spacing w:after="120" w:line="240" w:lineRule="auto"/>
      <w:contextualSpacing/>
    </w:pPr>
  </w:style>
  <w:style w:type="character" w:customStyle="1" w:styleId="Char1">
    <w:name w:val="页眉 Char"/>
    <w:basedOn w:val="a0"/>
    <w:link w:val="a8"/>
    <w:rsid w:val="003F193A"/>
    <w:rPr>
      <w:rFonts w:eastAsia="Times New Roman"/>
      <w:sz w:val="24"/>
      <w:szCs w:val="24"/>
      <w:lang w:eastAsia="en-GB"/>
    </w:rPr>
  </w:style>
  <w:style w:type="paragraph" w:styleId="a9">
    <w:name w:val="footer"/>
    <w:basedOn w:val="a"/>
    <w:link w:val="Char2"/>
    <w:rsid w:val="00AE6A21"/>
    <w:pPr>
      <w:tabs>
        <w:tab w:val="center" w:pos="4320"/>
        <w:tab w:val="right" w:pos="8640"/>
      </w:tabs>
      <w:spacing w:before="240" w:line="240" w:lineRule="auto"/>
      <w:contextualSpacing/>
    </w:pPr>
  </w:style>
  <w:style w:type="character" w:customStyle="1" w:styleId="Char2">
    <w:name w:val="页脚 Char"/>
    <w:basedOn w:val="a0"/>
    <w:link w:val="a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aa">
    <w:name w:val="Hyperlink"/>
    <w:basedOn w:val="a0"/>
    <w:unhideWhenUsed/>
    <w:rsid w:val="00F30B4A"/>
    <w:rPr>
      <w:color w:val="0000FF" w:themeColor="hyperlink"/>
      <w:u w:val="single"/>
    </w:rPr>
  </w:style>
  <w:style w:type="paragraph" w:customStyle="1" w:styleId="IMSHeadingTable">
    <w:name w:val="IMS Heading Table"/>
    <w:basedOn w:val="a"/>
    <w:qFormat/>
    <w:rsid w:val="001D42F8"/>
    <w:pPr>
      <w:keepNext/>
      <w:spacing w:line="240" w:lineRule="exact"/>
      <w:jc w:val="center"/>
      <w:outlineLvl w:val="1"/>
    </w:pPr>
    <w:rPr>
      <w:rFonts w:eastAsia="Calibri"/>
      <w:smallCaps/>
      <w:sz w:val="20"/>
      <w:szCs w:val="22"/>
      <w:lang w:val="en-US" w:eastAsia="en-US"/>
    </w:rPr>
  </w:style>
  <w:style w:type="paragraph" w:styleId="ab">
    <w:name w:val="Body Text"/>
    <w:basedOn w:val="a"/>
    <w:link w:val="Char3"/>
    <w:semiHidden/>
    <w:rsid w:val="00542398"/>
    <w:pPr>
      <w:widowControl w:val="0"/>
      <w:spacing w:line="240" w:lineRule="auto"/>
      <w:jc w:val="both"/>
    </w:pPr>
    <w:rPr>
      <w:rFonts w:eastAsia="宋体"/>
      <w:kern w:val="2"/>
      <w:lang w:val="en-US" w:eastAsia="zh-CN"/>
    </w:rPr>
  </w:style>
  <w:style w:type="character" w:customStyle="1" w:styleId="Char3">
    <w:name w:val="正文文本 Char"/>
    <w:basedOn w:val="a0"/>
    <w:link w:val="ab"/>
    <w:semiHidden/>
    <w:rsid w:val="00542398"/>
    <w:rPr>
      <w:rFonts w:eastAsia="宋体"/>
      <w:kern w:val="2"/>
      <w:sz w:val="24"/>
      <w:szCs w:val="24"/>
      <w:lang w:val="en-US" w:eastAsia="zh-CN"/>
    </w:rPr>
  </w:style>
  <w:style w:type="paragraph" w:customStyle="1" w:styleId="references">
    <w:name w:val="references"/>
    <w:uiPriority w:val="99"/>
    <w:rsid w:val="008408A3"/>
    <w:pPr>
      <w:numPr>
        <w:numId w:val="31"/>
      </w:numPr>
      <w:spacing w:after="50" w:line="180" w:lineRule="exact"/>
      <w:jc w:val="both"/>
    </w:pPr>
    <w:rPr>
      <w:rFonts w:eastAsia="宋体"/>
      <w:noProof/>
      <w:sz w:val="16"/>
      <w:szCs w:val="16"/>
      <w:lang w:val="en-US" w:eastAsia="en-US"/>
    </w:rPr>
  </w:style>
  <w:style w:type="paragraph" w:customStyle="1" w:styleId="Text">
    <w:name w:val="Text"/>
    <w:basedOn w:val="a"/>
    <w:rsid w:val="00BC66F2"/>
    <w:pPr>
      <w:widowControl w:val="0"/>
      <w:spacing w:line="252" w:lineRule="auto"/>
      <w:ind w:firstLine="202"/>
      <w:jc w:val="both"/>
    </w:pPr>
    <w:rPr>
      <w:rFonts w:eastAsia="宋体"/>
      <w:sz w:val="20"/>
      <w:szCs w:val="20"/>
      <w:lang w:val="en-US" w:eastAsia="en-US"/>
    </w:rPr>
  </w:style>
  <w:style w:type="character" w:styleId="ac">
    <w:name w:val="FollowedHyperlink"/>
    <w:basedOn w:val="a0"/>
    <w:rsid w:val="00BC66F2"/>
    <w:rPr>
      <w:color w:val="800080"/>
      <w:u w:val="single"/>
    </w:rPr>
  </w:style>
  <w:style w:type="paragraph" w:styleId="ad">
    <w:name w:val="Body Text Indent"/>
    <w:basedOn w:val="a"/>
    <w:link w:val="Char4"/>
    <w:semiHidden/>
    <w:unhideWhenUsed/>
    <w:rsid w:val="00BC66F2"/>
    <w:pPr>
      <w:spacing w:after="120"/>
      <w:ind w:leftChars="200" w:left="420"/>
    </w:pPr>
  </w:style>
  <w:style w:type="character" w:customStyle="1" w:styleId="Char4">
    <w:name w:val="正文文本缩进 Char"/>
    <w:basedOn w:val="a0"/>
    <w:link w:val="ad"/>
    <w:semiHidden/>
    <w:rsid w:val="00BC66F2"/>
    <w:rPr>
      <w:sz w:val="24"/>
      <w:szCs w:val="24"/>
    </w:rPr>
  </w:style>
  <w:style w:type="character" w:customStyle="1" w:styleId="BodyText2">
    <w:name w:val="Body Text2"/>
    <w:basedOn w:val="a0"/>
    <w:uiPriority w:val="99"/>
    <w:rsid w:val="00BC66F2"/>
    <w:rPr>
      <w:rFonts w:ascii="Verdana" w:hAnsi="Verdana" w:cs="Verdana"/>
      <w:color w:val="000000"/>
      <w:sz w:val="22"/>
      <w:szCs w:val="22"/>
    </w:rPr>
  </w:style>
  <w:style w:type="table" w:styleId="ae">
    <w:name w:val="Table Grid"/>
    <w:basedOn w:val="a1"/>
    <w:uiPriority w:val="39"/>
    <w:rsid w:val="00BC66F2"/>
    <w:rPr>
      <w:rFonts w:asciiTheme="minorHAnsi"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rsid w:val="0016181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6550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osheng7070@vip.163.co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oleObject4.bin"/><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oleObject" Target="embeddings/oleObject8.bin"/><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oleObject" Target="embeddings/oleObject10.bin"/><Relationship Id="rId46"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16.emf"/><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oleObject" Target="embeddings/oleObject7.bin"/><Relationship Id="rId37" Type="http://schemas.openxmlformats.org/officeDocument/2006/relationships/image" Target="media/image20.emf"/><Relationship Id="rId40" Type="http://schemas.openxmlformats.org/officeDocument/2006/relationships/image" Target="media/image22.emf"/><Relationship Id="rId45"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17.emf"/><Relationship Id="rId44"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oleObject" Target="embeddings/oleObject6.bin"/><Relationship Id="rId35" Type="http://schemas.openxmlformats.org/officeDocument/2006/relationships/image" Target="media/image19.emf"/><Relationship Id="rId43" Type="http://schemas.openxmlformats.org/officeDocument/2006/relationships/image" Target="media/image24.emf"/><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25237;&#31295;&#19982;&#23457;&#31295;\A%20Broadband%20Helical%20Saline%20Water%20Liquid%20Antenna%20for%20Wearable%20Systems\International%20Journal%20of%20Electronics\First%20revision\A%20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B4304-8529-4261-ADA3-7FE0DDB71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 T.dotx</Template>
  <TotalTime>1986</TotalTime>
  <Pages>17</Pages>
  <Words>4130</Words>
  <Characters>23547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TF_Template_Word_Mac_2008</vt:lpstr>
    </vt:vector>
  </TitlesOfParts>
  <Company>Informa Plc</Company>
  <LinksUpToDate>false</LinksUpToDate>
  <CharactersWithSpaces>27622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TF_Template_Word_Windows_2010</dc:title>
  <dc:creator>Brook</dc:creator>
  <cp:lastModifiedBy>Brook</cp:lastModifiedBy>
  <cp:revision>87</cp:revision>
  <cp:lastPrinted>2011-07-22T14:54:00Z</cp:lastPrinted>
  <dcterms:created xsi:type="dcterms:W3CDTF">2016-09-26T05:04:00Z</dcterms:created>
  <dcterms:modified xsi:type="dcterms:W3CDTF">2017-06-19T06:49:00Z</dcterms:modified>
</cp:coreProperties>
</file>