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6AE91D" w14:textId="20DD909C" w:rsidR="004265E6" w:rsidRDefault="00581A52" w:rsidP="00F4596C">
      <w:pPr>
        <w:pStyle w:val="Heading1"/>
        <w:spacing w:line="480" w:lineRule="auto"/>
      </w:pPr>
      <w:r>
        <w:t>R</w:t>
      </w:r>
      <w:r w:rsidR="004265E6">
        <w:t>otavirus vaccine</w:t>
      </w:r>
      <w:r>
        <w:t xml:space="preserve"> </w:t>
      </w:r>
      <w:r w:rsidR="004265E6">
        <w:t xml:space="preserve">impact </w:t>
      </w:r>
      <w:r w:rsidR="003D421F">
        <w:t>and socioeconomic deprivation</w:t>
      </w:r>
      <w:r>
        <w:t xml:space="preserve">: </w:t>
      </w:r>
      <w:r w:rsidR="004B3F93">
        <w:t>an interrupted time-</w:t>
      </w:r>
      <w:r w:rsidR="004265E6">
        <w:t xml:space="preserve">series </w:t>
      </w:r>
      <w:r w:rsidR="00EB7621">
        <w:t xml:space="preserve">analysis </w:t>
      </w:r>
      <w:r w:rsidR="00E675BA">
        <w:t>of gastrointestinal disease outcomes</w:t>
      </w:r>
      <w:r w:rsidR="00207CE3">
        <w:t xml:space="preserve"> across primary </w:t>
      </w:r>
      <w:r w:rsidR="005E18E9">
        <w:t>and secondary</w:t>
      </w:r>
      <w:r w:rsidR="00207CE3">
        <w:t xml:space="preserve"> care</w:t>
      </w:r>
      <w:r w:rsidR="003D421F">
        <w:t xml:space="preserve"> in the UK</w:t>
      </w:r>
      <w:r w:rsidR="004265E6">
        <w:t>.</w:t>
      </w:r>
    </w:p>
    <w:p w14:paraId="68668706" w14:textId="70AF9AD3" w:rsidR="00663DD2" w:rsidRDefault="005D21CB" w:rsidP="00F4596C">
      <w:pPr>
        <w:spacing w:after="0" w:line="480" w:lineRule="auto"/>
        <w:contextualSpacing/>
      </w:pPr>
      <w:r>
        <w:t>Daniel Hungerford</w:t>
      </w:r>
      <w:r w:rsidR="00B7320F">
        <w:t xml:space="preserve"> (d.hungerford@liverpool.ac.uk)</w:t>
      </w:r>
      <w:r w:rsidR="00AF6160">
        <w:rPr>
          <w:vertAlign w:val="superscript"/>
        </w:rPr>
        <w:t>1,</w:t>
      </w:r>
      <w:r w:rsidR="00920BCD">
        <w:rPr>
          <w:vertAlign w:val="superscript"/>
        </w:rPr>
        <w:t>2</w:t>
      </w:r>
      <w:r w:rsidR="00AB5F5C">
        <w:rPr>
          <w:vertAlign w:val="superscript"/>
        </w:rPr>
        <w:t>,3,4</w:t>
      </w:r>
      <w:r w:rsidR="00663DD2">
        <w:t xml:space="preserve">, </w:t>
      </w:r>
      <w:r>
        <w:t xml:space="preserve">Roberto </w:t>
      </w:r>
      <w:proofErr w:type="spellStart"/>
      <w:r>
        <w:t>Vivancos</w:t>
      </w:r>
      <w:proofErr w:type="spellEnd"/>
      <w:r w:rsidR="00B7320F">
        <w:t xml:space="preserve"> (roberto.vivancos@phe.gov.uk)</w:t>
      </w:r>
      <w:r w:rsidR="00920BCD">
        <w:rPr>
          <w:vertAlign w:val="superscript"/>
        </w:rPr>
        <w:t>2,3</w:t>
      </w:r>
      <w:r w:rsidR="00AB5F5C">
        <w:rPr>
          <w:vertAlign w:val="superscript"/>
        </w:rPr>
        <w:t>,4</w:t>
      </w:r>
      <w:r w:rsidR="00663DD2">
        <w:t>,</w:t>
      </w:r>
      <w:r w:rsidR="00813CF7">
        <w:t xml:space="preserve"> Jonathan M Read (jonathan.read@lancaster.ac.uk)</w:t>
      </w:r>
      <w:r w:rsidR="00920BCD">
        <w:rPr>
          <w:vertAlign w:val="superscript"/>
        </w:rPr>
        <w:t>3,4,5</w:t>
      </w:r>
      <w:r w:rsidR="00B978FC">
        <w:t>,</w:t>
      </w:r>
      <w:r w:rsidR="00663DD2">
        <w:t xml:space="preserve"> </w:t>
      </w:r>
      <w:proofErr w:type="spellStart"/>
      <w:r>
        <w:t>M</w:t>
      </w:r>
      <w:r w:rsidR="00B978FC">
        <w:t>iren</w:t>
      </w:r>
      <w:proofErr w:type="spellEnd"/>
      <w:r>
        <w:t xml:space="preserve"> </w:t>
      </w:r>
      <w:proofErr w:type="spellStart"/>
      <w:r>
        <w:t>Iturriza-Gόmara</w:t>
      </w:r>
      <w:proofErr w:type="spellEnd"/>
      <w:r w:rsidR="00813CF7">
        <w:t xml:space="preserve"> (miren@liverpool.ac.uk)</w:t>
      </w:r>
      <w:r w:rsidR="0064041B">
        <w:rPr>
          <w:vertAlign w:val="superscript"/>
        </w:rPr>
        <w:t>1,3</w:t>
      </w:r>
      <w:r w:rsidR="00813CF7">
        <w:rPr>
          <w:vertAlign w:val="superscript"/>
        </w:rPr>
        <w:t xml:space="preserve"> </w:t>
      </w:r>
      <w:r w:rsidR="00B978FC">
        <w:t xml:space="preserve">, </w:t>
      </w:r>
      <w:r>
        <w:t xml:space="preserve">Neil </w:t>
      </w:r>
      <w:r w:rsidR="00B7320F">
        <w:t>French</w:t>
      </w:r>
      <w:r w:rsidR="00813CF7">
        <w:t xml:space="preserve"> (french@liverpool.ac.uk)</w:t>
      </w:r>
      <w:r w:rsidR="00920BCD">
        <w:rPr>
          <w:vertAlign w:val="superscript"/>
        </w:rPr>
        <w:t>1,</w:t>
      </w:r>
      <w:r w:rsidR="00F4596C">
        <w:rPr>
          <w:vertAlign w:val="superscript"/>
        </w:rPr>
        <w:t>ψ</w:t>
      </w:r>
      <w:r w:rsidR="00663DD2">
        <w:t xml:space="preserve">, </w:t>
      </w:r>
      <w:r w:rsidR="00B978FC">
        <w:t xml:space="preserve">Nigel A </w:t>
      </w:r>
      <w:proofErr w:type="spellStart"/>
      <w:r w:rsidR="00B978FC">
        <w:t>Cunliffe</w:t>
      </w:r>
      <w:proofErr w:type="spellEnd"/>
      <w:r w:rsidR="00813CF7">
        <w:t xml:space="preserve"> (nigelc@liverpool.ac.uk)</w:t>
      </w:r>
      <w:r w:rsidR="00920BCD" w:rsidRPr="00920BCD">
        <w:rPr>
          <w:vertAlign w:val="superscript"/>
        </w:rPr>
        <w:t>1,6</w:t>
      </w:r>
      <w:r w:rsidR="00920BCD">
        <w:rPr>
          <w:vertAlign w:val="superscript"/>
        </w:rPr>
        <w:t>,</w:t>
      </w:r>
      <w:r w:rsidR="00F4596C" w:rsidRPr="00920BCD">
        <w:rPr>
          <w:vertAlign w:val="superscript"/>
        </w:rPr>
        <w:t>ψ</w:t>
      </w:r>
    </w:p>
    <w:p w14:paraId="61B0B732" w14:textId="2CFA6CF0" w:rsidR="00663DD2" w:rsidRDefault="00663DD2" w:rsidP="00F4596C">
      <w:pPr>
        <w:pStyle w:val="ListParagraph"/>
        <w:numPr>
          <w:ilvl w:val="0"/>
          <w:numId w:val="7"/>
        </w:numPr>
        <w:spacing w:after="0" w:line="480" w:lineRule="auto"/>
      </w:pPr>
      <w:r>
        <w:t xml:space="preserve">The Centre for Global Vaccine Research, Institute of Infection and Global Health, University of Liverpool, </w:t>
      </w:r>
      <w:r w:rsidR="00C845CD">
        <w:t>L69 7BE</w:t>
      </w:r>
      <w:r w:rsidR="005D21CB">
        <w:t>,</w:t>
      </w:r>
      <w:r w:rsidR="00C845CD">
        <w:t xml:space="preserve"> </w:t>
      </w:r>
      <w:r>
        <w:t>Liverpool, UK</w:t>
      </w:r>
    </w:p>
    <w:p w14:paraId="5370E25D" w14:textId="3337AE6C" w:rsidR="00663DD2" w:rsidRDefault="00663DD2" w:rsidP="005D21CB">
      <w:pPr>
        <w:pStyle w:val="ListParagraph"/>
        <w:numPr>
          <w:ilvl w:val="0"/>
          <w:numId w:val="7"/>
        </w:numPr>
        <w:spacing w:after="0" w:line="480" w:lineRule="auto"/>
      </w:pPr>
      <w:r>
        <w:t xml:space="preserve">Field Epidemiology Services, Public Health England, </w:t>
      </w:r>
      <w:r w:rsidR="005D21CB" w:rsidRPr="005D21CB">
        <w:t>L3 1DS</w:t>
      </w:r>
      <w:r w:rsidR="005D21CB">
        <w:t xml:space="preserve">, </w:t>
      </w:r>
      <w:r>
        <w:t>Liverpool, UK</w:t>
      </w:r>
    </w:p>
    <w:p w14:paraId="2CA8E486" w14:textId="163650AC" w:rsidR="00663DD2" w:rsidRDefault="00663DD2" w:rsidP="005D21CB">
      <w:pPr>
        <w:pStyle w:val="ListParagraph"/>
        <w:numPr>
          <w:ilvl w:val="0"/>
          <w:numId w:val="7"/>
        </w:numPr>
        <w:spacing w:after="0" w:line="480" w:lineRule="auto"/>
      </w:pPr>
      <w:r>
        <w:t xml:space="preserve">NIHR Health Protection Research Unit in Gastrointestinal Infections, </w:t>
      </w:r>
      <w:r w:rsidR="005D21CB" w:rsidRPr="005D21CB">
        <w:t>L69 3GL</w:t>
      </w:r>
      <w:r w:rsidR="005D21CB">
        <w:t xml:space="preserve">, </w:t>
      </w:r>
      <w:r>
        <w:t>Liverpool, UK</w:t>
      </w:r>
    </w:p>
    <w:p w14:paraId="6653C13E" w14:textId="045335D5" w:rsidR="00663DD2" w:rsidRDefault="00663DD2" w:rsidP="005D21CB">
      <w:pPr>
        <w:pStyle w:val="ListParagraph"/>
        <w:numPr>
          <w:ilvl w:val="0"/>
          <w:numId w:val="7"/>
        </w:numPr>
        <w:spacing w:after="0" w:line="480" w:lineRule="auto"/>
      </w:pPr>
      <w:r>
        <w:t xml:space="preserve">NIHR Health Protection Research Unit in Emerging and Zoonotic Infections, </w:t>
      </w:r>
      <w:r w:rsidR="005D21CB" w:rsidRPr="005D21CB">
        <w:t>L69 3GL</w:t>
      </w:r>
      <w:r w:rsidR="005D21CB">
        <w:t xml:space="preserve">, </w:t>
      </w:r>
      <w:r>
        <w:t>Liverpool, UK</w:t>
      </w:r>
    </w:p>
    <w:p w14:paraId="36295C30" w14:textId="1DCD6296" w:rsidR="00663DD2" w:rsidRDefault="004E3E64" w:rsidP="004E3E64">
      <w:pPr>
        <w:pStyle w:val="ListParagraph"/>
        <w:numPr>
          <w:ilvl w:val="0"/>
          <w:numId w:val="7"/>
        </w:numPr>
        <w:spacing w:after="0" w:line="480" w:lineRule="auto"/>
      </w:pPr>
      <w:r w:rsidRPr="004E3E64">
        <w:t>Centre for Health Informatics, Computing and Statistics</w:t>
      </w:r>
      <w:r w:rsidR="00663DD2">
        <w:t>, Lancaster Medical School, Faculty of Health and Medicine, Lancaster University, Lancaster,</w:t>
      </w:r>
      <w:r w:rsidR="005D21CB" w:rsidRPr="005D21CB">
        <w:t xml:space="preserve"> LA1 4YG,</w:t>
      </w:r>
      <w:r w:rsidR="00663DD2">
        <w:t xml:space="preserve"> UK</w:t>
      </w:r>
    </w:p>
    <w:p w14:paraId="6BC27028" w14:textId="20551748" w:rsidR="00663DD2" w:rsidRDefault="00663DD2" w:rsidP="005D21CB">
      <w:pPr>
        <w:pStyle w:val="ListParagraph"/>
        <w:numPr>
          <w:ilvl w:val="0"/>
          <w:numId w:val="7"/>
        </w:numPr>
        <w:spacing w:after="0" w:line="480" w:lineRule="auto"/>
      </w:pPr>
      <w:r>
        <w:t xml:space="preserve">Department of Microbiology, Alder Hey Children's NHS Foundation Trust, </w:t>
      </w:r>
      <w:r w:rsidR="005D21CB" w:rsidRPr="005D21CB">
        <w:t>L12 2AP</w:t>
      </w:r>
      <w:r w:rsidR="005D21CB">
        <w:t xml:space="preserve">, </w:t>
      </w:r>
      <w:r>
        <w:t>Liverpool, UK</w:t>
      </w:r>
    </w:p>
    <w:p w14:paraId="786B5314" w14:textId="38125A0D" w:rsidR="00663DD2" w:rsidRDefault="00663DD2" w:rsidP="00F4596C">
      <w:pPr>
        <w:spacing w:after="0" w:line="480" w:lineRule="auto"/>
        <w:contextualSpacing/>
      </w:pPr>
      <w:r>
        <w:t>*</w:t>
      </w:r>
      <w:r w:rsidR="00C845CD">
        <w:t>Correspondence to</w:t>
      </w:r>
      <w:r>
        <w:t xml:space="preserve">: </w:t>
      </w:r>
      <w:r w:rsidR="00C845CD">
        <w:t>D Hungerford</w:t>
      </w:r>
      <w:r w:rsidR="00AD0B6A">
        <w:t>;</w:t>
      </w:r>
      <w:r w:rsidR="00C845CD">
        <w:t xml:space="preserve"> </w:t>
      </w:r>
      <w:r w:rsidR="00B978FC">
        <w:t>d.</w:t>
      </w:r>
      <w:r>
        <w:t>hungerford@</w:t>
      </w:r>
      <w:r w:rsidR="00C845CD">
        <w:t>liverpool.ac.uk</w:t>
      </w:r>
    </w:p>
    <w:p w14:paraId="39B8FC1C" w14:textId="683FD115" w:rsidR="00F4596C" w:rsidRPr="00F4596C" w:rsidRDefault="00F4596C" w:rsidP="00F4596C">
      <w:pPr>
        <w:spacing w:after="0" w:line="480" w:lineRule="auto"/>
        <w:contextualSpacing/>
      </w:pPr>
      <w:proofErr w:type="spellStart"/>
      <w:proofErr w:type="gramStart"/>
      <w:r w:rsidRPr="00F4596C">
        <w:rPr>
          <w:vertAlign w:val="superscript"/>
        </w:rPr>
        <w:t>ψ</w:t>
      </w:r>
      <w:r>
        <w:t>Joint</w:t>
      </w:r>
      <w:proofErr w:type="spellEnd"/>
      <w:proofErr w:type="gramEnd"/>
      <w:r>
        <w:t xml:space="preserve"> senior authors</w:t>
      </w:r>
    </w:p>
    <w:p w14:paraId="6221D83E" w14:textId="77777777" w:rsidR="00CB1E3E" w:rsidRDefault="00CB1E3E" w:rsidP="00F4596C">
      <w:pPr>
        <w:spacing w:line="480" w:lineRule="auto"/>
      </w:pPr>
    </w:p>
    <w:p w14:paraId="1641A142" w14:textId="77777777" w:rsidR="00230DA8" w:rsidRDefault="00230DA8" w:rsidP="00F4596C">
      <w:pPr>
        <w:spacing w:line="480" w:lineRule="auto"/>
        <w:sectPr w:rsidR="00230DA8" w:rsidSect="00230DA8">
          <w:footerReference w:type="default" r:id="rId8"/>
          <w:pgSz w:w="11906" w:h="16838"/>
          <w:pgMar w:top="1440" w:right="1440" w:bottom="1440" w:left="1440" w:header="708" w:footer="708" w:gutter="0"/>
          <w:lnNumType w:countBy="1" w:restart="continuous"/>
          <w:cols w:space="708"/>
          <w:docGrid w:linePitch="360"/>
        </w:sectPr>
      </w:pPr>
    </w:p>
    <w:p w14:paraId="347D0BEB" w14:textId="6FC3059D" w:rsidR="005B5821" w:rsidRDefault="005B5821" w:rsidP="0029357A">
      <w:pPr>
        <w:pStyle w:val="Heading1"/>
        <w:spacing w:line="480" w:lineRule="auto"/>
      </w:pPr>
      <w:r>
        <w:lastRenderedPageBreak/>
        <w:t>Abstract</w:t>
      </w:r>
      <w:r w:rsidR="009858BA">
        <w:t xml:space="preserve"> </w:t>
      </w:r>
    </w:p>
    <w:p w14:paraId="26F2E603" w14:textId="77777777" w:rsidR="0029357A" w:rsidRDefault="0029357A" w:rsidP="0029357A">
      <w:pPr>
        <w:pStyle w:val="Heading3"/>
        <w:spacing w:line="480" w:lineRule="auto"/>
      </w:pPr>
      <w:r>
        <w:t>Background</w:t>
      </w:r>
    </w:p>
    <w:p w14:paraId="4F6ED802" w14:textId="14407FD5" w:rsidR="0029357A" w:rsidRDefault="0029357A" w:rsidP="0029357A">
      <w:pPr>
        <w:spacing w:line="480" w:lineRule="auto"/>
      </w:pPr>
      <w:r>
        <w:t xml:space="preserve">Rotavirus causes severe gastroenteritis in infants and young children worldwide. The UK introduced </w:t>
      </w:r>
      <w:r w:rsidR="00F2549B">
        <w:t xml:space="preserve">the </w:t>
      </w:r>
      <w:r w:rsidR="00F2549B" w:rsidRPr="00F2549B">
        <w:t>monovalent rotavirus vaccine (</w:t>
      </w:r>
      <w:proofErr w:type="spellStart"/>
      <w:r w:rsidR="00F2549B" w:rsidRPr="00F2549B">
        <w:t>Rotarix</w:t>
      </w:r>
      <w:proofErr w:type="spellEnd"/>
      <w:r w:rsidR="00F2549B" w:rsidRPr="00F2549B">
        <w:t xml:space="preserve">®) </w:t>
      </w:r>
      <w:r w:rsidR="00F2549B">
        <w:t>in July 2013. Vaccination is free of charge</w:t>
      </w:r>
      <w:r w:rsidR="009B1880">
        <w:t xml:space="preserve"> to parents</w:t>
      </w:r>
      <w:r w:rsidR="00F2549B">
        <w:t xml:space="preserve">, with </w:t>
      </w:r>
      <w:r w:rsidR="00F2549B" w:rsidRPr="00F2549B">
        <w:t>two doses de</w:t>
      </w:r>
      <w:r w:rsidR="00F2549B">
        <w:t xml:space="preserve">livered at 8 and 12 weeks of age. </w:t>
      </w:r>
      <w:r w:rsidRPr="00230E8B">
        <w:t xml:space="preserve">We evaluated </w:t>
      </w:r>
      <w:r>
        <w:t xml:space="preserve">vaccine </w:t>
      </w:r>
      <w:r w:rsidRPr="00230E8B">
        <w:t xml:space="preserve">impact </w:t>
      </w:r>
      <w:r>
        <w:t>across a health system in relation</w:t>
      </w:r>
      <w:r w:rsidRPr="00230E8B">
        <w:t xml:space="preserve"> to socioeconomic deprivation</w:t>
      </w:r>
      <w:r>
        <w:t>.</w:t>
      </w:r>
    </w:p>
    <w:p w14:paraId="6A61932D" w14:textId="77777777" w:rsidR="0029357A" w:rsidRDefault="0029357A" w:rsidP="0029357A">
      <w:pPr>
        <w:pStyle w:val="Heading3"/>
        <w:spacing w:line="480" w:lineRule="auto"/>
      </w:pPr>
      <w:r>
        <w:t>Methods</w:t>
      </w:r>
    </w:p>
    <w:p w14:paraId="3C580601" w14:textId="77777777" w:rsidR="0029357A" w:rsidRDefault="0029357A" w:rsidP="0029357A">
      <w:pPr>
        <w:spacing w:line="480" w:lineRule="auto"/>
      </w:pPr>
      <w:r w:rsidRPr="005411F6">
        <w:t xml:space="preserve">We used interrupted time-series analyses to assess changes in </w:t>
      </w:r>
      <w:r>
        <w:t xml:space="preserve">monthly </w:t>
      </w:r>
      <w:r w:rsidRPr="005411F6">
        <w:t>healthcare attendances in</w:t>
      </w:r>
      <w:r>
        <w:t xml:space="preserve"> Merseyside, UK for</w:t>
      </w:r>
      <w:r w:rsidRPr="005411F6">
        <w:t xml:space="preserve"> all age</w:t>
      </w:r>
      <w:r>
        <w:t xml:space="preserve">s, </w:t>
      </w:r>
      <w:r w:rsidRPr="005411F6">
        <w:t>from July 2013 to June 2016, compared to predicted counterfactual attendances without vaccination spanning 3-11 years</w:t>
      </w:r>
      <w:r>
        <w:t xml:space="preserve"> pre-vaccine</w:t>
      </w:r>
      <w:r w:rsidRPr="005411F6">
        <w:t xml:space="preserve">. Outcome measures included laboratory confirmed rotavirus gastroenteritis (RVGE) hospitalisations; </w:t>
      </w:r>
      <w:r>
        <w:t xml:space="preserve">acute </w:t>
      </w:r>
      <w:r w:rsidRPr="005411F6">
        <w:t>gastroenteritis (AGE) hospitalisations; emergency department (ED) attendances for gastrointestinal conditions; and consultations for infectious gastroenteritis at community walk-in-centres (WIC) and general practices (GP).</w:t>
      </w:r>
      <w:r>
        <w:t xml:space="preserve"> All analyses were</w:t>
      </w:r>
      <w:r w:rsidRPr="005411F6">
        <w:t xml:space="preserve"> stratified by age</w:t>
      </w:r>
      <w:r>
        <w:t>, hospitalisations were additionally stratified by vaccine</w:t>
      </w:r>
      <w:r w:rsidRPr="005411F6">
        <w:t xml:space="preserve"> uptake and </w:t>
      </w:r>
      <w:r>
        <w:t xml:space="preserve">small area-level </w:t>
      </w:r>
      <w:r w:rsidRPr="005411F6">
        <w:t>socioeconomic deprivation.</w:t>
      </w:r>
    </w:p>
    <w:p w14:paraId="17EB3A58" w14:textId="77777777" w:rsidR="0029357A" w:rsidRDefault="0029357A" w:rsidP="0029357A">
      <w:pPr>
        <w:pStyle w:val="Heading3"/>
        <w:spacing w:line="480" w:lineRule="auto"/>
      </w:pPr>
      <w:r>
        <w:t>Results</w:t>
      </w:r>
    </w:p>
    <w:p w14:paraId="3629FD9D" w14:textId="77777777" w:rsidR="0029357A" w:rsidRDefault="0029357A" w:rsidP="0029357A">
      <w:pPr>
        <w:spacing w:line="480" w:lineRule="auto"/>
      </w:pPr>
      <w:r>
        <w:t xml:space="preserve">Uptake of first and second dose of rotavirus vaccine was 91.4% (29108/31,836) and 86.7% (27,594/31,836), respectively. Among children aged &lt;5 years, the incidence of gastrointestinal disease decreased across all outcomes post-vaccine introduction: 80% (95% confidence interval [95% CI] 70-87%; p&lt;0.001) for RVGE hospitalisation; 44% (95% CI 35-53%; p&lt;0.001) for AGE Hospitalisations; 23% (95% CI 11-33%; p&lt;0.001) for ED; 32% (95% CI 15-45%; p=0.02) for WIC; and 13% (95% CI -3-26%; p=0.10) for GP. Impact was greatest during the rotavirus-season and for vaccine eligible age groups. In adults aged 65+ years, AGE hospitalisations fell by 25% (95% CI 19-30%; p&lt;0.001). </w:t>
      </w:r>
    </w:p>
    <w:p w14:paraId="03F339FE" w14:textId="77777777" w:rsidR="0029357A" w:rsidRDefault="0029357A" w:rsidP="0029357A">
      <w:pPr>
        <w:spacing w:line="480" w:lineRule="auto"/>
      </w:pPr>
      <w:r>
        <w:lastRenderedPageBreak/>
        <w:t>The pre-vaccine risk of AGE hospitalisation was highest in the most socioeconomically deprived communities (adjusted incident rate ratio 1.57; 95% CI 1.51-1.64; p&lt;0.001), as was the risk of non-vaccination (adjusted risk ratio 1.55; 95% CI 1.36-1.76; p&lt;0.001). The rate of AGE hospitalisations averted per 1,000 first doses of vaccine was higher among infants in the most deprived communities compared to the least deprived in 2014/15 (28; 95% CI 25-31 vs 15; 95% CI 12-17) and in 2015/16 (26; 95% CI 23-30 vs 13; 95% CI 11-16).</w:t>
      </w:r>
    </w:p>
    <w:p w14:paraId="25048377" w14:textId="77777777" w:rsidR="0029357A" w:rsidRDefault="0029357A" w:rsidP="0029357A">
      <w:pPr>
        <w:pStyle w:val="Heading3"/>
        <w:spacing w:line="480" w:lineRule="auto"/>
      </w:pPr>
      <w:r>
        <w:t>Conclusions</w:t>
      </w:r>
    </w:p>
    <w:p w14:paraId="39343CEE" w14:textId="77777777" w:rsidR="0029357A" w:rsidRDefault="0029357A" w:rsidP="0029357A">
      <w:pPr>
        <w:spacing w:line="480" w:lineRule="auto"/>
      </w:pPr>
      <w:r>
        <w:t>F</w:t>
      </w:r>
      <w:r w:rsidRPr="005411F6">
        <w:t xml:space="preserve">ollowing rotavirus vaccine introduction gastrointestinal </w:t>
      </w:r>
      <w:r>
        <w:t>disease</w:t>
      </w:r>
      <w:r w:rsidRPr="005411F6">
        <w:t xml:space="preserve"> </w:t>
      </w:r>
      <w:r>
        <w:t>reduced</w:t>
      </w:r>
      <w:r w:rsidRPr="005411F6">
        <w:t xml:space="preserve"> across the healthcare system</w:t>
      </w:r>
      <w:r>
        <w:t>. Vaccine impact was greatest</w:t>
      </w:r>
      <w:r w:rsidRPr="005411F6">
        <w:t xml:space="preserve"> among the most deprived populations</w:t>
      </w:r>
      <w:r>
        <w:t>, d</w:t>
      </w:r>
      <w:r w:rsidRPr="005411F6">
        <w:t>espite lower vaccine uptake</w:t>
      </w:r>
      <w:r>
        <w:t>.</w:t>
      </w:r>
      <w:r w:rsidRPr="00993B7D">
        <w:t xml:space="preserve"> </w:t>
      </w:r>
      <w:r>
        <w:t>P</w:t>
      </w:r>
      <w:r w:rsidRPr="00993B7D">
        <w:t xml:space="preserve">rioritising vaccine uptake in socioeconomically deprived communities </w:t>
      </w:r>
      <w:r>
        <w:t>should</w:t>
      </w:r>
      <w:r w:rsidRPr="00993B7D">
        <w:t xml:space="preserve"> give the greatest health benefit in terms of population disease burden</w:t>
      </w:r>
      <w:r>
        <w:t xml:space="preserve">. </w:t>
      </w:r>
    </w:p>
    <w:p w14:paraId="24A9C85B" w14:textId="77777777" w:rsidR="00230DA8" w:rsidRDefault="00230DA8" w:rsidP="0029357A">
      <w:pPr>
        <w:spacing w:line="480" w:lineRule="auto"/>
      </w:pPr>
    </w:p>
    <w:p w14:paraId="5823DCB1" w14:textId="77777777" w:rsidR="00767C52" w:rsidRDefault="00767C52" w:rsidP="0029357A">
      <w:pPr>
        <w:spacing w:line="480" w:lineRule="auto"/>
      </w:pPr>
      <w:r w:rsidRPr="00452D98">
        <w:t xml:space="preserve">Keywords: </w:t>
      </w:r>
      <w:r w:rsidRPr="00CB1E3E">
        <w:t>Surveillance; rotavirus; vaccine; gastroenteritis; paediatric; diarrhoea; health equity; socioeconomic inequalities; health service; epidemiology</w:t>
      </w:r>
    </w:p>
    <w:p w14:paraId="5B675068" w14:textId="77777777" w:rsidR="00767C52" w:rsidRPr="00230DA8" w:rsidRDefault="00767C52" w:rsidP="00230DA8">
      <w:pPr>
        <w:sectPr w:rsidR="00767C52" w:rsidRPr="00230DA8" w:rsidSect="00230DA8">
          <w:pgSz w:w="11906" w:h="16838"/>
          <w:pgMar w:top="1440" w:right="1440" w:bottom="1440" w:left="1440" w:header="708" w:footer="708" w:gutter="0"/>
          <w:lnNumType w:countBy="1" w:restart="continuous"/>
          <w:cols w:space="708"/>
          <w:docGrid w:linePitch="360"/>
        </w:sectPr>
      </w:pPr>
    </w:p>
    <w:p w14:paraId="63CB0A5B" w14:textId="77777777" w:rsidR="005B5821" w:rsidRDefault="005B5821" w:rsidP="00F4596C">
      <w:pPr>
        <w:pStyle w:val="Heading2"/>
        <w:spacing w:line="480" w:lineRule="auto"/>
      </w:pPr>
      <w:r>
        <w:lastRenderedPageBreak/>
        <w:t>Background</w:t>
      </w:r>
    </w:p>
    <w:p w14:paraId="7F59226A" w14:textId="5EED43DA" w:rsidR="00662086" w:rsidRDefault="00002FCE" w:rsidP="00AA588D">
      <w:pPr>
        <w:spacing w:after="120" w:line="480" w:lineRule="auto"/>
      </w:pPr>
      <w:r>
        <w:t>Prior to the introduction of rotavirus vaccination, r</w:t>
      </w:r>
      <w:r w:rsidR="00662086">
        <w:t>otavirus was the leading cause of severe gastroenteritis in children under five years of age worldwide, resulting in approximately 453,000 deaths per year and 40% of diarrhoeal hospital admissions</w:t>
      </w:r>
      <w:r w:rsidR="00131CAD">
        <w:t>.</w:t>
      </w:r>
      <w:r w:rsidR="00131CAD">
        <w:fldChar w:fldCharType="begin"/>
      </w:r>
      <w:r w:rsidR="00990F10">
        <w:instrText xml:space="preserve"> ADDIN ZOTERO_ITEM CSL_CITATION {"citationID":"a1llp99fmgs","properties":{"formattedCitation":"[1,2]","plainCitation":"[1,2]"},"citationItems":[{"id":62,"uris":["http://zotero.org/users/1755126/items/2XQCR7FP"],"uri":["http://zotero.org/users/1755126/items/2XQCR7FP"],"itemData":{"id":62,"type":"article-journal","title":"2008 estimate of worldwide rotavirus-associated mortality in children younger than 5 years before the introduction of universal rotavirus vaccination programmes: a systematic review and meta-analysis","container-title":"The Lancet infectious diseases","page":"136-141","volume":"12","issue":"2","source":"NCBI PubMed","abstract":"BACKGROUND: WHO recommends routine use of rotavirus vaccines in all countries, particularly in those with high mortality attributable to diarrhoeal diseases. To establish the burden of life-threatening rotavirus disease before the introduction of a rotavirus vaccine, we aimed to update the estimated number of deaths worldwide in children younger than 5 years due to diarrhoea attributable to rotavirus infection.\nMETHODS: We used PubMed to identify studies of at least 100 children younger than 5 years who had been admitted to hospital with diarrhoea. Additionally, we required the studies to have a data collection midpoint of the year 2000 or later, to be done in full-year increments, and to assesses diarrhoea attributable to rotavirus with EIAs or polyacrylamide gel electrophoresis. We also included data from countries that participated in the WHO-coordinated Global Rotavirus Surveillance Network (consisting of participating member states during 2009) and that met study criteria. For countries that have introduced a rotavirus vaccine into their national immunisation programmes, we excluded data subsequent to the introduction. We classified studies into one of five groups on the basis of region and the level of child mortality in the country in which the study was done. For each group, to obtain estimates of rotavirus-associated mortality, we multiplied the random-effect mean rotavirus detection rate by the 2008 diarrhoea-related mortality figures for countries in that group. We derived the worldwide mortality estimate by summing our regional estimates.\nFINDINGS: Worldwide in 2008, diarrhoea attributable to rotavirus infection resulted in 453,000 deaths (95% CI 420,000-494,000) in children younger than 5 years-37% of deaths attributable to diarrhoea and 5% of all deaths in children younger than 5 years. Five countries accounted for more than half of all deaths attributable to rotavirus infection: Democratic Republic of the Congo, Ethiopia, India, Nigeria, and Pakistan; India alone accounted for 22% of deaths (98,621 deaths).\nINTERPRETATION: Introduction of effective and available rotavirus vaccines could substantially affect worldwide deaths attributable to diarrhoea. Our new estimates can be used to advocate for rotavirus vaccine introduction and to monitor the effect of vaccination on mortality once introduced.","DOI":"10.1016/S1473-3099(11)70253-5","ISSN":"1474-4457","note":"PMID: 22030330","shortTitle":"2008 estimate of worldwide rotavirus-associated mortality in children younger than 5 years before the introduction of universal rotavirus vaccination programmes","journalAbbreviation":"Lancet Infect Dis","language":"eng","author":[{"family":"Tate","given":"Jacqueline E"},{"family":"Burton","given":"Anthony H"},{"family":"Boschi-Pinto","given":"Cynthia"},{"family":"Steele","given":"A Duncan"},{"family":"Duque","given":"Jazmin"},{"family":"Parashar","given":"Umesh D"},{"literal":"WHO-coordinated Global Rotavirus Surveillance Network"}],"issued":{"date-parts":[["2012",2]]}}},{"id":3401,"uris":["http://zotero.org/users/1755126/items/3N8BUS7U"],"uri":["http://zotero.org/users/1755126/items/3N8BUS7U"],"itemData":{"id":3401,"type":"article-journal","title":"Global networks of rotavirus gastroenteritis, 2001-2008","container-title":"Weekly Epidemiological Record","page":"421-428","volume":"83","issue":"47","journalAbbreviation":"Wkly Epidemiol Rec","author":[{"family":"World Health Organization","given":""}],"issued":{"date-parts":[["2008",11,21]]}}}],"schema":"https://github.com/citation-style-language/schema/raw/master/csl-citation.json"} </w:instrText>
      </w:r>
      <w:r w:rsidR="00131CAD">
        <w:fldChar w:fldCharType="separate"/>
      </w:r>
      <w:r w:rsidR="00331E8C" w:rsidRPr="00331E8C">
        <w:rPr>
          <w:rFonts w:ascii="Calibri" w:hAnsi="Calibri"/>
        </w:rPr>
        <w:t>[1,2]</w:t>
      </w:r>
      <w:r w:rsidR="00131CAD">
        <w:fldChar w:fldCharType="end"/>
      </w:r>
      <w:r w:rsidR="00131CAD">
        <w:t xml:space="preserve"> </w:t>
      </w:r>
      <w:r>
        <w:t>T</w:t>
      </w:r>
      <w:r w:rsidR="00662086">
        <w:t xml:space="preserve">wo orally administered live-attenuated rotavirus vaccines </w:t>
      </w:r>
      <w:r>
        <w:t>(</w:t>
      </w:r>
      <w:proofErr w:type="spellStart"/>
      <w:r w:rsidR="00662086">
        <w:t>Rotarix</w:t>
      </w:r>
      <w:proofErr w:type="spellEnd"/>
      <w:r w:rsidR="00662086" w:rsidRPr="00D00C8C">
        <w:t>®</w:t>
      </w:r>
      <w:r w:rsidR="00662086">
        <w:t xml:space="preserve"> (</w:t>
      </w:r>
      <w:r w:rsidR="00662086" w:rsidRPr="00D91B37">
        <w:t>GlaxoSmithKline Biologicals, Belgium</w:t>
      </w:r>
      <w:r w:rsidR="00662086">
        <w:t xml:space="preserve">) and </w:t>
      </w:r>
      <w:proofErr w:type="spellStart"/>
      <w:r w:rsidR="00662086">
        <w:t>RotaTeq</w:t>
      </w:r>
      <w:proofErr w:type="spellEnd"/>
      <w:r w:rsidR="00662086" w:rsidRPr="00D00C8C">
        <w:t>®</w:t>
      </w:r>
      <w:r w:rsidR="00662086">
        <w:t xml:space="preserve"> (</w:t>
      </w:r>
      <w:r w:rsidR="00662086" w:rsidRPr="00D91B37">
        <w:t xml:space="preserve">Merck Vaccines, </w:t>
      </w:r>
      <w:r w:rsidR="00662086">
        <w:t>USA)</w:t>
      </w:r>
      <w:r>
        <w:t>, have been introduced in</w:t>
      </w:r>
      <w:r w:rsidR="00662086">
        <w:t xml:space="preserve"> over </w:t>
      </w:r>
      <w:r w:rsidR="003449A4">
        <w:t xml:space="preserve">90 </w:t>
      </w:r>
      <w:r w:rsidR="00662086">
        <w:t>countries</w:t>
      </w:r>
      <w:r>
        <w:t xml:space="preserve"> worldwide</w:t>
      </w:r>
      <w:r w:rsidR="00662086">
        <w:t>.</w:t>
      </w:r>
      <w:r w:rsidR="00B51ACD">
        <w:fldChar w:fldCharType="begin"/>
      </w:r>
      <w:r w:rsidR="00990F10">
        <w:instrText xml:space="preserve"> ADDIN ZOTERO_ITEM CSL_CITATION {"citationID":"6VNTyu33","properties":{"formattedCitation":"[3]","plainCitation":"[3]"},"citationItems":[{"id":3711,"uris":["http://zotero.org/users/1755126/items/UDJUDANA"],"uri":["http://zotero.org/users/1755126/items/UDJUDANA"],"itemData":{"id":3711,"type":"webpage","title":"Rotavirus Deaths &amp; Rotavirus Vaccine Introduction Maps – ROTA Council","URL":"http://rotacouncil.org/toolkit/rotavirus-burden-vaccine-introduction-map/","author":[{"family":"ROTA Council","given":""}],"accessed":{"date-parts":[["2016",11,16]]}}}],"schema":"https://github.com/citation-style-language/schema/raw/master/csl-citation.json"} </w:instrText>
      </w:r>
      <w:r w:rsidR="00B51ACD">
        <w:fldChar w:fldCharType="separate"/>
      </w:r>
      <w:r w:rsidR="0034465A" w:rsidRPr="0034465A">
        <w:rPr>
          <w:rFonts w:ascii="Calibri" w:hAnsi="Calibri"/>
        </w:rPr>
        <w:t>[3]</w:t>
      </w:r>
      <w:r w:rsidR="00B51ACD">
        <w:fldChar w:fldCharType="end"/>
      </w:r>
      <w:r w:rsidR="00662086">
        <w:t xml:space="preserve"> </w:t>
      </w:r>
      <w:r w:rsidR="002F6B4E">
        <w:t>T</w:t>
      </w:r>
      <w:r w:rsidR="000874E1">
        <w:t>he g</w:t>
      </w:r>
      <w:r w:rsidR="00662086">
        <w:t xml:space="preserve">lobal mortality from rotavirus gastroenteritis </w:t>
      </w:r>
      <w:r w:rsidR="00AA1EA0">
        <w:t xml:space="preserve">(RVGE) </w:t>
      </w:r>
      <w:r w:rsidR="00662086">
        <w:t>ha</w:t>
      </w:r>
      <w:r w:rsidR="000874E1">
        <w:t>s</w:t>
      </w:r>
      <w:r w:rsidR="00662086">
        <w:t xml:space="preserve"> </w:t>
      </w:r>
      <w:r w:rsidR="002F6B4E">
        <w:t xml:space="preserve">subsequently </w:t>
      </w:r>
      <w:r w:rsidR="00662086">
        <w:t>more than halved</w:t>
      </w:r>
      <w:r w:rsidR="000874E1">
        <w:t xml:space="preserve"> (</w:t>
      </w:r>
      <w:r w:rsidR="00CB12B4">
        <w:t xml:space="preserve">recently </w:t>
      </w:r>
      <w:r w:rsidR="000874E1">
        <w:t xml:space="preserve">estimated at </w:t>
      </w:r>
      <w:r w:rsidR="00CB12B4">
        <w:t>between ~120 000 and ~</w:t>
      </w:r>
      <w:r w:rsidR="000874E1">
        <w:t>215 000)</w:t>
      </w:r>
      <w:r w:rsidR="004456EF">
        <w:t xml:space="preserve"> </w:t>
      </w:r>
      <w:r w:rsidR="000874E1">
        <w:t xml:space="preserve">and the number of </w:t>
      </w:r>
      <w:r w:rsidR="000874E1" w:rsidRPr="000874E1">
        <w:t>all-cause acute gastroenteritis</w:t>
      </w:r>
      <w:r w:rsidR="000874E1">
        <w:t xml:space="preserve"> (AGE) hospitalisations is estimated to have reduced by 38%</w:t>
      </w:r>
      <w:r w:rsidR="00662086">
        <w:t>.</w:t>
      </w:r>
      <w:r w:rsidR="00990F10">
        <w:fldChar w:fldCharType="begin"/>
      </w:r>
      <w:r w:rsidR="00990F10">
        <w:instrText xml:space="preserve"> ADDIN ZOTERO_ITEM CSL_CITATION {"citationID":"ap8795jtsb","properties":{"unsorted":true,"formattedCitation":"{\\rtf [4\\uc0\\u8211{}7]}","plainCitation":"[4–7]"},"citationItems":[{"id":3660,"uris":["http://zotero.org/users/1755126/items/FKCR9H6C"],"uri":["http://zotero.org/users/1755126/items/FKCR9H6C"],"itemData":{"id":3660,"type":"article-journal","title":"Global causes of diarrheal disease mortality in children &lt;5 years of age: a systematic review","container-title":"PloS One","page":"e72788","volume":"8","issue":"9","source":"PubMed","abstract":"Estimation of pathogen-specific causes of child diarrhea deaths is needed to guide vaccine development and other prevention strategies. We did a systematic review of articles published between 1990 and 2011 reporting at least one of 13 pathogens in children &lt;5 years of age hospitalized with diarrhea. We included 2011 rotavirus data from the Rotavirus Surveillance Network coordinated by WHO. We excluded studies conducted during diarrhea outbreaks that did not discriminate between inpatient and outpatient cases, reporting nosocomial infections, those conducted in special populations, not done with adequate methods, and rotavirus studies in countries where the rotavirus vaccine was used. Age-adjusted median proportions for each pathogen were calculated and applied to 712 000 deaths due to diarrhea in children under 5 years for 2011, assuming that those observed among children hospitalized for diarrhea represent those causing child diarrhea deaths. 163 articles and WHO studies done in 31 countries were selected representing 286 inpatient studies. Studies seeking only one pathogen found higher proportions for some pathogens than studies seeking multiple pathogens (e.g. 39% rotavirus in 180 single-pathogen studies vs. 20% in 24 studies with 5-13 pathogens, p&lt;0.0001). The percentage of episodes for which no pathogen could be identified was estimated to be 34%; the total of all age-adjusted percentages for pathogens and no-pathogen cases was 138%. Adjusting all proportions, including unknowns, to add to 100%, we estimated that rotavirus caused 197 000 [Uncertainty range (UR) 110 000-295 000], enteropathogenic E. coli 79 000 (UR 31 000-146 000), calicivirus 71 000 (UR 39 000-113 000), and enterotoxigenic E. coli 42 000 (UR 20 000-76 000) deaths. Rotavirus, calicivirus, enteropathogenic and enterotoxigenic E. coli cause more than half of all diarrheal deaths in children &lt;5 years in the world.","DOI":"10.1371/journal.pone.0072788","ISSN":"1932-6203","note":"PMID: 24023773\nPMCID: PMC3762858","shortTitle":"Global causes of diarrheal disease mortality in children &lt;5 years of age","journalAbbreviation":"PLoS ONE","language":"eng","author":[{"family":"Lanata","given":"Claudio F."},{"family":"Fischer-Walker","given":"Christa L."},{"family":"Olascoaga","given":"Ana C."},{"family":"Torres","given":"Carla X."},{"family":"Aryee","given":"Martin J."},{"family":"Black","given":"Robert E."},{"literal":"Child Health Epidemiology Reference Group of the World Health Organization and UNICEF"}],"issued":{"date-parts":[["2013"]]}}},{"id":3659,"uris":["http://zotero.org/users/1755126/items/9XVCHSKS"],"uri":["http://zotero.org/users/1755126/items/9XVCHSKS"],"itemData":{"id":3659,"type":"article-journal","title":"Global, Regional, and National Estimates of Rotavirus Mortality in Children &lt;5 Years of Age, 2000-2013","container-title":"Clinical Infectious Diseases: An Official Publication of the Infectious Diseases Society of America","page":"S96-S105","volume":"62 Suppl 2","source":"PubMed","abstract":"BACKGROUND: Rotavirus vaccine is recommended for routine use in all countries globally. To facilitate decision making on rotavirus vaccine adoption by countries, help donors prioritize investments in health interventions, and monitor vaccine impact, we estimated rotavirus mortality for children &lt;5 years of age from 2000 to 2013.\nMETHODS: We searched PubMed using the keyword \"rotavirus\" to identify studies that met each of the following criteria: data collection midpoint in year 1998 or later, study period of a 12-month increment, and detection of rotavirus infection by enzyme immunoassay in at least 100 children &lt;5 years of age who were hospitalized with diarrhea and systematically enrolled through active surveillance. We also included data from countries that participated in the World Health Organization (WHO)-coordinated rotavirus surveillance network between 2008 and 2013 that met these criteria. To predict the proportion of diarrhea due to rotavirus, we constructed a multiple linear regression model. To determine the number of rotavirus deaths in children &lt;5 years of age from 2000 to 2013, we multiplied annual, country-specific estimates of the proportion of diarrhea due to rotavirus from the regression model by the annual number of WHO-estimated child deaths caused by diarrhea in each country.\nRESULTS: Globally, we estimated that the number of rotavirus deaths in children &lt;5 years of age declined from 528 000 (range, 465 000-591 000) in 2000 to 215 000 (range, 197 000-233 000) in 2013. The predicted annual rotavirus detection rate from these studies declined slightly over time from 42.5% (95% confidence interval [CI], 37.4%-47.5%) in 2000 to 37.3% (95% CI, 34.2%-40.5%) in 2013 globally. In 2013, an estimated 47 100 rotavirus deaths occurred in India, 22% of all rotavirus deaths that occurred globally. Four countries (India, Nigeria, Pakistan, and Democratic Republic of Congo) accounted for approximately half (49%) of all estimated rotavirus deaths in 2013.\nDISCUSSION: While rotavirus vaccine had been introduced in &gt;60 countries worldwide by the end of 2013, the majority of countries using rotavirus vaccine during the review period were low-mortality countries and the impact of rotavirus vaccine on global estimates of rotavirus mortality has been limited. Continued monitoring of rotavirus mortality rates and deaths through rotavirus surveillance will aid in monitoring the impact of vaccination.","DOI":"10.1093/cid/civ1013","ISSN":"1537-6591","note":"PMID: 27059362","journalAbbreviation":"Clin. Infect. Dis.","language":"eng","author":[{"family":"Tate","given":"Jacqueline E."},{"family":"Burton","given":"Anthony H."},{"family":"Boschi-Pinto","given":"Cynthia"},{"family":"Parashar","given":"Umesh D."},{"literal":"World Health Organization–Coordinated Global Rotavirus Surveillance Network"}],"issued":{"date-parts":[["2016",5,1]]}}},{"id":4124,"uris":["http://zotero.org/users/1755126/items/BHSM7J7E"],"uri":["http://zotero.org/users/1755126/items/BHSM7J7E"],"itemData":{"id":4124,"type":"article-journal","title":"Global Impact of Rotavirus Vaccination on Childhood Hospitalizations and Mortality From Diarrhea","container-title":"The Journal of Infectious Diseases","page":"1666-1672","volume":"215","issue":"11","source":"academic.oup.com","DOI":"10.1093/infdis/jix186","ISSN":"0022-1899","journalAbbreviation":"J Infect Dis","author":[{"family":"Burnett","given":"Eleanor"},{"family":"Jonesteller","given":"Christine L."},{"family":"Tate","given":"Jacqueline E."},{"family":"Yen","given":"Catherine"},{"family":"Parashar","given":"Umesh D."}],"issued":{"date-parts":[["2017",6,1]]}}},{"id":4612,"uris":["http://zotero.org/users/1755126/items/TNVVVCAR"],"uri":["http://zotero.org/users/1755126/items/TNVVVCAR"],"itemData":{"id":4612,"type":"article-journal","title":"Estimating global, regional and national rotavirus deaths in children aged &lt;5 years: Current approaches, new analyses and proposed improvements","container-title":"PloS One","page":"e0183392","volume":"12","issue":"9","source":"PubMed","abstract":"BACKGROUND: Rotavirus is a leading cause of diarrhoeal mortality in children but there is considerable disagreement about how many deaths occur each year.\nMETHODS AND FINDINGS: We compared CHERG, GBD and WHO/CDC estimates of age under 5 years (U5) rotavirus deaths at the global, regional and national level using a standard year (2013) and standard list of 186 countries. The global estimates were 157,398 (CHERG), 122,322 (GBD) and 215,757 (WHO/CDC). The three groups used different methods: (i) to select data points for rotavirus-positive proportions; (ii) to extrapolate data points to individual countries; (iii) to account for rotavirus vaccine coverage; (iv) to convert rotavirus-positive proportions to rotavirus attributable fractions; and (v) to calculate uncertainty ranges. We conducted new analyses to inform future estimates. We found that acute watery diarrhoea was associated with 87% (95% CI 83-90%) of U5 diarrhoea hospitalisations based on data from 84 hospital sites in 9 countries, and 65% (95% CI 57-74%) of U5 diarrhoea deaths based on verbal autopsy reports from 9 country sites. We reanalysed data from the Global Enteric Multicenter Study (GEMS) and found 44% (55% in Asia, and 32% in Africa) rotavirus-positivity among U5 acute watery diarrhoea hospitalisations, and 28% rotavirus-positivity among U5 acute watery diarrhoea deaths. 97% (95% CI 95-98%) of the U5 diarrhoea hospitalisations that tested positive for rotavirus were entirely attributable to rotavirus. For all clinical syndromes combined the rotavirus attributable fraction was 34% (95% CI 31-36%). This increased by a factor of 1.08 (95% CI 1.02-1.14) when the GEMS results were reanalysed using a more sensitive molecular test.\nCONCLUSIONS: We developed consensus on seven proposals for improving the quality and transparency of future rotavirus mortality estimates.","DOI":"10.1371/journal.pone.0183392","ISSN":"1932-6203","note":"PMID: 28892480\nPMCID: PMC5593200","shortTitle":"Estimating global, regional and national rotavirus deaths in children aged &lt;5 years","journalAbbreviation":"PLoS ONE","language":"eng","author":[{"family":"Clark","given":"Andrew"},{"family":"Black","given":"Robert"},{"family":"Tate","given":"Jacqueline"},{"family":"Roose","given":"Anna"},{"family":"Kotloff","given":"Karen"},{"family":"Lam","given":"Diana"},{"family":"Blackwelder","given":"William"},{"family":"Parashar","given":"Umesh"},{"family":"Lanata","given":"Claudio"},{"family":"Kang","given":"Gagandeep"},{"family":"Troeger","given":"Christopher"},{"family":"Platts-Mills","given":"James"},{"family":"Mokdad","given":"Ali"},{"literal":"Global Rotavirus Surveillance Network"},{"family":"Sanderson","given":"Colin"},{"family":"Lamberti","given":"Laura"},{"family":"Levine","given":"Myron"},{"family":"Santosham","given":"Mathuram"},{"family":"Steele","given":"Duncan"}],"issued":{"date-parts":[["2017"]]}}}],"schema":"https://github.com/citation-style-language/schema/raw/master/csl-citation.json"} </w:instrText>
      </w:r>
      <w:r w:rsidR="00990F10">
        <w:fldChar w:fldCharType="separate"/>
      </w:r>
      <w:r w:rsidR="00990F10" w:rsidRPr="00990F10">
        <w:rPr>
          <w:rFonts w:ascii="Calibri" w:hAnsi="Calibri" w:cs="Times New Roman"/>
          <w:szCs w:val="24"/>
        </w:rPr>
        <w:t>[4–7]</w:t>
      </w:r>
      <w:r w:rsidR="00990F10">
        <w:fldChar w:fldCharType="end"/>
      </w:r>
    </w:p>
    <w:p w14:paraId="538128B2" w14:textId="30F48271" w:rsidR="00B20EB3" w:rsidRDefault="0016799B" w:rsidP="00AA588D">
      <w:pPr>
        <w:spacing w:after="120" w:line="480" w:lineRule="auto"/>
      </w:pPr>
      <w:r w:rsidRPr="0016799B">
        <w:t xml:space="preserve">Although the majority of the severe disease burden </w:t>
      </w:r>
      <w:r w:rsidR="001458C9">
        <w:t>is located</w:t>
      </w:r>
      <w:r w:rsidRPr="0016799B">
        <w:t xml:space="preserve"> in developing countries, </w:t>
      </w:r>
      <w:r w:rsidR="00415B02">
        <w:t xml:space="preserve">rotavirus </w:t>
      </w:r>
      <w:r w:rsidR="0064041B">
        <w:t xml:space="preserve">was estimated to cause approximately 80 </w:t>
      </w:r>
      <w:r w:rsidR="0064041B" w:rsidRPr="00415B02">
        <w:t xml:space="preserve">000 general practice (GP) consultations </w:t>
      </w:r>
      <w:r w:rsidR="0064041B">
        <w:t>and</w:t>
      </w:r>
      <w:r w:rsidR="0064041B" w:rsidRPr="00415B02">
        <w:t xml:space="preserve"> 750</w:t>
      </w:r>
      <w:r w:rsidR="0064041B">
        <w:t xml:space="preserve"> </w:t>
      </w:r>
      <w:r w:rsidR="0064041B" w:rsidRPr="00415B02">
        <w:t>000 diarrhoea episodes</w:t>
      </w:r>
      <w:r w:rsidR="0064041B">
        <w:t xml:space="preserve"> each year</w:t>
      </w:r>
      <w:r w:rsidR="002F6B4E">
        <w:t xml:space="preserve"> in the UK</w:t>
      </w:r>
      <w:r w:rsidR="00B51ACD">
        <w:t>;</w:t>
      </w:r>
      <w:r w:rsidR="004456EF">
        <w:fldChar w:fldCharType="begin"/>
      </w:r>
      <w:r w:rsidR="00990F10">
        <w:instrText xml:space="preserve"> ADDIN ZOTERO_ITEM CSL_CITATION {"citationID":"a1akvb6obiv","properties":{"formattedCitation":"[8]","plainCitation":"[8]"},"citationItems":[{"id":1446,"uris":["http://zotero.org/users/1755126/items/RSP7WTSM"],"uri":["http://zotero.org/users/1755126/items/RSP7WTSM"],"itemData":{"id":1446,"type":"article-journal","title":"Longitudinal study of infectious intestinal disease in the UK (IID2 study): incidence in the community and presenting to general practice","container-title":"Gut","page":"69-77","volume":"61","issue":"1","source":"NCBI PubMed","abstract":"OBJECTIVES: To estimate, overall and by organism, the incidence of infectious intestinal disease (IID) in the community, presenting to general practice (GP) and reported to national surveillance.\nDESIGN: Prospective, community cohort study and prospective study of GP presentation conducted between April 2008 and August 2009.\nSETTING: Eighty-eight GPs across the UK recruited from the Medical Research Council General Practice Research Framework and the Primary Care Research Networks.\nPARTICIPANTS: 6836 participants registered with the 88 participating practices in the community study; 991 patients with UK-acquired IID presenting to one of 37 practices taking part in the GP presentation study.\nMAIN OUTCOME MEASURES: IID rates in the community, presenting to GP and reported to national surveillance, overall and by organism; annual IID cases and GP consultations by organism.\nRESULTS: The overall rate of IID in the community was 274 cases per 1000 person-years (95% CI 254 to 296); the rate of GP consultations was 17.7 per 1000 person-years (95% CI 14.4 to 21.8). There were 147 community cases and 10 GP consultations for every case reported to national surveillance. Norovirus was the most common organism, with incidence rates of 47 community cases per 1000 person-years and 2.1 GP consultations per 1000 person-years. Campylobacter was the most common bacterial pathogen, with a rate of 9.3 cases per 1000 person-years in the community, and 1.3 GP consultations per 1000 person-years. We estimate that there are up to 17 million sporadic, community cases of IID and 1 million GP consultations annually in the UK. Of these, norovirus accounts for 3 million cases and 130,000 GP consultations, and Campylobacter is responsible for 500,000 cases and 80,000 GP consultations.\nCONCLUSIONS: IID poses a substantial community and healthcare burden in the UK. Control efforts must focus particularly on reducing the burden due to Campylobacter and enteric viruses.","DOI":"10.1136/gut.2011.238386","ISSN":"1468-3288","note":"PMID: 21708822 \nPMCID: PMC3230829","shortTitle":"Longitudinal study of infectious intestinal disease in the UK (IID2 study)","journalAbbreviation":"Gut","language":"eng","author":[{"family":"Tam","given":"Clarence C"},{"family":"Rodrigues","given":"Laura C"},{"family":"Viviani","given":"Laura"},{"family":"Dodds","given":"Julie P"},{"family":"Evans","given":"Meirion R"},{"family":"Hunter","given":"Paul R"},{"family":"Gray","given":"Jim J"},{"family":"Letley","given":"Louise H"},{"family":"Rait","given":"Greta"},{"family":"Tompkins","given":"David S"},{"family":"O'Brien","given":"Sarah J"},{"literal":"IID2 Study Executive Committee"}],"issued":{"date-parts":[["2012",1]]}}}],"schema":"https://github.com/citation-style-language/schema/raw/master/csl-citation.json"} </w:instrText>
      </w:r>
      <w:r w:rsidR="004456EF">
        <w:fldChar w:fldCharType="separate"/>
      </w:r>
      <w:r w:rsidR="00990F10" w:rsidRPr="00990F10">
        <w:rPr>
          <w:rFonts w:ascii="Calibri" w:hAnsi="Calibri"/>
        </w:rPr>
        <w:t>[8]</w:t>
      </w:r>
      <w:r w:rsidR="004456EF">
        <w:fldChar w:fldCharType="end"/>
      </w:r>
      <w:r w:rsidR="0064041B">
        <w:t xml:space="preserve"> </w:t>
      </w:r>
      <w:r w:rsidR="00415B02" w:rsidRPr="00415B02">
        <w:t xml:space="preserve">45% </w:t>
      </w:r>
      <w:r w:rsidR="00B51ACD">
        <w:t xml:space="preserve">of hospitalisations </w:t>
      </w:r>
      <w:r w:rsidR="00415B02" w:rsidRPr="00415B02">
        <w:t xml:space="preserve">and 20% emergency department (ED) attendances for </w:t>
      </w:r>
      <w:r w:rsidR="00DA665C">
        <w:t>AGE</w:t>
      </w:r>
      <w:r w:rsidR="00427BBF">
        <w:t xml:space="preserve"> </w:t>
      </w:r>
      <w:r w:rsidR="00160732">
        <w:t>in children under 5 years of age</w:t>
      </w:r>
      <w:r w:rsidR="00E91F17">
        <w:t xml:space="preserve"> were</w:t>
      </w:r>
      <w:r w:rsidR="00B51ACD">
        <w:t xml:space="preserve"> attributable to rotavirus</w:t>
      </w:r>
      <w:r w:rsidR="00427BBF">
        <w:t>.</w:t>
      </w:r>
      <w:r w:rsidR="004456EF">
        <w:fldChar w:fldCharType="begin"/>
      </w:r>
      <w:r w:rsidR="00990F10">
        <w:instrText xml:space="preserve"> ADDIN ZOTERO_ITEM CSL_CITATION {"citationID":"a2bvsef815q","properties":{"formattedCitation":"[9]","plainCitation":"[9]"},"citationItems":[{"id":890,"uris":["http://zotero.org/users/1755126/items/GZN3HVF4"],"uri":["http://zotero.org/users/1755126/items/GZN3HVF4"],"itemData":{"id":890,"type":"article-journal","title":"Evaluating rotavirus vaccination in England and Wales. Part I. Estimating the burden of disease","container-title":"Vaccine","page":"3962-3970","volume":"25","issue":"20","source":"NCBI PubMed","abstract":"Rotavirus is a major cause of gastroenteritis in young children. New vaccines for rotavirus are now available and countries need to establish the health and economic burden of rotavirus disease to assess whether vaccine introduction is advisable. This study assesses the fraction of acute gastroenteritis in children under 5 years that may be attributable to rotavirus using multiple linear regression. Results suggest around 45% of hospitalisations, 25% of GP consultations, 27% of NHS Direct calls and 20% of accident and emergency (A&amp;E) attendances for acute gastroenteritis in this age group may be attributable to rotavirus. The annual incidence is estimated to be 4.5 hospitalisations, 9.3 A&amp;E consultations, and 28-44 GP consultations per 1000 children under five years of age. The cost to the health service is estimated to be pound 14.2m per annum. Rotavirus vaccination has the potential to reduce this burden of disease. This study provides a sound basis on which to make this assessment and serves as a baseline against which any reductions that do occur if vaccination is introduced can be measured against.","DOI":"10.1016/j.vaccine.2007.02.072","ISSN":"0264-410X","note":"PMID: 17395343","journalAbbreviation":"Vaccine","language":"eng","author":[{"family":"Harris","given":"J P"},{"family":"Jit","given":"M"},{"family":"Cooper","given":"D"},{"family":"Edmunds","given":"W J"}],"issued":{"date-parts":[["2007",5,16]]}}}],"schema":"https://github.com/citation-style-language/schema/raw/master/csl-citation.json"} </w:instrText>
      </w:r>
      <w:r w:rsidR="004456EF">
        <w:fldChar w:fldCharType="separate"/>
      </w:r>
      <w:r w:rsidR="00990F10" w:rsidRPr="00990F10">
        <w:rPr>
          <w:rFonts w:ascii="Calibri" w:hAnsi="Calibri"/>
        </w:rPr>
        <w:t>[9]</w:t>
      </w:r>
      <w:r w:rsidR="004456EF">
        <w:fldChar w:fldCharType="end"/>
      </w:r>
      <w:r w:rsidR="00D334F5">
        <w:t xml:space="preserve"> </w:t>
      </w:r>
      <w:r w:rsidR="00F2549B" w:rsidRPr="00F2549B">
        <w:t>The National Health Service (NHS) in the England is free at the point of use for all UK residents, with vaccinations included in the routine immunisation schedule also free of charge.</w:t>
      </w:r>
      <w:r w:rsidR="00F2549B">
        <w:t xml:space="preserve"> </w:t>
      </w:r>
      <w:r w:rsidR="00E91F17">
        <w:t>T</w:t>
      </w:r>
      <w:r w:rsidR="00B20EB3">
        <w:t>he monovalent rotavirus vaccine (</w:t>
      </w:r>
      <w:proofErr w:type="spellStart"/>
      <w:r w:rsidR="00B20EB3">
        <w:t>Rotarix</w:t>
      </w:r>
      <w:proofErr w:type="spellEnd"/>
      <w:r w:rsidR="00B20EB3">
        <w:t>®) was introduced into the UK childhood immunisation schedule in July 2013, with two doses delivered at 8 and 12 weeks of age.</w:t>
      </w:r>
      <w:r w:rsidR="00B20EB3">
        <w:fldChar w:fldCharType="begin"/>
      </w:r>
      <w:r w:rsidR="00990F10">
        <w:instrText xml:space="preserve"> ADDIN ZOTERO_ITEM CSL_CITATION {"citationID":"a14bkh74ck5","properties":{"formattedCitation":"[10]","plainCitation":"[10]"},"citationItems":[{"id":359,"uris":["http://zotero.org/users/1755126/items/85NNCTUN"],"uri":["http://zotero.org/users/1755126/items/85NNCTUN"],"itemData":{"id":359,"type":"article-journal","title":"Rotavirus vaccine: a welcome addition to the immunisation schedule in the UK","container-title":"BMJ (Clinical research ed.)","page":"f2347","volume":"346","source":"NCBI PubMed","ISSN":"1756-1833","note":"PMID: 23587749","shortTitle":"Rotavirus vaccine","journalAbbreviation":"BMJ","language":"eng","author":[{"family":"Iturriza-Gómara","given":"Miren"},{"family":"Cunliffe","given":"Nigel"}],"issued":{"date-parts":[["2013"]]}}}],"schema":"https://github.com/citation-style-language/schema/raw/master/csl-citation.json"} </w:instrText>
      </w:r>
      <w:r w:rsidR="00B20EB3">
        <w:fldChar w:fldCharType="separate"/>
      </w:r>
      <w:r w:rsidR="00990F10" w:rsidRPr="00990F10">
        <w:rPr>
          <w:rFonts w:ascii="Calibri" w:hAnsi="Calibri"/>
        </w:rPr>
        <w:t>[10]</w:t>
      </w:r>
      <w:r w:rsidR="00B20EB3">
        <w:fldChar w:fldCharType="end"/>
      </w:r>
      <w:r w:rsidR="00B20EB3">
        <w:t xml:space="preserve"> Vaccine uptake in England increased rapidly, reaching over 91% for 1 dose by February 2014 and over 94% by mid-2016.</w:t>
      </w:r>
      <w:r w:rsidR="00B20EB3">
        <w:fldChar w:fldCharType="begin"/>
      </w:r>
      <w:r w:rsidR="00990F10">
        <w:instrText xml:space="preserve"> ADDIN ZOTERO_ITEM CSL_CITATION {"citationID":"ain4a0ugpk","properties":{"formattedCitation":"[11]","plainCitation":"[11]"},"citationItems":[{"id":3552,"uris":["http://zotero.org/users/1755126/items/DJUEC8MT"],"uri":["http://zotero.org/users/1755126/items/DJUEC8MT"],"itemData":{"id":3552,"type":"article-journal","title":"National rotavirus immunisation programme: preliminary data for England, February 2016 to July 2016","container-title":"Health Protection Report: weekly report","collection-title":"Health Protection Report","page":"1-6","volume":"10","issue":"32","language":"English","author":[{"family":"Public Health England","given":""}],"issued":{"date-parts":[["2016",9,23]]}}}],"schema":"https://github.com/citation-style-language/schema/raw/master/csl-citation.json"} </w:instrText>
      </w:r>
      <w:r w:rsidR="00B20EB3">
        <w:fldChar w:fldCharType="separate"/>
      </w:r>
      <w:r w:rsidR="00990F10" w:rsidRPr="00990F10">
        <w:rPr>
          <w:rFonts w:ascii="Calibri" w:hAnsi="Calibri"/>
        </w:rPr>
        <w:t>[11]</w:t>
      </w:r>
      <w:r w:rsidR="00B20EB3">
        <w:fldChar w:fldCharType="end"/>
      </w:r>
      <w:r w:rsidR="00B20EB3">
        <w:t xml:space="preserve"> To date, studies in the UK have separately, and for varied populations and time periods, analysed vaccine impact on rotavirus laboratory detections (77% reduction in infants),</w:t>
      </w:r>
      <w:r w:rsidR="00B20EB3">
        <w:fldChar w:fldCharType="begin"/>
      </w:r>
      <w:r w:rsidR="00990F10">
        <w:instrText xml:space="preserve"> ADDIN ZOTERO_ITEM CSL_CITATION {"citationID":"a1c7phc3e69","properties":{"formattedCitation":"[12]","plainCitation":"[12]"},"citationItems":[{"id":3549,"uris":["http://zotero.org/users/1755126/items/DPDKKBVS"],"uri":["http://zotero.org/users/1755126/items/DPDKKBVS"],"itemData":{"id":3549,"type":"article-journal","title":"Rapid Declines in Age Group–Specific Rotavirus Infection and Acute Gastroenteritis Among Vaccinated and Unvaccinated Individuals Within 1 Year of Rotavirus Vaccine Introduction in England and Wales","container-title":"Journal of Infectious Diseases","page":"jiv398","source":"jid.oxfordjournals.org","abstract":"Background. The oral infant rotavirus vaccine, Rotarix, was introduced in England and Wales in July 2013. We estimated the impact on laboratory-confirmed rotavirus infections and hospitalizations for all-cause acute gastroenteritis (AGE) during the first year after introduction.\nMethods. We extracted data on laboratory-confirmed rotavirus infections (July 2000 through June 2015) and all-cause AGE–associated hospitalizations (July 2007 through June 2014) for all age groups using national databases (LabBase2 and HES). We determined the ratio of the rate during the 2013–2014 rotavirus season to the rate during the prevaccination era.\nResults. In infants, there was a 77% decline (rate ratio [RR], 0.23; 95% confidence interval [CI], .16–.32) in laboratory-confirmed rotavirus infections and a 26% decline (RR, 0.74; 95% CI, .65–.84) in all-cause AGE–associated hospitalizations in 2013–2014, compared with the prevaccination era. Large reductions were also observed in older children, adults, and older adults. We estimated that 10 884 laboratory-confirmed infections and 50 427 all-cause AGE–associated hospital admissions were averted in 2013–2014. Similar reductions have been observed for laboratory-confirmed rotavirus infections during the 2014–2015 season.\nConclusions. The rapid declines in rotavirus infection and AGE in vaccinated and unvaccinated age groups within 1 year of introducing an infant rotavirus vaccination program are far greater than expected and than previously reported by other countries.","DOI":"10.1093/infdis/jiv398","ISSN":"0022-1899, 1537-6613","note":"PMID: 26232438","journalAbbreviation":"J Infect Dis.","language":"en","author":[{"family":"Atchison","given":"Christina J."},{"family":"Stowe","given":"Julia"},{"family":"Andrews","given":"Nick"},{"family":"Collins","given":"Sarah"},{"family":"Allen","given":"David J."},{"family":"Nawaz","given":"Sameena"},{"family":"Brown","given":"David"},{"family":"Ramsay","given":"Mary E."},{"family":"Ladhani","given":"Shamez N."}],"issued":{"date-parts":[["2015",7,30]]}}}],"schema":"https://github.com/citation-style-language/schema/raw/master/csl-citation.json"} </w:instrText>
      </w:r>
      <w:r w:rsidR="00B20EB3">
        <w:fldChar w:fldCharType="separate"/>
      </w:r>
      <w:r w:rsidR="00990F10" w:rsidRPr="00990F10">
        <w:rPr>
          <w:rFonts w:ascii="Calibri" w:hAnsi="Calibri"/>
        </w:rPr>
        <w:t>[12]</w:t>
      </w:r>
      <w:r w:rsidR="00B20EB3">
        <w:fldChar w:fldCharType="end"/>
      </w:r>
      <w:r w:rsidR="00B20EB3">
        <w:t xml:space="preserve"> RVGE hospitalisations (&gt;80% reduction in infants),</w:t>
      </w:r>
      <w:r w:rsidR="00B20EB3">
        <w:fldChar w:fldCharType="begin"/>
      </w:r>
      <w:r w:rsidR="00990F10">
        <w:instrText xml:space="preserve"> ADDIN ZOTERO_ITEM CSL_CITATION {"citationID":"a296vnd2vr3","properties":{"formattedCitation":"[13]","plainCitation":"[13]"},"citationItems":[{"id":3654,"uris":["http://zotero.org/users/1755126/items/JGNCDQNN"],"uri":["http://zotero.org/users/1755126/items/JGNCDQNN"],"itemData":{"id":3654,"type":"article-journal","title":"Early impact of rotavirus vaccination in a large paediatric hospital in the UK","container-title":"The Journal of Hospital Infection","page":"117-120","volume":"93","issue":"2","source":"PubMed","abstract":"The impact of routine rotavirus vaccination on community-acquired (CA) and healthcare-associated (HA) rotavirus gastroenteritis (RVGE) at a large paediatric hospital, UK, was investigated over a 13-year period. A total of 1644 hospitalized children aged 0-15 years tested positive for rotavirus between July 2002 and June 2015. Interrupted time-series analysis demonstrated that, post vaccine introduction (July 2013 to June 2015), CA- and HA-RVGE hospitalizations were 83% [95% confidence interval (CI): 72-90%) and 83% (95% CI: 66-92%] lower than expected, respectively. Rotavirus vaccination has rapidly reduced the hospital rotavirus disease burden among both CA- and HA-RVGE cases.","DOI":"10.1016/j.jhin.2015.12.010","ISSN":"1532-2939","note":"PMID: 26876744","journalAbbreviation":"J. Hosp. Infect.","language":"eng","author":[{"family":"Hungerford","given":"D."},{"family":"Read","given":"J. M."},{"family":"Cooke","given":"R. P. D."},{"family":"Vivancos","given":"R."},{"family":"Iturriza-Gómara","given":"M."},{"family":"Allen","given":"D. J."},{"family":"French","given":"N."},{"family":"Cunliffe","given":"N."}],"issued":{"date-parts":[["2016",6]]}}}],"schema":"https://github.com/citation-style-language/schema/raw/master/csl-citation.json"} </w:instrText>
      </w:r>
      <w:r w:rsidR="00B20EB3">
        <w:fldChar w:fldCharType="separate"/>
      </w:r>
      <w:r w:rsidR="00990F10" w:rsidRPr="00990F10">
        <w:rPr>
          <w:rFonts w:ascii="Calibri" w:hAnsi="Calibri"/>
        </w:rPr>
        <w:t>[13]</w:t>
      </w:r>
      <w:r w:rsidR="00B20EB3">
        <w:fldChar w:fldCharType="end"/>
      </w:r>
      <w:r w:rsidR="00B20EB3">
        <w:t xml:space="preserve"> all cause AGE hospitalisations (26% in infants),</w:t>
      </w:r>
      <w:r w:rsidR="00B20EB3">
        <w:fldChar w:fldCharType="begin"/>
      </w:r>
      <w:r w:rsidR="00990F10">
        <w:instrText xml:space="preserve"> ADDIN ZOTERO_ITEM CSL_CITATION {"citationID":"au3djiuheb","properties":{"formattedCitation":"[12]","plainCitation":"[12]"},"citationItems":[{"id":3549,"uris":["http://zotero.org/users/1755126/items/DPDKKBVS"],"uri":["http://zotero.org/users/1755126/items/DPDKKBVS"],"itemData":{"id":3549,"type":"article-journal","title":"Rapid Declines in Age Group–Specific Rotavirus Infection and Acute Gastroenteritis Among Vaccinated and Unvaccinated Individuals Within 1 Year of Rotavirus Vaccine Introduction in England and Wales","container-title":"Journal of Infectious Diseases","page":"jiv398","source":"jid.oxfordjournals.org","abstract":"Background. The oral infant rotavirus vaccine, Rotarix, was introduced in England and Wales in July 2013. We estimated the impact on laboratory-confirmed rotavirus infections and hospitalizations for all-cause acute gastroenteritis (AGE) during the first year after introduction.\nMethods. We extracted data on laboratory-confirmed rotavirus infections (July 2000 through June 2015) and all-cause AGE–associated hospitalizations (July 2007 through June 2014) for all age groups using national databases (LabBase2 and HES). We determined the ratio of the rate during the 2013–2014 rotavirus season to the rate during the prevaccination era.\nResults. In infants, there was a 77% decline (rate ratio [RR], 0.23; 95% confidence interval [CI], .16–.32) in laboratory-confirmed rotavirus infections and a 26% decline (RR, 0.74; 95% CI, .65–.84) in all-cause AGE–associated hospitalizations in 2013–2014, compared with the prevaccination era. Large reductions were also observed in older children, adults, and older adults. We estimated that 10 884 laboratory-confirmed infections and 50 427 all-cause AGE–associated hospital admissions were averted in 2013–2014. Similar reductions have been observed for laboratory-confirmed rotavirus infections during the 2014–2015 season.\nConclusions. The rapid declines in rotavirus infection and AGE in vaccinated and unvaccinated age groups within 1 year of introducing an infant rotavirus vaccination program are far greater than expected and than previously reported by other countries.","DOI":"10.1093/infdis/jiv398","ISSN":"0022-1899, 1537-6613","note":"PMID: 26232438","journalAbbreviation":"J Infect Dis.","language":"en","author":[{"family":"Atchison","given":"Christina J."},{"family":"Stowe","given":"Julia"},{"family":"Andrews","given":"Nick"},{"family":"Collins","given":"Sarah"},{"family":"Allen","given":"David J."},{"family":"Nawaz","given":"Sameena"},{"family":"Brown","given":"David"},{"family":"Ramsay","given":"Mary E."},{"family":"Ladhani","given":"Shamez N."}],"issued":{"date-parts":[["2015",7,30]]}}}],"schema":"https://github.com/citation-style-language/schema/raw/master/csl-citation.json"} </w:instrText>
      </w:r>
      <w:r w:rsidR="00B20EB3">
        <w:fldChar w:fldCharType="separate"/>
      </w:r>
      <w:r w:rsidR="00990F10" w:rsidRPr="00990F10">
        <w:rPr>
          <w:rFonts w:ascii="Calibri" w:hAnsi="Calibri"/>
        </w:rPr>
        <w:t>[12]</w:t>
      </w:r>
      <w:r w:rsidR="00B20EB3">
        <w:fldChar w:fldCharType="end"/>
      </w:r>
      <w:r w:rsidR="00B20EB3">
        <w:t xml:space="preserve"> and GP attendances for diarrhoea related illness</w:t>
      </w:r>
      <w:r w:rsidR="00D00C8C">
        <w:t xml:space="preserve"> </w:t>
      </w:r>
      <w:r w:rsidR="00B20EB3">
        <w:t>(20-30% in under 5 year olds) .</w:t>
      </w:r>
      <w:r w:rsidR="00B20EB3">
        <w:fldChar w:fldCharType="begin"/>
      </w:r>
      <w:r w:rsidR="00990F10">
        <w:instrText xml:space="preserve"> ADDIN ZOTERO_ITEM CSL_CITATION {"citationID":"af2dt3sn","properties":{"formattedCitation":"[14]","plainCitation":"[14]"},"citationItems":[{"id":3489,"uris":["http://zotero.org/users/1755126/items/PGX2BFV5"],"uri":["http://zotero.org/users/1755126/items/PGX2BFV5"],"itemData":{"id":3489,"type":"article-journal","title":"Assessing the Likely Impact of a Rotavirus Vaccination Program in England: The Contribution of Syndromic Surveillance","container-title":"Clinical Infectious Diseases","page":"civ264","source":"cid.oxfordjournals.org.ezproxy.liv.ac.uk","abstract":"Background. In July 2013, a rotavirus vaccination program for 2- to 3-month-olds was introduced in the United Kingdom. We present an initial impact analysis of this new vaccine program using national syndromic surveillance systems.\nMethods. General practitioner (GP) in-hours, GP out-of-hours, and emergency department (ED) syndromic surveillance systems were used to monitor GP consultations and ED visits for gastroenteritis, diarrhea, and vomiting. Data were stratified by age group and compared between pre- and postvaccine-year rotavirus seasons. Incidence rate ratios (IRRs) and percentage ratios were calculated for GP in-hours consultations and GP out-of-hours and ED data, respectively.\nResults. There was a significant reduction in gastroenteritis, diarrhea, and vomiting GP in-hours consultations in children aged 0–4 years when comparing the rotavirus season in the pre- and postvaccine years (P &lt; .001 for all indicators). IRRs illustrated a 26%–33% and 23%–31% decrease in gastroenteritis incidence in the &lt;1 and 1–4 years age groups, respectively, across the syndromic surveillance systems. There was also an 8% decrease recorded in the 5–14 years age group in the GP in-hours and ED systems.\nConclusions. Syndromic surveillance revealed a marked decline in gastroenteritis, coinciding with the introduction of the new rotavirus vaccine program in England. The largest reduction in disease was observed in infants, although some impact was also demonstrated in children aged 1–4 and 5–14 years, suggesting possible herd protection in older age groups. This study was limited to the first postvaccine year, and further analysis is required to assess the longer-term impact of the vaccine.","DOI":"10.1093/cid/civ264","ISSN":"1058-4838, 1537-6591","note":"PMID: 25828997","shortTitle":"Assessing the Likely Impact of a Rotavirus Vaccination Program in England","journalAbbreviation":"Clin Infect Dis.","language":"en","author":[{"family":"Bawa","given":"Zharain"},{"family":"Elliot","given":"Alex J."},{"family":"Morbey","given":"Roger A."},{"family":"Ladhani","given":"Shamez"},{"family":"Cunliffe","given":"Nigel A."},{"family":"O'Brien","given":"Sarah J."},{"family":"Regan","given":"Martyn"},{"family":"Smith","given":"Gillian E."}],"issued":{"date-parts":[["2015",3,31]]}}}],"schema":"https://github.com/citation-style-language/schema/raw/master/csl-citation.json"} </w:instrText>
      </w:r>
      <w:r w:rsidR="00B20EB3">
        <w:fldChar w:fldCharType="separate"/>
      </w:r>
      <w:r w:rsidR="00990F10" w:rsidRPr="00990F10">
        <w:rPr>
          <w:rFonts w:ascii="Calibri" w:hAnsi="Calibri"/>
        </w:rPr>
        <w:t>[14]</w:t>
      </w:r>
      <w:r w:rsidR="00B20EB3">
        <w:fldChar w:fldCharType="end"/>
      </w:r>
      <w:r w:rsidR="00B20EB3">
        <w:t xml:space="preserve"> </w:t>
      </w:r>
    </w:p>
    <w:p w14:paraId="4E9255B4" w14:textId="04247C3A" w:rsidR="006C2270" w:rsidRDefault="00E91F17" w:rsidP="00AA588D">
      <w:pPr>
        <w:spacing w:after="120" w:line="480" w:lineRule="auto"/>
      </w:pPr>
      <w:r>
        <w:t xml:space="preserve">This study aimed </w:t>
      </w:r>
      <w:r w:rsidR="00EC0337">
        <w:t>to</w:t>
      </w:r>
      <w:r w:rsidR="00C87830">
        <w:t xml:space="preserve"> </w:t>
      </w:r>
      <w:r w:rsidR="00295378">
        <w:t xml:space="preserve">assess the effect of </w:t>
      </w:r>
      <w:r>
        <w:t xml:space="preserve">rotavirus </w:t>
      </w:r>
      <w:r w:rsidR="00295378">
        <w:t xml:space="preserve">vaccination on multiple levels of the </w:t>
      </w:r>
      <w:r>
        <w:t xml:space="preserve">UK </w:t>
      </w:r>
      <w:r w:rsidR="00295378">
        <w:t>health care system</w:t>
      </w:r>
      <w:r w:rsidR="00481DC9">
        <w:t xml:space="preserve"> </w:t>
      </w:r>
      <w:r w:rsidR="00C87830">
        <w:t>simultaneously</w:t>
      </w:r>
      <w:r>
        <w:t>,</w:t>
      </w:r>
      <w:r w:rsidR="00C87830">
        <w:t xml:space="preserve"> </w:t>
      </w:r>
      <w:r w:rsidR="00EC0337">
        <w:t>by</w:t>
      </w:r>
      <w:r w:rsidR="00295378">
        <w:t xml:space="preserve"> examin</w:t>
      </w:r>
      <w:r w:rsidR="00EC0337">
        <w:t>ing</w:t>
      </w:r>
      <w:r w:rsidR="00295378">
        <w:t xml:space="preserve"> the trends in</w:t>
      </w:r>
      <w:r w:rsidR="00481DC9">
        <w:t xml:space="preserve"> </w:t>
      </w:r>
      <w:r w:rsidR="00CD2F15">
        <w:t>hospitalisations</w:t>
      </w:r>
      <w:r w:rsidR="00295378">
        <w:t xml:space="preserve">, </w:t>
      </w:r>
      <w:r w:rsidR="00D00C8C">
        <w:t>ED</w:t>
      </w:r>
      <w:r w:rsidR="00295378">
        <w:t xml:space="preserve"> attendances, community health consultations and GP consultations for </w:t>
      </w:r>
      <w:r w:rsidR="003F5A79">
        <w:t xml:space="preserve">outcomes of </w:t>
      </w:r>
      <w:r w:rsidR="00295378">
        <w:t xml:space="preserve">gastroenteritis, diarrhoea and rotavirus </w:t>
      </w:r>
      <w:r w:rsidR="00295378">
        <w:lastRenderedPageBreak/>
        <w:t>gastroenteritis</w:t>
      </w:r>
      <w:r w:rsidR="003D658F">
        <w:t xml:space="preserve"> in a defined population</w:t>
      </w:r>
      <w:r w:rsidR="00295378">
        <w:t xml:space="preserve"> before and </w:t>
      </w:r>
      <w:r w:rsidR="0003280C">
        <w:t xml:space="preserve">after </w:t>
      </w:r>
      <w:r w:rsidR="00295378">
        <w:t xml:space="preserve">vaccine </w:t>
      </w:r>
      <w:r w:rsidR="00CA3E14">
        <w:t>introduction.</w:t>
      </w:r>
      <w:r w:rsidR="0070184F">
        <w:t xml:space="preserve"> </w:t>
      </w:r>
      <w:r w:rsidR="00D334F5">
        <w:t xml:space="preserve">This approach will </w:t>
      </w:r>
      <w:r w:rsidR="003F5A79">
        <w:t xml:space="preserve">for the first time </w:t>
      </w:r>
      <w:r w:rsidR="00D334F5">
        <w:t xml:space="preserve">provide estimates of </w:t>
      </w:r>
      <w:r w:rsidR="0016799B">
        <w:t xml:space="preserve">rotavirus vaccine </w:t>
      </w:r>
      <w:r w:rsidR="00D334F5">
        <w:t>impact in a “total health economy”.</w:t>
      </w:r>
      <w:r w:rsidR="002F6B4E">
        <w:t xml:space="preserve"> </w:t>
      </w:r>
      <w:r w:rsidR="006C2270">
        <w:t>Secondly, within the UK, children under five years of age are over represented in the most socioeconomically deprived populations</w:t>
      </w:r>
      <w:r w:rsidR="005A0BD8">
        <w:t>,</w:t>
      </w:r>
      <w:r w:rsidR="005A0BD8">
        <w:fldChar w:fldCharType="begin"/>
      </w:r>
      <w:r w:rsidR="00990F10">
        <w:instrText xml:space="preserve"> ADDIN ZOTERO_ITEM CSL_CITATION {"citationID":"a187svn84gs","properties":{"formattedCitation":"[15,16]","plainCitation":"[15,16]"},"citationItems":[{"id":1750,"uris":["http://zotero.org/users/1755126/items/WWE6U9XC"],"uri":["http://zotero.org/users/1755126/items/WWE6U9XC"],"itemData":{"id":1750,"type":"webpage","title":"English indices of deprivation - GOV.UK","abstract":"This series brings together all documents relating to English indices of deprivation","URL":"https://www.gov.uk/government/collections/english-indices-of-deprivation","accessed":{"date-parts":[["2014",4,17]]}}},{"id":4142,"uris":["http://zotero.org/users/1755126/items/EWUVESFT"],"uri":["http://zotero.org/users/1755126/items/EWUVESFT"],"itemData":{"id":4142,"type":"webpage","title":"Lower Super Output Area Mid-Year Population Estimates","URL":"https://www.ons.gov.uk/peoplepopulationandcommunity/populationandmigration/populationestimates/datasets/lowersuperoutputareamidyearpopulationestimates","author":[{"family":"Office for National Statistics","given":""}],"issued":{"date-parts":[["2016",10,26]]},"accessed":{"date-parts":[["2017",7,5]]}}}],"schema":"https://github.com/citation-style-language/schema/raw/master/csl-citation.json"} </w:instrText>
      </w:r>
      <w:r w:rsidR="005A0BD8">
        <w:fldChar w:fldCharType="separate"/>
      </w:r>
      <w:r w:rsidR="00990F10" w:rsidRPr="00990F10">
        <w:rPr>
          <w:rFonts w:ascii="Calibri" w:hAnsi="Calibri"/>
        </w:rPr>
        <w:t>[15,16]</w:t>
      </w:r>
      <w:r w:rsidR="005A0BD8">
        <w:fldChar w:fldCharType="end"/>
      </w:r>
      <w:r w:rsidR="00206533">
        <w:t xml:space="preserve"> and experience</w:t>
      </w:r>
      <w:r w:rsidR="006C2270">
        <w:t xml:space="preserve"> </w:t>
      </w:r>
      <w:r w:rsidR="00206533">
        <w:t xml:space="preserve">significantly </w:t>
      </w:r>
      <w:r w:rsidR="006C2270">
        <w:t>higher incidence of all-cause AGE hospitalisations</w:t>
      </w:r>
      <w:r w:rsidR="00206533">
        <w:t xml:space="preserve"> than more affluent populations</w:t>
      </w:r>
      <w:r w:rsidR="006C2270">
        <w:t>.</w:t>
      </w:r>
      <w:r w:rsidR="00291702">
        <w:fldChar w:fldCharType="begin"/>
      </w:r>
      <w:r w:rsidR="00990F10">
        <w:instrText xml:space="preserve"> ADDIN ZOTERO_ITEM CSL_CITATION {"citationID":"a19f49mj73n","properties":{"formattedCitation":"[17]","plainCitation":"[17]"},"citationItems":[{"id":592,"uris":["http://zotero.org/users/1755126/items/BUXHUK6Q"],"uri":["http://zotero.org/users/1755126/items/BUXHUK6Q"],"itemData":{"id":592,"type":"article-journal","title":"Paediatric hospital admissions for rotavirus gastroenteritis and infectious gastroenteritis of all causes in England: an analysis of correlation with deprivation","container-title":"Current Medical Research and Opinion","page":"777-784","volume":"27","issue":"4","source":"informahealthcare.com (Atypon)","abstract":"Abstract Objectives: Infectious intestinal diseases cause substantial morbidity and economic loss in the UK. Rotavirus gastroenteritis (RVGE), a form of gastroenteritis, is the primary cause of severe diarrhoea in children. The primary objective of this study was to examine whether hospitalisation for gastroenteritis, and particularly RVGE, is linked to social deprivation. Methods: A retrospective study relating to hospital admissions in England with rotavirus, gastroenteritis, or type 1 diabetes mellitus (T1DM) was conducted in children aged under 5 years between 1st April 2009 and 31st March 2010 using the CHKS database. Admissions with selected diagnoses were extracted based on ICD-10 coding. Deprivation data were obtained from the Index of Multiple Deprivation (IMD) 2007 for England. Results: A total of 20,571 unique hospital admissions were made by children, in England, with RVGE (n = 1334; 6.5%) together with a diagnosis of infectious gastroenteritis of all causes (n = 19,237; 93.5%), giving an overall hospital admission rate, for those aged under 5 years, of 65.7 per 10,000 population. With ‘rank of average score’ and the ‘rank of average rank’ as measures of deprivation, the rate of hospital admissions with gastroenteritis of all causes decreased by 0.346 and 0.287 per 10,000 (p &lt; 0.001) respectively for every unit increase in deprivation rank (decreasing deprivation), though this trend was not observed in patients admitted with RVGE specifically. Conclusions: Hospital admissions with gastroenteritis of all causes increased as deprivation increased. The implementation of a rotavirus vaccination programme would help to reduce the burden of RVGE and gastroenteritis of all causes, and in the context of gastroenteritis, some elements of health and social inequality may be vaccine preventable. Limitations: It is possible that the study is limited by the accuracy and completeness of deprivation indices, and coding within CHKS; the existence of the ‘ecological fallacy’ must also be considered.","DOI":"10.1185/03007995.2011.555757","ISSN":"0300-7995","shortTitle":"Paediatric hospital admissions for rotavirus gastroenteritis and infectious gastroenteritis of all causes in England","journalAbbreviation":"Curr Med Res Opin","author":[{"family":"Pockett","given":"Rhys D."},{"family":"Adlard","given":"Nick"},{"family":"Carroll","given":"Stuart"},{"family":"Rajoriya","given":"Fiona"}],"issued":{"date-parts":[["2011",4,1]]}}}],"schema":"https://github.com/citation-style-language/schema/raw/master/csl-citation.json"} </w:instrText>
      </w:r>
      <w:r w:rsidR="00291702">
        <w:fldChar w:fldCharType="separate"/>
      </w:r>
      <w:r w:rsidR="00990F10" w:rsidRPr="00990F10">
        <w:rPr>
          <w:rFonts w:ascii="Calibri" w:hAnsi="Calibri"/>
        </w:rPr>
        <w:t>[17]</w:t>
      </w:r>
      <w:r w:rsidR="00291702">
        <w:fldChar w:fldCharType="end"/>
      </w:r>
      <w:r w:rsidR="003450D7">
        <w:t xml:space="preserve"> </w:t>
      </w:r>
      <w:r w:rsidR="00291702">
        <w:t>I</w:t>
      </w:r>
      <w:r w:rsidR="006C2270">
        <w:t>t is known</w:t>
      </w:r>
      <w:r w:rsidR="003F5A79">
        <w:t xml:space="preserve"> that</w:t>
      </w:r>
      <w:r w:rsidR="006C2270">
        <w:t xml:space="preserve"> </w:t>
      </w:r>
      <w:r w:rsidR="00291702">
        <w:t>in the UK</w:t>
      </w:r>
      <w:r w:rsidR="003F5A79">
        <w:t>,</w:t>
      </w:r>
      <w:r w:rsidR="00291702">
        <w:t xml:space="preserve"> </w:t>
      </w:r>
      <w:r w:rsidR="006C2270">
        <w:t>uptake of routine childhood vaccines (e.g. vaccines for measles, mumps and rubella, h</w:t>
      </w:r>
      <w:r w:rsidR="006C2270" w:rsidRPr="008D78D6">
        <w:t>uman papillomavirus</w:t>
      </w:r>
      <w:r w:rsidR="006C2270">
        <w:t xml:space="preserve">, influenza) is </w:t>
      </w:r>
      <w:r w:rsidR="00206533">
        <w:t>lower in socioeconomically deprived</w:t>
      </w:r>
      <w:r w:rsidR="006C2270">
        <w:t xml:space="preserve"> populations</w:t>
      </w:r>
      <w:r w:rsidR="00AB4270">
        <w:t>.</w:t>
      </w:r>
      <w:r w:rsidR="00291702">
        <w:fldChar w:fldCharType="begin"/>
      </w:r>
      <w:r w:rsidR="00990F10">
        <w:instrText xml:space="preserve"> ADDIN ZOTERO_ITEM CSL_CITATION {"citationID":"fZh9UsHl","properties":{"formattedCitation":"{\\rtf [18\\uc0\\u8211{}20]}","plainCitation":"[18–20]"},"citationItems":[{"id":3579,"uris":["http://zotero.org/users/1755126/items/XFX8W77H"],"uri":["http://zotero.org/users/1755126/items/XFX8W77H"],"itemData":{"id":3579,"type":"article-journal","title":"Effect of socioeconomic deprivation on uptake of measles, mumps and rubella vaccination in Liverpool, UK over 16 years: a longitudinal ecological study","container-title":"Epidemiology and Infection","page":"1-11","source":"PubMed","abstract":"Suboptimal uptake of the measles, mumps and rubella (MMR) vaccine by certain socioeconomic groups may have contributed to recent large measles outbreaks in the UK. We investigated whether socioeconomic deprivation was associated with MMR vaccine uptake over 16 years. Using immunization data for 72 351 children born between 1995 and 2012 in Liverpool, UK, we examined trends in vaccination uptake. Generalized linear models were constructed to examine the relative effect of socioeconomic deprivation and year of birth on MMR uptake. Uptake of MMR1 by age 24 months ranged between 82·5% in 2003 [95% confidence interval (CI) 81·2-83·7] and 93·4% in 2012 (95% CI 92·7-94·2). Uptake of MMR2 by age 60 months ranged between 65·3% (95% CI 64·4-67·4) in 2006 and 90·3% (95% CI 89·4-91·2) in 2012. In analysis adjusted for year of birth and sex, children in the most deprived communities were at significantly greater risk of not receiving MMR1 [risk ratio (RR) 1·70, 95% CI 1·45-1·99] and MMR2 (RR 1·36, 95% CI 1·22-1·52). Higher unemployment and lower household income were significantly associated with low uptake. Contrary to concerns about lower MMR uptake in affluent families, over 16 years, children from the most socioeconomically deprived communities have consistently had the lowest MMR uptake. Targeted catch-up campaigns and strategies to improve routine immunization uptake in deprived areas are needed to minimize the risk of future measles outbreaks.","DOI":"10.1017/S0950268815002599","ISSN":"1469-4409","note":"PMID: 26542197","shortTitle":"Effect of socioeconomic deprivation on uptake of measles, mumps and rubella vaccination in Liverpool, UK over 16 years","journalAbbreviation":"Epidemiol. Infect.","language":"ENG","author":[{"family":"Hungerford","given":"D."},{"family":"Macpherson","given":"P."},{"family":"Farmer","given":"S."},{"family":"Ghebrehewet","given":"S."},{"family":"Seddon","given":"D."},{"family":"Vivancos","given":"R."},{"family":"Keenan","given":"A."}],"issued":{"date-parts":[["2015",11,6]]}}},{"id":3508,"uris":["http://zotero.org/users/1755126/items/KM28FRFV"],"uri":["http://zotero.org/users/1755126/items/KM28FRFV"],"itemData":{"id":3508,"type":"article-journal","title":"Phased introduction of a universal childhood influenza vaccination programme in England: population-level factors predicting variation in national uptake during the first year, 2013/14","container-title":"Vaccine","page":"2620-2628","volume":"33","issue":"22","source":"PubMed","abstract":"INTRODUCTION: Through a phased rollout, the UK is implementing annual influenza vaccination for all healthy children aged 2-16 years old. In the first year of the programme in England in 2013/14, all 2-3 year olds were offered influenza vaccine through primary care and a primary school age programme was piloted, mainly through schools, in geographically distinct areas. Equitable delivery is a key aim of the programme; it is unclear if concerns by some religious groups over influenza vaccine content have impacted on uptake.\nMETHODS: At the end of the 2013/14 season, variations in uptake for 2-3 year olds and 4-11 year olds were assessed and stratified by population-level predictors: deprivation, ethnicity, religious beliefs and rurality. GP practice or school level uptake was linearly regressed against these variables to determine potential predictors and changes in uptake, adjusting for significant factors.\nRESULTS: Uptake varied considerably by geographic locality for both 2-3 year olds and 4-11 year olds. Lower uptake was seen in increasingly deprived areas, with an adjusted uptake in the most deprived quintile 12% and 8% lower than the least deprived areas by age-group respectively. By ethnicity, the highest non-white population quartile had an adjusted uptake 9% and 14% lower than the lowest non-white quartile by age-group respectively. Uptake also varied according to religious beliefs, with adjusted uptake in 4-11 year olds in the highest Muslim population tertile 8% lower than the lowest Muslim population tertile.\nCONCLUSION: In the first season of the childhood influenza vaccination programme, uptake was not uniform across the country, with deprivation and ethnicity both predictors of low uptake in pre-school and primary school age children, and religious beliefs also an important factor, particularly the latter group. With the continued rollout of the programme, these population-level factors should be addressed to achieve sustained successful uptake, along with assessment of contribution of individual and household-level factors.","DOI":"10.1016/j.vaccine.2015.03.049","ISSN":"1873-2518","note":"PMID: 25835576","shortTitle":"Phased introduction of a universal childhood influenza vaccination programme in England","journalAbbreviation":"Vaccine","language":"eng","author":[{"family":"Green","given":"H. K."},{"family":"Andrews","given":"N."},{"family":"Letley","given":"L."},{"family":"Sunderland","given":"A."},{"family":"White","given":"J."},{"family":"Pebody","given":"R."}],"issued":{"date-parts":[["2015",5,21]]}}},{"id":3731,"uris":["http://zotero.org/users/1755126/items/PCCN3EMD"],"uri":["http://zotero.org/users/1755126/items/PCCN3EMD"],"itemData":{"id":3731,"type":"article-journal","title":"Sociodemographic factors predicting mother's cervical screening and daughter's HPV vaccination uptake","container-title":"Journal of Epidemiology and Community Health","page":"571-577","volume":"68","issue":"6","source":"PubMed","abstract":"BACKGROUND: Achieving high human papillomavirus (HPV) vaccine coverage may reduce inequalities in cervical cancer prevention by mitigating the inequalities seen in the cervical screening programme. This paper assesses whether the same sociodemographic factors are associated with both cervical screening and HPV vaccination.\nMETHODS: Girls' HPV vaccination records were linked by address to cervical screening records for their mothers in the North West of England. Index of Multiple Deprivation scores (2010) and census ethnicity data (2001) were used to investigate the association between deprivation and ethnic composition of area of residence with HPV vaccination and cervical screening uptake, along with potential differences between Primary Care Trusts (PCTs), which were responsible for vaccine delivery.\nRESULTS: Deprivation was not associated with routine (12-13-year-olds) vaccination initiation, but girls living in the most deprived quintile were significantly less likely to complete the three vaccine doses (OR 0.75; 95% CI 0.63 to 0.88). Mother-daughter pairs failing to engage in either screening or vaccination were also more likely to live in deprived areas (routine vaccination OR for most deprived quintile: 2.35; 95% CI 2.00 to 2.77). There were differences between PCTs after controlling for demographic effects (OR 1.35; 95% CI 1.23 to 1.52).\nCONCLUSIONS: Ensuring completion of the vaccine schedule is critical for organisations responsible for vaccine delivery in order to reduce cancer risk among girls living in deprived areas. There remains a small minority of mothers and daughters from disadvantaged backgrounds who do not participate in either cervical screening or HPV vaccination.","DOI":"10.1136/jech-2013-202629","ISSN":"1470-2738","note":"PMID: 24567443","journalAbbreviation":"J Epidemiol Community Health","language":"eng","author":[{"family":"Spencer","given":"Angela M."},{"family":"Roberts","given":"Stephen A."},{"family":"Brabin","given":"Loretta"},{"family":"Patnick","given":"Julietta"},{"family":"Verma","given":"Arpana"}],"issued":{"date-parts":[["2014",6]]}}}],"schema":"https://github.com/citation-style-language/schema/raw/master/csl-citation.json"} </w:instrText>
      </w:r>
      <w:r w:rsidR="00291702">
        <w:fldChar w:fldCharType="separate"/>
      </w:r>
      <w:r w:rsidR="00990F10" w:rsidRPr="00990F10">
        <w:rPr>
          <w:rFonts w:ascii="Calibri" w:hAnsi="Calibri" w:cs="Times New Roman"/>
          <w:szCs w:val="24"/>
        </w:rPr>
        <w:t>[18–20]</w:t>
      </w:r>
      <w:r w:rsidR="00291702">
        <w:fldChar w:fldCharType="end"/>
      </w:r>
      <w:r w:rsidR="00AB4270">
        <w:t xml:space="preserve"> </w:t>
      </w:r>
      <w:r>
        <w:t>Thus</w:t>
      </w:r>
      <w:r w:rsidR="006C2270">
        <w:t xml:space="preserve"> we examined the uptake and impact </w:t>
      </w:r>
      <w:r w:rsidR="00291702">
        <w:t xml:space="preserve">of </w:t>
      </w:r>
      <w:r w:rsidR="006C2270">
        <w:t>rotavirus vaccination in Merseyside</w:t>
      </w:r>
      <w:r>
        <w:t>,</w:t>
      </w:r>
      <w:r w:rsidR="006C2270">
        <w:t xml:space="preserve"> an area with wide variation in socioeconomic deprivation, in order to assess whether vaccine uptake and impact is equitable</w:t>
      </w:r>
      <w:r w:rsidR="005A0BD8">
        <w:t>.</w:t>
      </w:r>
    </w:p>
    <w:p w14:paraId="4DA61F7E" w14:textId="77777777" w:rsidR="00295378" w:rsidRDefault="00295378" w:rsidP="00AA588D">
      <w:pPr>
        <w:pStyle w:val="Heading2"/>
        <w:spacing w:before="0" w:line="480" w:lineRule="auto"/>
      </w:pPr>
      <w:r>
        <w:t>Methods</w:t>
      </w:r>
    </w:p>
    <w:p w14:paraId="791306B4" w14:textId="77777777" w:rsidR="00C21642" w:rsidRDefault="00C21642" w:rsidP="00AA588D">
      <w:pPr>
        <w:pStyle w:val="Heading3"/>
        <w:spacing w:before="120" w:line="480" w:lineRule="auto"/>
      </w:pPr>
      <w:r>
        <w:t>Study setting</w:t>
      </w:r>
    </w:p>
    <w:p w14:paraId="07F5ECB6" w14:textId="4F7AEF72" w:rsidR="00322307" w:rsidRDefault="004C43EC" w:rsidP="00AA588D">
      <w:pPr>
        <w:spacing w:after="0" w:line="480" w:lineRule="auto"/>
      </w:pPr>
      <w:r>
        <w:t xml:space="preserve">The study </w:t>
      </w:r>
      <w:r w:rsidR="004E3E64">
        <w:t>population was</w:t>
      </w:r>
      <w:r>
        <w:t xml:space="preserve"> </w:t>
      </w:r>
      <w:r w:rsidR="004E3E64">
        <w:t xml:space="preserve">the </w:t>
      </w:r>
      <w:r>
        <w:t xml:space="preserve">metropolitan area of Merseyside, </w:t>
      </w:r>
      <w:r w:rsidR="00064049">
        <w:t xml:space="preserve">England with an estimated resident population </w:t>
      </w:r>
      <w:r w:rsidR="00D45EBF">
        <w:t>of 1.4</w:t>
      </w:r>
      <w:r>
        <w:t xml:space="preserve"> million</w:t>
      </w:r>
      <w:r w:rsidR="003D658F">
        <w:t xml:space="preserve"> and</w:t>
      </w:r>
      <w:r w:rsidR="00EC0337">
        <w:t xml:space="preserve"> an annual birth cohort</w:t>
      </w:r>
      <w:r w:rsidR="00682C88">
        <w:t xml:space="preserve"> of</w:t>
      </w:r>
      <w:r w:rsidR="00EC0337">
        <w:t xml:space="preserve"> </w:t>
      </w:r>
      <w:r w:rsidR="003D658F">
        <w:t>approximately 16 000.</w:t>
      </w:r>
      <w:r w:rsidR="00412667">
        <w:t xml:space="preserve"> In 2016</w:t>
      </w:r>
      <w:r w:rsidR="00682C88">
        <w:t>,</w:t>
      </w:r>
      <w:r w:rsidR="00412667">
        <w:t xml:space="preserve"> 80,000 of the population were under 5 years of age.</w:t>
      </w:r>
      <w:r w:rsidR="008A2DB4">
        <w:fldChar w:fldCharType="begin"/>
      </w:r>
      <w:r w:rsidR="00990F10">
        <w:instrText xml:space="preserve"> ADDIN ZOTERO_ITEM CSL_CITATION {"citationID":"a220k41t83o","properties":{"formattedCitation":"[16]","plainCitation":"[16]"},"citationItems":[{"id":4142,"uris":["http://zotero.org/users/1755126/items/EWUVESFT"],"uri":["http://zotero.org/users/1755126/items/EWUVESFT"],"itemData":{"id":4142,"type":"webpage","title":"Lower Super Output Area Mid-Year Population Estimates","URL":"https://www.ons.gov.uk/peoplepopulationandcommunity/populationandmigration/populationestimates/datasets/lowersuperoutputareamidyearpopulationestimates","author":[{"family":"Office for National Statistics","given":""}],"issued":{"date-parts":[["2016",10,26]]},"accessed":{"date-parts":[["2017",7,5]]}}}],"schema":"https://github.com/citation-style-language/schema/raw/master/csl-citation.json"} </w:instrText>
      </w:r>
      <w:r w:rsidR="008A2DB4">
        <w:fldChar w:fldCharType="separate"/>
      </w:r>
      <w:r w:rsidR="00990F10" w:rsidRPr="00990F10">
        <w:rPr>
          <w:rFonts w:ascii="Calibri" w:hAnsi="Calibri"/>
        </w:rPr>
        <w:t>[16]</w:t>
      </w:r>
      <w:r w:rsidR="008A2DB4">
        <w:fldChar w:fldCharType="end"/>
      </w:r>
      <w:r w:rsidR="003D658F">
        <w:t xml:space="preserve"> </w:t>
      </w:r>
      <w:r w:rsidR="00271441">
        <w:t>Merseyside contains five local authorities</w:t>
      </w:r>
      <w:r w:rsidR="00D45EBF">
        <w:t xml:space="preserve"> (</w:t>
      </w:r>
      <w:proofErr w:type="spellStart"/>
      <w:r w:rsidR="00D45EBF">
        <w:t>Knowsley</w:t>
      </w:r>
      <w:proofErr w:type="spellEnd"/>
      <w:r w:rsidR="00D45EBF">
        <w:t xml:space="preserve">, Liverpool, Sefton, St Helens and Wirral), containing multiple NHS trusts / </w:t>
      </w:r>
      <w:r w:rsidR="00271441">
        <w:t>organisations</w:t>
      </w:r>
      <w:r w:rsidR="00682C88">
        <w:t xml:space="preserve">. </w:t>
      </w:r>
      <w:r w:rsidR="00271441">
        <w:t xml:space="preserve"> </w:t>
      </w:r>
      <w:r>
        <w:t>Healthcare fo</w:t>
      </w:r>
      <w:r w:rsidR="00257FBD">
        <w:t xml:space="preserve">r the population is provided in the community by GP practices and walk-in centres </w:t>
      </w:r>
      <w:r w:rsidR="00D00C8C">
        <w:t xml:space="preserve">(WICs) </w:t>
      </w:r>
      <w:r w:rsidR="00257FBD">
        <w:t xml:space="preserve">offering both primary and urgent care; there are </w:t>
      </w:r>
      <w:r w:rsidR="009D34A9">
        <w:t>five</w:t>
      </w:r>
      <w:r w:rsidR="00221511">
        <w:t xml:space="preserve"> </w:t>
      </w:r>
      <w:r>
        <w:t>hospitals with emergency and secondary care facilities including a large paediatric hospital</w:t>
      </w:r>
      <w:r w:rsidR="009D34A9">
        <w:t xml:space="preserve"> (Alder Hey Children’s </w:t>
      </w:r>
      <w:r w:rsidR="00FF5182">
        <w:t xml:space="preserve">NHS </w:t>
      </w:r>
      <w:r w:rsidR="009D34A9">
        <w:t>Foundation Trust)</w:t>
      </w:r>
      <w:r>
        <w:t xml:space="preserve">. </w:t>
      </w:r>
      <w:r w:rsidR="00271441">
        <w:t xml:space="preserve">Further description of the organisations and facilities </w:t>
      </w:r>
      <w:r w:rsidR="00B20EB3">
        <w:t>has been previously described</w:t>
      </w:r>
      <w:r w:rsidR="00322307">
        <w:t>.</w:t>
      </w:r>
      <w:r w:rsidR="006F27A9">
        <w:fldChar w:fldCharType="begin"/>
      </w:r>
      <w:r w:rsidR="00990F10">
        <w:instrText xml:space="preserve"> ADDIN ZOTERO_ITEM CSL_CITATION {"citationID":"a1g20tktodq","properties":{"formattedCitation":"[21]","plainCitation":"[21]"},"citationItems":[{"id":3470,"uris":["http://zotero.org/users/1755126/items/PTC5NTNN"],"uri":["http://zotero.org/users/1755126/items/PTC5NTNN"],"itemData":{"id":3470,"type":"article-journal","title":"Ecological assessment of the direct and indirect effects of routine rotavirus vaccination in Merseyside, UK using data from multiple health systems: a study protocol","container-title":"BMJ Open","page":"e006161","volume":"4","issue":"11","source":"bmjopen.bmj.com","abstract":"Introduction Rotavirus is the most common cause of severe gastroenteritis in infants and young children worldwide. Currently 67 countries include rotavirus vaccine in childhood immunisation programmes, but uptake in Western Europe has been slow. In July 2013, rotavirus vaccine was introduced into the UK's routine childhood immunisation programme. Prior to vaccine introduction in the UK, rotavirus was estimated to result in 750 000 diarrhoea episodes and 80 000 general practice (GP) consultations each year, together with 45% and 20% of hospital admissions and emergency department attendances for acute gastroenteritis, in children under 5 years of age. This paper describes a protocol for an ecological study that will assess rotavirus vaccine impact in the UK, to inform rotavirus immunisation policy in the UK and in other Western European countries.\nMethods and analysis In Merseyside, UK, we will conduct an ecological study using a ‘before and after’ approach to examine changes in gastroenteritis and rotavirus incidence following the introduction of rotavirus vaccination. Data will be collected on mortality, hospital admissions, nosocomial infection, emergency department attendances, GP consultations and community health consultations to capture all healthcare providers in the region. We will assess both the direct and indirect effects of the vaccine on the study population. Comparisons of outcome indicator rates will be made in relation to vaccine uptake and socioeconomic status.\nEthics and dissemination The study has been approved by NHS Research Ethics Committee, South Central-Berkshire REC Reference: 14/SC/1140. Study outputs will be disseminated through scientific conferences and peer-reviewed publications. The study will demonstrate the impact of rotavirus vaccination on the burden of disease from a complete health system perspective. It will identify key areas that require improved data collection tools to maximise the usefulness of this surveillance approach and will provide a template for vaccine evaluations using ecological methods in the UK.","DOI":"10.1136/bmjopen-2014-006161","ISSN":"2044-6055,","note":"PMID: 25424995","shortTitle":"Ecological assessment of the direct and indirect effects of routine rotavirus vaccination in Merseyside, UK using data from multiple health systems","journalAbbreviation":"BMJ Open","language":"en","author":[{"family":"Hungerford","given":"Daniel"},{"family":"Vivancos","given":"Roberto"},{"family":"French","given":"Neil"},{"family":"Iturriza-Gomara","given":"Miren"},{"family":"Cunliffe","given":"Nigel"}],"issued":{"date-parts":[["2014",11,1]]}}}],"schema":"https://github.com/citation-style-language/schema/raw/master/csl-citation.json"} </w:instrText>
      </w:r>
      <w:r w:rsidR="006F27A9">
        <w:fldChar w:fldCharType="separate"/>
      </w:r>
      <w:r w:rsidR="00990F10" w:rsidRPr="00990F10">
        <w:rPr>
          <w:rFonts w:ascii="Calibri" w:hAnsi="Calibri"/>
        </w:rPr>
        <w:t>[21]</w:t>
      </w:r>
      <w:r w:rsidR="006F27A9">
        <w:fldChar w:fldCharType="end"/>
      </w:r>
    </w:p>
    <w:p w14:paraId="1BEE5232" w14:textId="77777777" w:rsidR="00322307" w:rsidRDefault="00C87830" w:rsidP="00AA588D">
      <w:pPr>
        <w:pStyle w:val="Heading3"/>
        <w:spacing w:line="480" w:lineRule="auto"/>
      </w:pPr>
      <w:r>
        <w:t>Data sources</w:t>
      </w:r>
      <w:r w:rsidR="00257FBD">
        <w:t xml:space="preserve"> and case definitions</w:t>
      </w:r>
      <w:r w:rsidR="00656793">
        <w:t xml:space="preserve"> for outcome measures</w:t>
      </w:r>
    </w:p>
    <w:p w14:paraId="0BD6CB8D" w14:textId="00F507C4" w:rsidR="00C53347" w:rsidRPr="00322307" w:rsidRDefault="00B20EB3" w:rsidP="00322307">
      <w:pPr>
        <w:spacing w:line="480" w:lineRule="auto"/>
      </w:pPr>
      <w:r w:rsidRPr="00322307">
        <w:t>D</w:t>
      </w:r>
      <w:r w:rsidR="00512819" w:rsidRPr="00322307">
        <w:t>ata sources and full case definitions ha</w:t>
      </w:r>
      <w:r w:rsidRPr="00322307">
        <w:t>ve</w:t>
      </w:r>
      <w:r w:rsidR="00512819" w:rsidRPr="00322307">
        <w:t xml:space="preserve"> been previously published.</w:t>
      </w:r>
      <w:r w:rsidR="006F27A9" w:rsidRPr="00322307">
        <w:fldChar w:fldCharType="begin"/>
      </w:r>
      <w:r w:rsidR="00990F10">
        <w:instrText xml:space="preserve"> ADDIN ZOTERO_ITEM CSL_CITATION {"citationID":"a2l2u3f2ipp","properties":{"formattedCitation":"[21]","plainCitation":"[21]"},"citationItems":[{"id":3470,"uris":["http://zotero.org/users/1755126/items/PTC5NTNN"],"uri":["http://zotero.org/users/1755126/items/PTC5NTNN"],"itemData":{"id":3470,"type":"article-journal","title":"Ecological assessment of the direct and indirect effects of routine rotavirus vaccination in Merseyside, UK using data from multiple health systems: a study protocol","container-title":"BMJ Open","page":"e006161","volume":"4","issue":"11","source":"bmjopen.bmj.com","abstract":"Introduction Rotavirus is the most common cause of severe gastroenteritis in infants and young children worldwide. Currently 67 countries include rotavirus vaccine in childhood immunisation programmes, but uptake in Western Europe has been slow. In July 2013, rotavirus vaccine was introduced into the UK's routine childhood immunisation programme. Prior to vaccine introduction in the UK, rotavirus was estimated to result in 750 000 diarrhoea episodes and 80 000 general practice (GP) consultations each year, together with 45% and 20% of hospital admissions and emergency department attendances for acute gastroenteritis, in children under 5 years of age. This paper describes a protocol for an ecological study that will assess rotavirus vaccine impact in the UK, to inform rotavirus immunisation policy in the UK and in other Western European countries.\nMethods and analysis In Merseyside, UK, we will conduct an ecological study using a ‘before and after’ approach to examine changes in gastroenteritis and rotavirus incidence following the introduction of rotavirus vaccination. Data will be collected on mortality, hospital admissions, nosocomial infection, emergency department attendances, GP consultations and community health consultations to capture all healthcare providers in the region. We will assess both the direct and indirect effects of the vaccine on the study population. Comparisons of outcome indicator rates will be made in relation to vaccine uptake and socioeconomic status.\nEthics and dissemination The study has been approved by NHS Research Ethics Committee, South Central-Berkshire REC Reference: 14/SC/1140. Study outputs will be disseminated through scientific conferences and peer-reviewed publications. The study will demonstrate the impact of rotavirus vaccination on the burden of disease from a complete health system perspective. It will identify key areas that require improved data collection tools to maximise the usefulness of this surveillance approach and will provide a template for vaccine evaluations using ecological methods in the UK.","DOI":"10.1136/bmjopen-2014-006161","ISSN":"2044-6055,","note":"PMID: 25424995","shortTitle":"Ecological assessment of the direct and indirect effects of routine rotavirus vaccination in Merseyside, UK using data from multiple health systems","journalAbbreviation":"BMJ Open","language":"en","author":[{"family":"Hungerford","given":"Daniel"},{"family":"Vivancos","given":"Roberto"},{"family":"French","given":"Neil"},{"family":"Iturriza-Gomara","given":"Miren"},{"family":"Cunliffe","given":"Nigel"}],"issued":{"date-parts":[["2014",11,1]]}}}],"schema":"https://github.com/citation-style-language/schema/raw/master/csl-citation.json"} </w:instrText>
      </w:r>
      <w:r w:rsidR="006F27A9" w:rsidRPr="00322307">
        <w:fldChar w:fldCharType="separate"/>
      </w:r>
      <w:r w:rsidR="00990F10" w:rsidRPr="00990F10">
        <w:rPr>
          <w:rFonts w:ascii="Calibri" w:hAnsi="Calibri"/>
        </w:rPr>
        <w:t>[21]</w:t>
      </w:r>
      <w:r w:rsidR="006F27A9" w:rsidRPr="00322307">
        <w:fldChar w:fldCharType="end"/>
      </w:r>
      <w:r w:rsidR="00512819" w:rsidRPr="00322307">
        <w:t xml:space="preserve"> </w:t>
      </w:r>
      <w:r w:rsidR="00656793" w:rsidRPr="00322307">
        <w:t xml:space="preserve">Table 1 summarises </w:t>
      </w:r>
      <w:r w:rsidR="00512819" w:rsidRPr="00322307">
        <w:t>these details</w:t>
      </w:r>
      <w:r w:rsidR="005209CC" w:rsidRPr="00322307">
        <w:t>,</w:t>
      </w:r>
      <w:r w:rsidR="00512819" w:rsidRPr="00322307">
        <w:t xml:space="preserve"> and amend</w:t>
      </w:r>
      <w:r w:rsidR="00656793" w:rsidRPr="00322307">
        <w:t>s</w:t>
      </w:r>
      <w:r w:rsidR="00512819" w:rsidRPr="00322307">
        <w:t xml:space="preserve"> any discrepancies. </w:t>
      </w:r>
      <w:r w:rsidR="00E262C0" w:rsidRPr="00322307">
        <w:t>Notably, d</w:t>
      </w:r>
      <w:r w:rsidR="00257FBD" w:rsidRPr="00322307">
        <w:t xml:space="preserve">ata on GP </w:t>
      </w:r>
      <w:r w:rsidR="00E262C0" w:rsidRPr="00322307">
        <w:t xml:space="preserve">consultations </w:t>
      </w:r>
      <w:r w:rsidR="00257FBD" w:rsidRPr="00322307">
        <w:t xml:space="preserve">were obtained through </w:t>
      </w:r>
      <w:r w:rsidR="00D45EBF" w:rsidRPr="00322307">
        <w:t>the NHS</w:t>
      </w:r>
      <w:r w:rsidR="00255BD9" w:rsidRPr="00322307">
        <w:t xml:space="preserve"> </w:t>
      </w:r>
      <w:r w:rsidR="00257FBD" w:rsidRPr="00322307">
        <w:t xml:space="preserve">clinical commissioning groups </w:t>
      </w:r>
      <w:r w:rsidR="00255BD9" w:rsidRPr="00322307">
        <w:t>(CCGs)</w:t>
      </w:r>
      <w:r w:rsidR="00257FBD" w:rsidRPr="00322307">
        <w:t xml:space="preserve">. </w:t>
      </w:r>
      <w:r w:rsidR="000159D3" w:rsidRPr="00322307">
        <w:t>Coding for non-infectious gastroenteritis (ICD</w:t>
      </w:r>
      <w:r w:rsidR="00850E9D">
        <w:t>-</w:t>
      </w:r>
      <w:r w:rsidR="000159D3" w:rsidRPr="00322307">
        <w:t>10 K52.9) was included</w:t>
      </w:r>
      <w:r w:rsidR="00E262C0" w:rsidRPr="00322307">
        <w:t xml:space="preserve"> in the all-cause AGE hospitalisation outcome measure,</w:t>
      </w:r>
      <w:r w:rsidR="000159D3" w:rsidRPr="00322307">
        <w:t xml:space="preserve"> since unspecified gastroenteritis was classified under</w:t>
      </w:r>
      <w:r w:rsidR="00B1772F" w:rsidRPr="00322307">
        <w:t xml:space="preserve"> this code until April 2012</w:t>
      </w:r>
      <w:r w:rsidR="000159D3" w:rsidRPr="00322307">
        <w:t>.</w:t>
      </w:r>
      <w:r w:rsidR="006F27A9" w:rsidRPr="00322307">
        <w:fldChar w:fldCharType="begin"/>
      </w:r>
      <w:r w:rsidR="00990F10">
        <w:instrText xml:space="preserve"> ADDIN ZOTERO_ITEM CSL_CITATION {"citationID":"a1kff14uvb","properties":{"formattedCitation":"[22]","plainCitation":"[22]"},"citationItems":[{"id":3716,"uris":["http://zotero.org/users/1755126/items/9BAWTWJU"],"uri":["http://zotero.org/users/1755126/items/9BAWTWJU"],"itemData":{"id":3716,"type":"article-journal","title":"Importance of ICD-10 coding directive change for acute gastroenteritis (unspecified) for rotavirus vaccine impact studies: illustration from a population-based cohort study from Ontario, Canada","container-title":"BMC Research Notes","page":"439","volume":"8","source":"BioMed Central","abstract":"In Ontario, Canada, we conducted an evaluation of rotavirus (RV) vaccine on hospitalizations and Emergency Department (ED) visitations for acute gastroenteritis (AGE). In our original analysis, any one of the International Classification of Disease, Version 10 (ICD-10) codes was used for outcome ascertainment: RV-specific- (A08.0), viral- (A08.3, A08. 4, A08.5), and unspecified infectious- gastroenteritis (A09). Annual age-specific rates per 10,000 population were calculated.","DOI":"10.1186/s13104-015-1412-5","ISSN":"1756-0500","shortTitle":"Importance of ICD-10 coding directive change for acute gastroenteritis (unspecified) for rotavirus vaccine impact studies","journalAbbreviation":"BMC Research Notes","author":[{"family":"Wilson","given":"Sarah E."},{"family":"Deeks","given":"Shelley L."},{"family":"Rosella","given":"Laura C."}],"issued":{"date-parts":[["2015"]]}}}],"schema":"https://github.com/citation-style-language/schema/raw/master/csl-citation.json"} </w:instrText>
      </w:r>
      <w:r w:rsidR="006F27A9" w:rsidRPr="00322307">
        <w:fldChar w:fldCharType="separate"/>
      </w:r>
      <w:r w:rsidR="00990F10" w:rsidRPr="00990F10">
        <w:rPr>
          <w:rFonts w:ascii="Calibri" w:hAnsi="Calibri"/>
        </w:rPr>
        <w:t>[22]</w:t>
      </w:r>
      <w:r w:rsidR="006F27A9" w:rsidRPr="00322307">
        <w:fldChar w:fldCharType="end"/>
      </w:r>
    </w:p>
    <w:p w14:paraId="2AAA8F7B" w14:textId="2AD68E6E" w:rsidR="00C53347" w:rsidRDefault="00C53347" w:rsidP="00C53347">
      <w:pPr>
        <w:pStyle w:val="Heading3"/>
      </w:pPr>
      <w:r>
        <w:lastRenderedPageBreak/>
        <w:t>Area of residence and socioeconomic deprivation</w:t>
      </w:r>
    </w:p>
    <w:p w14:paraId="206F4228" w14:textId="78B7F668" w:rsidR="007306D0" w:rsidRDefault="00271441" w:rsidP="00575C12">
      <w:pPr>
        <w:spacing w:before="200" w:after="120" w:line="480" w:lineRule="auto"/>
      </w:pPr>
      <w:r w:rsidRPr="00C53347">
        <w:t xml:space="preserve">In </w:t>
      </w:r>
      <w:r w:rsidR="00E91F17">
        <w:t>each of</w:t>
      </w:r>
      <w:r w:rsidRPr="00C53347">
        <w:t xml:space="preserve"> the health data sets accessed</w:t>
      </w:r>
      <w:r w:rsidR="00BE26AE">
        <w:t>,</w:t>
      </w:r>
      <w:r w:rsidR="00CA3B15" w:rsidRPr="00C53347">
        <w:t xml:space="preserve"> an</w:t>
      </w:r>
      <w:r w:rsidRPr="00C53347">
        <w:t xml:space="preserve"> indicator for neighbourhood area of residence (Lower Super Output Area [LSOA])</w:t>
      </w:r>
      <w:r w:rsidR="00CA3B15" w:rsidRPr="00C53347">
        <w:t xml:space="preserve"> was included.</w:t>
      </w:r>
      <w:r w:rsidRPr="00C53347">
        <w:t xml:space="preserve"> English LSOAs are small statistical boundaries </w:t>
      </w:r>
      <w:r w:rsidR="00CA3B15" w:rsidRPr="00C53347">
        <w:t>defined following the 2001 and 2011 census</w:t>
      </w:r>
      <w:r w:rsidR="00BE26AE">
        <w:t>es</w:t>
      </w:r>
      <w:r w:rsidR="00CA3B15" w:rsidRPr="00C53347">
        <w:t xml:space="preserve"> </w:t>
      </w:r>
      <w:r w:rsidR="00A707D7">
        <w:t>and</w:t>
      </w:r>
      <w:r w:rsidR="00A707D7" w:rsidRPr="00C53347">
        <w:t xml:space="preserve"> consist</w:t>
      </w:r>
      <w:r w:rsidR="00AC17BE">
        <w:t xml:space="preserve"> of approximately 1,500 people. </w:t>
      </w:r>
      <w:r w:rsidR="004E3E64">
        <w:t xml:space="preserve">A </w:t>
      </w:r>
      <w:r w:rsidR="00FF5182">
        <w:t>standardised</w:t>
      </w:r>
      <w:r w:rsidRPr="00C53347">
        <w:t xml:space="preserve"> measure of socioeconomic deprivation was assigned to each participant, </w:t>
      </w:r>
      <w:r w:rsidR="00FF5182">
        <w:t>u</w:t>
      </w:r>
      <w:r w:rsidRPr="00C53347">
        <w:t xml:space="preserve">sing </w:t>
      </w:r>
      <w:r w:rsidR="00FF5182">
        <w:t>the</w:t>
      </w:r>
      <w:r w:rsidR="004E3E64">
        <w:t xml:space="preserve"> LSOA of their residence and the</w:t>
      </w:r>
      <w:r w:rsidR="00FF5182">
        <w:t xml:space="preserve"> </w:t>
      </w:r>
      <w:r w:rsidRPr="00C53347">
        <w:t>English indices of deprivation</w:t>
      </w:r>
      <w:r w:rsidR="005209CC">
        <w:t xml:space="preserve"> 2015</w:t>
      </w:r>
      <w:r w:rsidRPr="00C53347">
        <w:t xml:space="preserve">, </w:t>
      </w:r>
      <w:r w:rsidR="00BE26AE">
        <w:t xml:space="preserve">the </w:t>
      </w:r>
      <w:r w:rsidRPr="00C53347">
        <w:t>Index of Multiple Deprivation</w:t>
      </w:r>
      <w:r w:rsidR="00FF5182">
        <w:t xml:space="preserve"> (IMD)</w:t>
      </w:r>
      <w:r w:rsidRPr="00C53347">
        <w:t>.</w:t>
      </w:r>
      <w:r w:rsidR="006F27A9">
        <w:fldChar w:fldCharType="begin"/>
      </w:r>
      <w:r w:rsidR="00990F10">
        <w:instrText xml:space="preserve"> ADDIN ZOTERO_ITEM CSL_CITATION {"citationID":"avnbcj9869","properties":{"formattedCitation":"[15]","plainCitation":"[15]"},"citationItems":[{"id":1750,"uris":["http://zotero.org/users/1755126/items/WWE6U9XC"],"uri":["http://zotero.org/users/1755126/items/WWE6U9XC"],"itemData":{"id":1750,"type":"webpage","title":"English indices of deprivation - GOV.UK","abstract":"This series brings together all documents relating to English indices of deprivation","URL":"https://www.gov.uk/government/collections/english-indices-of-deprivation","accessed":{"date-parts":[["2014",4,17]]}}}],"schema":"https://github.com/citation-style-language/schema/raw/master/csl-citation.json"} </w:instrText>
      </w:r>
      <w:r w:rsidR="006F27A9">
        <w:fldChar w:fldCharType="separate"/>
      </w:r>
      <w:r w:rsidR="00990F10" w:rsidRPr="00990F10">
        <w:rPr>
          <w:rFonts w:ascii="Calibri" w:hAnsi="Calibri"/>
        </w:rPr>
        <w:t>[15]</w:t>
      </w:r>
      <w:r w:rsidR="006F27A9">
        <w:fldChar w:fldCharType="end"/>
      </w:r>
      <w:r w:rsidR="00F2549B">
        <w:t xml:space="preserve"> The </w:t>
      </w:r>
      <w:r w:rsidR="007306D0">
        <w:t>English indices of deprivation are produced and quality controlled using national census and other administrative data.</w:t>
      </w:r>
      <w:r w:rsidR="00D4298B">
        <w:fldChar w:fldCharType="begin"/>
      </w:r>
      <w:r w:rsidR="00990F10">
        <w:instrText xml:space="preserve"> ADDIN ZOTERO_ITEM CSL_CITATION {"citationID":"a11a1hrrd3t","properties":{"formattedCitation":"[15]","plainCitation":"[15]"},"citationItems":[{"id":1750,"uris":["http://zotero.org/users/1755126/items/WWE6U9XC"],"uri":["http://zotero.org/users/1755126/items/WWE6U9XC"],"itemData":{"id":1750,"type":"webpage","title":"English indices of deprivation - GOV.UK","abstract":"This series brings together all documents relating to English indices of deprivation","URL":"https://www.gov.uk/government/collections/english-indices-of-deprivation","accessed":{"date-parts":[["2014",4,17]]}}}],"schema":"https://github.com/citation-style-language/schema/raw/master/csl-citation.json"} </w:instrText>
      </w:r>
      <w:r w:rsidR="00D4298B">
        <w:fldChar w:fldCharType="separate"/>
      </w:r>
      <w:r w:rsidR="00990F10" w:rsidRPr="00990F10">
        <w:rPr>
          <w:rFonts w:ascii="Calibri" w:hAnsi="Calibri"/>
        </w:rPr>
        <w:t>[15]</w:t>
      </w:r>
      <w:r w:rsidR="00D4298B">
        <w:fldChar w:fldCharType="end"/>
      </w:r>
      <w:r w:rsidR="007306D0">
        <w:t xml:space="preserve"> They are constructed from 37</w:t>
      </w:r>
      <w:r w:rsidR="00D4298B">
        <w:t xml:space="preserve"> robust</w:t>
      </w:r>
      <w:r w:rsidR="007306D0">
        <w:t xml:space="preserve"> indicators in seven domains: Education Skills and Training, Employment, Income, Living Environment, Crime and Barriers to Housing and Other Services.</w:t>
      </w:r>
      <w:r w:rsidR="00D4298B">
        <w:fldChar w:fldCharType="begin"/>
      </w:r>
      <w:r w:rsidR="00990F10">
        <w:instrText xml:space="preserve"> ADDIN ZOTERO_ITEM CSL_CITATION {"citationID":"a1rid04f4jn","properties":{"formattedCitation":"[15]","plainCitation":"[15]"},"citationItems":[{"id":1750,"uris":["http://zotero.org/users/1755126/items/WWE6U9XC"],"uri":["http://zotero.org/users/1755126/items/WWE6U9XC"],"itemData":{"id":1750,"type":"webpage","title":"English indices of deprivation - GOV.UK","abstract":"This series brings together all documents relating to English indices of deprivation","URL":"https://www.gov.uk/government/collections/english-indices-of-deprivation","accessed":{"date-parts":[["2014",4,17]]}}}],"schema":"https://github.com/citation-style-language/schema/raw/master/csl-citation.json"} </w:instrText>
      </w:r>
      <w:r w:rsidR="00D4298B">
        <w:fldChar w:fldCharType="separate"/>
      </w:r>
      <w:r w:rsidR="00990F10" w:rsidRPr="00990F10">
        <w:rPr>
          <w:rFonts w:ascii="Calibri" w:hAnsi="Calibri"/>
        </w:rPr>
        <w:t>[15]</w:t>
      </w:r>
      <w:r w:rsidR="00D4298B">
        <w:fldChar w:fldCharType="end"/>
      </w:r>
      <w:r w:rsidR="007306D0">
        <w:t xml:space="preserve"> These domains are combined and weighted to calculate </w:t>
      </w:r>
      <w:r w:rsidR="00D4298B">
        <w:t xml:space="preserve">one of the most robust and commonly used measures of deprivation in England, </w:t>
      </w:r>
      <w:r w:rsidR="007306D0">
        <w:t>the IMD.</w:t>
      </w:r>
      <w:r w:rsidR="00D4298B">
        <w:fldChar w:fldCharType="begin"/>
      </w:r>
      <w:r w:rsidR="00990F10">
        <w:instrText xml:space="preserve"> ADDIN ZOTERO_ITEM CSL_CITATION {"citationID":"x7ZqVigK","properties":{"formattedCitation":"[15,18]","plainCitation":"[15,18]"},"citationItems":[{"id":1750,"uris":["http://zotero.org/users/1755126/items/WWE6U9XC"],"uri":["http://zotero.org/users/1755126/items/WWE6U9XC"],"itemData":{"id":1750,"type":"webpage","title":"English indices of deprivation - GOV.UK","abstract":"This series brings together all documents relating to English indices of deprivation","URL":"https://www.gov.uk/government/collections/english-indices-of-deprivation","accessed":{"date-parts":[["2014",4,17]]}}},{"id":3579,"uris":["http://zotero.org/users/1755126/items/XFX8W77H"],"uri":["http://zotero.org/users/1755126/items/XFX8W77H"],"itemData":{"id":3579,"type":"article-journal","title":"Effect of socioeconomic deprivation on uptake of measles, mumps and rubella vaccination in Liverpool, UK over 16 years: a longitudinal ecological study","container-title":"Epidemiology and Infection","page":"1-11","source":"PubMed","abstract":"Suboptimal uptake of the measles, mumps and rubella (MMR) vaccine by certain socioeconomic groups may have contributed to recent large measles outbreaks in the UK. We investigated whether socioeconomic deprivation was associated with MMR vaccine uptake over 16 years. Using immunization data for 72 351 children born between 1995 and 2012 in Liverpool, UK, we examined trends in vaccination uptake. Generalized linear models were constructed to examine the relative effect of socioeconomic deprivation and year of birth on MMR uptake. Uptake of MMR1 by age 24 months ranged between 82·5% in 2003 [95% confidence interval (CI) 81·2-83·7] and 93·4% in 2012 (95% CI 92·7-94·2). Uptake of MMR2 by age 60 months ranged between 65·3% (95% CI 64·4-67·4) in 2006 and 90·3% (95% CI 89·4-91·2) in 2012. In analysis adjusted for year of birth and sex, children in the most deprived communities were at significantly greater risk of not receiving MMR1 [risk ratio (RR) 1·70, 95% CI 1·45-1·99] and MMR2 (RR 1·36, 95% CI 1·22-1·52). Higher unemployment and lower household income were significantly associated with low uptake. Contrary to concerns about lower MMR uptake in affluent families, over 16 years, children from the most socioeconomically deprived communities have consistently had the lowest MMR uptake. Targeted catch-up campaigns and strategies to improve routine immunization uptake in deprived areas are needed to minimize the risk of future measles outbreaks.","DOI":"10.1017/S0950268815002599","ISSN":"1469-4409","note":"PMID: 26542197","shortTitle":"Effect of socioeconomic deprivation on uptake of measles, mumps and rubella vaccination in Liverpool, UK over 16 years","journalAbbreviation":"Epidemiol. Infect.","language":"ENG","author":[{"family":"Hungerford","given":"D."},{"family":"Macpherson","given":"P."},{"family":"Farmer","given":"S."},{"family":"Ghebrehewet","given":"S."},{"family":"Seddon","given":"D."},{"family":"Vivancos","given":"R."},{"family":"Keenan","given":"A."}],"issued":{"date-parts":[["2015",11,6]]}}}],"schema":"https://github.com/citation-style-language/schema/raw/master/csl-citation.json"} </w:instrText>
      </w:r>
      <w:r w:rsidR="00D4298B">
        <w:fldChar w:fldCharType="separate"/>
      </w:r>
      <w:r w:rsidR="00990F10" w:rsidRPr="00990F10">
        <w:rPr>
          <w:rFonts w:ascii="Calibri" w:hAnsi="Calibri"/>
        </w:rPr>
        <w:t>[15,18]</w:t>
      </w:r>
      <w:r w:rsidR="00D4298B">
        <w:fldChar w:fldCharType="end"/>
      </w:r>
    </w:p>
    <w:p w14:paraId="114BFD34" w14:textId="6DBC32E3" w:rsidR="00C53347" w:rsidRDefault="00C53347" w:rsidP="00C53347">
      <w:pPr>
        <w:pStyle w:val="Heading3"/>
        <w:rPr>
          <w:rFonts w:eastAsia="Times New Roman"/>
          <w:lang w:eastAsia="en-GB"/>
        </w:rPr>
      </w:pPr>
      <w:r>
        <w:rPr>
          <w:rFonts w:eastAsia="Times New Roman"/>
          <w:lang w:eastAsia="en-GB"/>
        </w:rPr>
        <w:t>Uptake of rotavirus vaccination</w:t>
      </w:r>
    </w:p>
    <w:p w14:paraId="2FE8A525" w14:textId="101D0929" w:rsidR="00064049" w:rsidRPr="00271441" w:rsidRDefault="00064049" w:rsidP="00AA588D">
      <w:pPr>
        <w:tabs>
          <w:tab w:val="left" w:pos="3119"/>
        </w:tabs>
        <w:spacing w:before="200" w:after="120" w:line="480" w:lineRule="auto"/>
        <w:rPr>
          <w:rFonts w:eastAsia="Times New Roman"/>
          <w:lang w:eastAsia="en-GB"/>
        </w:rPr>
      </w:pPr>
      <w:r w:rsidRPr="00271441">
        <w:rPr>
          <w:rFonts w:eastAsia="Times New Roman"/>
          <w:lang w:eastAsia="en-GB"/>
        </w:rPr>
        <w:t>Pseudo</w:t>
      </w:r>
      <w:r w:rsidR="00682C88">
        <w:rPr>
          <w:rFonts w:eastAsia="Times New Roman"/>
          <w:lang w:eastAsia="en-GB"/>
        </w:rPr>
        <w:t>-</w:t>
      </w:r>
      <w:r w:rsidRPr="00271441">
        <w:rPr>
          <w:rFonts w:eastAsia="Times New Roman"/>
          <w:lang w:eastAsia="en-GB"/>
        </w:rPr>
        <w:t>anonymised vaccine status data w</w:t>
      </w:r>
      <w:r w:rsidR="00682C88">
        <w:rPr>
          <w:rFonts w:eastAsia="Times New Roman"/>
          <w:lang w:eastAsia="en-GB"/>
        </w:rPr>
        <w:t>ere</w:t>
      </w:r>
      <w:r w:rsidRPr="00271441">
        <w:rPr>
          <w:rFonts w:eastAsia="Times New Roman"/>
          <w:lang w:eastAsia="en-GB"/>
        </w:rPr>
        <w:t xml:space="preserve"> extracted from </w:t>
      </w:r>
      <w:r w:rsidR="00FF5182">
        <w:rPr>
          <w:rFonts w:eastAsia="Times New Roman"/>
          <w:lang w:eastAsia="en-GB"/>
        </w:rPr>
        <w:t xml:space="preserve">the </w:t>
      </w:r>
      <w:r w:rsidRPr="00271441">
        <w:rPr>
          <w:rFonts w:eastAsia="Times New Roman"/>
          <w:lang w:eastAsia="en-GB"/>
        </w:rPr>
        <w:t xml:space="preserve">Child Health Information </w:t>
      </w:r>
      <w:r w:rsidR="00FF5182">
        <w:rPr>
          <w:rFonts w:eastAsia="Times New Roman"/>
          <w:lang w:eastAsia="en-GB"/>
        </w:rPr>
        <w:t xml:space="preserve">Service </w:t>
      </w:r>
      <w:r w:rsidRPr="00271441">
        <w:rPr>
          <w:rFonts w:eastAsia="Times New Roman"/>
          <w:lang w:eastAsia="en-GB"/>
        </w:rPr>
        <w:t>(CHIS).</w:t>
      </w:r>
      <w:r w:rsidR="003E312A">
        <w:rPr>
          <w:rFonts w:eastAsia="Times New Roman"/>
          <w:lang w:eastAsia="en-GB"/>
        </w:rPr>
        <w:fldChar w:fldCharType="begin"/>
      </w:r>
      <w:r w:rsidR="00990F10">
        <w:rPr>
          <w:rFonts w:eastAsia="Times New Roman"/>
          <w:lang w:eastAsia="en-GB"/>
        </w:rPr>
        <w:instrText xml:space="preserve"> ADDIN ZOTERO_ITEM CSL_CITATION {"citationID":"a1sv2k7edt","properties":{"unsorted":true,"formattedCitation":"[23,24]","plainCitation":"[23,24]"},"citationItems":[{"id":3103,"uris":["http://zotero.org/users/1755126/items/CI7UBIBT"],"uri":["http://zotero.org/users/1755126/items/CI7UBIBT"],"itemData":{"id":3103,"type":"report","title":"Information Requirements for Child Health Information Systems - Publications","publisher":"Department of Health","publisher-place":"London","event-place":"London","abstract":"This sets out the information requirements for the delivery of child health services as part of the future health and care system.","URL":"https://www.gov.uk/government/publications/information-requirements-for-child-health-information-systems","author":[{"family":"Department of Health","given":""}],"issued":{"date-parts":[["2012"]]},"accessed":{"date-parts":[["2014",8,10]]}}},{"id":2331,"uris":["http://zotero.org/users/1755126/items/I7VIAWF2"],"uri":["http://zotero.org/users/1755126/items/I7VIAWF2"],"itemData":{"id":2331,"type":"article","title":"Public health functions to be exercised by NHS England Service specification No.28 Child Health Information Systems (CHIS)","publisher":"Department of Health","author":[{"literal":"Public Health England"}],"issued":{"date-parts":[["2013",4]]}}}],"schema":"https://github.com/citation-style-language/schema/raw/master/csl-citation.json"} </w:instrText>
      </w:r>
      <w:r w:rsidR="003E312A">
        <w:rPr>
          <w:rFonts w:eastAsia="Times New Roman"/>
          <w:lang w:eastAsia="en-GB"/>
        </w:rPr>
        <w:fldChar w:fldCharType="separate"/>
      </w:r>
      <w:r w:rsidR="00990F10" w:rsidRPr="00990F10">
        <w:rPr>
          <w:rFonts w:ascii="Calibri" w:hAnsi="Calibri"/>
        </w:rPr>
        <w:t>[23,24]</w:t>
      </w:r>
      <w:r w:rsidR="003E312A">
        <w:rPr>
          <w:rFonts w:eastAsia="Times New Roman"/>
          <w:lang w:eastAsia="en-GB"/>
        </w:rPr>
        <w:fldChar w:fldCharType="end"/>
      </w:r>
      <w:r w:rsidRPr="00271441">
        <w:rPr>
          <w:rFonts w:eastAsia="Times New Roman"/>
          <w:lang w:eastAsia="en-GB"/>
        </w:rPr>
        <w:t xml:space="preserve"> The CHIS is managed locally by NHS Trusts and holds a unique record on each child born in these areas until the age of 18 years. </w:t>
      </w:r>
      <w:r w:rsidR="00D45EBF">
        <w:rPr>
          <w:rFonts w:eastAsia="Times New Roman"/>
          <w:lang w:eastAsia="en-GB"/>
        </w:rPr>
        <w:t>We obtain</w:t>
      </w:r>
      <w:r w:rsidR="00B20EB3">
        <w:rPr>
          <w:rFonts w:eastAsia="Times New Roman"/>
          <w:lang w:eastAsia="en-GB"/>
        </w:rPr>
        <w:t>ed</w:t>
      </w:r>
      <w:r w:rsidR="00D45EBF">
        <w:rPr>
          <w:rFonts w:eastAsia="Times New Roman"/>
          <w:lang w:eastAsia="en-GB"/>
        </w:rPr>
        <w:t xml:space="preserve"> a</w:t>
      </w:r>
      <w:r w:rsidR="00271441" w:rsidRPr="00271441">
        <w:rPr>
          <w:rFonts w:eastAsia="Times New Roman"/>
          <w:lang w:eastAsia="en-GB"/>
        </w:rPr>
        <w:t xml:space="preserve"> CHIS data extract</w:t>
      </w:r>
      <w:r w:rsidR="00C53347">
        <w:rPr>
          <w:rFonts w:eastAsia="Times New Roman"/>
          <w:lang w:eastAsia="en-GB"/>
        </w:rPr>
        <w:t xml:space="preserve"> on </w:t>
      </w:r>
      <w:r w:rsidR="005209CC">
        <w:rPr>
          <w:rFonts w:eastAsia="Times New Roman"/>
          <w:lang w:eastAsia="en-GB"/>
        </w:rPr>
        <w:t>children eligible for rotavirus vaccination</w:t>
      </w:r>
      <w:r w:rsidR="00C53347">
        <w:rPr>
          <w:rFonts w:eastAsia="Times New Roman"/>
          <w:lang w:eastAsia="en-GB"/>
        </w:rPr>
        <w:t xml:space="preserve"> born from May 2013 to </w:t>
      </w:r>
      <w:r w:rsidR="005209CC">
        <w:rPr>
          <w:rFonts w:eastAsia="Times New Roman"/>
          <w:lang w:eastAsia="en-GB"/>
        </w:rPr>
        <w:t>June</w:t>
      </w:r>
      <w:r w:rsidR="00C53347">
        <w:rPr>
          <w:rFonts w:eastAsia="Times New Roman"/>
          <w:lang w:eastAsia="en-GB"/>
        </w:rPr>
        <w:t xml:space="preserve"> 2016. The extract included</w:t>
      </w:r>
      <w:r w:rsidRPr="00271441">
        <w:rPr>
          <w:rFonts w:eastAsia="Times New Roman"/>
          <w:lang w:eastAsia="en-GB"/>
        </w:rPr>
        <w:t xml:space="preserve"> a unique identifier, year and month of birth; year and month of first </w:t>
      </w:r>
      <w:r w:rsidR="003E312A">
        <w:rPr>
          <w:rFonts w:eastAsia="Times New Roman"/>
          <w:lang w:eastAsia="en-GB"/>
        </w:rPr>
        <w:t xml:space="preserve">and second </w:t>
      </w:r>
      <w:r w:rsidRPr="00271441">
        <w:rPr>
          <w:rFonts w:eastAsia="Times New Roman"/>
          <w:lang w:eastAsia="en-GB"/>
        </w:rPr>
        <w:t>dos</w:t>
      </w:r>
      <w:r w:rsidR="00682C88">
        <w:rPr>
          <w:rFonts w:eastAsia="Times New Roman"/>
          <w:lang w:eastAsia="en-GB"/>
        </w:rPr>
        <w:t>e</w:t>
      </w:r>
      <w:r w:rsidRPr="00271441">
        <w:rPr>
          <w:rFonts w:eastAsia="Times New Roman"/>
          <w:lang w:eastAsia="en-GB"/>
        </w:rPr>
        <w:t xml:space="preserve"> of </w:t>
      </w:r>
      <w:r w:rsidR="003E312A">
        <w:rPr>
          <w:rFonts w:eastAsia="Times New Roman"/>
          <w:lang w:eastAsia="en-GB"/>
        </w:rPr>
        <w:t>rotavirus</w:t>
      </w:r>
      <w:r w:rsidR="003E312A" w:rsidRPr="00271441">
        <w:rPr>
          <w:rFonts w:eastAsia="Times New Roman"/>
          <w:lang w:eastAsia="en-GB"/>
        </w:rPr>
        <w:t xml:space="preserve"> </w:t>
      </w:r>
      <w:r w:rsidRPr="00271441">
        <w:rPr>
          <w:rFonts w:eastAsia="Times New Roman"/>
          <w:lang w:eastAsia="en-GB"/>
        </w:rPr>
        <w:t xml:space="preserve">vaccine, and </w:t>
      </w:r>
      <w:r w:rsidR="00FF5182">
        <w:rPr>
          <w:rFonts w:eastAsia="Times New Roman"/>
          <w:lang w:eastAsia="en-GB"/>
        </w:rPr>
        <w:t>LSOA</w:t>
      </w:r>
      <w:r w:rsidR="00E262C0">
        <w:rPr>
          <w:rFonts w:eastAsia="Times New Roman"/>
          <w:lang w:eastAsia="en-GB"/>
        </w:rPr>
        <w:t xml:space="preserve"> of residence</w:t>
      </w:r>
      <w:r w:rsidR="00271441">
        <w:rPr>
          <w:rFonts w:eastAsia="Times New Roman"/>
          <w:lang w:eastAsia="en-GB"/>
        </w:rPr>
        <w:t>.</w:t>
      </w:r>
      <w:r w:rsidR="0091719C">
        <w:rPr>
          <w:rFonts w:eastAsia="Times New Roman"/>
          <w:lang w:eastAsia="en-GB"/>
        </w:rPr>
        <w:t xml:space="preserve"> CHIS could be accessed for four out of the five local authorities in Merseyside. Data for Wirral could not be extracted due to </w:t>
      </w:r>
      <w:r w:rsidR="00710651">
        <w:rPr>
          <w:rFonts w:eastAsia="Times New Roman"/>
          <w:lang w:eastAsia="en-GB"/>
        </w:rPr>
        <w:t>lack of access to</w:t>
      </w:r>
      <w:r w:rsidR="007D743E">
        <w:rPr>
          <w:rFonts w:eastAsia="Times New Roman"/>
          <w:lang w:eastAsia="en-GB"/>
        </w:rPr>
        <w:t xml:space="preserve"> the</w:t>
      </w:r>
      <w:r w:rsidR="00710651">
        <w:rPr>
          <w:rFonts w:eastAsia="Times New Roman"/>
          <w:lang w:eastAsia="en-GB"/>
        </w:rPr>
        <w:t xml:space="preserve"> </w:t>
      </w:r>
      <w:r w:rsidR="0091719C">
        <w:rPr>
          <w:rFonts w:eastAsia="Times New Roman"/>
          <w:lang w:eastAsia="en-GB"/>
        </w:rPr>
        <w:t xml:space="preserve">CHIS database </w:t>
      </w:r>
      <w:r w:rsidR="00710651">
        <w:rPr>
          <w:rFonts w:eastAsia="Times New Roman"/>
          <w:lang w:eastAsia="en-GB"/>
        </w:rPr>
        <w:t>during the study period</w:t>
      </w:r>
      <w:r w:rsidR="0091719C">
        <w:rPr>
          <w:rFonts w:eastAsia="Times New Roman"/>
          <w:lang w:eastAsia="en-GB"/>
        </w:rPr>
        <w:t>, related to organisational restructur</w:t>
      </w:r>
      <w:r w:rsidR="003A509E">
        <w:rPr>
          <w:rFonts w:eastAsia="Times New Roman"/>
          <w:lang w:eastAsia="en-GB"/>
        </w:rPr>
        <w:t>ing.</w:t>
      </w:r>
      <w:r w:rsidR="00FB213F" w:rsidRPr="00FB213F">
        <w:t xml:space="preserve"> </w:t>
      </w:r>
      <w:r w:rsidR="00FB213F" w:rsidRPr="00FB213F">
        <w:rPr>
          <w:rFonts w:eastAsia="Times New Roman"/>
          <w:lang w:eastAsia="en-GB"/>
        </w:rPr>
        <w:t xml:space="preserve">We used codes in the CHIS dataset to exclude </w:t>
      </w:r>
      <w:r w:rsidR="00FB213F">
        <w:rPr>
          <w:rFonts w:eastAsia="Times New Roman"/>
          <w:lang w:eastAsia="en-GB"/>
        </w:rPr>
        <w:t xml:space="preserve">deaths, stillbirths and </w:t>
      </w:r>
      <w:r w:rsidR="00FB213F" w:rsidRPr="00FB213F">
        <w:rPr>
          <w:rFonts w:eastAsia="Times New Roman"/>
          <w:lang w:eastAsia="en-GB"/>
        </w:rPr>
        <w:t>children who we</w:t>
      </w:r>
      <w:r w:rsidR="00FB213F">
        <w:rPr>
          <w:rFonts w:eastAsia="Times New Roman"/>
          <w:lang w:eastAsia="en-GB"/>
        </w:rPr>
        <w:t xml:space="preserve">re born in Merseyside during the </w:t>
      </w:r>
      <w:r w:rsidR="00FB213F" w:rsidRPr="00FB213F">
        <w:rPr>
          <w:rFonts w:eastAsia="Times New Roman"/>
          <w:lang w:eastAsia="en-GB"/>
        </w:rPr>
        <w:t>study period but subsequently moved out</w:t>
      </w:r>
      <w:r w:rsidR="00300926">
        <w:rPr>
          <w:rFonts w:eastAsia="Times New Roman"/>
          <w:lang w:eastAsia="en-GB"/>
        </w:rPr>
        <w:t xml:space="preserve"> </w:t>
      </w:r>
      <w:r w:rsidR="00300926" w:rsidRPr="00300926">
        <w:rPr>
          <w:rFonts w:eastAsia="Times New Roman"/>
          <w:lang w:eastAsia="en-GB"/>
        </w:rPr>
        <w:t>from the analysis</w:t>
      </w:r>
      <w:r w:rsidR="00FB213F">
        <w:rPr>
          <w:rFonts w:eastAsia="Times New Roman"/>
          <w:lang w:eastAsia="en-GB"/>
        </w:rPr>
        <w:t>.</w:t>
      </w:r>
    </w:p>
    <w:p w14:paraId="1FCF07A9" w14:textId="77777777" w:rsidR="00721520" w:rsidRDefault="00721520" w:rsidP="00AA588D">
      <w:pPr>
        <w:pStyle w:val="Heading3"/>
        <w:spacing w:before="0" w:line="480" w:lineRule="auto"/>
      </w:pPr>
      <w:r>
        <w:t>Statistical analyses</w:t>
      </w:r>
    </w:p>
    <w:p w14:paraId="664EFD8A" w14:textId="7F617FF4" w:rsidR="0070184F" w:rsidRDefault="0070184F" w:rsidP="00122E3A">
      <w:pPr>
        <w:pStyle w:val="Heading4"/>
        <w:spacing w:line="480" w:lineRule="auto"/>
      </w:pPr>
      <w:r>
        <w:t>Impact</w:t>
      </w:r>
    </w:p>
    <w:p w14:paraId="64659265" w14:textId="4CCFBB1C" w:rsidR="0003280C" w:rsidRDefault="004C43EC" w:rsidP="00575C12">
      <w:pPr>
        <w:spacing w:after="120" w:line="480" w:lineRule="auto"/>
      </w:pPr>
      <w:r>
        <w:t xml:space="preserve">We examined </w:t>
      </w:r>
      <w:r w:rsidR="003D658F">
        <w:t xml:space="preserve">monthly </w:t>
      </w:r>
      <w:r w:rsidR="00CD2F15">
        <w:t>hospitalisations</w:t>
      </w:r>
      <w:r w:rsidR="0003280C">
        <w:t>/</w:t>
      </w:r>
      <w:r w:rsidR="003D658F">
        <w:t>attendances to healthcare providers using an interrupted time</w:t>
      </w:r>
      <w:r w:rsidR="00D00C8C">
        <w:t>-</w:t>
      </w:r>
      <w:r w:rsidR="003D658F">
        <w:t xml:space="preserve">series design. </w:t>
      </w:r>
      <w:r w:rsidR="00221511">
        <w:t>Firstly, to</w:t>
      </w:r>
      <w:r w:rsidR="00CD2F15">
        <w:t xml:space="preserve"> predict counterfactual</w:t>
      </w:r>
      <w:r w:rsidR="008F5CD3">
        <w:t xml:space="preserve"> numbers of </w:t>
      </w:r>
      <w:r w:rsidR="00CD2F15">
        <w:t>hospitalisations</w:t>
      </w:r>
      <w:r w:rsidR="008F5CD3">
        <w:t xml:space="preserve"> and attendances </w:t>
      </w:r>
      <w:r w:rsidR="008F5CD3">
        <w:lastRenderedPageBreak/>
        <w:t xml:space="preserve">that would have been expected in </w:t>
      </w:r>
      <w:r w:rsidR="004E3E64">
        <w:t xml:space="preserve">the </w:t>
      </w:r>
      <w:r w:rsidR="008F5CD3">
        <w:t>absence of vaccination for the vaccine period</w:t>
      </w:r>
      <w:r w:rsidR="00682C88">
        <w:t>,</w:t>
      </w:r>
      <w:r w:rsidR="008F5CD3">
        <w:t xml:space="preserve"> </w:t>
      </w:r>
      <w:r w:rsidR="003D658F">
        <w:t xml:space="preserve">we fitted </w:t>
      </w:r>
      <w:r w:rsidR="008F5CD3">
        <w:t>generalised linear model</w:t>
      </w:r>
      <w:r w:rsidR="00527D80">
        <w:t>s</w:t>
      </w:r>
      <w:r w:rsidR="008F5CD3">
        <w:t xml:space="preserve"> with </w:t>
      </w:r>
      <w:r w:rsidR="0070184F">
        <w:t xml:space="preserve">Poisson or </w:t>
      </w:r>
      <w:r w:rsidR="008F5CD3">
        <w:t>negative binomial distribution</w:t>
      </w:r>
      <w:r w:rsidR="004E3E64">
        <w:t>s</w:t>
      </w:r>
      <w:r w:rsidR="008F5CD3">
        <w:t xml:space="preserve"> </w:t>
      </w:r>
      <w:r w:rsidR="00527D80">
        <w:t>(</w:t>
      </w:r>
      <w:r w:rsidR="008F5CD3">
        <w:t>to account for over-dispersion</w:t>
      </w:r>
      <w:r w:rsidR="0070184F">
        <w:t xml:space="preserve"> </w:t>
      </w:r>
      <w:r w:rsidR="008F5CD3">
        <w:t>in the data</w:t>
      </w:r>
      <w:r w:rsidR="00527D80">
        <w:t>)</w:t>
      </w:r>
      <w:r w:rsidR="008F5CD3">
        <w:t xml:space="preserve"> to pre-vaccine introduction monthly counts</w:t>
      </w:r>
      <w:r w:rsidR="00424958">
        <w:t xml:space="preserve">, </w:t>
      </w:r>
      <w:r w:rsidR="00424958" w:rsidRPr="00424958">
        <w:t xml:space="preserve">offset for </w:t>
      </w:r>
      <w:r w:rsidR="00424958">
        <w:t>dataset specific denominator (Table 1)</w:t>
      </w:r>
      <w:r w:rsidR="008F5CD3">
        <w:t>. We adjusted for seasonal trends by including</w:t>
      </w:r>
      <w:r w:rsidR="00527D80">
        <w:t xml:space="preserve"> a categorical term</w:t>
      </w:r>
      <w:r w:rsidR="008F5CD3">
        <w:t xml:space="preserve"> </w:t>
      </w:r>
      <w:r w:rsidR="00527D80">
        <w:t xml:space="preserve">for </w:t>
      </w:r>
      <w:r w:rsidR="008F5CD3">
        <w:t>calendar month</w:t>
      </w:r>
      <w:r w:rsidR="00527D80">
        <w:t xml:space="preserve"> </w:t>
      </w:r>
      <w:r w:rsidR="008F5CD3">
        <w:t>a</w:t>
      </w:r>
      <w:r w:rsidR="0070184F">
        <w:t xml:space="preserve">nd secular trends by </w:t>
      </w:r>
      <w:r w:rsidR="00527D80">
        <w:t xml:space="preserve">including a linear term for </w:t>
      </w:r>
      <w:r w:rsidR="0070184F">
        <w:t>surveillance</w:t>
      </w:r>
      <w:r w:rsidR="008F5CD3">
        <w:t xml:space="preserve"> year</w:t>
      </w:r>
      <w:r w:rsidR="00527D80">
        <w:t xml:space="preserve"> (</w:t>
      </w:r>
      <w:r w:rsidR="0070184F">
        <w:t>July to June)</w:t>
      </w:r>
      <w:r w:rsidR="00527D80">
        <w:t xml:space="preserve"> as explanatory variables in the models</w:t>
      </w:r>
      <w:r w:rsidR="008F5CD3">
        <w:t>. Secondly</w:t>
      </w:r>
      <w:r w:rsidR="003A509E">
        <w:t>,</w:t>
      </w:r>
      <w:r w:rsidR="008F5CD3">
        <w:t xml:space="preserve"> to quantify the percentage reduction in</w:t>
      </w:r>
      <w:r w:rsidR="003A1568">
        <w:t xml:space="preserve"> monthly attendances/</w:t>
      </w:r>
      <w:r w:rsidR="00CD2F15">
        <w:t>hospitalisations</w:t>
      </w:r>
      <w:r w:rsidR="00BE26AE">
        <w:t>,</w:t>
      </w:r>
      <w:r w:rsidR="003A1568">
        <w:t xml:space="preserve"> we included all data pre</w:t>
      </w:r>
      <w:r w:rsidR="003D1BEF">
        <w:t>-</w:t>
      </w:r>
      <w:r w:rsidR="003A1568">
        <w:t xml:space="preserve"> and post</w:t>
      </w:r>
      <w:r w:rsidR="003D1BEF">
        <w:t>-</w:t>
      </w:r>
      <w:r w:rsidR="003A1568">
        <w:t>vaccine introduction in a second model with a binary indicator variable denoting the post-vaccine period. This second model also included the same terms to adjust for seasonal and secular trends</w:t>
      </w:r>
      <w:r w:rsidR="0003280C">
        <w:t xml:space="preserve"> and allowed the calculation of </w:t>
      </w:r>
      <w:r w:rsidR="00FF6E13">
        <w:t>incidence</w:t>
      </w:r>
      <w:r w:rsidR="00150240">
        <w:t xml:space="preserve"> </w:t>
      </w:r>
      <w:r w:rsidR="0003280C">
        <w:t>rate ratios (</w:t>
      </w:r>
      <w:r w:rsidR="00150240">
        <w:t>I</w:t>
      </w:r>
      <w:r w:rsidR="0003280C">
        <w:t>RRs)</w:t>
      </w:r>
      <w:r w:rsidR="003A1568">
        <w:t xml:space="preserve">. Percentage reduction was calculated </w:t>
      </w:r>
      <w:proofErr w:type="gramStart"/>
      <w:r w:rsidR="003A1568">
        <w:t xml:space="preserve">as </w:t>
      </w:r>
      <w:proofErr w:type="gramEnd"/>
      <m:oMath>
        <m:r>
          <w:rPr>
            <w:rFonts w:ascii="Cambria Math" w:hAnsi="Cambria Math"/>
          </w:rPr>
          <m:t>100 ×(1-IRR)</m:t>
        </m:r>
      </m:oMath>
      <w:r w:rsidR="003A1568">
        <w:t>.</w:t>
      </w:r>
      <w:r w:rsidR="0003280C">
        <w:t xml:space="preserve"> </w:t>
      </w:r>
      <w:r w:rsidR="00527D80">
        <w:t xml:space="preserve">The </w:t>
      </w:r>
      <w:r w:rsidR="00F72885">
        <w:t>RVGE</w:t>
      </w:r>
      <w:r w:rsidR="005C78B3">
        <w:t xml:space="preserve"> “season”</w:t>
      </w:r>
      <w:r w:rsidR="00F72885">
        <w:t xml:space="preserve"> in the UK in the pre-vaccine </w:t>
      </w:r>
      <w:r w:rsidR="005C78B3">
        <w:t>period</w:t>
      </w:r>
      <w:r w:rsidR="00F72885">
        <w:t xml:space="preserve"> was consistently between the months o</w:t>
      </w:r>
      <w:r w:rsidR="00865136">
        <w:t>f</w:t>
      </w:r>
      <w:r w:rsidR="00F72885">
        <w:t xml:space="preserve"> January and May with the peak occurring in early to mid-March in most years</w:t>
      </w:r>
      <w:r w:rsidR="00682C88">
        <w:t>;</w:t>
      </w:r>
      <w:r w:rsidR="009C0253">
        <w:fldChar w:fldCharType="begin"/>
      </w:r>
      <w:r w:rsidR="00990F10">
        <w:instrText xml:space="preserve"> ADDIN ZOTERO_ITEM CSL_CITATION {"citationID":"a1d3o25rjja","properties":{"formattedCitation":"[25]","plainCitation":"[25]"},"citationItems":[{"id":3578,"uris":["http://zotero.org/users/1755126/items/S8VXWKHM"],"uri":["http://zotero.org/users/1755126/items/S8VXWKHM"],"itemData":{"id":3578,"type":"article-journal","title":"In-season and out-of-season variation of rotavirus genotype distribution and age of infection across 12 European countries before the introduction of routine vaccination, 2007/08 to 2012/13","container-title":"Euro Surveillance: Bulletin Européen Sur Les Maladies Transmissibles = European Communicable Disease Bulletin","volume":"21","issue":"2","source":"PubMed","abstract":"The EuroRotaNet surveillance network has conducted rotavirus genotype surveillance since 2007 in 16 European countries. Using epidemiological and microbiological data from 39,786 genotyped rotavirus-positive specimens collected between September 2007 and August 2013, we assessed genotype distribution and age distribution of rotavirus gastroenteritis (RVGE) cases in and out of peak season in 12 countries which were yet to implement routine rotavirus vaccination. In multinomial multivariate logistic regression, adjusting for year, country and age, the odds of infection caused by genotype-constellation 2 DS-1-like stains (adjusted multinomial odds ratio (aM-OR) = 1.25; 95% confidence interval (CI): 1.13-1.37; p &lt; 0.001), mixed or untypable genotypes (aM-OR = 1.55; 95% CI: 1.40-1.72; p &lt; 0.001) and less common genotypes (aM-OR = 2.11; 95% CI:1.78-2.51; p &lt; 0.001) increased out of season relative to G1P[8]. Age varied significantly between seasons; the proportion of RVGE cases younger than 12 months in the United Kingdom increased from 34% in season to 39% out of season (aM-OR = 1.66; 95% CI: 1.20-2.30), and the proportion five years and older increased from 9% in season to 17% out of season (aM-OR = 2.53; 95% CI: 1.67-3.82). This study provides further understanding of the rotavirus ecology before vaccine introduction, which will help interpret epidemiological changes in countries introducing or expanding rotavirus vaccination programmes.","DOI":"10.2807/1560-7917.ES.2016.21.2.30106","ISSN":"1560-7917","note":"PMID: 26794258","journalAbbreviation":"Euro Surveill.","language":"eng","author":[{"family":"Hungerford","given":"Daniel"},{"family":"Vivancos","given":"Roberto"},{"literal":"EuroRotaNet network members"},{"family":"Read","given":"Jonathan M."},{"family":"Pitzer","given":"Virginia E."},{"family":"Cunliffe","given":"Nigel"},{"family":"French","given":"Neil"},{"family":"Iturriza-Gómara","given":"Miren"}],"issued":{"date-parts":[["2016",1,14]]}}}],"schema":"https://github.com/citation-style-language/schema/raw/master/csl-citation.json"} </w:instrText>
      </w:r>
      <w:r w:rsidR="009C0253">
        <w:fldChar w:fldCharType="separate"/>
      </w:r>
      <w:r w:rsidR="00990F10" w:rsidRPr="00990F10">
        <w:rPr>
          <w:rFonts w:ascii="Calibri" w:hAnsi="Calibri"/>
        </w:rPr>
        <w:t>[25]</w:t>
      </w:r>
      <w:r w:rsidR="009C0253">
        <w:fldChar w:fldCharType="end"/>
      </w:r>
      <w:r w:rsidR="00F72885">
        <w:t xml:space="preserve"> </w:t>
      </w:r>
      <w:r w:rsidR="00682C88">
        <w:t>for</w:t>
      </w:r>
      <w:r w:rsidR="00106585">
        <w:t xml:space="preserve"> sensitivity analysis </w:t>
      </w:r>
      <w:r w:rsidR="0029555F">
        <w:t xml:space="preserve">we </w:t>
      </w:r>
      <w:r w:rsidR="00106585">
        <w:t>examined specificity of end-point by</w:t>
      </w:r>
      <w:r w:rsidR="00F72885">
        <w:t xml:space="preserve"> </w:t>
      </w:r>
      <w:r w:rsidR="0029555F">
        <w:t>stratifying</w:t>
      </w:r>
      <w:r w:rsidR="00CD5113">
        <w:t xml:space="preserve"> by </w:t>
      </w:r>
      <w:r w:rsidR="0029555F">
        <w:t xml:space="preserve">events which occurred </w:t>
      </w:r>
      <w:r w:rsidR="00527D80">
        <w:t>in-</w:t>
      </w:r>
      <w:r w:rsidR="00CD5113">
        <w:t xml:space="preserve">season (January-May) and </w:t>
      </w:r>
      <w:r w:rsidR="00527D80">
        <w:t>out-of-</w:t>
      </w:r>
      <w:r w:rsidR="00CD5113">
        <w:t>season (June-December)</w:t>
      </w:r>
      <w:r w:rsidR="00F72885">
        <w:t>.</w:t>
      </w:r>
      <w:r w:rsidR="00CD5113">
        <w:t xml:space="preserve"> </w:t>
      </w:r>
      <w:r w:rsidR="00CF4DA6" w:rsidRPr="00CF4DA6">
        <w:t xml:space="preserve">To investigate </w:t>
      </w:r>
      <w:r w:rsidR="00BE26AE">
        <w:t>vaccine</w:t>
      </w:r>
      <w:r w:rsidR="00CF4DA6" w:rsidRPr="00CF4DA6">
        <w:t xml:space="preserve"> impact </w:t>
      </w:r>
      <w:r w:rsidR="00BE26AE">
        <w:t xml:space="preserve">by age, </w:t>
      </w:r>
      <w:r w:rsidR="00CF4DA6" w:rsidRPr="00CF4DA6">
        <w:t>the analysis</w:t>
      </w:r>
      <w:r w:rsidR="007E3048">
        <w:t xml:space="preserve"> was</w:t>
      </w:r>
      <w:r w:rsidR="00CF4DA6" w:rsidRPr="00CF4DA6">
        <w:t xml:space="preserve"> stratified </w:t>
      </w:r>
      <w:r w:rsidR="00CF4DA6">
        <w:t>by age group (&lt;</w:t>
      </w:r>
      <w:r w:rsidR="00185767">
        <w:t>12 months, 12-23 months, 24-59 months</w:t>
      </w:r>
      <w:r w:rsidR="00CF4DA6">
        <w:t>, 5-14</w:t>
      </w:r>
      <w:r w:rsidR="00FF5182">
        <w:t xml:space="preserve"> years, 15-64 years, </w:t>
      </w:r>
      <w:r w:rsidR="00CF4DA6">
        <w:t>65+ years</w:t>
      </w:r>
      <w:r w:rsidR="00FF5182">
        <w:t xml:space="preserve"> and 0-59 months</w:t>
      </w:r>
      <w:r w:rsidR="00CF4DA6">
        <w:t xml:space="preserve">). </w:t>
      </w:r>
    </w:p>
    <w:p w14:paraId="27AE08C8" w14:textId="0D33F40E" w:rsidR="00EE4F85" w:rsidRDefault="0029555F" w:rsidP="00122E3A">
      <w:pPr>
        <w:pStyle w:val="Heading4"/>
        <w:spacing w:line="480" w:lineRule="auto"/>
        <w:rPr>
          <w:rFonts w:eastAsia="Times New Roman"/>
          <w:lang w:eastAsia="en-GB"/>
        </w:rPr>
      </w:pPr>
      <w:r>
        <w:rPr>
          <w:rFonts w:eastAsia="Times New Roman"/>
          <w:lang w:eastAsia="en-GB"/>
        </w:rPr>
        <w:t>Socioeconomic deprivation, vaccine uptake and hospitalisations</w:t>
      </w:r>
    </w:p>
    <w:p w14:paraId="5A939D32" w14:textId="44B06331" w:rsidR="00185767" w:rsidRDefault="0029555F" w:rsidP="00AA588D">
      <w:pPr>
        <w:spacing w:after="120" w:line="480" w:lineRule="auto"/>
        <w:rPr>
          <w:rFonts w:eastAsia="Times New Roman"/>
          <w:szCs w:val="23"/>
          <w:lang w:eastAsia="en-GB"/>
        </w:rPr>
      </w:pPr>
      <w:r>
        <w:rPr>
          <w:rFonts w:eastAsia="Times New Roman"/>
          <w:szCs w:val="23"/>
          <w:lang w:eastAsia="en-GB"/>
        </w:rPr>
        <w:t xml:space="preserve">Firstly, we </w:t>
      </w:r>
      <w:r w:rsidR="003A509E">
        <w:rPr>
          <w:rFonts w:eastAsia="Times New Roman"/>
          <w:szCs w:val="23"/>
          <w:lang w:eastAsia="en-GB"/>
        </w:rPr>
        <w:t xml:space="preserve">wished to </w:t>
      </w:r>
      <w:r>
        <w:rPr>
          <w:rFonts w:eastAsia="Times New Roman"/>
          <w:szCs w:val="23"/>
          <w:lang w:eastAsia="en-GB"/>
        </w:rPr>
        <w:t xml:space="preserve">assess whether </w:t>
      </w:r>
      <w:r w:rsidR="00BE26AE">
        <w:rPr>
          <w:rFonts w:eastAsia="Times New Roman"/>
          <w:szCs w:val="23"/>
          <w:lang w:eastAsia="en-GB"/>
        </w:rPr>
        <w:t xml:space="preserve">the </w:t>
      </w:r>
      <w:r>
        <w:rPr>
          <w:rFonts w:eastAsia="Times New Roman"/>
          <w:szCs w:val="23"/>
          <w:lang w:eastAsia="en-GB"/>
        </w:rPr>
        <w:t xml:space="preserve">incidence of </w:t>
      </w:r>
      <w:r w:rsidR="00A707D7">
        <w:rPr>
          <w:rFonts w:eastAsia="Times New Roman"/>
          <w:szCs w:val="23"/>
          <w:lang w:eastAsia="en-GB"/>
        </w:rPr>
        <w:t>all-cause AGE</w:t>
      </w:r>
      <w:r>
        <w:rPr>
          <w:rFonts w:eastAsia="Times New Roman"/>
          <w:szCs w:val="23"/>
          <w:lang w:eastAsia="en-GB"/>
        </w:rPr>
        <w:t xml:space="preserve"> hospitalis</w:t>
      </w:r>
      <w:r w:rsidR="00FF5182">
        <w:rPr>
          <w:rFonts w:eastAsia="Times New Roman"/>
          <w:szCs w:val="23"/>
          <w:lang w:eastAsia="en-GB"/>
        </w:rPr>
        <w:t>ations varied by level of socio</w:t>
      </w:r>
      <w:r>
        <w:rPr>
          <w:rFonts w:eastAsia="Times New Roman"/>
          <w:szCs w:val="23"/>
          <w:lang w:eastAsia="en-GB"/>
        </w:rPr>
        <w:t>economic deprivation.</w:t>
      </w:r>
      <w:r w:rsidR="00CF6D56">
        <w:rPr>
          <w:rFonts w:eastAsia="Times New Roman"/>
          <w:szCs w:val="23"/>
          <w:lang w:eastAsia="en-GB"/>
        </w:rPr>
        <w:t xml:space="preserve"> </w:t>
      </w:r>
      <w:r>
        <w:rPr>
          <w:rFonts w:eastAsia="Times New Roman"/>
          <w:szCs w:val="23"/>
          <w:lang w:eastAsia="en-GB"/>
        </w:rPr>
        <w:t>To achieve this we fit</w:t>
      </w:r>
      <w:r w:rsidR="007E3048">
        <w:rPr>
          <w:rFonts w:eastAsia="Times New Roman"/>
          <w:szCs w:val="23"/>
          <w:lang w:eastAsia="en-GB"/>
        </w:rPr>
        <w:t>ted</w:t>
      </w:r>
      <w:r>
        <w:rPr>
          <w:rFonts w:eastAsia="Times New Roman"/>
          <w:szCs w:val="23"/>
          <w:lang w:eastAsia="en-GB"/>
        </w:rPr>
        <w:t xml:space="preserve"> </w:t>
      </w:r>
      <w:r w:rsidR="007E3048">
        <w:rPr>
          <w:rFonts w:eastAsia="Times New Roman"/>
          <w:szCs w:val="23"/>
          <w:lang w:eastAsia="en-GB"/>
        </w:rPr>
        <w:t xml:space="preserve">negative binomial </w:t>
      </w:r>
      <w:r w:rsidR="00656793">
        <w:rPr>
          <w:rFonts w:eastAsia="Times New Roman"/>
          <w:szCs w:val="23"/>
          <w:lang w:eastAsia="en-GB"/>
        </w:rPr>
        <w:t>general</w:t>
      </w:r>
      <w:r w:rsidR="00424958">
        <w:rPr>
          <w:rFonts w:eastAsia="Times New Roman"/>
          <w:szCs w:val="23"/>
          <w:lang w:eastAsia="en-GB"/>
        </w:rPr>
        <w:t>ised</w:t>
      </w:r>
      <w:r w:rsidR="00656793">
        <w:rPr>
          <w:rFonts w:eastAsia="Times New Roman"/>
          <w:szCs w:val="23"/>
          <w:lang w:eastAsia="en-GB"/>
        </w:rPr>
        <w:t xml:space="preserve"> linear </w:t>
      </w:r>
      <w:r w:rsidR="007E3048">
        <w:rPr>
          <w:rFonts w:eastAsia="Times New Roman"/>
          <w:szCs w:val="23"/>
          <w:lang w:eastAsia="en-GB"/>
        </w:rPr>
        <w:t>models with the n</w:t>
      </w:r>
      <w:r w:rsidR="00656793">
        <w:rPr>
          <w:rFonts w:eastAsia="Times New Roman"/>
          <w:szCs w:val="23"/>
          <w:lang w:eastAsia="en-GB"/>
        </w:rPr>
        <w:t>umber of hospitalisations</w:t>
      </w:r>
      <w:r w:rsidR="00714ACE">
        <w:rPr>
          <w:rFonts w:eastAsia="Times New Roman"/>
          <w:szCs w:val="23"/>
          <w:lang w:eastAsia="en-GB"/>
        </w:rPr>
        <w:t xml:space="preserve"> </w:t>
      </w:r>
      <w:r w:rsidR="00656793">
        <w:rPr>
          <w:rFonts w:eastAsia="Times New Roman"/>
          <w:szCs w:val="23"/>
          <w:lang w:eastAsia="en-GB"/>
        </w:rPr>
        <w:t xml:space="preserve">as the dependent variable and quintile of deprivation </w:t>
      </w:r>
      <w:r w:rsidR="00424958">
        <w:rPr>
          <w:rFonts w:eastAsia="Times New Roman"/>
          <w:szCs w:val="23"/>
          <w:lang w:eastAsia="en-GB"/>
        </w:rPr>
        <w:t>as the independent</w:t>
      </w:r>
      <w:r w:rsidR="003A509E">
        <w:rPr>
          <w:rFonts w:eastAsia="Times New Roman"/>
          <w:szCs w:val="23"/>
          <w:lang w:eastAsia="en-GB"/>
        </w:rPr>
        <w:t xml:space="preserve"> variable</w:t>
      </w:r>
      <w:r w:rsidR="00424958">
        <w:rPr>
          <w:rFonts w:eastAsia="Times New Roman"/>
          <w:szCs w:val="23"/>
          <w:lang w:eastAsia="en-GB"/>
        </w:rPr>
        <w:t>,</w:t>
      </w:r>
      <w:r w:rsidR="00714ACE">
        <w:rPr>
          <w:rFonts w:eastAsia="Times New Roman"/>
          <w:szCs w:val="23"/>
          <w:lang w:eastAsia="en-GB"/>
        </w:rPr>
        <w:t xml:space="preserve"> offset for population denominator and </w:t>
      </w:r>
      <w:r w:rsidR="00424958">
        <w:rPr>
          <w:rFonts w:eastAsia="Times New Roman"/>
          <w:szCs w:val="23"/>
          <w:lang w:eastAsia="en-GB"/>
        </w:rPr>
        <w:t>adjusting again for seasonal and secular trends</w:t>
      </w:r>
      <w:r w:rsidR="00FF5182">
        <w:rPr>
          <w:rFonts w:eastAsia="Times New Roman"/>
          <w:szCs w:val="23"/>
          <w:lang w:eastAsia="en-GB"/>
        </w:rPr>
        <w:t xml:space="preserve"> (m</w:t>
      </w:r>
      <w:r w:rsidR="00502E8E">
        <w:rPr>
          <w:rFonts w:eastAsia="Times New Roman"/>
          <w:szCs w:val="23"/>
          <w:lang w:eastAsia="en-GB"/>
        </w:rPr>
        <w:t>odel Y)</w:t>
      </w:r>
      <w:r w:rsidR="00424958">
        <w:rPr>
          <w:rFonts w:eastAsia="Times New Roman"/>
          <w:szCs w:val="23"/>
          <w:lang w:eastAsia="en-GB"/>
        </w:rPr>
        <w:t xml:space="preserve">. Quintile of deprivation was calculated using the IMD scores for LSOAs </w:t>
      </w:r>
      <w:r w:rsidR="00555BF9">
        <w:rPr>
          <w:rFonts w:eastAsia="Times New Roman"/>
          <w:szCs w:val="23"/>
          <w:lang w:eastAsia="en-GB"/>
        </w:rPr>
        <w:t>nationally</w:t>
      </w:r>
      <w:r w:rsidR="00DF7E25">
        <w:rPr>
          <w:rFonts w:eastAsia="Times New Roman"/>
          <w:szCs w:val="23"/>
          <w:lang w:eastAsia="en-GB"/>
        </w:rPr>
        <w:t>, where</w:t>
      </w:r>
      <w:r w:rsidR="00871DDB">
        <w:rPr>
          <w:rFonts w:eastAsia="Times New Roman"/>
          <w:szCs w:val="23"/>
          <w:lang w:eastAsia="en-GB"/>
        </w:rPr>
        <w:t>by</w:t>
      </w:r>
      <w:r w:rsidR="00DF7E25">
        <w:rPr>
          <w:rFonts w:eastAsia="Times New Roman"/>
          <w:szCs w:val="23"/>
          <w:lang w:eastAsia="en-GB"/>
        </w:rPr>
        <w:t xml:space="preserve"> quintile five is the least deprived and quintile one the most</w:t>
      </w:r>
      <w:r w:rsidR="00871DDB">
        <w:rPr>
          <w:rFonts w:eastAsia="Times New Roman"/>
          <w:szCs w:val="23"/>
          <w:lang w:eastAsia="en-GB"/>
        </w:rPr>
        <w:t xml:space="preserve"> deprived.</w:t>
      </w:r>
      <w:r w:rsidR="00555BF9">
        <w:rPr>
          <w:rFonts w:eastAsia="Times New Roman"/>
          <w:szCs w:val="23"/>
          <w:lang w:eastAsia="en-GB"/>
        </w:rPr>
        <w:t xml:space="preserve"> </w:t>
      </w:r>
      <w:r w:rsidR="00871DDB">
        <w:rPr>
          <w:rFonts w:eastAsia="Times New Roman"/>
          <w:szCs w:val="23"/>
          <w:lang w:eastAsia="en-GB"/>
        </w:rPr>
        <w:t xml:space="preserve">Since </w:t>
      </w:r>
      <w:r w:rsidR="00555BF9">
        <w:rPr>
          <w:rFonts w:eastAsia="Times New Roman"/>
          <w:szCs w:val="23"/>
          <w:lang w:eastAsia="en-GB"/>
        </w:rPr>
        <w:t>the population of Merseyside is skewed towards the most deprived national quintiles</w:t>
      </w:r>
      <w:r w:rsidR="0081555D">
        <w:rPr>
          <w:rFonts w:eastAsia="Times New Roman"/>
          <w:szCs w:val="23"/>
          <w:lang w:eastAsia="en-GB"/>
        </w:rPr>
        <w:t xml:space="preserve"> (45% of the population are in the most deprived quintile</w:t>
      </w:r>
      <w:r w:rsidR="00AA6BC3">
        <w:rPr>
          <w:rFonts w:eastAsia="Times New Roman"/>
          <w:szCs w:val="23"/>
          <w:lang w:eastAsia="en-GB"/>
        </w:rPr>
        <w:t xml:space="preserve"> and 8% in the least deprived</w:t>
      </w:r>
      <w:r w:rsidR="0081555D">
        <w:rPr>
          <w:rFonts w:eastAsia="Times New Roman"/>
          <w:szCs w:val="23"/>
          <w:lang w:eastAsia="en-GB"/>
        </w:rPr>
        <w:t>)</w:t>
      </w:r>
      <w:r w:rsidR="00555BF9">
        <w:rPr>
          <w:rFonts w:eastAsia="Times New Roman"/>
          <w:szCs w:val="23"/>
          <w:lang w:eastAsia="en-GB"/>
        </w:rPr>
        <w:t>, we combined the two least deprived quintiles</w:t>
      </w:r>
      <w:r w:rsidR="007640D9">
        <w:rPr>
          <w:rFonts w:eastAsia="Times New Roman"/>
          <w:szCs w:val="23"/>
          <w:lang w:eastAsia="en-GB"/>
        </w:rPr>
        <w:t xml:space="preserve"> into category “4/5 (least deprived)”</w:t>
      </w:r>
      <w:r w:rsidR="00555BF9">
        <w:rPr>
          <w:rFonts w:eastAsia="Times New Roman"/>
          <w:szCs w:val="23"/>
          <w:lang w:eastAsia="en-GB"/>
        </w:rPr>
        <w:t xml:space="preserve">. </w:t>
      </w:r>
      <w:r w:rsidR="00CF6D56">
        <w:rPr>
          <w:rFonts w:eastAsia="Times New Roman"/>
          <w:szCs w:val="23"/>
          <w:lang w:eastAsia="en-GB"/>
        </w:rPr>
        <w:t>All-cause AGE hospitalisations were</w:t>
      </w:r>
      <w:r w:rsidR="00CF6D56" w:rsidRPr="00CF6D56">
        <w:rPr>
          <w:rFonts w:eastAsia="Times New Roman"/>
          <w:szCs w:val="23"/>
          <w:lang w:eastAsia="en-GB"/>
        </w:rPr>
        <w:t xml:space="preserve"> </w:t>
      </w:r>
      <w:r w:rsidR="00CF6D56" w:rsidRPr="00CF6D56">
        <w:rPr>
          <w:rFonts w:eastAsia="Times New Roman"/>
          <w:szCs w:val="23"/>
          <w:lang w:eastAsia="en-GB"/>
        </w:rPr>
        <w:lastRenderedPageBreak/>
        <w:t xml:space="preserve">included </w:t>
      </w:r>
      <w:r w:rsidR="00CF6D56">
        <w:rPr>
          <w:rFonts w:eastAsia="Times New Roman"/>
          <w:szCs w:val="23"/>
          <w:lang w:eastAsia="en-GB"/>
        </w:rPr>
        <w:t xml:space="preserve">in the model </w:t>
      </w:r>
      <w:r w:rsidR="00CF6D56" w:rsidRPr="00CF6D56">
        <w:rPr>
          <w:rFonts w:eastAsia="Times New Roman"/>
          <w:szCs w:val="23"/>
          <w:lang w:eastAsia="en-GB"/>
        </w:rPr>
        <w:t>for the time-period</w:t>
      </w:r>
      <w:r w:rsidR="00CF6D56">
        <w:rPr>
          <w:rFonts w:eastAsia="Times New Roman"/>
          <w:szCs w:val="23"/>
          <w:lang w:eastAsia="en-GB"/>
        </w:rPr>
        <w:t>,</w:t>
      </w:r>
      <w:r w:rsidR="00CF6D56" w:rsidRPr="00CF6D56">
        <w:rPr>
          <w:rFonts w:eastAsia="Times New Roman"/>
          <w:szCs w:val="23"/>
          <w:lang w:eastAsia="en-GB"/>
        </w:rPr>
        <w:t xml:space="preserve"> July 2004 to June 2016</w:t>
      </w:r>
      <w:r w:rsidR="00CF6D56">
        <w:rPr>
          <w:rFonts w:eastAsia="Times New Roman"/>
          <w:szCs w:val="23"/>
          <w:lang w:eastAsia="en-GB"/>
        </w:rPr>
        <w:t xml:space="preserve"> because LSOA information was not available prior to April 2004. </w:t>
      </w:r>
      <w:r w:rsidR="00424958">
        <w:rPr>
          <w:rFonts w:eastAsia="Times New Roman"/>
          <w:szCs w:val="23"/>
          <w:lang w:eastAsia="en-GB"/>
        </w:rPr>
        <w:t xml:space="preserve">The models allowed calculation of </w:t>
      </w:r>
      <w:r w:rsidR="00AC17BE">
        <w:rPr>
          <w:rFonts w:eastAsia="Times New Roman"/>
          <w:szCs w:val="23"/>
          <w:lang w:eastAsia="en-GB"/>
        </w:rPr>
        <w:t>I</w:t>
      </w:r>
      <w:r w:rsidR="00424958">
        <w:rPr>
          <w:rFonts w:eastAsia="Times New Roman"/>
          <w:szCs w:val="23"/>
          <w:lang w:eastAsia="en-GB"/>
        </w:rPr>
        <w:t xml:space="preserve">RR </w:t>
      </w:r>
      <w:r w:rsidR="00DF7E25">
        <w:rPr>
          <w:rFonts w:eastAsia="Times New Roman"/>
          <w:szCs w:val="23"/>
          <w:lang w:eastAsia="en-GB"/>
        </w:rPr>
        <w:t xml:space="preserve">for </w:t>
      </w:r>
      <w:r w:rsidR="00CD223F">
        <w:rPr>
          <w:rFonts w:eastAsia="Times New Roman"/>
          <w:szCs w:val="23"/>
          <w:lang w:eastAsia="en-GB"/>
        </w:rPr>
        <w:t xml:space="preserve">socioeconomic </w:t>
      </w:r>
      <w:r w:rsidR="00DF7E25">
        <w:rPr>
          <w:rFonts w:eastAsia="Times New Roman"/>
          <w:szCs w:val="23"/>
          <w:lang w:eastAsia="en-GB"/>
        </w:rPr>
        <w:t xml:space="preserve">deprivation </w:t>
      </w:r>
      <w:r w:rsidR="00CD223F">
        <w:rPr>
          <w:rFonts w:eastAsia="Times New Roman"/>
          <w:szCs w:val="23"/>
          <w:lang w:eastAsia="en-GB"/>
        </w:rPr>
        <w:t xml:space="preserve">group </w:t>
      </w:r>
      <w:r w:rsidR="00DF7E25">
        <w:rPr>
          <w:rFonts w:eastAsia="Times New Roman"/>
          <w:szCs w:val="23"/>
          <w:lang w:eastAsia="en-GB"/>
        </w:rPr>
        <w:t xml:space="preserve">by </w:t>
      </w:r>
      <w:r w:rsidR="00424958">
        <w:rPr>
          <w:rFonts w:eastAsia="Times New Roman"/>
          <w:szCs w:val="23"/>
          <w:lang w:eastAsia="en-GB"/>
        </w:rPr>
        <w:t xml:space="preserve">comparing the least deprived </w:t>
      </w:r>
      <w:r w:rsidR="00CD223F">
        <w:rPr>
          <w:rFonts w:eastAsia="Times New Roman"/>
          <w:szCs w:val="23"/>
          <w:lang w:eastAsia="en-GB"/>
        </w:rPr>
        <w:t xml:space="preserve">“4/5 (least deprived)” </w:t>
      </w:r>
      <w:r w:rsidR="00424958">
        <w:rPr>
          <w:rFonts w:eastAsia="Times New Roman"/>
          <w:szCs w:val="23"/>
          <w:lang w:eastAsia="en-GB"/>
        </w:rPr>
        <w:t xml:space="preserve">to </w:t>
      </w:r>
      <w:r w:rsidR="00DF7E25">
        <w:rPr>
          <w:rFonts w:eastAsia="Times New Roman"/>
          <w:szCs w:val="23"/>
          <w:lang w:eastAsia="en-GB"/>
        </w:rPr>
        <w:t xml:space="preserve">the other </w:t>
      </w:r>
      <w:r w:rsidR="00FF5182">
        <w:rPr>
          <w:rFonts w:eastAsia="Times New Roman"/>
          <w:szCs w:val="23"/>
          <w:lang w:eastAsia="en-GB"/>
        </w:rPr>
        <w:t>quintiles</w:t>
      </w:r>
      <w:r w:rsidR="00871DDB">
        <w:rPr>
          <w:rFonts w:eastAsia="Times New Roman"/>
          <w:szCs w:val="23"/>
          <w:lang w:eastAsia="en-GB"/>
        </w:rPr>
        <w:t>, stratified by age group</w:t>
      </w:r>
      <w:r w:rsidR="00DF7E25">
        <w:rPr>
          <w:rFonts w:eastAsia="Times New Roman"/>
          <w:szCs w:val="23"/>
          <w:lang w:eastAsia="en-GB"/>
        </w:rPr>
        <w:t>.</w:t>
      </w:r>
      <w:r w:rsidR="00502E8E">
        <w:rPr>
          <w:rFonts w:eastAsia="Times New Roman"/>
          <w:szCs w:val="23"/>
          <w:lang w:eastAsia="en-GB"/>
        </w:rPr>
        <w:t xml:space="preserve"> </w:t>
      </w:r>
    </w:p>
    <w:p w14:paraId="499BCD47" w14:textId="1F914FFB" w:rsidR="00BA0C66" w:rsidRDefault="005A04EB" w:rsidP="00AA588D">
      <w:pPr>
        <w:spacing w:after="120" w:line="480" w:lineRule="auto"/>
      </w:pPr>
      <w:r>
        <w:rPr>
          <w:rFonts w:eastAsia="Times New Roman"/>
          <w:szCs w:val="23"/>
          <w:lang w:eastAsia="en-GB"/>
        </w:rPr>
        <w:t>Secondly, we describe uptake of 1</w:t>
      </w:r>
      <w:r w:rsidRPr="005A04EB">
        <w:rPr>
          <w:rFonts w:eastAsia="Times New Roman"/>
          <w:szCs w:val="23"/>
          <w:vertAlign w:val="superscript"/>
          <w:lang w:eastAsia="en-GB"/>
        </w:rPr>
        <w:t>st</w:t>
      </w:r>
      <w:r>
        <w:rPr>
          <w:rFonts w:eastAsia="Times New Roman"/>
          <w:szCs w:val="23"/>
          <w:lang w:eastAsia="en-GB"/>
        </w:rPr>
        <w:t xml:space="preserve"> and 2</w:t>
      </w:r>
      <w:r w:rsidRPr="005A04EB">
        <w:rPr>
          <w:rFonts w:eastAsia="Times New Roman"/>
          <w:szCs w:val="23"/>
          <w:vertAlign w:val="superscript"/>
          <w:lang w:eastAsia="en-GB"/>
        </w:rPr>
        <w:t>nd</w:t>
      </w:r>
      <w:r>
        <w:rPr>
          <w:rFonts w:eastAsia="Times New Roman"/>
          <w:szCs w:val="23"/>
          <w:lang w:eastAsia="en-GB"/>
        </w:rPr>
        <w:t xml:space="preserve"> dose o</w:t>
      </w:r>
      <w:r w:rsidR="003A509E">
        <w:rPr>
          <w:rFonts w:eastAsia="Times New Roman"/>
          <w:szCs w:val="23"/>
          <w:lang w:eastAsia="en-GB"/>
        </w:rPr>
        <w:t>f</w:t>
      </w:r>
      <w:r>
        <w:rPr>
          <w:rFonts w:eastAsia="Times New Roman"/>
          <w:szCs w:val="23"/>
          <w:lang w:eastAsia="en-GB"/>
        </w:rPr>
        <w:t xml:space="preserve"> rotavirus vaccine by month of birth for children born between May 2013 </w:t>
      </w:r>
      <w:r w:rsidR="00D45EBF">
        <w:t>and December 2015.</w:t>
      </w:r>
      <w:r w:rsidR="00393B65">
        <w:t xml:space="preserve"> December 2015 was selected as the cut-off to allow all children in the cohort to reach 25 weeks of age, the upper time limit for rotavirus vaccination</w:t>
      </w:r>
      <w:r w:rsidR="005A0E30">
        <w:t>.</w:t>
      </w:r>
      <w:r w:rsidR="009C0253">
        <w:fldChar w:fldCharType="begin"/>
      </w:r>
      <w:r w:rsidR="00990F10">
        <w:instrText xml:space="preserve"> ADDIN ZOTERO_ITEM CSL_CITATION {"citationID":"a1j2ueh15hi","properties":{"formattedCitation":"[26]","plainCitation":"[26]"},"citationItems":[{"id":4140,"uris":["http://zotero.org/users/1755126/items/FWCWM3V4"],"uri":["http://zotero.org/users/1755126/items/FWCWM3V4"],"itemData":{"id":4140,"type":"article","title":"Rotavirus: the green book, chapter 27b","publisher":"Public Health England","abstract":"Rotavirus immunisation information for public health professionals.","URL":"https://www.gov.uk/government/publications/rotavirus-the-green-book-chapter-27b","shortTitle":"Rotavirus","author":[{"family":"Public Health England","given":""}],"issued":{"date-parts":[["2013",4,30]]},"accessed":{"date-parts":[["2017",7,4]]}}}],"schema":"https://github.com/citation-style-language/schema/raw/master/csl-citation.json"} </w:instrText>
      </w:r>
      <w:r w:rsidR="009C0253">
        <w:fldChar w:fldCharType="separate"/>
      </w:r>
      <w:r w:rsidR="00990F10" w:rsidRPr="00990F10">
        <w:rPr>
          <w:rFonts w:ascii="Calibri" w:hAnsi="Calibri"/>
        </w:rPr>
        <w:t>[26]</w:t>
      </w:r>
      <w:r w:rsidR="009C0253">
        <w:fldChar w:fldCharType="end"/>
      </w:r>
      <w:r w:rsidR="00393B65">
        <w:t xml:space="preserve"> To investigate associations between socioeconomic deprivation and vaccine uptake</w:t>
      </w:r>
      <w:r w:rsidR="003A509E">
        <w:t>,</w:t>
      </w:r>
      <w:r w:rsidR="00393B65">
        <w:t xml:space="preserve"> we </w:t>
      </w:r>
      <w:r w:rsidR="007E3048">
        <w:t xml:space="preserve">fitted logistic regression models where the </w:t>
      </w:r>
      <w:r w:rsidR="00393B65">
        <w:t>dependent variable was vaccine status</w:t>
      </w:r>
      <w:r w:rsidR="00D25AFD">
        <w:t xml:space="preserve"> and independent variable</w:t>
      </w:r>
      <w:r w:rsidR="007E3048">
        <w:t xml:space="preserve"> w</w:t>
      </w:r>
      <w:r w:rsidR="003A509E">
        <w:t>as</w:t>
      </w:r>
      <w:r w:rsidR="00D25AFD">
        <w:t xml:space="preserve"> </w:t>
      </w:r>
      <w:r w:rsidR="00AC17BE">
        <w:t>national quintile of IMD</w:t>
      </w:r>
      <w:r w:rsidR="00D25AFD">
        <w:t xml:space="preserve"> and adjusted for gender, year and month of birth. </w:t>
      </w:r>
      <w:r w:rsidR="00CD2F15" w:rsidRPr="00CD2F15">
        <w:t xml:space="preserve">The models allowed calculation of </w:t>
      </w:r>
      <w:r w:rsidR="00CD2F15">
        <w:t>r</w:t>
      </w:r>
      <w:r w:rsidR="00FF5182">
        <w:t>isk</w:t>
      </w:r>
      <w:r w:rsidR="00865136">
        <w:t xml:space="preserve"> </w:t>
      </w:r>
      <w:r w:rsidR="00FF5182">
        <w:t>ratios</w:t>
      </w:r>
      <w:r w:rsidR="00CD2F15">
        <w:t xml:space="preserve"> (RRs)</w:t>
      </w:r>
      <w:r w:rsidR="00CD2F15" w:rsidRPr="00CD2F15">
        <w:t xml:space="preserve"> for socioeconomic deprivation group by comparing the least deprived “4/5 (least deprived)” to the other </w:t>
      </w:r>
      <w:r w:rsidR="00FF5182">
        <w:t>quintiles.</w:t>
      </w:r>
    </w:p>
    <w:p w14:paraId="149F0BEB" w14:textId="7211D7ED" w:rsidR="000C036A" w:rsidRDefault="007640D9" w:rsidP="00AA588D">
      <w:pPr>
        <w:spacing w:after="0" w:line="480" w:lineRule="auto"/>
      </w:pPr>
      <w:r>
        <w:t xml:space="preserve">Finally, we </w:t>
      </w:r>
      <w:r w:rsidR="00CD223F">
        <w:t xml:space="preserve">estimated the </w:t>
      </w:r>
      <w:r w:rsidR="00ED22C8">
        <w:t>all-cause AGE</w:t>
      </w:r>
      <w:r w:rsidR="00CD223F" w:rsidRPr="00CD223F">
        <w:t xml:space="preserve"> hospitalisations averted per 1,000 vaccine first doses delivered in the 2014/15 and 2015/16 seasons for vaccine eligible cohorts aged &lt;12 months and 12-23 months</w:t>
      </w:r>
      <w:r w:rsidR="00502E8E" w:rsidRPr="00502E8E">
        <w:t>.</w:t>
      </w:r>
      <w:r w:rsidR="00502E8E">
        <w:t xml:space="preserve"> </w:t>
      </w:r>
      <w:r w:rsidR="007E3048">
        <w:t>We define the</w:t>
      </w:r>
      <w:r w:rsidR="00502E8E">
        <w:t xml:space="preserve"> </w:t>
      </w:r>
      <w:r w:rsidR="000C036A">
        <w:t xml:space="preserve">rate of hospitalisations averted </w:t>
      </w:r>
      <w:r w:rsidR="000C036A" w:rsidRPr="000C036A">
        <w:t>per 1,000 vaccine first doses delivered</w:t>
      </w:r>
      <w:r w:rsidR="000C036A">
        <w:t xml:space="preserve"> as:</w:t>
      </w:r>
    </w:p>
    <w:p w14:paraId="1A624AD9" w14:textId="77777777" w:rsidR="007E3048" w:rsidRPr="007E3048" w:rsidRDefault="0066192F" w:rsidP="00AA588D">
      <w:pPr>
        <w:spacing w:after="0" w:line="480" w:lineRule="auto"/>
        <w:jc w:val="center"/>
        <w:rPr>
          <w:rFonts w:eastAsiaTheme="minorEastAsia"/>
        </w:rPr>
      </w:pPr>
      <m:oMathPara>
        <m:oMath>
          <m:sSub>
            <m:sSubPr>
              <m:ctrlPr>
                <w:rPr>
                  <w:rFonts w:ascii="Cambria Math" w:hAnsi="Cambria Math"/>
                  <w:i/>
                </w:rPr>
              </m:ctrlPr>
            </m:sSubPr>
            <m:e>
              <m:r>
                <w:rPr>
                  <w:rFonts w:ascii="Cambria Math" w:hAnsi="Cambria Math"/>
                </w:rPr>
                <m:t>RDA</m:t>
              </m:r>
            </m:e>
            <m:sub>
              <m:r>
                <w:rPr>
                  <w:rFonts w:ascii="Cambria Math" w:hAnsi="Cambria Math"/>
                </w:rPr>
                <m:t>ijk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ijk</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ijk</m:t>
                  </m:r>
                </m:sub>
              </m:sSub>
            </m:num>
            <m:den>
              <m:sSub>
                <m:sSubPr>
                  <m:ctrlPr>
                    <w:rPr>
                      <w:rFonts w:ascii="Cambria Math" w:hAnsi="Cambria Math"/>
                      <w:i/>
                    </w:rPr>
                  </m:ctrlPr>
                </m:sSubPr>
                <m:e>
                  <m:r>
                    <w:rPr>
                      <w:rFonts w:ascii="Cambria Math" w:hAnsi="Cambria Math"/>
                    </w:rPr>
                    <m:t>P</m:t>
                  </m:r>
                </m:e>
                <m:sub>
                  <m:r>
                    <w:rPr>
                      <w:rFonts w:ascii="Cambria Math" w:hAnsi="Cambria Math"/>
                    </w:rPr>
                    <m:t>ijk</m:t>
                  </m:r>
                </m:sub>
              </m:sSub>
              <m:sSub>
                <m:sSubPr>
                  <m:ctrlPr>
                    <w:rPr>
                      <w:rFonts w:ascii="Cambria Math" w:hAnsi="Cambria Math"/>
                      <w:i/>
                    </w:rPr>
                  </m:ctrlPr>
                </m:sSubPr>
                <m:e>
                  <m:r>
                    <w:rPr>
                      <w:rFonts w:ascii="Cambria Math" w:hAnsi="Cambria Math"/>
                    </w:rPr>
                    <m:t>V</m:t>
                  </m:r>
                </m:e>
                <m:sub>
                  <m:r>
                    <w:rPr>
                      <w:rFonts w:ascii="Cambria Math" w:hAnsi="Cambria Math"/>
                    </w:rPr>
                    <m:t>ijk</m:t>
                  </m:r>
                </m:sub>
              </m:sSub>
            </m:den>
          </m:f>
        </m:oMath>
      </m:oMathPara>
    </w:p>
    <w:p w14:paraId="50A3CEEA" w14:textId="3195A093" w:rsidR="00705CB6" w:rsidRDefault="007E3048" w:rsidP="007E3048">
      <w:pPr>
        <w:spacing w:line="480" w:lineRule="auto"/>
      </w:pPr>
      <w:r>
        <w:t>where</w:t>
      </w:r>
      <w:r w:rsidR="000C036A" w:rsidRPr="000C036A">
        <w:t xml:space="preserve">: </w:t>
      </w:r>
      <w:r w:rsidR="000C036A" w:rsidRPr="00705CB6">
        <w:rPr>
          <w:rFonts w:ascii="Cambria Math" w:hAnsi="Cambria Math"/>
          <w:i/>
        </w:rPr>
        <w:t>RDA</w:t>
      </w:r>
      <w:r>
        <w:t xml:space="preserve"> is the</w:t>
      </w:r>
      <w:r w:rsidR="000C036A" w:rsidRPr="000C036A">
        <w:t xml:space="preserve"> rate of hospitalisations averted per 1,000 vaccine</w:t>
      </w:r>
      <w:r w:rsidR="00ED22C8">
        <w:t xml:space="preserve"> first doses delivered</w:t>
      </w:r>
      <w:r w:rsidR="000C036A" w:rsidRPr="000C036A">
        <w:t xml:space="preserve">; </w:t>
      </w:r>
      <w:r>
        <w:rPr>
          <w:rFonts w:ascii="Cambria Math" w:hAnsi="Cambria Math"/>
          <w:i/>
        </w:rPr>
        <w:t>X</w:t>
      </w:r>
      <w:r>
        <w:t xml:space="preserve"> is </w:t>
      </w:r>
      <w:r w:rsidR="00705CB6" w:rsidRPr="00705CB6">
        <w:t xml:space="preserve">the </w:t>
      </w:r>
      <w:r>
        <w:t xml:space="preserve">model </w:t>
      </w:r>
      <w:r w:rsidR="00705CB6" w:rsidRPr="00705CB6">
        <w:t>predicted counter</w:t>
      </w:r>
      <w:r>
        <w:t>-</w:t>
      </w:r>
      <w:r w:rsidR="00705CB6" w:rsidRPr="00705CB6">
        <w:t>factual number of hospitalisations that would have been expected in absence of vaccination for the vaccine period</w:t>
      </w:r>
      <w:r w:rsidR="000C036A" w:rsidRPr="000C036A">
        <w:t xml:space="preserve">; </w:t>
      </w:r>
      <w:r>
        <w:rPr>
          <w:rFonts w:ascii="Cambria Math" w:hAnsi="Cambria Math"/>
          <w:i/>
        </w:rPr>
        <w:t>Y</w:t>
      </w:r>
      <w:r w:rsidR="000C036A">
        <w:t xml:space="preserve"> </w:t>
      </w:r>
      <w:r>
        <w:t xml:space="preserve">is the </w:t>
      </w:r>
      <w:r w:rsidR="000C036A">
        <w:t xml:space="preserve">observed number of hospitalisations in the vaccine period; </w:t>
      </w:r>
      <w:r w:rsidR="000C036A" w:rsidRPr="00705CB6">
        <w:rPr>
          <w:rFonts w:ascii="Cambria Math" w:hAnsi="Cambria Math"/>
          <w:i/>
        </w:rPr>
        <w:t>P</w:t>
      </w:r>
      <w:r>
        <w:t xml:space="preserve"> is the population</w:t>
      </w:r>
      <w:r w:rsidR="000C036A">
        <w:t xml:space="preserve"> denominator; </w:t>
      </w:r>
      <w:r w:rsidR="000C036A" w:rsidRPr="00705CB6">
        <w:rPr>
          <w:rFonts w:ascii="Cambria Math" w:hAnsi="Cambria Math"/>
          <w:i/>
        </w:rPr>
        <w:t>V</w:t>
      </w:r>
      <w:r>
        <w:t xml:space="preserve"> is the proportion</w:t>
      </w:r>
      <w:r w:rsidR="000C036A">
        <w:t xml:space="preserve"> of the population vaccinated with one dose of rotavirus </w:t>
      </w:r>
      <w:r w:rsidR="00705CB6">
        <w:t xml:space="preserve">vaccine; </w:t>
      </w:r>
      <w:proofErr w:type="spellStart"/>
      <w:r w:rsidR="00705CB6">
        <w:rPr>
          <w:rFonts w:ascii="Cambria Math" w:hAnsi="Cambria Math"/>
          <w:i/>
        </w:rPr>
        <w:t>i</w:t>
      </w:r>
      <w:proofErr w:type="spellEnd"/>
      <w:r w:rsidR="00705CB6">
        <w:t xml:space="preserve"> </w:t>
      </w:r>
      <w:r>
        <w:t xml:space="preserve">is the </w:t>
      </w:r>
      <w:r w:rsidR="00705CB6">
        <w:t xml:space="preserve">deprivation group; </w:t>
      </w:r>
      <w:r w:rsidR="00705CB6" w:rsidRPr="00705CB6">
        <w:rPr>
          <w:rFonts w:ascii="Cambria Math" w:hAnsi="Cambria Math"/>
          <w:i/>
        </w:rPr>
        <w:t>j</w:t>
      </w:r>
      <w:r w:rsidR="00705CB6" w:rsidRPr="00705CB6">
        <w:t xml:space="preserve"> </w:t>
      </w:r>
      <w:r>
        <w:t xml:space="preserve">is the </w:t>
      </w:r>
      <w:r w:rsidR="00705CB6">
        <w:t xml:space="preserve">age group; </w:t>
      </w:r>
      <w:r w:rsidR="00705CB6" w:rsidRPr="00705CB6">
        <w:rPr>
          <w:rFonts w:ascii="Cambria Math" w:hAnsi="Cambria Math"/>
          <w:i/>
        </w:rPr>
        <w:t>k</w:t>
      </w:r>
      <w:r w:rsidR="00705CB6">
        <w:t xml:space="preserve"> </w:t>
      </w:r>
      <w:r>
        <w:t xml:space="preserve">is the </w:t>
      </w:r>
      <w:r w:rsidR="00705CB6">
        <w:t>surveillance year.</w:t>
      </w:r>
    </w:p>
    <w:p w14:paraId="0C7F0F2C" w14:textId="373B3A9B" w:rsidR="007F2AEA" w:rsidRDefault="007F2AEA" w:rsidP="00AA588D">
      <w:pPr>
        <w:spacing w:after="0" w:line="480" w:lineRule="auto"/>
      </w:pPr>
      <w:r>
        <w:t xml:space="preserve">We used </w:t>
      </w:r>
      <w:r w:rsidR="005C687C">
        <w:t>t</w:t>
      </w:r>
      <w:r>
        <w:t xml:space="preserve">he </w:t>
      </w:r>
      <w:r w:rsidR="005C687C" w:rsidRPr="00ED22C8">
        <w:rPr>
          <w:rFonts w:ascii="Cambria Math" w:hAnsi="Cambria Math"/>
          <w:i/>
        </w:rPr>
        <w:t>RDA</w:t>
      </w:r>
      <w:r w:rsidR="005C687C">
        <w:t xml:space="preserve"> in the </w:t>
      </w:r>
      <w:r>
        <w:t xml:space="preserve">Merseyside population in this study to provide an estimate of the </w:t>
      </w:r>
      <w:r w:rsidR="000F300B">
        <w:t xml:space="preserve">number of all-cause AGE </w:t>
      </w:r>
      <w:r>
        <w:t xml:space="preserve">hospitalisations averted at a national level if the 95% vaccine uptake targets set by the World Health Organization (WHO) were </w:t>
      </w:r>
      <w:r w:rsidR="003E5A3B">
        <w:t>achieved</w:t>
      </w:r>
      <w:r>
        <w:t xml:space="preserve"> </w:t>
      </w:r>
      <w:r w:rsidR="003E5A3B">
        <w:t>across all deprivation strata.</w:t>
      </w:r>
      <w:r w:rsidR="009C0253">
        <w:fldChar w:fldCharType="begin"/>
      </w:r>
      <w:r w:rsidR="00990F10">
        <w:instrText xml:space="preserve"> ADDIN ZOTERO_ITEM CSL_CITATION {"citationID":"a2mum40ifcl","properties":{"formattedCitation":"[27,28]","plainCitation":"[27,28]"},"citationItems":[{"id":4144,"uris":["http://zotero.org/users/1755126/items/VISKRQHV"],"uri":["http://zotero.org/users/1755126/items/VISKRQHV"],"itemData":{"id":4144,"type":"report","title":"Health21: the health for all policy framework for the WHO European Region","collection-title":"European Health for All Series","publisher":"World Health Organization Regional Office for Europe","publisher-place":"Copenhagen, Denmark","page":"1-230","event-place":"Copenhagen, Denmark","number":"6","author":[{"family":"World Health Organization Regional Office for Europe","given":""}],"issued":{"date-parts":[["1999"]]}}},{"id":4145,"uris":["http://zotero.org/users/1755126/items/AZCST27P"],"uri":["http://zotero.org/users/1755126/items/AZCST27P"],"itemData":{"id":4145,"type":"report","title":"European Vaccine Action Plan 2015–2020 (2014)","publisher":"World Health Organization Regional Office for Europe","publisher-place":"Copenhagen, Denmark","page":"1-108","event-place":"Copenhagen, Denmark","abstract":"The European Vaccine Action Plan 2015–2020 (EVAP) was drafted to complement, regionally interpret and adapt the Global Vaccine Action Plan in harmony with Health 2020 and other key regional health strategies and polices. EVAP sets a course through a regional vision and goals for immunization and control of vaccine-preventable diseases from 2015 to 2020 and beyond, by defining objectives, priority action areas and indicators, taking into account the specific needs and challenges of WHO European Region Member States.  \n\nEVAP was adopted unanimously at the 64th session of the WHO Regional Committee for Europe on18 September 2014.","URL":"http://www.euro.who.int/en/health-topics/disease-prevention/vaccines-and-immunization/publications/2014/european-vaccine-action-plan-20152020-2014","author":[{"family":"World Health Organization Regional Office for Europe","given":""}],"issued":{"date-parts":[["2014"]]}}}],"schema":"https://github.com/citation-style-language/schema/raw/master/csl-citation.json"} </w:instrText>
      </w:r>
      <w:r w:rsidR="009C0253">
        <w:fldChar w:fldCharType="separate"/>
      </w:r>
      <w:r w:rsidR="00990F10" w:rsidRPr="00990F10">
        <w:rPr>
          <w:rFonts w:ascii="Calibri" w:hAnsi="Calibri"/>
        </w:rPr>
        <w:t>[27</w:t>
      </w:r>
      <w:proofErr w:type="gramStart"/>
      <w:r w:rsidR="00990F10" w:rsidRPr="00990F10">
        <w:rPr>
          <w:rFonts w:ascii="Calibri" w:hAnsi="Calibri"/>
        </w:rPr>
        <w:t>,28</w:t>
      </w:r>
      <w:proofErr w:type="gramEnd"/>
      <w:r w:rsidR="00990F10" w:rsidRPr="00990F10">
        <w:rPr>
          <w:rFonts w:ascii="Calibri" w:hAnsi="Calibri"/>
        </w:rPr>
        <w:t>]</w:t>
      </w:r>
      <w:r w:rsidR="009C0253">
        <w:fldChar w:fldCharType="end"/>
      </w:r>
      <w:r w:rsidR="003E5A3B">
        <w:t xml:space="preserve"> We define </w:t>
      </w:r>
      <w:r w:rsidR="003E5A3B">
        <w:lastRenderedPageBreak/>
        <w:t>the</w:t>
      </w:r>
      <w:r>
        <w:t xml:space="preserve"> total number of all-cause AGE hospitalisations averted </w:t>
      </w:r>
      <w:r w:rsidR="003E5A3B">
        <w:t xml:space="preserve">at a national level in 2015/16 </w:t>
      </w:r>
      <w:r>
        <w:t xml:space="preserve">at uniform 95% uptake </w:t>
      </w:r>
      <w:r w:rsidR="003E5A3B">
        <w:t>as</w:t>
      </w:r>
      <w:r>
        <w:t>:</w:t>
      </w:r>
    </w:p>
    <w:p w14:paraId="63DE53E6" w14:textId="19AF0C97" w:rsidR="007F2AEA" w:rsidRPr="007E3048" w:rsidRDefault="003E5A3B" w:rsidP="00AA588D">
      <w:pPr>
        <w:spacing w:after="0" w:line="480" w:lineRule="auto"/>
        <w:rPr>
          <w:rFonts w:eastAsiaTheme="minorEastAsia"/>
        </w:rPr>
      </w:pPr>
      <m:oMathPara>
        <m:oMath>
          <m:r>
            <w:rPr>
              <w:rFonts w:ascii="Cambria Math" w:eastAsiaTheme="minorEastAsia" w:hAnsi="Cambria Math"/>
            </w:rPr>
            <m:t>NDA=</m:t>
          </m:r>
          <m:nary>
            <m:naryPr>
              <m:chr m:val="∑"/>
              <m:limLoc m:val="undOvr"/>
              <m:subHide m:val="1"/>
              <m:supHide m:val="1"/>
              <m:ctrlPr>
                <w:rPr>
                  <w:rFonts w:ascii="Cambria Math" w:eastAsiaTheme="minorEastAsia" w:hAnsi="Cambria Math"/>
                  <w:i/>
                </w:rPr>
              </m:ctrlPr>
            </m:naryPr>
            <m:sub/>
            <m:sup/>
            <m:e>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RDA</m:t>
                      </m:r>
                    </m:e>
                    <m:sub>
                      <m:r>
                        <w:rPr>
                          <w:rFonts w:ascii="Cambria Math" w:hAnsi="Cambria Math"/>
                        </w:rPr>
                        <m:t>ijk</m:t>
                      </m:r>
                    </m:sub>
                  </m:sSub>
                </m:num>
                <m:den>
                  <m:r>
                    <w:rPr>
                      <w:rFonts w:ascii="Cambria Math" w:eastAsiaTheme="minorEastAsia" w:hAnsi="Cambria Math"/>
                    </w:rPr>
                    <m:t>1000</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hAnsi="Cambria Math"/>
                    </w:rPr>
                    <m:t>ijk</m:t>
                  </m:r>
                </m:sub>
              </m:sSub>
              <m:r>
                <w:rPr>
                  <w:rFonts w:ascii="Cambria Math" w:eastAsiaTheme="minorEastAsia" w:hAnsi="Cambria Math"/>
                </w:rPr>
                <m:t>×0.95)</m:t>
              </m:r>
            </m:e>
          </m:nary>
        </m:oMath>
      </m:oMathPara>
    </w:p>
    <w:p w14:paraId="13E4CE9D" w14:textId="32668546" w:rsidR="003E5A3B" w:rsidRDefault="003E5A3B" w:rsidP="00575C12">
      <w:pPr>
        <w:spacing w:after="120" w:line="480" w:lineRule="auto"/>
      </w:pPr>
      <w:r>
        <w:t>where</w:t>
      </w:r>
      <w:r w:rsidRPr="000C036A">
        <w:t xml:space="preserve">: </w:t>
      </w:r>
      <w:r>
        <w:rPr>
          <w:rFonts w:ascii="Cambria Math" w:hAnsi="Cambria Math"/>
          <w:i/>
        </w:rPr>
        <w:t>N</w:t>
      </w:r>
      <w:r w:rsidRPr="00705CB6">
        <w:rPr>
          <w:rFonts w:ascii="Cambria Math" w:hAnsi="Cambria Math"/>
          <w:i/>
        </w:rPr>
        <w:t xml:space="preserve">DA </w:t>
      </w:r>
      <w:r>
        <w:t xml:space="preserve">is the number of all-cause AGE hospitalisations averted; </w:t>
      </w:r>
      <w:r w:rsidRPr="00705CB6">
        <w:rPr>
          <w:rFonts w:ascii="Cambria Math" w:hAnsi="Cambria Math"/>
          <w:i/>
        </w:rPr>
        <w:t>RDA</w:t>
      </w:r>
      <w:r>
        <w:t xml:space="preserve"> is the</w:t>
      </w:r>
      <w:r w:rsidRPr="000C036A">
        <w:t xml:space="preserve"> rate of hospitalisations averted per 1,000 vaccine</w:t>
      </w:r>
      <w:r>
        <w:t xml:space="preserve"> </w:t>
      </w:r>
      <w:r w:rsidR="00ED22C8">
        <w:t xml:space="preserve">first doses delivered </w:t>
      </w:r>
      <w:r>
        <w:t>in the Merseyside population</w:t>
      </w:r>
      <w:r w:rsidRPr="000C036A">
        <w:t xml:space="preserve">; </w:t>
      </w:r>
      <w:r>
        <w:rPr>
          <w:rFonts w:ascii="Cambria Math" w:hAnsi="Cambria Math"/>
          <w:i/>
        </w:rPr>
        <w:t>N</w:t>
      </w:r>
      <w:r>
        <w:t xml:space="preserve"> is the national population denominator</w:t>
      </w:r>
      <w:r w:rsidR="00A621FA">
        <w:t>, derived from mid-year LSOA population estimates 2015</w:t>
      </w:r>
      <w:r>
        <w:t>;</w:t>
      </w:r>
      <w:r w:rsidR="009C0253">
        <w:fldChar w:fldCharType="begin"/>
      </w:r>
      <w:r w:rsidR="00990F10">
        <w:instrText xml:space="preserve"> ADDIN ZOTERO_ITEM CSL_CITATION {"citationID":"a2ecen2qk3n","properties":{"formattedCitation":"[16]","plainCitation":"[16]"},"citationItems":[{"id":4142,"uris":["http://zotero.org/users/1755126/items/EWUVESFT"],"uri":["http://zotero.org/users/1755126/items/EWUVESFT"],"itemData":{"id":4142,"type":"webpage","title":"Lower Super Output Area Mid-Year Population Estimates","URL":"https://www.ons.gov.uk/peoplepopulationandcommunity/populationandmigration/populationestimates/datasets/lowersuperoutputareamidyearpopulationestimates","author":[{"family":"Office for National Statistics","given":""}],"issued":{"date-parts":[["2016",10,26]]},"accessed":{"date-parts":[["2017",7,5]]}}}],"schema":"https://github.com/citation-style-language/schema/raw/master/csl-citation.json"} </w:instrText>
      </w:r>
      <w:r w:rsidR="009C0253">
        <w:fldChar w:fldCharType="separate"/>
      </w:r>
      <w:r w:rsidR="00990F10" w:rsidRPr="00990F10">
        <w:rPr>
          <w:rFonts w:ascii="Calibri" w:hAnsi="Calibri"/>
        </w:rPr>
        <w:t>[16]</w:t>
      </w:r>
      <w:r w:rsidR="009C0253">
        <w:fldChar w:fldCharType="end"/>
      </w:r>
      <w:r>
        <w:t xml:space="preserve"> </w:t>
      </w:r>
      <w:proofErr w:type="spellStart"/>
      <w:r>
        <w:rPr>
          <w:rFonts w:ascii="Cambria Math" w:hAnsi="Cambria Math"/>
          <w:i/>
        </w:rPr>
        <w:t>i</w:t>
      </w:r>
      <w:proofErr w:type="spellEnd"/>
      <w:r>
        <w:t xml:space="preserve"> is the deprivation group; </w:t>
      </w:r>
      <w:r w:rsidRPr="00705CB6">
        <w:rPr>
          <w:rFonts w:ascii="Cambria Math" w:hAnsi="Cambria Math"/>
          <w:i/>
        </w:rPr>
        <w:t>j</w:t>
      </w:r>
      <w:r w:rsidRPr="00705CB6">
        <w:t xml:space="preserve"> </w:t>
      </w:r>
      <w:r>
        <w:t xml:space="preserve">is the age group; </w:t>
      </w:r>
      <w:r w:rsidRPr="00705CB6">
        <w:rPr>
          <w:rFonts w:ascii="Cambria Math" w:hAnsi="Cambria Math"/>
          <w:i/>
        </w:rPr>
        <w:t>k</w:t>
      </w:r>
      <w:r>
        <w:t xml:space="preserve"> is the surveillance year.</w:t>
      </w:r>
    </w:p>
    <w:p w14:paraId="6C027E5F" w14:textId="5EAA7663" w:rsidR="00EE4F85" w:rsidRDefault="00871DDB" w:rsidP="00F4596C">
      <w:pPr>
        <w:spacing w:line="480" w:lineRule="auto"/>
      </w:pPr>
      <w:r>
        <w:t>D</w:t>
      </w:r>
      <w:r w:rsidR="00EE4F85">
        <w:t>ata handling and analysis was conducted in R version 3.3 (</w:t>
      </w:r>
      <w:r w:rsidR="00EE4F85" w:rsidRPr="00EE4F85">
        <w:t>R Development Core Team, Vienna, Austria)</w:t>
      </w:r>
      <w:r w:rsidR="00EE4F85">
        <w:t>.</w:t>
      </w:r>
    </w:p>
    <w:p w14:paraId="197AC517" w14:textId="239D2B9F" w:rsidR="003136AE" w:rsidRDefault="00C21642" w:rsidP="00AA588D">
      <w:pPr>
        <w:pStyle w:val="Heading2"/>
        <w:spacing w:before="0" w:line="480" w:lineRule="auto"/>
      </w:pPr>
      <w:r>
        <w:t>Results</w:t>
      </w:r>
    </w:p>
    <w:p w14:paraId="26E4D352" w14:textId="77777777" w:rsidR="002A6DE0" w:rsidRDefault="002A6DE0" w:rsidP="00122E3A">
      <w:pPr>
        <w:spacing w:after="0" w:line="480" w:lineRule="auto"/>
      </w:pPr>
      <w:r w:rsidRPr="002A6DE0">
        <w:rPr>
          <w:rStyle w:val="Heading3Char"/>
        </w:rPr>
        <w:t>Vaccine uptake</w:t>
      </w:r>
      <w:r>
        <w:t xml:space="preserve"> </w:t>
      </w:r>
    </w:p>
    <w:p w14:paraId="3D13F787" w14:textId="5F27941A" w:rsidR="007E3048" w:rsidRDefault="004F147A" w:rsidP="00AA588D">
      <w:pPr>
        <w:spacing w:after="120" w:line="480" w:lineRule="auto"/>
      </w:pPr>
      <w:r>
        <w:t>Rotavirus v</w:t>
      </w:r>
      <w:r w:rsidR="002A6DE0">
        <w:t xml:space="preserve">accine uptake </w:t>
      </w:r>
      <w:r w:rsidR="00B20EB3">
        <w:t xml:space="preserve">(at least one dose of vaccine) </w:t>
      </w:r>
      <w:r w:rsidR="002A6DE0">
        <w:t xml:space="preserve">in children born between May 2013 and December </w:t>
      </w:r>
      <w:r w:rsidR="00951EC8">
        <w:t xml:space="preserve">2015 </w:t>
      </w:r>
      <w:r w:rsidR="009A4244">
        <w:t>was 91.4</w:t>
      </w:r>
      <w:r w:rsidR="002A6DE0">
        <w:t>% (</w:t>
      </w:r>
      <w:r w:rsidR="009A4244">
        <w:t>29</w:t>
      </w:r>
      <w:r w:rsidR="00C61D7E">
        <w:t>,</w:t>
      </w:r>
      <w:r w:rsidR="009A4244">
        <w:t>108</w:t>
      </w:r>
      <w:r w:rsidR="002A6DE0">
        <w:t>/3</w:t>
      </w:r>
      <w:r w:rsidR="009A4244">
        <w:t>1,836</w:t>
      </w:r>
      <w:r w:rsidR="00951EC8">
        <w:t>)</w:t>
      </w:r>
      <w:r>
        <w:t>;</w:t>
      </w:r>
      <w:r w:rsidR="00951EC8">
        <w:t xml:space="preserve"> completion of full rotavirus vaccine</w:t>
      </w:r>
      <w:r w:rsidR="002A6DE0">
        <w:t xml:space="preserve"> schedule</w:t>
      </w:r>
      <w:r w:rsidR="00107598">
        <w:t xml:space="preserve"> (i.e. two doses)</w:t>
      </w:r>
      <w:r w:rsidR="009A4244">
        <w:t xml:space="preserve"> was 86.7</w:t>
      </w:r>
      <w:r w:rsidR="002A6DE0">
        <w:t>% (2</w:t>
      </w:r>
      <w:r w:rsidR="009A4244">
        <w:t>7</w:t>
      </w:r>
      <w:r w:rsidR="002A6DE0">
        <w:t>,</w:t>
      </w:r>
      <w:r w:rsidR="009A4244">
        <w:t>594</w:t>
      </w:r>
      <w:r w:rsidR="002A6DE0">
        <w:t>/3</w:t>
      </w:r>
      <w:r w:rsidR="009A4244">
        <w:t>1</w:t>
      </w:r>
      <w:r w:rsidR="002A6DE0">
        <w:t>,</w:t>
      </w:r>
      <w:r w:rsidR="009A4244">
        <w:t>836</w:t>
      </w:r>
      <w:r w:rsidR="002A6DE0">
        <w:t xml:space="preserve">). </w:t>
      </w:r>
      <w:r w:rsidR="007E3048">
        <w:t>In the least deprived population</w:t>
      </w:r>
      <w:r>
        <w:t>,</w:t>
      </w:r>
      <w:r w:rsidR="007E3048">
        <w:t xml:space="preserve"> vaccine uptake </w:t>
      </w:r>
      <w:r w:rsidR="009E41DE">
        <w:t xml:space="preserve">for at least one dose </w:t>
      </w:r>
      <w:r w:rsidR="007E3048">
        <w:t>was 9</w:t>
      </w:r>
      <w:r w:rsidR="00641D2D">
        <w:t>3</w:t>
      </w:r>
      <w:r w:rsidR="007E3048">
        <w:t>.</w:t>
      </w:r>
      <w:r w:rsidR="00641D2D">
        <w:t>6% (4,135</w:t>
      </w:r>
      <w:r w:rsidR="007E3048">
        <w:t>/4,</w:t>
      </w:r>
      <w:r w:rsidR="00641D2D">
        <w:t>420</w:t>
      </w:r>
      <w:r w:rsidR="007E3048">
        <w:t xml:space="preserve">) and </w:t>
      </w:r>
      <w:r w:rsidR="00641D2D">
        <w:t>90.2</w:t>
      </w:r>
      <w:r w:rsidR="007E3048">
        <w:t>% (</w:t>
      </w:r>
      <w:r w:rsidR="00641D2D">
        <w:t>3,989</w:t>
      </w:r>
      <w:r w:rsidR="007E3048">
        <w:t>/4,</w:t>
      </w:r>
      <w:r w:rsidR="00641D2D">
        <w:t>420</w:t>
      </w:r>
      <w:r w:rsidR="007E3048">
        <w:t>)</w:t>
      </w:r>
      <w:r w:rsidR="00ED22C8">
        <w:t>.</w:t>
      </w:r>
      <w:r w:rsidR="007E3048">
        <w:t xml:space="preserve"> </w:t>
      </w:r>
      <w:r w:rsidR="00ED22C8">
        <w:t>F</w:t>
      </w:r>
      <w:r w:rsidR="007E3048">
        <w:t xml:space="preserve">or </w:t>
      </w:r>
      <w:r>
        <w:t xml:space="preserve">completion of </w:t>
      </w:r>
      <w:r w:rsidR="007E3048">
        <w:t xml:space="preserve">the </w:t>
      </w:r>
      <w:r>
        <w:t>two</w:t>
      </w:r>
      <w:r w:rsidR="007E3048">
        <w:t xml:space="preserve"> dose schedule</w:t>
      </w:r>
      <w:r>
        <w:t>;</w:t>
      </w:r>
      <w:r w:rsidR="007E3048">
        <w:t xml:space="preserve"> in the most deprived </w:t>
      </w:r>
      <w:r w:rsidR="00B56ECD">
        <w:t>population</w:t>
      </w:r>
      <w:r w:rsidR="007E3048">
        <w:t xml:space="preserve"> </w:t>
      </w:r>
      <w:r w:rsidR="009E41DE">
        <w:t xml:space="preserve">uptake was </w:t>
      </w:r>
      <w:r w:rsidR="00641D2D">
        <w:t>90.6% (16,550/18,259</w:t>
      </w:r>
      <w:r w:rsidR="007E3048">
        <w:t>) and 8</w:t>
      </w:r>
      <w:r w:rsidR="00641D2D">
        <w:t>4.9% (15,505/18,259</w:t>
      </w:r>
      <w:r w:rsidR="007E3048">
        <w:t xml:space="preserve">), respectively (Figure </w:t>
      </w:r>
      <w:r w:rsidR="0062101F">
        <w:t>1</w:t>
      </w:r>
      <w:r w:rsidR="007E3048">
        <w:t xml:space="preserve">). </w:t>
      </w:r>
      <w:r w:rsidR="006F660B">
        <w:t xml:space="preserve">The most deprived populations </w:t>
      </w:r>
      <w:r w:rsidR="008302B1">
        <w:t>had a 5</w:t>
      </w:r>
      <w:r w:rsidR="00DE6823">
        <w:t>4</w:t>
      </w:r>
      <w:r w:rsidR="008302B1">
        <w:t>% (</w:t>
      </w:r>
      <w:r w:rsidR="007E3048">
        <w:t>RR 1.5</w:t>
      </w:r>
      <w:r w:rsidR="00DE6823">
        <w:t>4</w:t>
      </w:r>
      <w:r w:rsidR="007E3048">
        <w:t>; 95% CI 1.3</w:t>
      </w:r>
      <w:r w:rsidR="00C61D7E">
        <w:t>4-</w:t>
      </w:r>
      <w:r w:rsidR="00DE6823">
        <w:t>1.75</w:t>
      </w:r>
      <w:r w:rsidR="007E3048">
        <w:t xml:space="preserve">) increased risk of non-vaccination compared the least deprived </w:t>
      </w:r>
      <w:r w:rsidR="006F660B">
        <w:t>populations</w:t>
      </w:r>
      <w:r w:rsidR="007E3048">
        <w:t xml:space="preserve">. Furthermore, </w:t>
      </w:r>
      <w:r w:rsidR="006F660B">
        <w:t>the</w:t>
      </w:r>
      <w:r w:rsidR="007E3048">
        <w:t xml:space="preserve"> most deprived </w:t>
      </w:r>
      <w:r w:rsidR="006F660B">
        <w:t xml:space="preserve">populations </w:t>
      </w:r>
      <w:r w:rsidR="008302B1">
        <w:t>had almost twice the risk (</w:t>
      </w:r>
      <w:r w:rsidR="007E3048">
        <w:t>RR 1.</w:t>
      </w:r>
      <w:r w:rsidR="00DE6823">
        <w:t>97</w:t>
      </w:r>
      <w:r w:rsidR="00C61D7E">
        <w:t>; 95% CI 1.62-</w:t>
      </w:r>
      <w:r w:rsidR="007E3048">
        <w:t xml:space="preserve">2.41) of non-completion of the </w:t>
      </w:r>
      <w:r w:rsidR="00775AD7">
        <w:t>two</w:t>
      </w:r>
      <w:r w:rsidR="007E3048">
        <w:t xml:space="preserve"> dose</w:t>
      </w:r>
      <w:r w:rsidR="00775AD7">
        <w:t xml:space="preserve"> </w:t>
      </w:r>
      <w:r w:rsidR="007E3048">
        <w:t xml:space="preserve">schedule compared to the least deprived.  </w:t>
      </w:r>
    </w:p>
    <w:p w14:paraId="10DF488D" w14:textId="466C801A" w:rsidR="0091719C" w:rsidRDefault="0091719C" w:rsidP="00AA588D">
      <w:pPr>
        <w:pStyle w:val="Heading3"/>
        <w:spacing w:before="0" w:line="480" w:lineRule="auto"/>
      </w:pPr>
      <w:r>
        <w:t>Vaccine impact</w:t>
      </w:r>
      <w:r w:rsidR="002B0DAB">
        <w:t xml:space="preserve"> by age</w:t>
      </w:r>
    </w:p>
    <w:p w14:paraId="2D823243" w14:textId="3445297C" w:rsidR="0043314A" w:rsidRDefault="0043314A" w:rsidP="00AA588D">
      <w:pPr>
        <w:pStyle w:val="Heading4"/>
        <w:spacing w:before="0" w:line="480" w:lineRule="auto"/>
        <w:rPr>
          <w:i w:val="0"/>
        </w:rPr>
      </w:pPr>
      <w:r>
        <w:t>Impact in under 5 year olds</w:t>
      </w:r>
    </w:p>
    <w:p w14:paraId="51691DC6" w14:textId="2D828BB9" w:rsidR="0043314A" w:rsidRPr="0043314A" w:rsidRDefault="006F660B" w:rsidP="00575C12">
      <w:pPr>
        <w:spacing w:after="120" w:line="480" w:lineRule="auto"/>
      </w:pPr>
      <w:r w:rsidRPr="006F660B">
        <w:t xml:space="preserve">In children less than 5 years of age a clearly defined rotavirus season </w:t>
      </w:r>
      <w:r w:rsidR="00A707D7">
        <w:t>was observed</w:t>
      </w:r>
      <w:r w:rsidRPr="006F660B">
        <w:t xml:space="preserve"> prior to vaccine introduction, with the peak predominately occurring in March across all outcome measures for all years prior to vaccine introduction (Figure </w:t>
      </w:r>
      <w:r w:rsidR="0062101F">
        <w:t>2</w:t>
      </w:r>
      <w:r w:rsidRPr="006F660B">
        <w:t xml:space="preserve">). </w:t>
      </w:r>
      <w:r w:rsidR="0043314A" w:rsidRPr="0043314A">
        <w:t xml:space="preserve">The </w:t>
      </w:r>
      <w:r w:rsidR="00AA7B09">
        <w:t>incidence</w:t>
      </w:r>
      <w:r w:rsidR="00AA7B09" w:rsidRPr="0043314A">
        <w:t xml:space="preserve"> </w:t>
      </w:r>
      <w:r w:rsidR="0043314A" w:rsidRPr="0043314A">
        <w:t xml:space="preserve">of gastrointestinal disease fell across all </w:t>
      </w:r>
      <w:r w:rsidR="0043314A" w:rsidRPr="0043314A">
        <w:lastRenderedPageBreak/>
        <w:t>health outcomes following vaccine introduction</w:t>
      </w:r>
      <w:r w:rsidR="00B56ECD">
        <w:t xml:space="preserve"> (Figure </w:t>
      </w:r>
      <w:r w:rsidR="0062101F">
        <w:t>2; T</w:t>
      </w:r>
      <w:r w:rsidR="00B56ECD">
        <w:t>able 2)</w:t>
      </w:r>
      <w:r w:rsidR="0043314A" w:rsidRPr="0043314A">
        <w:t>. The greatest proporti</w:t>
      </w:r>
      <w:r w:rsidR="00582471">
        <w:t>ona</w:t>
      </w:r>
      <w:r w:rsidR="00C61D7E">
        <w:t>l reduction, 80% (95% CI 70-</w:t>
      </w:r>
      <w:r w:rsidR="0043314A" w:rsidRPr="0043314A">
        <w:t>87%), was for RVGE hospitalisation</w:t>
      </w:r>
      <w:r w:rsidR="00150240">
        <w:t xml:space="preserve">. </w:t>
      </w:r>
      <w:r w:rsidR="00871DDB">
        <w:t>A</w:t>
      </w:r>
      <w:r w:rsidR="00DA665C">
        <w:t>ll-cause AGE</w:t>
      </w:r>
      <w:r w:rsidR="0043314A" w:rsidRPr="0043314A">
        <w:t xml:space="preserve"> hospitalisations fell by 44% (</w:t>
      </w:r>
      <w:r w:rsidR="00C61D7E">
        <w:t>95% CI</w:t>
      </w:r>
      <w:r w:rsidR="007C7C1D" w:rsidRPr="0043314A">
        <w:t xml:space="preserve"> </w:t>
      </w:r>
      <w:r w:rsidR="00C61D7E">
        <w:t>35-</w:t>
      </w:r>
      <w:r w:rsidR="00582471">
        <w:t>5</w:t>
      </w:r>
      <w:r w:rsidR="00BB2E51">
        <w:t>3</w:t>
      </w:r>
      <w:r w:rsidR="00582471">
        <w:t xml:space="preserve">%), ED attendances </w:t>
      </w:r>
      <w:r w:rsidR="00ED22C8">
        <w:t xml:space="preserve">for gastrointestinal conditions </w:t>
      </w:r>
      <w:r w:rsidR="00582471">
        <w:t>by 23</w:t>
      </w:r>
      <w:r w:rsidR="0043314A" w:rsidRPr="0043314A">
        <w:t>% (</w:t>
      </w:r>
      <w:r w:rsidR="00C61D7E">
        <w:t>95% CI</w:t>
      </w:r>
      <w:r w:rsidR="007C7C1D" w:rsidRPr="0043314A">
        <w:t xml:space="preserve"> </w:t>
      </w:r>
      <w:r w:rsidR="00C61D7E">
        <w:t>11-</w:t>
      </w:r>
      <w:r w:rsidR="00EA2FD2">
        <w:t>33%);</w:t>
      </w:r>
      <w:r w:rsidR="00ED22C8">
        <w:t xml:space="preserve"> and WIC and GP consultations for infectious gastroenteritis by</w:t>
      </w:r>
      <w:r w:rsidR="00EA2FD2">
        <w:t xml:space="preserve"> 32</w:t>
      </w:r>
      <w:r w:rsidR="0043314A" w:rsidRPr="0043314A">
        <w:t>% (</w:t>
      </w:r>
      <w:r w:rsidR="00C61D7E">
        <w:t>95% CI</w:t>
      </w:r>
      <w:r w:rsidR="007C7C1D" w:rsidRPr="0043314A">
        <w:t xml:space="preserve"> </w:t>
      </w:r>
      <w:r w:rsidR="00C61D7E">
        <w:t>7-</w:t>
      </w:r>
      <w:r w:rsidR="00EA2FD2">
        <w:t>50</w:t>
      </w:r>
      <w:r w:rsidR="0043314A" w:rsidRPr="0043314A">
        <w:t xml:space="preserve">%) and </w:t>
      </w:r>
      <w:r w:rsidR="00150240">
        <w:t>13% (</w:t>
      </w:r>
      <w:r w:rsidR="00C61D7E">
        <w:t>95% CI</w:t>
      </w:r>
      <w:r w:rsidR="007C7C1D" w:rsidRPr="0043314A">
        <w:t xml:space="preserve"> </w:t>
      </w:r>
      <w:r w:rsidR="00C61D7E">
        <w:t>-3-</w:t>
      </w:r>
      <w:r w:rsidR="00150240">
        <w:t>26%)</w:t>
      </w:r>
      <w:r w:rsidR="008D70E3">
        <w:t>, respectively</w:t>
      </w:r>
      <w:r w:rsidR="00150240">
        <w:t xml:space="preserve">. </w:t>
      </w:r>
      <w:r w:rsidR="0043314A" w:rsidRPr="0043314A">
        <w:t>Reductions were greatest in the rotavirus season for all outcomes;</w:t>
      </w:r>
      <w:r w:rsidR="00EA2FD2">
        <w:t xml:space="preserve"> </w:t>
      </w:r>
      <w:r w:rsidR="00DA665C">
        <w:t>all-cause AGE</w:t>
      </w:r>
      <w:r w:rsidR="00EA2FD2">
        <w:t xml:space="preserve"> hospitalisations fell by 58</w:t>
      </w:r>
      <w:r w:rsidR="0043314A" w:rsidRPr="0043314A">
        <w:t>% (</w:t>
      </w:r>
      <w:r w:rsidR="00C61D7E">
        <w:t>95% CI</w:t>
      </w:r>
      <w:r w:rsidR="007C7C1D" w:rsidRPr="0043314A">
        <w:t xml:space="preserve"> </w:t>
      </w:r>
      <w:r w:rsidR="00C61D7E">
        <w:t>45-</w:t>
      </w:r>
      <w:r w:rsidR="00EA2FD2">
        <w:t>67</w:t>
      </w:r>
      <w:r w:rsidR="0043314A" w:rsidRPr="0043314A">
        <w:t>%) and GP consultations by 29% (</w:t>
      </w:r>
      <w:r w:rsidR="00C61D7E">
        <w:t>95% CI</w:t>
      </w:r>
      <w:r w:rsidR="007C7C1D" w:rsidRPr="0043314A">
        <w:t xml:space="preserve"> </w:t>
      </w:r>
      <w:r w:rsidR="00C61D7E">
        <w:t>8-</w:t>
      </w:r>
      <w:r w:rsidR="00EA2FD2">
        <w:t>4</w:t>
      </w:r>
      <w:r w:rsidR="0043314A" w:rsidRPr="0043314A">
        <w:t xml:space="preserve">5%). </w:t>
      </w:r>
    </w:p>
    <w:p w14:paraId="41ACB2A9" w14:textId="0E17A8CC" w:rsidR="0043314A" w:rsidRPr="0043314A" w:rsidRDefault="00871DDB" w:rsidP="00575C12">
      <w:pPr>
        <w:spacing w:after="120" w:line="480" w:lineRule="auto"/>
      </w:pPr>
      <w:r>
        <w:t>Disease r</w:t>
      </w:r>
      <w:r w:rsidR="0043314A" w:rsidRPr="0043314A">
        <w:t>eductions were highest in vaccine eligible age groups. RVGE hospitalisation fell by 87% (</w:t>
      </w:r>
      <w:r w:rsidR="00C61D7E">
        <w:t>95% CI</w:t>
      </w:r>
      <w:r w:rsidR="007C7C1D" w:rsidRPr="0043314A">
        <w:t xml:space="preserve"> </w:t>
      </w:r>
      <w:r w:rsidR="00C61D7E">
        <w:t>78-</w:t>
      </w:r>
      <w:r w:rsidR="0043314A" w:rsidRPr="0043314A">
        <w:t xml:space="preserve">93%) in infants </w:t>
      </w:r>
      <w:r>
        <w:t xml:space="preserve">age </w:t>
      </w:r>
      <w:r w:rsidR="0043314A" w:rsidRPr="0043314A">
        <w:t>&lt;12 months and 84% (</w:t>
      </w:r>
      <w:r w:rsidR="00C61D7E">
        <w:t>95% CI</w:t>
      </w:r>
      <w:r w:rsidR="007C7C1D" w:rsidRPr="0043314A">
        <w:t xml:space="preserve"> </w:t>
      </w:r>
      <w:r w:rsidR="00C61D7E">
        <w:t>73-</w:t>
      </w:r>
      <w:r w:rsidR="0043314A" w:rsidRPr="0043314A">
        <w:t>91%) in children 12-23 months</w:t>
      </w:r>
      <w:r w:rsidR="005C78B3">
        <w:t>;</w:t>
      </w:r>
      <w:r w:rsidR="0043314A" w:rsidRPr="0043314A">
        <w:t xml:space="preserve"> </w:t>
      </w:r>
      <w:r w:rsidR="00DA665C">
        <w:t>all-cause AGE</w:t>
      </w:r>
      <w:r w:rsidR="0043314A" w:rsidRPr="0043314A">
        <w:t xml:space="preserve"> hospitalisations fell by 46% (</w:t>
      </w:r>
      <w:r w:rsidR="00C61D7E">
        <w:t>95% CI</w:t>
      </w:r>
      <w:r w:rsidR="007C7C1D" w:rsidRPr="0043314A">
        <w:t xml:space="preserve"> </w:t>
      </w:r>
      <w:r w:rsidR="00C61D7E">
        <w:t>36-</w:t>
      </w:r>
      <w:r w:rsidR="0043314A" w:rsidRPr="0043314A">
        <w:t>54%) in infants &lt;12 months and 50% (</w:t>
      </w:r>
      <w:r w:rsidR="00C61D7E">
        <w:t>95% CI</w:t>
      </w:r>
      <w:r w:rsidR="007C7C1D" w:rsidRPr="0043314A">
        <w:t xml:space="preserve"> </w:t>
      </w:r>
      <w:r w:rsidR="00BB2E51">
        <w:t>40</w:t>
      </w:r>
      <w:r w:rsidR="00C61D7E">
        <w:t>-</w:t>
      </w:r>
      <w:r w:rsidR="0043314A" w:rsidRPr="0043314A">
        <w:t>59%) in children 12-23 months.</w:t>
      </w:r>
      <w:r w:rsidR="009D298F">
        <w:t xml:space="preserve"> In GP practices</w:t>
      </w:r>
      <w:r w:rsidR="005C78B3">
        <w:t>,</w:t>
      </w:r>
      <w:r w:rsidR="009D298F">
        <w:t xml:space="preserve"> infectious gastroenteritis consultations</w:t>
      </w:r>
      <w:r w:rsidR="00C61D7E">
        <w:t xml:space="preserve"> fell by 19% (95%: 4-</w:t>
      </w:r>
      <w:r w:rsidR="006948C7">
        <w:t>33%)</w:t>
      </w:r>
      <w:r w:rsidR="009D298F">
        <w:t xml:space="preserve"> in infant</w:t>
      </w:r>
      <w:r w:rsidR="006948C7">
        <w:t>s</w:t>
      </w:r>
      <w:r w:rsidR="00DE61E8">
        <w:t>, averting 136 consultations per 10,000 registered population</w:t>
      </w:r>
      <w:r w:rsidR="009D298F">
        <w:t>.</w:t>
      </w:r>
      <w:r w:rsidR="007C7C1D">
        <w:t xml:space="preserve"> There were also</w:t>
      </w:r>
      <w:r w:rsidR="009D298F">
        <w:t xml:space="preserve"> </w:t>
      </w:r>
      <w:r w:rsidR="00AA7B09">
        <w:t xml:space="preserve">significant </w:t>
      </w:r>
      <w:r w:rsidR="009D298F">
        <w:t>reductions</w:t>
      </w:r>
      <w:r w:rsidR="005C78B3">
        <w:t xml:space="preserve"> in gastrointestinal disease outcomes</w:t>
      </w:r>
      <w:r w:rsidR="009D298F">
        <w:t xml:space="preserve"> in </w:t>
      </w:r>
      <w:r w:rsidR="005C78B3">
        <w:t xml:space="preserve">vaccine age ineligible </w:t>
      </w:r>
      <w:r w:rsidR="009D298F">
        <w:t xml:space="preserve">children </w:t>
      </w:r>
      <w:r w:rsidR="001C3E64">
        <w:t xml:space="preserve">age </w:t>
      </w:r>
      <w:r w:rsidR="009D298F">
        <w:t>24</w:t>
      </w:r>
      <w:r w:rsidR="007C7C1D">
        <w:t>-59</w:t>
      </w:r>
      <w:r w:rsidR="001C3E64">
        <w:t xml:space="preserve"> months</w:t>
      </w:r>
      <w:r w:rsidR="00392016">
        <w:t xml:space="preserve">; </w:t>
      </w:r>
      <w:r w:rsidR="007C7C1D">
        <w:t>RVGE hospitalisation</w:t>
      </w:r>
      <w:r w:rsidR="005C78B3">
        <w:t>s</w:t>
      </w:r>
      <w:r w:rsidR="007C7C1D">
        <w:t xml:space="preserve"> decreas</w:t>
      </w:r>
      <w:r w:rsidR="005C78B3">
        <w:t>ed</w:t>
      </w:r>
      <w:r w:rsidR="007C7C1D">
        <w:t xml:space="preserve"> in this age group by </w:t>
      </w:r>
      <w:r w:rsidR="007C7C1D" w:rsidRPr="007C7C1D">
        <w:t>66</w:t>
      </w:r>
      <w:r w:rsidR="007C7C1D">
        <w:t>%</w:t>
      </w:r>
      <w:r w:rsidR="007C7C1D" w:rsidRPr="007C7C1D">
        <w:t xml:space="preserve"> (</w:t>
      </w:r>
      <w:r w:rsidR="00C61D7E">
        <w:t>95% CI</w:t>
      </w:r>
      <w:r w:rsidR="007C7C1D" w:rsidRPr="0043314A">
        <w:t xml:space="preserve"> </w:t>
      </w:r>
      <w:r w:rsidR="00C61D7E">
        <w:t>44-</w:t>
      </w:r>
      <w:r w:rsidR="007C7C1D" w:rsidRPr="007C7C1D">
        <w:t>81</w:t>
      </w:r>
      <w:r w:rsidR="000B1B6F">
        <w:t>%</w:t>
      </w:r>
      <w:r w:rsidR="007C7C1D" w:rsidRPr="007C7C1D">
        <w:t>)</w:t>
      </w:r>
      <w:r w:rsidR="00EA2FD2">
        <w:t xml:space="preserve"> and </w:t>
      </w:r>
      <w:r w:rsidR="00DA665C">
        <w:t>all-cause AGE</w:t>
      </w:r>
      <w:r w:rsidR="00EA2FD2">
        <w:t xml:space="preserve"> hos</w:t>
      </w:r>
      <w:r w:rsidR="00582471">
        <w:t xml:space="preserve">pitalisations </w:t>
      </w:r>
      <w:r w:rsidR="005C78B3">
        <w:t xml:space="preserve">decreased </w:t>
      </w:r>
      <w:r w:rsidR="00C61D7E">
        <w:t>by 26% (95% CI</w:t>
      </w:r>
      <w:r w:rsidR="00582471">
        <w:t xml:space="preserve"> </w:t>
      </w:r>
      <w:r w:rsidR="00BB2E51">
        <w:t>11</w:t>
      </w:r>
      <w:r w:rsidR="00C61D7E">
        <w:t>-</w:t>
      </w:r>
      <w:r w:rsidR="00BB2E51">
        <w:t>39</w:t>
      </w:r>
      <w:r w:rsidR="000B1B6F">
        <w:t>%</w:t>
      </w:r>
      <w:r w:rsidR="00EA2FD2">
        <w:t>)</w:t>
      </w:r>
      <w:r w:rsidR="007C7C1D">
        <w:t>.</w:t>
      </w:r>
      <w:r w:rsidR="009D298F">
        <w:t xml:space="preserve"> </w:t>
      </w:r>
      <w:r w:rsidR="00395BAA">
        <w:t>However</w:t>
      </w:r>
      <w:r w:rsidR="009D298F">
        <w:t xml:space="preserve">, in the 2014/15 season a peak of incidence </w:t>
      </w:r>
      <w:r w:rsidR="003770F8">
        <w:t xml:space="preserve">was detected in May across all primary outcome measures that was comparable in magnitude </w:t>
      </w:r>
      <w:r w:rsidR="009D298F">
        <w:t xml:space="preserve">to the pre-vaccine rotavirus peak </w:t>
      </w:r>
      <w:r w:rsidR="003770F8">
        <w:t xml:space="preserve">observed </w:t>
      </w:r>
      <w:r w:rsidR="009D298F">
        <w:t>in March.</w:t>
      </w:r>
      <w:r w:rsidR="000E50C7">
        <w:t xml:space="preserve"> Disease </w:t>
      </w:r>
      <w:r w:rsidR="000E50C7" w:rsidRPr="000E50C7">
        <w:t>rates</w:t>
      </w:r>
      <w:r w:rsidR="000E50C7">
        <w:t xml:space="preserve"> by surveillance year, pre- and post-vaccine introduction</w:t>
      </w:r>
      <w:r w:rsidR="000E50C7" w:rsidRPr="000E50C7">
        <w:t xml:space="preserve"> are provided in Additional file 1: Table S1.</w:t>
      </w:r>
    </w:p>
    <w:p w14:paraId="76CEFB5E" w14:textId="7A3A99F5" w:rsidR="0043314A" w:rsidRPr="00393B65" w:rsidRDefault="00393B65" w:rsidP="00122E3A">
      <w:pPr>
        <w:pStyle w:val="Heading4"/>
        <w:spacing w:line="480" w:lineRule="auto"/>
      </w:pPr>
      <w:r w:rsidRPr="00393B65">
        <w:t>Impact in children aged 5 to 14</w:t>
      </w:r>
      <w:r w:rsidR="0043314A" w:rsidRPr="00393B65">
        <w:t xml:space="preserve"> years</w:t>
      </w:r>
    </w:p>
    <w:p w14:paraId="0D4E9A9B" w14:textId="180878B0" w:rsidR="00FC3915" w:rsidRDefault="00A77CAD" w:rsidP="00A77CAD">
      <w:pPr>
        <w:spacing w:line="480" w:lineRule="auto"/>
      </w:pPr>
      <w:r>
        <w:t xml:space="preserve">In the pre-vaccine </w:t>
      </w:r>
      <w:r w:rsidR="001C3E64">
        <w:t>period</w:t>
      </w:r>
      <w:r>
        <w:t xml:space="preserve">, </w:t>
      </w:r>
      <w:r w:rsidR="009D298F">
        <w:t xml:space="preserve">children aged 5-14 years </w:t>
      </w:r>
      <w:r>
        <w:t xml:space="preserve">had the lowest yearly rates of hospitalisation for </w:t>
      </w:r>
      <w:r w:rsidR="00DA665C">
        <w:t>all-cause AGE</w:t>
      </w:r>
      <w:r>
        <w:t xml:space="preserve"> (18 per 10,000 population)</w:t>
      </w:r>
      <w:r w:rsidR="00FB66A7">
        <w:t xml:space="preserve"> </w:t>
      </w:r>
      <w:r>
        <w:t>(Table 2</w:t>
      </w:r>
      <w:r w:rsidR="00304CC0">
        <w:t xml:space="preserve">). Rotavirus seasonality in </w:t>
      </w:r>
      <w:r w:rsidR="007563F7">
        <w:t>children aged 5-14 years</w:t>
      </w:r>
      <w:r w:rsidR="00B56ECD">
        <w:t>,</w:t>
      </w:r>
      <w:r w:rsidR="007563F7">
        <w:t xml:space="preserve"> </w:t>
      </w:r>
      <w:r w:rsidR="00C06CCF">
        <w:t xml:space="preserve">was less </w:t>
      </w:r>
      <w:r w:rsidR="00304CC0">
        <w:t>pronounced and in</w:t>
      </w:r>
      <w:r w:rsidR="007563F7">
        <w:t xml:space="preserve">consistent </w:t>
      </w:r>
      <w:r w:rsidR="00C06CCF">
        <w:t>across all outcome measures</w:t>
      </w:r>
      <w:r w:rsidR="007563F7">
        <w:t xml:space="preserve"> </w:t>
      </w:r>
      <w:r w:rsidR="00304CC0">
        <w:t xml:space="preserve">in the pre-vaccine period </w:t>
      </w:r>
      <w:r w:rsidR="007563F7">
        <w:t xml:space="preserve">(Figure </w:t>
      </w:r>
      <w:r w:rsidR="0062101F">
        <w:t>2</w:t>
      </w:r>
      <w:r w:rsidR="007563F7">
        <w:t>)</w:t>
      </w:r>
      <w:r w:rsidR="00C06CCF">
        <w:t>.</w:t>
      </w:r>
      <w:r>
        <w:t xml:space="preserve"> </w:t>
      </w:r>
      <w:r w:rsidR="00FC3915">
        <w:t>In this vaccine</w:t>
      </w:r>
      <w:r w:rsidR="003D1BEF">
        <w:t>-</w:t>
      </w:r>
      <w:r w:rsidR="00FC3915">
        <w:t>ineligible age group</w:t>
      </w:r>
      <w:r w:rsidR="002B0DAB">
        <w:t>,</w:t>
      </w:r>
      <w:r w:rsidR="00FC3915">
        <w:t xml:space="preserve"> b</w:t>
      </w:r>
      <w:r>
        <w:t xml:space="preserve">etween July 2013 and June 2016 there were only </w:t>
      </w:r>
      <w:r w:rsidR="001C3E64">
        <w:t>two</w:t>
      </w:r>
      <w:r>
        <w:t xml:space="preserve"> laboratory confirmed detections of RVGE at Alder Hey Children’s hospital</w:t>
      </w:r>
      <w:r w:rsidR="00FC3915">
        <w:t>. Furthermore</w:t>
      </w:r>
      <w:r w:rsidR="003D1BEF">
        <w:t>,</w:t>
      </w:r>
      <w:r w:rsidR="00FC3915">
        <w:t xml:space="preserve"> </w:t>
      </w:r>
      <w:r w:rsidR="00DA665C">
        <w:t>all-cause AGE</w:t>
      </w:r>
      <w:r w:rsidR="00FC3915">
        <w:t xml:space="preserve"> hospitalisations</w:t>
      </w:r>
      <w:r w:rsidR="002B0DAB">
        <w:t xml:space="preserve"> and</w:t>
      </w:r>
      <w:r w:rsidR="000E2B8E">
        <w:t xml:space="preserve"> </w:t>
      </w:r>
      <w:r w:rsidR="00FC3915">
        <w:t xml:space="preserve">ED attendances for </w:t>
      </w:r>
      <w:r w:rsidR="008D70E3">
        <w:t xml:space="preserve">gastrointestinal </w:t>
      </w:r>
      <w:r w:rsidR="00FC3915">
        <w:t xml:space="preserve">conditions </w:t>
      </w:r>
      <w:r w:rsidR="00107598">
        <w:t xml:space="preserve">also </w:t>
      </w:r>
      <w:r w:rsidR="002B0DAB">
        <w:t>fell</w:t>
      </w:r>
      <w:r w:rsidR="009D298F">
        <w:t xml:space="preserve"> (Table 2)</w:t>
      </w:r>
      <w:r w:rsidR="00FC3915">
        <w:t>.</w:t>
      </w:r>
      <w:r w:rsidR="00107598">
        <w:t xml:space="preserve"> </w:t>
      </w:r>
      <w:r w:rsidR="00EA2FD2">
        <w:t xml:space="preserve">General </w:t>
      </w:r>
      <w:r w:rsidR="00107598">
        <w:t xml:space="preserve">Practice </w:t>
      </w:r>
      <w:r w:rsidR="00FC3915">
        <w:t>consultations</w:t>
      </w:r>
      <w:r w:rsidR="00EA2FD2">
        <w:t xml:space="preserve"> (-3%, 95% CI: -</w:t>
      </w:r>
      <w:r w:rsidR="00C61D7E">
        <w:t>21-</w:t>
      </w:r>
      <w:r w:rsidR="00EA2FD2">
        <w:t>12</w:t>
      </w:r>
      <w:r w:rsidR="000B1B6F">
        <w:t>%</w:t>
      </w:r>
      <w:r w:rsidR="00EA2FD2">
        <w:t>)</w:t>
      </w:r>
      <w:r w:rsidR="00FC3915">
        <w:t xml:space="preserve"> </w:t>
      </w:r>
      <w:r w:rsidR="00EA2FD2">
        <w:t>and WIC attendances (</w:t>
      </w:r>
      <w:r w:rsidR="00EA2FD2" w:rsidRPr="00EA2FD2">
        <w:t xml:space="preserve">0 </w:t>
      </w:r>
      <w:r w:rsidR="00EA2FD2">
        <w:t xml:space="preserve">%, 95% CI: </w:t>
      </w:r>
      <w:r w:rsidR="00C61D7E">
        <w:t>-52-</w:t>
      </w:r>
      <w:r w:rsidR="00EA2FD2" w:rsidRPr="00EA2FD2">
        <w:t>34</w:t>
      </w:r>
      <w:r w:rsidR="00EA2FD2">
        <w:t>%</w:t>
      </w:r>
      <w:r w:rsidR="00EA2FD2" w:rsidRPr="00EA2FD2">
        <w:t>)</w:t>
      </w:r>
      <w:r w:rsidR="00EA2FD2">
        <w:t xml:space="preserve"> </w:t>
      </w:r>
      <w:r w:rsidR="00FC3915">
        <w:t xml:space="preserve">for </w:t>
      </w:r>
      <w:r w:rsidR="00FC3915">
        <w:lastRenderedPageBreak/>
        <w:t>infectious gastroenteritis remained similar to pre-vaccine levels.</w:t>
      </w:r>
      <w:r w:rsidR="002B0DAB">
        <w:t xml:space="preserve"> T</w:t>
      </w:r>
      <w:r w:rsidR="00781BEF">
        <w:t xml:space="preserve">here were no </w:t>
      </w:r>
      <w:r w:rsidR="009D298F">
        <w:t>differences between changes in incidence in the rotavirus-</w:t>
      </w:r>
      <w:r w:rsidR="00781BEF">
        <w:t xml:space="preserve">season and out of </w:t>
      </w:r>
      <w:r w:rsidR="009D298F">
        <w:t>the rotavirus-season</w:t>
      </w:r>
      <w:r w:rsidR="00E753A0">
        <w:t>.</w:t>
      </w:r>
    </w:p>
    <w:p w14:paraId="2C69DAA3" w14:textId="77777777" w:rsidR="004F5792" w:rsidRPr="004F5792" w:rsidRDefault="004F5792" w:rsidP="00261B1F">
      <w:pPr>
        <w:spacing w:line="480" w:lineRule="auto"/>
        <w:rPr>
          <w:b/>
        </w:rPr>
      </w:pPr>
      <w:r w:rsidRPr="004F5792">
        <w:rPr>
          <w:b/>
        </w:rPr>
        <w:t>Table 2. Changes in rates of hospitalisation / attendances to different levels of the health system post rotavirus vaccine introduction in Merseyside, UK</w:t>
      </w:r>
    </w:p>
    <w:tbl>
      <w:tblPr>
        <w:tblStyle w:val="TableGrid2"/>
        <w:tblW w:w="0" w:type="auto"/>
        <w:jc w:val="center"/>
        <w:tblLook w:val="04A0" w:firstRow="1" w:lastRow="0" w:firstColumn="1" w:lastColumn="0" w:noHBand="0" w:noVBand="1"/>
      </w:tblPr>
      <w:tblGrid>
        <w:gridCol w:w="1576"/>
        <w:gridCol w:w="1861"/>
        <w:gridCol w:w="840"/>
        <w:gridCol w:w="862"/>
        <w:gridCol w:w="1141"/>
        <w:gridCol w:w="1216"/>
        <w:gridCol w:w="1369"/>
      </w:tblGrid>
      <w:tr w:rsidR="004F5792" w:rsidRPr="004F5792" w14:paraId="3BA218FC" w14:textId="77777777" w:rsidTr="00F17B89">
        <w:trPr>
          <w:jc w:val="center"/>
        </w:trPr>
        <w:tc>
          <w:tcPr>
            <w:tcW w:w="1576" w:type="dxa"/>
            <w:vMerge w:val="restart"/>
            <w:vAlign w:val="center"/>
          </w:tcPr>
          <w:p w14:paraId="73F55B87" w14:textId="77777777" w:rsidR="004F5792" w:rsidRPr="004F5792" w:rsidRDefault="004F5792" w:rsidP="004F5792">
            <w:pPr>
              <w:jc w:val="center"/>
              <w:rPr>
                <w:b/>
                <w:sz w:val="16"/>
                <w:szCs w:val="16"/>
              </w:rPr>
            </w:pPr>
            <w:r w:rsidRPr="004F5792">
              <w:rPr>
                <w:b/>
                <w:sz w:val="16"/>
                <w:szCs w:val="16"/>
              </w:rPr>
              <w:t>Age group</w:t>
            </w:r>
          </w:p>
        </w:tc>
        <w:tc>
          <w:tcPr>
            <w:tcW w:w="3563" w:type="dxa"/>
            <w:gridSpan w:val="3"/>
            <w:vAlign w:val="center"/>
          </w:tcPr>
          <w:p w14:paraId="26C552B7" w14:textId="77777777" w:rsidR="004F5792" w:rsidRPr="004F5792" w:rsidRDefault="004F5792" w:rsidP="004F5792">
            <w:pPr>
              <w:jc w:val="center"/>
              <w:rPr>
                <w:b/>
                <w:sz w:val="16"/>
                <w:szCs w:val="16"/>
              </w:rPr>
            </w:pPr>
            <w:r w:rsidRPr="004F5792">
              <w:rPr>
                <w:b/>
                <w:sz w:val="16"/>
                <w:szCs w:val="16"/>
              </w:rPr>
              <w:t>Mean yearly rate of hospitalisations / attendances (per 10,000)</w:t>
            </w:r>
            <w:r w:rsidRPr="004F5792">
              <w:rPr>
                <w:b/>
                <w:sz w:val="16"/>
                <w:szCs w:val="16"/>
                <w:vertAlign w:val="superscript"/>
              </w:rPr>
              <w:t>¥</w:t>
            </w:r>
          </w:p>
        </w:tc>
        <w:tc>
          <w:tcPr>
            <w:tcW w:w="3725" w:type="dxa"/>
            <w:gridSpan w:val="3"/>
            <w:vMerge w:val="restart"/>
            <w:vAlign w:val="center"/>
          </w:tcPr>
          <w:p w14:paraId="7B02F5F1" w14:textId="77777777" w:rsidR="004F5792" w:rsidRPr="004F5792" w:rsidRDefault="004F5792" w:rsidP="004F5792">
            <w:pPr>
              <w:jc w:val="center"/>
              <w:rPr>
                <w:b/>
                <w:sz w:val="16"/>
                <w:szCs w:val="16"/>
              </w:rPr>
            </w:pPr>
            <w:r w:rsidRPr="004F5792">
              <w:rPr>
                <w:b/>
                <w:sz w:val="16"/>
                <w:szCs w:val="16"/>
              </w:rPr>
              <w:t>Percent reduction in hospitalisations / attendance rates (95% CI)†</w:t>
            </w:r>
          </w:p>
        </w:tc>
      </w:tr>
      <w:tr w:rsidR="004F5792" w:rsidRPr="004F5792" w14:paraId="4FB5B89F" w14:textId="77777777" w:rsidTr="00F17B89">
        <w:trPr>
          <w:jc w:val="center"/>
        </w:trPr>
        <w:tc>
          <w:tcPr>
            <w:tcW w:w="1576" w:type="dxa"/>
            <w:vMerge/>
            <w:vAlign w:val="center"/>
          </w:tcPr>
          <w:p w14:paraId="54A54DE4" w14:textId="77777777" w:rsidR="004F5792" w:rsidRPr="004F5792" w:rsidRDefault="004F5792" w:rsidP="004F5792">
            <w:pPr>
              <w:jc w:val="center"/>
              <w:rPr>
                <w:sz w:val="16"/>
                <w:szCs w:val="16"/>
              </w:rPr>
            </w:pPr>
          </w:p>
        </w:tc>
        <w:tc>
          <w:tcPr>
            <w:tcW w:w="1861" w:type="dxa"/>
            <w:vAlign w:val="center"/>
          </w:tcPr>
          <w:p w14:paraId="64AA1591" w14:textId="77777777" w:rsidR="004F5792" w:rsidRPr="004F5792" w:rsidRDefault="004F5792" w:rsidP="004F5792">
            <w:pPr>
              <w:jc w:val="center"/>
              <w:rPr>
                <w:sz w:val="16"/>
                <w:szCs w:val="16"/>
              </w:rPr>
            </w:pPr>
            <w:r w:rsidRPr="004F5792">
              <w:rPr>
                <w:sz w:val="16"/>
                <w:szCs w:val="16"/>
              </w:rPr>
              <w:t>pre-vaccination</w:t>
            </w:r>
          </w:p>
        </w:tc>
        <w:tc>
          <w:tcPr>
            <w:tcW w:w="0" w:type="auto"/>
            <w:gridSpan w:val="2"/>
            <w:vAlign w:val="center"/>
          </w:tcPr>
          <w:p w14:paraId="6C0A5189" w14:textId="77777777" w:rsidR="004F5792" w:rsidRPr="004F5792" w:rsidRDefault="004F5792" w:rsidP="004F5792">
            <w:pPr>
              <w:jc w:val="center"/>
              <w:rPr>
                <w:sz w:val="16"/>
                <w:szCs w:val="16"/>
              </w:rPr>
            </w:pPr>
            <w:r w:rsidRPr="004F5792">
              <w:rPr>
                <w:sz w:val="16"/>
                <w:szCs w:val="16"/>
              </w:rPr>
              <w:t>post vaccination</w:t>
            </w:r>
          </w:p>
        </w:tc>
        <w:tc>
          <w:tcPr>
            <w:tcW w:w="3725" w:type="dxa"/>
            <w:gridSpan w:val="3"/>
            <w:vMerge/>
            <w:vAlign w:val="center"/>
          </w:tcPr>
          <w:p w14:paraId="62E6EA41" w14:textId="77777777" w:rsidR="004F5792" w:rsidRPr="004F5792" w:rsidRDefault="004F5792" w:rsidP="004F5792">
            <w:pPr>
              <w:jc w:val="center"/>
              <w:rPr>
                <w:sz w:val="16"/>
                <w:szCs w:val="16"/>
              </w:rPr>
            </w:pPr>
          </w:p>
        </w:tc>
      </w:tr>
      <w:tr w:rsidR="004F5792" w:rsidRPr="004F5792" w14:paraId="45067225" w14:textId="77777777" w:rsidTr="00F17B89">
        <w:trPr>
          <w:jc w:val="center"/>
        </w:trPr>
        <w:tc>
          <w:tcPr>
            <w:tcW w:w="1576" w:type="dxa"/>
            <w:vMerge/>
            <w:vAlign w:val="center"/>
          </w:tcPr>
          <w:p w14:paraId="09789304" w14:textId="77777777" w:rsidR="004F5792" w:rsidRPr="004F5792" w:rsidRDefault="004F5792" w:rsidP="004F5792">
            <w:pPr>
              <w:jc w:val="center"/>
              <w:rPr>
                <w:sz w:val="16"/>
                <w:szCs w:val="16"/>
              </w:rPr>
            </w:pPr>
          </w:p>
        </w:tc>
        <w:tc>
          <w:tcPr>
            <w:tcW w:w="1861" w:type="dxa"/>
            <w:vAlign w:val="center"/>
          </w:tcPr>
          <w:p w14:paraId="71ACBF77" w14:textId="77777777" w:rsidR="004F5792" w:rsidRPr="004F5792" w:rsidRDefault="004F5792" w:rsidP="004F5792">
            <w:pPr>
              <w:jc w:val="center"/>
              <w:rPr>
                <w:sz w:val="16"/>
                <w:szCs w:val="16"/>
              </w:rPr>
            </w:pPr>
            <w:r w:rsidRPr="004F5792">
              <w:rPr>
                <w:sz w:val="16"/>
                <w:szCs w:val="16"/>
              </w:rPr>
              <w:t>Observed</w:t>
            </w:r>
          </w:p>
        </w:tc>
        <w:tc>
          <w:tcPr>
            <w:tcW w:w="0" w:type="auto"/>
            <w:vAlign w:val="center"/>
          </w:tcPr>
          <w:p w14:paraId="0B3A2F38" w14:textId="77777777" w:rsidR="004F5792" w:rsidRPr="004F5792" w:rsidRDefault="004F5792" w:rsidP="004F5792">
            <w:pPr>
              <w:jc w:val="center"/>
              <w:rPr>
                <w:sz w:val="16"/>
                <w:szCs w:val="16"/>
              </w:rPr>
            </w:pPr>
            <w:r w:rsidRPr="004F5792">
              <w:rPr>
                <w:sz w:val="16"/>
                <w:szCs w:val="16"/>
              </w:rPr>
              <w:t>Observed</w:t>
            </w:r>
          </w:p>
        </w:tc>
        <w:tc>
          <w:tcPr>
            <w:tcW w:w="0" w:type="auto"/>
            <w:vAlign w:val="center"/>
          </w:tcPr>
          <w:p w14:paraId="52323BE7" w14:textId="77777777" w:rsidR="004F5792" w:rsidRPr="004F5792" w:rsidRDefault="004F5792" w:rsidP="004F5792">
            <w:pPr>
              <w:jc w:val="center"/>
              <w:rPr>
                <w:sz w:val="16"/>
                <w:szCs w:val="16"/>
                <w:vertAlign w:val="superscript"/>
              </w:rPr>
            </w:pPr>
            <w:r w:rsidRPr="004F5792">
              <w:rPr>
                <w:sz w:val="16"/>
                <w:szCs w:val="16"/>
              </w:rPr>
              <w:t>Expected</w:t>
            </w:r>
            <w:r w:rsidRPr="004F5792">
              <w:rPr>
                <w:sz w:val="16"/>
                <w:szCs w:val="16"/>
                <w:vertAlign w:val="superscript"/>
              </w:rPr>
              <w:t>*</w:t>
            </w:r>
          </w:p>
        </w:tc>
        <w:tc>
          <w:tcPr>
            <w:tcW w:w="0" w:type="auto"/>
            <w:vAlign w:val="center"/>
          </w:tcPr>
          <w:p w14:paraId="6C30EE79" w14:textId="77777777" w:rsidR="004F5792" w:rsidRPr="004F5792" w:rsidRDefault="004F5792" w:rsidP="004F5792">
            <w:pPr>
              <w:jc w:val="center"/>
              <w:rPr>
                <w:sz w:val="16"/>
                <w:szCs w:val="16"/>
              </w:rPr>
            </w:pPr>
            <w:r w:rsidRPr="004F5792">
              <w:rPr>
                <w:sz w:val="16"/>
                <w:szCs w:val="16"/>
              </w:rPr>
              <w:t>Full year</w:t>
            </w:r>
          </w:p>
        </w:tc>
        <w:tc>
          <w:tcPr>
            <w:tcW w:w="0" w:type="auto"/>
            <w:vAlign w:val="center"/>
          </w:tcPr>
          <w:p w14:paraId="2C3984D4" w14:textId="77777777" w:rsidR="004F5792" w:rsidRPr="004F5792" w:rsidRDefault="004F5792" w:rsidP="004F5792">
            <w:pPr>
              <w:jc w:val="center"/>
              <w:rPr>
                <w:sz w:val="16"/>
                <w:szCs w:val="16"/>
              </w:rPr>
            </w:pPr>
            <w:r w:rsidRPr="004F5792">
              <w:rPr>
                <w:sz w:val="16"/>
                <w:szCs w:val="16"/>
              </w:rPr>
              <w:t>Jan-May</w:t>
            </w:r>
          </w:p>
        </w:tc>
        <w:tc>
          <w:tcPr>
            <w:tcW w:w="1315" w:type="dxa"/>
            <w:vAlign w:val="center"/>
          </w:tcPr>
          <w:p w14:paraId="35A99002" w14:textId="77777777" w:rsidR="004F5792" w:rsidRPr="004F5792" w:rsidRDefault="004F5792" w:rsidP="004F5792">
            <w:pPr>
              <w:jc w:val="center"/>
              <w:rPr>
                <w:sz w:val="16"/>
                <w:szCs w:val="16"/>
              </w:rPr>
            </w:pPr>
            <w:r w:rsidRPr="004F5792">
              <w:rPr>
                <w:sz w:val="16"/>
                <w:szCs w:val="16"/>
              </w:rPr>
              <w:t>Jun-Dec</w:t>
            </w:r>
          </w:p>
        </w:tc>
      </w:tr>
      <w:tr w:rsidR="004F5792" w:rsidRPr="004F5792" w14:paraId="2E654A2C" w14:textId="77777777" w:rsidTr="00F17B89">
        <w:trPr>
          <w:jc w:val="center"/>
        </w:trPr>
        <w:tc>
          <w:tcPr>
            <w:tcW w:w="8864" w:type="dxa"/>
            <w:gridSpan w:val="7"/>
            <w:vAlign w:val="center"/>
          </w:tcPr>
          <w:p w14:paraId="2355D1FB" w14:textId="77777777" w:rsidR="004F5792" w:rsidRPr="004F5792" w:rsidRDefault="004F5792" w:rsidP="004F5792">
            <w:pPr>
              <w:jc w:val="center"/>
              <w:rPr>
                <w:sz w:val="16"/>
                <w:szCs w:val="16"/>
              </w:rPr>
            </w:pPr>
            <w:r w:rsidRPr="004F5792">
              <w:rPr>
                <w:sz w:val="16"/>
                <w:szCs w:val="16"/>
              </w:rPr>
              <w:t>Hospitalisations for laboratory confirmed rotavirus to Alder Hey</w:t>
            </w:r>
          </w:p>
        </w:tc>
      </w:tr>
      <w:tr w:rsidR="004F5792" w:rsidRPr="004F5792" w14:paraId="415E75D6" w14:textId="77777777" w:rsidTr="00F17B89">
        <w:trPr>
          <w:jc w:val="center"/>
        </w:trPr>
        <w:tc>
          <w:tcPr>
            <w:tcW w:w="1576" w:type="dxa"/>
          </w:tcPr>
          <w:p w14:paraId="7EDB5877" w14:textId="77777777" w:rsidR="004F5792" w:rsidRPr="004F5792" w:rsidRDefault="004F5792" w:rsidP="004F5792">
            <w:pPr>
              <w:jc w:val="center"/>
              <w:rPr>
                <w:rFonts w:eastAsia="Times New Roman" w:cs="Arial"/>
                <w:b/>
                <w:sz w:val="16"/>
                <w:szCs w:val="16"/>
                <w:lang w:eastAsia="en-GB"/>
              </w:rPr>
            </w:pPr>
            <w:r w:rsidRPr="004F5792">
              <w:rPr>
                <w:rFonts w:eastAsia="Times New Roman"/>
                <w:sz w:val="16"/>
                <w:szCs w:val="16"/>
                <w:lang w:eastAsia="en-GB"/>
              </w:rPr>
              <w:t>&lt;12m</w:t>
            </w:r>
          </w:p>
        </w:tc>
        <w:tc>
          <w:tcPr>
            <w:tcW w:w="1861" w:type="dxa"/>
          </w:tcPr>
          <w:p w14:paraId="3FDDCF4E" w14:textId="77777777" w:rsidR="004F5792" w:rsidRPr="004F5792" w:rsidRDefault="004F5792" w:rsidP="004F5792">
            <w:pPr>
              <w:jc w:val="center"/>
              <w:rPr>
                <w:sz w:val="16"/>
                <w:szCs w:val="16"/>
              </w:rPr>
            </w:pPr>
            <w:r w:rsidRPr="004F5792">
              <w:rPr>
                <w:sz w:val="16"/>
                <w:szCs w:val="16"/>
              </w:rPr>
              <w:t>129</w:t>
            </w:r>
          </w:p>
        </w:tc>
        <w:tc>
          <w:tcPr>
            <w:tcW w:w="0" w:type="auto"/>
          </w:tcPr>
          <w:p w14:paraId="3B66C9C3" w14:textId="77777777" w:rsidR="004F5792" w:rsidRPr="004F5792" w:rsidRDefault="004F5792" w:rsidP="004F5792">
            <w:pPr>
              <w:jc w:val="center"/>
              <w:rPr>
                <w:sz w:val="16"/>
                <w:szCs w:val="16"/>
              </w:rPr>
            </w:pPr>
            <w:r w:rsidRPr="004F5792">
              <w:rPr>
                <w:sz w:val="16"/>
                <w:szCs w:val="16"/>
              </w:rPr>
              <w:t>14</w:t>
            </w:r>
          </w:p>
        </w:tc>
        <w:tc>
          <w:tcPr>
            <w:tcW w:w="0" w:type="auto"/>
          </w:tcPr>
          <w:p w14:paraId="7157234A" w14:textId="77777777" w:rsidR="004F5792" w:rsidRPr="004F5792" w:rsidRDefault="004F5792" w:rsidP="004F5792">
            <w:pPr>
              <w:jc w:val="center"/>
              <w:rPr>
                <w:sz w:val="16"/>
                <w:szCs w:val="16"/>
              </w:rPr>
            </w:pPr>
            <w:r w:rsidRPr="004F5792">
              <w:rPr>
                <w:sz w:val="16"/>
                <w:szCs w:val="16"/>
              </w:rPr>
              <w:t>122</w:t>
            </w:r>
          </w:p>
        </w:tc>
        <w:tc>
          <w:tcPr>
            <w:tcW w:w="0" w:type="auto"/>
          </w:tcPr>
          <w:p w14:paraId="36F1CBD7" w14:textId="77777777" w:rsidR="004F5792" w:rsidRPr="004F5792" w:rsidRDefault="004F5792" w:rsidP="004F5792">
            <w:pPr>
              <w:jc w:val="center"/>
              <w:rPr>
                <w:sz w:val="16"/>
                <w:szCs w:val="16"/>
              </w:rPr>
            </w:pPr>
            <w:r w:rsidRPr="004F5792">
              <w:rPr>
                <w:sz w:val="16"/>
                <w:szCs w:val="16"/>
              </w:rPr>
              <w:t>87 (78 to 93)</w:t>
            </w:r>
          </w:p>
        </w:tc>
        <w:tc>
          <w:tcPr>
            <w:tcW w:w="0" w:type="auto"/>
          </w:tcPr>
          <w:p w14:paraId="7525B79E" w14:textId="77777777" w:rsidR="004F5792" w:rsidRPr="004F5792" w:rsidRDefault="004F5792" w:rsidP="004F5792">
            <w:pPr>
              <w:jc w:val="center"/>
              <w:rPr>
                <w:sz w:val="16"/>
                <w:szCs w:val="16"/>
              </w:rPr>
            </w:pPr>
            <w:r w:rsidRPr="004F5792">
              <w:rPr>
                <w:sz w:val="16"/>
                <w:szCs w:val="16"/>
              </w:rPr>
              <w:t>94 (86 to 97)</w:t>
            </w:r>
          </w:p>
        </w:tc>
        <w:tc>
          <w:tcPr>
            <w:tcW w:w="1315" w:type="dxa"/>
          </w:tcPr>
          <w:p w14:paraId="4302114C" w14:textId="77777777" w:rsidR="004F5792" w:rsidRPr="004F5792" w:rsidRDefault="004F5792" w:rsidP="004F5792">
            <w:pPr>
              <w:jc w:val="center"/>
              <w:rPr>
                <w:sz w:val="16"/>
                <w:szCs w:val="16"/>
              </w:rPr>
            </w:pPr>
            <w:r w:rsidRPr="004F5792">
              <w:rPr>
                <w:sz w:val="16"/>
                <w:szCs w:val="16"/>
              </w:rPr>
              <w:t>57 (10 to 81)</w:t>
            </w:r>
          </w:p>
        </w:tc>
      </w:tr>
      <w:tr w:rsidR="004F5792" w:rsidRPr="004F5792" w14:paraId="0EE45E45" w14:textId="77777777" w:rsidTr="00F17B89">
        <w:trPr>
          <w:jc w:val="center"/>
        </w:trPr>
        <w:tc>
          <w:tcPr>
            <w:tcW w:w="1576" w:type="dxa"/>
          </w:tcPr>
          <w:p w14:paraId="5FDB7BCA" w14:textId="77777777" w:rsidR="004F5792" w:rsidRPr="004F5792" w:rsidRDefault="004F5792" w:rsidP="004F5792">
            <w:pPr>
              <w:jc w:val="center"/>
              <w:rPr>
                <w:rFonts w:eastAsia="Times New Roman" w:cs="Arial"/>
                <w:b/>
                <w:sz w:val="16"/>
                <w:szCs w:val="16"/>
                <w:lang w:eastAsia="en-GB"/>
              </w:rPr>
            </w:pPr>
            <w:r w:rsidRPr="004F5792">
              <w:rPr>
                <w:rFonts w:eastAsia="Times New Roman"/>
                <w:sz w:val="16"/>
                <w:szCs w:val="16"/>
                <w:lang w:eastAsia="en-GB"/>
              </w:rPr>
              <w:t>12-23m</w:t>
            </w:r>
          </w:p>
        </w:tc>
        <w:tc>
          <w:tcPr>
            <w:tcW w:w="1861" w:type="dxa"/>
          </w:tcPr>
          <w:p w14:paraId="0228E78D" w14:textId="77777777" w:rsidR="004F5792" w:rsidRPr="004F5792" w:rsidRDefault="004F5792" w:rsidP="004F5792">
            <w:pPr>
              <w:jc w:val="center"/>
              <w:rPr>
                <w:sz w:val="16"/>
                <w:szCs w:val="16"/>
              </w:rPr>
            </w:pPr>
            <w:r w:rsidRPr="004F5792">
              <w:rPr>
                <w:sz w:val="16"/>
                <w:szCs w:val="16"/>
              </w:rPr>
              <w:t>123</w:t>
            </w:r>
          </w:p>
        </w:tc>
        <w:tc>
          <w:tcPr>
            <w:tcW w:w="0" w:type="auto"/>
          </w:tcPr>
          <w:p w14:paraId="7647C6AA" w14:textId="77777777" w:rsidR="004F5792" w:rsidRPr="004F5792" w:rsidRDefault="004F5792" w:rsidP="004F5792">
            <w:pPr>
              <w:jc w:val="center"/>
              <w:rPr>
                <w:sz w:val="16"/>
                <w:szCs w:val="16"/>
              </w:rPr>
            </w:pPr>
            <w:r w:rsidRPr="004F5792">
              <w:rPr>
                <w:sz w:val="16"/>
                <w:szCs w:val="16"/>
              </w:rPr>
              <w:t>16</w:t>
            </w:r>
          </w:p>
        </w:tc>
        <w:tc>
          <w:tcPr>
            <w:tcW w:w="0" w:type="auto"/>
          </w:tcPr>
          <w:p w14:paraId="3A9D5BAD" w14:textId="77777777" w:rsidR="004F5792" w:rsidRPr="004F5792" w:rsidRDefault="004F5792" w:rsidP="004F5792">
            <w:pPr>
              <w:jc w:val="center"/>
              <w:rPr>
                <w:sz w:val="16"/>
                <w:szCs w:val="16"/>
              </w:rPr>
            </w:pPr>
            <w:r w:rsidRPr="004F5792">
              <w:rPr>
                <w:sz w:val="16"/>
                <w:szCs w:val="16"/>
              </w:rPr>
              <w:t>106</w:t>
            </w:r>
          </w:p>
        </w:tc>
        <w:tc>
          <w:tcPr>
            <w:tcW w:w="0" w:type="auto"/>
          </w:tcPr>
          <w:p w14:paraId="41D2C640" w14:textId="77777777" w:rsidR="004F5792" w:rsidRPr="004F5792" w:rsidRDefault="004F5792" w:rsidP="004F5792">
            <w:pPr>
              <w:jc w:val="center"/>
              <w:rPr>
                <w:sz w:val="16"/>
                <w:szCs w:val="16"/>
              </w:rPr>
            </w:pPr>
            <w:r w:rsidRPr="004F5792">
              <w:rPr>
                <w:sz w:val="16"/>
                <w:szCs w:val="16"/>
              </w:rPr>
              <w:t>84 (73 to 91)</w:t>
            </w:r>
          </w:p>
        </w:tc>
        <w:tc>
          <w:tcPr>
            <w:tcW w:w="0" w:type="auto"/>
          </w:tcPr>
          <w:p w14:paraId="4E0C6D40" w14:textId="77777777" w:rsidR="004F5792" w:rsidRPr="004F5792" w:rsidRDefault="004F5792" w:rsidP="004F5792">
            <w:pPr>
              <w:jc w:val="center"/>
              <w:rPr>
                <w:sz w:val="16"/>
                <w:szCs w:val="16"/>
              </w:rPr>
            </w:pPr>
            <w:r w:rsidRPr="004F5792">
              <w:rPr>
                <w:sz w:val="16"/>
                <w:szCs w:val="16"/>
              </w:rPr>
              <w:t>87 (76 to 94)</w:t>
            </w:r>
          </w:p>
        </w:tc>
        <w:tc>
          <w:tcPr>
            <w:tcW w:w="1315" w:type="dxa"/>
          </w:tcPr>
          <w:p w14:paraId="4DC80E96" w14:textId="77777777" w:rsidR="004F5792" w:rsidRPr="004F5792" w:rsidRDefault="004F5792" w:rsidP="004F5792">
            <w:pPr>
              <w:jc w:val="center"/>
              <w:rPr>
                <w:sz w:val="16"/>
                <w:szCs w:val="16"/>
              </w:rPr>
            </w:pPr>
            <w:r w:rsidRPr="004F5792">
              <w:rPr>
                <w:sz w:val="16"/>
                <w:szCs w:val="16"/>
              </w:rPr>
              <w:t>70 (19 to 91)</w:t>
            </w:r>
          </w:p>
        </w:tc>
      </w:tr>
      <w:tr w:rsidR="004F5792" w:rsidRPr="004F5792" w14:paraId="63D04052" w14:textId="77777777" w:rsidTr="00F17B89">
        <w:trPr>
          <w:jc w:val="center"/>
        </w:trPr>
        <w:tc>
          <w:tcPr>
            <w:tcW w:w="1576" w:type="dxa"/>
          </w:tcPr>
          <w:p w14:paraId="6A01455F" w14:textId="77777777" w:rsidR="004F5792" w:rsidRPr="004F5792" w:rsidRDefault="004F5792" w:rsidP="004F5792">
            <w:pPr>
              <w:jc w:val="center"/>
              <w:rPr>
                <w:rFonts w:eastAsia="Times New Roman" w:cs="Arial"/>
                <w:b/>
                <w:sz w:val="16"/>
                <w:szCs w:val="16"/>
                <w:lang w:eastAsia="en-GB"/>
              </w:rPr>
            </w:pPr>
            <w:r w:rsidRPr="004F5792">
              <w:rPr>
                <w:rFonts w:eastAsia="Times New Roman"/>
                <w:sz w:val="16"/>
                <w:szCs w:val="16"/>
                <w:lang w:eastAsia="en-GB"/>
              </w:rPr>
              <w:t>24-59m</w:t>
            </w:r>
          </w:p>
        </w:tc>
        <w:tc>
          <w:tcPr>
            <w:tcW w:w="1861" w:type="dxa"/>
          </w:tcPr>
          <w:p w14:paraId="4DCF3237" w14:textId="77777777" w:rsidR="004F5792" w:rsidRPr="004F5792" w:rsidRDefault="004F5792" w:rsidP="004F5792">
            <w:pPr>
              <w:jc w:val="center"/>
              <w:rPr>
                <w:sz w:val="16"/>
                <w:szCs w:val="16"/>
              </w:rPr>
            </w:pPr>
            <w:r w:rsidRPr="004F5792">
              <w:rPr>
                <w:sz w:val="16"/>
                <w:szCs w:val="16"/>
              </w:rPr>
              <w:t>33</w:t>
            </w:r>
          </w:p>
        </w:tc>
        <w:tc>
          <w:tcPr>
            <w:tcW w:w="0" w:type="auto"/>
          </w:tcPr>
          <w:p w14:paraId="20C6469E" w14:textId="77777777" w:rsidR="004F5792" w:rsidRPr="004F5792" w:rsidRDefault="004F5792" w:rsidP="004F5792">
            <w:pPr>
              <w:jc w:val="center"/>
              <w:rPr>
                <w:sz w:val="16"/>
                <w:szCs w:val="16"/>
              </w:rPr>
            </w:pPr>
            <w:r w:rsidRPr="004F5792">
              <w:rPr>
                <w:sz w:val="16"/>
                <w:szCs w:val="16"/>
              </w:rPr>
              <w:t>10</w:t>
            </w:r>
          </w:p>
        </w:tc>
        <w:tc>
          <w:tcPr>
            <w:tcW w:w="0" w:type="auto"/>
          </w:tcPr>
          <w:p w14:paraId="718FDEAE" w14:textId="77777777" w:rsidR="004F5792" w:rsidRPr="004F5792" w:rsidRDefault="004F5792" w:rsidP="004F5792">
            <w:pPr>
              <w:jc w:val="center"/>
              <w:rPr>
                <w:sz w:val="16"/>
                <w:szCs w:val="16"/>
              </w:rPr>
            </w:pPr>
            <w:r w:rsidRPr="004F5792">
              <w:rPr>
                <w:sz w:val="16"/>
                <w:szCs w:val="16"/>
              </w:rPr>
              <w:t>29</w:t>
            </w:r>
          </w:p>
        </w:tc>
        <w:tc>
          <w:tcPr>
            <w:tcW w:w="0" w:type="auto"/>
          </w:tcPr>
          <w:p w14:paraId="375EBDC3" w14:textId="77777777" w:rsidR="004F5792" w:rsidRPr="004F5792" w:rsidRDefault="004F5792" w:rsidP="004F5792">
            <w:pPr>
              <w:jc w:val="center"/>
              <w:rPr>
                <w:sz w:val="16"/>
                <w:szCs w:val="16"/>
              </w:rPr>
            </w:pPr>
            <w:r w:rsidRPr="004F5792">
              <w:rPr>
                <w:sz w:val="16"/>
                <w:szCs w:val="16"/>
              </w:rPr>
              <w:t>66 (44 to 81)</w:t>
            </w:r>
          </w:p>
        </w:tc>
        <w:tc>
          <w:tcPr>
            <w:tcW w:w="0" w:type="auto"/>
          </w:tcPr>
          <w:p w14:paraId="48A2A1C1" w14:textId="77777777" w:rsidR="004F5792" w:rsidRPr="004F5792" w:rsidRDefault="004F5792" w:rsidP="004F5792">
            <w:pPr>
              <w:jc w:val="center"/>
              <w:rPr>
                <w:sz w:val="16"/>
                <w:szCs w:val="16"/>
              </w:rPr>
            </w:pPr>
            <w:r w:rsidRPr="004F5792">
              <w:rPr>
                <w:sz w:val="16"/>
                <w:szCs w:val="16"/>
              </w:rPr>
              <w:t>74 (52 to 87)</w:t>
            </w:r>
          </w:p>
        </w:tc>
        <w:tc>
          <w:tcPr>
            <w:tcW w:w="1315" w:type="dxa"/>
          </w:tcPr>
          <w:p w14:paraId="222440A2" w14:textId="77777777" w:rsidR="004F5792" w:rsidRPr="004F5792" w:rsidRDefault="004F5792" w:rsidP="004F5792">
            <w:pPr>
              <w:jc w:val="center"/>
              <w:rPr>
                <w:sz w:val="16"/>
                <w:szCs w:val="16"/>
              </w:rPr>
            </w:pPr>
            <w:r w:rsidRPr="004F5792">
              <w:rPr>
                <w:sz w:val="16"/>
                <w:szCs w:val="16"/>
              </w:rPr>
              <w:t>35 ( to 70 to 77)</w:t>
            </w:r>
          </w:p>
        </w:tc>
      </w:tr>
      <w:tr w:rsidR="004F5792" w:rsidRPr="004F5792" w14:paraId="33E31F83" w14:textId="77777777" w:rsidTr="00F17B89">
        <w:trPr>
          <w:jc w:val="center"/>
        </w:trPr>
        <w:tc>
          <w:tcPr>
            <w:tcW w:w="1576" w:type="dxa"/>
          </w:tcPr>
          <w:p w14:paraId="47406FD7" w14:textId="77777777" w:rsidR="004F5792" w:rsidRPr="004F5792" w:rsidRDefault="004F5792" w:rsidP="004F5792">
            <w:pPr>
              <w:jc w:val="center"/>
              <w:rPr>
                <w:rFonts w:eastAsia="Times New Roman" w:cs="Arial"/>
                <w:b/>
                <w:sz w:val="16"/>
                <w:szCs w:val="16"/>
                <w:lang w:eastAsia="en-GB"/>
              </w:rPr>
            </w:pPr>
            <w:r w:rsidRPr="004F5792">
              <w:rPr>
                <w:rFonts w:eastAsia="Times New Roman"/>
                <w:sz w:val="16"/>
                <w:szCs w:val="16"/>
                <w:lang w:eastAsia="en-GB"/>
              </w:rPr>
              <w:t>5-14y</w:t>
            </w:r>
          </w:p>
        </w:tc>
        <w:tc>
          <w:tcPr>
            <w:tcW w:w="1861" w:type="dxa"/>
          </w:tcPr>
          <w:p w14:paraId="0E0F7415" w14:textId="77777777" w:rsidR="004F5792" w:rsidRPr="004F5792" w:rsidRDefault="004F5792" w:rsidP="004F5792">
            <w:pPr>
              <w:jc w:val="center"/>
              <w:rPr>
                <w:sz w:val="16"/>
                <w:szCs w:val="16"/>
              </w:rPr>
            </w:pPr>
            <w:r w:rsidRPr="004F5792">
              <w:rPr>
                <w:sz w:val="16"/>
                <w:szCs w:val="16"/>
              </w:rPr>
              <w:t>7</w:t>
            </w:r>
          </w:p>
        </w:tc>
        <w:tc>
          <w:tcPr>
            <w:tcW w:w="0" w:type="auto"/>
          </w:tcPr>
          <w:p w14:paraId="01E50F77" w14:textId="77777777" w:rsidR="004F5792" w:rsidRPr="004F5792" w:rsidRDefault="004F5792" w:rsidP="004F5792">
            <w:pPr>
              <w:jc w:val="center"/>
              <w:rPr>
                <w:sz w:val="16"/>
                <w:szCs w:val="16"/>
              </w:rPr>
            </w:pPr>
            <w:r w:rsidRPr="004F5792">
              <w:rPr>
                <w:sz w:val="16"/>
                <w:szCs w:val="16"/>
              </w:rPr>
              <w:t>0.3</w:t>
            </w:r>
          </w:p>
        </w:tc>
        <w:tc>
          <w:tcPr>
            <w:tcW w:w="0" w:type="auto"/>
          </w:tcPr>
          <w:p w14:paraId="4B8F06CC" w14:textId="77777777" w:rsidR="004F5792" w:rsidRPr="004F5792" w:rsidRDefault="004F5792" w:rsidP="004F5792">
            <w:pPr>
              <w:jc w:val="center"/>
              <w:rPr>
                <w:sz w:val="16"/>
                <w:szCs w:val="16"/>
              </w:rPr>
            </w:pPr>
            <w:r w:rsidRPr="004F5792">
              <w:rPr>
                <w:sz w:val="16"/>
                <w:szCs w:val="16"/>
              </w:rPr>
              <w:t>9</w:t>
            </w:r>
          </w:p>
        </w:tc>
        <w:tc>
          <w:tcPr>
            <w:tcW w:w="0" w:type="auto"/>
          </w:tcPr>
          <w:p w14:paraId="49048D4A" w14:textId="77777777" w:rsidR="004F5792" w:rsidRPr="004F5792" w:rsidRDefault="004F5792" w:rsidP="004F5792">
            <w:pPr>
              <w:jc w:val="center"/>
              <w:rPr>
                <w:sz w:val="16"/>
                <w:szCs w:val="16"/>
              </w:rPr>
            </w:pPr>
            <w:r w:rsidRPr="004F5792">
              <w:rPr>
                <w:sz w:val="16"/>
                <w:szCs w:val="16"/>
              </w:rPr>
              <w:t>95 (84 to 99)</w:t>
            </w:r>
          </w:p>
        </w:tc>
        <w:tc>
          <w:tcPr>
            <w:tcW w:w="0" w:type="auto"/>
          </w:tcPr>
          <w:p w14:paraId="4EAD1DCF" w14:textId="77777777" w:rsidR="004F5792" w:rsidRPr="004F5792" w:rsidRDefault="004F5792" w:rsidP="004F5792">
            <w:pPr>
              <w:jc w:val="center"/>
              <w:rPr>
                <w:sz w:val="16"/>
                <w:szCs w:val="16"/>
              </w:rPr>
            </w:pPr>
            <w:r w:rsidRPr="004F5792">
              <w:rPr>
                <w:sz w:val="16"/>
                <w:szCs w:val="16"/>
              </w:rPr>
              <w:t>96 (80 to 99.7)</w:t>
            </w:r>
          </w:p>
        </w:tc>
        <w:tc>
          <w:tcPr>
            <w:tcW w:w="1315" w:type="dxa"/>
          </w:tcPr>
          <w:p w14:paraId="625D6471" w14:textId="77777777" w:rsidR="004F5792" w:rsidRPr="004F5792" w:rsidRDefault="004F5792" w:rsidP="004F5792">
            <w:pPr>
              <w:jc w:val="center"/>
              <w:rPr>
                <w:sz w:val="16"/>
                <w:szCs w:val="16"/>
              </w:rPr>
            </w:pPr>
            <w:r w:rsidRPr="004F5792">
              <w:rPr>
                <w:sz w:val="16"/>
                <w:szCs w:val="16"/>
              </w:rPr>
              <w:t>94 (71 to 99.7)</w:t>
            </w:r>
          </w:p>
        </w:tc>
      </w:tr>
      <w:tr w:rsidR="004F5792" w:rsidRPr="004F5792" w14:paraId="2C37BABE" w14:textId="77777777" w:rsidTr="00F17B89">
        <w:trPr>
          <w:jc w:val="center"/>
        </w:trPr>
        <w:tc>
          <w:tcPr>
            <w:tcW w:w="1576" w:type="dxa"/>
          </w:tcPr>
          <w:p w14:paraId="2B3CC3FA" w14:textId="77777777" w:rsidR="004F5792" w:rsidRPr="004F5792" w:rsidRDefault="004F5792" w:rsidP="004F5792">
            <w:pPr>
              <w:jc w:val="center"/>
              <w:rPr>
                <w:rFonts w:eastAsia="MS PGothic" w:cs="MS PGothic"/>
                <w:color w:val="000000" w:themeColor="text1"/>
                <w:kern w:val="24"/>
                <w:sz w:val="16"/>
                <w:szCs w:val="16"/>
                <w:lang w:eastAsia="en-GB"/>
              </w:rPr>
            </w:pPr>
            <w:r w:rsidRPr="004F5792">
              <w:rPr>
                <w:rFonts w:eastAsia="Times New Roman"/>
                <w:sz w:val="16"/>
                <w:szCs w:val="16"/>
                <w:lang w:eastAsia="en-GB"/>
              </w:rPr>
              <w:t>Total 0-59m</w:t>
            </w:r>
          </w:p>
        </w:tc>
        <w:tc>
          <w:tcPr>
            <w:tcW w:w="1861" w:type="dxa"/>
          </w:tcPr>
          <w:p w14:paraId="55370A10" w14:textId="77777777" w:rsidR="004F5792" w:rsidRPr="004F5792" w:rsidRDefault="004F5792" w:rsidP="004F5792">
            <w:pPr>
              <w:jc w:val="center"/>
              <w:rPr>
                <w:sz w:val="16"/>
                <w:szCs w:val="16"/>
              </w:rPr>
            </w:pPr>
            <w:r w:rsidRPr="004F5792">
              <w:rPr>
                <w:sz w:val="16"/>
                <w:szCs w:val="16"/>
              </w:rPr>
              <w:t>87</w:t>
            </w:r>
          </w:p>
        </w:tc>
        <w:tc>
          <w:tcPr>
            <w:tcW w:w="0" w:type="auto"/>
          </w:tcPr>
          <w:p w14:paraId="3B89E327" w14:textId="77777777" w:rsidR="004F5792" w:rsidRPr="004F5792" w:rsidRDefault="004F5792" w:rsidP="004F5792">
            <w:pPr>
              <w:jc w:val="center"/>
              <w:rPr>
                <w:sz w:val="16"/>
                <w:szCs w:val="16"/>
              </w:rPr>
            </w:pPr>
            <w:r w:rsidRPr="004F5792">
              <w:rPr>
                <w:sz w:val="16"/>
                <w:szCs w:val="16"/>
              </w:rPr>
              <w:t>12</w:t>
            </w:r>
          </w:p>
        </w:tc>
        <w:tc>
          <w:tcPr>
            <w:tcW w:w="0" w:type="auto"/>
          </w:tcPr>
          <w:p w14:paraId="33DC12C1" w14:textId="77777777" w:rsidR="004F5792" w:rsidRPr="004F5792" w:rsidRDefault="004F5792" w:rsidP="004F5792">
            <w:pPr>
              <w:jc w:val="center"/>
              <w:rPr>
                <w:sz w:val="16"/>
                <w:szCs w:val="16"/>
              </w:rPr>
            </w:pPr>
            <w:r w:rsidRPr="004F5792">
              <w:rPr>
                <w:sz w:val="16"/>
                <w:szCs w:val="16"/>
              </w:rPr>
              <w:t>81</w:t>
            </w:r>
          </w:p>
        </w:tc>
        <w:tc>
          <w:tcPr>
            <w:tcW w:w="0" w:type="auto"/>
          </w:tcPr>
          <w:p w14:paraId="1CC849D0" w14:textId="77777777" w:rsidR="004F5792" w:rsidRPr="004F5792" w:rsidRDefault="004F5792" w:rsidP="004F5792">
            <w:pPr>
              <w:jc w:val="center"/>
              <w:rPr>
                <w:sz w:val="16"/>
                <w:szCs w:val="16"/>
              </w:rPr>
            </w:pPr>
            <w:r w:rsidRPr="004F5792">
              <w:rPr>
                <w:sz w:val="16"/>
                <w:szCs w:val="16"/>
              </w:rPr>
              <w:t>80 (70 to 87)</w:t>
            </w:r>
          </w:p>
        </w:tc>
        <w:tc>
          <w:tcPr>
            <w:tcW w:w="0" w:type="auto"/>
          </w:tcPr>
          <w:p w14:paraId="4AC45FEB" w14:textId="77777777" w:rsidR="004F5792" w:rsidRPr="004F5792" w:rsidRDefault="004F5792" w:rsidP="004F5792">
            <w:pPr>
              <w:jc w:val="center"/>
              <w:rPr>
                <w:sz w:val="16"/>
                <w:szCs w:val="16"/>
              </w:rPr>
            </w:pPr>
            <w:r w:rsidRPr="004F5792">
              <w:rPr>
                <w:sz w:val="16"/>
                <w:szCs w:val="16"/>
              </w:rPr>
              <w:t>88 (80 to 94)</w:t>
            </w:r>
          </w:p>
        </w:tc>
        <w:tc>
          <w:tcPr>
            <w:tcW w:w="1315" w:type="dxa"/>
          </w:tcPr>
          <w:p w14:paraId="6AA08C6A" w14:textId="77777777" w:rsidR="004F5792" w:rsidRPr="004F5792" w:rsidRDefault="004F5792" w:rsidP="004F5792">
            <w:pPr>
              <w:jc w:val="center"/>
              <w:rPr>
                <w:sz w:val="16"/>
                <w:szCs w:val="16"/>
              </w:rPr>
            </w:pPr>
            <w:r w:rsidRPr="004F5792">
              <w:rPr>
                <w:sz w:val="16"/>
                <w:szCs w:val="16"/>
              </w:rPr>
              <w:t>58 (25 to 77)</w:t>
            </w:r>
          </w:p>
        </w:tc>
      </w:tr>
      <w:tr w:rsidR="004F5792" w:rsidRPr="004F5792" w14:paraId="389BBB91" w14:textId="77777777" w:rsidTr="00F17B89">
        <w:trPr>
          <w:jc w:val="center"/>
        </w:trPr>
        <w:tc>
          <w:tcPr>
            <w:tcW w:w="8864" w:type="dxa"/>
            <w:gridSpan w:val="7"/>
          </w:tcPr>
          <w:p w14:paraId="7103C4A4" w14:textId="77777777" w:rsidR="004F5792" w:rsidRPr="004F5792" w:rsidRDefault="004F5792" w:rsidP="004F5792">
            <w:pPr>
              <w:jc w:val="center"/>
              <w:rPr>
                <w:sz w:val="16"/>
                <w:szCs w:val="16"/>
              </w:rPr>
            </w:pPr>
            <w:r w:rsidRPr="004F5792">
              <w:rPr>
                <w:sz w:val="16"/>
                <w:szCs w:val="16"/>
              </w:rPr>
              <w:t>Hospitalisations for all cause acute gastroenteritis</w:t>
            </w:r>
          </w:p>
        </w:tc>
      </w:tr>
      <w:tr w:rsidR="004F5792" w:rsidRPr="004F5792" w14:paraId="21F5D829" w14:textId="77777777" w:rsidTr="00F17B89">
        <w:trPr>
          <w:jc w:val="center"/>
        </w:trPr>
        <w:tc>
          <w:tcPr>
            <w:tcW w:w="1576" w:type="dxa"/>
          </w:tcPr>
          <w:p w14:paraId="49778A68" w14:textId="77777777" w:rsidR="004F5792" w:rsidRPr="004F5792" w:rsidRDefault="004F5792" w:rsidP="004F5792">
            <w:pPr>
              <w:jc w:val="center"/>
              <w:rPr>
                <w:rFonts w:eastAsia="Times New Roman" w:cs="Arial"/>
                <w:b/>
                <w:sz w:val="16"/>
                <w:szCs w:val="16"/>
                <w:lang w:eastAsia="en-GB"/>
              </w:rPr>
            </w:pPr>
            <w:r w:rsidRPr="004F5792">
              <w:rPr>
                <w:rFonts w:eastAsia="Times New Roman"/>
                <w:sz w:val="16"/>
                <w:szCs w:val="16"/>
                <w:lang w:eastAsia="en-GB"/>
              </w:rPr>
              <w:t>&lt;12m</w:t>
            </w:r>
          </w:p>
        </w:tc>
        <w:tc>
          <w:tcPr>
            <w:tcW w:w="1861" w:type="dxa"/>
          </w:tcPr>
          <w:p w14:paraId="0A05A4BB" w14:textId="77777777" w:rsidR="004F5792" w:rsidRPr="004F5792" w:rsidRDefault="004F5792" w:rsidP="004F5792">
            <w:pPr>
              <w:jc w:val="center"/>
              <w:rPr>
                <w:sz w:val="16"/>
                <w:szCs w:val="16"/>
              </w:rPr>
            </w:pPr>
            <w:r w:rsidRPr="004F5792">
              <w:rPr>
                <w:sz w:val="16"/>
                <w:szCs w:val="16"/>
              </w:rPr>
              <w:t>402</w:t>
            </w:r>
          </w:p>
        </w:tc>
        <w:tc>
          <w:tcPr>
            <w:tcW w:w="0" w:type="auto"/>
          </w:tcPr>
          <w:p w14:paraId="158D5175" w14:textId="77777777" w:rsidR="004F5792" w:rsidRPr="004F5792" w:rsidRDefault="004F5792" w:rsidP="004F5792">
            <w:pPr>
              <w:jc w:val="center"/>
              <w:rPr>
                <w:sz w:val="16"/>
                <w:szCs w:val="16"/>
              </w:rPr>
            </w:pPr>
            <w:r w:rsidRPr="004F5792">
              <w:rPr>
                <w:sz w:val="16"/>
                <w:szCs w:val="16"/>
              </w:rPr>
              <w:t>230</w:t>
            </w:r>
          </w:p>
        </w:tc>
        <w:tc>
          <w:tcPr>
            <w:tcW w:w="0" w:type="auto"/>
          </w:tcPr>
          <w:p w14:paraId="697ABFD5" w14:textId="77777777" w:rsidR="004F5792" w:rsidRPr="004F5792" w:rsidRDefault="004F5792" w:rsidP="004F5792">
            <w:pPr>
              <w:jc w:val="center"/>
              <w:rPr>
                <w:sz w:val="16"/>
                <w:szCs w:val="16"/>
              </w:rPr>
            </w:pPr>
            <w:r w:rsidRPr="004F5792">
              <w:rPr>
                <w:sz w:val="16"/>
                <w:szCs w:val="16"/>
              </w:rPr>
              <w:t>468</w:t>
            </w:r>
          </w:p>
        </w:tc>
        <w:tc>
          <w:tcPr>
            <w:tcW w:w="0" w:type="auto"/>
          </w:tcPr>
          <w:p w14:paraId="251E2F6A" w14:textId="77777777" w:rsidR="004F5792" w:rsidRPr="004F5792" w:rsidRDefault="004F5792" w:rsidP="004F5792">
            <w:pPr>
              <w:jc w:val="center"/>
              <w:rPr>
                <w:sz w:val="16"/>
                <w:szCs w:val="16"/>
              </w:rPr>
            </w:pPr>
            <w:r w:rsidRPr="004F5792">
              <w:rPr>
                <w:sz w:val="16"/>
                <w:szCs w:val="16"/>
              </w:rPr>
              <w:t>46 (36 to 54)</w:t>
            </w:r>
          </w:p>
        </w:tc>
        <w:tc>
          <w:tcPr>
            <w:tcW w:w="0" w:type="auto"/>
          </w:tcPr>
          <w:p w14:paraId="120DB19A" w14:textId="77777777" w:rsidR="004F5792" w:rsidRPr="004F5792" w:rsidRDefault="004F5792" w:rsidP="004F5792">
            <w:pPr>
              <w:jc w:val="center"/>
              <w:rPr>
                <w:sz w:val="16"/>
                <w:szCs w:val="16"/>
              </w:rPr>
            </w:pPr>
            <w:r w:rsidRPr="004F5792">
              <w:rPr>
                <w:sz w:val="16"/>
                <w:szCs w:val="16"/>
              </w:rPr>
              <w:t>60 (49 to 69)</w:t>
            </w:r>
          </w:p>
        </w:tc>
        <w:tc>
          <w:tcPr>
            <w:tcW w:w="1315" w:type="dxa"/>
          </w:tcPr>
          <w:p w14:paraId="32632E59" w14:textId="77777777" w:rsidR="004F5792" w:rsidRPr="004F5792" w:rsidRDefault="004F5792" w:rsidP="004F5792">
            <w:pPr>
              <w:jc w:val="center"/>
              <w:rPr>
                <w:sz w:val="16"/>
                <w:szCs w:val="16"/>
              </w:rPr>
            </w:pPr>
            <w:r w:rsidRPr="004F5792">
              <w:rPr>
                <w:sz w:val="16"/>
                <w:szCs w:val="16"/>
              </w:rPr>
              <w:t>35 (20 to 46)</w:t>
            </w:r>
          </w:p>
        </w:tc>
      </w:tr>
      <w:tr w:rsidR="004F5792" w:rsidRPr="004F5792" w14:paraId="570439E2" w14:textId="77777777" w:rsidTr="00F17B89">
        <w:trPr>
          <w:jc w:val="center"/>
        </w:trPr>
        <w:tc>
          <w:tcPr>
            <w:tcW w:w="1576" w:type="dxa"/>
          </w:tcPr>
          <w:p w14:paraId="6F726FD6" w14:textId="77777777" w:rsidR="004F5792" w:rsidRPr="004F5792" w:rsidRDefault="004F5792" w:rsidP="004F5792">
            <w:pPr>
              <w:jc w:val="center"/>
              <w:rPr>
                <w:rFonts w:eastAsia="Times New Roman" w:cs="Arial"/>
                <w:b/>
                <w:sz w:val="16"/>
                <w:szCs w:val="16"/>
                <w:lang w:eastAsia="en-GB"/>
              </w:rPr>
            </w:pPr>
            <w:r w:rsidRPr="004F5792">
              <w:rPr>
                <w:rFonts w:eastAsia="Times New Roman"/>
                <w:sz w:val="16"/>
                <w:szCs w:val="16"/>
                <w:lang w:eastAsia="en-GB"/>
              </w:rPr>
              <w:t>12-23m</w:t>
            </w:r>
          </w:p>
        </w:tc>
        <w:tc>
          <w:tcPr>
            <w:tcW w:w="1861" w:type="dxa"/>
          </w:tcPr>
          <w:p w14:paraId="143967DF" w14:textId="77777777" w:rsidR="004F5792" w:rsidRPr="004F5792" w:rsidRDefault="004F5792" w:rsidP="004F5792">
            <w:pPr>
              <w:jc w:val="center"/>
              <w:rPr>
                <w:sz w:val="16"/>
                <w:szCs w:val="16"/>
              </w:rPr>
            </w:pPr>
            <w:r w:rsidRPr="004F5792">
              <w:rPr>
                <w:sz w:val="16"/>
                <w:szCs w:val="16"/>
              </w:rPr>
              <w:t>271</w:t>
            </w:r>
          </w:p>
        </w:tc>
        <w:tc>
          <w:tcPr>
            <w:tcW w:w="0" w:type="auto"/>
          </w:tcPr>
          <w:p w14:paraId="795284B0" w14:textId="77777777" w:rsidR="004F5792" w:rsidRPr="004F5792" w:rsidRDefault="004F5792" w:rsidP="004F5792">
            <w:pPr>
              <w:jc w:val="center"/>
              <w:rPr>
                <w:sz w:val="16"/>
                <w:szCs w:val="16"/>
              </w:rPr>
            </w:pPr>
            <w:r w:rsidRPr="004F5792">
              <w:rPr>
                <w:sz w:val="16"/>
                <w:szCs w:val="16"/>
              </w:rPr>
              <w:t>128</w:t>
            </w:r>
          </w:p>
        </w:tc>
        <w:tc>
          <w:tcPr>
            <w:tcW w:w="0" w:type="auto"/>
          </w:tcPr>
          <w:p w14:paraId="6DB95A5B" w14:textId="77777777" w:rsidR="004F5792" w:rsidRPr="004F5792" w:rsidRDefault="004F5792" w:rsidP="004F5792">
            <w:pPr>
              <w:jc w:val="center"/>
              <w:rPr>
                <w:sz w:val="16"/>
                <w:szCs w:val="16"/>
              </w:rPr>
            </w:pPr>
            <w:r w:rsidRPr="004F5792">
              <w:rPr>
                <w:sz w:val="16"/>
                <w:szCs w:val="16"/>
              </w:rPr>
              <w:t>311</w:t>
            </w:r>
          </w:p>
        </w:tc>
        <w:tc>
          <w:tcPr>
            <w:tcW w:w="0" w:type="auto"/>
          </w:tcPr>
          <w:p w14:paraId="7ACC502A" w14:textId="77777777" w:rsidR="004F5792" w:rsidRPr="004F5792" w:rsidRDefault="004F5792" w:rsidP="004F5792">
            <w:pPr>
              <w:jc w:val="center"/>
              <w:rPr>
                <w:sz w:val="16"/>
                <w:szCs w:val="16"/>
              </w:rPr>
            </w:pPr>
            <w:r w:rsidRPr="004F5792">
              <w:rPr>
                <w:sz w:val="16"/>
                <w:szCs w:val="16"/>
              </w:rPr>
              <w:t>50 (40 to 59)</w:t>
            </w:r>
          </w:p>
        </w:tc>
        <w:tc>
          <w:tcPr>
            <w:tcW w:w="0" w:type="auto"/>
          </w:tcPr>
          <w:p w14:paraId="0B2C45E2" w14:textId="77777777" w:rsidR="004F5792" w:rsidRPr="004F5792" w:rsidRDefault="004F5792" w:rsidP="004F5792">
            <w:pPr>
              <w:jc w:val="center"/>
              <w:rPr>
                <w:sz w:val="16"/>
                <w:szCs w:val="16"/>
              </w:rPr>
            </w:pPr>
            <w:r w:rsidRPr="004F5792">
              <w:rPr>
                <w:sz w:val="16"/>
                <w:szCs w:val="16"/>
              </w:rPr>
              <w:t>66 (56 to 74)</w:t>
            </w:r>
          </w:p>
        </w:tc>
        <w:tc>
          <w:tcPr>
            <w:tcW w:w="1315" w:type="dxa"/>
          </w:tcPr>
          <w:p w14:paraId="3C81B4DC" w14:textId="77777777" w:rsidR="004F5792" w:rsidRPr="004F5792" w:rsidRDefault="004F5792" w:rsidP="004F5792">
            <w:pPr>
              <w:jc w:val="center"/>
              <w:rPr>
                <w:sz w:val="16"/>
                <w:szCs w:val="16"/>
              </w:rPr>
            </w:pPr>
            <w:r w:rsidRPr="004F5792">
              <w:rPr>
                <w:sz w:val="16"/>
                <w:szCs w:val="16"/>
              </w:rPr>
              <w:t>37 (19 to 50)</w:t>
            </w:r>
          </w:p>
        </w:tc>
      </w:tr>
      <w:tr w:rsidR="004F5792" w:rsidRPr="004F5792" w14:paraId="45661B59" w14:textId="77777777" w:rsidTr="00F17B89">
        <w:trPr>
          <w:jc w:val="center"/>
        </w:trPr>
        <w:tc>
          <w:tcPr>
            <w:tcW w:w="1576" w:type="dxa"/>
          </w:tcPr>
          <w:p w14:paraId="582D6466" w14:textId="77777777" w:rsidR="004F5792" w:rsidRPr="004F5792" w:rsidRDefault="004F5792" w:rsidP="004F5792">
            <w:pPr>
              <w:jc w:val="center"/>
              <w:rPr>
                <w:rFonts w:eastAsia="Times New Roman" w:cs="Arial"/>
                <w:b/>
                <w:sz w:val="16"/>
                <w:szCs w:val="16"/>
                <w:lang w:eastAsia="en-GB"/>
              </w:rPr>
            </w:pPr>
            <w:r w:rsidRPr="004F5792">
              <w:rPr>
                <w:rFonts w:eastAsia="Times New Roman"/>
                <w:sz w:val="16"/>
                <w:szCs w:val="16"/>
                <w:lang w:eastAsia="en-GB"/>
              </w:rPr>
              <w:t>24-59m</w:t>
            </w:r>
          </w:p>
        </w:tc>
        <w:tc>
          <w:tcPr>
            <w:tcW w:w="1861" w:type="dxa"/>
          </w:tcPr>
          <w:p w14:paraId="607179F7" w14:textId="77777777" w:rsidR="004F5792" w:rsidRPr="004F5792" w:rsidRDefault="004F5792" w:rsidP="004F5792">
            <w:pPr>
              <w:jc w:val="center"/>
              <w:rPr>
                <w:sz w:val="16"/>
                <w:szCs w:val="16"/>
              </w:rPr>
            </w:pPr>
            <w:r w:rsidRPr="004F5792">
              <w:rPr>
                <w:sz w:val="16"/>
                <w:szCs w:val="16"/>
              </w:rPr>
              <w:t>72</w:t>
            </w:r>
          </w:p>
        </w:tc>
        <w:tc>
          <w:tcPr>
            <w:tcW w:w="0" w:type="auto"/>
          </w:tcPr>
          <w:p w14:paraId="7C60DB8F" w14:textId="77777777" w:rsidR="004F5792" w:rsidRPr="004F5792" w:rsidRDefault="004F5792" w:rsidP="004F5792">
            <w:pPr>
              <w:jc w:val="center"/>
              <w:rPr>
                <w:sz w:val="16"/>
                <w:szCs w:val="16"/>
              </w:rPr>
            </w:pPr>
            <w:r w:rsidRPr="004F5792">
              <w:rPr>
                <w:sz w:val="16"/>
                <w:szCs w:val="16"/>
              </w:rPr>
              <w:t>54</w:t>
            </w:r>
          </w:p>
        </w:tc>
        <w:tc>
          <w:tcPr>
            <w:tcW w:w="0" w:type="auto"/>
          </w:tcPr>
          <w:p w14:paraId="2AD3ED32" w14:textId="77777777" w:rsidR="004F5792" w:rsidRPr="004F5792" w:rsidRDefault="004F5792" w:rsidP="004F5792">
            <w:pPr>
              <w:jc w:val="center"/>
              <w:rPr>
                <w:sz w:val="16"/>
                <w:szCs w:val="16"/>
              </w:rPr>
            </w:pPr>
            <w:r w:rsidRPr="004F5792">
              <w:rPr>
                <w:sz w:val="16"/>
                <w:szCs w:val="16"/>
              </w:rPr>
              <w:t>78</w:t>
            </w:r>
          </w:p>
        </w:tc>
        <w:tc>
          <w:tcPr>
            <w:tcW w:w="0" w:type="auto"/>
          </w:tcPr>
          <w:p w14:paraId="1F3F4E8A" w14:textId="77777777" w:rsidR="004F5792" w:rsidRPr="004F5792" w:rsidRDefault="004F5792" w:rsidP="004F5792">
            <w:pPr>
              <w:jc w:val="center"/>
              <w:rPr>
                <w:sz w:val="16"/>
                <w:szCs w:val="16"/>
              </w:rPr>
            </w:pPr>
            <w:r w:rsidRPr="004F5792">
              <w:rPr>
                <w:sz w:val="16"/>
                <w:szCs w:val="16"/>
              </w:rPr>
              <w:t>26 (11 to 39)</w:t>
            </w:r>
          </w:p>
        </w:tc>
        <w:tc>
          <w:tcPr>
            <w:tcW w:w="0" w:type="auto"/>
          </w:tcPr>
          <w:p w14:paraId="5AB4C086" w14:textId="77777777" w:rsidR="004F5792" w:rsidRPr="004F5792" w:rsidRDefault="004F5792" w:rsidP="004F5792">
            <w:pPr>
              <w:jc w:val="center"/>
              <w:rPr>
                <w:sz w:val="16"/>
                <w:szCs w:val="16"/>
              </w:rPr>
            </w:pPr>
            <w:r w:rsidRPr="004F5792">
              <w:rPr>
                <w:sz w:val="16"/>
                <w:szCs w:val="16"/>
              </w:rPr>
              <w:t>33 (10 to 50)</w:t>
            </w:r>
          </w:p>
        </w:tc>
        <w:tc>
          <w:tcPr>
            <w:tcW w:w="1315" w:type="dxa"/>
          </w:tcPr>
          <w:p w14:paraId="634ABDF4" w14:textId="77777777" w:rsidR="004F5792" w:rsidRPr="004F5792" w:rsidRDefault="004F5792" w:rsidP="004F5792">
            <w:pPr>
              <w:jc w:val="center"/>
              <w:rPr>
                <w:sz w:val="16"/>
                <w:szCs w:val="16"/>
              </w:rPr>
            </w:pPr>
            <w:r w:rsidRPr="004F5792">
              <w:rPr>
                <w:sz w:val="16"/>
                <w:szCs w:val="16"/>
              </w:rPr>
              <w:t>22 (1 to 38)</w:t>
            </w:r>
          </w:p>
        </w:tc>
      </w:tr>
      <w:tr w:rsidR="004F5792" w:rsidRPr="004F5792" w14:paraId="6D56935D" w14:textId="77777777" w:rsidTr="00F17B89">
        <w:trPr>
          <w:jc w:val="center"/>
        </w:trPr>
        <w:tc>
          <w:tcPr>
            <w:tcW w:w="1576" w:type="dxa"/>
          </w:tcPr>
          <w:p w14:paraId="7933F9C6" w14:textId="77777777" w:rsidR="004F5792" w:rsidRPr="004F5792" w:rsidRDefault="004F5792" w:rsidP="004F5792">
            <w:pPr>
              <w:jc w:val="center"/>
              <w:rPr>
                <w:b/>
                <w:sz w:val="16"/>
                <w:szCs w:val="16"/>
              </w:rPr>
            </w:pPr>
            <w:r w:rsidRPr="004F5792">
              <w:rPr>
                <w:sz w:val="16"/>
                <w:szCs w:val="16"/>
              </w:rPr>
              <w:t>5-14y</w:t>
            </w:r>
          </w:p>
        </w:tc>
        <w:tc>
          <w:tcPr>
            <w:tcW w:w="1861" w:type="dxa"/>
          </w:tcPr>
          <w:p w14:paraId="5A0215F7" w14:textId="77777777" w:rsidR="004F5792" w:rsidRPr="004F5792" w:rsidRDefault="004F5792" w:rsidP="004F5792">
            <w:pPr>
              <w:jc w:val="center"/>
              <w:rPr>
                <w:sz w:val="16"/>
                <w:szCs w:val="16"/>
              </w:rPr>
            </w:pPr>
            <w:r w:rsidRPr="004F5792">
              <w:rPr>
                <w:sz w:val="16"/>
                <w:szCs w:val="16"/>
              </w:rPr>
              <w:t>18</w:t>
            </w:r>
          </w:p>
        </w:tc>
        <w:tc>
          <w:tcPr>
            <w:tcW w:w="0" w:type="auto"/>
          </w:tcPr>
          <w:p w14:paraId="1D119A72" w14:textId="77777777" w:rsidR="004F5792" w:rsidRPr="004F5792" w:rsidRDefault="004F5792" w:rsidP="004F5792">
            <w:pPr>
              <w:jc w:val="center"/>
              <w:rPr>
                <w:sz w:val="16"/>
                <w:szCs w:val="16"/>
              </w:rPr>
            </w:pPr>
            <w:r w:rsidRPr="004F5792">
              <w:rPr>
                <w:sz w:val="16"/>
                <w:szCs w:val="16"/>
              </w:rPr>
              <w:t>20</w:t>
            </w:r>
          </w:p>
        </w:tc>
        <w:tc>
          <w:tcPr>
            <w:tcW w:w="0" w:type="auto"/>
          </w:tcPr>
          <w:p w14:paraId="475EC89A" w14:textId="77777777" w:rsidR="004F5792" w:rsidRPr="004F5792" w:rsidRDefault="004F5792" w:rsidP="004F5792">
            <w:pPr>
              <w:jc w:val="center"/>
              <w:rPr>
                <w:sz w:val="16"/>
                <w:szCs w:val="16"/>
              </w:rPr>
            </w:pPr>
            <w:r w:rsidRPr="004F5792">
              <w:rPr>
                <w:sz w:val="16"/>
                <w:szCs w:val="16"/>
              </w:rPr>
              <w:t>28</w:t>
            </w:r>
          </w:p>
        </w:tc>
        <w:tc>
          <w:tcPr>
            <w:tcW w:w="0" w:type="auto"/>
          </w:tcPr>
          <w:p w14:paraId="1A4296D6" w14:textId="77777777" w:rsidR="004F5792" w:rsidRPr="004F5792" w:rsidRDefault="004F5792" w:rsidP="004F5792">
            <w:pPr>
              <w:jc w:val="center"/>
              <w:rPr>
                <w:sz w:val="16"/>
                <w:szCs w:val="16"/>
              </w:rPr>
            </w:pPr>
            <w:r w:rsidRPr="004F5792">
              <w:rPr>
                <w:sz w:val="16"/>
                <w:szCs w:val="16"/>
              </w:rPr>
              <w:t>32 (21 to 41)</w:t>
            </w:r>
          </w:p>
        </w:tc>
        <w:tc>
          <w:tcPr>
            <w:tcW w:w="0" w:type="auto"/>
          </w:tcPr>
          <w:p w14:paraId="07A14FE2" w14:textId="77777777" w:rsidR="004F5792" w:rsidRPr="004F5792" w:rsidRDefault="004F5792" w:rsidP="004F5792">
            <w:pPr>
              <w:jc w:val="center"/>
              <w:rPr>
                <w:sz w:val="16"/>
                <w:szCs w:val="16"/>
              </w:rPr>
            </w:pPr>
            <w:r w:rsidRPr="004F5792">
              <w:rPr>
                <w:sz w:val="16"/>
                <w:szCs w:val="16"/>
              </w:rPr>
              <w:t>35 (19 to 48)</w:t>
            </w:r>
          </w:p>
        </w:tc>
        <w:tc>
          <w:tcPr>
            <w:tcW w:w="1315" w:type="dxa"/>
          </w:tcPr>
          <w:p w14:paraId="52825729" w14:textId="77777777" w:rsidR="004F5792" w:rsidRPr="004F5792" w:rsidRDefault="004F5792" w:rsidP="004F5792">
            <w:pPr>
              <w:jc w:val="center"/>
              <w:rPr>
                <w:sz w:val="16"/>
                <w:szCs w:val="16"/>
              </w:rPr>
            </w:pPr>
            <w:r w:rsidRPr="004F5792">
              <w:rPr>
                <w:sz w:val="16"/>
                <w:szCs w:val="16"/>
              </w:rPr>
              <w:t>29 (13 to 42)</w:t>
            </w:r>
          </w:p>
        </w:tc>
      </w:tr>
      <w:tr w:rsidR="004F5792" w:rsidRPr="004F5792" w14:paraId="5DD086FF" w14:textId="77777777" w:rsidTr="00F17B89">
        <w:trPr>
          <w:jc w:val="center"/>
        </w:trPr>
        <w:tc>
          <w:tcPr>
            <w:tcW w:w="1576" w:type="dxa"/>
          </w:tcPr>
          <w:p w14:paraId="2D603DF6" w14:textId="77777777" w:rsidR="004F5792" w:rsidRPr="004F5792" w:rsidRDefault="004F5792" w:rsidP="004F5792">
            <w:pPr>
              <w:jc w:val="center"/>
              <w:rPr>
                <w:b/>
                <w:sz w:val="16"/>
                <w:szCs w:val="16"/>
              </w:rPr>
            </w:pPr>
            <w:r w:rsidRPr="004F5792">
              <w:rPr>
                <w:sz w:val="16"/>
                <w:szCs w:val="16"/>
              </w:rPr>
              <w:t>15-64y</w:t>
            </w:r>
          </w:p>
        </w:tc>
        <w:tc>
          <w:tcPr>
            <w:tcW w:w="1861" w:type="dxa"/>
          </w:tcPr>
          <w:p w14:paraId="6035E4DA" w14:textId="77777777" w:rsidR="004F5792" w:rsidRPr="004F5792" w:rsidRDefault="004F5792" w:rsidP="004F5792">
            <w:pPr>
              <w:jc w:val="center"/>
              <w:rPr>
                <w:sz w:val="16"/>
                <w:szCs w:val="16"/>
              </w:rPr>
            </w:pPr>
            <w:r w:rsidRPr="004F5792">
              <w:rPr>
                <w:sz w:val="16"/>
                <w:szCs w:val="16"/>
              </w:rPr>
              <w:t>39</w:t>
            </w:r>
          </w:p>
        </w:tc>
        <w:tc>
          <w:tcPr>
            <w:tcW w:w="0" w:type="auto"/>
          </w:tcPr>
          <w:p w14:paraId="0E995AE9" w14:textId="77777777" w:rsidR="004F5792" w:rsidRPr="004F5792" w:rsidRDefault="004F5792" w:rsidP="004F5792">
            <w:pPr>
              <w:jc w:val="center"/>
              <w:rPr>
                <w:sz w:val="16"/>
                <w:szCs w:val="16"/>
              </w:rPr>
            </w:pPr>
            <w:r w:rsidRPr="004F5792">
              <w:rPr>
                <w:sz w:val="16"/>
                <w:szCs w:val="16"/>
              </w:rPr>
              <w:t>60</w:t>
            </w:r>
          </w:p>
        </w:tc>
        <w:tc>
          <w:tcPr>
            <w:tcW w:w="0" w:type="auto"/>
          </w:tcPr>
          <w:p w14:paraId="2C415CB6" w14:textId="77777777" w:rsidR="004F5792" w:rsidRPr="004F5792" w:rsidRDefault="004F5792" w:rsidP="004F5792">
            <w:pPr>
              <w:jc w:val="center"/>
              <w:rPr>
                <w:sz w:val="16"/>
                <w:szCs w:val="16"/>
              </w:rPr>
            </w:pPr>
            <w:r w:rsidRPr="004F5792">
              <w:rPr>
                <w:sz w:val="16"/>
                <w:szCs w:val="16"/>
              </w:rPr>
              <w:t>66</w:t>
            </w:r>
          </w:p>
        </w:tc>
        <w:tc>
          <w:tcPr>
            <w:tcW w:w="0" w:type="auto"/>
          </w:tcPr>
          <w:p w14:paraId="628E7134" w14:textId="77777777" w:rsidR="004F5792" w:rsidRPr="004F5792" w:rsidRDefault="004F5792" w:rsidP="004F5792">
            <w:pPr>
              <w:jc w:val="center"/>
              <w:rPr>
                <w:sz w:val="16"/>
                <w:szCs w:val="16"/>
              </w:rPr>
            </w:pPr>
            <w:r w:rsidRPr="004F5792">
              <w:rPr>
                <w:sz w:val="16"/>
                <w:szCs w:val="16"/>
              </w:rPr>
              <w:t>8 (2 to 14)</w:t>
            </w:r>
          </w:p>
        </w:tc>
        <w:tc>
          <w:tcPr>
            <w:tcW w:w="0" w:type="auto"/>
          </w:tcPr>
          <w:p w14:paraId="0D99D5D9" w14:textId="77777777" w:rsidR="004F5792" w:rsidRPr="004F5792" w:rsidRDefault="004F5792" w:rsidP="004F5792">
            <w:pPr>
              <w:jc w:val="center"/>
              <w:rPr>
                <w:sz w:val="16"/>
                <w:szCs w:val="16"/>
              </w:rPr>
            </w:pPr>
            <w:r w:rsidRPr="004F5792">
              <w:rPr>
                <w:sz w:val="16"/>
                <w:szCs w:val="16"/>
              </w:rPr>
              <w:t>11 (1 to 19)</w:t>
            </w:r>
          </w:p>
        </w:tc>
        <w:tc>
          <w:tcPr>
            <w:tcW w:w="1315" w:type="dxa"/>
          </w:tcPr>
          <w:p w14:paraId="61ADA645" w14:textId="77777777" w:rsidR="004F5792" w:rsidRPr="004F5792" w:rsidRDefault="004F5792" w:rsidP="004F5792">
            <w:pPr>
              <w:jc w:val="center"/>
              <w:rPr>
                <w:sz w:val="16"/>
                <w:szCs w:val="16"/>
              </w:rPr>
            </w:pPr>
            <w:r w:rsidRPr="004F5792">
              <w:rPr>
                <w:sz w:val="16"/>
                <w:szCs w:val="16"/>
              </w:rPr>
              <w:t>6 (1 to 13)</w:t>
            </w:r>
          </w:p>
        </w:tc>
      </w:tr>
      <w:tr w:rsidR="004F5792" w:rsidRPr="004F5792" w14:paraId="48AA00BD" w14:textId="77777777" w:rsidTr="00F17B89">
        <w:trPr>
          <w:jc w:val="center"/>
        </w:trPr>
        <w:tc>
          <w:tcPr>
            <w:tcW w:w="1576" w:type="dxa"/>
          </w:tcPr>
          <w:p w14:paraId="23D7CDFD" w14:textId="77777777" w:rsidR="004F5792" w:rsidRPr="004F5792" w:rsidRDefault="004F5792" w:rsidP="004F5792">
            <w:pPr>
              <w:jc w:val="center"/>
              <w:rPr>
                <w:b/>
                <w:sz w:val="16"/>
                <w:szCs w:val="16"/>
              </w:rPr>
            </w:pPr>
            <w:r w:rsidRPr="004F5792">
              <w:rPr>
                <w:sz w:val="16"/>
                <w:szCs w:val="16"/>
              </w:rPr>
              <w:t>65+</w:t>
            </w:r>
          </w:p>
        </w:tc>
        <w:tc>
          <w:tcPr>
            <w:tcW w:w="1861" w:type="dxa"/>
          </w:tcPr>
          <w:p w14:paraId="29062539" w14:textId="77777777" w:rsidR="004F5792" w:rsidRPr="004F5792" w:rsidRDefault="004F5792" w:rsidP="004F5792">
            <w:pPr>
              <w:jc w:val="center"/>
              <w:rPr>
                <w:sz w:val="16"/>
                <w:szCs w:val="16"/>
              </w:rPr>
            </w:pPr>
            <w:r w:rsidRPr="004F5792">
              <w:rPr>
                <w:sz w:val="16"/>
                <w:szCs w:val="16"/>
              </w:rPr>
              <w:t>135</w:t>
            </w:r>
          </w:p>
        </w:tc>
        <w:tc>
          <w:tcPr>
            <w:tcW w:w="0" w:type="auto"/>
          </w:tcPr>
          <w:p w14:paraId="6BCECC07" w14:textId="77777777" w:rsidR="004F5792" w:rsidRPr="004F5792" w:rsidRDefault="004F5792" w:rsidP="004F5792">
            <w:pPr>
              <w:jc w:val="center"/>
              <w:rPr>
                <w:sz w:val="16"/>
                <w:szCs w:val="16"/>
              </w:rPr>
            </w:pPr>
            <w:r w:rsidRPr="004F5792">
              <w:rPr>
                <w:sz w:val="16"/>
                <w:szCs w:val="16"/>
              </w:rPr>
              <w:t>157</w:t>
            </w:r>
          </w:p>
        </w:tc>
        <w:tc>
          <w:tcPr>
            <w:tcW w:w="0" w:type="auto"/>
          </w:tcPr>
          <w:p w14:paraId="77761DF4" w14:textId="77777777" w:rsidR="004F5792" w:rsidRPr="004F5792" w:rsidRDefault="004F5792" w:rsidP="004F5792">
            <w:pPr>
              <w:jc w:val="center"/>
              <w:rPr>
                <w:sz w:val="16"/>
                <w:szCs w:val="16"/>
              </w:rPr>
            </w:pPr>
            <w:r w:rsidRPr="004F5792">
              <w:rPr>
                <w:sz w:val="16"/>
                <w:szCs w:val="16"/>
              </w:rPr>
              <w:t>210</w:t>
            </w:r>
          </w:p>
        </w:tc>
        <w:tc>
          <w:tcPr>
            <w:tcW w:w="0" w:type="auto"/>
          </w:tcPr>
          <w:p w14:paraId="09680BC3" w14:textId="77777777" w:rsidR="004F5792" w:rsidRPr="004F5792" w:rsidRDefault="004F5792" w:rsidP="004F5792">
            <w:pPr>
              <w:jc w:val="center"/>
              <w:rPr>
                <w:sz w:val="16"/>
                <w:szCs w:val="16"/>
              </w:rPr>
            </w:pPr>
            <w:r w:rsidRPr="004F5792">
              <w:rPr>
                <w:sz w:val="16"/>
                <w:szCs w:val="16"/>
              </w:rPr>
              <w:t>25 (19 to 30)</w:t>
            </w:r>
          </w:p>
        </w:tc>
        <w:tc>
          <w:tcPr>
            <w:tcW w:w="0" w:type="auto"/>
          </w:tcPr>
          <w:p w14:paraId="7797DD87" w14:textId="77777777" w:rsidR="004F5792" w:rsidRPr="004F5792" w:rsidRDefault="004F5792" w:rsidP="004F5792">
            <w:pPr>
              <w:jc w:val="center"/>
              <w:rPr>
                <w:sz w:val="16"/>
                <w:szCs w:val="16"/>
              </w:rPr>
            </w:pPr>
            <w:r w:rsidRPr="004F5792">
              <w:rPr>
                <w:sz w:val="16"/>
                <w:szCs w:val="16"/>
              </w:rPr>
              <w:t>28 (19 to 36)</w:t>
            </w:r>
          </w:p>
        </w:tc>
        <w:tc>
          <w:tcPr>
            <w:tcW w:w="1315" w:type="dxa"/>
          </w:tcPr>
          <w:p w14:paraId="181A6BE5" w14:textId="77777777" w:rsidR="004F5792" w:rsidRPr="004F5792" w:rsidRDefault="004F5792" w:rsidP="004F5792">
            <w:pPr>
              <w:jc w:val="center"/>
              <w:rPr>
                <w:sz w:val="16"/>
                <w:szCs w:val="16"/>
              </w:rPr>
            </w:pPr>
            <w:r w:rsidRPr="004F5792">
              <w:rPr>
                <w:sz w:val="16"/>
                <w:szCs w:val="16"/>
              </w:rPr>
              <w:t>22 (15 to 29)</w:t>
            </w:r>
          </w:p>
        </w:tc>
      </w:tr>
      <w:tr w:rsidR="004F5792" w:rsidRPr="004F5792" w14:paraId="413A8486" w14:textId="77777777" w:rsidTr="00F17B89">
        <w:trPr>
          <w:jc w:val="center"/>
        </w:trPr>
        <w:tc>
          <w:tcPr>
            <w:tcW w:w="1576" w:type="dxa"/>
          </w:tcPr>
          <w:p w14:paraId="3CEB369D" w14:textId="77777777" w:rsidR="004F5792" w:rsidRPr="004F5792" w:rsidRDefault="004F5792" w:rsidP="004F5792">
            <w:pPr>
              <w:jc w:val="center"/>
              <w:rPr>
                <w:sz w:val="16"/>
                <w:szCs w:val="16"/>
              </w:rPr>
            </w:pPr>
            <w:r w:rsidRPr="004F5792">
              <w:rPr>
                <w:sz w:val="16"/>
                <w:szCs w:val="16"/>
              </w:rPr>
              <w:t>Total 0-59m</w:t>
            </w:r>
          </w:p>
        </w:tc>
        <w:tc>
          <w:tcPr>
            <w:tcW w:w="1861" w:type="dxa"/>
          </w:tcPr>
          <w:p w14:paraId="269B0AB7" w14:textId="77777777" w:rsidR="004F5792" w:rsidRPr="004F5792" w:rsidRDefault="004F5792" w:rsidP="004F5792">
            <w:pPr>
              <w:jc w:val="center"/>
              <w:rPr>
                <w:sz w:val="16"/>
                <w:szCs w:val="16"/>
              </w:rPr>
            </w:pPr>
            <w:r w:rsidRPr="004F5792">
              <w:rPr>
                <w:sz w:val="16"/>
                <w:szCs w:val="16"/>
              </w:rPr>
              <w:t>178</w:t>
            </w:r>
          </w:p>
        </w:tc>
        <w:tc>
          <w:tcPr>
            <w:tcW w:w="0" w:type="auto"/>
          </w:tcPr>
          <w:p w14:paraId="24F6D49E" w14:textId="77777777" w:rsidR="004F5792" w:rsidRPr="004F5792" w:rsidRDefault="004F5792" w:rsidP="004F5792">
            <w:pPr>
              <w:jc w:val="center"/>
              <w:rPr>
                <w:sz w:val="16"/>
                <w:szCs w:val="16"/>
              </w:rPr>
            </w:pPr>
            <w:r w:rsidRPr="004F5792">
              <w:rPr>
                <w:sz w:val="16"/>
                <w:szCs w:val="16"/>
              </w:rPr>
              <w:t>104</w:t>
            </w:r>
          </w:p>
        </w:tc>
        <w:tc>
          <w:tcPr>
            <w:tcW w:w="0" w:type="auto"/>
          </w:tcPr>
          <w:p w14:paraId="2C47657A" w14:textId="77777777" w:rsidR="004F5792" w:rsidRPr="004F5792" w:rsidRDefault="004F5792" w:rsidP="004F5792">
            <w:pPr>
              <w:jc w:val="center"/>
              <w:rPr>
                <w:sz w:val="16"/>
                <w:szCs w:val="16"/>
              </w:rPr>
            </w:pPr>
            <w:r w:rsidRPr="004F5792">
              <w:rPr>
                <w:sz w:val="16"/>
                <w:szCs w:val="16"/>
              </w:rPr>
              <w:t>213</w:t>
            </w:r>
          </w:p>
        </w:tc>
        <w:tc>
          <w:tcPr>
            <w:tcW w:w="0" w:type="auto"/>
          </w:tcPr>
          <w:p w14:paraId="4A0CB603" w14:textId="77777777" w:rsidR="004F5792" w:rsidRPr="004F5792" w:rsidRDefault="004F5792" w:rsidP="004F5792">
            <w:pPr>
              <w:jc w:val="center"/>
              <w:rPr>
                <w:sz w:val="16"/>
                <w:szCs w:val="16"/>
              </w:rPr>
            </w:pPr>
            <w:r w:rsidRPr="004F5792">
              <w:rPr>
                <w:sz w:val="16"/>
                <w:szCs w:val="16"/>
              </w:rPr>
              <w:t>44 (35 to 53)</w:t>
            </w:r>
          </w:p>
        </w:tc>
        <w:tc>
          <w:tcPr>
            <w:tcW w:w="0" w:type="auto"/>
          </w:tcPr>
          <w:p w14:paraId="64AF6FDF" w14:textId="77777777" w:rsidR="004F5792" w:rsidRPr="004F5792" w:rsidRDefault="004F5792" w:rsidP="004F5792">
            <w:pPr>
              <w:jc w:val="center"/>
              <w:rPr>
                <w:sz w:val="16"/>
                <w:szCs w:val="16"/>
              </w:rPr>
            </w:pPr>
            <w:r w:rsidRPr="004F5792">
              <w:rPr>
                <w:sz w:val="16"/>
                <w:szCs w:val="16"/>
              </w:rPr>
              <w:t>58 (46 to 67)</w:t>
            </w:r>
          </w:p>
        </w:tc>
        <w:tc>
          <w:tcPr>
            <w:tcW w:w="1315" w:type="dxa"/>
          </w:tcPr>
          <w:p w14:paraId="3963B599" w14:textId="77777777" w:rsidR="004F5792" w:rsidRPr="004F5792" w:rsidRDefault="004F5792" w:rsidP="004F5792">
            <w:pPr>
              <w:jc w:val="center"/>
              <w:rPr>
                <w:sz w:val="16"/>
                <w:szCs w:val="16"/>
              </w:rPr>
            </w:pPr>
            <w:r w:rsidRPr="004F5792">
              <w:rPr>
                <w:sz w:val="16"/>
                <w:szCs w:val="16"/>
              </w:rPr>
              <w:t>35 (22 to 46)</w:t>
            </w:r>
          </w:p>
        </w:tc>
      </w:tr>
      <w:tr w:rsidR="004F5792" w:rsidRPr="004F5792" w14:paraId="41C7E35B" w14:textId="77777777" w:rsidTr="00F17B89">
        <w:trPr>
          <w:jc w:val="center"/>
        </w:trPr>
        <w:tc>
          <w:tcPr>
            <w:tcW w:w="8864" w:type="dxa"/>
            <w:gridSpan w:val="7"/>
          </w:tcPr>
          <w:p w14:paraId="7CFAEFA1" w14:textId="77777777" w:rsidR="004F5792" w:rsidRPr="004F5792" w:rsidRDefault="004F5792" w:rsidP="004F5792">
            <w:pPr>
              <w:jc w:val="center"/>
              <w:rPr>
                <w:sz w:val="16"/>
                <w:szCs w:val="16"/>
              </w:rPr>
            </w:pPr>
            <w:r w:rsidRPr="004F5792">
              <w:rPr>
                <w:sz w:val="16"/>
                <w:szCs w:val="16"/>
              </w:rPr>
              <w:t>ED attendances for gastrointestinal conditions (no admission)</w:t>
            </w:r>
          </w:p>
        </w:tc>
      </w:tr>
      <w:tr w:rsidR="004F5792" w:rsidRPr="004F5792" w14:paraId="3C86331B" w14:textId="77777777" w:rsidTr="00F17B89">
        <w:trPr>
          <w:jc w:val="center"/>
        </w:trPr>
        <w:tc>
          <w:tcPr>
            <w:tcW w:w="1576" w:type="dxa"/>
          </w:tcPr>
          <w:p w14:paraId="2C69FB3E" w14:textId="77777777" w:rsidR="004F5792" w:rsidRPr="004F5792" w:rsidRDefault="004F5792" w:rsidP="004F5792">
            <w:pPr>
              <w:jc w:val="center"/>
              <w:rPr>
                <w:rFonts w:eastAsia="Times New Roman" w:cs="Arial"/>
                <w:b/>
                <w:sz w:val="16"/>
                <w:szCs w:val="16"/>
                <w:lang w:eastAsia="en-GB"/>
              </w:rPr>
            </w:pPr>
            <w:r w:rsidRPr="004F5792">
              <w:rPr>
                <w:rFonts w:eastAsia="Times New Roman"/>
                <w:sz w:val="16"/>
                <w:szCs w:val="16"/>
                <w:lang w:eastAsia="en-GB"/>
              </w:rPr>
              <w:t>&lt;12m</w:t>
            </w:r>
          </w:p>
        </w:tc>
        <w:tc>
          <w:tcPr>
            <w:tcW w:w="1861" w:type="dxa"/>
          </w:tcPr>
          <w:p w14:paraId="78D8438D" w14:textId="77777777" w:rsidR="004F5792" w:rsidRPr="004F5792" w:rsidRDefault="004F5792" w:rsidP="004F5792">
            <w:pPr>
              <w:jc w:val="center"/>
              <w:rPr>
                <w:sz w:val="16"/>
                <w:szCs w:val="16"/>
              </w:rPr>
            </w:pPr>
            <w:r w:rsidRPr="004F5792">
              <w:rPr>
                <w:sz w:val="16"/>
                <w:szCs w:val="16"/>
              </w:rPr>
              <w:t>2034</w:t>
            </w:r>
          </w:p>
        </w:tc>
        <w:tc>
          <w:tcPr>
            <w:tcW w:w="0" w:type="auto"/>
          </w:tcPr>
          <w:p w14:paraId="1BA463BF" w14:textId="77777777" w:rsidR="004F5792" w:rsidRPr="004F5792" w:rsidRDefault="004F5792" w:rsidP="004F5792">
            <w:pPr>
              <w:jc w:val="center"/>
              <w:rPr>
                <w:sz w:val="16"/>
                <w:szCs w:val="16"/>
              </w:rPr>
            </w:pPr>
            <w:r w:rsidRPr="004F5792">
              <w:rPr>
                <w:sz w:val="16"/>
                <w:szCs w:val="16"/>
              </w:rPr>
              <w:t>1855</w:t>
            </w:r>
          </w:p>
        </w:tc>
        <w:tc>
          <w:tcPr>
            <w:tcW w:w="0" w:type="auto"/>
          </w:tcPr>
          <w:p w14:paraId="0C93630B" w14:textId="77777777" w:rsidR="004F5792" w:rsidRPr="004F5792" w:rsidRDefault="004F5792" w:rsidP="004F5792">
            <w:pPr>
              <w:jc w:val="center"/>
              <w:rPr>
                <w:sz w:val="16"/>
                <w:szCs w:val="16"/>
              </w:rPr>
            </w:pPr>
            <w:r w:rsidRPr="004F5792">
              <w:rPr>
                <w:sz w:val="16"/>
                <w:szCs w:val="16"/>
              </w:rPr>
              <w:t>2816</w:t>
            </w:r>
          </w:p>
        </w:tc>
        <w:tc>
          <w:tcPr>
            <w:tcW w:w="0" w:type="auto"/>
          </w:tcPr>
          <w:p w14:paraId="0D4B4982" w14:textId="77777777" w:rsidR="004F5792" w:rsidRPr="004F5792" w:rsidRDefault="004F5792" w:rsidP="004F5792">
            <w:pPr>
              <w:jc w:val="center"/>
              <w:rPr>
                <w:sz w:val="16"/>
                <w:szCs w:val="16"/>
              </w:rPr>
            </w:pPr>
            <w:r w:rsidRPr="004F5792">
              <w:rPr>
                <w:sz w:val="16"/>
                <w:szCs w:val="16"/>
              </w:rPr>
              <w:t>22 (11 to 33)</w:t>
            </w:r>
          </w:p>
        </w:tc>
        <w:tc>
          <w:tcPr>
            <w:tcW w:w="0" w:type="auto"/>
          </w:tcPr>
          <w:p w14:paraId="1C4FAFA9" w14:textId="77777777" w:rsidR="004F5792" w:rsidRPr="004F5792" w:rsidRDefault="004F5792" w:rsidP="004F5792">
            <w:pPr>
              <w:jc w:val="center"/>
              <w:rPr>
                <w:sz w:val="16"/>
                <w:szCs w:val="16"/>
              </w:rPr>
            </w:pPr>
            <w:r w:rsidRPr="004F5792">
              <w:rPr>
                <w:sz w:val="16"/>
                <w:szCs w:val="16"/>
              </w:rPr>
              <w:t>30 (15 to 42)</w:t>
            </w:r>
          </w:p>
        </w:tc>
        <w:tc>
          <w:tcPr>
            <w:tcW w:w="1315" w:type="dxa"/>
          </w:tcPr>
          <w:p w14:paraId="3812990C" w14:textId="77777777" w:rsidR="004F5792" w:rsidRPr="004F5792" w:rsidRDefault="004F5792" w:rsidP="004F5792">
            <w:pPr>
              <w:jc w:val="center"/>
              <w:rPr>
                <w:sz w:val="16"/>
                <w:szCs w:val="16"/>
              </w:rPr>
            </w:pPr>
            <w:r w:rsidRPr="004F5792">
              <w:rPr>
                <w:sz w:val="16"/>
                <w:szCs w:val="16"/>
              </w:rPr>
              <w:t>16 (2 to 29)</w:t>
            </w:r>
          </w:p>
        </w:tc>
      </w:tr>
      <w:tr w:rsidR="004F5792" w:rsidRPr="004F5792" w14:paraId="3AF31555" w14:textId="77777777" w:rsidTr="00F17B89">
        <w:trPr>
          <w:jc w:val="center"/>
        </w:trPr>
        <w:tc>
          <w:tcPr>
            <w:tcW w:w="1576" w:type="dxa"/>
          </w:tcPr>
          <w:p w14:paraId="0363732C" w14:textId="77777777" w:rsidR="004F5792" w:rsidRPr="004F5792" w:rsidRDefault="004F5792" w:rsidP="004F5792">
            <w:pPr>
              <w:jc w:val="center"/>
              <w:rPr>
                <w:rFonts w:eastAsia="Times New Roman" w:cs="Arial"/>
                <w:b/>
                <w:sz w:val="16"/>
                <w:szCs w:val="16"/>
                <w:lang w:eastAsia="en-GB"/>
              </w:rPr>
            </w:pPr>
            <w:r w:rsidRPr="004F5792">
              <w:rPr>
                <w:rFonts w:eastAsia="Times New Roman"/>
                <w:sz w:val="16"/>
                <w:szCs w:val="16"/>
                <w:lang w:eastAsia="en-GB"/>
              </w:rPr>
              <w:t>12-23m</w:t>
            </w:r>
          </w:p>
        </w:tc>
        <w:tc>
          <w:tcPr>
            <w:tcW w:w="1861" w:type="dxa"/>
          </w:tcPr>
          <w:p w14:paraId="194602BA" w14:textId="77777777" w:rsidR="004F5792" w:rsidRPr="004F5792" w:rsidRDefault="004F5792" w:rsidP="004F5792">
            <w:pPr>
              <w:jc w:val="center"/>
              <w:rPr>
                <w:sz w:val="16"/>
                <w:szCs w:val="16"/>
              </w:rPr>
            </w:pPr>
            <w:r w:rsidRPr="004F5792">
              <w:rPr>
                <w:sz w:val="16"/>
                <w:szCs w:val="16"/>
              </w:rPr>
              <w:t>1146</w:t>
            </w:r>
          </w:p>
        </w:tc>
        <w:tc>
          <w:tcPr>
            <w:tcW w:w="0" w:type="auto"/>
          </w:tcPr>
          <w:p w14:paraId="2DE365B3" w14:textId="77777777" w:rsidR="004F5792" w:rsidRPr="004F5792" w:rsidRDefault="004F5792" w:rsidP="004F5792">
            <w:pPr>
              <w:jc w:val="center"/>
              <w:rPr>
                <w:sz w:val="16"/>
                <w:szCs w:val="16"/>
              </w:rPr>
            </w:pPr>
            <w:r w:rsidRPr="004F5792">
              <w:rPr>
                <w:sz w:val="16"/>
                <w:szCs w:val="16"/>
              </w:rPr>
              <w:t>892</w:t>
            </w:r>
          </w:p>
        </w:tc>
        <w:tc>
          <w:tcPr>
            <w:tcW w:w="0" w:type="auto"/>
          </w:tcPr>
          <w:p w14:paraId="07C14C7D" w14:textId="77777777" w:rsidR="004F5792" w:rsidRPr="004F5792" w:rsidRDefault="004F5792" w:rsidP="004F5792">
            <w:pPr>
              <w:jc w:val="center"/>
              <w:rPr>
                <w:sz w:val="16"/>
                <w:szCs w:val="16"/>
              </w:rPr>
            </w:pPr>
            <w:r w:rsidRPr="004F5792">
              <w:rPr>
                <w:sz w:val="16"/>
                <w:szCs w:val="16"/>
              </w:rPr>
              <w:t>1650</w:t>
            </w:r>
          </w:p>
        </w:tc>
        <w:tc>
          <w:tcPr>
            <w:tcW w:w="0" w:type="auto"/>
          </w:tcPr>
          <w:p w14:paraId="1D9FFD54" w14:textId="77777777" w:rsidR="004F5792" w:rsidRPr="004F5792" w:rsidRDefault="004F5792" w:rsidP="004F5792">
            <w:pPr>
              <w:jc w:val="center"/>
              <w:rPr>
                <w:sz w:val="16"/>
                <w:szCs w:val="16"/>
              </w:rPr>
            </w:pPr>
            <w:r w:rsidRPr="004F5792">
              <w:rPr>
                <w:sz w:val="16"/>
                <w:szCs w:val="16"/>
              </w:rPr>
              <w:t>31 (15 to 43)</w:t>
            </w:r>
          </w:p>
        </w:tc>
        <w:tc>
          <w:tcPr>
            <w:tcW w:w="0" w:type="auto"/>
          </w:tcPr>
          <w:p w14:paraId="1DC62F8C" w14:textId="77777777" w:rsidR="004F5792" w:rsidRPr="004F5792" w:rsidRDefault="004F5792" w:rsidP="004F5792">
            <w:pPr>
              <w:jc w:val="center"/>
              <w:rPr>
                <w:sz w:val="16"/>
                <w:szCs w:val="16"/>
              </w:rPr>
            </w:pPr>
            <w:r w:rsidRPr="004F5792">
              <w:rPr>
                <w:sz w:val="16"/>
                <w:szCs w:val="16"/>
              </w:rPr>
              <w:t>41 (19 to 57)</w:t>
            </w:r>
          </w:p>
        </w:tc>
        <w:tc>
          <w:tcPr>
            <w:tcW w:w="1315" w:type="dxa"/>
          </w:tcPr>
          <w:p w14:paraId="571AD1E5" w14:textId="77777777" w:rsidR="004F5792" w:rsidRPr="004F5792" w:rsidRDefault="004F5792" w:rsidP="004F5792">
            <w:pPr>
              <w:jc w:val="center"/>
              <w:rPr>
                <w:sz w:val="16"/>
                <w:szCs w:val="16"/>
              </w:rPr>
            </w:pPr>
            <w:r w:rsidRPr="004F5792">
              <w:rPr>
                <w:sz w:val="16"/>
                <w:szCs w:val="16"/>
              </w:rPr>
              <w:t>23 (4 to 38)</w:t>
            </w:r>
          </w:p>
        </w:tc>
      </w:tr>
      <w:tr w:rsidR="004F5792" w:rsidRPr="004F5792" w14:paraId="02EB50BD" w14:textId="77777777" w:rsidTr="00F17B89">
        <w:trPr>
          <w:jc w:val="center"/>
        </w:trPr>
        <w:tc>
          <w:tcPr>
            <w:tcW w:w="1576" w:type="dxa"/>
          </w:tcPr>
          <w:p w14:paraId="1A86413D" w14:textId="77777777" w:rsidR="004F5792" w:rsidRPr="004F5792" w:rsidRDefault="004F5792" w:rsidP="004F5792">
            <w:pPr>
              <w:jc w:val="center"/>
              <w:rPr>
                <w:rFonts w:eastAsia="MS PGothic" w:cs="MS PGothic"/>
                <w:b/>
                <w:color w:val="000000" w:themeColor="text1"/>
                <w:kern w:val="24"/>
                <w:sz w:val="16"/>
                <w:szCs w:val="16"/>
                <w:lang w:eastAsia="en-GB"/>
              </w:rPr>
            </w:pPr>
            <w:r w:rsidRPr="004F5792">
              <w:rPr>
                <w:rFonts w:eastAsia="Times New Roman"/>
                <w:sz w:val="16"/>
                <w:szCs w:val="16"/>
                <w:lang w:eastAsia="en-GB"/>
              </w:rPr>
              <w:t>24-59m</w:t>
            </w:r>
          </w:p>
        </w:tc>
        <w:tc>
          <w:tcPr>
            <w:tcW w:w="1861" w:type="dxa"/>
          </w:tcPr>
          <w:p w14:paraId="2B816F18" w14:textId="77777777" w:rsidR="004F5792" w:rsidRPr="004F5792" w:rsidRDefault="004F5792" w:rsidP="004F5792">
            <w:pPr>
              <w:jc w:val="center"/>
              <w:rPr>
                <w:sz w:val="16"/>
                <w:szCs w:val="16"/>
              </w:rPr>
            </w:pPr>
            <w:r w:rsidRPr="004F5792">
              <w:rPr>
                <w:sz w:val="16"/>
                <w:szCs w:val="16"/>
              </w:rPr>
              <w:t>759</w:t>
            </w:r>
          </w:p>
        </w:tc>
        <w:tc>
          <w:tcPr>
            <w:tcW w:w="0" w:type="auto"/>
          </w:tcPr>
          <w:p w14:paraId="1F8FAC76" w14:textId="77777777" w:rsidR="004F5792" w:rsidRPr="004F5792" w:rsidRDefault="004F5792" w:rsidP="004F5792">
            <w:pPr>
              <w:jc w:val="center"/>
              <w:rPr>
                <w:sz w:val="16"/>
                <w:szCs w:val="16"/>
              </w:rPr>
            </w:pPr>
            <w:r w:rsidRPr="004F5792">
              <w:rPr>
                <w:sz w:val="16"/>
                <w:szCs w:val="16"/>
              </w:rPr>
              <w:t>759</w:t>
            </w:r>
          </w:p>
        </w:tc>
        <w:tc>
          <w:tcPr>
            <w:tcW w:w="0" w:type="auto"/>
          </w:tcPr>
          <w:p w14:paraId="65D7DBF1" w14:textId="77777777" w:rsidR="004F5792" w:rsidRPr="004F5792" w:rsidRDefault="004F5792" w:rsidP="004F5792">
            <w:pPr>
              <w:jc w:val="center"/>
              <w:rPr>
                <w:sz w:val="16"/>
                <w:szCs w:val="16"/>
              </w:rPr>
            </w:pPr>
            <w:r w:rsidRPr="004F5792">
              <w:rPr>
                <w:sz w:val="16"/>
                <w:szCs w:val="16"/>
              </w:rPr>
              <w:t>1054</w:t>
            </w:r>
          </w:p>
        </w:tc>
        <w:tc>
          <w:tcPr>
            <w:tcW w:w="0" w:type="auto"/>
          </w:tcPr>
          <w:p w14:paraId="251DABC8" w14:textId="77777777" w:rsidR="004F5792" w:rsidRPr="004F5792" w:rsidRDefault="004F5792" w:rsidP="004F5792">
            <w:pPr>
              <w:jc w:val="center"/>
              <w:rPr>
                <w:sz w:val="16"/>
                <w:szCs w:val="16"/>
              </w:rPr>
            </w:pPr>
            <w:r w:rsidRPr="004F5792">
              <w:rPr>
                <w:sz w:val="16"/>
                <w:szCs w:val="16"/>
              </w:rPr>
              <w:t>12 (-4 to 25)</w:t>
            </w:r>
          </w:p>
        </w:tc>
        <w:tc>
          <w:tcPr>
            <w:tcW w:w="0" w:type="auto"/>
          </w:tcPr>
          <w:p w14:paraId="7E53DB76" w14:textId="77777777" w:rsidR="004F5792" w:rsidRPr="004F5792" w:rsidRDefault="004F5792" w:rsidP="004F5792">
            <w:pPr>
              <w:jc w:val="center"/>
              <w:rPr>
                <w:sz w:val="16"/>
                <w:szCs w:val="16"/>
              </w:rPr>
            </w:pPr>
            <w:r w:rsidRPr="004F5792">
              <w:rPr>
                <w:sz w:val="16"/>
                <w:szCs w:val="16"/>
              </w:rPr>
              <w:t>14 (-15 to 36)</w:t>
            </w:r>
          </w:p>
        </w:tc>
        <w:tc>
          <w:tcPr>
            <w:tcW w:w="1315" w:type="dxa"/>
          </w:tcPr>
          <w:p w14:paraId="72174CD4" w14:textId="77777777" w:rsidR="004F5792" w:rsidRPr="004F5792" w:rsidRDefault="004F5792" w:rsidP="004F5792">
            <w:pPr>
              <w:jc w:val="center"/>
              <w:rPr>
                <w:sz w:val="16"/>
                <w:szCs w:val="16"/>
              </w:rPr>
            </w:pPr>
            <w:r w:rsidRPr="004F5792">
              <w:rPr>
                <w:sz w:val="16"/>
                <w:szCs w:val="16"/>
              </w:rPr>
              <w:t>10 (-6 to 24)</w:t>
            </w:r>
          </w:p>
        </w:tc>
      </w:tr>
      <w:tr w:rsidR="004F5792" w:rsidRPr="004F5792" w14:paraId="206E9653" w14:textId="77777777" w:rsidTr="00F17B89">
        <w:trPr>
          <w:jc w:val="center"/>
        </w:trPr>
        <w:tc>
          <w:tcPr>
            <w:tcW w:w="1576" w:type="dxa"/>
          </w:tcPr>
          <w:p w14:paraId="18850F8C" w14:textId="77777777" w:rsidR="004F5792" w:rsidRPr="004F5792" w:rsidRDefault="004F5792" w:rsidP="004F5792">
            <w:pPr>
              <w:jc w:val="center"/>
              <w:rPr>
                <w:b/>
                <w:sz w:val="16"/>
                <w:szCs w:val="16"/>
              </w:rPr>
            </w:pPr>
            <w:r w:rsidRPr="004F5792">
              <w:rPr>
                <w:sz w:val="16"/>
                <w:szCs w:val="16"/>
              </w:rPr>
              <w:t>5-14y</w:t>
            </w:r>
          </w:p>
        </w:tc>
        <w:tc>
          <w:tcPr>
            <w:tcW w:w="1861" w:type="dxa"/>
          </w:tcPr>
          <w:p w14:paraId="43B219C5" w14:textId="77777777" w:rsidR="004F5792" w:rsidRPr="004F5792" w:rsidRDefault="004F5792" w:rsidP="004F5792">
            <w:pPr>
              <w:jc w:val="center"/>
              <w:rPr>
                <w:sz w:val="16"/>
                <w:szCs w:val="16"/>
              </w:rPr>
            </w:pPr>
            <w:r w:rsidRPr="004F5792">
              <w:rPr>
                <w:sz w:val="16"/>
                <w:szCs w:val="16"/>
              </w:rPr>
              <w:t>552</w:t>
            </w:r>
          </w:p>
        </w:tc>
        <w:tc>
          <w:tcPr>
            <w:tcW w:w="0" w:type="auto"/>
          </w:tcPr>
          <w:p w14:paraId="229375FB" w14:textId="77777777" w:rsidR="004F5792" w:rsidRPr="004F5792" w:rsidRDefault="004F5792" w:rsidP="004F5792">
            <w:pPr>
              <w:jc w:val="center"/>
              <w:rPr>
                <w:sz w:val="16"/>
                <w:szCs w:val="16"/>
              </w:rPr>
            </w:pPr>
            <w:r w:rsidRPr="004F5792">
              <w:rPr>
                <w:sz w:val="16"/>
                <w:szCs w:val="16"/>
              </w:rPr>
              <w:t>661</w:t>
            </w:r>
          </w:p>
        </w:tc>
        <w:tc>
          <w:tcPr>
            <w:tcW w:w="0" w:type="auto"/>
          </w:tcPr>
          <w:p w14:paraId="0E21E8BE" w14:textId="77777777" w:rsidR="004F5792" w:rsidRPr="004F5792" w:rsidRDefault="004F5792" w:rsidP="004F5792">
            <w:pPr>
              <w:jc w:val="center"/>
              <w:rPr>
                <w:sz w:val="16"/>
                <w:szCs w:val="16"/>
              </w:rPr>
            </w:pPr>
            <w:r w:rsidRPr="004F5792">
              <w:rPr>
                <w:sz w:val="16"/>
                <w:szCs w:val="16"/>
              </w:rPr>
              <w:t>1038</w:t>
            </w:r>
          </w:p>
        </w:tc>
        <w:tc>
          <w:tcPr>
            <w:tcW w:w="0" w:type="auto"/>
          </w:tcPr>
          <w:p w14:paraId="45EA6A3C" w14:textId="77777777" w:rsidR="004F5792" w:rsidRPr="004F5792" w:rsidRDefault="004F5792" w:rsidP="004F5792">
            <w:pPr>
              <w:jc w:val="center"/>
              <w:rPr>
                <w:sz w:val="16"/>
                <w:szCs w:val="16"/>
              </w:rPr>
            </w:pPr>
            <w:r w:rsidRPr="004F5792">
              <w:rPr>
                <w:sz w:val="16"/>
                <w:szCs w:val="16"/>
              </w:rPr>
              <w:t>22 (11 to 31)</w:t>
            </w:r>
          </w:p>
        </w:tc>
        <w:tc>
          <w:tcPr>
            <w:tcW w:w="0" w:type="auto"/>
          </w:tcPr>
          <w:p w14:paraId="4CFA55E4" w14:textId="77777777" w:rsidR="004F5792" w:rsidRPr="004F5792" w:rsidRDefault="004F5792" w:rsidP="004F5792">
            <w:pPr>
              <w:jc w:val="center"/>
              <w:rPr>
                <w:sz w:val="16"/>
                <w:szCs w:val="16"/>
              </w:rPr>
            </w:pPr>
            <w:r w:rsidRPr="004F5792">
              <w:rPr>
                <w:sz w:val="16"/>
                <w:szCs w:val="16"/>
              </w:rPr>
              <w:t>17 (-2 to 33)</w:t>
            </w:r>
          </w:p>
        </w:tc>
        <w:tc>
          <w:tcPr>
            <w:tcW w:w="1315" w:type="dxa"/>
          </w:tcPr>
          <w:p w14:paraId="3ABDDA5B" w14:textId="77777777" w:rsidR="004F5792" w:rsidRPr="004F5792" w:rsidRDefault="004F5792" w:rsidP="004F5792">
            <w:pPr>
              <w:jc w:val="center"/>
              <w:rPr>
                <w:sz w:val="16"/>
                <w:szCs w:val="16"/>
              </w:rPr>
            </w:pPr>
            <w:r w:rsidRPr="004F5792">
              <w:rPr>
                <w:sz w:val="16"/>
                <w:szCs w:val="16"/>
              </w:rPr>
              <w:t>25 (12 to 36)</w:t>
            </w:r>
          </w:p>
        </w:tc>
      </w:tr>
      <w:tr w:rsidR="004F5792" w:rsidRPr="004F5792" w14:paraId="28286563" w14:textId="77777777" w:rsidTr="00F17B89">
        <w:trPr>
          <w:jc w:val="center"/>
        </w:trPr>
        <w:tc>
          <w:tcPr>
            <w:tcW w:w="1576" w:type="dxa"/>
          </w:tcPr>
          <w:p w14:paraId="4D89A9A5" w14:textId="77777777" w:rsidR="004F5792" w:rsidRPr="004F5792" w:rsidRDefault="004F5792" w:rsidP="004F5792">
            <w:pPr>
              <w:jc w:val="center"/>
              <w:rPr>
                <w:b/>
                <w:sz w:val="16"/>
                <w:szCs w:val="16"/>
              </w:rPr>
            </w:pPr>
            <w:r w:rsidRPr="004F5792">
              <w:rPr>
                <w:sz w:val="16"/>
                <w:szCs w:val="16"/>
              </w:rPr>
              <w:t>15-64y</w:t>
            </w:r>
          </w:p>
        </w:tc>
        <w:tc>
          <w:tcPr>
            <w:tcW w:w="1861" w:type="dxa"/>
          </w:tcPr>
          <w:p w14:paraId="353E0153" w14:textId="77777777" w:rsidR="004F5792" w:rsidRPr="004F5792" w:rsidRDefault="004F5792" w:rsidP="004F5792">
            <w:pPr>
              <w:jc w:val="center"/>
              <w:rPr>
                <w:sz w:val="16"/>
                <w:szCs w:val="16"/>
              </w:rPr>
            </w:pPr>
            <w:r w:rsidRPr="004F5792">
              <w:rPr>
                <w:sz w:val="16"/>
                <w:szCs w:val="16"/>
              </w:rPr>
              <w:t>405</w:t>
            </w:r>
          </w:p>
        </w:tc>
        <w:tc>
          <w:tcPr>
            <w:tcW w:w="0" w:type="auto"/>
          </w:tcPr>
          <w:p w14:paraId="26C59396" w14:textId="77777777" w:rsidR="004F5792" w:rsidRPr="004F5792" w:rsidRDefault="004F5792" w:rsidP="004F5792">
            <w:pPr>
              <w:jc w:val="center"/>
              <w:rPr>
                <w:sz w:val="16"/>
                <w:szCs w:val="16"/>
              </w:rPr>
            </w:pPr>
            <w:r w:rsidRPr="004F5792">
              <w:rPr>
                <w:sz w:val="16"/>
                <w:szCs w:val="16"/>
              </w:rPr>
              <w:t>503</w:t>
            </w:r>
          </w:p>
        </w:tc>
        <w:tc>
          <w:tcPr>
            <w:tcW w:w="0" w:type="auto"/>
          </w:tcPr>
          <w:p w14:paraId="04BBB172" w14:textId="77777777" w:rsidR="004F5792" w:rsidRPr="004F5792" w:rsidRDefault="004F5792" w:rsidP="004F5792">
            <w:pPr>
              <w:jc w:val="center"/>
              <w:rPr>
                <w:sz w:val="16"/>
                <w:szCs w:val="16"/>
              </w:rPr>
            </w:pPr>
            <w:r w:rsidRPr="004F5792">
              <w:rPr>
                <w:sz w:val="16"/>
                <w:szCs w:val="16"/>
              </w:rPr>
              <w:t>993</w:t>
            </w:r>
          </w:p>
        </w:tc>
        <w:tc>
          <w:tcPr>
            <w:tcW w:w="0" w:type="auto"/>
          </w:tcPr>
          <w:p w14:paraId="2F930EA0" w14:textId="77777777" w:rsidR="004F5792" w:rsidRPr="004F5792" w:rsidRDefault="004F5792" w:rsidP="004F5792">
            <w:pPr>
              <w:jc w:val="center"/>
              <w:rPr>
                <w:sz w:val="16"/>
                <w:szCs w:val="16"/>
              </w:rPr>
            </w:pPr>
            <w:r w:rsidRPr="004F5792">
              <w:rPr>
                <w:sz w:val="16"/>
                <w:szCs w:val="16"/>
              </w:rPr>
              <w:t>29 (16 to 40)</w:t>
            </w:r>
          </w:p>
        </w:tc>
        <w:tc>
          <w:tcPr>
            <w:tcW w:w="0" w:type="auto"/>
          </w:tcPr>
          <w:p w14:paraId="37A4CA0C" w14:textId="77777777" w:rsidR="004F5792" w:rsidRPr="004F5792" w:rsidRDefault="004F5792" w:rsidP="004F5792">
            <w:pPr>
              <w:jc w:val="center"/>
              <w:rPr>
                <w:sz w:val="16"/>
                <w:szCs w:val="16"/>
              </w:rPr>
            </w:pPr>
            <w:r w:rsidRPr="004F5792">
              <w:rPr>
                <w:sz w:val="16"/>
                <w:szCs w:val="16"/>
              </w:rPr>
              <w:t>30 (4 to 49)</w:t>
            </w:r>
          </w:p>
        </w:tc>
        <w:tc>
          <w:tcPr>
            <w:tcW w:w="1315" w:type="dxa"/>
          </w:tcPr>
          <w:p w14:paraId="47E7F17F" w14:textId="77777777" w:rsidR="004F5792" w:rsidRPr="004F5792" w:rsidRDefault="004F5792" w:rsidP="004F5792">
            <w:pPr>
              <w:jc w:val="center"/>
              <w:rPr>
                <w:sz w:val="16"/>
                <w:szCs w:val="16"/>
              </w:rPr>
            </w:pPr>
            <w:r w:rsidRPr="004F5792">
              <w:rPr>
                <w:sz w:val="16"/>
                <w:szCs w:val="16"/>
              </w:rPr>
              <w:t>28 (14 to 40)</w:t>
            </w:r>
          </w:p>
        </w:tc>
      </w:tr>
      <w:tr w:rsidR="004F5792" w:rsidRPr="004F5792" w14:paraId="79957965" w14:textId="77777777" w:rsidTr="00F17B89">
        <w:trPr>
          <w:jc w:val="center"/>
        </w:trPr>
        <w:tc>
          <w:tcPr>
            <w:tcW w:w="1576" w:type="dxa"/>
          </w:tcPr>
          <w:p w14:paraId="30C64F0C" w14:textId="77777777" w:rsidR="004F5792" w:rsidRPr="004F5792" w:rsidRDefault="004F5792" w:rsidP="004F5792">
            <w:pPr>
              <w:jc w:val="center"/>
              <w:rPr>
                <w:b/>
                <w:sz w:val="16"/>
                <w:szCs w:val="16"/>
              </w:rPr>
            </w:pPr>
            <w:r w:rsidRPr="004F5792">
              <w:rPr>
                <w:sz w:val="16"/>
                <w:szCs w:val="16"/>
              </w:rPr>
              <w:t>65+</w:t>
            </w:r>
          </w:p>
        </w:tc>
        <w:tc>
          <w:tcPr>
            <w:tcW w:w="1861" w:type="dxa"/>
          </w:tcPr>
          <w:p w14:paraId="42D34F28" w14:textId="77777777" w:rsidR="004F5792" w:rsidRPr="004F5792" w:rsidRDefault="004F5792" w:rsidP="004F5792">
            <w:pPr>
              <w:jc w:val="center"/>
              <w:rPr>
                <w:sz w:val="16"/>
                <w:szCs w:val="16"/>
              </w:rPr>
            </w:pPr>
            <w:r w:rsidRPr="004F5792">
              <w:rPr>
                <w:sz w:val="16"/>
                <w:szCs w:val="16"/>
              </w:rPr>
              <w:t>341</w:t>
            </w:r>
          </w:p>
        </w:tc>
        <w:tc>
          <w:tcPr>
            <w:tcW w:w="0" w:type="auto"/>
          </w:tcPr>
          <w:p w14:paraId="3F909C87" w14:textId="77777777" w:rsidR="004F5792" w:rsidRPr="004F5792" w:rsidRDefault="004F5792" w:rsidP="004F5792">
            <w:pPr>
              <w:jc w:val="center"/>
              <w:rPr>
                <w:sz w:val="16"/>
                <w:szCs w:val="16"/>
              </w:rPr>
            </w:pPr>
            <w:r w:rsidRPr="004F5792">
              <w:rPr>
                <w:sz w:val="16"/>
                <w:szCs w:val="16"/>
              </w:rPr>
              <w:t>438</w:t>
            </w:r>
          </w:p>
        </w:tc>
        <w:tc>
          <w:tcPr>
            <w:tcW w:w="0" w:type="auto"/>
          </w:tcPr>
          <w:p w14:paraId="29D1CF92" w14:textId="77777777" w:rsidR="004F5792" w:rsidRPr="004F5792" w:rsidRDefault="004F5792" w:rsidP="004F5792">
            <w:pPr>
              <w:jc w:val="center"/>
              <w:rPr>
                <w:sz w:val="16"/>
                <w:szCs w:val="16"/>
              </w:rPr>
            </w:pPr>
            <w:r w:rsidRPr="004F5792">
              <w:rPr>
                <w:sz w:val="16"/>
                <w:szCs w:val="16"/>
              </w:rPr>
              <w:t>788</w:t>
            </w:r>
          </w:p>
        </w:tc>
        <w:tc>
          <w:tcPr>
            <w:tcW w:w="0" w:type="auto"/>
          </w:tcPr>
          <w:p w14:paraId="7114D66C" w14:textId="77777777" w:rsidR="004F5792" w:rsidRPr="004F5792" w:rsidRDefault="004F5792" w:rsidP="004F5792">
            <w:pPr>
              <w:jc w:val="center"/>
              <w:rPr>
                <w:sz w:val="16"/>
                <w:szCs w:val="16"/>
              </w:rPr>
            </w:pPr>
            <w:r w:rsidRPr="004F5792">
              <w:rPr>
                <w:sz w:val="16"/>
                <w:szCs w:val="16"/>
              </w:rPr>
              <w:t>21 (4 to 34)</w:t>
            </w:r>
          </w:p>
        </w:tc>
        <w:tc>
          <w:tcPr>
            <w:tcW w:w="0" w:type="auto"/>
          </w:tcPr>
          <w:p w14:paraId="4772EAE4" w14:textId="77777777" w:rsidR="004F5792" w:rsidRPr="004F5792" w:rsidRDefault="004F5792" w:rsidP="004F5792">
            <w:pPr>
              <w:jc w:val="center"/>
              <w:rPr>
                <w:sz w:val="16"/>
                <w:szCs w:val="16"/>
              </w:rPr>
            </w:pPr>
            <w:r w:rsidRPr="004F5792">
              <w:rPr>
                <w:sz w:val="16"/>
                <w:szCs w:val="16"/>
              </w:rPr>
              <w:t>25 (-5 to 46)</w:t>
            </w:r>
          </w:p>
        </w:tc>
        <w:tc>
          <w:tcPr>
            <w:tcW w:w="1315" w:type="dxa"/>
          </w:tcPr>
          <w:p w14:paraId="1EA9F7D5" w14:textId="77777777" w:rsidR="004F5792" w:rsidRPr="004F5792" w:rsidRDefault="004F5792" w:rsidP="004F5792">
            <w:pPr>
              <w:jc w:val="center"/>
              <w:rPr>
                <w:sz w:val="16"/>
                <w:szCs w:val="16"/>
              </w:rPr>
            </w:pPr>
            <w:r w:rsidRPr="004F5792">
              <w:rPr>
                <w:sz w:val="16"/>
                <w:szCs w:val="16"/>
              </w:rPr>
              <w:t>18 (-3 to 34)</w:t>
            </w:r>
          </w:p>
        </w:tc>
      </w:tr>
      <w:tr w:rsidR="004F5792" w:rsidRPr="004F5792" w14:paraId="01382392" w14:textId="77777777" w:rsidTr="00F17B89">
        <w:trPr>
          <w:jc w:val="center"/>
        </w:trPr>
        <w:tc>
          <w:tcPr>
            <w:tcW w:w="1576" w:type="dxa"/>
          </w:tcPr>
          <w:p w14:paraId="765F21C8" w14:textId="77777777" w:rsidR="004F5792" w:rsidRPr="004F5792" w:rsidRDefault="004F5792" w:rsidP="004F5792">
            <w:pPr>
              <w:jc w:val="center"/>
              <w:rPr>
                <w:sz w:val="16"/>
                <w:szCs w:val="16"/>
              </w:rPr>
            </w:pPr>
            <w:r w:rsidRPr="004F5792">
              <w:rPr>
                <w:sz w:val="16"/>
                <w:szCs w:val="16"/>
              </w:rPr>
              <w:t>Total 0-59m</w:t>
            </w:r>
          </w:p>
        </w:tc>
        <w:tc>
          <w:tcPr>
            <w:tcW w:w="1861" w:type="dxa"/>
          </w:tcPr>
          <w:p w14:paraId="3A9FECDE" w14:textId="77777777" w:rsidR="004F5792" w:rsidRPr="004F5792" w:rsidRDefault="004F5792" w:rsidP="004F5792">
            <w:pPr>
              <w:jc w:val="center"/>
              <w:rPr>
                <w:sz w:val="16"/>
                <w:szCs w:val="16"/>
              </w:rPr>
            </w:pPr>
            <w:r w:rsidRPr="004F5792">
              <w:rPr>
                <w:sz w:val="16"/>
                <w:szCs w:val="16"/>
              </w:rPr>
              <w:t>1235</w:t>
            </w:r>
          </w:p>
        </w:tc>
        <w:tc>
          <w:tcPr>
            <w:tcW w:w="0" w:type="auto"/>
          </w:tcPr>
          <w:p w14:paraId="244EDA31" w14:textId="77777777" w:rsidR="004F5792" w:rsidRPr="004F5792" w:rsidRDefault="004F5792" w:rsidP="004F5792">
            <w:pPr>
              <w:jc w:val="center"/>
              <w:rPr>
                <w:sz w:val="16"/>
                <w:szCs w:val="16"/>
              </w:rPr>
            </w:pPr>
            <w:r w:rsidRPr="004F5792">
              <w:rPr>
                <w:sz w:val="16"/>
                <w:szCs w:val="16"/>
              </w:rPr>
              <w:t>1124</w:t>
            </w:r>
          </w:p>
        </w:tc>
        <w:tc>
          <w:tcPr>
            <w:tcW w:w="0" w:type="auto"/>
          </w:tcPr>
          <w:p w14:paraId="00153F9B" w14:textId="77777777" w:rsidR="004F5792" w:rsidRPr="004F5792" w:rsidRDefault="004F5792" w:rsidP="004F5792">
            <w:pPr>
              <w:jc w:val="center"/>
              <w:rPr>
                <w:sz w:val="16"/>
                <w:szCs w:val="16"/>
              </w:rPr>
            </w:pPr>
            <w:r w:rsidRPr="004F5792">
              <w:rPr>
                <w:sz w:val="16"/>
                <w:szCs w:val="16"/>
              </w:rPr>
              <w:t>1795</w:t>
            </w:r>
          </w:p>
        </w:tc>
        <w:tc>
          <w:tcPr>
            <w:tcW w:w="0" w:type="auto"/>
          </w:tcPr>
          <w:p w14:paraId="4A35BA75" w14:textId="77777777" w:rsidR="004F5792" w:rsidRPr="004F5792" w:rsidRDefault="004F5792" w:rsidP="004F5792">
            <w:pPr>
              <w:jc w:val="center"/>
              <w:rPr>
                <w:sz w:val="16"/>
                <w:szCs w:val="16"/>
              </w:rPr>
            </w:pPr>
            <w:r w:rsidRPr="004F5792">
              <w:rPr>
                <w:sz w:val="16"/>
                <w:szCs w:val="16"/>
              </w:rPr>
              <w:t>23 (11 to 33)</w:t>
            </w:r>
          </w:p>
        </w:tc>
        <w:tc>
          <w:tcPr>
            <w:tcW w:w="0" w:type="auto"/>
          </w:tcPr>
          <w:p w14:paraId="0A3EE73C" w14:textId="77777777" w:rsidR="004F5792" w:rsidRPr="004F5792" w:rsidRDefault="004F5792" w:rsidP="004F5792">
            <w:pPr>
              <w:jc w:val="center"/>
              <w:rPr>
                <w:sz w:val="16"/>
                <w:szCs w:val="16"/>
              </w:rPr>
            </w:pPr>
            <w:r w:rsidRPr="004F5792">
              <w:rPr>
                <w:sz w:val="16"/>
                <w:szCs w:val="16"/>
              </w:rPr>
              <w:t>31 (12 to 45)</w:t>
            </w:r>
          </w:p>
        </w:tc>
        <w:tc>
          <w:tcPr>
            <w:tcW w:w="1315" w:type="dxa"/>
          </w:tcPr>
          <w:p w14:paraId="2A39A9E9" w14:textId="77777777" w:rsidR="004F5792" w:rsidRPr="004F5792" w:rsidRDefault="004F5792" w:rsidP="004F5792">
            <w:pPr>
              <w:jc w:val="center"/>
              <w:rPr>
                <w:sz w:val="16"/>
                <w:szCs w:val="16"/>
              </w:rPr>
            </w:pPr>
            <w:r w:rsidRPr="004F5792">
              <w:rPr>
                <w:sz w:val="16"/>
                <w:szCs w:val="16"/>
              </w:rPr>
              <w:t>18 (4 to 29)</w:t>
            </w:r>
          </w:p>
        </w:tc>
      </w:tr>
      <w:tr w:rsidR="004F5792" w:rsidRPr="004F5792" w14:paraId="1956FDE0" w14:textId="77777777" w:rsidTr="00F17B89">
        <w:trPr>
          <w:jc w:val="center"/>
        </w:trPr>
        <w:tc>
          <w:tcPr>
            <w:tcW w:w="8864" w:type="dxa"/>
            <w:gridSpan w:val="7"/>
          </w:tcPr>
          <w:p w14:paraId="61B935EF" w14:textId="77777777" w:rsidR="004F5792" w:rsidRPr="004F5792" w:rsidRDefault="004F5792" w:rsidP="004F5792">
            <w:pPr>
              <w:jc w:val="center"/>
              <w:rPr>
                <w:sz w:val="16"/>
                <w:szCs w:val="16"/>
              </w:rPr>
            </w:pPr>
            <w:r w:rsidRPr="004F5792">
              <w:rPr>
                <w:sz w:val="16"/>
                <w:szCs w:val="16"/>
              </w:rPr>
              <w:t>Walk-in centre attendances for infectious gastroenteritis</w:t>
            </w:r>
          </w:p>
        </w:tc>
      </w:tr>
      <w:tr w:rsidR="004F5792" w:rsidRPr="004F5792" w14:paraId="387F34A6" w14:textId="77777777" w:rsidTr="00F17B89">
        <w:trPr>
          <w:jc w:val="center"/>
        </w:trPr>
        <w:tc>
          <w:tcPr>
            <w:tcW w:w="1576" w:type="dxa"/>
          </w:tcPr>
          <w:p w14:paraId="39563678" w14:textId="77777777" w:rsidR="004F5792" w:rsidRPr="004F5792" w:rsidRDefault="004F5792" w:rsidP="004F5792">
            <w:pPr>
              <w:jc w:val="center"/>
              <w:rPr>
                <w:rFonts w:eastAsia="Times New Roman" w:cs="Arial"/>
                <w:b/>
                <w:sz w:val="16"/>
                <w:szCs w:val="16"/>
                <w:lang w:eastAsia="en-GB"/>
              </w:rPr>
            </w:pPr>
            <w:r w:rsidRPr="004F5792">
              <w:rPr>
                <w:rFonts w:eastAsia="Times New Roman"/>
                <w:sz w:val="16"/>
                <w:szCs w:val="16"/>
                <w:lang w:eastAsia="en-GB"/>
              </w:rPr>
              <w:t>&lt;12m</w:t>
            </w:r>
          </w:p>
        </w:tc>
        <w:tc>
          <w:tcPr>
            <w:tcW w:w="1861" w:type="dxa"/>
          </w:tcPr>
          <w:p w14:paraId="3B7466FF" w14:textId="77777777" w:rsidR="004F5792" w:rsidRPr="004F5792" w:rsidRDefault="004F5792" w:rsidP="004F5792">
            <w:pPr>
              <w:jc w:val="center"/>
              <w:rPr>
                <w:sz w:val="16"/>
                <w:szCs w:val="16"/>
              </w:rPr>
            </w:pPr>
            <w:r w:rsidRPr="004F5792">
              <w:rPr>
                <w:sz w:val="16"/>
                <w:szCs w:val="16"/>
              </w:rPr>
              <w:t>574</w:t>
            </w:r>
          </w:p>
        </w:tc>
        <w:tc>
          <w:tcPr>
            <w:tcW w:w="0" w:type="auto"/>
          </w:tcPr>
          <w:p w14:paraId="7BA01076" w14:textId="77777777" w:rsidR="004F5792" w:rsidRPr="004F5792" w:rsidRDefault="004F5792" w:rsidP="004F5792">
            <w:pPr>
              <w:jc w:val="center"/>
              <w:rPr>
                <w:sz w:val="16"/>
                <w:szCs w:val="16"/>
              </w:rPr>
            </w:pPr>
            <w:r w:rsidRPr="004F5792">
              <w:rPr>
                <w:sz w:val="16"/>
                <w:szCs w:val="16"/>
              </w:rPr>
              <w:t>373</w:t>
            </w:r>
          </w:p>
        </w:tc>
        <w:tc>
          <w:tcPr>
            <w:tcW w:w="0" w:type="auto"/>
          </w:tcPr>
          <w:p w14:paraId="46A4782D" w14:textId="77777777" w:rsidR="004F5792" w:rsidRPr="004F5792" w:rsidRDefault="004F5792" w:rsidP="004F5792">
            <w:pPr>
              <w:jc w:val="center"/>
              <w:rPr>
                <w:sz w:val="16"/>
                <w:szCs w:val="16"/>
              </w:rPr>
            </w:pPr>
            <w:r w:rsidRPr="004F5792">
              <w:rPr>
                <w:sz w:val="16"/>
                <w:szCs w:val="16"/>
              </w:rPr>
              <w:t>644</w:t>
            </w:r>
          </w:p>
        </w:tc>
        <w:tc>
          <w:tcPr>
            <w:tcW w:w="0" w:type="auto"/>
          </w:tcPr>
          <w:p w14:paraId="2EA3332F" w14:textId="77777777" w:rsidR="004F5792" w:rsidRPr="004F5792" w:rsidRDefault="004F5792" w:rsidP="004F5792">
            <w:pPr>
              <w:jc w:val="center"/>
              <w:rPr>
                <w:sz w:val="16"/>
                <w:szCs w:val="16"/>
              </w:rPr>
            </w:pPr>
            <w:r w:rsidRPr="004F5792">
              <w:rPr>
                <w:sz w:val="16"/>
                <w:szCs w:val="16"/>
              </w:rPr>
              <w:t>37 (6 to 58)</w:t>
            </w:r>
          </w:p>
        </w:tc>
        <w:tc>
          <w:tcPr>
            <w:tcW w:w="0" w:type="auto"/>
          </w:tcPr>
          <w:p w14:paraId="45EF6DF0" w14:textId="77777777" w:rsidR="004F5792" w:rsidRPr="004F5792" w:rsidRDefault="004F5792" w:rsidP="004F5792">
            <w:pPr>
              <w:jc w:val="center"/>
              <w:rPr>
                <w:sz w:val="16"/>
                <w:szCs w:val="16"/>
              </w:rPr>
            </w:pPr>
            <w:r w:rsidRPr="004F5792">
              <w:rPr>
                <w:sz w:val="16"/>
                <w:szCs w:val="16"/>
              </w:rPr>
              <w:t>51 (12 to 73)</w:t>
            </w:r>
          </w:p>
        </w:tc>
        <w:tc>
          <w:tcPr>
            <w:tcW w:w="1315" w:type="dxa"/>
          </w:tcPr>
          <w:p w14:paraId="0D595E31" w14:textId="77777777" w:rsidR="004F5792" w:rsidRPr="004F5792" w:rsidRDefault="004F5792" w:rsidP="004F5792">
            <w:pPr>
              <w:jc w:val="center"/>
              <w:rPr>
                <w:sz w:val="16"/>
                <w:szCs w:val="16"/>
              </w:rPr>
            </w:pPr>
            <w:r w:rsidRPr="004F5792">
              <w:rPr>
                <w:sz w:val="16"/>
                <w:szCs w:val="16"/>
              </w:rPr>
              <w:t>25 (-26 to 55)</w:t>
            </w:r>
          </w:p>
        </w:tc>
      </w:tr>
      <w:tr w:rsidR="004F5792" w:rsidRPr="004F5792" w14:paraId="3D825543" w14:textId="77777777" w:rsidTr="00F17B89">
        <w:trPr>
          <w:jc w:val="center"/>
        </w:trPr>
        <w:tc>
          <w:tcPr>
            <w:tcW w:w="1576" w:type="dxa"/>
          </w:tcPr>
          <w:p w14:paraId="03139CA6" w14:textId="77777777" w:rsidR="004F5792" w:rsidRPr="004F5792" w:rsidRDefault="004F5792" w:rsidP="004F5792">
            <w:pPr>
              <w:jc w:val="center"/>
              <w:rPr>
                <w:rFonts w:eastAsia="Times New Roman" w:cs="Arial"/>
                <w:b/>
                <w:sz w:val="16"/>
                <w:szCs w:val="16"/>
                <w:lang w:eastAsia="en-GB"/>
              </w:rPr>
            </w:pPr>
            <w:r w:rsidRPr="004F5792">
              <w:rPr>
                <w:rFonts w:eastAsia="Times New Roman"/>
                <w:sz w:val="16"/>
                <w:szCs w:val="16"/>
                <w:lang w:eastAsia="en-GB"/>
              </w:rPr>
              <w:t>12-23m</w:t>
            </w:r>
          </w:p>
        </w:tc>
        <w:tc>
          <w:tcPr>
            <w:tcW w:w="1861" w:type="dxa"/>
          </w:tcPr>
          <w:p w14:paraId="226D45B4" w14:textId="77777777" w:rsidR="004F5792" w:rsidRPr="004F5792" w:rsidRDefault="004F5792" w:rsidP="004F5792">
            <w:pPr>
              <w:jc w:val="center"/>
              <w:rPr>
                <w:sz w:val="16"/>
                <w:szCs w:val="16"/>
              </w:rPr>
            </w:pPr>
            <w:r w:rsidRPr="004F5792">
              <w:rPr>
                <w:sz w:val="16"/>
                <w:szCs w:val="16"/>
              </w:rPr>
              <w:t>463</w:t>
            </w:r>
          </w:p>
        </w:tc>
        <w:tc>
          <w:tcPr>
            <w:tcW w:w="0" w:type="auto"/>
          </w:tcPr>
          <w:p w14:paraId="5517C31D" w14:textId="77777777" w:rsidR="004F5792" w:rsidRPr="004F5792" w:rsidRDefault="004F5792" w:rsidP="004F5792">
            <w:pPr>
              <w:jc w:val="center"/>
              <w:rPr>
                <w:sz w:val="16"/>
                <w:szCs w:val="16"/>
              </w:rPr>
            </w:pPr>
            <w:r w:rsidRPr="004F5792">
              <w:rPr>
                <w:sz w:val="16"/>
                <w:szCs w:val="16"/>
              </w:rPr>
              <w:t>256</w:t>
            </w:r>
          </w:p>
        </w:tc>
        <w:tc>
          <w:tcPr>
            <w:tcW w:w="0" w:type="auto"/>
          </w:tcPr>
          <w:p w14:paraId="0BA50D46" w14:textId="77777777" w:rsidR="004F5792" w:rsidRPr="004F5792" w:rsidRDefault="004F5792" w:rsidP="004F5792">
            <w:pPr>
              <w:jc w:val="center"/>
              <w:rPr>
                <w:sz w:val="16"/>
                <w:szCs w:val="16"/>
              </w:rPr>
            </w:pPr>
            <w:r w:rsidRPr="004F5792">
              <w:rPr>
                <w:sz w:val="16"/>
                <w:szCs w:val="16"/>
              </w:rPr>
              <w:t>606</w:t>
            </w:r>
          </w:p>
        </w:tc>
        <w:tc>
          <w:tcPr>
            <w:tcW w:w="0" w:type="auto"/>
          </w:tcPr>
          <w:p w14:paraId="55FAF2D2" w14:textId="77777777" w:rsidR="004F5792" w:rsidRPr="004F5792" w:rsidRDefault="004F5792" w:rsidP="004F5792">
            <w:pPr>
              <w:jc w:val="center"/>
              <w:rPr>
                <w:sz w:val="16"/>
                <w:szCs w:val="16"/>
              </w:rPr>
            </w:pPr>
            <w:r w:rsidRPr="004F5792">
              <w:rPr>
                <w:sz w:val="16"/>
                <w:szCs w:val="16"/>
              </w:rPr>
              <w:t>39 (0 to 63)</w:t>
            </w:r>
          </w:p>
        </w:tc>
        <w:tc>
          <w:tcPr>
            <w:tcW w:w="0" w:type="auto"/>
          </w:tcPr>
          <w:p w14:paraId="17424B91" w14:textId="77777777" w:rsidR="004F5792" w:rsidRPr="004F5792" w:rsidRDefault="004F5792" w:rsidP="004F5792">
            <w:pPr>
              <w:jc w:val="center"/>
              <w:rPr>
                <w:sz w:val="16"/>
                <w:szCs w:val="16"/>
              </w:rPr>
            </w:pPr>
            <w:r w:rsidRPr="004F5792">
              <w:rPr>
                <w:sz w:val="16"/>
                <w:szCs w:val="16"/>
              </w:rPr>
              <w:t>67 (38 to 83)</w:t>
            </w:r>
          </w:p>
        </w:tc>
        <w:tc>
          <w:tcPr>
            <w:tcW w:w="1315" w:type="dxa"/>
          </w:tcPr>
          <w:p w14:paraId="6559B504" w14:textId="77777777" w:rsidR="004F5792" w:rsidRPr="004F5792" w:rsidRDefault="004F5792" w:rsidP="004F5792">
            <w:pPr>
              <w:jc w:val="center"/>
              <w:rPr>
                <w:sz w:val="16"/>
                <w:szCs w:val="16"/>
              </w:rPr>
            </w:pPr>
            <w:r w:rsidRPr="004F5792">
              <w:rPr>
                <w:sz w:val="16"/>
                <w:szCs w:val="16"/>
              </w:rPr>
              <w:t>5 (-86 to 52)</w:t>
            </w:r>
          </w:p>
        </w:tc>
      </w:tr>
      <w:tr w:rsidR="004F5792" w:rsidRPr="004F5792" w14:paraId="1BCDC696" w14:textId="77777777" w:rsidTr="00F17B89">
        <w:trPr>
          <w:jc w:val="center"/>
        </w:trPr>
        <w:tc>
          <w:tcPr>
            <w:tcW w:w="1576" w:type="dxa"/>
          </w:tcPr>
          <w:p w14:paraId="4C0DBA04" w14:textId="77777777" w:rsidR="004F5792" w:rsidRPr="004F5792" w:rsidRDefault="004F5792" w:rsidP="004F5792">
            <w:pPr>
              <w:jc w:val="center"/>
              <w:rPr>
                <w:rFonts w:eastAsia="MS PGothic" w:cs="MS PGothic"/>
                <w:b/>
                <w:color w:val="000000" w:themeColor="text1"/>
                <w:kern w:val="24"/>
                <w:sz w:val="16"/>
                <w:szCs w:val="16"/>
                <w:lang w:eastAsia="en-GB"/>
              </w:rPr>
            </w:pPr>
            <w:r w:rsidRPr="004F5792">
              <w:rPr>
                <w:rFonts w:eastAsia="Times New Roman"/>
                <w:sz w:val="16"/>
                <w:szCs w:val="16"/>
                <w:lang w:eastAsia="en-GB"/>
              </w:rPr>
              <w:t>24-59m</w:t>
            </w:r>
          </w:p>
        </w:tc>
        <w:tc>
          <w:tcPr>
            <w:tcW w:w="1861" w:type="dxa"/>
          </w:tcPr>
          <w:p w14:paraId="45A5FAA7" w14:textId="77777777" w:rsidR="004F5792" w:rsidRPr="004F5792" w:rsidRDefault="004F5792" w:rsidP="004F5792">
            <w:pPr>
              <w:jc w:val="center"/>
              <w:rPr>
                <w:sz w:val="16"/>
                <w:szCs w:val="16"/>
              </w:rPr>
            </w:pPr>
            <w:r w:rsidRPr="004F5792">
              <w:rPr>
                <w:sz w:val="16"/>
                <w:szCs w:val="16"/>
              </w:rPr>
              <w:t>196</w:t>
            </w:r>
          </w:p>
        </w:tc>
        <w:tc>
          <w:tcPr>
            <w:tcW w:w="0" w:type="auto"/>
          </w:tcPr>
          <w:p w14:paraId="0B8DB249" w14:textId="77777777" w:rsidR="004F5792" w:rsidRPr="004F5792" w:rsidRDefault="004F5792" w:rsidP="004F5792">
            <w:pPr>
              <w:jc w:val="center"/>
              <w:rPr>
                <w:sz w:val="16"/>
                <w:szCs w:val="16"/>
              </w:rPr>
            </w:pPr>
            <w:r w:rsidRPr="004F5792">
              <w:rPr>
                <w:sz w:val="16"/>
                <w:szCs w:val="16"/>
              </w:rPr>
              <w:t>153</w:t>
            </w:r>
          </w:p>
        </w:tc>
        <w:tc>
          <w:tcPr>
            <w:tcW w:w="0" w:type="auto"/>
          </w:tcPr>
          <w:p w14:paraId="55FD5749" w14:textId="77777777" w:rsidR="004F5792" w:rsidRPr="004F5792" w:rsidRDefault="004F5792" w:rsidP="004F5792">
            <w:pPr>
              <w:jc w:val="center"/>
              <w:rPr>
                <w:sz w:val="16"/>
                <w:szCs w:val="16"/>
              </w:rPr>
            </w:pPr>
            <w:r w:rsidRPr="004F5792">
              <w:rPr>
                <w:sz w:val="16"/>
                <w:szCs w:val="16"/>
              </w:rPr>
              <w:t>167</w:t>
            </w:r>
          </w:p>
        </w:tc>
        <w:tc>
          <w:tcPr>
            <w:tcW w:w="0" w:type="auto"/>
          </w:tcPr>
          <w:p w14:paraId="730A7145" w14:textId="77777777" w:rsidR="004F5792" w:rsidRPr="004F5792" w:rsidRDefault="004F5792" w:rsidP="004F5792">
            <w:pPr>
              <w:jc w:val="center"/>
              <w:rPr>
                <w:sz w:val="16"/>
                <w:szCs w:val="16"/>
              </w:rPr>
            </w:pPr>
            <w:r w:rsidRPr="004F5792">
              <w:rPr>
                <w:sz w:val="16"/>
                <w:szCs w:val="16"/>
              </w:rPr>
              <w:t>18 (-20 to 44)</w:t>
            </w:r>
          </w:p>
        </w:tc>
        <w:tc>
          <w:tcPr>
            <w:tcW w:w="0" w:type="auto"/>
          </w:tcPr>
          <w:p w14:paraId="72A85787" w14:textId="77777777" w:rsidR="004F5792" w:rsidRPr="004F5792" w:rsidRDefault="004F5792" w:rsidP="004F5792">
            <w:pPr>
              <w:jc w:val="center"/>
              <w:rPr>
                <w:sz w:val="16"/>
                <w:szCs w:val="16"/>
              </w:rPr>
            </w:pPr>
            <w:r w:rsidRPr="004F5792">
              <w:rPr>
                <w:sz w:val="16"/>
                <w:szCs w:val="16"/>
              </w:rPr>
              <w:t>36 (-12 to 64)</w:t>
            </w:r>
          </w:p>
        </w:tc>
        <w:tc>
          <w:tcPr>
            <w:tcW w:w="1315" w:type="dxa"/>
          </w:tcPr>
          <w:p w14:paraId="3F32D2CD" w14:textId="77777777" w:rsidR="004F5792" w:rsidRPr="004F5792" w:rsidRDefault="004F5792" w:rsidP="004F5792">
            <w:pPr>
              <w:jc w:val="center"/>
              <w:rPr>
                <w:sz w:val="16"/>
                <w:szCs w:val="16"/>
              </w:rPr>
            </w:pPr>
            <w:r w:rsidRPr="004F5792">
              <w:rPr>
                <w:sz w:val="16"/>
                <w:szCs w:val="16"/>
              </w:rPr>
              <w:t>-5 (-79 to 38)</w:t>
            </w:r>
          </w:p>
        </w:tc>
      </w:tr>
      <w:tr w:rsidR="004F5792" w:rsidRPr="004F5792" w14:paraId="4AF98184" w14:textId="77777777" w:rsidTr="00F17B89">
        <w:trPr>
          <w:jc w:val="center"/>
        </w:trPr>
        <w:tc>
          <w:tcPr>
            <w:tcW w:w="1576" w:type="dxa"/>
          </w:tcPr>
          <w:p w14:paraId="4048203D" w14:textId="77777777" w:rsidR="004F5792" w:rsidRPr="004F5792" w:rsidRDefault="004F5792" w:rsidP="004F5792">
            <w:pPr>
              <w:jc w:val="center"/>
              <w:rPr>
                <w:b/>
                <w:sz w:val="16"/>
                <w:szCs w:val="16"/>
              </w:rPr>
            </w:pPr>
            <w:r w:rsidRPr="004F5792">
              <w:rPr>
                <w:sz w:val="16"/>
                <w:szCs w:val="16"/>
              </w:rPr>
              <w:t>5-14y</w:t>
            </w:r>
          </w:p>
        </w:tc>
        <w:tc>
          <w:tcPr>
            <w:tcW w:w="1861" w:type="dxa"/>
          </w:tcPr>
          <w:p w14:paraId="2A09A365" w14:textId="77777777" w:rsidR="004F5792" w:rsidRPr="004F5792" w:rsidRDefault="004F5792" w:rsidP="004F5792">
            <w:pPr>
              <w:jc w:val="center"/>
              <w:rPr>
                <w:sz w:val="16"/>
                <w:szCs w:val="16"/>
              </w:rPr>
            </w:pPr>
            <w:r w:rsidRPr="004F5792">
              <w:rPr>
                <w:sz w:val="16"/>
                <w:szCs w:val="16"/>
              </w:rPr>
              <w:t>79</w:t>
            </w:r>
          </w:p>
        </w:tc>
        <w:tc>
          <w:tcPr>
            <w:tcW w:w="0" w:type="auto"/>
          </w:tcPr>
          <w:p w14:paraId="4ECE2E5C" w14:textId="77777777" w:rsidR="004F5792" w:rsidRPr="004F5792" w:rsidRDefault="004F5792" w:rsidP="004F5792">
            <w:pPr>
              <w:jc w:val="center"/>
              <w:rPr>
                <w:sz w:val="16"/>
                <w:szCs w:val="16"/>
              </w:rPr>
            </w:pPr>
            <w:r w:rsidRPr="004F5792">
              <w:rPr>
                <w:sz w:val="16"/>
                <w:szCs w:val="16"/>
              </w:rPr>
              <w:t>71</w:t>
            </w:r>
          </w:p>
        </w:tc>
        <w:tc>
          <w:tcPr>
            <w:tcW w:w="0" w:type="auto"/>
          </w:tcPr>
          <w:p w14:paraId="56D56300" w14:textId="77777777" w:rsidR="004F5792" w:rsidRPr="004F5792" w:rsidRDefault="004F5792" w:rsidP="004F5792">
            <w:pPr>
              <w:jc w:val="center"/>
              <w:rPr>
                <w:sz w:val="16"/>
                <w:szCs w:val="16"/>
              </w:rPr>
            </w:pPr>
            <w:r w:rsidRPr="004F5792">
              <w:rPr>
                <w:sz w:val="16"/>
                <w:szCs w:val="16"/>
              </w:rPr>
              <w:t>68</w:t>
            </w:r>
          </w:p>
        </w:tc>
        <w:tc>
          <w:tcPr>
            <w:tcW w:w="0" w:type="auto"/>
          </w:tcPr>
          <w:p w14:paraId="5343E033" w14:textId="77777777" w:rsidR="004F5792" w:rsidRPr="004F5792" w:rsidRDefault="004F5792" w:rsidP="004F5792">
            <w:pPr>
              <w:jc w:val="center"/>
              <w:rPr>
                <w:sz w:val="16"/>
                <w:szCs w:val="16"/>
              </w:rPr>
            </w:pPr>
            <w:r w:rsidRPr="004F5792">
              <w:rPr>
                <w:sz w:val="16"/>
                <w:szCs w:val="16"/>
              </w:rPr>
              <w:t>0 (-52 to 34)</w:t>
            </w:r>
          </w:p>
        </w:tc>
        <w:tc>
          <w:tcPr>
            <w:tcW w:w="0" w:type="auto"/>
          </w:tcPr>
          <w:p w14:paraId="6DFCDF43" w14:textId="77777777" w:rsidR="004F5792" w:rsidRPr="004F5792" w:rsidRDefault="004F5792" w:rsidP="004F5792">
            <w:pPr>
              <w:jc w:val="center"/>
              <w:rPr>
                <w:sz w:val="16"/>
                <w:szCs w:val="16"/>
              </w:rPr>
            </w:pPr>
            <w:r w:rsidRPr="004F5792">
              <w:rPr>
                <w:sz w:val="16"/>
                <w:szCs w:val="16"/>
              </w:rPr>
              <w:t>6 (-77 to 49)</w:t>
            </w:r>
          </w:p>
        </w:tc>
        <w:tc>
          <w:tcPr>
            <w:tcW w:w="1315" w:type="dxa"/>
          </w:tcPr>
          <w:p w14:paraId="190E0C45" w14:textId="77777777" w:rsidR="004F5792" w:rsidRPr="004F5792" w:rsidRDefault="004F5792" w:rsidP="004F5792">
            <w:pPr>
              <w:jc w:val="center"/>
              <w:rPr>
                <w:sz w:val="16"/>
                <w:szCs w:val="16"/>
              </w:rPr>
            </w:pPr>
            <w:r w:rsidRPr="004F5792">
              <w:rPr>
                <w:sz w:val="16"/>
                <w:szCs w:val="16"/>
              </w:rPr>
              <w:t>-6 (-86 to 39)</w:t>
            </w:r>
          </w:p>
        </w:tc>
      </w:tr>
      <w:tr w:rsidR="004F5792" w:rsidRPr="004F5792" w14:paraId="415FB110" w14:textId="77777777" w:rsidTr="00F17B89">
        <w:trPr>
          <w:jc w:val="center"/>
        </w:trPr>
        <w:tc>
          <w:tcPr>
            <w:tcW w:w="1576" w:type="dxa"/>
          </w:tcPr>
          <w:p w14:paraId="60EA859C" w14:textId="77777777" w:rsidR="004F5792" w:rsidRPr="004F5792" w:rsidRDefault="004F5792" w:rsidP="004F5792">
            <w:pPr>
              <w:jc w:val="center"/>
              <w:rPr>
                <w:b/>
                <w:sz w:val="16"/>
                <w:szCs w:val="16"/>
              </w:rPr>
            </w:pPr>
            <w:r w:rsidRPr="004F5792">
              <w:rPr>
                <w:sz w:val="16"/>
                <w:szCs w:val="16"/>
              </w:rPr>
              <w:t>15-64y</w:t>
            </w:r>
          </w:p>
        </w:tc>
        <w:tc>
          <w:tcPr>
            <w:tcW w:w="1861" w:type="dxa"/>
          </w:tcPr>
          <w:p w14:paraId="201497A7" w14:textId="77777777" w:rsidR="004F5792" w:rsidRPr="004F5792" w:rsidRDefault="004F5792" w:rsidP="004F5792">
            <w:pPr>
              <w:jc w:val="center"/>
              <w:rPr>
                <w:sz w:val="16"/>
                <w:szCs w:val="16"/>
              </w:rPr>
            </w:pPr>
            <w:r w:rsidRPr="004F5792">
              <w:rPr>
                <w:sz w:val="16"/>
                <w:szCs w:val="16"/>
              </w:rPr>
              <w:t>55</w:t>
            </w:r>
          </w:p>
        </w:tc>
        <w:tc>
          <w:tcPr>
            <w:tcW w:w="0" w:type="auto"/>
          </w:tcPr>
          <w:p w14:paraId="510A9D4F" w14:textId="77777777" w:rsidR="004F5792" w:rsidRPr="004F5792" w:rsidRDefault="004F5792" w:rsidP="004F5792">
            <w:pPr>
              <w:jc w:val="center"/>
              <w:rPr>
                <w:sz w:val="16"/>
                <w:szCs w:val="16"/>
              </w:rPr>
            </w:pPr>
            <w:r w:rsidRPr="004F5792">
              <w:rPr>
                <w:sz w:val="16"/>
                <w:szCs w:val="16"/>
              </w:rPr>
              <w:t>51</w:t>
            </w:r>
          </w:p>
        </w:tc>
        <w:tc>
          <w:tcPr>
            <w:tcW w:w="0" w:type="auto"/>
          </w:tcPr>
          <w:p w14:paraId="1F41D005" w14:textId="77777777" w:rsidR="004F5792" w:rsidRPr="004F5792" w:rsidRDefault="004F5792" w:rsidP="004F5792">
            <w:pPr>
              <w:jc w:val="center"/>
              <w:rPr>
                <w:sz w:val="16"/>
                <w:szCs w:val="16"/>
              </w:rPr>
            </w:pPr>
            <w:r w:rsidRPr="004F5792">
              <w:rPr>
                <w:sz w:val="16"/>
                <w:szCs w:val="16"/>
              </w:rPr>
              <w:t>61</w:t>
            </w:r>
          </w:p>
        </w:tc>
        <w:tc>
          <w:tcPr>
            <w:tcW w:w="0" w:type="auto"/>
          </w:tcPr>
          <w:p w14:paraId="3AD60E02" w14:textId="77777777" w:rsidR="004F5792" w:rsidRPr="004F5792" w:rsidRDefault="004F5792" w:rsidP="004F5792">
            <w:pPr>
              <w:jc w:val="center"/>
              <w:rPr>
                <w:sz w:val="16"/>
                <w:szCs w:val="16"/>
              </w:rPr>
            </w:pPr>
            <w:r w:rsidRPr="004F5792">
              <w:rPr>
                <w:sz w:val="16"/>
                <w:szCs w:val="16"/>
              </w:rPr>
              <w:t>24 (7 to 38)</w:t>
            </w:r>
          </w:p>
        </w:tc>
        <w:tc>
          <w:tcPr>
            <w:tcW w:w="0" w:type="auto"/>
          </w:tcPr>
          <w:p w14:paraId="40E4336D" w14:textId="77777777" w:rsidR="004F5792" w:rsidRPr="004F5792" w:rsidRDefault="004F5792" w:rsidP="004F5792">
            <w:pPr>
              <w:jc w:val="center"/>
              <w:rPr>
                <w:sz w:val="16"/>
                <w:szCs w:val="16"/>
              </w:rPr>
            </w:pPr>
            <w:r w:rsidRPr="004F5792">
              <w:rPr>
                <w:sz w:val="16"/>
                <w:szCs w:val="16"/>
              </w:rPr>
              <w:t>29 (0 to 49)</w:t>
            </w:r>
          </w:p>
        </w:tc>
        <w:tc>
          <w:tcPr>
            <w:tcW w:w="1315" w:type="dxa"/>
          </w:tcPr>
          <w:p w14:paraId="0D95A821" w14:textId="77777777" w:rsidR="004F5792" w:rsidRPr="004F5792" w:rsidRDefault="004F5792" w:rsidP="004F5792">
            <w:pPr>
              <w:jc w:val="center"/>
              <w:rPr>
                <w:sz w:val="16"/>
                <w:szCs w:val="16"/>
              </w:rPr>
            </w:pPr>
            <w:r w:rsidRPr="004F5792">
              <w:rPr>
                <w:sz w:val="16"/>
                <w:szCs w:val="16"/>
              </w:rPr>
              <w:t>21 (-4 to 40)</w:t>
            </w:r>
          </w:p>
        </w:tc>
      </w:tr>
      <w:tr w:rsidR="004F5792" w:rsidRPr="004F5792" w14:paraId="0E5D5A90" w14:textId="77777777" w:rsidTr="00F17B89">
        <w:trPr>
          <w:jc w:val="center"/>
        </w:trPr>
        <w:tc>
          <w:tcPr>
            <w:tcW w:w="1576" w:type="dxa"/>
          </w:tcPr>
          <w:p w14:paraId="0F1879B3" w14:textId="77777777" w:rsidR="004F5792" w:rsidRPr="004F5792" w:rsidRDefault="004F5792" w:rsidP="004F5792">
            <w:pPr>
              <w:jc w:val="center"/>
              <w:rPr>
                <w:b/>
                <w:sz w:val="16"/>
                <w:szCs w:val="16"/>
              </w:rPr>
            </w:pPr>
            <w:r w:rsidRPr="004F5792">
              <w:rPr>
                <w:sz w:val="16"/>
                <w:szCs w:val="16"/>
              </w:rPr>
              <w:t>65+</w:t>
            </w:r>
          </w:p>
        </w:tc>
        <w:tc>
          <w:tcPr>
            <w:tcW w:w="1861" w:type="dxa"/>
          </w:tcPr>
          <w:p w14:paraId="3901750F" w14:textId="77777777" w:rsidR="004F5792" w:rsidRPr="004F5792" w:rsidRDefault="004F5792" w:rsidP="004F5792">
            <w:pPr>
              <w:jc w:val="center"/>
              <w:rPr>
                <w:sz w:val="16"/>
                <w:szCs w:val="16"/>
              </w:rPr>
            </w:pPr>
            <w:r w:rsidRPr="004F5792">
              <w:rPr>
                <w:sz w:val="16"/>
                <w:szCs w:val="16"/>
              </w:rPr>
              <w:t>22</w:t>
            </w:r>
          </w:p>
        </w:tc>
        <w:tc>
          <w:tcPr>
            <w:tcW w:w="0" w:type="auto"/>
          </w:tcPr>
          <w:p w14:paraId="07F4A0A9" w14:textId="77777777" w:rsidR="004F5792" w:rsidRPr="004F5792" w:rsidRDefault="004F5792" w:rsidP="004F5792">
            <w:pPr>
              <w:jc w:val="center"/>
              <w:rPr>
                <w:sz w:val="16"/>
                <w:szCs w:val="16"/>
              </w:rPr>
            </w:pPr>
            <w:r w:rsidRPr="004F5792">
              <w:rPr>
                <w:sz w:val="16"/>
                <w:szCs w:val="16"/>
              </w:rPr>
              <w:t>18</w:t>
            </w:r>
          </w:p>
        </w:tc>
        <w:tc>
          <w:tcPr>
            <w:tcW w:w="0" w:type="auto"/>
          </w:tcPr>
          <w:p w14:paraId="4EC42F90" w14:textId="77777777" w:rsidR="004F5792" w:rsidRPr="004F5792" w:rsidRDefault="004F5792" w:rsidP="004F5792">
            <w:pPr>
              <w:jc w:val="center"/>
              <w:rPr>
                <w:sz w:val="16"/>
                <w:szCs w:val="16"/>
              </w:rPr>
            </w:pPr>
            <w:r w:rsidRPr="004F5792">
              <w:rPr>
                <w:sz w:val="16"/>
                <w:szCs w:val="16"/>
              </w:rPr>
              <w:t>52</w:t>
            </w:r>
          </w:p>
        </w:tc>
        <w:tc>
          <w:tcPr>
            <w:tcW w:w="0" w:type="auto"/>
          </w:tcPr>
          <w:p w14:paraId="57617BAE" w14:textId="77777777" w:rsidR="004F5792" w:rsidRPr="004F5792" w:rsidRDefault="004F5792" w:rsidP="004F5792">
            <w:pPr>
              <w:jc w:val="center"/>
              <w:rPr>
                <w:sz w:val="16"/>
                <w:szCs w:val="16"/>
              </w:rPr>
            </w:pPr>
            <w:r w:rsidRPr="004F5792">
              <w:rPr>
                <w:sz w:val="16"/>
                <w:szCs w:val="16"/>
              </w:rPr>
              <w:t>47 (-15 to 75)</w:t>
            </w:r>
          </w:p>
        </w:tc>
        <w:tc>
          <w:tcPr>
            <w:tcW w:w="0" w:type="auto"/>
          </w:tcPr>
          <w:p w14:paraId="51D2B048" w14:textId="77777777" w:rsidR="004F5792" w:rsidRPr="004F5792" w:rsidRDefault="004F5792" w:rsidP="004F5792">
            <w:pPr>
              <w:jc w:val="center"/>
              <w:rPr>
                <w:sz w:val="16"/>
                <w:szCs w:val="16"/>
              </w:rPr>
            </w:pPr>
            <w:r w:rsidRPr="004F5792">
              <w:rPr>
                <w:sz w:val="16"/>
                <w:szCs w:val="16"/>
              </w:rPr>
              <w:t>56 (-43 to 86)</w:t>
            </w:r>
          </w:p>
        </w:tc>
        <w:tc>
          <w:tcPr>
            <w:tcW w:w="1315" w:type="dxa"/>
          </w:tcPr>
          <w:p w14:paraId="1AC18D7B" w14:textId="77777777" w:rsidR="004F5792" w:rsidRPr="004F5792" w:rsidRDefault="004F5792" w:rsidP="004F5792">
            <w:pPr>
              <w:jc w:val="center"/>
              <w:rPr>
                <w:sz w:val="16"/>
                <w:szCs w:val="16"/>
              </w:rPr>
            </w:pPr>
            <w:r w:rsidRPr="004F5792">
              <w:rPr>
                <w:sz w:val="16"/>
                <w:szCs w:val="16"/>
              </w:rPr>
              <w:t>38 (-72 to 78)</w:t>
            </w:r>
          </w:p>
        </w:tc>
      </w:tr>
      <w:tr w:rsidR="004F5792" w:rsidRPr="004F5792" w14:paraId="403F70FB" w14:textId="77777777" w:rsidTr="00F17B89">
        <w:trPr>
          <w:jc w:val="center"/>
        </w:trPr>
        <w:tc>
          <w:tcPr>
            <w:tcW w:w="1576" w:type="dxa"/>
          </w:tcPr>
          <w:p w14:paraId="2E68069A" w14:textId="77777777" w:rsidR="004F5792" w:rsidRPr="004F5792" w:rsidRDefault="004F5792" w:rsidP="004F5792">
            <w:pPr>
              <w:jc w:val="center"/>
              <w:rPr>
                <w:b/>
                <w:sz w:val="16"/>
                <w:szCs w:val="16"/>
              </w:rPr>
            </w:pPr>
            <w:r w:rsidRPr="004F5792">
              <w:rPr>
                <w:sz w:val="16"/>
                <w:szCs w:val="16"/>
              </w:rPr>
              <w:t>Total 0-59m</w:t>
            </w:r>
          </w:p>
        </w:tc>
        <w:tc>
          <w:tcPr>
            <w:tcW w:w="1861" w:type="dxa"/>
          </w:tcPr>
          <w:p w14:paraId="67D215F0" w14:textId="77777777" w:rsidR="004F5792" w:rsidRPr="004F5792" w:rsidRDefault="004F5792" w:rsidP="004F5792">
            <w:pPr>
              <w:jc w:val="center"/>
              <w:rPr>
                <w:sz w:val="16"/>
                <w:szCs w:val="16"/>
              </w:rPr>
            </w:pPr>
            <w:r w:rsidRPr="004F5792">
              <w:rPr>
                <w:sz w:val="16"/>
                <w:szCs w:val="16"/>
              </w:rPr>
              <w:t>362</w:t>
            </w:r>
          </w:p>
        </w:tc>
        <w:tc>
          <w:tcPr>
            <w:tcW w:w="0" w:type="auto"/>
          </w:tcPr>
          <w:p w14:paraId="01A089C8" w14:textId="77777777" w:rsidR="004F5792" w:rsidRPr="004F5792" w:rsidRDefault="004F5792" w:rsidP="004F5792">
            <w:pPr>
              <w:jc w:val="center"/>
              <w:rPr>
                <w:sz w:val="16"/>
                <w:szCs w:val="16"/>
              </w:rPr>
            </w:pPr>
            <w:r w:rsidRPr="004F5792">
              <w:rPr>
                <w:sz w:val="16"/>
                <w:szCs w:val="16"/>
              </w:rPr>
              <w:t>231</w:t>
            </w:r>
          </w:p>
        </w:tc>
        <w:tc>
          <w:tcPr>
            <w:tcW w:w="0" w:type="auto"/>
          </w:tcPr>
          <w:p w14:paraId="06D27F39" w14:textId="77777777" w:rsidR="004F5792" w:rsidRPr="004F5792" w:rsidRDefault="004F5792" w:rsidP="004F5792">
            <w:pPr>
              <w:jc w:val="center"/>
              <w:rPr>
                <w:sz w:val="16"/>
                <w:szCs w:val="16"/>
              </w:rPr>
            </w:pPr>
            <w:r w:rsidRPr="004F5792">
              <w:rPr>
                <w:sz w:val="16"/>
                <w:szCs w:val="16"/>
              </w:rPr>
              <w:t>363</w:t>
            </w:r>
          </w:p>
        </w:tc>
        <w:tc>
          <w:tcPr>
            <w:tcW w:w="0" w:type="auto"/>
          </w:tcPr>
          <w:p w14:paraId="54675EB6" w14:textId="77777777" w:rsidR="004F5792" w:rsidRPr="004F5792" w:rsidRDefault="004F5792" w:rsidP="004F5792">
            <w:pPr>
              <w:jc w:val="center"/>
              <w:rPr>
                <w:sz w:val="16"/>
                <w:szCs w:val="16"/>
              </w:rPr>
            </w:pPr>
            <w:r w:rsidRPr="004F5792">
              <w:rPr>
                <w:sz w:val="16"/>
                <w:szCs w:val="16"/>
              </w:rPr>
              <w:t>32 (7 to 50)</w:t>
            </w:r>
          </w:p>
        </w:tc>
        <w:tc>
          <w:tcPr>
            <w:tcW w:w="0" w:type="auto"/>
          </w:tcPr>
          <w:p w14:paraId="1CA94985" w14:textId="77777777" w:rsidR="004F5792" w:rsidRPr="004F5792" w:rsidRDefault="004F5792" w:rsidP="004F5792">
            <w:pPr>
              <w:jc w:val="center"/>
              <w:rPr>
                <w:sz w:val="16"/>
                <w:szCs w:val="16"/>
              </w:rPr>
            </w:pPr>
            <w:r w:rsidRPr="004F5792">
              <w:rPr>
                <w:sz w:val="16"/>
                <w:szCs w:val="16"/>
              </w:rPr>
              <w:t>51 (22 to 69)</w:t>
            </w:r>
          </w:p>
        </w:tc>
        <w:tc>
          <w:tcPr>
            <w:tcW w:w="1315" w:type="dxa"/>
          </w:tcPr>
          <w:p w14:paraId="25762392" w14:textId="77777777" w:rsidR="004F5792" w:rsidRPr="004F5792" w:rsidRDefault="004F5792" w:rsidP="004F5792">
            <w:pPr>
              <w:jc w:val="center"/>
              <w:rPr>
                <w:sz w:val="16"/>
                <w:szCs w:val="16"/>
              </w:rPr>
            </w:pPr>
            <w:r w:rsidRPr="004F5792">
              <w:rPr>
                <w:sz w:val="16"/>
                <w:szCs w:val="16"/>
              </w:rPr>
              <w:t>12 (-27 to 39)</w:t>
            </w:r>
          </w:p>
        </w:tc>
      </w:tr>
      <w:tr w:rsidR="004F5792" w:rsidRPr="004F5792" w14:paraId="4F4A1CD8" w14:textId="77777777" w:rsidTr="00F17B89">
        <w:trPr>
          <w:jc w:val="center"/>
        </w:trPr>
        <w:tc>
          <w:tcPr>
            <w:tcW w:w="8864" w:type="dxa"/>
            <w:gridSpan w:val="7"/>
          </w:tcPr>
          <w:p w14:paraId="5CDE17F6" w14:textId="77777777" w:rsidR="004F5792" w:rsidRPr="004F5792" w:rsidRDefault="004F5792" w:rsidP="004F5792">
            <w:pPr>
              <w:jc w:val="center"/>
              <w:rPr>
                <w:sz w:val="16"/>
                <w:szCs w:val="16"/>
              </w:rPr>
            </w:pPr>
            <w:r w:rsidRPr="004F5792">
              <w:rPr>
                <w:sz w:val="16"/>
                <w:szCs w:val="16"/>
              </w:rPr>
              <w:t>GP consultations for infectious gastroenteritis</w:t>
            </w:r>
          </w:p>
        </w:tc>
      </w:tr>
      <w:tr w:rsidR="004F5792" w:rsidRPr="004F5792" w14:paraId="0DF1670D" w14:textId="77777777" w:rsidTr="00F17B89">
        <w:trPr>
          <w:jc w:val="center"/>
        </w:trPr>
        <w:tc>
          <w:tcPr>
            <w:tcW w:w="1576" w:type="dxa"/>
          </w:tcPr>
          <w:p w14:paraId="69417A8F" w14:textId="77777777" w:rsidR="004F5792" w:rsidRPr="004F5792" w:rsidRDefault="004F5792" w:rsidP="004F5792">
            <w:pPr>
              <w:jc w:val="center"/>
              <w:rPr>
                <w:rFonts w:eastAsia="Times New Roman" w:cs="Arial"/>
                <w:b/>
                <w:sz w:val="16"/>
                <w:szCs w:val="16"/>
                <w:lang w:eastAsia="en-GB"/>
              </w:rPr>
            </w:pPr>
            <w:r w:rsidRPr="004F5792">
              <w:rPr>
                <w:rFonts w:eastAsia="Times New Roman"/>
                <w:sz w:val="16"/>
                <w:szCs w:val="16"/>
                <w:lang w:eastAsia="en-GB"/>
              </w:rPr>
              <w:t>&lt;12m</w:t>
            </w:r>
          </w:p>
        </w:tc>
        <w:tc>
          <w:tcPr>
            <w:tcW w:w="1861" w:type="dxa"/>
          </w:tcPr>
          <w:p w14:paraId="1007B5F7" w14:textId="77777777" w:rsidR="004F5792" w:rsidRPr="004F5792" w:rsidRDefault="004F5792" w:rsidP="004F5792">
            <w:pPr>
              <w:jc w:val="center"/>
              <w:rPr>
                <w:sz w:val="16"/>
                <w:szCs w:val="16"/>
              </w:rPr>
            </w:pPr>
            <w:r w:rsidRPr="004F5792">
              <w:rPr>
                <w:sz w:val="16"/>
                <w:szCs w:val="16"/>
              </w:rPr>
              <w:t>674</w:t>
            </w:r>
          </w:p>
        </w:tc>
        <w:tc>
          <w:tcPr>
            <w:tcW w:w="0" w:type="auto"/>
          </w:tcPr>
          <w:p w14:paraId="12DC7B6E" w14:textId="77777777" w:rsidR="004F5792" w:rsidRPr="004F5792" w:rsidRDefault="004F5792" w:rsidP="004F5792">
            <w:pPr>
              <w:jc w:val="center"/>
              <w:rPr>
                <w:sz w:val="16"/>
                <w:szCs w:val="16"/>
              </w:rPr>
            </w:pPr>
            <w:r w:rsidRPr="004F5792">
              <w:rPr>
                <w:sz w:val="16"/>
                <w:szCs w:val="16"/>
              </w:rPr>
              <w:t>492</w:t>
            </w:r>
          </w:p>
        </w:tc>
        <w:tc>
          <w:tcPr>
            <w:tcW w:w="0" w:type="auto"/>
          </w:tcPr>
          <w:p w14:paraId="2F77F55E" w14:textId="77777777" w:rsidR="004F5792" w:rsidRPr="004F5792" w:rsidRDefault="004F5792" w:rsidP="004F5792">
            <w:pPr>
              <w:jc w:val="center"/>
              <w:rPr>
                <w:sz w:val="16"/>
                <w:szCs w:val="16"/>
              </w:rPr>
            </w:pPr>
            <w:r w:rsidRPr="004F5792">
              <w:rPr>
                <w:sz w:val="16"/>
                <w:szCs w:val="16"/>
              </w:rPr>
              <w:t>628</w:t>
            </w:r>
          </w:p>
        </w:tc>
        <w:tc>
          <w:tcPr>
            <w:tcW w:w="0" w:type="auto"/>
          </w:tcPr>
          <w:p w14:paraId="280CD8CA" w14:textId="77777777" w:rsidR="004F5792" w:rsidRPr="004F5792" w:rsidRDefault="004F5792" w:rsidP="004F5792">
            <w:pPr>
              <w:jc w:val="center"/>
              <w:rPr>
                <w:sz w:val="16"/>
                <w:szCs w:val="16"/>
              </w:rPr>
            </w:pPr>
            <w:r w:rsidRPr="004F5792">
              <w:rPr>
                <w:sz w:val="16"/>
                <w:szCs w:val="16"/>
              </w:rPr>
              <w:t>19 (4 to 33)</w:t>
            </w:r>
          </w:p>
        </w:tc>
        <w:tc>
          <w:tcPr>
            <w:tcW w:w="0" w:type="auto"/>
          </w:tcPr>
          <w:p w14:paraId="0FE5755C" w14:textId="77777777" w:rsidR="004F5792" w:rsidRPr="004F5792" w:rsidRDefault="004F5792" w:rsidP="004F5792">
            <w:pPr>
              <w:jc w:val="center"/>
              <w:rPr>
                <w:sz w:val="16"/>
                <w:szCs w:val="16"/>
              </w:rPr>
            </w:pPr>
            <w:r w:rsidRPr="004F5792">
              <w:rPr>
                <w:sz w:val="16"/>
                <w:szCs w:val="16"/>
              </w:rPr>
              <w:t>40 (27 to 51)</w:t>
            </w:r>
          </w:p>
        </w:tc>
        <w:tc>
          <w:tcPr>
            <w:tcW w:w="1315" w:type="dxa"/>
          </w:tcPr>
          <w:p w14:paraId="70D3F1D5" w14:textId="77777777" w:rsidR="004F5792" w:rsidRPr="004F5792" w:rsidRDefault="004F5792" w:rsidP="004F5792">
            <w:pPr>
              <w:jc w:val="center"/>
              <w:rPr>
                <w:sz w:val="16"/>
                <w:szCs w:val="16"/>
              </w:rPr>
            </w:pPr>
            <w:r w:rsidRPr="004F5792">
              <w:rPr>
                <w:sz w:val="16"/>
                <w:szCs w:val="16"/>
              </w:rPr>
              <w:t>3 (-20 to 21)</w:t>
            </w:r>
          </w:p>
        </w:tc>
      </w:tr>
      <w:tr w:rsidR="004F5792" w:rsidRPr="004F5792" w14:paraId="0C72B458" w14:textId="77777777" w:rsidTr="00F17B89">
        <w:trPr>
          <w:jc w:val="center"/>
        </w:trPr>
        <w:tc>
          <w:tcPr>
            <w:tcW w:w="1576" w:type="dxa"/>
          </w:tcPr>
          <w:p w14:paraId="010B1C24" w14:textId="77777777" w:rsidR="004F5792" w:rsidRPr="004F5792" w:rsidRDefault="004F5792" w:rsidP="004F5792">
            <w:pPr>
              <w:jc w:val="center"/>
              <w:rPr>
                <w:rFonts w:eastAsia="MS PGothic" w:cs="MS PGothic"/>
                <w:color w:val="000000" w:themeColor="text1"/>
                <w:kern w:val="24"/>
                <w:sz w:val="16"/>
                <w:szCs w:val="16"/>
                <w:lang w:eastAsia="en-GB"/>
              </w:rPr>
            </w:pPr>
            <w:r w:rsidRPr="004F5792">
              <w:rPr>
                <w:rFonts w:eastAsia="Times New Roman"/>
                <w:sz w:val="16"/>
                <w:szCs w:val="16"/>
                <w:lang w:eastAsia="en-GB"/>
              </w:rPr>
              <w:t>12-23m</w:t>
            </w:r>
          </w:p>
        </w:tc>
        <w:tc>
          <w:tcPr>
            <w:tcW w:w="1861" w:type="dxa"/>
          </w:tcPr>
          <w:p w14:paraId="22435052" w14:textId="77777777" w:rsidR="004F5792" w:rsidRPr="004F5792" w:rsidRDefault="004F5792" w:rsidP="004F5792">
            <w:pPr>
              <w:jc w:val="center"/>
              <w:rPr>
                <w:sz w:val="16"/>
                <w:szCs w:val="16"/>
              </w:rPr>
            </w:pPr>
            <w:r w:rsidRPr="004F5792">
              <w:rPr>
                <w:sz w:val="16"/>
                <w:szCs w:val="16"/>
              </w:rPr>
              <w:t>590</w:t>
            </w:r>
          </w:p>
        </w:tc>
        <w:tc>
          <w:tcPr>
            <w:tcW w:w="0" w:type="auto"/>
          </w:tcPr>
          <w:p w14:paraId="0B6D18F5" w14:textId="77777777" w:rsidR="004F5792" w:rsidRPr="004F5792" w:rsidRDefault="004F5792" w:rsidP="004F5792">
            <w:pPr>
              <w:jc w:val="center"/>
              <w:rPr>
                <w:sz w:val="16"/>
                <w:szCs w:val="16"/>
              </w:rPr>
            </w:pPr>
            <w:r w:rsidRPr="004F5792">
              <w:rPr>
                <w:sz w:val="16"/>
                <w:szCs w:val="16"/>
              </w:rPr>
              <w:t>418</w:t>
            </w:r>
          </w:p>
        </w:tc>
        <w:tc>
          <w:tcPr>
            <w:tcW w:w="0" w:type="auto"/>
          </w:tcPr>
          <w:p w14:paraId="736332B3" w14:textId="77777777" w:rsidR="004F5792" w:rsidRPr="004F5792" w:rsidRDefault="004F5792" w:rsidP="004F5792">
            <w:pPr>
              <w:jc w:val="center"/>
              <w:rPr>
                <w:sz w:val="16"/>
                <w:szCs w:val="16"/>
              </w:rPr>
            </w:pPr>
            <w:r w:rsidRPr="004F5792">
              <w:rPr>
                <w:sz w:val="16"/>
                <w:szCs w:val="16"/>
              </w:rPr>
              <w:t>498</w:t>
            </w:r>
          </w:p>
        </w:tc>
        <w:tc>
          <w:tcPr>
            <w:tcW w:w="0" w:type="auto"/>
          </w:tcPr>
          <w:p w14:paraId="3F9CEE5B" w14:textId="77777777" w:rsidR="004F5792" w:rsidRPr="004F5792" w:rsidRDefault="004F5792" w:rsidP="004F5792">
            <w:pPr>
              <w:jc w:val="center"/>
              <w:rPr>
                <w:sz w:val="16"/>
                <w:szCs w:val="16"/>
              </w:rPr>
            </w:pPr>
            <w:r w:rsidRPr="004F5792">
              <w:rPr>
                <w:sz w:val="16"/>
                <w:szCs w:val="16"/>
              </w:rPr>
              <w:t>13 (-10 to 31)</w:t>
            </w:r>
          </w:p>
        </w:tc>
        <w:tc>
          <w:tcPr>
            <w:tcW w:w="0" w:type="auto"/>
          </w:tcPr>
          <w:p w14:paraId="0270FBE5" w14:textId="77777777" w:rsidR="004F5792" w:rsidRPr="004F5792" w:rsidRDefault="004F5792" w:rsidP="004F5792">
            <w:pPr>
              <w:jc w:val="center"/>
              <w:rPr>
                <w:sz w:val="16"/>
                <w:szCs w:val="16"/>
              </w:rPr>
            </w:pPr>
            <w:r w:rsidRPr="004F5792">
              <w:rPr>
                <w:sz w:val="16"/>
                <w:szCs w:val="16"/>
              </w:rPr>
              <w:t>38 (11 to 56)</w:t>
            </w:r>
          </w:p>
        </w:tc>
        <w:tc>
          <w:tcPr>
            <w:tcW w:w="1315" w:type="dxa"/>
          </w:tcPr>
          <w:p w14:paraId="437C23B5" w14:textId="77777777" w:rsidR="004F5792" w:rsidRPr="004F5792" w:rsidRDefault="004F5792" w:rsidP="004F5792">
            <w:pPr>
              <w:jc w:val="center"/>
              <w:rPr>
                <w:sz w:val="16"/>
                <w:szCs w:val="16"/>
              </w:rPr>
            </w:pPr>
            <w:r w:rsidRPr="004F5792">
              <w:rPr>
                <w:sz w:val="16"/>
                <w:szCs w:val="16"/>
              </w:rPr>
              <w:t>-11 (-44 to 14)</w:t>
            </w:r>
          </w:p>
        </w:tc>
      </w:tr>
      <w:tr w:rsidR="004F5792" w:rsidRPr="004F5792" w14:paraId="19F5554E" w14:textId="77777777" w:rsidTr="00F17B89">
        <w:trPr>
          <w:jc w:val="center"/>
        </w:trPr>
        <w:tc>
          <w:tcPr>
            <w:tcW w:w="1576" w:type="dxa"/>
          </w:tcPr>
          <w:p w14:paraId="277D596E" w14:textId="77777777" w:rsidR="004F5792" w:rsidRPr="004F5792" w:rsidRDefault="004F5792" w:rsidP="004F5792">
            <w:pPr>
              <w:jc w:val="center"/>
              <w:rPr>
                <w:rFonts w:eastAsia="MS PGothic" w:cs="MS PGothic"/>
                <w:color w:val="000000" w:themeColor="text1"/>
                <w:kern w:val="24"/>
                <w:sz w:val="16"/>
                <w:szCs w:val="16"/>
                <w:lang w:eastAsia="en-GB"/>
              </w:rPr>
            </w:pPr>
            <w:r w:rsidRPr="004F5792">
              <w:rPr>
                <w:rFonts w:eastAsia="Times New Roman"/>
                <w:sz w:val="16"/>
                <w:szCs w:val="16"/>
                <w:lang w:eastAsia="en-GB"/>
              </w:rPr>
              <w:t>24-59m</w:t>
            </w:r>
          </w:p>
        </w:tc>
        <w:tc>
          <w:tcPr>
            <w:tcW w:w="1861" w:type="dxa"/>
          </w:tcPr>
          <w:p w14:paraId="0EDC930D" w14:textId="77777777" w:rsidR="004F5792" w:rsidRPr="004F5792" w:rsidRDefault="004F5792" w:rsidP="004F5792">
            <w:pPr>
              <w:jc w:val="center"/>
              <w:rPr>
                <w:sz w:val="16"/>
                <w:szCs w:val="16"/>
              </w:rPr>
            </w:pPr>
            <w:r w:rsidRPr="004F5792">
              <w:rPr>
                <w:sz w:val="16"/>
                <w:szCs w:val="16"/>
              </w:rPr>
              <w:t>184</w:t>
            </w:r>
          </w:p>
        </w:tc>
        <w:tc>
          <w:tcPr>
            <w:tcW w:w="0" w:type="auto"/>
          </w:tcPr>
          <w:p w14:paraId="3F021524" w14:textId="77777777" w:rsidR="004F5792" w:rsidRPr="004F5792" w:rsidRDefault="004F5792" w:rsidP="004F5792">
            <w:pPr>
              <w:jc w:val="center"/>
              <w:rPr>
                <w:sz w:val="16"/>
                <w:szCs w:val="16"/>
              </w:rPr>
            </w:pPr>
            <w:r w:rsidRPr="004F5792">
              <w:rPr>
                <w:sz w:val="16"/>
                <w:szCs w:val="16"/>
              </w:rPr>
              <w:t>166</w:t>
            </w:r>
          </w:p>
        </w:tc>
        <w:tc>
          <w:tcPr>
            <w:tcW w:w="0" w:type="auto"/>
          </w:tcPr>
          <w:p w14:paraId="4DF1E17D" w14:textId="77777777" w:rsidR="004F5792" w:rsidRPr="004F5792" w:rsidRDefault="004F5792" w:rsidP="004F5792">
            <w:pPr>
              <w:jc w:val="center"/>
              <w:rPr>
                <w:sz w:val="16"/>
                <w:szCs w:val="16"/>
              </w:rPr>
            </w:pPr>
            <w:r w:rsidRPr="004F5792">
              <w:rPr>
                <w:sz w:val="16"/>
                <w:szCs w:val="16"/>
              </w:rPr>
              <w:t>172</w:t>
            </w:r>
          </w:p>
        </w:tc>
        <w:tc>
          <w:tcPr>
            <w:tcW w:w="0" w:type="auto"/>
          </w:tcPr>
          <w:p w14:paraId="53646954" w14:textId="77777777" w:rsidR="004F5792" w:rsidRPr="004F5792" w:rsidRDefault="004F5792" w:rsidP="004F5792">
            <w:pPr>
              <w:jc w:val="center"/>
              <w:rPr>
                <w:sz w:val="16"/>
                <w:szCs w:val="16"/>
              </w:rPr>
            </w:pPr>
            <w:r w:rsidRPr="004F5792">
              <w:rPr>
                <w:sz w:val="16"/>
                <w:szCs w:val="16"/>
              </w:rPr>
              <w:t>8 (-14 to 26)</w:t>
            </w:r>
          </w:p>
        </w:tc>
        <w:tc>
          <w:tcPr>
            <w:tcW w:w="0" w:type="auto"/>
          </w:tcPr>
          <w:p w14:paraId="4E298B17" w14:textId="77777777" w:rsidR="004F5792" w:rsidRPr="004F5792" w:rsidRDefault="004F5792" w:rsidP="004F5792">
            <w:pPr>
              <w:jc w:val="center"/>
              <w:rPr>
                <w:sz w:val="16"/>
                <w:szCs w:val="16"/>
              </w:rPr>
            </w:pPr>
            <w:r w:rsidRPr="004F5792">
              <w:rPr>
                <w:sz w:val="16"/>
                <w:szCs w:val="16"/>
              </w:rPr>
              <w:t>7 (-29 to 33)</w:t>
            </w:r>
          </w:p>
        </w:tc>
        <w:tc>
          <w:tcPr>
            <w:tcW w:w="1315" w:type="dxa"/>
          </w:tcPr>
          <w:p w14:paraId="2AC9C773" w14:textId="77777777" w:rsidR="004F5792" w:rsidRPr="004F5792" w:rsidRDefault="004F5792" w:rsidP="004F5792">
            <w:pPr>
              <w:jc w:val="center"/>
              <w:rPr>
                <w:sz w:val="16"/>
                <w:szCs w:val="16"/>
              </w:rPr>
            </w:pPr>
            <w:r w:rsidRPr="004F5792">
              <w:rPr>
                <w:sz w:val="16"/>
                <w:szCs w:val="16"/>
              </w:rPr>
              <w:t>9 (-20 to 31)</w:t>
            </w:r>
          </w:p>
        </w:tc>
      </w:tr>
      <w:tr w:rsidR="004F5792" w:rsidRPr="004F5792" w14:paraId="2F0CF911" w14:textId="77777777" w:rsidTr="00F17B89">
        <w:trPr>
          <w:jc w:val="center"/>
        </w:trPr>
        <w:tc>
          <w:tcPr>
            <w:tcW w:w="1576" w:type="dxa"/>
          </w:tcPr>
          <w:p w14:paraId="73D65298" w14:textId="77777777" w:rsidR="004F5792" w:rsidRPr="004F5792" w:rsidRDefault="004F5792" w:rsidP="004F5792">
            <w:pPr>
              <w:jc w:val="center"/>
              <w:rPr>
                <w:rFonts w:eastAsia="MS PGothic" w:cs="MS PGothic"/>
                <w:color w:val="000000" w:themeColor="text1"/>
                <w:kern w:val="24"/>
                <w:sz w:val="16"/>
                <w:szCs w:val="16"/>
                <w:lang w:eastAsia="en-GB"/>
              </w:rPr>
            </w:pPr>
            <w:r w:rsidRPr="004F5792">
              <w:rPr>
                <w:rFonts w:eastAsia="Times New Roman"/>
                <w:sz w:val="16"/>
                <w:szCs w:val="16"/>
                <w:lang w:eastAsia="en-GB"/>
              </w:rPr>
              <w:t>5-14y</w:t>
            </w:r>
          </w:p>
        </w:tc>
        <w:tc>
          <w:tcPr>
            <w:tcW w:w="1861" w:type="dxa"/>
          </w:tcPr>
          <w:p w14:paraId="002B9971" w14:textId="77777777" w:rsidR="004F5792" w:rsidRPr="004F5792" w:rsidRDefault="004F5792" w:rsidP="004F5792">
            <w:pPr>
              <w:jc w:val="center"/>
              <w:rPr>
                <w:sz w:val="16"/>
                <w:szCs w:val="16"/>
              </w:rPr>
            </w:pPr>
            <w:r w:rsidRPr="004F5792">
              <w:rPr>
                <w:sz w:val="16"/>
                <w:szCs w:val="16"/>
              </w:rPr>
              <w:t>53</w:t>
            </w:r>
          </w:p>
        </w:tc>
        <w:tc>
          <w:tcPr>
            <w:tcW w:w="0" w:type="auto"/>
          </w:tcPr>
          <w:p w14:paraId="23AA4038" w14:textId="77777777" w:rsidR="004F5792" w:rsidRPr="004F5792" w:rsidRDefault="004F5792" w:rsidP="004F5792">
            <w:pPr>
              <w:jc w:val="center"/>
              <w:rPr>
                <w:sz w:val="16"/>
                <w:szCs w:val="16"/>
              </w:rPr>
            </w:pPr>
            <w:r w:rsidRPr="004F5792">
              <w:rPr>
                <w:sz w:val="16"/>
                <w:szCs w:val="16"/>
              </w:rPr>
              <w:t>56</w:t>
            </w:r>
          </w:p>
        </w:tc>
        <w:tc>
          <w:tcPr>
            <w:tcW w:w="0" w:type="auto"/>
          </w:tcPr>
          <w:p w14:paraId="556E78B7" w14:textId="77777777" w:rsidR="004F5792" w:rsidRPr="004F5792" w:rsidRDefault="004F5792" w:rsidP="004F5792">
            <w:pPr>
              <w:jc w:val="center"/>
              <w:rPr>
                <w:sz w:val="16"/>
                <w:szCs w:val="16"/>
              </w:rPr>
            </w:pPr>
            <w:r w:rsidRPr="004F5792">
              <w:rPr>
                <w:sz w:val="16"/>
                <w:szCs w:val="16"/>
              </w:rPr>
              <w:t>51</w:t>
            </w:r>
          </w:p>
        </w:tc>
        <w:tc>
          <w:tcPr>
            <w:tcW w:w="0" w:type="auto"/>
          </w:tcPr>
          <w:p w14:paraId="0A19DA94" w14:textId="77777777" w:rsidR="004F5792" w:rsidRPr="004F5792" w:rsidRDefault="004F5792" w:rsidP="004F5792">
            <w:pPr>
              <w:jc w:val="center"/>
              <w:rPr>
                <w:sz w:val="16"/>
                <w:szCs w:val="16"/>
              </w:rPr>
            </w:pPr>
            <w:r w:rsidRPr="004F5792">
              <w:rPr>
                <w:sz w:val="16"/>
                <w:szCs w:val="16"/>
              </w:rPr>
              <w:t>-3 (-21 to 12)</w:t>
            </w:r>
          </w:p>
        </w:tc>
        <w:tc>
          <w:tcPr>
            <w:tcW w:w="0" w:type="auto"/>
          </w:tcPr>
          <w:p w14:paraId="1CE307EE" w14:textId="77777777" w:rsidR="004F5792" w:rsidRPr="004F5792" w:rsidRDefault="004F5792" w:rsidP="004F5792">
            <w:pPr>
              <w:jc w:val="center"/>
              <w:rPr>
                <w:sz w:val="16"/>
                <w:szCs w:val="16"/>
              </w:rPr>
            </w:pPr>
            <w:r w:rsidRPr="004F5792">
              <w:rPr>
                <w:sz w:val="16"/>
                <w:szCs w:val="16"/>
              </w:rPr>
              <w:t>-7 (-38 to 17)</w:t>
            </w:r>
          </w:p>
        </w:tc>
        <w:tc>
          <w:tcPr>
            <w:tcW w:w="1315" w:type="dxa"/>
          </w:tcPr>
          <w:p w14:paraId="4CB3F6B9" w14:textId="77777777" w:rsidR="004F5792" w:rsidRPr="004F5792" w:rsidRDefault="004F5792" w:rsidP="004F5792">
            <w:pPr>
              <w:jc w:val="center"/>
              <w:rPr>
                <w:sz w:val="16"/>
                <w:szCs w:val="16"/>
              </w:rPr>
            </w:pPr>
            <w:r w:rsidRPr="004F5792">
              <w:rPr>
                <w:sz w:val="16"/>
                <w:szCs w:val="16"/>
              </w:rPr>
              <w:t>0 (-23 to 19)</w:t>
            </w:r>
          </w:p>
        </w:tc>
      </w:tr>
      <w:tr w:rsidR="004F5792" w:rsidRPr="004F5792" w14:paraId="59CCB045" w14:textId="77777777" w:rsidTr="00F17B89">
        <w:trPr>
          <w:jc w:val="center"/>
        </w:trPr>
        <w:tc>
          <w:tcPr>
            <w:tcW w:w="1576" w:type="dxa"/>
          </w:tcPr>
          <w:p w14:paraId="1FBBBD32" w14:textId="77777777" w:rsidR="004F5792" w:rsidRPr="004F5792" w:rsidRDefault="004F5792" w:rsidP="004F5792">
            <w:pPr>
              <w:jc w:val="center"/>
              <w:rPr>
                <w:rFonts w:eastAsia="Times New Roman" w:cs="Arial"/>
                <w:b/>
                <w:sz w:val="16"/>
                <w:szCs w:val="16"/>
                <w:lang w:eastAsia="en-GB"/>
              </w:rPr>
            </w:pPr>
            <w:r w:rsidRPr="004F5792">
              <w:rPr>
                <w:rFonts w:eastAsia="Times New Roman"/>
                <w:sz w:val="16"/>
                <w:szCs w:val="16"/>
                <w:lang w:eastAsia="en-GB"/>
              </w:rPr>
              <w:t>15-64y</w:t>
            </w:r>
          </w:p>
        </w:tc>
        <w:tc>
          <w:tcPr>
            <w:tcW w:w="1861" w:type="dxa"/>
          </w:tcPr>
          <w:p w14:paraId="0055ED9A" w14:textId="77777777" w:rsidR="004F5792" w:rsidRPr="004F5792" w:rsidRDefault="004F5792" w:rsidP="004F5792">
            <w:pPr>
              <w:jc w:val="center"/>
              <w:rPr>
                <w:sz w:val="16"/>
                <w:szCs w:val="16"/>
              </w:rPr>
            </w:pPr>
            <w:r w:rsidRPr="004F5792">
              <w:rPr>
                <w:sz w:val="16"/>
                <w:szCs w:val="16"/>
              </w:rPr>
              <w:t>41</w:t>
            </w:r>
          </w:p>
        </w:tc>
        <w:tc>
          <w:tcPr>
            <w:tcW w:w="0" w:type="auto"/>
          </w:tcPr>
          <w:p w14:paraId="7B88D687" w14:textId="77777777" w:rsidR="004F5792" w:rsidRPr="004F5792" w:rsidRDefault="004F5792" w:rsidP="004F5792">
            <w:pPr>
              <w:jc w:val="center"/>
              <w:rPr>
                <w:sz w:val="16"/>
                <w:szCs w:val="16"/>
              </w:rPr>
            </w:pPr>
            <w:r w:rsidRPr="004F5792">
              <w:rPr>
                <w:sz w:val="16"/>
                <w:szCs w:val="16"/>
              </w:rPr>
              <w:t>30</w:t>
            </w:r>
          </w:p>
        </w:tc>
        <w:tc>
          <w:tcPr>
            <w:tcW w:w="0" w:type="auto"/>
          </w:tcPr>
          <w:p w14:paraId="4B9AF1FA" w14:textId="77777777" w:rsidR="004F5792" w:rsidRPr="004F5792" w:rsidRDefault="004F5792" w:rsidP="004F5792">
            <w:pPr>
              <w:jc w:val="center"/>
              <w:rPr>
                <w:sz w:val="16"/>
                <w:szCs w:val="16"/>
              </w:rPr>
            </w:pPr>
            <w:r w:rsidRPr="004F5792">
              <w:rPr>
                <w:sz w:val="16"/>
                <w:szCs w:val="16"/>
              </w:rPr>
              <w:t>41</w:t>
            </w:r>
          </w:p>
        </w:tc>
        <w:tc>
          <w:tcPr>
            <w:tcW w:w="0" w:type="auto"/>
          </w:tcPr>
          <w:p w14:paraId="1241F27E" w14:textId="77777777" w:rsidR="004F5792" w:rsidRPr="004F5792" w:rsidRDefault="004F5792" w:rsidP="004F5792">
            <w:pPr>
              <w:jc w:val="center"/>
              <w:rPr>
                <w:sz w:val="16"/>
                <w:szCs w:val="16"/>
              </w:rPr>
            </w:pPr>
            <w:r w:rsidRPr="004F5792">
              <w:rPr>
                <w:sz w:val="16"/>
                <w:szCs w:val="16"/>
              </w:rPr>
              <w:t>26 (18 to 33)</w:t>
            </w:r>
          </w:p>
        </w:tc>
        <w:tc>
          <w:tcPr>
            <w:tcW w:w="0" w:type="auto"/>
          </w:tcPr>
          <w:p w14:paraId="07008A1E" w14:textId="77777777" w:rsidR="004F5792" w:rsidRPr="004F5792" w:rsidRDefault="004F5792" w:rsidP="004F5792">
            <w:pPr>
              <w:jc w:val="center"/>
              <w:rPr>
                <w:sz w:val="16"/>
                <w:szCs w:val="16"/>
              </w:rPr>
            </w:pPr>
            <w:r w:rsidRPr="004F5792">
              <w:rPr>
                <w:sz w:val="16"/>
                <w:szCs w:val="16"/>
              </w:rPr>
              <w:t>29 (17 to 40)</w:t>
            </w:r>
          </w:p>
        </w:tc>
        <w:tc>
          <w:tcPr>
            <w:tcW w:w="1315" w:type="dxa"/>
          </w:tcPr>
          <w:p w14:paraId="3ABF592C" w14:textId="77777777" w:rsidR="004F5792" w:rsidRPr="004F5792" w:rsidRDefault="004F5792" w:rsidP="004F5792">
            <w:pPr>
              <w:jc w:val="center"/>
              <w:rPr>
                <w:sz w:val="16"/>
                <w:szCs w:val="16"/>
              </w:rPr>
            </w:pPr>
            <w:r w:rsidRPr="004F5792">
              <w:rPr>
                <w:sz w:val="16"/>
                <w:szCs w:val="16"/>
              </w:rPr>
              <w:t>23 (13 to 32)</w:t>
            </w:r>
          </w:p>
        </w:tc>
      </w:tr>
      <w:tr w:rsidR="004F5792" w:rsidRPr="004F5792" w14:paraId="3D550620" w14:textId="77777777" w:rsidTr="00F17B89">
        <w:trPr>
          <w:jc w:val="center"/>
        </w:trPr>
        <w:tc>
          <w:tcPr>
            <w:tcW w:w="1576" w:type="dxa"/>
          </w:tcPr>
          <w:p w14:paraId="1C932541" w14:textId="77777777" w:rsidR="004F5792" w:rsidRPr="004F5792" w:rsidRDefault="004F5792" w:rsidP="004F5792">
            <w:pPr>
              <w:jc w:val="center"/>
              <w:rPr>
                <w:rFonts w:eastAsia="Times New Roman" w:cs="Arial"/>
                <w:b/>
                <w:sz w:val="16"/>
                <w:szCs w:val="16"/>
                <w:lang w:eastAsia="en-GB"/>
              </w:rPr>
            </w:pPr>
            <w:r w:rsidRPr="004F5792">
              <w:rPr>
                <w:rFonts w:eastAsia="Times New Roman"/>
                <w:sz w:val="16"/>
                <w:szCs w:val="16"/>
                <w:lang w:eastAsia="en-GB"/>
              </w:rPr>
              <w:t>65+</w:t>
            </w:r>
          </w:p>
        </w:tc>
        <w:tc>
          <w:tcPr>
            <w:tcW w:w="1861" w:type="dxa"/>
          </w:tcPr>
          <w:p w14:paraId="5408EE74" w14:textId="77777777" w:rsidR="004F5792" w:rsidRPr="004F5792" w:rsidRDefault="004F5792" w:rsidP="004F5792">
            <w:pPr>
              <w:jc w:val="center"/>
              <w:rPr>
                <w:sz w:val="16"/>
                <w:szCs w:val="16"/>
              </w:rPr>
            </w:pPr>
            <w:r w:rsidRPr="004F5792">
              <w:rPr>
                <w:sz w:val="16"/>
                <w:szCs w:val="16"/>
              </w:rPr>
              <w:t>35</w:t>
            </w:r>
          </w:p>
        </w:tc>
        <w:tc>
          <w:tcPr>
            <w:tcW w:w="0" w:type="auto"/>
          </w:tcPr>
          <w:p w14:paraId="75B0A8B0" w14:textId="77777777" w:rsidR="004F5792" w:rsidRPr="004F5792" w:rsidRDefault="004F5792" w:rsidP="004F5792">
            <w:pPr>
              <w:jc w:val="center"/>
              <w:rPr>
                <w:sz w:val="16"/>
                <w:szCs w:val="16"/>
              </w:rPr>
            </w:pPr>
            <w:r w:rsidRPr="004F5792">
              <w:rPr>
                <w:sz w:val="16"/>
                <w:szCs w:val="16"/>
              </w:rPr>
              <w:t>29</w:t>
            </w:r>
          </w:p>
        </w:tc>
        <w:tc>
          <w:tcPr>
            <w:tcW w:w="0" w:type="auto"/>
          </w:tcPr>
          <w:p w14:paraId="15444BE5" w14:textId="77777777" w:rsidR="004F5792" w:rsidRPr="004F5792" w:rsidRDefault="004F5792" w:rsidP="004F5792">
            <w:pPr>
              <w:jc w:val="center"/>
              <w:rPr>
                <w:sz w:val="16"/>
                <w:szCs w:val="16"/>
              </w:rPr>
            </w:pPr>
            <w:r w:rsidRPr="004F5792">
              <w:rPr>
                <w:sz w:val="16"/>
                <w:szCs w:val="16"/>
              </w:rPr>
              <w:t>48</w:t>
            </w:r>
          </w:p>
        </w:tc>
        <w:tc>
          <w:tcPr>
            <w:tcW w:w="0" w:type="auto"/>
          </w:tcPr>
          <w:p w14:paraId="78204FA7" w14:textId="77777777" w:rsidR="004F5792" w:rsidRPr="004F5792" w:rsidRDefault="004F5792" w:rsidP="004F5792">
            <w:pPr>
              <w:jc w:val="center"/>
              <w:rPr>
                <w:sz w:val="16"/>
                <w:szCs w:val="16"/>
              </w:rPr>
            </w:pPr>
            <w:r w:rsidRPr="004F5792">
              <w:rPr>
                <w:sz w:val="16"/>
                <w:szCs w:val="16"/>
              </w:rPr>
              <w:t>36 (25 to 45)</w:t>
            </w:r>
          </w:p>
        </w:tc>
        <w:tc>
          <w:tcPr>
            <w:tcW w:w="0" w:type="auto"/>
          </w:tcPr>
          <w:p w14:paraId="0A9CB41B" w14:textId="77777777" w:rsidR="004F5792" w:rsidRPr="004F5792" w:rsidRDefault="004F5792" w:rsidP="004F5792">
            <w:pPr>
              <w:jc w:val="center"/>
              <w:rPr>
                <w:sz w:val="16"/>
                <w:szCs w:val="16"/>
              </w:rPr>
            </w:pPr>
            <w:r w:rsidRPr="004F5792">
              <w:rPr>
                <w:sz w:val="16"/>
                <w:szCs w:val="16"/>
              </w:rPr>
              <w:t>43 (30 to 54)</w:t>
            </w:r>
          </w:p>
        </w:tc>
        <w:tc>
          <w:tcPr>
            <w:tcW w:w="1315" w:type="dxa"/>
          </w:tcPr>
          <w:p w14:paraId="38B61BCB" w14:textId="77777777" w:rsidR="004F5792" w:rsidRPr="004F5792" w:rsidRDefault="004F5792" w:rsidP="004F5792">
            <w:pPr>
              <w:jc w:val="center"/>
              <w:rPr>
                <w:sz w:val="16"/>
                <w:szCs w:val="16"/>
              </w:rPr>
            </w:pPr>
            <w:r w:rsidRPr="004F5792">
              <w:rPr>
                <w:sz w:val="16"/>
                <w:szCs w:val="16"/>
              </w:rPr>
              <w:t>30 (13 to 43)</w:t>
            </w:r>
          </w:p>
        </w:tc>
      </w:tr>
      <w:tr w:rsidR="004F5792" w:rsidRPr="004F5792" w14:paraId="30EA4E36" w14:textId="77777777" w:rsidTr="00F17B89">
        <w:trPr>
          <w:jc w:val="center"/>
        </w:trPr>
        <w:tc>
          <w:tcPr>
            <w:tcW w:w="1576" w:type="dxa"/>
          </w:tcPr>
          <w:p w14:paraId="01D8C921" w14:textId="77777777" w:rsidR="004F5792" w:rsidRPr="004F5792" w:rsidRDefault="004F5792" w:rsidP="004F5792">
            <w:pPr>
              <w:jc w:val="center"/>
              <w:rPr>
                <w:rFonts w:eastAsia="Times New Roman" w:cs="Arial"/>
                <w:b/>
                <w:sz w:val="16"/>
                <w:szCs w:val="16"/>
                <w:lang w:eastAsia="en-GB"/>
              </w:rPr>
            </w:pPr>
            <w:r w:rsidRPr="004F5792">
              <w:rPr>
                <w:rFonts w:eastAsia="Times New Roman"/>
                <w:sz w:val="16"/>
                <w:szCs w:val="16"/>
                <w:lang w:eastAsia="en-GB"/>
              </w:rPr>
              <w:t>Total 0-59m</w:t>
            </w:r>
          </w:p>
        </w:tc>
        <w:tc>
          <w:tcPr>
            <w:tcW w:w="1861" w:type="dxa"/>
          </w:tcPr>
          <w:p w14:paraId="74A89FBF" w14:textId="77777777" w:rsidR="004F5792" w:rsidRPr="004F5792" w:rsidRDefault="004F5792" w:rsidP="004F5792">
            <w:pPr>
              <w:jc w:val="center"/>
              <w:rPr>
                <w:sz w:val="16"/>
                <w:szCs w:val="16"/>
              </w:rPr>
            </w:pPr>
            <w:r w:rsidRPr="004F5792">
              <w:rPr>
                <w:sz w:val="16"/>
                <w:szCs w:val="16"/>
              </w:rPr>
              <w:t>363</w:t>
            </w:r>
          </w:p>
        </w:tc>
        <w:tc>
          <w:tcPr>
            <w:tcW w:w="0" w:type="auto"/>
          </w:tcPr>
          <w:p w14:paraId="04055B67" w14:textId="77777777" w:rsidR="004F5792" w:rsidRPr="004F5792" w:rsidRDefault="004F5792" w:rsidP="004F5792">
            <w:pPr>
              <w:jc w:val="center"/>
              <w:rPr>
                <w:sz w:val="16"/>
                <w:szCs w:val="16"/>
              </w:rPr>
            </w:pPr>
            <w:r w:rsidRPr="004F5792">
              <w:rPr>
                <w:sz w:val="16"/>
                <w:szCs w:val="16"/>
              </w:rPr>
              <w:t>282</w:t>
            </w:r>
          </w:p>
        </w:tc>
        <w:tc>
          <w:tcPr>
            <w:tcW w:w="0" w:type="auto"/>
          </w:tcPr>
          <w:p w14:paraId="5C902FF2" w14:textId="77777777" w:rsidR="004F5792" w:rsidRPr="004F5792" w:rsidRDefault="004F5792" w:rsidP="004F5792">
            <w:pPr>
              <w:jc w:val="center"/>
              <w:rPr>
                <w:sz w:val="16"/>
                <w:szCs w:val="16"/>
              </w:rPr>
            </w:pPr>
            <w:r w:rsidRPr="004F5792">
              <w:rPr>
                <w:sz w:val="16"/>
                <w:szCs w:val="16"/>
              </w:rPr>
              <w:t>331</w:t>
            </w:r>
          </w:p>
        </w:tc>
        <w:tc>
          <w:tcPr>
            <w:tcW w:w="0" w:type="auto"/>
          </w:tcPr>
          <w:p w14:paraId="228C333A" w14:textId="77777777" w:rsidR="004F5792" w:rsidRPr="004F5792" w:rsidRDefault="004F5792" w:rsidP="004F5792">
            <w:pPr>
              <w:jc w:val="center"/>
              <w:rPr>
                <w:sz w:val="16"/>
                <w:szCs w:val="16"/>
              </w:rPr>
            </w:pPr>
            <w:r w:rsidRPr="004F5792">
              <w:rPr>
                <w:sz w:val="16"/>
                <w:szCs w:val="16"/>
              </w:rPr>
              <w:t>13 (-3 to 26)</w:t>
            </w:r>
          </w:p>
        </w:tc>
        <w:tc>
          <w:tcPr>
            <w:tcW w:w="0" w:type="auto"/>
          </w:tcPr>
          <w:p w14:paraId="77960984" w14:textId="77777777" w:rsidR="004F5792" w:rsidRPr="004F5792" w:rsidRDefault="004F5792" w:rsidP="004F5792">
            <w:pPr>
              <w:jc w:val="center"/>
              <w:rPr>
                <w:sz w:val="16"/>
                <w:szCs w:val="16"/>
              </w:rPr>
            </w:pPr>
            <w:r w:rsidRPr="004F5792">
              <w:rPr>
                <w:sz w:val="16"/>
                <w:szCs w:val="16"/>
              </w:rPr>
              <w:t>29 (8 to 45)</w:t>
            </w:r>
          </w:p>
        </w:tc>
        <w:tc>
          <w:tcPr>
            <w:tcW w:w="1315" w:type="dxa"/>
          </w:tcPr>
          <w:p w14:paraId="51F7F7CD" w14:textId="77777777" w:rsidR="004F5792" w:rsidRPr="004F5792" w:rsidRDefault="004F5792" w:rsidP="004F5792">
            <w:pPr>
              <w:jc w:val="center"/>
              <w:rPr>
                <w:sz w:val="16"/>
                <w:szCs w:val="16"/>
              </w:rPr>
            </w:pPr>
            <w:r w:rsidRPr="004F5792">
              <w:rPr>
                <w:sz w:val="16"/>
                <w:szCs w:val="16"/>
              </w:rPr>
              <w:t>0 (-20 to 17)</w:t>
            </w:r>
          </w:p>
        </w:tc>
      </w:tr>
    </w:tbl>
    <w:p w14:paraId="69602262" w14:textId="77777777" w:rsidR="00261B1F" w:rsidRDefault="004F5792" w:rsidP="00261B1F">
      <w:pPr>
        <w:spacing w:before="200"/>
        <w:rPr>
          <w:sz w:val="18"/>
          <w:szCs w:val="18"/>
        </w:rPr>
        <w:sectPr w:rsidR="00261B1F" w:rsidSect="00230DA8">
          <w:pgSz w:w="11906" w:h="16838"/>
          <w:pgMar w:top="1440" w:right="1440" w:bottom="1440" w:left="1440" w:header="708" w:footer="708" w:gutter="0"/>
          <w:lnNumType w:countBy="1" w:restart="continuous"/>
          <w:cols w:space="708"/>
          <w:docGrid w:linePitch="360"/>
        </w:sectPr>
      </w:pPr>
      <w:r w:rsidRPr="004F5792">
        <w:rPr>
          <w:sz w:val="18"/>
          <w:szCs w:val="18"/>
        </w:rPr>
        <w:t xml:space="preserve">*Expected in the absence of vaccination using negative binomial or Poisson model adjusting for month and rotavirus year for the pre-vaccine years. †percent change is calculated as 1-risk ratio. Risk ratio was calculated using a negative binomial model adjusting for month and rotavirus year. </w:t>
      </w:r>
      <w:r w:rsidRPr="004F5792">
        <w:rPr>
          <w:sz w:val="18"/>
          <w:szCs w:val="18"/>
          <w:vertAlign w:val="superscript"/>
        </w:rPr>
        <w:t>¥</w:t>
      </w:r>
      <w:r w:rsidRPr="004F5792">
        <w:rPr>
          <w:sz w:val="18"/>
          <w:szCs w:val="18"/>
        </w:rPr>
        <w:t>Table 1 provides specific denominators for each outcome measure</w:t>
      </w:r>
    </w:p>
    <w:p w14:paraId="5CBA8613" w14:textId="1621449E" w:rsidR="0043314A" w:rsidRDefault="00393B65" w:rsidP="004F5792">
      <w:pPr>
        <w:pStyle w:val="Heading4"/>
        <w:spacing w:line="480" w:lineRule="auto"/>
      </w:pPr>
      <w:r>
        <w:lastRenderedPageBreak/>
        <w:t>Impact in persons aged 15</w:t>
      </w:r>
      <w:r w:rsidR="0043314A">
        <w:t>-64 years</w:t>
      </w:r>
    </w:p>
    <w:p w14:paraId="760DDFC6" w14:textId="667A8D3D" w:rsidR="00FC3915" w:rsidRDefault="00907ED5" w:rsidP="00261B1F">
      <w:pPr>
        <w:spacing w:after="120" w:line="480" w:lineRule="auto"/>
      </w:pPr>
      <w:r>
        <w:t>Data w</w:t>
      </w:r>
      <w:r w:rsidR="00933EE9">
        <w:t>ere</w:t>
      </w:r>
      <w:r>
        <w:t xml:space="preserve"> available for four out of five of the primary outcome</w:t>
      </w:r>
      <w:r w:rsidR="00933EE9">
        <w:t>s</w:t>
      </w:r>
      <w:r>
        <w:t xml:space="preserve">. </w:t>
      </w:r>
      <w:r w:rsidR="007563F7">
        <w:t xml:space="preserve">There was no </w:t>
      </w:r>
      <w:r w:rsidR="003770F8">
        <w:t>clearly identified</w:t>
      </w:r>
      <w:r w:rsidR="007563F7">
        <w:t xml:space="preserve"> seasonality in the pre-vaccine period for the non-specific outcome measures in this age group (Figure </w:t>
      </w:r>
      <w:r w:rsidR="0062101F">
        <w:t>3</w:t>
      </w:r>
      <w:r w:rsidR="007563F7">
        <w:t>)</w:t>
      </w:r>
      <w:r w:rsidR="0041239A">
        <w:t>.</w:t>
      </w:r>
      <w:r w:rsidR="007563F7">
        <w:t xml:space="preserve"> </w:t>
      </w:r>
      <w:r w:rsidR="00885CC5">
        <w:t xml:space="preserve">Moderate reductions were </w:t>
      </w:r>
      <w:r w:rsidR="00E753A0">
        <w:t>seen in persons aged 15-64 years across all outcome measures (Table 2)</w:t>
      </w:r>
      <w:r w:rsidR="00885CC5">
        <w:t xml:space="preserve">. </w:t>
      </w:r>
      <w:r w:rsidR="000C5C64">
        <w:t xml:space="preserve">In the post-vaccine period </w:t>
      </w:r>
      <w:r w:rsidR="009D298F">
        <w:t>h</w:t>
      </w:r>
      <w:r w:rsidR="00E753A0">
        <w:t>ospitalisation</w:t>
      </w:r>
      <w:r w:rsidR="000B1B6F">
        <w:t xml:space="preserve">s for </w:t>
      </w:r>
      <w:r w:rsidR="00DA665C">
        <w:t>all-cause AGE</w:t>
      </w:r>
      <w:r w:rsidR="00C61D7E">
        <w:t xml:space="preserve"> fell by 8% (95% CI</w:t>
      </w:r>
      <w:r w:rsidR="00582471">
        <w:t xml:space="preserve"> </w:t>
      </w:r>
      <w:r w:rsidR="00BB2E51">
        <w:t>2</w:t>
      </w:r>
      <w:r w:rsidR="00C61D7E">
        <w:t>-</w:t>
      </w:r>
      <w:r w:rsidR="00E753A0">
        <w:t>1</w:t>
      </w:r>
      <w:r w:rsidR="00BB2E51">
        <w:t>4</w:t>
      </w:r>
      <w:r w:rsidR="000B1B6F">
        <w:t>%</w:t>
      </w:r>
      <w:r w:rsidR="00E753A0">
        <w:t>), ED</w:t>
      </w:r>
      <w:r w:rsidR="00582471">
        <w:t xml:space="preserve"> attendances</w:t>
      </w:r>
      <w:r w:rsidR="00202C07">
        <w:t xml:space="preserve"> for gastrointestinal conditions</w:t>
      </w:r>
      <w:r w:rsidR="00C61D7E">
        <w:t xml:space="preserve"> by 29% (95% CI 16-</w:t>
      </w:r>
      <w:r w:rsidR="00E753A0">
        <w:t xml:space="preserve">40), </w:t>
      </w:r>
      <w:r w:rsidR="00202C07">
        <w:t xml:space="preserve">and </w:t>
      </w:r>
      <w:r w:rsidR="00E753A0">
        <w:t xml:space="preserve">WIC </w:t>
      </w:r>
      <w:r w:rsidR="00202C07">
        <w:t xml:space="preserve">and GP consultations for infectious gastroenteritis by </w:t>
      </w:r>
      <w:r w:rsidR="00E753A0">
        <w:t>24% (95%</w:t>
      </w:r>
      <w:r w:rsidR="00C61D7E">
        <w:t xml:space="preserve"> CI 16-</w:t>
      </w:r>
      <w:r w:rsidR="00E753A0">
        <w:t>40</w:t>
      </w:r>
      <w:r w:rsidR="000B1B6F">
        <w:t>%</w:t>
      </w:r>
      <w:r w:rsidR="00E753A0">
        <w:t xml:space="preserve">) </w:t>
      </w:r>
      <w:r w:rsidR="00202C07">
        <w:t xml:space="preserve">and </w:t>
      </w:r>
      <w:r w:rsidR="00C61D7E">
        <w:t>26 % (95% CI</w:t>
      </w:r>
      <w:r w:rsidR="00E753A0">
        <w:t xml:space="preserve"> </w:t>
      </w:r>
      <w:r w:rsidR="00C61D7E">
        <w:t>18-</w:t>
      </w:r>
      <w:r w:rsidR="000C5C64">
        <w:t>33</w:t>
      </w:r>
      <w:r w:rsidR="000B1B6F">
        <w:t>%</w:t>
      </w:r>
      <w:r w:rsidR="000C5C64">
        <w:t>)</w:t>
      </w:r>
      <w:r w:rsidR="00202C07">
        <w:t>, respectively</w:t>
      </w:r>
      <w:r w:rsidR="00E753A0">
        <w:t xml:space="preserve">. There </w:t>
      </w:r>
      <w:r w:rsidR="009D298F">
        <w:t>were no significant differences</w:t>
      </w:r>
      <w:r w:rsidR="000C5C64">
        <w:t xml:space="preserve"> in the level of </w:t>
      </w:r>
      <w:r w:rsidR="0079627B">
        <w:t xml:space="preserve">percentage </w:t>
      </w:r>
      <w:r w:rsidR="000C5C64">
        <w:t xml:space="preserve">change when comparing in season and out of season periods. </w:t>
      </w:r>
    </w:p>
    <w:p w14:paraId="427361A5" w14:textId="42C97D81" w:rsidR="0043314A" w:rsidRDefault="0043314A" w:rsidP="00AA588D">
      <w:pPr>
        <w:pStyle w:val="Heading4"/>
        <w:spacing w:before="0" w:line="480" w:lineRule="auto"/>
      </w:pPr>
      <w:r>
        <w:t>Impact in 65+ year olds</w:t>
      </w:r>
    </w:p>
    <w:p w14:paraId="3A3A946E" w14:textId="02B3D0E8" w:rsidR="000C5C64" w:rsidRPr="000C5C64" w:rsidRDefault="00907ED5" w:rsidP="00AA588D">
      <w:pPr>
        <w:spacing w:after="120" w:line="480" w:lineRule="auto"/>
      </w:pPr>
      <w:r>
        <w:t>There were significant</w:t>
      </w:r>
      <w:r w:rsidR="002B0DAB">
        <w:t>,</w:t>
      </w:r>
      <w:r>
        <w:t xml:space="preserve"> moderate reductions in </w:t>
      </w:r>
      <w:r w:rsidR="00DA665C">
        <w:t>all-cause AGE</w:t>
      </w:r>
      <w:r>
        <w:t xml:space="preserve"> hospitalisations, ED attendances for </w:t>
      </w:r>
      <w:r w:rsidR="00202C07">
        <w:t xml:space="preserve">gastrointestinal </w:t>
      </w:r>
      <w:r>
        <w:t>conditions and GP consultations for infectious gastroenteritis</w:t>
      </w:r>
      <w:r w:rsidR="0079627B">
        <w:t xml:space="preserve"> (</w:t>
      </w:r>
      <w:r w:rsidR="0062101F">
        <w:t xml:space="preserve">Figure 3; </w:t>
      </w:r>
      <w:r w:rsidR="0079627B">
        <w:t>Table 2)</w:t>
      </w:r>
      <w:r>
        <w:t>. The reduction in attendances to WICs for infectious gastroenteritis w</w:t>
      </w:r>
      <w:r w:rsidR="009D298F">
        <w:t xml:space="preserve">as </w:t>
      </w:r>
      <w:r>
        <w:t>no</w:t>
      </w:r>
      <w:r w:rsidR="00C61D7E">
        <w:t>n-significant (47%; 95% CI -15-</w:t>
      </w:r>
      <w:r>
        <w:t>75%)</w:t>
      </w:r>
      <w:r w:rsidR="000B1B6F">
        <w:t xml:space="preserve">. </w:t>
      </w:r>
      <w:r w:rsidR="002B0DAB">
        <w:t>T</w:t>
      </w:r>
      <w:r w:rsidR="000952D8">
        <w:t>he absolute rate of c</w:t>
      </w:r>
      <w:r w:rsidR="00FC67EF">
        <w:t xml:space="preserve">onsultations prevented </w:t>
      </w:r>
      <w:r w:rsidR="002B0DAB">
        <w:t>was</w:t>
      </w:r>
      <w:r w:rsidR="000952D8">
        <w:t xml:space="preserve"> </w:t>
      </w:r>
      <w:r w:rsidR="00FC67EF">
        <w:t>19 p</w:t>
      </w:r>
      <w:r w:rsidR="000952D8">
        <w:t>er 10,000 registered population for GPs and 34 per 10,000 for WICs</w:t>
      </w:r>
      <w:r w:rsidR="00FC67EF">
        <w:t xml:space="preserve"> (Table 2). </w:t>
      </w:r>
      <w:r w:rsidR="000B1B6F">
        <w:t>During the rotavirus season</w:t>
      </w:r>
      <w:r w:rsidR="003D1BEF">
        <w:t>,</w:t>
      </w:r>
      <w:r w:rsidR="000B1B6F">
        <w:t xml:space="preserve"> proportional reductions were slightly higher than out of season, although the difference was not significant</w:t>
      </w:r>
      <w:r w:rsidR="0079627B">
        <w:t>.</w:t>
      </w:r>
    </w:p>
    <w:p w14:paraId="5726D282" w14:textId="7F79E2C7" w:rsidR="0043314A" w:rsidRDefault="0043314A" w:rsidP="00AA588D">
      <w:pPr>
        <w:pStyle w:val="Heading3"/>
        <w:spacing w:before="120" w:line="480" w:lineRule="auto"/>
      </w:pPr>
      <w:r>
        <w:t xml:space="preserve"> </w:t>
      </w:r>
      <w:r w:rsidR="002B0DAB">
        <w:t>V</w:t>
      </w:r>
      <w:r>
        <w:t>accine impact</w:t>
      </w:r>
      <w:r w:rsidR="002B0DAB">
        <w:t xml:space="preserve"> by </w:t>
      </w:r>
      <w:r w:rsidR="00202C07">
        <w:t xml:space="preserve">socioeconomic </w:t>
      </w:r>
      <w:r w:rsidR="002B0DAB">
        <w:t>deprivation status</w:t>
      </w:r>
    </w:p>
    <w:p w14:paraId="5F7E28D5" w14:textId="1D2FCF0D" w:rsidR="004265E6" w:rsidRDefault="004265E6" w:rsidP="0043314A">
      <w:pPr>
        <w:pStyle w:val="Heading4"/>
        <w:spacing w:line="480" w:lineRule="auto"/>
      </w:pPr>
      <w:r>
        <w:t xml:space="preserve">Burden </w:t>
      </w:r>
      <w:r w:rsidR="000A0D36">
        <w:t xml:space="preserve">of gastrointestinal infection </w:t>
      </w:r>
      <w:r>
        <w:t xml:space="preserve">prior to </w:t>
      </w:r>
      <w:r w:rsidR="000A0D36">
        <w:t xml:space="preserve">vaccine </w:t>
      </w:r>
      <w:r>
        <w:t>introduction</w:t>
      </w:r>
    </w:p>
    <w:p w14:paraId="754249DF" w14:textId="7D3F574A" w:rsidR="002E41E7" w:rsidRDefault="00B06D54" w:rsidP="00F4596C">
      <w:pPr>
        <w:spacing w:line="480" w:lineRule="auto"/>
      </w:pPr>
      <w:r>
        <w:t xml:space="preserve">Prior to vaccine introduction the risk of being admitted to </w:t>
      </w:r>
      <w:r w:rsidR="004475A0">
        <w:t xml:space="preserve">hospital for </w:t>
      </w:r>
      <w:r w:rsidR="00DA665C">
        <w:t>all-cause AGE</w:t>
      </w:r>
      <w:r w:rsidR="004475A0">
        <w:t xml:space="preserve"> was </w:t>
      </w:r>
      <w:r w:rsidR="005711B1">
        <w:t>57</w:t>
      </w:r>
      <w:r w:rsidR="004475A0">
        <w:t>% higher (</w:t>
      </w:r>
      <w:r w:rsidR="000C3423">
        <w:t>I</w:t>
      </w:r>
      <w:r w:rsidR="004475A0">
        <w:t>RR=1.</w:t>
      </w:r>
      <w:r w:rsidR="005711B1">
        <w:t>57</w:t>
      </w:r>
      <w:r w:rsidR="00C61D7E">
        <w:t>;</w:t>
      </w:r>
      <w:r w:rsidR="004475A0">
        <w:t xml:space="preserve"> 95% C</w:t>
      </w:r>
      <w:r w:rsidR="002E41E7">
        <w:t>I</w:t>
      </w:r>
      <w:r w:rsidR="00C61D7E">
        <w:t xml:space="preserve"> 1.51-</w:t>
      </w:r>
      <w:r w:rsidR="005711B1">
        <w:t>1.64</w:t>
      </w:r>
      <w:r w:rsidR="004475A0">
        <w:t>) in the most socio-economically deprived populations of Merseyside compared to the least</w:t>
      </w:r>
      <w:r w:rsidR="00C72F0E">
        <w:t xml:space="preserve"> (Figure </w:t>
      </w:r>
      <w:r w:rsidR="0062101F">
        <w:t>4</w:t>
      </w:r>
      <w:r w:rsidR="00C72F0E">
        <w:t>)</w:t>
      </w:r>
      <w:r w:rsidR="004475A0">
        <w:t>. Age group stratified analyses showed that</w:t>
      </w:r>
      <w:r w:rsidR="00DD56A4">
        <w:t xml:space="preserve"> in all age groups apart from those 5-14 y</w:t>
      </w:r>
      <w:r w:rsidR="008E6180">
        <w:t>ears of age (</w:t>
      </w:r>
      <w:r w:rsidR="000C3423">
        <w:t>I</w:t>
      </w:r>
      <w:r w:rsidR="00C61D7E">
        <w:t>RR=1.08; 95% CI 0.96-</w:t>
      </w:r>
      <w:r w:rsidR="00DD56A4">
        <w:t xml:space="preserve">1.21), </w:t>
      </w:r>
      <w:r w:rsidR="001C3E64">
        <w:t xml:space="preserve">the </w:t>
      </w:r>
      <w:r w:rsidR="00DD56A4">
        <w:t xml:space="preserve">risk of hospitalisation with </w:t>
      </w:r>
      <w:r w:rsidR="00DA665C">
        <w:t>all-cause AGE</w:t>
      </w:r>
      <w:r w:rsidR="00DD56A4">
        <w:t xml:space="preserve"> was signific</w:t>
      </w:r>
      <w:r w:rsidR="009D298F">
        <w:t>antly greater in the most socio</w:t>
      </w:r>
      <w:r w:rsidR="00DD56A4">
        <w:t>economically deprived populations of Merseyside compared to the least. Children &lt;12 months</w:t>
      </w:r>
      <w:r w:rsidR="009D298F">
        <w:t xml:space="preserve"> of age</w:t>
      </w:r>
      <w:r w:rsidR="00DD56A4">
        <w:t xml:space="preserve"> in the most socioeconomically deprived quintile had the highest rate of hospitalisation</w:t>
      </w:r>
      <w:r w:rsidR="00040286">
        <w:t xml:space="preserve"> (47 per 1</w:t>
      </w:r>
      <w:r w:rsidR="000B1B6F">
        <w:t>,</w:t>
      </w:r>
      <w:r w:rsidR="00040286">
        <w:t>000 person years)</w:t>
      </w:r>
      <w:r w:rsidR="00DD56A4">
        <w:t xml:space="preserve">, compared </w:t>
      </w:r>
      <w:r w:rsidR="001C3E64">
        <w:t>with</w:t>
      </w:r>
      <w:r w:rsidR="00DD56A4">
        <w:t xml:space="preserve"> 36 per 1</w:t>
      </w:r>
      <w:r w:rsidR="000B1B6F">
        <w:t>,</w:t>
      </w:r>
      <w:r w:rsidR="00DD56A4">
        <w:t>000 person years in the least deprived</w:t>
      </w:r>
      <w:r w:rsidR="00764E62">
        <w:t xml:space="preserve"> (IRR=</w:t>
      </w:r>
      <w:r w:rsidR="00C61D7E">
        <w:t>1.31;</w:t>
      </w:r>
      <w:r w:rsidR="006574FE">
        <w:t xml:space="preserve"> 95%</w:t>
      </w:r>
      <w:r w:rsidR="00C61D7E">
        <w:t xml:space="preserve"> CI</w:t>
      </w:r>
      <w:r w:rsidR="006574FE">
        <w:t xml:space="preserve"> 1.16-1.47)</w:t>
      </w:r>
      <w:r w:rsidR="00DD56A4">
        <w:t xml:space="preserve">. </w:t>
      </w:r>
      <w:r w:rsidR="001C3E64">
        <w:t>Among</w:t>
      </w:r>
      <w:r w:rsidR="00DD56A4">
        <w:t xml:space="preserve"> 12-23 month olds, the age </w:t>
      </w:r>
      <w:r w:rsidR="00DD56A4">
        <w:lastRenderedPageBreak/>
        <w:t>group with the second highest rates of hospitalisation</w:t>
      </w:r>
      <w:r w:rsidR="001C3E64">
        <w:t>,</w:t>
      </w:r>
      <w:r w:rsidR="00DD56A4">
        <w:t xml:space="preserve"> the difference between the most deprived </w:t>
      </w:r>
      <w:r w:rsidR="00040286">
        <w:t>(30 per 1</w:t>
      </w:r>
      <w:r w:rsidR="000B1B6F">
        <w:t>,</w:t>
      </w:r>
      <w:r w:rsidR="00040286">
        <w:t xml:space="preserve">000 person years) </w:t>
      </w:r>
      <w:r w:rsidR="00DD56A4">
        <w:t xml:space="preserve">and least deprived </w:t>
      </w:r>
      <w:r w:rsidR="00040286">
        <w:t>(26 per 1</w:t>
      </w:r>
      <w:r w:rsidR="000B1B6F">
        <w:t>,</w:t>
      </w:r>
      <w:r w:rsidR="00040286">
        <w:t xml:space="preserve">000 person years) </w:t>
      </w:r>
      <w:r w:rsidR="00DD56A4">
        <w:t>was less pronounced</w:t>
      </w:r>
      <w:r w:rsidR="008E6180">
        <w:t xml:space="preserve"> (</w:t>
      </w:r>
      <w:r w:rsidR="000C3423">
        <w:t>I</w:t>
      </w:r>
      <w:r w:rsidR="009A1C9B">
        <w:t>RR=</w:t>
      </w:r>
      <w:r w:rsidR="00C61D7E">
        <w:t>1.15; 95% CI 1.01-</w:t>
      </w:r>
      <w:r w:rsidR="00040286">
        <w:t>1.31).</w:t>
      </w:r>
    </w:p>
    <w:p w14:paraId="07739FA2" w14:textId="7BBC3F19" w:rsidR="00A57F1D" w:rsidRDefault="006B454E" w:rsidP="00F4596C">
      <w:pPr>
        <w:pStyle w:val="Heading4"/>
        <w:spacing w:line="480" w:lineRule="auto"/>
      </w:pPr>
      <w:r>
        <w:t xml:space="preserve">Hospitalisations </w:t>
      </w:r>
      <w:r w:rsidR="00A57F1D">
        <w:t>averted</w:t>
      </w:r>
      <w:r w:rsidR="003A4944">
        <w:t xml:space="preserve"> per child vaccinated</w:t>
      </w:r>
    </w:p>
    <w:p w14:paraId="1E737AE0" w14:textId="666060B8" w:rsidR="004A39BC" w:rsidRDefault="00A57F1D" w:rsidP="00261B1F">
      <w:pPr>
        <w:spacing w:after="120" w:line="480" w:lineRule="auto"/>
      </w:pPr>
      <w:r>
        <w:t xml:space="preserve">We estimated the </w:t>
      </w:r>
      <w:r w:rsidR="0081571F">
        <w:t xml:space="preserve">number of </w:t>
      </w:r>
      <w:r w:rsidR="00DA665C">
        <w:t>all-cause AGE</w:t>
      </w:r>
      <w:r w:rsidR="0081571F">
        <w:t xml:space="preserve"> </w:t>
      </w:r>
      <w:r>
        <w:t xml:space="preserve">hospitalisations potentially averted </w:t>
      </w:r>
      <w:r w:rsidR="000E2B8E">
        <w:t xml:space="preserve">in Merseyside </w:t>
      </w:r>
      <w:r>
        <w:t xml:space="preserve">due to rotavirus vaccination in two vaccine eligible age </w:t>
      </w:r>
      <w:r w:rsidR="003A4944">
        <w:t xml:space="preserve">cohorts, &lt;12 months and 12-23 months of age. </w:t>
      </w:r>
      <w:r w:rsidR="000D7771">
        <w:t xml:space="preserve">In children aged &lt;12 months </w:t>
      </w:r>
      <w:r w:rsidR="004A39BC">
        <w:t xml:space="preserve">living in the most deprived </w:t>
      </w:r>
      <w:r w:rsidR="00D035EC">
        <w:t xml:space="preserve">populations </w:t>
      </w:r>
      <w:r w:rsidR="00EC3B75">
        <w:t xml:space="preserve">it was estimated </w:t>
      </w:r>
      <w:r w:rsidR="00602318">
        <w:t xml:space="preserve">that in 2014/15 and 2015/16, </w:t>
      </w:r>
      <w:r w:rsidR="00EC3B75">
        <w:t>2</w:t>
      </w:r>
      <w:r w:rsidR="00446088">
        <w:t>8</w:t>
      </w:r>
      <w:r w:rsidR="00EC3B75">
        <w:t xml:space="preserve"> </w:t>
      </w:r>
      <w:r w:rsidR="00C61D7E">
        <w:t>(95% CI 25-</w:t>
      </w:r>
      <w:r w:rsidR="00602318">
        <w:t>3</w:t>
      </w:r>
      <w:r w:rsidR="00453918">
        <w:t>1</w:t>
      </w:r>
      <w:r w:rsidR="00602318">
        <w:t>) and  2</w:t>
      </w:r>
      <w:r w:rsidR="00C61D7E">
        <w:t>6 (95% CI</w:t>
      </w:r>
      <w:r w:rsidR="00453918">
        <w:t xml:space="preserve"> 23</w:t>
      </w:r>
      <w:r w:rsidR="00C61D7E">
        <w:t>-</w:t>
      </w:r>
      <w:r w:rsidR="00602318">
        <w:t xml:space="preserve">30) </w:t>
      </w:r>
      <w:r w:rsidR="00DA665C">
        <w:t>all-cause AGE</w:t>
      </w:r>
      <w:r w:rsidR="000D7771">
        <w:t xml:space="preserve"> hospitalisations were averted per 1</w:t>
      </w:r>
      <w:r w:rsidR="002F1B34">
        <w:t>,</w:t>
      </w:r>
      <w:r w:rsidR="000D7771">
        <w:t xml:space="preserve">000 </w:t>
      </w:r>
      <w:r w:rsidR="00EC3B75">
        <w:t>1</w:t>
      </w:r>
      <w:r w:rsidR="00EC3B75" w:rsidRPr="00EC3B75">
        <w:rPr>
          <w:vertAlign w:val="superscript"/>
        </w:rPr>
        <w:t>st</w:t>
      </w:r>
      <w:r w:rsidR="00EC3B75">
        <w:t xml:space="preserve"> dose </w:t>
      </w:r>
      <w:r w:rsidR="00602318">
        <w:t>rotavirus</w:t>
      </w:r>
      <w:r w:rsidR="00EC3B75">
        <w:t xml:space="preserve"> vaccines delivered</w:t>
      </w:r>
      <w:r w:rsidR="00602318">
        <w:t xml:space="preserve"> respectively</w:t>
      </w:r>
      <w:r w:rsidR="000E2B8E">
        <w:t>.</w:t>
      </w:r>
      <w:r w:rsidR="000D7771">
        <w:t xml:space="preserve"> </w:t>
      </w:r>
      <w:r w:rsidR="004A39BC">
        <w:t xml:space="preserve"> </w:t>
      </w:r>
      <w:r w:rsidR="00602318">
        <w:t>I</w:t>
      </w:r>
      <w:r w:rsidR="004A39BC">
        <w:t xml:space="preserve">n the least deprived </w:t>
      </w:r>
      <w:r w:rsidR="00D035EC">
        <w:t xml:space="preserve">populations </w:t>
      </w:r>
      <w:r w:rsidR="00446088">
        <w:t>15</w:t>
      </w:r>
      <w:r w:rsidR="00EC3B75">
        <w:t xml:space="preserve"> </w:t>
      </w:r>
      <w:r w:rsidR="00C61D7E">
        <w:t>(95% CI</w:t>
      </w:r>
      <w:r w:rsidR="00354CF4">
        <w:t xml:space="preserve"> </w:t>
      </w:r>
      <w:r w:rsidR="00446088">
        <w:t>12</w:t>
      </w:r>
      <w:r w:rsidR="00354CF4">
        <w:t>-1</w:t>
      </w:r>
      <w:r w:rsidR="00446088">
        <w:t>7</w:t>
      </w:r>
      <w:r w:rsidR="00354CF4">
        <w:t xml:space="preserve">) and </w:t>
      </w:r>
      <w:r w:rsidR="00446088">
        <w:t>13</w:t>
      </w:r>
      <w:r w:rsidR="00354CF4">
        <w:t xml:space="preserve"> (95% CI: </w:t>
      </w:r>
      <w:r w:rsidR="00446088">
        <w:t>11</w:t>
      </w:r>
      <w:r w:rsidR="00C61D7E">
        <w:t>-</w:t>
      </w:r>
      <w:r w:rsidR="00EC3B75">
        <w:t>1</w:t>
      </w:r>
      <w:r w:rsidR="00446088">
        <w:t>6</w:t>
      </w:r>
      <w:r w:rsidR="004A39BC">
        <w:t>)</w:t>
      </w:r>
      <w:r w:rsidR="00602318" w:rsidRPr="00602318">
        <w:t xml:space="preserve"> </w:t>
      </w:r>
      <w:r w:rsidR="00602318">
        <w:t xml:space="preserve">all-cause AGE hospitalisations </w:t>
      </w:r>
      <w:r w:rsidR="004A39BC">
        <w:t xml:space="preserve"> were averted per 1,000</w:t>
      </w:r>
      <w:r w:rsidR="00EC3B75">
        <w:t xml:space="preserve"> 1</w:t>
      </w:r>
      <w:r w:rsidR="00EC3B75" w:rsidRPr="00EC3B75">
        <w:rPr>
          <w:vertAlign w:val="superscript"/>
        </w:rPr>
        <w:t>st</w:t>
      </w:r>
      <w:r w:rsidR="00EC3B75">
        <w:t xml:space="preserve"> dose RV vaccines delivered</w:t>
      </w:r>
      <w:r w:rsidR="004A39BC">
        <w:t>, in 2014/15 and 2015/16 respectively</w:t>
      </w:r>
      <w:r w:rsidR="00354CF4">
        <w:t xml:space="preserve"> (Figure 5)</w:t>
      </w:r>
      <w:r w:rsidR="000D7771">
        <w:t>.</w:t>
      </w:r>
      <w:r w:rsidR="004A39BC">
        <w:t xml:space="preserve"> For the cohort aged </w:t>
      </w:r>
      <w:r w:rsidR="009E7B08">
        <w:t xml:space="preserve">12-23 months it was estimated </w:t>
      </w:r>
      <w:r w:rsidR="00896D3B">
        <w:t xml:space="preserve">that there were </w:t>
      </w:r>
      <w:r w:rsidR="00453918">
        <w:t>18</w:t>
      </w:r>
      <w:r w:rsidR="00C61D7E">
        <w:t xml:space="preserve"> (95% CI</w:t>
      </w:r>
      <w:r w:rsidR="00896D3B">
        <w:t xml:space="preserve"> </w:t>
      </w:r>
      <w:r w:rsidR="00453918">
        <w:t>15</w:t>
      </w:r>
      <w:r w:rsidR="00C61D7E">
        <w:t>-</w:t>
      </w:r>
      <w:r w:rsidR="00453918">
        <w:t>20</w:t>
      </w:r>
      <w:r w:rsidR="009E7B08">
        <w:t xml:space="preserve">) </w:t>
      </w:r>
      <w:r w:rsidR="00DA665C">
        <w:t>all-cause AGE</w:t>
      </w:r>
      <w:r w:rsidR="009E7B08">
        <w:t xml:space="preserve"> hospitalisations averted per 1,000 persons vaccinat</w:t>
      </w:r>
      <w:r w:rsidR="003770F8">
        <w:t>ed</w:t>
      </w:r>
      <w:r w:rsidR="009E7B08">
        <w:t xml:space="preserve"> with at least one dose </w:t>
      </w:r>
      <w:r w:rsidR="00602318">
        <w:t>of rotavirus vaccine</w:t>
      </w:r>
      <w:r w:rsidR="00602318" w:rsidRPr="00602318">
        <w:t xml:space="preserve"> </w:t>
      </w:r>
      <w:r w:rsidR="00602318">
        <w:t xml:space="preserve">in 2015/16 </w:t>
      </w:r>
      <w:r w:rsidR="009E7B08">
        <w:t>in the most deprived</w:t>
      </w:r>
      <w:r w:rsidR="00EC3B75">
        <w:t xml:space="preserve"> </w:t>
      </w:r>
      <w:r w:rsidR="00D035EC">
        <w:t>populations</w:t>
      </w:r>
      <w:r w:rsidR="00602318">
        <w:t>,</w:t>
      </w:r>
      <w:r w:rsidR="00896D3B">
        <w:t xml:space="preserve"> and </w:t>
      </w:r>
      <w:r w:rsidR="00446088">
        <w:t>13</w:t>
      </w:r>
      <w:r w:rsidR="00896D3B">
        <w:t xml:space="preserve"> </w:t>
      </w:r>
      <w:r w:rsidR="00602318">
        <w:t xml:space="preserve">all-cause AGE hospitalisations averted </w:t>
      </w:r>
      <w:r w:rsidR="00C61D7E">
        <w:t>(95% CI</w:t>
      </w:r>
      <w:r w:rsidR="00896D3B">
        <w:t xml:space="preserve"> </w:t>
      </w:r>
      <w:r w:rsidR="00446088">
        <w:t>11</w:t>
      </w:r>
      <w:r w:rsidR="00C61D7E">
        <w:t>-</w:t>
      </w:r>
      <w:r w:rsidR="00EC3B75">
        <w:t>1</w:t>
      </w:r>
      <w:r w:rsidR="00446088">
        <w:t>6</w:t>
      </w:r>
      <w:r w:rsidR="009E7B08">
        <w:t>) in the least deprived</w:t>
      </w:r>
      <w:r w:rsidR="00D533CA">
        <w:t xml:space="preserve"> </w:t>
      </w:r>
      <w:r w:rsidR="00D035EC">
        <w:t>populations</w:t>
      </w:r>
      <w:r w:rsidR="009E7B08">
        <w:t xml:space="preserve">. </w:t>
      </w:r>
    </w:p>
    <w:p w14:paraId="69A31326" w14:textId="77777777" w:rsidR="00261B1F" w:rsidRDefault="0028344F" w:rsidP="00261B1F">
      <w:pPr>
        <w:spacing w:after="120" w:line="480" w:lineRule="auto"/>
        <w:sectPr w:rsidR="00261B1F" w:rsidSect="00230DA8">
          <w:pgSz w:w="11906" w:h="16838"/>
          <w:pgMar w:top="1440" w:right="1440" w:bottom="1440" w:left="1440" w:header="708" w:footer="708" w:gutter="0"/>
          <w:lnNumType w:countBy="1" w:restart="continuous"/>
          <w:cols w:space="708"/>
          <w:docGrid w:linePitch="360"/>
        </w:sectPr>
      </w:pPr>
      <w:r>
        <w:t>I</w:t>
      </w:r>
      <w:r w:rsidR="00D3726E">
        <w:t>f the WHO target for primary childhood immunisations of 95% uptake were attained in each deprivation strata nationally (England)</w:t>
      </w:r>
      <w:r w:rsidR="003770F8">
        <w:t>,</w:t>
      </w:r>
      <w:r w:rsidR="00D3726E">
        <w:t xml:space="preserve"> </w:t>
      </w:r>
      <w:r w:rsidR="00E10A7E">
        <w:t>10</w:t>
      </w:r>
      <w:r w:rsidR="00654807">
        <w:t>,</w:t>
      </w:r>
      <w:r w:rsidR="00990D09">
        <w:t>810</w:t>
      </w:r>
      <w:r w:rsidR="00E10A7E">
        <w:t xml:space="preserve"> </w:t>
      </w:r>
      <w:r w:rsidR="00267864">
        <w:t xml:space="preserve">all-cause AGE </w:t>
      </w:r>
      <w:r w:rsidR="00E10A7E">
        <w:t xml:space="preserve">hospitalisations </w:t>
      </w:r>
      <w:r w:rsidR="006367ED">
        <w:t xml:space="preserve">in infants </w:t>
      </w:r>
      <w:r w:rsidR="003770F8">
        <w:t xml:space="preserve">would have been </w:t>
      </w:r>
      <w:r w:rsidR="00E10A7E">
        <w:t xml:space="preserve">averted </w:t>
      </w:r>
      <w:r w:rsidR="00D3726E">
        <w:t>in 2015/16</w:t>
      </w:r>
      <w:r w:rsidR="00E10A7E">
        <w:t xml:space="preserve">, with </w:t>
      </w:r>
      <w:r w:rsidR="00990D09">
        <w:t>41</w:t>
      </w:r>
      <w:r w:rsidR="00E10A7E">
        <w:t xml:space="preserve">% </w:t>
      </w:r>
      <w:r w:rsidR="000F300B">
        <w:t>(</w:t>
      </w:r>
      <w:r w:rsidR="00C61D7E">
        <w:t>4,395; 95% CI</w:t>
      </w:r>
      <w:r w:rsidR="00681FE4">
        <w:t xml:space="preserve"> 3,898</w:t>
      </w:r>
      <w:r w:rsidR="00C61D7E">
        <w:t>-</w:t>
      </w:r>
      <w:r w:rsidR="00B1477F">
        <w:t>4,9</w:t>
      </w:r>
      <w:r w:rsidR="00681FE4">
        <w:t>25</w:t>
      </w:r>
      <w:r w:rsidR="000F300B">
        <w:t>)</w:t>
      </w:r>
      <w:r w:rsidR="00B1477F">
        <w:t xml:space="preserve"> </w:t>
      </w:r>
      <w:r w:rsidR="00E10A7E">
        <w:t>of those averted in the most deprived population</w:t>
      </w:r>
      <w:r w:rsidR="00386CF1">
        <w:t xml:space="preserve"> (Table 3)</w:t>
      </w:r>
      <w:r w:rsidR="00E10A7E">
        <w:t xml:space="preserve">. </w:t>
      </w:r>
      <w:r w:rsidR="006367ED">
        <w:t>Among</w:t>
      </w:r>
      <w:r w:rsidR="00E10A7E">
        <w:t xml:space="preserve"> 12-23 month olds 9</w:t>
      </w:r>
      <w:r w:rsidR="00654807">
        <w:t>,</w:t>
      </w:r>
      <w:r w:rsidR="00681FE4">
        <w:t>472</w:t>
      </w:r>
      <w:r w:rsidR="00B1477F">
        <w:t xml:space="preserve"> </w:t>
      </w:r>
      <w:r>
        <w:t xml:space="preserve">all-cause AGE hospitalisations </w:t>
      </w:r>
      <w:r w:rsidR="00E10A7E">
        <w:t>would be expected to be averted</w:t>
      </w:r>
      <w:r w:rsidR="00A30087">
        <w:t>,</w:t>
      </w:r>
      <w:r w:rsidR="00E10A7E">
        <w:t xml:space="preserve"> with </w:t>
      </w:r>
      <w:r w:rsidR="008F0C90">
        <w:t>31</w:t>
      </w:r>
      <w:r w:rsidR="00E10A7E">
        <w:t xml:space="preserve">% </w:t>
      </w:r>
      <w:r w:rsidR="000F300B">
        <w:t>(</w:t>
      </w:r>
      <w:r w:rsidR="008F0C90">
        <w:t>2,</w:t>
      </w:r>
      <w:r w:rsidR="00681FE4">
        <w:t>940; 95% CI 2,570</w:t>
      </w:r>
      <w:r w:rsidR="00C61D7E">
        <w:t>-</w:t>
      </w:r>
      <w:r w:rsidR="00B1477F">
        <w:t>3,3</w:t>
      </w:r>
      <w:r w:rsidR="00681FE4">
        <w:t>30</w:t>
      </w:r>
      <w:r w:rsidR="000F300B">
        <w:t xml:space="preserve">) </w:t>
      </w:r>
      <w:r w:rsidR="00E10A7E">
        <w:t xml:space="preserve">of those averted </w:t>
      </w:r>
      <w:r w:rsidR="00A30087">
        <w:t>in the</w:t>
      </w:r>
      <w:r w:rsidR="00E10A7E">
        <w:t xml:space="preserve"> most deprived </w:t>
      </w:r>
      <w:r w:rsidR="00E87822">
        <w:t>population</w:t>
      </w:r>
      <w:r w:rsidR="00E10A7E">
        <w:t>.</w:t>
      </w:r>
    </w:p>
    <w:p w14:paraId="7A211429" w14:textId="77777777" w:rsidR="004F5792" w:rsidRDefault="004F5792" w:rsidP="00AA588D">
      <w:pPr>
        <w:spacing w:after="0" w:line="480" w:lineRule="auto"/>
        <w:rPr>
          <w:b/>
        </w:rPr>
      </w:pPr>
      <w:r w:rsidRPr="00386CF1">
        <w:rPr>
          <w:b/>
        </w:rPr>
        <w:lastRenderedPageBreak/>
        <w:t>Table 3. Predicted all-cause acute gastroenteritis hospitalisations averted nationally in children under 2 years of age</w:t>
      </w:r>
      <w:r>
        <w:rPr>
          <w:b/>
        </w:rPr>
        <w:t xml:space="preserve"> in </w:t>
      </w:r>
      <w:r w:rsidRPr="00386CF1">
        <w:rPr>
          <w:b/>
        </w:rPr>
        <w:t>2015/16</w:t>
      </w:r>
      <w:r>
        <w:rPr>
          <w:b/>
        </w:rPr>
        <w:t xml:space="preserve"> at 95% vaccine uptake.</w:t>
      </w:r>
    </w:p>
    <w:p w14:paraId="225FEB0A" w14:textId="77777777" w:rsidR="00261B1F" w:rsidRPr="00386CF1" w:rsidRDefault="00261B1F" w:rsidP="00AA588D">
      <w:pPr>
        <w:spacing w:after="0" w:line="480" w:lineRule="auto"/>
        <w:rPr>
          <w:b/>
        </w:rPr>
      </w:pPr>
    </w:p>
    <w:tbl>
      <w:tblPr>
        <w:tblStyle w:val="PlainTable21"/>
        <w:tblW w:w="0" w:type="auto"/>
        <w:tblLayout w:type="fixed"/>
        <w:tblLook w:val="04A0" w:firstRow="1" w:lastRow="0" w:firstColumn="1" w:lastColumn="0" w:noHBand="0" w:noVBand="1"/>
      </w:tblPr>
      <w:tblGrid>
        <w:gridCol w:w="1418"/>
        <w:gridCol w:w="1701"/>
        <w:gridCol w:w="1701"/>
        <w:gridCol w:w="1512"/>
        <w:gridCol w:w="1512"/>
        <w:gridCol w:w="1512"/>
      </w:tblGrid>
      <w:tr w:rsidR="004F5792" w:rsidRPr="00386CF1" w14:paraId="15059039" w14:textId="77777777" w:rsidTr="00F17B8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8" w:type="dxa"/>
            <w:vMerge w:val="restart"/>
            <w:noWrap/>
            <w:hideMark/>
          </w:tcPr>
          <w:p w14:paraId="620F5B56" w14:textId="77777777" w:rsidR="004F5792" w:rsidRPr="00386CF1" w:rsidRDefault="004F5792" w:rsidP="00201B89">
            <w:pPr>
              <w:spacing w:line="276" w:lineRule="auto"/>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Age group</w:t>
            </w:r>
          </w:p>
        </w:tc>
        <w:tc>
          <w:tcPr>
            <w:tcW w:w="1701" w:type="dxa"/>
            <w:vMerge w:val="restart"/>
            <w:noWrap/>
            <w:hideMark/>
          </w:tcPr>
          <w:p w14:paraId="022FED0E" w14:textId="77777777" w:rsidR="004F5792" w:rsidRPr="00386CF1" w:rsidRDefault="004F5792" w:rsidP="00201B8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Index of Multiple Deprivation</w:t>
            </w:r>
          </w:p>
        </w:tc>
        <w:tc>
          <w:tcPr>
            <w:tcW w:w="1701" w:type="dxa"/>
            <w:vMerge w:val="restart"/>
            <w:noWrap/>
            <w:hideMark/>
          </w:tcPr>
          <w:p w14:paraId="03A5DA67" w14:textId="591D15D9" w:rsidR="004F5792" w:rsidRPr="00386CF1" w:rsidRDefault="0034465A" w:rsidP="00201B8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Estimated n</w:t>
            </w:r>
            <w:r w:rsidR="004F5792" w:rsidRPr="00386CF1">
              <w:rPr>
                <w:rFonts w:ascii="Calibri" w:eastAsia="Times New Roman" w:hAnsi="Calibri" w:cs="Times New Roman"/>
                <w:color w:val="000000"/>
                <w:sz w:val="18"/>
                <w:szCs w:val="18"/>
                <w:lang w:eastAsia="en-GB"/>
              </w:rPr>
              <w:t>ational population</w:t>
            </w:r>
            <w:r>
              <w:rPr>
                <w:rFonts w:ascii="Calibri" w:eastAsia="Times New Roman" w:hAnsi="Calibri" w:cs="Times New Roman"/>
                <w:color w:val="000000"/>
                <w:sz w:val="18"/>
                <w:szCs w:val="18"/>
                <w:lang w:eastAsia="en-GB"/>
              </w:rPr>
              <w:t xml:space="preserve"> (2016)</w:t>
            </w:r>
            <w:r>
              <w:rPr>
                <w:rFonts w:ascii="Calibri" w:eastAsia="Times New Roman" w:hAnsi="Calibri" w:cs="Times New Roman"/>
                <w:color w:val="000000"/>
                <w:sz w:val="18"/>
                <w:szCs w:val="18"/>
                <w:lang w:eastAsia="en-GB"/>
              </w:rPr>
              <w:fldChar w:fldCharType="begin"/>
            </w:r>
            <w:r w:rsidR="00990F10">
              <w:rPr>
                <w:rFonts w:ascii="Calibri" w:eastAsia="Times New Roman" w:hAnsi="Calibri" w:cs="Times New Roman"/>
                <w:color w:val="000000"/>
                <w:sz w:val="18"/>
                <w:szCs w:val="18"/>
                <w:lang w:eastAsia="en-GB"/>
              </w:rPr>
              <w:instrText xml:space="preserve"> ADDIN ZOTERO_ITEM CSL_CITATION {"citationID":"a2fbb63lfc9","properties":{"formattedCitation":"[16]","plainCitation":"[16]"},"citationItems":[{"id":4142,"uris":["http://zotero.org/users/1755126/items/EWUVESFT"],"uri":["http://zotero.org/users/1755126/items/EWUVESFT"],"itemData":{"id":4142,"type":"webpage","title":"Lower Super Output Area Mid-Year Population Estimates","URL":"https://www.ons.gov.uk/peoplepopulationandcommunity/populationandmigration/populationestimates/datasets/lowersuperoutputareamidyearpopulationestimates","author":[{"family":"Office for National Statistics","given":""}],"issued":{"date-parts":[["2016",10,26]]},"accessed":{"date-parts":[["2017",7,5]]}}}],"schema":"https://github.com/citation-style-language/schema/raw/master/csl-citation.json"} </w:instrText>
            </w:r>
            <w:r>
              <w:rPr>
                <w:rFonts w:ascii="Calibri" w:eastAsia="Times New Roman" w:hAnsi="Calibri" w:cs="Times New Roman"/>
                <w:color w:val="000000"/>
                <w:sz w:val="18"/>
                <w:szCs w:val="18"/>
                <w:lang w:eastAsia="en-GB"/>
              </w:rPr>
              <w:fldChar w:fldCharType="separate"/>
            </w:r>
            <w:r w:rsidR="00990F10" w:rsidRPr="00990F10">
              <w:rPr>
                <w:rFonts w:ascii="Calibri" w:hAnsi="Calibri"/>
                <w:sz w:val="18"/>
              </w:rPr>
              <w:t>[16]</w:t>
            </w:r>
            <w:r>
              <w:rPr>
                <w:rFonts w:ascii="Calibri" w:eastAsia="Times New Roman" w:hAnsi="Calibri" w:cs="Times New Roman"/>
                <w:color w:val="000000"/>
                <w:sz w:val="18"/>
                <w:szCs w:val="18"/>
                <w:lang w:eastAsia="en-GB"/>
              </w:rPr>
              <w:fldChar w:fldCharType="end"/>
            </w:r>
          </w:p>
        </w:tc>
        <w:tc>
          <w:tcPr>
            <w:tcW w:w="4536" w:type="dxa"/>
            <w:gridSpan w:val="3"/>
            <w:noWrap/>
            <w:hideMark/>
          </w:tcPr>
          <w:p w14:paraId="0CB84A42" w14:textId="77777777" w:rsidR="004F5792" w:rsidRPr="00386CF1" w:rsidRDefault="004F5792" w:rsidP="00201B8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H</w:t>
            </w:r>
            <w:r w:rsidRPr="00386CF1">
              <w:rPr>
                <w:rFonts w:ascii="Calibri" w:eastAsia="Times New Roman" w:hAnsi="Calibri" w:cs="Times New Roman"/>
                <w:color w:val="000000"/>
                <w:sz w:val="18"/>
                <w:szCs w:val="18"/>
                <w:lang w:eastAsia="en-GB"/>
              </w:rPr>
              <w:t>ospitalisations averted at 95% vaccine uptake</w:t>
            </w:r>
          </w:p>
        </w:tc>
      </w:tr>
      <w:tr w:rsidR="004F5792" w:rsidRPr="00386CF1" w14:paraId="64261B4A" w14:textId="77777777" w:rsidTr="00F17B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117AA584" w14:textId="77777777" w:rsidR="004F5792" w:rsidRPr="00386CF1" w:rsidRDefault="004F5792" w:rsidP="00201B89">
            <w:pPr>
              <w:spacing w:line="276" w:lineRule="auto"/>
              <w:rPr>
                <w:rFonts w:ascii="Calibri" w:eastAsia="Times New Roman" w:hAnsi="Calibri" w:cs="Times New Roman"/>
                <w:color w:val="000000"/>
                <w:sz w:val="18"/>
                <w:szCs w:val="18"/>
                <w:lang w:eastAsia="en-GB"/>
              </w:rPr>
            </w:pPr>
          </w:p>
        </w:tc>
        <w:tc>
          <w:tcPr>
            <w:tcW w:w="1701" w:type="dxa"/>
            <w:vMerge/>
            <w:hideMark/>
          </w:tcPr>
          <w:p w14:paraId="292C7E7D" w14:textId="77777777" w:rsidR="004F5792" w:rsidRPr="00386CF1"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lang w:eastAsia="en-GB"/>
              </w:rPr>
            </w:pPr>
          </w:p>
        </w:tc>
        <w:tc>
          <w:tcPr>
            <w:tcW w:w="1701" w:type="dxa"/>
            <w:vMerge/>
            <w:hideMark/>
          </w:tcPr>
          <w:p w14:paraId="2AFD4A78" w14:textId="77777777" w:rsidR="004F5792" w:rsidRPr="00386CF1"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lang w:eastAsia="en-GB"/>
              </w:rPr>
            </w:pPr>
          </w:p>
        </w:tc>
        <w:tc>
          <w:tcPr>
            <w:tcW w:w="1512" w:type="dxa"/>
            <w:noWrap/>
            <w:hideMark/>
          </w:tcPr>
          <w:p w14:paraId="521E94E4" w14:textId="77777777" w:rsidR="004F5792" w:rsidRPr="00386CF1"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lang w:eastAsia="en-GB"/>
              </w:rPr>
            </w:pPr>
            <w:r w:rsidRPr="00386CF1">
              <w:rPr>
                <w:rFonts w:ascii="Calibri" w:eastAsia="Times New Roman" w:hAnsi="Calibri" w:cs="Times New Roman"/>
                <w:b/>
                <w:color w:val="000000"/>
                <w:sz w:val="18"/>
                <w:szCs w:val="18"/>
                <w:lang w:eastAsia="en-GB"/>
              </w:rPr>
              <w:t>N</w:t>
            </w:r>
          </w:p>
        </w:tc>
        <w:tc>
          <w:tcPr>
            <w:tcW w:w="1512" w:type="dxa"/>
            <w:noWrap/>
            <w:hideMark/>
          </w:tcPr>
          <w:p w14:paraId="7A42CA9D" w14:textId="77777777" w:rsidR="004F5792" w:rsidRPr="00386CF1"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 xml:space="preserve">95% </w:t>
            </w:r>
            <w:r w:rsidRPr="00386CF1">
              <w:rPr>
                <w:rFonts w:ascii="Calibri" w:eastAsia="Times New Roman" w:hAnsi="Calibri" w:cs="Times New Roman"/>
                <w:b/>
                <w:color w:val="000000"/>
                <w:sz w:val="18"/>
                <w:szCs w:val="18"/>
                <w:lang w:eastAsia="en-GB"/>
              </w:rPr>
              <w:t>LCI</w:t>
            </w:r>
          </w:p>
        </w:tc>
        <w:tc>
          <w:tcPr>
            <w:tcW w:w="1512" w:type="dxa"/>
            <w:noWrap/>
            <w:hideMark/>
          </w:tcPr>
          <w:p w14:paraId="6F63D66E" w14:textId="77777777" w:rsidR="004F5792" w:rsidRPr="00386CF1"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 xml:space="preserve">95% </w:t>
            </w:r>
            <w:r w:rsidRPr="00386CF1">
              <w:rPr>
                <w:rFonts w:ascii="Calibri" w:eastAsia="Times New Roman" w:hAnsi="Calibri" w:cs="Times New Roman"/>
                <w:b/>
                <w:color w:val="000000"/>
                <w:sz w:val="18"/>
                <w:szCs w:val="18"/>
                <w:lang w:eastAsia="en-GB"/>
              </w:rPr>
              <w:t>UCI</w:t>
            </w:r>
          </w:p>
        </w:tc>
      </w:tr>
      <w:tr w:rsidR="004F5792" w:rsidRPr="00386CF1" w14:paraId="5D2CACE3" w14:textId="77777777" w:rsidTr="00F17B89">
        <w:trPr>
          <w:trHeight w:val="288"/>
        </w:trPr>
        <w:tc>
          <w:tcPr>
            <w:cnfStyle w:val="001000000000" w:firstRow="0" w:lastRow="0" w:firstColumn="1" w:lastColumn="0" w:oddVBand="0" w:evenVBand="0" w:oddHBand="0" w:evenHBand="0" w:firstRowFirstColumn="0" w:firstRowLastColumn="0" w:lastRowFirstColumn="0" w:lastRowLastColumn="0"/>
            <w:tcW w:w="1418" w:type="dxa"/>
            <w:vMerge w:val="restart"/>
            <w:noWrap/>
            <w:hideMark/>
          </w:tcPr>
          <w:p w14:paraId="24F1E44A" w14:textId="77777777" w:rsidR="004F5792" w:rsidRPr="00386CF1" w:rsidRDefault="004F5792" w:rsidP="00201B89">
            <w:pPr>
              <w:spacing w:line="276" w:lineRule="auto"/>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&lt;12m</w:t>
            </w:r>
            <w:r>
              <w:rPr>
                <w:rFonts w:ascii="Calibri" w:eastAsia="Times New Roman" w:hAnsi="Calibri" w:cs="Times New Roman"/>
                <w:color w:val="000000"/>
                <w:sz w:val="18"/>
                <w:szCs w:val="18"/>
                <w:lang w:eastAsia="en-GB"/>
              </w:rPr>
              <w:t>onths</w:t>
            </w:r>
          </w:p>
        </w:tc>
        <w:tc>
          <w:tcPr>
            <w:tcW w:w="1701" w:type="dxa"/>
            <w:noWrap/>
            <w:hideMark/>
          </w:tcPr>
          <w:p w14:paraId="6ECFAEC4" w14:textId="77777777" w:rsidR="004F5792" w:rsidRPr="00386CF1" w:rsidRDefault="004F5792" w:rsidP="00201B8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1 (most deprived)</w:t>
            </w:r>
          </w:p>
        </w:tc>
        <w:tc>
          <w:tcPr>
            <w:tcW w:w="1701" w:type="dxa"/>
            <w:noWrap/>
            <w:hideMark/>
          </w:tcPr>
          <w:p w14:paraId="307084C6" w14:textId="77777777" w:rsidR="004F5792" w:rsidRPr="00386CF1" w:rsidRDefault="004F5792" w:rsidP="00201B8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174784</w:t>
            </w:r>
          </w:p>
        </w:tc>
        <w:tc>
          <w:tcPr>
            <w:tcW w:w="1512" w:type="dxa"/>
            <w:noWrap/>
            <w:hideMark/>
          </w:tcPr>
          <w:p w14:paraId="67A2653C" w14:textId="77777777" w:rsidR="004F5792" w:rsidRPr="006049D5" w:rsidRDefault="004F5792" w:rsidP="00201B8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4395</w:t>
            </w:r>
          </w:p>
        </w:tc>
        <w:tc>
          <w:tcPr>
            <w:tcW w:w="1512" w:type="dxa"/>
            <w:noWrap/>
          </w:tcPr>
          <w:p w14:paraId="5C12AFAC" w14:textId="77777777" w:rsidR="004F5792" w:rsidRPr="006049D5" w:rsidRDefault="004F5792" w:rsidP="00201B8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3898</w:t>
            </w:r>
          </w:p>
        </w:tc>
        <w:tc>
          <w:tcPr>
            <w:tcW w:w="1512" w:type="dxa"/>
            <w:noWrap/>
          </w:tcPr>
          <w:p w14:paraId="53EA4382" w14:textId="77777777" w:rsidR="004F5792" w:rsidRPr="006049D5" w:rsidRDefault="004F5792" w:rsidP="00201B8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4925</w:t>
            </w:r>
          </w:p>
        </w:tc>
      </w:tr>
      <w:tr w:rsidR="004F5792" w:rsidRPr="00386CF1" w14:paraId="462C4828" w14:textId="77777777" w:rsidTr="00F17B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15F1786E" w14:textId="77777777" w:rsidR="004F5792" w:rsidRPr="00386CF1" w:rsidRDefault="004F5792" w:rsidP="00201B89">
            <w:pPr>
              <w:spacing w:line="276" w:lineRule="auto"/>
              <w:rPr>
                <w:rFonts w:ascii="Calibri" w:eastAsia="Times New Roman" w:hAnsi="Calibri" w:cs="Times New Roman"/>
                <w:color w:val="000000"/>
                <w:sz w:val="18"/>
                <w:szCs w:val="18"/>
                <w:lang w:eastAsia="en-GB"/>
              </w:rPr>
            </w:pPr>
          </w:p>
        </w:tc>
        <w:tc>
          <w:tcPr>
            <w:tcW w:w="1701" w:type="dxa"/>
            <w:noWrap/>
            <w:hideMark/>
          </w:tcPr>
          <w:p w14:paraId="6BA5C004" w14:textId="77777777" w:rsidR="004F5792" w:rsidRPr="00386CF1" w:rsidRDefault="004F5792" w:rsidP="00201B8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2</w:t>
            </w:r>
          </w:p>
        </w:tc>
        <w:tc>
          <w:tcPr>
            <w:tcW w:w="1701" w:type="dxa"/>
            <w:noWrap/>
            <w:hideMark/>
          </w:tcPr>
          <w:p w14:paraId="50C45229" w14:textId="77777777" w:rsidR="004F5792" w:rsidRPr="00386CF1"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149462</w:t>
            </w:r>
          </w:p>
        </w:tc>
        <w:tc>
          <w:tcPr>
            <w:tcW w:w="1512" w:type="dxa"/>
            <w:noWrap/>
            <w:hideMark/>
          </w:tcPr>
          <w:p w14:paraId="1690E0B7" w14:textId="77777777" w:rsidR="004F5792" w:rsidRPr="006049D5"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2185</w:t>
            </w:r>
          </w:p>
        </w:tc>
        <w:tc>
          <w:tcPr>
            <w:tcW w:w="1512" w:type="dxa"/>
            <w:noWrap/>
          </w:tcPr>
          <w:p w14:paraId="4F097C95" w14:textId="77777777" w:rsidR="004F5792" w:rsidRPr="006049D5"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1795</w:t>
            </w:r>
          </w:p>
        </w:tc>
        <w:tc>
          <w:tcPr>
            <w:tcW w:w="1512" w:type="dxa"/>
            <w:noWrap/>
          </w:tcPr>
          <w:p w14:paraId="39FD517F" w14:textId="77777777" w:rsidR="004F5792" w:rsidRPr="006049D5"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2603</w:t>
            </w:r>
          </w:p>
        </w:tc>
      </w:tr>
      <w:tr w:rsidR="004F5792" w:rsidRPr="00386CF1" w14:paraId="205F55EA" w14:textId="77777777" w:rsidTr="00F17B89">
        <w:trPr>
          <w:trHeight w:val="288"/>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2BD90A43" w14:textId="77777777" w:rsidR="004F5792" w:rsidRPr="00386CF1" w:rsidRDefault="004F5792" w:rsidP="00201B89">
            <w:pPr>
              <w:spacing w:line="276" w:lineRule="auto"/>
              <w:rPr>
                <w:rFonts w:ascii="Calibri" w:eastAsia="Times New Roman" w:hAnsi="Calibri" w:cs="Times New Roman"/>
                <w:color w:val="000000"/>
                <w:sz w:val="18"/>
                <w:szCs w:val="18"/>
                <w:lang w:eastAsia="en-GB"/>
              </w:rPr>
            </w:pPr>
          </w:p>
        </w:tc>
        <w:tc>
          <w:tcPr>
            <w:tcW w:w="1701" w:type="dxa"/>
            <w:noWrap/>
            <w:hideMark/>
          </w:tcPr>
          <w:p w14:paraId="406B7D1D" w14:textId="77777777" w:rsidR="004F5792" w:rsidRPr="00386CF1" w:rsidRDefault="004F5792" w:rsidP="00201B8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3</w:t>
            </w:r>
          </w:p>
        </w:tc>
        <w:tc>
          <w:tcPr>
            <w:tcW w:w="1701" w:type="dxa"/>
            <w:noWrap/>
            <w:hideMark/>
          </w:tcPr>
          <w:p w14:paraId="76AB9407" w14:textId="77777777" w:rsidR="004F5792" w:rsidRPr="00386CF1" w:rsidRDefault="004F5792" w:rsidP="00201B8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126372</w:t>
            </w:r>
          </w:p>
        </w:tc>
        <w:tc>
          <w:tcPr>
            <w:tcW w:w="1512" w:type="dxa"/>
            <w:noWrap/>
            <w:hideMark/>
          </w:tcPr>
          <w:p w14:paraId="2F5AD039" w14:textId="77777777" w:rsidR="004F5792" w:rsidRPr="006049D5" w:rsidRDefault="004F5792" w:rsidP="00201B8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1597</w:t>
            </w:r>
          </w:p>
        </w:tc>
        <w:tc>
          <w:tcPr>
            <w:tcW w:w="1512" w:type="dxa"/>
            <w:noWrap/>
          </w:tcPr>
          <w:p w14:paraId="49F2E1F7" w14:textId="77777777" w:rsidR="004F5792" w:rsidRPr="006049D5" w:rsidRDefault="004F5792" w:rsidP="00201B8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1292</w:t>
            </w:r>
          </w:p>
        </w:tc>
        <w:tc>
          <w:tcPr>
            <w:tcW w:w="1512" w:type="dxa"/>
            <w:noWrap/>
          </w:tcPr>
          <w:p w14:paraId="05D3909C" w14:textId="77777777" w:rsidR="004F5792" w:rsidRPr="006049D5" w:rsidRDefault="004F5792" w:rsidP="00201B8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1924</w:t>
            </w:r>
          </w:p>
        </w:tc>
      </w:tr>
      <w:tr w:rsidR="004F5792" w:rsidRPr="00386CF1" w14:paraId="6508C722" w14:textId="77777777" w:rsidTr="00F17B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046FB00D" w14:textId="77777777" w:rsidR="004F5792" w:rsidRPr="00386CF1" w:rsidRDefault="004F5792" w:rsidP="00201B89">
            <w:pPr>
              <w:spacing w:line="276" w:lineRule="auto"/>
              <w:rPr>
                <w:rFonts w:ascii="Calibri" w:eastAsia="Times New Roman" w:hAnsi="Calibri" w:cs="Times New Roman"/>
                <w:color w:val="000000"/>
                <w:sz w:val="18"/>
                <w:szCs w:val="18"/>
                <w:lang w:eastAsia="en-GB"/>
              </w:rPr>
            </w:pPr>
          </w:p>
        </w:tc>
        <w:tc>
          <w:tcPr>
            <w:tcW w:w="1701" w:type="dxa"/>
            <w:noWrap/>
            <w:hideMark/>
          </w:tcPr>
          <w:p w14:paraId="4BC1A57C" w14:textId="77777777" w:rsidR="004F5792" w:rsidRPr="00386CF1" w:rsidRDefault="004F5792" w:rsidP="00201B8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4/5 (least deprived)</w:t>
            </w:r>
          </w:p>
        </w:tc>
        <w:tc>
          <w:tcPr>
            <w:tcW w:w="1701" w:type="dxa"/>
            <w:noWrap/>
            <w:hideMark/>
          </w:tcPr>
          <w:p w14:paraId="5EF659D1" w14:textId="77777777" w:rsidR="004F5792" w:rsidRPr="00386CF1"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212359</w:t>
            </w:r>
          </w:p>
        </w:tc>
        <w:tc>
          <w:tcPr>
            <w:tcW w:w="1512" w:type="dxa"/>
            <w:noWrap/>
            <w:hideMark/>
          </w:tcPr>
          <w:p w14:paraId="2BE0839D" w14:textId="77777777" w:rsidR="004F5792" w:rsidRPr="006049D5"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2634</w:t>
            </w:r>
          </w:p>
        </w:tc>
        <w:tc>
          <w:tcPr>
            <w:tcW w:w="1512" w:type="dxa"/>
            <w:noWrap/>
          </w:tcPr>
          <w:p w14:paraId="5F25EBF6" w14:textId="77777777" w:rsidR="004F5792" w:rsidRPr="006049D5"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2156</w:t>
            </w:r>
          </w:p>
        </w:tc>
        <w:tc>
          <w:tcPr>
            <w:tcW w:w="1512" w:type="dxa"/>
            <w:noWrap/>
          </w:tcPr>
          <w:p w14:paraId="4CDA129C" w14:textId="77777777" w:rsidR="004F5792" w:rsidRPr="006049D5"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3147</w:t>
            </w:r>
          </w:p>
        </w:tc>
      </w:tr>
      <w:tr w:rsidR="004F5792" w:rsidRPr="00386CF1" w14:paraId="57F15D76" w14:textId="77777777" w:rsidTr="00F17B89">
        <w:trPr>
          <w:trHeight w:val="288"/>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1CCC42BD" w14:textId="77777777" w:rsidR="004F5792" w:rsidRPr="00386CF1" w:rsidRDefault="004F5792" w:rsidP="00201B89">
            <w:pPr>
              <w:spacing w:line="276" w:lineRule="auto"/>
              <w:rPr>
                <w:rFonts w:ascii="Calibri" w:eastAsia="Times New Roman" w:hAnsi="Calibri" w:cs="Times New Roman"/>
                <w:color w:val="000000"/>
                <w:sz w:val="18"/>
                <w:szCs w:val="18"/>
                <w:lang w:eastAsia="en-GB"/>
              </w:rPr>
            </w:pPr>
          </w:p>
        </w:tc>
        <w:tc>
          <w:tcPr>
            <w:tcW w:w="1701" w:type="dxa"/>
            <w:noWrap/>
            <w:hideMark/>
          </w:tcPr>
          <w:p w14:paraId="632908E7" w14:textId="77777777" w:rsidR="004F5792" w:rsidRPr="00386CF1" w:rsidRDefault="004F5792" w:rsidP="00201B8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18"/>
                <w:szCs w:val="18"/>
                <w:lang w:eastAsia="en-GB"/>
              </w:rPr>
            </w:pPr>
            <w:r w:rsidRPr="00386CF1">
              <w:rPr>
                <w:rFonts w:ascii="Calibri" w:eastAsia="Times New Roman" w:hAnsi="Calibri" w:cs="Times New Roman"/>
                <w:b/>
                <w:color w:val="000000"/>
                <w:sz w:val="18"/>
                <w:szCs w:val="18"/>
                <w:lang w:eastAsia="en-GB"/>
              </w:rPr>
              <w:t>Total</w:t>
            </w:r>
          </w:p>
        </w:tc>
        <w:tc>
          <w:tcPr>
            <w:tcW w:w="1701" w:type="dxa"/>
            <w:noWrap/>
            <w:hideMark/>
          </w:tcPr>
          <w:p w14:paraId="38476142" w14:textId="77777777" w:rsidR="004F5792" w:rsidRPr="00386CF1" w:rsidRDefault="004F5792" w:rsidP="00201B8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662977</w:t>
            </w:r>
          </w:p>
        </w:tc>
        <w:tc>
          <w:tcPr>
            <w:tcW w:w="1512" w:type="dxa"/>
            <w:noWrap/>
            <w:hideMark/>
          </w:tcPr>
          <w:p w14:paraId="256AE490" w14:textId="77777777" w:rsidR="004F5792" w:rsidRPr="00386CF1" w:rsidRDefault="004F5792" w:rsidP="00201B8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10810</w:t>
            </w:r>
          </w:p>
        </w:tc>
        <w:tc>
          <w:tcPr>
            <w:tcW w:w="1512" w:type="dxa"/>
            <w:noWrap/>
          </w:tcPr>
          <w:p w14:paraId="10CF3C03" w14:textId="77777777" w:rsidR="004F5792" w:rsidRPr="00386CF1" w:rsidRDefault="004F5792" w:rsidP="00201B8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p>
        </w:tc>
        <w:tc>
          <w:tcPr>
            <w:tcW w:w="1512" w:type="dxa"/>
            <w:noWrap/>
          </w:tcPr>
          <w:p w14:paraId="793DEE71" w14:textId="77777777" w:rsidR="004F5792" w:rsidRPr="006049D5" w:rsidRDefault="004F5792" w:rsidP="00201B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p>
        </w:tc>
      </w:tr>
      <w:tr w:rsidR="004F5792" w:rsidRPr="00386CF1" w14:paraId="15330B0B" w14:textId="77777777" w:rsidTr="00F17B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8" w:type="dxa"/>
            <w:vMerge w:val="restart"/>
            <w:noWrap/>
            <w:hideMark/>
          </w:tcPr>
          <w:p w14:paraId="619B4DCF" w14:textId="77777777" w:rsidR="004F5792" w:rsidRPr="00386CF1" w:rsidRDefault="004F5792" w:rsidP="00201B89">
            <w:pPr>
              <w:spacing w:line="276" w:lineRule="auto"/>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12-23</w:t>
            </w:r>
            <w:r>
              <w:rPr>
                <w:rFonts w:ascii="Calibri" w:eastAsia="Times New Roman" w:hAnsi="Calibri" w:cs="Times New Roman"/>
                <w:color w:val="000000"/>
                <w:sz w:val="18"/>
                <w:szCs w:val="18"/>
                <w:lang w:eastAsia="en-GB"/>
              </w:rPr>
              <w:t xml:space="preserve"> </w:t>
            </w:r>
            <w:r w:rsidRPr="00386CF1">
              <w:rPr>
                <w:rFonts w:ascii="Calibri" w:eastAsia="Times New Roman" w:hAnsi="Calibri" w:cs="Times New Roman"/>
                <w:color w:val="000000"/>
                <w:sz w:val="18"/>
                <w:szCs w:val="18"/>
                <w:lang w:eastAsia="en-GB"/>
              </w:rPr>
              <w:t>m</w:t>
            </w:r>
            <w:r>
              <w:rPr>
                <w:rFonts w:ascii="Calibri" w:eastAsia="Times New Roman" w:hAnsi="Calibri" w:cs="Times New Roman"/>
                <w:color w:val="000000"/>
                <w:sz w:val="18"/>
                <w:szCs w:val="18"/>
                <w:lang w:eastAsia="en-GB"/>
              </w:rPr>
              <w:t>onths</w:t>
            </w:r>
          </w:p>
        </w:tc>
        <w:tc>
          <w:tcPr>
            <w:tcW w:w="1701" w:type="dxa"/>
            <w:noWrap/>
            <w:hideMark/>
          </w:tcPr>
          <w:p w14:paraId="1E04E527" w14:textId="77777777" w:rsidR="004F5792" w:rsidRPr="00386CF1" w:rsidRDefault="004F5792" w:rsidP="00201B8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1 (most deprived)</w:t>
            </w:r>
          </w:p>
        </w:tc>
        <w:tc>
          <w:tcPr>
            <w:tcW w:w="1701" w:type="dxa"/>
            <w:noWrap/>
            <w:hideMark/>
          </w:tcPr>
          <w:p w14:paraId="3CD7D2AC" w14:textId="77777777" w:rsidR="004F5792" w:rsidRPr="00386CF1"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176129</w:t>
            </w:r>
          </w:p>
        </w:tc>
        <w:tc>
          <w:tcPr>
            <w:tcW w:w="1512" w:type="dxa"/>
            <w:noWrap/>
            <w:hideMark/>
          </w:tcPr>
          <w:p w14:paraId="3EB9F198" w14:textId="77777777" w:rsidR="004F5792" w:rsidRPr="006049D5"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2941</w:t>
            </w:r>
          </w:p>
        </w:tc>
        <w:tc>
          <w:tcPr>
            <w:tcW w:w="1512" w:type="dxa"/>
            <w:noWrap/>
          </w:tcPr>
          <w:p w14:paraId="7E761747" w14:textId="77777777" w:rsidR="004F5792" w:rsidRPr="006049D5"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2579</w:t>
            </w:r>
          </w:p>
        </w:tc>
        <w:tc>
          <w:tcPr>
            <w:tcW w:w="1512" w:type="dxa"/>
            <w:noWrap/>
          </w:tcPr>
          <w:p w14:paraId="1367EE70" w14:textId="77777777" w:rsidR="004F5792" w:rsidRPr="006049D5"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3330</w:t>
            </w:r>
          </w:p>
        </w:tc>
      </w:tr>
      <w:tr w:rsidR="004F5792" w:rsidRPr="00386CF1" w14:paraId="772D4352" w14:textId="77777777" w:rsidTr="00F17B89">
        <w:trPr>
          <w:trHeight w:val="288"/>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623B5BFE" w14:textId="77777777" w:rsidR="004F5792" w:rsidRPr="00386CF1" w:rsidRDefault="004F5792" w:rsidP="00201B89">
            <w:pPr>
              <w:spacing w:line="276" w:lineRule="auto"/>
              <w:jc w:val="center"/>
              <w:rPr>
                <w:rFonts w:ascii="Calibri" w:eastAsia="Times New Roman" w:hAnsi="Calibri" w:cs="Times New Roman"/>
                <w:color w:val="000000"/>
                <w:sz w:val="18"/>
                <w:szCs w:val="18"/>
                <w:lang w:eastAsia="en-GB"/>
              </w:rPr>
            </w:pPr>
          </w:p>
        </w:tc>
        <w:tc>
          <w:tcPr>
            <w:tcW w:w="1701" w:type="dxa"/>
            <w:noWrap/>
            <w:hideMark/>
          </w:tcPr>
          <w:p w14:paraId="1A45058E" w14:textId="77777777" w:rsidR="004F5792" w:rsidRPr="00386CF1" w:rsidRDefault="004F5792" w:rsidP="00201B8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2</w:t>
            </w:r>
          </w:p>
        </w:tc>
        <w:tc>
          <w:tcPr>
            <w:tcW w:w="1701" w:type="dxa"/>
            <w:noWrap/>
            <w:hideMark/>
          </w:tcPr>
          <w:p w14:paraId="64F2C9BD" w14:textId="77777777" w:rsidR="004F5792" w:rsidRPr="00386CF1" w:rsidRDefault="004F5792" w:rsidP="00201B8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149862</w:t>
            </w:r>
          </w:p>
        </w:tc>
        <w:tc>
          <w:tcPr>
            <w:tcW w:w="1512" w:type="dxa"/>
            <w:noWrap/>
            <w:hideMark/>
          </w:tcPr>
          <w:p w14:paraId="5132377E" w14:textId="77777777" w:rsidR="004F5792" w:rsidRPr="006049D5" w:rsidRDefault="004F5792" w:rsidP="00201B8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2397</w:t>
            </w:r>
          </w:p>
        </w:tc>
        <w:tc>
          <w:tcPr>
            <w:tcW w:w="1512" w:type="dxa"/>
            <w:noWrap/>
          </w:tcPr>
          <w:p w14:paraId="0E87C2D4" w14:textId="77777777" w:rsidR="004F5792" w:rsidRPr="006049D5" w:rsidRDefault="004F5792" w:rsidP="00201B8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2080</w:t>
            </w:r>
          </w:p>
        </w:tc>
        <w:tc>
          <w:tcPr>
            <w:tcW w:w="1512" w:type="dxa"/>
            <w:noWrap/>
          </w:tcPr>
          <w:p w14:paraId="094A01A1" w14:textId="77777777" w:rsidR="004F5792" w:rsidRPr="006049D5" w:rsidRDefault="004F5792" w:rsidP="00201B8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2740</w:t>
            </w:r>
          </w:p>
        </w:tc>
      </w:tr>
      <w:tr w:rsidR="004F5792" w:rsidRPr="00386CF1" w14:paraId="3BA82BBC" w14:textId="77777777" w:rsidTr="00F17B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1E7C85B8" w14:textId="77777777" w:rsidR="004F5792" w:rsidRPr="00386CF1" w:rsidRDefault="004F5792" w:rsidP="00201B89">
            <w:pPr>
              <w:spacing w:line="276" w:lineRule="auto"/>
              <w:jc w:val="center"/>
              <w:rPr>
                <w:rFonts w:ascii="Calibri" w:eastAsia="Times New Roman" w:hAnsi="Calibri" w:cs="Times New Roman"/>
                <w:color w:val="000000"/>
                <w:sz w:val="18"/>
                <w:szCs w:val="18"/>
                <w:lang w:eastAsia="en-GB"/>
              </w:rPr>
            </w:pPr>
          </w:p>
        </w:tc>
        <w:tc>
          <w:tcPr>
            <w:tcW w:w="1701" w:type="dxa"/>
            <w:noWrap/>
            <w:hideMark/>
          </w:tcPr>
          <w:p w14:paraId="2A22B119" w14:textId="77777777" w:rsidR="004F5792" w:rsidRPr="00386CF1" w:rsidRDefault="004F5792" w:rsidP="00201B8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3</w:t>
            </w:r>
          </w:p>
        </w:tc>
        <w:tc>
          <w:tcPr>
            <w:tcW w:w="1701" w:type="dxa"/>
            <w:noWrap/>
            <w:hideMark/>
          </w:tcPr>
          <w:p w14:paraId="0FF0C9FA" w14:textId="77777777" w:rsidR="004F5792" w:rsidRPr="00386CF1"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126517</w:t>
            </w:r>
          </w:p>
        </w:tc>
        <w:tc>
          <w:tcPr>
            <w:tcW w:w="1512" w:type="dxa"/>
            <w:noWrap/>
            <w:hideMark/>
          </w:tcPr>
          <w:p w14:paraId="238130A6" w14:textId="77777777" w:rsidR="004F5792" w:rsidRPr="006049D5"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1363</w:t>
            </w:r>
          </w:p>
        </w:tc>
        <w:tc>
          <w:tcPr>
            <w:tcW w:w="1512" w:type="dxa"/>
            <w:noWrap/>
          </w:tcPr>
          <w:p w14:paraId="2E3405F4" w14:textId="77777777" w:rsidR="004F5792" w:rsidRPr="006049D5"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1124</w:t>
            </w:r>
          </w:p>
        </w:tc>
        <w:tc>
          <w:tcPr>
            <w:tcW w:w="1512" w:type="dxa"/>
            <w:noWrap/>
          </w:tcPr>
          <w:p w14:paraId="1CD53D95" w14:textId="77777777" w:rsidR="004F5792" w:rsidRPr="006049D5"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1621</w:t>
            </w:r>
          </w:p>
        </w:tc>
      </w:tr>
      <w:tr w:rsidR="004F5792" w:rsidRPr="00386CF1" w14:paraId="3741171F" w14:textId="77777777" w:rsidTr="00F17B89">
        <w:trPr>
          <w:trHeight w:val="288"/>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3DA2A463" w14:textId="77777777" w:rsidR="004F5792" w:rsidRPr="00386CF1" w:rsidRDefault="004F5792" w:rsidP="00201B89">
            <w:pPr>
              <w:spacing w:line="276" w:lineRule="auto"/>
              <w:jc w:val="center"/>
              <w:rPr>
                <w:rFonts w:ascii="Calibri" w:eastAsia="Times New Roman" w:hAnsi="Calibri" w:cs="Times New Roman"/>
                <w:color w:val="000000"/>
                <w:sz w:val="18"/>
                <w:szCs w:val="18"/>
                <w:lang w:eastAsia="en-GB"/>
              </w:rPr>
            </w:pPr>
          </w:p>
        </w:tc>
        <w:tc>
          <w:tcPr>
            <w:tcW w:w="1701" w:type="dxa"/>
            <w:noWrap/>
            <w:hideMark/>
          </w:tcPr>
          <w:p w14:paraId="238942AF" w14:textId="77777777" w:rsidR="004F5792" w:rsidRPr="00386CF1" w:rsidRDefault="004F5792" w:rsidP="00201B8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4/5 (least deprived)</w:t>
            </w:r>
          </w:p>
        </w:tc>
        <w:tc>
          <w:tcPr>
            <w:tcW w:w="1701" w:type="dxa"/>
            <w:noWrap/>
            <w:hideMark/>
          </w:tcPr>
          <w:p w14:paraId="63CFE972" w14:textId="77777777" w:rsidR="004F5792" w:rsidRPr="00386CF1" w:rsidRDefault="004F5792" w:rsidP="00201B8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218485</w:t>
            </w:r>
          </w:p>
        </w:tc>
        <w:tc>
          <w:tcPr>
            <w:tcW w:w="1512" w:type="dxa"/>
            <w:noWrap/>
            <w:hideMark/>
          </w:tcPr>
          <w:p w14:paraId="3A3BAB42" w14:textId="77777777" w:rsidR="004F5792" w:rsidRPr="006049D5" w:rsidRDefault="004F5792" w:rsidP="00201B8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2771</w:t>
            </w:r>
          </w:p>
        </w:tc>
        <w:tc>
          <w:tcPr>
            <w:tcW w:w="1512" w:type="dxa"/>
            <w:noWrap/>
          </w:tcPr>
          <w:p w14:paraId="1E25CB96" w14:textId="77777777" w:rsidR="004F5792" w:rsidRPr="006049D5" w:rsidRDefault="004F5792" w:rsidP="00201B8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2359</w:t>
            </w:r>
          </w:p>
        </w:tc>
        <w:tc>
          <w:tcPr>
            <w:tcW w:w="1512" w:type="dxa"/>
            <w:noWrap/>
          </w:tcPr>
          <w:p w14:paraId="2AFFED58" w14:textId="77777777" w:rsidR="004F5792" w:rsidRPr="006049D5" w:rsidRDefault="004F5792" w:rsidP="00201B8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6049D5">
              <w:rPr>
                <w:sz w:val="18"/>
                <w:szCs w:val="18"/>
              </w:rPr>
              <w:t>3218</w:t>
            </w:r>
          </w:p>
        </w:tc>
      </w:tr>
      <w:tr w:rsidR="004F5792" w:rsidRPr="00386CF1" w14:paraId="4CF88975" w14:textId="77777777" w:rsidTr="00F17B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8" w:type="dxa"/>
            <w:vMerge/>
            <w:noWrap/>
            <w:hideMark/>
          </w:tcPr>
          <w:p w14:paraId="5720C50B" w14:textId="77777777" w:rsidR="004F5792" w:rsidRPr="00386CF1" w:rsidRDefault="004F5792" w:rsidP="00201B89">
            <w:pPr>
              <w:spacing w:line="276" w:lineRule="auto"/>
              <w:jc w:val="center"/>
              <w:rPr>
                <w:rFonts w:ascii="Calibri" w:eastAsia="Times New Roman" w:hAnsi="Calibri" w:cs="Times New Roman"/>
                <w:color w:val="000000"/>
                <w:sz w:val="18"/>
                <w:szCs w:val="18"/>
                <w:lang w:eastAsia="en-GB"/>
              </w:rPr>
            </w:pPr>
          </w:p>
        </w:tc>
        <w:tc>
          <w:tcPr>
            <w:tcW w:w="1701" w:type="dxa"/>
            <w:noWrap/>
            <w:hideMark/>
          </w:tcPr>
          <w:p w14:paraId="1F342D76" w14:textId="77777777" w:rsidR="004F5792" w:rsidRPr="00386CF1" w:rsidRDefault="004F5792" w:rsidP="00201B8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lang w:eastAsia="en-GB"/>
              </w:rPr>
            </w:pPr>
            <w:r w:rsidRPr="00386CF1">
              <w:rPr>
                <w:rFonts w:ascii="Calibri" w:eastAsia="Times New Roman" w:hAnsi="Calibri" w:cs="Times New Roman"/>
                <w:b/>
                <w:color w:val="000000"/>
                <w:sz w:val="18"/>
                <w:szCs w:val="18"/>
                <w:lang w:eastAsia="en-GB"/>
              </w:rPr>
              <w:t>Total</w:t>
            </w:r>
          </w:p>
        </w:tc>
        <w:tc>
          <w:tcPr>
            <w:tcW w:w="1701" w:type="dxa"/>
            <w:noWrap/>
            <w:hideMark/>
          </w:tcPr>
          <w:p w14:paraId="2FC0C203" w14:textId="77777777" w:rsidR="004F5792" w:rsidRPr="00386CF1"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670993</w:t>
            </w:r>
          </w:p>
        </w:tc>
        <w:tc>
          <w:tcPr>
            <w:tcW w:w="1512" w:type="dxa"/>
            <w:noWrap/>
            <w:hideMark/>
          </w:tcPr>
          <w:p w14:paraId="10DFC522" w14:textId="77777777" w:rsidR="004F5792" w:rsidRPr="00386CF1"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386CF1">
              <w:rPr>
                <w:rFonts w:ascii="Calibri" w:eastAsia="Times New Roman" w:hAnsi="Calibri" w:cs="Times New Roman"/>
                <w:color w:val="000000"/>
                <w:sz w:val="18"/>
                <w:szCs w:val="18"/>
                <w:lang w:eastAsia="en-GB"/>
              </w:rPr>
              <w:t>9</w:t>
            </w:r>
            <w:r>
              <w:rPr>
                <w:rFonts w:ascii="Calibri" w:eastAsia="Times New Roman" w:hAnsi="Calibri" w:cs="Times New Roman"/>
                <w:color w:val="000000"/>
                <w:sz w:val="18"/>
                <w:szCs w:val="18"/>
                <w:lang w:eastAsia="en-GB"/>
              </w:rPr>
              <w:t>472</w:t>
            </w:r>
          </w:p>
        </w:tc>
        <w:tc>
          <w:tcPr>
            <w:tcW w:w="1512" w:type="dxa"/>
            <w:noWrap/>
            <w:hideMark/>
          </w:tcPr>
          <w:p w14:paraId="739A6D3C" w14:textId="77777777" w:rsidR="004F5792" w:rsidRPr="00386CF1"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p>
        </w:tc>
        <w:tc>
          <w:tcPr>
            <w:tcW w:w="1512" w:type="dxa"/>
            <w:noWrap/>
            <w:hideMark/>
          </w:tcPr>
          <w:p w14:paraId="065D865E" w14:textId="77777777" w:rsidR="004F5792" w:rsidRPr="00386CF1" w:rsidRDefault="004F5792" w:rsidP="00201B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GB"/>
              </w:rPr>
            </w:pPr>
          </w:p>
        </w:tc>
      </w:tr>
    </w:tbl>
    <w:p w14:paraId="75BE2804" w14:textId="77777777" w:rsidR="004F5792" w:rsidRDefault="004F5792" w:rsidP="00AA588D">
      <w:pPr>
        <w:spacing w:after="120" w:line="480" w:lineRule="auto"/>
      </w:pPr>
    </w:p>
    <w:p w14:paraId="5DE40B0E" w14:textId="77777777" w:rsidR="00C21642" w:rsidRDefault="00F72885" w:rsidP="002F3017">
      <w:pPr>
        <w:pStyle w:val="Heading2"/>
        <w:spacing w:line="480" w:lineRule="auto"/>
      </w:pPr>
      <w:r>
        <w:t>Discussion</w:t>
      </w:r>
    </w:p>
    <w:p w14:paraId="1088F5D3" w14:textId="274FA505" w:rsidR="00EA3CCF" w:rsidRDefault="00F7274E" w:rsidP="00AA588D">
      <w:pPr>
        <w:spacing w:after="120" w:line="480" w:lineRule="auto"/>
      </w:pPr>
      <w:r>
        <w:t>In this</w:t>
      </w:r>
      <w:r w:rsidR="00DD30CB">
        <w:t xml:space="preserve">, one of the few studies </w:t>
      </w:r>
      <w:r>
        <w:t>to simultaneously evaluate the impact of rotavirus vaccine introduction across all level</w:t>
      </w:r>
      <w:r w:rsidR="003743F7">
        <w:t>s</w:t>
      </w:r>
      <w:r>
        <w:t xml:space="preserve"> of the healthcare system in a defined geographic area, we have demonstrated </w:t>
      </w:r>
      <w:r w:rsidR="00F72885">
        <w:t xml:space="preserve">reductions </w:t>
      </w:r>
      <w:r w:rsidR="003743F7">
        <w:t xml:space="preserve">in gastrointestinal disease </w:t>
      </w:r>
      <w:r w:rsidR="003B425C">
        <w:t xml:space="preserve">burden </w:t>
      </w:r>
      <w:r w:rsidR="003743F7">
        <w:t xml:space="preserve">across all levels of healthcare and </w:t>
      </w:r>
      <w:r w:rsidR="003B425C">
        <w:t xml:space="preserve">across </w:t>
      </w:r>
      <w:r w:rsidR="003743F7">
        <w:t>all ages. Reductions were greatest for the most specific and severe disease outcomes (rotavirus and hospitalisations), during the rotavirus season, and for the youngest children who were vaccine age-eligible. Smaller reductions among older, unvaccinated populations suggest herd protection</w:t>
      </w:r>
      <w:r w:rsidR="004835BC">
        <w:t>.</w:t>
      </w:r>
      <w:r w:rsidR="004234E0">
        <w:t xml:space="preserve"> </w:t>
      </w:r>
      <w:r w:rsidR="003743F7">
        <w:t xml:space="preserve">The impact of vaccination was </w:t>
      </w:r>
      <w:r w:rsidR="004234E0">
        <w:t xml:space="preserve">also greater </w:t>
      </w:r>
      <w:r w:rsidR="003743F7">
        <w:t xml:space="preserve">in the most </w:t>
      </w:r>
      <w:r w:rsidR="00822416">
        <w:t xml:space="preserve">socioeconomically </w:t>
      </w:r>
      <w:r w:rsidR="003743F7">
        <w:t>deprived populations, despite lower vaccine coverage.</w:t>
      </w:r>
      <w:r w:rsidR="00EA3CCF">
        <w:t xml:space="preserve"> </w:t>
      </w:r>
    </w:p>
    <w:p w14:paraId="54E20E52" w14:textId="04D33BE0" w:rsidR="00124676" w:rsidRDefault="003743F7" w:rsidP="00AA588D">
      <w:pPr>
        <w:spacing w:after="120" w:line="480" w:lineRule="auto"/>
      </w:pPr>
      <w:r>
        <w:t xml:space="preserve">Most previous studies that evaluated rotavirus vaccine impact </w:t>
      </w:r>
      <w:r w:rsidR="004E1F3A">
        <w:t xml:space="preserve">in high income countries </w:t>
      </w:r>
      <w:r>
        <w:t xml:space="preserve">focussed on severe disease outcomes, with magnitude of reductions similar to </w:t>
      </w:r>
      <w:r w:rsidR="00D43B5F">
        <w:t xml:space="preserve">described </w:t>
      </w:r>
      <w:r>
        <w:t>here</w:t>
      </w:r>
      <w:r w:rsidR="00974FF0" w:rsidRPr="00974FF0">
        <w:t xml:space="preserve"> </w:t>
      </w:r>
      <w:r w:rsidR="00974FF0">
        <w:t xml:space="preserve">in both vaccine </w:t>
      </w:r>
      <w:r w:rsidR="003B425C">
        <w:t xml:space="preserve">age </w:t>
      </w:r>
      <w:r w:rsidR="00974FF0">
        <w:t>eligible and ineligible children</w:t>
      </w:r>
      <w:r>
        <w:t>.</w:t>
      </w:r>
      <w:r w:rsidR="002A30F7">
        <w:fldChar w:fldCharType="begin"/>
      </w:r>
      <w:r w:rsidR="00990F10">
        <w:instrText xml:space="preserve"> ADDIN ZOTERO_ITEM CSL_CITATION {"citationID":"al142sh15","properties":{"formattedCitation":"{\\rtf [12,29\\uc0\\u8211{}42]}","plainCitation":"[12,29–42]"},"citationItems":[{"id":3549,"uris":["http://zotero.org/users/1755126/items/DPDKKBVS"],"uri":["http://zotero.org/users/1755126/items/DPDKKBVS"],"itemData":{"id":3549,"type":"article-journal","title":"Rapid Declines in Age Group–Specific Rotavirus Infection and Acute Gastroenteritis Among Vaccinated and Unvaccinated Individuals Within 1 Year of Rotavirus Vaccine Introduction in England and Wales","container-title":"Journal of Infectious Diseases","page":"jiv398","source":"jid.oxfordjournals.org","abstract":"Background. The oral infant rotavirus vaccine, Rotarix, was introduced in England and Wales in July 2013. We estimated the impact on laboratory-confirmed rotavirus infections and hospitalizations for all-cause acute gastroenteritis (AGE) during the first year after introduction.\nMethods. We extracted data on laboratory-confirmed rotavirus infections (July 2000 through June 2015) and all-cause AGE–associated hospitalizations (July 2007 through June 2014) for all age groups using national databases (LabBase2 and HES). We determined the ratio of the rate during the 2013–2014 rotavirus season to the rate during the prevaccination era.\nResults. In infants, there was a 77% decline (rate ratio [RR], 0.23; 95% confidence interval [CI], .16–.32) in laboratory-confirmed rotavirus infections and a 26% decline (RR, 0.74; 95% CI, .65–.84) in all-cause AGE–associated hospitalizations in 2013–2014, compared with the prevaccination era. Large reductions were also observed in older children, adults, and older adults. We estimated that 10 884 laboratory-confirmed infections and 50 427 all-cause AGE–associated hospital admissions were averted in 2013–2014. Similar reductions have been observed for laboratory-confirmed rotavirus infections during the 2014–2015 season.\nConclusions. The rapid declines in rotavirus infection and AGE in vaccinated and unvaccinated age groups within 1 year of introducing an infant rotavirus vaccination program are far greater than expected and than previously reported by other countries.","DOI":"10.1093/infdis/jiv398","ISSN":"0022-1899, 1537-6613","note":"PMID: 26232438","journalAbbreviation":"J Infect Dis.","language":"en","author":[{"family":"Atchison","given":"Christina J."},{"family":"Stowe","given":"Julia"},{"family":"Andrews","given":"Nick"},{"family":"Collins","given":"Sarah"},{"family":"Allen","given":"David J."},{"family":"Nawaz","given":"Sameena"},{"family":"Brown","given":"David"},{"family":"Ramsay","given":"Mary E."},{"family":"Ladhani","given":"Shamez N."}],"issued":{"date-parts":[["2015",7,30]]}},"label":"page"},{"id":3299,"uris":["http://zotero.org/users/1755126/items/IVHFI286"],"uri":["http://zotero.org/users/1755126/items/IVHFI286"],"itemData":{"id":3299,"type":"article-journal","title":"Rotavirus incidence and genotype distribution before and after national rotavirus vaccine introduction in Belgium","container-title":"Vaccine","page":"7507-7513","volume":"28","issue":"47","source":"ScienceDirect","abstract":"Rotarix™ was introduced into the Belgian market in 2006 and RotaTeq™ in 2007, quickly reaching more than 85% vaccine coverage of all newborns in Belgium. The incidence of rotavirus gastroenteritis has been monitored in the Gasthuisberg University Hospital (GUH), Belgium since 1986, and since 1999 the genotypes of circulating rotavirus strains have been determined. The average percentage of rotavirus positive cases out of all hospitalized gastro-enteritis cases tested (&amp;gt;95% of these cases are younger than 5 years old) at the GUH between 1986 and 2006 was 19.0%. This percentage dropped to 12.4%, 9.6% and 6.4% in the three seasons post vaccine introduction (2006–2009), which is a decline of 34.7%, 49.4% and 66.3% respectively. In addition the rotavirus season was found to be shortened and delayed. The prevalence of the G2 genotype sharply increased in the 2006–2007 rotavirus season compared to the previous seasons and remained high (30–40%) in the 2007–2008 and 2008–2009 seasons. Rotavirus vaccines have strongly reduced the number of children hospitalized due to a rotavirus infection at the GUH; it is however unclear if the predominance of G2 genotypes is related to the vaccine introduction, or if this is attributable to normal genotype fluctuations. Continued surveillance will be pivotal to answer this question in the future.","DOI":"10.1016/j.vaccine.2010.09.004","ISSN":"0264-410X","journalAbbreviation":"Vaccine","author":[{"family":"Zeller","given":"Mark"},{"family":"Rahman","given":"Mustafizur"},{"family":"Heylen","given":"Elisabeth"},{"family":"De Coster","given":"Sarah"},{"family":"De Vos","given":"Sofie"},{"family":"Arijs","given":"Ingrid"},{"family":"Novo","given":"Luis"},{"family":"Verstappen","given":"Natasha"},{"family":"Van Ranst","given":"Marc"},{"family":"Matthijnssens","given":"Jelle"}],"issued":{"date-parts":[["2010",11,3]]}},"label":"page"},{"id":1648,"uris":["http://zotero.org/users/1755126/items/VBAIEUMC"],"uri":["http://zotero.org/users/1755126/items/VBAIEUMC"],"itemData":{"id":1648,"type":"article-journal","title":"Rotavirus vaccines in Belgium: policy and impact","container-title":"The Pediatric infectious disease journal","page":"S21-24","volume":"30","issue":"1 Suppl","source":"NCBI PubMed","abstract":"BACKGROUND: : The current Belgian experience with rotavirus vaccination provides a unique perspective to look at the effect of vaccination. Shortly after introduction, a nation-wide recommendation was issued and despite the fact that both rotavirus vaccines are offered through partial reimbursement, vaccine uptake has already reached a high level (at least 90%).\nMETHODS: : For the purpose of looking at the effectiveness of the Belgian rotavirus vaccination policy, 3 years after introduction, we retrospectively collated the publicly available data on the number of laboratory-confirmed rotavirus cases reported to a national network of sentinel laboratories during 1999 to 2010 and compared them with the available data on hospitalizations due to rotavirus gastroenteritis.\nRESULTS: : Both data sources (reported laboratory-diagnosed cases to a sentinel network as well as data on hospitalizations due to rotavirus gastroenteritis) show a decrease in the number of rotavirus infections and a 4- to 6-week delay in the onset of disease and the peak of incidence in the postvaccination period.\nCONCLUSIONS: : Because this decline coincides with the increased vaccine uptake and is sustained during consecutive rotavirus seasons, the effect is mainly attributed to the rotavirus vaccination. The rapid increase in vaccine coverage, despite the partial reimbursement for the vaccines, is remarkable. Continued postlicensure surveillance is necessary to further investigate the effectiveness of the vaccines and to document the public health impact of the vaccination in reducing disease burden.","DOI":"10.1097/INF.0b013e3181fefc51","ISSN":"1532-0987","note":"PMID: 21183836","shortTitle":"Rotavirus vaccines in Belgium","journalAbbreviation":"Pediatr. Infect. Dis. J.","language":"eng","author":[{"family":"Braeckman","given":"Tessa"},{"family":"Van Herck","given":"Koen"},{"family":"Raes","given":"Marc"},{"family":"Vergison","given":"Anne"},{"family":"Sabbe","given":"Martine"},{"family":"Van Damme","given":"Pierre"}],"issued":{"date-parts":[["2011",1]]}},"label":"page"},{"id":1145,"uris":["http://zotero.org/users/1755126/items/KZ6ITVJU"],"uri":["http://zotero.org/users/1755126/items/KZ6ITVJU"],"itemData":{"id":1145,"type":"article-journal","title":"Impact and effectiveness of RotaTeq® vaccine based on 3 years of surveillance following introduction of a rotavirus immunization program in Finland","container-title":"The Pediatric infectious disease journal","page":"1365-1373","volume":"32","issue":"12","source":"NCBI PubMed","abstract":"BACKGROUND: Finland introduced universal rotavirus (RV) vaccination in September 2009, with exclusive use of the pentavalent human-bovine reassortant RV vaccine RotaTeq® and following a vaccination schedule at 2, 3 and 5 months of age. This study monitored the impact of RV vaccination on hospitalizations due to RV acute gastroenteritis (RVGE). The results following the first 3 RV seasons after implementation of universal RV vaccination are presented.\nMETHODS: Prospective hospital-based surveillance identified children with acute gastroenteritis admitted to 2 University Hospitals (Tampere and Oulu, Finland), from December 2009 to August 2012. The surveillance covered a population of approximately 173,000 children from the 2 hospitals' catchment areas. Stool samples were taken and analyzed centrally for RV by enzyme-linked immunosorbent assay, with genotyping by reverse transcription polymerase chain reaction. International Classification of Diseases discharge codes were collected retrospectively pre- and postvaccination.\nRESULTS: During the 3-year prospective surveillance, 127 RVGE episodes were identified. Of these, 117 were in unvaccinated children and 6 were in fully vaccinated children (RotaTeq, n = 3; Rotarix, n = 3). The vaccine effectiveness against hospitalized RVGE for fully vaccinated children was 92.1% [95% confidence interval (CI): 50.0-98.7] among children eligible for the National Immunization Program. When analyzing retrospectively the Tampere and Oulu hospital databases for all children aged &lt;16 years, hospitalizations for RVGE had decreased by 78% in the postvaccination period (2009-2012) compared with the prevaccination data (2001-2006).\nCONCLUSIONS: Severe RVGE requiring hospitalization was virtually eliminated in vaccine-eligible children in the 3 years following implementation of universal RotaTeq vaccination in Finland.","DOI":"10.1097/INF.0000000000000086","ISSN":"1532-0987","note":"PMID: 24051998","journalAbbreviation":"Pediatr. Infect. Dis. J.","language":"eng","author":[{"family":"Vesikari","given":"Timo"},{"family":"Uhari","given":"Matti"},{"family":"Renko","given":"Marjo"},{"family":"Hemming","given":"Maria"},{"family":"Salminen","given":"Marjo"},{"family":"Torcel-Pagnon","given":"Laurence"},{"family":"Bricout","given":"Hélène"},{"family":"Simondon","given":"François"}],"issued":{"date-parts":[["2013",12]]}},"label":"page"},{"id":100,"uris":["http://zotero.org/users/1755126/items/3JGXN4KX"],"uri":["http://zotero.org/users/1755126/items/3JGXN4KX"],"itemData":{"id":100,"type":"article-journal","title":"Sustained low hospitalization rates after four years of rotavirus mass vaccination in Austria.","container-title":"Vaccine","page":"2686-91","volume":"31","issue":"24","source":"Ovid (Ovid MEDLINE(R))","abstract":"This hospital based surveillance study evaluates the effects of the rotavirus mass vaccination program, which was initiated in Austria in August 2007. Since then, incidence rates of rotavirus hospitalizations in children &lt;15 years of age have decreased by 70% and 64% in 2010 and 2011 compared to the pre-vaccination era (2001-2005). Incidence rates were highest in children &lt;90 days of age, highlighting the importance of the early start of active rotavirus immunization. In children between 2 and 3.5 years in 2011, who were in the second and third year after vaccination in the universal mass vaccination program, incidence rates remained low suggesting sustained protection after vaccination up to three years. In the years 2010 and 2011, field effectiveness of the vaccines was between 79% and 96%, depending on the assumptions made for children without information on vaccination history. From genotyping an increase of the prevalence of G2P[4] in children with breakthrough infection (disease despite vaccination) can be suspected. The rate of severe adverse events was 1.3-1.5 per 10(-5) administered doses of rotavirus vaccines and no death, intussusception or Kawasaki disease was reported in 2010 and 2011 following rotavirus vaccination. Copyright 2013 Elsevier Ltd. All rights reserved.","DOI":"http://dx.doi.org/10.1016/j.vaccine.2013.04.001","author":[{"family":"Paulke-Korinek","given":"M"},{"family":"Kollaritsch","given":"H"},{"family":"Aberle","given":"SW"},{"family":"Zwazl","given":"I"},{"family":"Schmidle-Loss","given":"B"},{"family":"Vecsei","given":"A"},{"family":"Kundi","given":"M"}],"issued":{"date-parts":[["2013",5,31]]}},"label":"page"},{"id":337,"uris":["http://zotero.org/users/1755126/items/7PSDUZXA"],"uri":["http://zotero.org/users/1755126/items/7PSDUZXA"],"itemData":{"id":337,"type":"article-journal","title":"Major reduction of rotavirus, but not norovirus, gastroenteritis in children seen in hospital after the introduction of RotaTeq vaccine into the National Immunization Programme in Finland","container-title":"European Journal of Pediatrics","page":"739-746","volume":"172","issue":"6","source":"EBSCOhost","abstract":"Universal rotavirus (RV) vaccination is expected to reduce hospitalizations for acute gastroenteritis (GE) of children by eliminating most of severe RVGE, but it does not have any effect on norovirus (NV), the second most common causative agent of GE in children. After the introduction of the RV vaccine into the National Immunization Programme (NIP) of Finland in 2009, we conducted a prospective 2-year survey of GE in children seen in Tampere University Hospital either as outpatients or inpatients and compared the results with a similar 2-year survey conducted prior to NIP in the years 2006-2008. Compared with the pre-NIP 2-year period, in 2009-2011, hospitalizations for RVGE were reduced by 76 % and outpatient clinic visits were reduced by 81 %. NVGE showed a slight decreasing trend and accounted for 34 % of all cases of GE seen in hospital in pursuance of RVGE having decreased to 26 % (down from 52 %). In cases admitted to the hospital ward, RV accounted for 28 % and NV accounted for 37 %.The impact of RV vaccination was reflected as a 57 % decrease in all hospital admissions and 62 % decrease in all outpatient clinic visits for GE of any cause. Conclusion: RV vaccination in NIP has led to a major reduction of hospital admissions and clinic visits due to RVGE, but has had no effect on NVGE. After 2 years of NIP, NV has become the leading cause of acute GE in children seen in hospital.","DOI":"10.1007/s00431-013-1945-3","ISSN":"03406199","journalAbbreviation":"European Journal of Pediatrics","author":[{"family":"Hemming","given":"Maria"},{"family":"Räsänen","given":"Sirpa"},{"family":"Huhti","given":"Leena"},{"family":"Paloniemi","given":"Minna"},{"family":"Salminen","given":"Marjo"},{"family":"Vesikari","given":"Timo"}],"issued":{"date-parts":[["2013",6]]}},"label":"page"},{"id":4083,"uris":["http://zotero.org/users/1755126/items/J7G4FWGU"],"uri":["http://zotero.org/users/1755126/items/J7G4FWGU"],"itemData":{"id":4083,"type":"article-journal","title":"Rotavirus Vaccines and Health Care Utilization for Diarrhea in the United States (2007–2011)","container-title":"Pediatrics","page":"15-23","volume":"134","issue":"1","source":"pediatrics.aappublications.org","abstract":"OBJECTIVES: To examine reductions in diarrhea-associated health care utilization after rotavirus vaccine implementation and to assess direct and indirect effectiveness of vaccination.\nMETHODS: Retrospective cohort analysis of claims data of commercially insured US children aged &lt;5 years. We examined annual pentavalent (RV5) and monovalent (RV1) rotavirus vaccine coverage. We compared rates of diarrhea-associated health care utilization in prevaccine (2001–2006) versus postvaccine introduction (2007–2011) years, compared rates of diarrhea-associated health care utilization in vaccinated versus unvaccinated children and compared rates in unvaccinated children in postvaccine versus prevaccine years.\nRESULTS: Among children aged &lt;5 years, RV5 and RV1 rotavirus vaccine coverage rates reached 58% and 5%, respectively, by December 31, 2010. Compared with the average rate of rotavirus-coded hospitalizations in 2001–2006, rates were reduced by 75% in 2007–2008, 60% in 2008–2009, 94% in 2009–2010, and 80% in 2010–2011. Compared with unvaccinated children, in 2010–2011, the rate of rotavirus-coded hospitalizations was reduced by 92% among RV5 recipients and 96% among RV1 recipients. Rotavirus-coded hospitalization rate reductions among RV5 recipients versus unvaccinated children ranged from 87% among &lt;1-year-olds to 81% among 4-year-olds. Compared with prevaccine rates in 2001–2006, rotavirus-coded hospitalization rates among unvaccinated children decreased by 50% in 2007–2008, 77% in 2009–2010, and 25% in 2010–2011.\nCONCLUSIONS: Implementation of rotavirus vaccines has substantially reduced diarrhea health care utilization in US children. Both rotavirus vaccines conferred high protection against rotavirus hospitalizations; RV5 conferred durable protection through the fourth year of life. Vaccination also conferred indirect benefits to unvaccinated children.","DOI":"10.1542/peds.2013-3849","ISSN":"0031-4005, 1098-4275","note":"PMID: 24913793","language":"en","author":[{"family":"Leshem","given":"Eyal"},{"family":"Moritz","given":"Rebecca E."},{"family":"Curns","given":"Aaron T."},{"family":"Zhou","given":"Fangjun"},{"family":"Tate","given":"Jacqueline E."},{"family":"Lopman","given":"Benjamin A."},{"family":"Parashar","given":"Umesh D."}],"issued":{"date-parts":[["2014",7,1]]}},"label":"page"},{"id":3510,"uris":["http://zotero.org/users/1755126/items/I4PRSPJS"],"uri":["http://zotero.org/users/1755126/items/I4PRSPJS"],"itemData":{"id":3510,"type":"article-journal","title":"Impact of Rotavirus Vaccination in Germany: Rotavirus Surveillance, Hospitalization, Side Effects and Comparison of Vaccines","container-title":"The Pediatric Infectious Disease Journal","page":"e299-e304","volume":"33","issue":"11","source":"CrossRef","DOI":"10.1097/INF.0000000000000441","ISSN":"0891-3668","shortTitle":"Impact of Rotavirus Vaccination in Germany","language":"en","author":[{"family":"Uhlig","given":"Ulrike"},{"family":"Kostev","given":"Karel"},{"family":"Schuster","given":"Volker"},{"family":"Koletzko","given":"Sibylle"},{"family":"Uhlig","given":"Holm H."}],"issued":{"date-parts":[["2014",11]]}},"label":"page"},{"id":4119,"uris":["http://zotero.org/users/1755126/items/NXEAE7XF"],"uri":["http://zotero.org/users/1755126/items/NXEAE7XF"],"itemData":{"id":4119,"type":"article-journal","title":"Assessing the impacts of the first year of rotavirus vaccination in the United Kingdom","container-title":"Euro Surveillance: Bulletin Europeen Sur Les Maladies Transmissibles = European Communicable Disease Bulletin","page":"30077","volume":"20","issue":"48","source":"PubMed","abstract":"The United Kingdom (UK) added rotavirus (RV) vaccine (Rotarix GlaxoSmithKline) to the national vaccine schedule in July 2013. During the 2012-2014 rotavirus seasons, children presenting to the Bristol Royal Hospital for Children Emergency Department with gastroenteritis symptoms had stool virology analysis (real-time PCR) and clinical outcome recorded. Nosocomial cases were identified as patients with non-gastroenteritis diagnosis testing positive for rotavirus &gt; 48h after admission. In comparison to average pre-vaccine seasons, in the first year after vaccine introduction there were 48% fewer attendances diagnosed with gastroenteritis, 53% reduction in gastroenteritis admissions and a total saving of 330 bed-days occupancy. There was an overall reduction in number of rotavirus-positive stool samples with 94% reduction in children aged under one year and a 65% reduction in those too old to have been vaccinated. In the first year after the introduction of universal vaccination against rotavirus we observed a profound reduction in gastroenteritis presentations and admissions with a substantial possible herd effect seen in older children. Extrapolating these findings to the UK population we estimate secondary healthcare savings in the first year of ca £7.5 (€10.5) million. Ongoing surveillance will be required to determine the long-term impact of the RV immunisation programme.","DOI":"10.2807/1560-7917.ES.2015.20.48.30077","ISSN":"1560-7917","note":"PMID: 26675375","journalAbbreviation":"Euro Surveill.","language":"eng","author":[{"family":"Marlow","given":"Robin"},{"family":"Muir","given":"Peter"},{"family":"Vipond","given":"Barry"},{"family":"Lyttle","given":"Mark"},{"family":"Trotter","given":"Caroline"},{"family":"Finn","given":"Adam"}],"issued":{"date-parts":[["2015"]]}},"label":"page"},{"id":4143,"uris":["http://zotero.org/users/1755126/items/55BZN8XN"],"uri":["http://zotero.org/users/1755126/items/55BZN8XN"],"itemData":{"id":4143,"type":"article-journal","title":"Effectiveness and impact of rotavirus vaccines in Europe, 2006–2014","container-title":"Vaccine","page":"2097-2107","volume":"33","issue":"18","source":"ScienceDirect","abstract":"Prior to the introduction of rotavirus vaccines in 2006, rotavirus was the leading cause of severe gastroenteritis among European children &lt;5 years of age. We conducted a systematic review of the published literature to examine the effectiveness and impact of rotavirus vaccines in Europe following the first eight years of routine use. Four publication databases were searched, yielding 276 unique citations from February 1st, 2006 to July 31st, 2014. Twenty four studies on effectiveness (n=9) and impact (n=15) met the inclusion criteria. Across Europe, vaccine effectiveness against rotavirus-related healthcare utilisation ranged from 68% to 98%, consistent with efficacy data from clinical trials. Reductions in rotavirus hospitalisations ranged from 65% to 84%, consistent with findings from post-marketing studies from the US and Latin America. We confirm the significant public health benefit of rotavirus vaccination in Europe and provide further evidence to support implementation of universal rotavirus vaccination in all European countries.","DOI":"10.1016/j.vaccine.2015.03.016","ISSN":"0264-410X","journalAbbreviation":"Vaccine","author":[{"family":"Karafillakis","given":"Emilie"},{"family":"Hassounah","given":"Sondus"},{"family":"Atchison","given":"Christina"}],"issued":{"date-parts":[["2015",4,27]]}},"label":"page"},{"id":175,"uris":["http://zotero.org/users/1755126/items/4WIM6J8K"],"uri":["http://zotero.org/users/1755126/items/4WIM6J8K"],"itemData":{"id":175,"type":"article-journal","title":"Decline in cases of rotavirus gastroenteritis presenting to The Children's Hospital of Philadelphia after introduction of a pentavalent rotavirus vaccine","container-title":"Clinical and vaccine immunology: CVI","page":"382-386","volume":"16","issue":"3","source":"NCBI PubMed","abstract":"A pentavalent rotavirus vaccine for infants became available in the United States in February 2006. By 2007, vaccination rates nationwide were estimated to be approximately 50%. We studied the effectiveness of the vaccine in a real-world setting outside of a clinical trial. All children presenting to The Children's Hospital of Philadelphia with acute gastroenteritis have been monitored for the presence of rotavirus antigen in the stool by enzyme-linked immunosorbent assay (ELISA [followed by genotyping if ELISA positive]) since the 1994-1995 epidemic season, presenting a unique opportunity to assess the impact of the recently introduced vaccine. The annual number of community-acquired cases over the preceding 13 years had approached or exceeded 100, with 271 cases in 2005 to 2006 and 167 cases in 2006 to 2007. In the 2007-2008 season, only 36 community-acquired cases were identified, representing an 87% reduction from the same period in 2005 to 2006. G3 was the predominant serotype, accounting for 15 community cases (42%). Our study is limited by its observational design using historical comparisons. Nonetheless, the abrupt decline in rotavirus gastroenteritis cases during the 2007-2008 season likely resulted from vaccination. Because protection rates appeared to have exceeded vaccination rates, herd immunity may have contributed to some degree to the effectiveness of the vaccine.","DOI":"10.1128/CVI.00382-08","ISSN":"1556-679X","note":"PMID: 19158283 \nPMCID: PMC2650872","journalAbbreviation":"Clin. Vaccine Immunol.","language":"eng","author":[{"family":"Clark","given":"H Fred"},{"family":"Lawley","given":"Diane"},{"family":"Mallette","given":"Laura A"},{"family":"DiNubile","given":"Mark J"},{"family":"Hodinka","given":"Richard L"}],"issued":{"date-parts":[["2009",3]]}},"label":"page"},{"id":712,"uris":["http://zotero.org/users/1755126/items/DUK69SQZ"],"uri":["http://zotero.org/users/1755126/items/DUK69SQZ"],"itemData":{"id":712,"type":"article-journal","title":"Sustained Decline in Cases of Rotavirus Gastroenteritis Presenting to the Children's Hospital of Philadelphia in the New Rotavirus Vaccine Era","container-title":"Pediatric Infectious Disease Journal","page":"699-702","volume":"29","issue":"8","source":"ISI Web of Knowledge","abstract":"Background: A dramatic diminution in the number of rotavirus gastroenteritis cases during the 2007 to 2008 rotavirus season in the United States was likely attributable to the availability of an effective rotavirus vaccine for infants since February 2006. To exclude the possibility that factors other than vaccination accounted for the declining case frequency, we examined the 2008 to 2009 experience at the Children's Hospital of Philadelphia (CHOP). Methods: Infants with acute gastroenteritis presenting to CHOP have been monitored for the presence of rotavirus antigen in the stool by enzyme-linked immunosorbent assay (followed by serotyping if enzyme-linked immunosorbent assay-positive) since the 1994 to 1995 epidemic season. Results: The number of community-acquired cases during the last full rotavirus season before licensure of a vaccine was 271 in 2005 to 2006, followed by 167 cases in 2006 to 2007 and 36 in 2007 to 2008. Between 2008 and 2009, 73 community-acquired cases were identified. Almost half of the cases were seen among children older than 2 years. Unlike the late-appearing 2007 to 2008 season, the 2008 to 2009 season paralleled the typical time course observed in the prevaccine era. G9P [8] strains caused 64% of the cases. Conclusion: The sustained decline in the frequency of community-acquired rotavirus gastroenteritis has likely resulted from the use of the new rotavirus vaccines. The age distribution of children hospitalized for rotavirus gastroenteritis has shifted toward older children with the introduction of effective vaccines. The G9 serotype (not included in either vaccine) emerged as the most common cause of rotavirus gastroenteritis at CHOP during the 2008 to 2009 season.","DOI":"10.1097/INF.0b013e3181d73524","ISSN":"0891-3668","note":"WOS:000280314900004","journalAbbreviation":"Pediatr. Infect. Dis. J.","language":"English","author":[{"family":"Clark","given":"H. Fred"},{"family":"Lawley","given":"Diane"},{"family":"Matthijnssens","given":"Jelle"},{"family":"DiNubile","given":"Mark J."},{"family":"Hodinka","given":"Richard L."}],"issued":{"date-parts":[["2010",8]]}},"label":"page"},{"id":1037,"uris":["http://zotero.org/users/1755126/items/J6SIJ95V"],"uri":["http://zotero.org/users/1755126/items/J6SIJ95V"],"itemData":{"id":1037,"type":"article-journal","title":"Effectiveness and impact of rotavirus vaccines in the United States - 2006-2012.","container-title":"Expert review of vaccines","page":"365-76","volume":"13","issue":"3","source":"ISI Web of Knowledge","abstract":"Prior to the introduction of rotavirus vaccines in 2006, rotavirus was the leading cause of severe gastroenteritis among US children &lt;5 years of age. In the first 7 years of vaccine use, both recommended rotavirus vaccines (RotaTeq [RV5] and Rotarix [RV1]) have been shown to be highly effective in preventing outcomes of severe disease in US children in a variety of settings. In addition, substantial decreases in severe diarrheal disease in US children, exceeding the level expected based on vaccine coverage, as well as the extension of benefits to older age groups ineligible for vaccination have demonstrated both the direct and indirect impacts of vaccination in the USA.","DOI":"10.1586/14760584.2014.877846","ISSN":"1744-8395","note":"MEDLINE:24392657","author":[{"family":"Rha","given":"Brian"},{"family":"Tate","given":"Jacqueline E."},{"family":"Payne","given":"Daniel C."},{"family":"Cortese","given":"Margaret M."},{"family":"Lopman","given":"Benjamin A."},{"family":"Curns","given":"Aaron T."},{"family":"Parashar","given":"Umesh D."}],"issued":{"date-parts":[["2014",1,6]]}},"label":"page"},{"id":814,"uris":["http://zotero.org/users/1755126/items/FQF4JFSD"],"uri":["http://zotero.org/users/1755126/items/FQF4JFSD"],"itemData":{"id":814,"type":"article-journal","title":"Uptake, Impact, and Effectiveness of Rotavirus Vaccination in the United States Review of the First 3 Years of Postlicensure Data","container-title":"Pediatric Infectious Disease Journal","page":"S56-S60","volume":"30","issue":"1","source":"ISI Web of Knowledge","abstract":"Background: Rotavirus vaccine was recommended for routine use in US infants in 2006. Before the introduction of vaccine, rotavirus was the most common cause of severe gastroenteritis in children &lt;5 years of age in the United States. Methods: We reviewed published data to summarize the US experience during the first 3 years of its rotavirus vaccination program. Results: Rotavirus seasons have been delayed and diminished in magnitude during the postvaccine era compared with the prevaccine era. Hospitalizations, emergency department visits, and outpatient visits due to gastroenteritis have declined dramatically in children &lt;5 years of age including in children age-ineligible to have received vaccine, suggesting indirect benefits of vaccination. Rotavirus vaccine has been widely accepted by pediatricians. Vaccine coverage is steadily increasing but remains lower than coverage levels of other routine infant immunizations. Conclusions: The implementation of routine childhood immunization against rotavirus has rapidly and dramatically reduced the large health burden of rotavirus gastroenteritis in US children. Continued monitoring of rotavirus diarrhea is needed to determine if immunity wanes as vaccinated children get older and to better quantify the indirect benefits of vaccination. Ongoing surveillance will also enable monitoring of the long-term impact of vaccination on rotavirus epidemiology.","DOI":"10.1097/INF.0b013e3181fefdc0","note":"WOS:000285795900012","author":[{"family":"Tate","given":"Jacqueline E."},{"family":"Cortese","given":"Margaret M."},{"family":"Payne","given":"Daniel C."},{"family":"Curns","given":"Aaron T."},{"family":"Yen","given":"Catherine"},{"family":"Esposito","given":"Douglas H."},{"family":"Cortes","given":"Jennifer E."},{"family":"Lopman","given":"Benjamin A."},{"family":"Patel","given":"Manish M."},{"family":"Gentsch","given":"Jon R."},{"family":"Parashar","given":"Umesh D."}],"issued":{"date-parts":[["2011",1]]}},"label":"page"},{"id":1562,"uris":["http://zotero.org/users/1755126/items/TS7A3MSS"],"uri":["http://zotero.org/users/1755126/items/TS7A3MSS"],"itemData":{"id":1562,"type":"article-journal","title":"Infant rotavirus vaccination may provide indirect protection to older children and adults in the United States","container-title":"The Journal of infectious diseases","page":"980-986","volume":"204","issue":"7","source":"NCBI PubMed","abstract":"Following the introduction of rotavirus vaccination in the United States, rotavirus and cause-unspecified gastroenteritis discharges significantly decreased in 2008 in the 0-4, 5-14, and 15-24-year age groups, with significant reductions observed in March, the historic peak rotavirus month, in all age groups. We estimate that 15% of the total 66 000 averted hospitalizations and 20% of the $204 million in averted direct medical costs attributable to the vaccination program were among unvaccinated 5-24 year-olds. This study demonstrates a previously unrecognized burden of severe rotavirus in the population &gt;5 years and the primacy of very young children in the transmission of rotavirus.","DOI":"10.1093/infdis/jir492","ISSN":"1537-6613","note":"PMID: 21878425","journalAbbreviation":"J. Infect. Dis.","language":"eng","author":[{"family":"Lopman","given":"Ben A"},{"family":"Curns","given":"Aaron T"},{"family":"Yen","given":"Catherine"},{"family":"Parashar","given":"Umesh D"}],"issued":{"date-parts":[["2011",10,1]]}},"label":"page"}],"schema":"https://github.com/citation-style-language/schema/raw/master/csl-citation.json"} </w:instrText>
      </w:r>
      <w:r w:rsidR="002A30F7">
        <w:fldChar w:fldCharType="separate"/>
      </w:r>
      <w:r w:rsidR="00990F10" w:rsidRPr="00990F10">
        <w:rPr>
          <w:rFonts w:ascii="Calibri" w:hAnsi="Calibri" w:cs="Times New Roman"/>
          <w:szCs w:val="24"/>
        </w:rPr>
        <w:t>[12</w:t>
      </w:r>
      <w:proofErr w:type="gramStart"/>
      <w:r w:rsidR="00990F10" w:rsidRPr="00990F10">
        <w:rPr>
          <w:rFonts w:ascii="Calibri" w:hAnsi="Calibri" w:cs="Times New Roman"/>
          <w:szCs w:val="24"/>
        </w:rPr>
        <w:t>,29</w:t>
      </w:r>
      <w:proofErr w:type="gramEnd"/>
      <w:r w:rsidR="00990F10" w:rsidRPr="00990F10">
        <w:rPr>
          <w:rFonts w:ascii="Calibri" w:hAnsi="Calibri" w:cs="Times New Roman"/>
          <w:szCs w:val="24"/>
        </w:rPr>
        <w:t>–42]</w:t>
      </w:r>
      <w:r w:rsidR="002A30F7">
        <w:fldChar w:fldCharType="end"/>
      </w:r>
      <w:r>
        <w:t xml:space="preserve"> </w:t>
      </w:r>
      <w:r w:rsidR="00BB17A9">
        <w:t>The reduction</w:t>
      </w:r>
      <w:r w:rsidR="005B6596">
        <w:t xml:space="preserve"> in all-cause AGE of 46% (36-</w:t>
      </w:r>
      <w:r w:rsidR="00BB17A9">
        <w:t xml:space="preserve">55%) for infants and </w:t>
      </w:r>
      <w:r w:rsidR="00BB17A9" w:rsidRPr="00BB17A9">
        <w:t>50</w:t>
      </w:r>
      <w:r w:rsidR="00BB17A9">
        <w:t>%</w:t>
      </w:r>
      <w:r w:rsidR="005B6596">
        <w:t xml:space="preserve"> (38-</w:t>
      </w:r>
      <w:r w:rsidR="00BB17A9" w:rsidRPr="00BB17A9">
        <w:t>60</w:t>
      </w:r>
      <w:r w:rsidR="00BB17A9">
        <w:t>%</w:t>
      </w:r>
      <w:r w:rsidR="00BB17A9" w:rsidRPr="00BB17A9">
        <w:t>)</w:t>
      </w:r>
      <w:r w:rsidR="00BB17A9">
        <w:t xml:space="preserve"> for children 12-23 months of age was also similar to that reported in </w:t>
      </w:r>
      <w:r w:rsidR="00BB17A9">
        <w:lastRenderedPageBreak/>
        <w:t xml:space="preserve">earlier </w:t>
      </w:r>
      <w:r w:rsidR="009A16BF">
        <w:t xml:space="preserve">UK </w:t>
      </w:r>
      <w:r w:rsidR="00BB17A9">
        <w:t>studies</w:t>
      </w:r>
      <w:r w:rsidR="009A16BF">
        <w:t>, as was the indication of herd protective effects in older adults and children</w:t>
      </w:r>
      <w:r w:rsidR="00BB17A9">
        <w:t>.</w:t>
      </w:r>
      <w:r w:rsidR="002A30F7">
        <w:fldChar w:fldCharType="begin"/>
      </w:r>
      <w:r w:rsidR="00990F10">
        <w:instrText xml:space="preserve"> ADDIN ZOTERO_ITEM CSL_CITATION {"citationID":"ajgsj9sjpr","properties":{"formattedCitation":"[12,36]","plainCitation":"[12,36]"},"citationItems":[{"id":3549,"uris":["http://zotero.org/users/1755126/items/DPDKKBVS"],"uri":["http://zotero.org/users/1755126/items/DPDKKBVS"],"itemData":{"id":3549,"type":"article-journal","title":"Rapid Declines in Age Group–Specific Rotavirus Infection and Acute Gastroenteritis Among Vaccinated and Unvaccinated Individuals Within 1 Year of Rotavirus Vaccine Introduction in England and Wales","container-title":"Journal of Infectious Diseases","page":"jiv398","source":"jid.oxfordjournals.org","abstract":"Background. The oral infant rotavirus vaccine, Rotarix, was introduced in England and Wales in July 2013. We estimated the impact on laboratory-confirmed rotavirus infections and hospitalizations for all-cause acute gastroenteritis (AGE) during the first year after introduction.\nMethods. We extracted data on laboratory-confirmed rotavirus infections (July 2000 through June 2015) and all-cause AGE–associated hospitalizations (July 2007 through June 2014) for all age groups using national databases (LabBase2 and HES). We determined the ratio of the rate during the 2013–2014 rotavirus season to the rate during the prevaccination era.\nResults. In infants, there was a 77% decline (rate ratio [RR], 0.23; 95% confidence interval [CI], .16–.32) in laboratory-confirmed rotavirus infections and a 26% decline (RR, 0.74; 95% CI, .65–.84) in all-cause AGE–associated hospitalizations in 2013–2014, compared with the prevaccination era. Large reductions were also observed in older children, adults, and older adults. We estimated that 10 884 laboratory-confirmed infections and 50 427 all-cause AGE–associated hospital admissions were averted in 2013–2014. Similar reductions have been observed for laboratory-confirmed rotavirus infections during the 2014–2015 season.\nConclusions. The rapid declines in rotavirus infection and AGE in vaccinated and unvaccinated age groups within 1 year of introducing an infant rotavirus vaccination program are far greater than expected and than previously reported by other countries.","DOI":"10.1093/infdis/jiv398","ISSN":"0022-1899, 1537-6613","note":"PMID: 26232438","journalAbbreviation":"J Infect Dis.","language":"en","author":[{"family":"Atchison","given":"Christina J."},{"family":"Stowe","given":"Julia"},{"family":"Andrews","given":"Nick"},{"family":"Collins","given":"Sarah"},{"family":"Allen","given":"David J."},{"family":"Nawaz","given":"Sameena"},{"family":"Brown","given":"David"},{"family":"Ramsay","given":"Mary E."},{"family":"Ladhani","given":"Shamez N."}],"issued":{"date-parts":[["2015",7,30]]}}},{"id":4119,"uris":["http://zotero.org/users/1755126/items/NXEAE7XF"],"uri":["http://zotero.org/users/1755126/items/NXEAE7XF"],"itemData":{"id":4119,"type":"article-journal","title":"Assessing the impacts of the first year of rotavirus vaccination in the United Kingdom","container-title":"Euro Surveillance: Bulletin Europeen Sur Les Maladies Transmissibles = European Communicable Disease Bulletin","page":"30077","volume":"20","issue":"48","source":"PubMed","abstract":"The United Kingdom (UK) added rotavirus (RV) vaccine (Rotarix GlaxoSmithKline) to the national vaccine schedule in July 2013. During the 2012-2014 rotavirus seasons, children presenting to the Bristol Royal Hospital for Children Emergency Department with gastroenteritis symptoms had stool virology analysis (real-time PCR) and clinical outcome recorded. Nosocomial cases were identified as patients with non-gastroenteritis diagnosis testing positive for rotavirus &gt; 48h after admission. In comparison to average pre-vaccine seasons, in the first year after vaccine introduction there were 48% fewer attendances diagnosed with gastroenteritis, 53% reduction in gastroenteritis admissions and a total saving of 330 bed-days occupancy. There was an overall reduction in number of rotavirus-positive stool samples with 94% reduction in children aged under one year and a 65% reduction in those too old to have been vaccinated. In the first year after the introduction of universal vaccination against rotavirus we observed a profound reduction in gastroenteritis presentations and admissions with a substantial possible herd effect seen in older children. Extrapolating these findings to the UK population we estimate secondary healthcare savings in the first year of ca £7.5 (€10.5) million. Ongoing surveillance will be required to determine the long-term impact of the RV immunisation programme.","DOI":"10.2807/1560-7917.ES.2015.20.48.30077","ISSN":"1560-7917","note":"PMID: 26675375","journalAbbreviation":"Euro Surveill.","language":"eng","author":[{"family":"Marlow","given":"Robin"},{"family":"Muir","given":"Peter"},{"family":"Vipond","given":"Barry"},{"family":"Lyttle","given":"Mark"},{"family":"Trotter","given":"Caroline"},{"family":"Finn","given":"Adam"}],"issued":{"date-parts":[["2015"]]}}}],"schema":"https://github.com/citation-style-language/schema/raw/master/csl-citation.json"} </w:instrText>
      </w:r>
      <w:r w:rsidR="002A30F7">
        <w:fldChar w:fldCharType="separate"/>
      </w:r>
      <w:r w:rsidR="00990F10" w:rsidRPr="00990F10">
        <w:rPr>
          <w:rFonts w:ascii="Calibri" w:hAnsi="Calibri"/>
        </w:rPr>
        <w:t>[12</w:t>
      </w:r>
      <w:proofErr w:type="gramStart"/>
      <w:r w:rsidR="00990F10" w:rsidRPr="00990F10">
        <w:rPr>
          <w:rFonts w:ascii="Calibri" w:hAnsi="Calibri"/>
        </w:rPr>
        <w:t>,36</w:t>
      </w:r>
      <w:proofErr w:type="gramEnd"/>
      <w:r w:rsidR="00990F10" w:rsidRPr="00990F10">
        <w:rPr>
          <w:rFonts w:ascii="Calibri" w:hAnsi="Calibri"/>
        </w:rPr>
        <w:t>]</w:t>
      </w:r>
      <w:r w:rsidR="002A30F7">
        <w:fldChar w:fldCharType="end"/>
      </w:r>
      <w:r w:rsidR="003B425C">
        <w:t xml:space="preserve"> </w:t>
      </w:r>
    </w:p>
    <w:p w14:paraId="3AA1CB69" w14:textId="03E7E182" w:rsidR="009D2608" w:rsidRDefault="00D43B5F" w:rsidP="00AA588D">
      <w:pPr>
        <w:spacing w:after="120" w:line="480" w:lineRule="auto"/>
      </w:pPr>
      <w:r>
        <w:t xml:space="preserve">For less severe disease outcomes </w:t>
      </w:r>
      <w:r w:rsidR="001C3E64">
        <w:t>(</w:t>
      </w:r>
      <w:r w:rsidR="003B425C">
        <w:t xml:space="preserve">disease presenting to </w:t>
      </w:r>
      <w:r w:rsidR="00B91BC8">
        <w:t xml:space="preserve">GPs </w:t>
      </w:r>
      <w:r w:rsidR="00E53709">
        <w:t>and WICs</w:t>
      </w:r>
      <w:r w:rsidR="001C3E64">
        <w:t>)</w:t>
      </w:r>
      <w:r w:rsidR="00E53709">
        <w:t xml:space="preserve"> </w:t>
      </w:r>
      <w:r>
        <w:t xml:space="preserve">we demonstrated smaller </w:t>
      </w:r>
      <w:r w:rsidR="00B91BC8">
        <w:t xml:space="preserve">relative </w:t>
      </w:r>
      <w:r>
        <w:t>reductions</w:t>
      </w:r>
      <w:r w:rsidR="00482755">
        <w:t xml:space="preserve"> compared to more-specific </w:t>
      </w:r>
      <w:r w:rsidR="003B425C">
        <w:t xml:space="preserve">or </w:t>
      </w:r>
      <w:r w:rsidR="00482755">
        <w:t>severe disease outcomes. However,</w:t>
      </w:r>
      <w:r w:rsidR="00FA235A">
        <w:t xml:space="preserve"> </w:t>
      </w:r>
      <w:r w:rsidR="00B91BC8">
        <w:t xml:space="preserve">these reductions constitute a substantial contribution to the absolute number of healthcare contacts </w:t>
      </w:r>
      <w:r w:rsidR="00482755">
        <w:t>averted through vaccination</w:t>
      </w:r>
      <w:r>
        <w:t xml:space="preserve">. </w:t>
      </w:r>
      <w:r w:rsidR="00DB6EFF">
        <w:t>The</w:t>
      </w:r>
      <w:r w:rsidR="005A7968">
        <w:t xml:space="preserve"> impact on non-specific outcome measures was </w:t>
      </w:r>
      <w:r w:rsidR="004A6A6A">
        <w:t xml:space="preserve">consistently </w:t>
      </w:r>
      <w:r w:rsidR="005A7968">
        <w:t>highest</w:t>
      </w:r>
      <w:r w:rsidR="000C2B58">
        <w:t xml:space="preserve"> during the rotavirus season for children under five years, suggesting that </w:t>
      </w:r>
      <w:r w:rsidR="004A6A6A">
        <w:t>the observed reduction</w:t>
      </w:r>
      <w:r w:rsidR="000C2B58">
        <w:t xml:space="preserve"> in incidence </w:t>
      </w:r>
      <w:r w:rsidR="004A6A6A">
        <w:t xml:space="preserve">of </w:t>
      </w:r>
      <w:r w:rsidR="00E87822">
        <w:t>AGE</w:t>
      </w:r>
      <w:r w:rsidR="004A6A6A">
        <w:t xml:space="preserve"> is likely to be due to a real reduction in </w:t>
      </w:r>
      <w:r w:rsidR="000C2B58">
        <w:t>rotavirus disease</w:t>
      </w:r>
      <w:r w:rsidR="009D2608">
        <w:t>.</w:t>
      </w:r>
      <w:r w:rsidR="009D2608" w:rsidRPr="009D2608">
        <w:t xml:space="preserve"> </w:t>
      </w:r>
      <w:r w:rsidR="009D2608">
        <w:t xml:space="preserve">The smaller reductions in </w:t>
      </w:r>
      <w:r w:rsidR="00714932">
        <w:t>consultation</w:t>
      </w:r>
      <w:r w:rsidR="00C52F0D">
        <w:t xml:space="preserve">s </w:t>
      </w:r>
      <w:r w:rsidR="00714932">
        <w:t>in primary care (</w:t>
      </w:r>
      <w:r w:rsidR="009D2608">
        <w:t>WICs and GP practices</w:t>
      </w:r>
      <w:r w:rsidR="00714932">
        <w:t>)</w:t>
      </w:r>
      <w:r w:rsidR="009D2608">
        <w:t xml:space="preserve"> </w:t>
      </w:r>
      <w:r w:rsidR="004835BC">
        <w:t xml:space="preserve">are </w:t>
      </w:r>
      <w:r w:rsidR="00714932">
        <w:t xml:space="preserve">likely </w:t>
      </w:r>
      <w:r w:rsidR="004835BC">
        <w:t>explained by</w:t>
      </w:r>
      <w:r w:rsidR="009D2608">
        <w:t xml:space="preserve"> the non-specific gastroenteritis outcome measure </w:t>
      </w:r>
      <w:r w:rsidR="004835BC">
        <w:t>and</w:t>
      </w:r>
      <w:r w:rsidR="009D2608">
        <w:t xml:space="preserve"> also because of the presumed lower </w:t>
      </w:r>
      <w:r w:rsidR="00DB6EFF">
        <w:t>effectiveness</w:t>
      </w:r>
      <w:r w:rsidR="004835BC">
        <w:t xml:space="preserve"> of rotavirus vaccine</w:t>
      </w:r>
      <w:r w:rsidR="00DB6EFF">
        <w:t xml:space="preserve"> </w:t>
      </w:r>
      <w:r w:rsidR="009D2608">
        <w:t>against milder disease</w:t>
      </w:r>
      <w:r w:rsidR="00C52F0D">
        <w:t>.</w:t>
      </w:r>
      <w:r w:rsidR="00C52F0D">
        <w:fldChar w:fldCharType="begin"/>
      </w:r>
      <w:r w:rsidR="00990F10">
        <w:instrText xml:space="preserve"> ADDIN ZOTERO_ITEM CSL_CITATION {"citationID":"Vfqm75t7","properties":{"formattedCitation":"[43,44]","plainCitation":"[43,44]"},"citationItems":[{"id":3645,"uris":["http://zotero.org/users/1755126/items/XC3ZN433"],"uri":["http://zotero.org/users/1755126/items/XC3ZN433"],"itemData":{"id":3645,"type":"article-journal","title":"Update on Rotavirus Vaccines:","container-title":"The Pediatric Infectious Disease Journal","page":"947-952","volume":"24","issue":"11","source":"CrossRef","DOI":"10.1097/01.inf.0000186295.18969.e6","ISSN":"0891-3668","shortTitle":"Update on Rotavirus Vaccines","language":"en","author":[{"family":"Bresee","given":"Joseph S."},{"family":"Parashar","given":"Umesh D."},{"family":"Widdowson","given":"Marc-Alain"},{"family":"Gentsch","given":"Jon R."},{"family":"Steele","given":"A Duncan"},{"family":"Glass","given":"Roger I."}],"issued":{"date-parts":[["2005",11]]}}},{"id":4165,"uris":["http://zotero.org/users/1755126/items/Q92NKQUH"],"uri":["http://zotero.org/users/1755126/items/Q92NKQUH"],"itemData":{"id":4165,"type":"article-journal","title":"Population effectiveness of the pentavalent and monovalent rotavirus vaccines: a systematic review and meta-analysis of observational studies","container-title":"BMC infectious diseases","page":"569","volume":"17","issue":"1","source":"PubMed","abstract":"BACKGROUND: Rotavirus was the leading cause of acute gastroenteritis (AGE) in infants and young children prior to the introduction of routine vaccination. Since 2006 there have been two licensed vaccines available; with successful clinical trials leading the World Health Organization to recommend rotavirus vaccination for all children worldwide. In order to inform immunisation policy we have conducted a systematic review and meta-analysis of observation studies to assess population effectiveness against acute gastroenteritis.\nMETHODS: We systematically searched PubMed, Medline, Web of Science, Cinhal and Academic Search Premier and grey literature sources for studies published between January 2006 and April 2014. Studies were eligible for inclusion if they were observational measuring population effectiveness of rotavirus vaccination against health care attendances for rotavirus gastroenteritis or AGE. To evaluate study quality we use used the Newcastle-Ottawa Scale for non-randomised studies, categorising studies by risk of bias. Publication bias was assessed using funnel plots. If two or more studies reported a measure of vaccine effectiveness (VE), we conducted a random effects meta-analysis. We stratified analyses by World Bank country income level and used study quality in sensitivity analyses.\nRESULTS: We identified 30 studies, 19 were from high-income countries and 11 from middle-income countries. Vaccine effectiveness against hospitalization for laboratory confirmed rotavirus gastroenteritis was highest in high-income countries (89% VE; 95% CI 84-92%) compared to middle-income countries (74% VE; 95% CI 67-80%). Vaccine effectiveness was higher for those receiving the complete vaccine schedule (81% VE; 95% CI 75-86%) compared to partial schedule (62% VE; 95% CI 55-69%). Two studies from high-income countries measured VE against community consultations for AGE with a pooled estimate of 40% (95% CI 13-58%; 2 studies).\nCONCLUSIONS: We found strong evidence to further support the continued use of rotavirus vaccines. Vaccine effectiveness was similar to that reported in clinical trials for both high and middle-income countries. There is limited data from Low income settings at present. There was lower effectiveness against milder disease. Further studies, should continue to report effectiveness against AGE and less-severe rotavirus disease because as evidenced by pre-vaccine introduction studies this is likely to contribute the greatest burden on healthcare resources, particularly in high-income countries.","DOI":"10.1186/s12879-017-2613-4","ISSN":"1471-2334","note":"PMID: 28810833\nPMCID: PMC5556361","shortTitle":"Population effectiveness of the pentavalent and monovalent rotavirus vaccines","journalAbbreviation":"BMC Infect. Dis.","language":"eng","author":[{"family":"Hungerford","given":"Daniel"},{"family":"Smith","given":"Katie"},{"family":"Tucker","given":"Angela"},{"family":"Iturriza-Gómara","given":"Miren"},{"family":"Vivancos","given":"Roberto"},{"family":"McLeonard","given":"Catherine"},{"family":"A Cunliffe","given":"Nigel"},{"family":"French","given":"Neil"}],"issued":{"date-parts":[["2017",8,15]]}}}],"schema":"https://github.com/citation-style-language/schema/raw/master/csl-citation.json"} </w:instrText>
      </w:r>
      <w:r w:rsidR="00C52F0D">
        <w:fldChar w:fldCharType="separate"/>
      </w:r>
      <w:r w:rsidR="00990F10" w:rsidRPr="00990F10">
        <w:rPr>
          <w:rFonts w:ascii="Calibri" w:hAnsi="Calibri"/>
        </w:rPr>
        <w:t>[43,44]</w:t>
      </w:r>
      <w:r w:rsidR="00C52F0D">
        <w:fldChar w:fldCharType="end"/>
      </w:r>
      <w:r w:rsidR="009D2608">
        <w:t xml:space="preserve"> Furthermore, the reductions in GP consultations for infectious gastroenteritis </w:t>
      </w:r>
      <w:r w:rsidR="00124676">
        <w:t xml:space="preserve">observed </w:t>
      </w:r>
      <w:r w:rsidR="009D2608">
        <w:t xml:space="preserve">in </w:t>
      </w:r>
      <w:r w:rsidR="00124676">
        <w:t xml:space="preserve">vaccine </w:t>
      </w:r>
      <w:r w:rsidR="009D2608">
        <w:t>age</w:t>
      </w:r>
      <w:r w:rsidR="00124676">
        <w:t>-</w:t>
      </w:r>
      <w:r w:rsidR="009D2608">
        <w:t>eligible children</w:t>
      </w:r>
      <w:r w:rsidR="00C52F0D">
        <w:t xml:space="preserve"> </w:t>
      </w:r>
      <w:r w:rsidR="003B425C">
        <w:t>(</w:t>
      </w:r>
      <w:r w:rsidR="009D2608">
        <w:t>19% for infants and 13% for 12-23 months</w:t>
      </w:r>
      <w:r w:rsidR="003B425C">
        <w:t>)</w:t>
      </w:r>
      <w:r w:rsidR="009D2608">
        <w:t xml:space="preserve"> </w:t>
      </w:r>
      <w:r w:rsidR="00124676">
        <w:t>are</w:t>
      </w:r>
      <w:r w:rsidR="009D2608">
        <w:t xml:space="preserve"> epidemiologically plausible, </w:t>
      </w:r>
      <w:r w:rsidR="00124676">
        <w:t xml:space="preserve">since </w:t>
      </w:r>
      <w:r w:rsidR="009D2608">
        <w:t xml:space="preserve">a study from the pre-vaccine </w:t>
      </w:r>
      <w:r w:rsidR="003B425C">
        <w:t>period</w:t>
      </w:r>
      <w:r w:rsidR="009D2608">
        <w:t xml:space="preserve"> estimated that rotavirus was detected by </w:t>
      </w:r>
      <w:r w:rsidR="00A17C00" w:rsidRPr="00A17C00">
        <w:t>enzyme-linked immunosorbent assay</w:t>
      </w:r>
      <w:r w:rsidR="00A17C00">
        <w:t xml:space="preserve"> (ELISA)</w:t>
      </w:r>
      <w:r w:rsidR="009D2608">
        <w:t xml:space="preserve"> in 14%</w:t>
      </w:r>
      <w:r w:rsidR="00124676">
        <w:t>,</w:t>
      </w:r>
      <w:r w:rsidR="009D2608">
        <w:t xml:space="preserve"> and by ELISA and /or PCR in approximately 19% of infectious intestinal disease GP consultations in </w:t>
      </w:r>
      <w:r w:rsidR="00124676">
        <w:t xml:space="preserve">UK </w:t>
      </w:r>
      <w:r w:rsidR="009D2608">
        <w:t>children under 5</w:t>
      </w:r>
      <w:r w:rsidR="00124676">
        <w:t>,</w:t>
      </w:r>
      <w:r w:rsidR="00974FF0">
        <w:fldChar w:fldCharType="begin"/>
      </w:r>
      <w:r w:rsidR="00990F10">
        <w:instrText xml:space="preserve"> ADDIN ZOTERO_ITEM CSL_CITATION {"citationID":"p2NrZ43f","properties":{"formattedCitation":"[45,46]","plainCitation":"[45,46]"},"citationItems":[{"id":3658,"uris":["http://zotero.org/users/1755126/items/QWSCGREP"],"uri":["http://zotero.org/users/1755126/items/QWSCGREP"],"itemData":{"id":3658,"type":"report","title":"The Second Study of Infectious Intestinal Disease in the Community (IID2 Study)","publisher":"University of Manchester","publisher-place":"Manchester, UK","genre":"Final","event-place":"Manchester, UK","URL":"https://www.food.gov.uk/science/research/foodborneillness/b14programme/b14projlist/b18021","author":[{"family":"Tam","given":"Clarence C"},{"family":"Viviani","given":"Laura"},{"family":"Adak","given":"Bob"},{"family":"Bolton","given":"Eric"},{"family":"Dodds","given":"Julie P"},{"family":"Cowden","given":"John M."},{"family":"Evans","given":"Meirion R"},{"family":"Gray","given":"Jim"},{"family":"Hunter","given":"Paul R"},{"family":"Jackson","given":"Kathryn"}],"issued":{"date-parts":[["2012"]]}}},{"id":3271,"uris":["http://zotero.org/users/1755126/items/TPKZS2XT"],"uri":["http://zotero.org/users/1755126/items/TPKZS2XT"],"itemData":{"id":3271,"type":"article-journal","title":"Changes in Causes of Acute Gastroenteritis in the United Kingdom Over 15 Years: Microbiologic Findings From 2 Prospective, Population-Based Studies of Infectious Intestinal Disease","container-title":"Clinical Infectious Diseases","page":"1275-1286","volume":"54","issue":"9","source":"CrossRef","DOI":"10.1093/cid/cis028","ISSN":"1058-4838, 1537-6591","shortTitle":"Changes in Causes of Acute Gastroenteritis in the United Kingdom Over 15 Years","language":"en","author":[{"family":"Tam","given":"C. C."},{"family":"O'Brien","given":"S. J."},{"family":"Tompkins","given":"D. S."},{"family":"Bolton","given":"F. J."},{"family":"Berry","given":"L."},{"family":"Dodds","given":"J."},{"family":"Choudhury","given":"D."},{"family":"Halstead","given":"F."},{"family":"Iturriza-Gomara","given":"M."},{"family":"Mather","given":"K."},{"family":"Rait","given":"G."},{"family":"Ridge","given":"A."},{"family":"Rodrigues","given":"L. C."},{"family":"Wain","given":"J."},{"family":"Wood","given":"B."},{"family":"Gray","given":"J. J."},{"literal":"the IID2 Study Executive Committee"}],"issued":{"date-parts":[["2012",5,1]]}}}],"schema":"https://github.com/citation-style-language/schema/raw/master/csl-citation.json"} </w:instrText>
      </w:r>
      <w:r w:rsidR="00974FF0">
        <w:fldChar w:fldCharType="separate"/>
      </w:r>
      <w:r w:rsidR="00990F10" w:rsidRPr="00990F10">
        <w:rPr>
          <w:rFonts w:ascii="Calibri" w:hAnsi="Calibri"/>
        </w:rPr>
        <w:t>[45,46]</w:t>
      </w:r>
      <w:r w:rsidR="00974FF0">
        <w:fldChar w:fldCharType="end"/>
      </w:r>
      <w:r w:rsidR="009D2608">
        <w:t xml:space="preserve"> with this estimate likely to be higher in infants. Furthermore, the estimated reductions in WIC attendances and GP consultations are comparable to that reported from analysis of UK syndrom</w:t>
      </w:r>
      <w:r w:rsidR="003E312A">
        <w:t>ic</w:t>
      </w:r>
      <w:r w:rsidR="009D2608">
        <w:t xml:space="preserve"> surveillance of GP consultations for gastroenteritis, diarrhoe</w:t>
      </w:r>
      <w:r w:rsidR="009D2608" w:rsidRPr="00881AFA">
        <w:t xml:space="preserve">a, and vomiting </w:t>
      </w:r>
      <w:r w:rsidR="009D2608">
        <w:t xml:space="preserve">(26% reduction in </w:t>
      </w:r>
      <w:r w:rsidR="00814EA8">
        <w:t>infants</w:t>
      </w:r>
      <w:r w:rsidR="009D2608">
        <w:t>)</w:t>
      </w:r>
      <w:r w:rsidR="00DD30CB">
        <w:t>.</w:t>
      </w:r>
      <w:r w:rsidR="00814EA8" w:rsidRPr="00D10BFD">
        <w:rPr>
          <w:rFonts w:ascii="Calibri" w:hAnsi="Calibri"/>
        </w:rPr>
        <w:t>[12]</w:t>
      </w:r>
      <w:r w:rsidR="00DD30CB">
        <w:rPr>
          <w:rFonts w:ascii="Calibri" w:hAnsi="Calibri"/>
        </w:rPr>
        <w:t xml:space="preserve"> They are also,</w:t>
      </w:r>
      <w:r w:rsidR="003B425C">
        <w:t xml:space="preserve"> comparable with</w:t>
      </w:r>
      <w:r w:rsidR="00814EA8">
        <w:t xml:space="preserve"> reductions in AGE outpatient attendances reported in Finland (13% reduction in infants)</w:t>
      </w:r>
      <w:r w:rsidR="00FB77D5">
        <w:t>,</w:t>
      </w:r>
      <w:r w:rsidR="00FB77D5" w:rsidRPr="00FB77D5">
        <w:t xml:space="preserve"> </w:t>
      </w:r>
      <w:r w:rsidR="00FB77D5">
        <w:fldChar w:fldCharType="begin"/>
      </w:r>
      <w:r w:rsidR="00990F10">
        <w:instrText xml:space="preserve"> ADDIN ZOTERO_ITEM CSL_CITATION {"citationID":"aspkpoma56","properties":{"formattedCitation":"[33,47]","plainCitation":"[33,47]"},"citationItems":[{"id":337,"uris":["http://zotero.org/users/1755126/items/7PSDUZXA"],"uri":["http://zotero.org/users/1755126/items/7PSDUZXA"],"itemData":{"id":337,"type":"article-journal","title":"Major reduction of rotavirus, but not norovirus, gastroenteritis in children seen in hospital after the introduction of RotaTeq vaccine into the National Immunization Programme in Finland","container-title":"European Journal of Pediatrics","page":"739-746","volume":"172","issue":"6","source":"EBSCOhost","abstract":"Universal rotavirus (RV) vaccination is expected to reduce hospitalizations for acute gastroenteritis (GE) of children by eliminating most of severe RVGE, but it does not have any effect on norovirus (NV), the second most common causative agent of GE in children. After the introduction of the RV vaccine into the National Immunization Programme (NIP) of Finland in 2009, we conducted a prospective 2-year survey of GE in children seen in Tampere University Hospital either as outpatients or inpatients and compared the results with a similar 2-year survey conducted prior to NIP in the years 2006-2008. Compared with the pre-NIP 2-year period, in 2009-2011, hospitalizations for RVGE were reduced by 76 % and outpatient clinic visits were reduced by 81 %. NVGE showed a slight decreasing trend and accounted for 34 % of all cases of GE seen in hospital in pursuance of RVGE having decreased to 26 % (down from 52 %). In cases admitted to the hospital ward, RV accounted for 28 % and NV accounted for 37 %.The impact of RV vaccination was reflected as a 57 % decrease in all hospital admissions and 62 % decrease in all outpatient clinic visits for GE of any cause. Conclusion: RV vaccination in NIP has led to a major reduction of hospital admissions and clinic visits due to RVGE, but has had no effect on NVGE. After 2 years of NIP, NV has become the leading cause of acute GE in children seen in hospital.","DOI":"10.1007/s00431-013-1945-3","ISSN":"03406199","journalAbbreviation":"European Journal of Pediatrics","author":[{"family":"Hemming","given":"Maria"},{"family":"Räsänen","given":"Sirpa"},{"family":"Huhti","given":"Leena"},{"family":"Paloniemi","given":"Minna"},{"family":"Salminen","given":"Marjo"},{"family":"Vesikari","given":"Timo"}],"issued":{"date-parts":[["2013",6]]}}},{"id":1061,"uris":["http://zotero.org/users/1755126/items/JIESCKKV"],"uri":["http://zotero.org/users/1755126/items/JIESCKKV"],"itemData":{"id":1061,"type":"article-journal","title":"First year experience of rotavirus immunisation programme in Finland","container-title":"Vaccine","page":"176-182","volume":"31","issue":"1","source":"ISI Web of Knowledge","abstract":"Introduction: This study aimed to estimate the impact of rotavirus (RV) immunisation programme on the total hospital treated acute gastroenteritis (AGE) burden, as well as, on severe RV disease burden in Finland during the first year after immunisation programme introduction. Such studies can also be considered as a vaccine-probe-study, where unspecific disease burden prevented by immunisation is assumed to be caused by the agent the vaccine is targeted against. Methods: The RV related outcome definitions were based on data registered in the National Hospital Discharge Register coded using ICD 10 codes. Incidences of hospitalised and hospital outpatient cases of AGE and RVGE were compared prior (1999-2005) and after (2010) the start of the programme among children under 5 years of age. ICD 10 codes utilised were A00-A09, R11 and K52. Results: The reductions in disease burden, when the post-introduction year was compared to pre-vaccine era, were 80.3% (95% CI 74.5-84.7) in hospital inpatient RVGE among toddlers less than 1 year of age and 53.9% (95% CI 49.8-57.7) when the total inpatient AGE burden was considered in the same age group. For the corresponding hospital outpatient cases the reductions were 78.8% (95% CI 48.4-91.3) and 12.5% (7.1-17.7). The overall vaccine impact against confirmed RVGE in age cohorts eligible for vaccination before the RV season 2010 was 97% (95% CI 90.7-99.0). If the total reductions, both in diagnosed RVGE, as well as in cases without definite microbial diagnosis, were expected to be RVGE, population based estimates for the total disease burden can be obtained: for inpatient RVGE in children less than 1 year of age the estimate is 10.5/1000 pyrs, while the diagnosed specific incidence was less than half of that, 4.9/1000 pyrs. Discussion: During the first post-vaccination year 2010, RV immunisation programme clearly managed to control the severe, hospital treated, forms of RVGE. The total disease burden is a more valuable end point than mere diagnosed cases as laboratory confirmation practises change after vaccine introduction. Our study is limited by the very short post-introduction follow up. (c) 2012 Elsevier Ltd. All rights reserved.","DOI":"10.1016/j.vaccine.2012.10.068","ISSN":"0264-410X","note":"WOS:000313306400025","journalAbbreviation":"Vaccine","language":"English","author":[{"family":"Leino","given":"Tuija"},{"family":"Gren","given":"Jukka"},{"family":"Salo","given":"Heini"},{"family":"Tiihonen","given":"Petri"},{"family":"Kilpi","given":"Terhi"}],"issued":{"date-parts":[["2012",12,17]]}}}],"schema":"https://github.com/citation-style-language/schema/raw/master/csl-citation.json"} </w:instrText>
      </w:r>
      <w:r w:rsidR="00FB77D5">
        <w:fldChar w:fldCharType="separate"/>
      </w:r>
      <w:r w:rsidR="00990F10" w:rsidRPr="00990F10">
        <w:rPr>
          <w:rFonts w:ascii="Calibri" w:hAnsi="Calibri"/>
        </w:rPr>
        <w:t>[33,47]</w:t>
      </w:r>
      <w:r w:rsidR="00FB77D5">
        <w:fldChar w:fldCharType="end"/>
      </w:r>
      <w:r w:rsidR="00FB77D5">
        <w:t xml:space="preserve"> and </w:t>
      </w:r>
      <w:r w:rsidR="00DD30CB" w:rsidRPr="00DD30CB">
        <w:t>all-cause</w:t>
      </w:r>
      <w:r w:rsidR="00DD30CB">
        <w:t xml:space="preserve"> </w:t>
      </w:r>
      <w:r w:rsidR="00FB77D5">
        <w:t>AGE community clinic visits in Israel (19% reduction in infants; 16% for 12-23 month olds)</w:t>
      </w:r>
      <w:r w:rsidR="00DD30CB">
        <w:t>.</w:t>
      </w:r>
      <w:r w:rsidR="00DD30CB">
        <w:fldChar w:fldCharType="begin"/>
      </w:r>
      <w:r w:rsidR="00990F10">
        <w:instrText xml:space="preserve"> ADDIN ZOTERO_ITEM CSL_CITATION {"citationID":"a1a5jn0r9fk","properties":{"formattedCitation":"[48]","plainCitation":"[48]"},"citationItems":[{"id":4577,"uris":["http://zotero.org/users/1755126/items/7E8N72GV"],"uri":["http://zotero.org/users/1755126/items/7E8N72GV"],"itemData":{"id":4577,"type":"article-journal","title":"Change in incidence of clinic visits for all-cause and rotavirus gastroenteritis in young children following the introduction of universal rotavirus vaccination in Israel","container-title":"Euro Surveillance: Bulletin Europeen Sur Les Maladies Transmissibles = European Communicable Disease Bulletin","volume":"20","issue":"42","source":"PubMed","abstract":"Both rotavirus vaccines RotaTeq and Rotarix were efficacious against severe rotavirus gastroenteritis in clinical trials; yet real-world data on the effect of rotavirus vaccines on mild to moderate disease are limited. We used a large computerised database of Maccabi Health Services Health Maintenance Organisation (HMO), the second largest HMO in Israel covering 25% of the Israeli population, to compare the incidence of acute gastroenteritis (AGE) clinic visits in community settings (n=302,445) before (2005-10) and after (2011-13) the introduction of universal rotavirus immunisation in Israel. We retrieved laboratory results of rotavirus antigen tests (n=18,133) and using a weighted analysis, we estimated the impact of rotavirus immunisation on the disease burden of rotavirus AGE clinic visits. Following the introduction of universal rotavirus immunisation, the typical winter peaks of rotavirus AGE were substantially lower and significant reductions of 14.8% (95% confidence interval (CI): 13.5-16.1) in all-cause AGE clinic visits and of 59.7% (95% CI: 59.8-62.6) in rotavirus AGE clinic visits were observed. The decrease was observed in all age groups, but it was greater in children aged 0 to 23 months than those aged 24 to 59 months. Continued rotavirus laboratory surveillance is warranted to monitor the sustainability of these changes.","DOI":"10.2807/1560-7917.ES.2015.20.42.30045","ISSN":"1560-7917","note":"PMID: 26538450","journalAbbreviation":"Euro Surveill.","language":"eng","author":[{"family":"Muhsen","given":"Khitam"},{"family":"Chodick","given":"Gabriel"},{"family":"Goren","given":"Sophy"},{"family":"Anis","given":"Emilia"},{"family":"Ziv-Baran","given":"Tomer"},{"family":"Shalev","given":"Varda"},{"family":"Cohen","given":"Dani"}],"issued":{"date-parts":[["2015"]]}}}],"schema":"https://github.com/citation-style-language/schema/raw/master/csl-citation.json"} </w:instrText>
      </w:r>
      <w:r w:rsidR="00DD30CB">
        <w:fldChar w:fldCharType="separate"/>
      </w:r>
      <w:r w:rsidR="00990F10" w:rsidRPr="00990F10">
        <w:rPr>
          <w:rFonts w:ascii="Calibri" w:hAnsi="Calibri"/>
        </w:rPr>
        <w:t>[48]</w:t>
      </w:r>
      <w:r w:rsidR="00DD30CB">
        <w:fldChar w:fldCharType="end"/>
      </w:r>
      <w:r w:rsidR="00A444C6">
        <w:t>.</w:t>
      </w:r>
    </w:p>
    <w:p w14:paraId="7D0453FF" w14:textId="5C918E9A" w:rsidR="008F6E88" w:rsidRDefault="00124676" w:rsidP="00AA588D">
      <w:pPr>
        <w:spacing w:after="120" w:line="480" w:lineRule="auto"/>
      </w:pPr>
      <w:r>
        <w:t>We</w:t>
      </w:r>
      <w:r w:rsidR="00896D3B">
        <w:t xml:space="preserve"> have shown</w:t>
      </w:r>
      <w:r w:rsidR="008F6E88">
        <w:t xml:space="preserve"> that the most deprived </w:t>
      </w:r>
      <w:r w:rsidR="00D035EC">
        <w:t xml:space="preserve">populations </w:t>
      </w:r>
      <w:r w:rsidR="008F6E88">
        <w:t xml:space="preserve">were at the greatest risk of </w:t>
      </w:r>
      <w:r w:rsidR="006E415F">
        <w:t>all-cause AGE</w:t>
      </w:r>
      <w:r w:rsidRPr="00124676">
        <w:t xml:space="preserve"> </w:t>
      </w:r>
      <w:r>
        <w:t>prior to vaccine introduction,</w:t>
      </w:r>
      <w:r w:rsidR="00B02DB1">
        <w:t xml:space="preserve"> with highest</w:t>
      </w:r>
      <w:r>
        <w:t xml:space="preserve"> rates of disease</w:t>
      </w:r>
      <w:r w:rsidR="00B02DB1">
        <w:t xml:space="preserve"> </w:t>
      </w:r>
      <w:r>
        <w:t xml:space="preserve">occurring </w:t>
      </w:r>
      <w:r w:rsidR="00B02DB1">
        <w:t xml:space="preserve">in infants in the most deprived </w:t>
      </w:r>
      <w:r w:rsidR="00D035EC">
        <w:t>populations</w:t>
      </w:r>
      <w:r w:rsidR="00B02DB1">
        <w:t xml:space="preserve">. This supports </w:t>
      </w:r>
      <w:r w:rsidR="00F36DC3">
        <w:t xml:space="preserve">previous </w:t>
      </w:r>
      <w:r w:rsidR="00B02DB1">
        <w:t>finding</w:t>
      </w:r>
      <w:r w:rsidR="00F36DC3">
        <w:t>s</w:t>
      </w:r>
      <w:r w:rsidR="00B02DB1">
        <w:t xml:space="preserve"> from</w:t>
      </w:r>
      <w:r w:rsidR="00F36DC3">
        <w:t xml:space="preserve"> a </w:t>
      </w:r>
      <w:r w:rsidR="00B02DB1">
        <w:t xml:space="preserve">lower resolution </w:t>
      </w:r>
      <w:r w:rsidR="00040286">
        <w:t xml:space="preserve">national </w:t>
      </w:r>
      <w:r w:rsidR="00B02DB1">
        <w:t>study</w:t>
      </w:r>
      <w:r w:rsidR="006E415F">
        <w:t xml:space="preserve">, which showed that </w:t>
      </w:r>
      <w:r w:rsidR="003B425C">
        <w:t xml:space="preserve">the </w:t>
      </w:r>
      <w:r w:rsidR="006E415F">
        <w:t>rate of hospitalisation with all-cause AGE increased with increasing deprivation</w:t>
      </w:r>
      <w:r w:rsidR="0052467E">
        <w:t>.</w:t>
      </w:r>
      <w:r w:rsidR="00974FF0">
        <w:fldChar w:fldCharType="begin"/>
      </w:r>
      <w:r w:rsidR="00990F10">
        <w:instrText xml:space="preserve"> ADDIN ZOTERO_ITEM CSL_CITATION {"citationID":"ahi9p6opeb","properties":{"formattedCitation":"[17]","plainCitation":"[17]"},"citationItems":[{"id":592,"uris":["http://zotero.org/users/1755126/items/BUXHUK6Q"],"uri":["http://zotero.org/users/1755126/items/BUXHUK6Q"],"itemData":{"id":592,"type":"article-journal","title":"Paediatric hospital admissions for rotavirus gastroenteritis and infectious gastroenteritis of all causes in England: an analysis of correlation with deprivation","container-title":"Current Medical Research and Opinion","page":"777-784","volume":"27","issue":"4","source":"informahealthcare.com (Atypon)","abstract":"Abstract Objectives: Infectious intestinal diseases cause substantial morbidity and economic loss in the UK. Rotavirus gastroenteritis (RVGE), a form of gastroenteritis, is the primary cause of severe diarrhoea in children. The primary objective of this study was to examine whether hospitalisation for gastroenteritis, and particularly RVGE, is linked to social deprivation. Methods: A retrospective study relating to hospital admissions in England with rotavirus, gastroenteritis, or type 1 diabetes mellitus (T1DM) was conducted in children aged under 5 years between 1st April 2009 and 31st March 2010 using the CHKS database. Admissions with selected diagnoses were extracted based on ICD-10 coding. Deprivation data were obtained from the Index of Multiple Deprivation (IMD) 2007 for England. Results: A total of 20,571 unique hospital admissions were made by children, in England, with RVGE (n = 1334; 6.5%) together with a diagnosis of infectious gastroenteritis of all causes (n = 19,237; 93.5%), giving an overall hospital admission rate, for those aged under 5 years, of 65.7 per 10,000 population. With ‘rank of average score’ and the ‘rank of average rank’ as measures of deprivation, the rate of hospital admissions with gastroenteritis of all causes decreased by 0.346 and 0.287 per 10,000 (p &lt; 0.001) respectively for every unit increase in deprivation rank (decreasing deprivation), though this trend was not observed in patients admitted with RVGE specifically. Conclusions: Hospital admissions with gastroenteritis of all causes increased as deprivation increased. The implementation of a rotavirus vaccination programme would help to reduce the burden of RVGE and gastroenteritis of all causes, and in the context of gastroenteritis, some elements of health and social inequality may be vaccine preventable. Limitations: It is possible that the study is limited by the accuracy and completeness of deprivation indices, and coding within CHKS; the existence of the ‘ecological fallacy’ must also be considered.","DOI":"10.1185/03007995.2011.555757","ISSN":"0300-7995","shortTitle":"Paediatric hospital admissions for rotavirus gastroenteritis and infectious gastroenteritis of all causes in England","journalAbbreviation":"Curr Med Res Opin","author":[{"family":"Pockett","given":"Rhys D."},{"family":"Adlard","given":"Nick"},{"family":"Carroll","given":"Stuart"},{"family":"Rajoriya","given":"Fiona"}],"issued":{"date-parts":[["2011",4,1]]}}}],"schema":"https://github.com/citation-style-language/schema/raw/master/csl-citation.json"} </w:instrText>
      </w:r>
      <w:r w:rsidR="00974FF0">
        <w:fldChar w:fldCharType="separate"/>
      </w:r>
      <w:r w:rsidR="00990F10" w:rsidRPr="00990F10">
        <w:rPr>
          <w:rFonts w:ascii="Calibri" w:hAnsi="Calibri"/>
        </w:rPr>
        <w:t>[17]</w:t>
      </w:r>
      <w:r w:rsidR="00974FF0">
        <w:fldChar w:fldCharType="end"/>
      </w:r>
      <w:r w:rsidR="00040286">
        <w:t xml:space="preserve"> </w:t>
      </w:r>
      <w:r w:rsidR="005A5A91">
        <w:t xml:space="preserve">The uptake of rotavirus vaccination in </w:t>
      </w:r>
      <w:r>
        <w:t>our</w:t>
      </w:r>
      <w:r w:rsidR="005A5A91">
        <w:t xml:space="preserve"> study population </w:t>
      </w:r>
      <w:r w:rsidR="003B425C">
        <w:t>was</w:t>
      </w:r>
      <w:r w:rsidR="005A5A91">
        <w:t xml:space="preserve"> also associated with neighbourhood </w:t>
      </w:r>
      <w:r w:rsidR="005A5A91">
        <w:lastRenderedPageBreak/>
        <w:t xml:space="preserve">level deprivation, </w:t>
      </w:r>
      <w:r>
        <w:t>with</w:t>
      </w:r>
      <w:r w:rsidR="00B02DB1">
        <w:t xml:space="preserve"> significantly</w:t>
      </w:r>
      <w:r w:rsidR="005A5A91">
        <w:t xml:space="preserve"> lower uptake</w:t>
      </w:r>
      <w:r w:rsidR="00B02DB1">
        <w:t xml:space="preserve"> of the 1</w:t>
      </w:r>
      <w:r w:rsidR="00B02DB1" w:rsidRPr="00B02DB1">
        <w:rPr>
          <w:vertAlign w:val="superscript"/>
        </w:rPr>
        <w:t>st</w:t>
      </w:r>
      <w:r w:rsidR="00B02DB1">
        <w:t xml:space="preserve"> dose of vaccine an</w:t>
      </w:r>
      <w:r w:rsidR="00D20B2E">
        <w:t>d lower completion of the full 2</w:t>
      </w:r>
      <w:r w:rsidR="00B02DB1">
        <w:t xml:space="preserve"> dose schedule in the most deprived</w:t>
      </w:r>
      <w:r>
        <w:t xml:space="preserve"> populations</w:t>
      </w:r>
      <w:r w:rsidR="008F6E88">
        <w:t>.</w:t>
      </w:r>
      <w:r w:rsidR="00B02DB1">
        <w:t xml:space="preserve"> </w:t>
      </w:r>
      <w:r w:rsidR="00714932">
        <w:t xml:space="preserve">Similar </w:t>
      </w:r>
      <w:r w:rsidR="00B02DB1">
        <w:t>finding</w:t>
      </w:r>
      <w:r w:rsidR="003B425C">
        <w:t>s</w:t>
      </w:r>
      <w:r w:rsidR="00B02DB1">
        <w:t xml:space="preserve"> ha</w:t>
      </w:r>
      <w:r w:rsidR="003B425C">
        <w:t>ve</w:t>
      </w:r>
      <w:r w:rsidR="00B02DB1">
        <w:t xml:space="preserve"> been shown in </w:t>
      </w:r>
      <w:r>
        <w:t xml:space="preserve">Merseyside </w:t>
      </w:r>
      <w:r w:rsidR="00B02DB1">
        <w:t>for measles, mumps and rubella vaccination</w:t>
      </w:r>
      <w:r w:rsidR="00714932">
        <w:t>,</w:t>
      </w:r>
      <w:r w:rsidR="00B02DB1">
        <w:t xml:space="preserve"> and </w:t>
      </w:r>
      <w:r w:rsidR="00D20B2E">
        <w:t xml:space="preserve">locally and </w:t>
      </w:r>
      <w:r w:rsidR="00B02DB1">
        <w:t xml:space="preserve">nationally for childhood influenza </w:t>
      </w:r>
      <w:r w:rsidR="00974FF0">
        <w:t>vaccination.</w:t>
      </w:r>
      <w:r w:rsidR="00974FF0">
        <w:fldChar w:fldCharType="begin"/>
      </w:r>
      <w:r w:rsidR="00990F10">
        <w:instrText xml:space="preserve"> ADDIN ZOTERO_ITEM CSL_CITATION {"citationID":"abdoglplre","properties":{"formattedCitation":"[18,19]","plainCitation":"[18,19]"},"citationItems":[{"id":3579,"uris":["http://zotero.org/users/1755126/items/XFX8W77H"],"uri":["http://zotero.org/users/1755126/items/XFX8W77H"],"itemData":{"id":3579,"type":"article-journal","title":"Effect of socioeconomic deprivation on uptake of measles, mumps and rubella vaccination in Liverpool, UK over 16 years: a longitudinal ecological study","container-title":"Epidemiology and Infection","page":"1-11","source":"PubMed","abstract":"Suboptimal uptake of the measles, mumps and rubella (MMR) vaccine by certain socioeconomic groups may have contributed to recent large measles outbreaks in the UK. We investigated whether socioeconomic deprivation was associated with MMR vaccine uptake over 16 years. Using immunization data for 72 351 children born between 1995 and 2012 in Liverpool, UK, we examined trends in vaccination uptake. Generalized linear models were constructed to examine the relative effect of socioeconomic deprivation and year of birth on MMR uptake. Uptake of MMR1 by age 24 months ranged between 82·5% in 2003 [95% confidence interval (CI) 81·2-83·7] and 93·4% in 2012 (95% CI 92·7-94·2). Uptake of MMR2 by age 60 months ranged between 65·3% (95% CI 64·4-67·4) in 2006 and 90·3% (95% CI 89·4-91·2) in 2012. In analysis adjusted for year of birth and sex, children in the most deprived communities were at significantly greater risk of not receiving MMR1 [risk ratio (RR) 1·70, 95% CI 1·45-1·99] and MMR2 (RR 1·36, 95% CI 1·22-1·52). Higher unemployment and lower household income were significantly associated with low uptake. Contrary to concerns about lower MMR uptake in affluent families, over 16 years, children from the most socioeconomically deprived communities have consistently had the lowest MMR uptake. Targeted catch-up campaigns and strategies to improve routine immunization uptake in deprived areas are needed to minimize the risk of future measles outbreaks.","DOI":"10.1017/S0950268815002599","ISSN":"1469-4409","note":"PMID: 26542197","shortTitle":"Effect of socioeconomic deprivation on uptake of measles, mumps and rubella vaccination in Liverpool, UK over 16 years","journalAbbreviation":"Epidemiol. Infect.","language":"ENG","author":[{"family":"Hungerford","given":"D."},{"family":"Macpherson","given":"P."},{"family":"Farmer","given":"S."},{"family":"Ghebrehewet","given":"S."},{"family":"Seddon","given":"D."},{"family":"Vivancos","given":"R."},{"family":"Keenan","given":"A."}],"issued":{"date-parts":[["2015",11,6]]}}},{"id":3508,"uris":["http://zotero.org/users/1755126/items/KM28FRFV"],"uri":["http://zotero.org/users/1755126/items/KM28FRFV"],"itemData":{"id":3508,"type":"article-journal","title":"Phased introduction of a universal childhood influenza vaccination programme in England: population-level factors predicting variation in national uptake during the first year, 2013/14","container-title":"Vaccine","page":"2620-2628","volume":"33","issue":"22","source":"PubMed","abstract":"INTRODUCTION: Through a phased rollout, the UK is implementing annual influenza vaccination for all healthy children aged 2-16 years old. In the first year of the programme in England in 2013/14, all 2-3 year olds were offered influenza vaccine through primary care and a primary school age programme was piloted, mainly through schools, in geographically distinct areas. Equitable delivery is a key aim of the programme; it is unclear if concerns by some religious groups over influenza vaccine content have impacted on uptake.\nMETHODS: At the end of the 2013/14 season, variations in uptake for 2-3 year olds and 4-11 year olds were assessed and stratified by population-level predictors: deprivation, ethnicity, religious beliefs and rurality. GP practice or school level uptake was linearly regressed against these variables to determine potential predictors and changes in uptake, adjusting for significant factors.\nRESULTS: Uptake varied considerably by geographic locality for both 2-3 year olds and 4-11 year olds. Lower uptake was seen in increasingly deprived areas, with an adjusted uptake in the most deprived quintile 12% and 8% lower than the least deprived areas by age-group respectively. By ethnicity, the highest non-white population quartile had an adjusted uptake 9% and 14% lower than the lowest non-white quartile by age-group respectively. Uptake also varied according to religious beliefs, with adjusted uptake in 4-11 year olds in the highest Muslim population tertile 8% lower than the lowest Muslim population tertile.\nCONCLUSION: In the first season of the childhood influenza vaccination programme, uptake was not uniform across the country, with deprivation and ethnicity both predictors of low uptake in pre-school and primary school age children, and religious beliefs also an important factor, particularly the latter group. With the continued rollout of the programme, these population-level factors should be addressed to achieve sustained successful uptake, along with assessment of contribution of individual and household-level factors.","DOI":"10.1016/j.vaccine.2015.03.049","ISSN":"1873-2518","note":"PMID: 25835576","shortTitle":"Phased introduction of a universal childhood influenza vaccination programme in England","journalAbbreviation":"Vaccine","language":"eng","author":[{"family":"Green","given":"H. K."},{"family":"Andrews","given":"N."},{"family":"Letley","given":"L."},{"family":"Sunderland","given":"A."},{"family":"White","given":"J."},{"family":"Pebody","given":"R."}],"issued":{"date-parts":[["2015",5,21]]}}}],"schema":"https://github.com/citation-style-language/schema/raw/master/csl-citation.json"} </w:instrText>
      </w:r>
      <w:r w:rsidR="00974FF0">
        <w:fldChar w:fldCharType="separate"/>
      </w:r>
      <w:r w:rsidR="00990F10" w:rsidRPr="00990F10">
        <w:rPr>
          <w:rFonts w:ascii="Calibri" w:hAnsi="Calibri"/>
        </w:rPr>
        <w:t>[18</w:t>
      </w:r>
      <w:proofErr w:type="gramStart"/>
      <w:r w:rsidR="00990F10" w:rsidRPr="00990F10">
        <w:rPr>
          <w:rFonts w:ascii="Calibri" w:hAnsi="Calibri"/>
        </w:rPr>
        <w:t>,19</w:t>
      </w:r>
      <w:proofErr w:type="gramEnd"/>
      <w:r w:rsidR="00990F10" w:rsidRPr="00990F10">
        <w:rPr>
          <w:rFonts w:ascii="Calibri" w:hAnsi="Calibri"/>
        </w:rPr>
        <w:t>]</w:t>
      </w:r>
      <w:r w:rsidR="00974FF0">
        <w:fldChar w:fldCharType="end"/>
      </w:r>
      <w:r w:rsidR="00B02DB1">
        <w:t xml:space="preserve"> </w:t>
      </w:r>
    </w:p>
    <w:p w14:paraId="2A2E3B21" w14:textId="145E81C9" w:rsidR="00ED2586" w:rsidRDefault="00B02DB1" w:rsidP="00AA588D">
      <w:pPr>
        <w:spacing w:after="120" w:line="480" w:lineRule="auto"/>
      </w:pPr>
      <w:r>
        <w:t xml:space="preserve">We were able to </w:t>
      </w:r>
      <w:r w:rsidR="00DE238D">
        <w:t xml:space="preserve">overlay a combination </w:t>
      </w:r>
      <w:r>
        <w:t>of small area level</w:t>
      </w:r>
      <w:r w:rsidR="00DE238D">
        <w:t xml:space="preserve"> deprivation status,</w:t>
      </w:r>
      <w:r>
        <w:t xml:space="preserve"> vaccine uptake and </w:t>
      </w:r>
      <w:r w:rsidR="00A707D7">
        <w:t>all-cause AGE</w:t>
      </w:r>
      <w:r w:rsidR="00DE238D">
        <w:t xml:space="preserve"> hospitalisations to estimate the disease averted per 1</w:t>
      </w:r>
      <w:r w:rsidR="00DE238D" w:rsidRPr="00DE238D">
        <w:rPr>
          <w:vertAlign w:val="superscript"/>
        </w:rPr>
        <w:t>st</w:t>
      </w:r>
      <w:r w:rsidR="00DE238D">
        <w:t xml:space="preserve"> </w:t>
      </w:r>
      <w:r w:rsidR="00124676">
        <w:t xml:space="preserve">vaccine </w:t>
      </w:r>
      <w:r w:rsidR="00DE238D">
        <w:t xml:space="preserve">dose delivered for different deprivation strata. </w:t>
      </w:r>
      <w:r w:rsidR="00197A67">
        <w:t>In infants</w:t>
      </w:r>
      <w:r w:rsidR="00F36DC3">
        <w:t>,</w:t>
      </w:r>
      <w:r w:rsidR="00197A67">
        <w:t xml:space="preserve"> disease averted by vaccination was higher in the most deprived, suggesting that even with lower vaccine uptake the most deprived </w:t>
      </w:r>
      <w:r w:rsidR="00D035EC">
        <w:t xml:space="preserve">populations </w:t>
      </w:r>
      <w:r w:rsidR="004A6A6A">
        <w:t>benefit the most from the vaccination programme</w:t>
      </w:r>
      <w:r w:rsidR="00197A67">
        <w:t>.</w:t>
      </w:r>
      <w:r w:rsidR="009D2608">
        <w:t xml:space="preserve"> </w:t>
      </w:r>
      <w:r w:rsidR="00DE238D">
        <w:t xml:space="preserve">The higher rates of disease averted in infants </w:t>
      </w:r>
      <w:r w:rsidR="00D20B2E">
        <w:t xml:space="preserve">&lt;12 months of age </w:t>
      </w:r>
      <w:r w:rsidR="00DE238D">
        <w:t xml:space="preserve">living in the most deprived </w:t>
      </w:r>
      <w:r w:rsidR="00D035EC">
        <w:t xml:space="preserve">populations </w:t>
      </w:r>
      <w:r w:rsidR="00DE238D">
        <w:t>is likely to reflect the higher baseline burden of disease in this group and the relative ineq</w:t>
      </w:r>
      <w:r w:rsidR="00D20B2E">
        <w:t>uity of hospitalisation rates prior to vaccine introduction</w:t>
      </w:r>
      <w:r w:rsidR="00DE238D">
        <w:t>.</w:t>
      </w:r>
      <w:r w:rsidR="00AA3C40">
        <w:t xml:space="preserve"> However,</w:t>
      </w:r>
      <w:r w:rsidR="00DE238D">
        <w:t xml:space="preserve"> in the 12-23 month olds there </w:t>
      </w:r>
      <w:r w:rsidR="003B425C">
        <w:t>a smaller</w:t>
      </w:r>
      <w:r w:rsidR="00DE238D">
        <w:t xml:space="preserve"> difference in disease averted between the least deprived and the most deprived reflecting the lower baseline inequity in disease burden between the deprivation strata.</w:t>
      </w:r>
      <w:r w:rsidR="00A157DB">
        <w:t xml:space="preserve"> </w:t>
      </w:r>
    </w:p>
    <w:p w14:paraId="58028E62" w14:textId="60683BC0" w:rsidR="006A49D4" w:rsidRDefault="002F7EE0" w:rsidP="00261B1F">
      <w:pPr>
        <w:spacing w:after="120" w:line="480" w:lineRule="auto"/>
      </w:pPr>
      <w:r>
        <w:t>Nationally</w:t>
      </w:r>
      <w:r w:rsidR="006A49D4">
        <w:t xml:space="preserve"> there are</w:t>
      </w:r>
      <w:r w:rsidR="00ED2586">
        <w:t xml:space="preserve"> </w:t>
      </w:r>
      <w:r w:rsidR="006A49D4">
        <w:t>disproportionately more infants and young children living</w:t>
      </w:r>
      <w:r w:rsidR="00ED2586">
        <w:t xml:space="preserve"> in the most deprived quintile (</w:t>
      </w:r>
      <w:r w:rsidR="006A49D4">
        <w:t xml:space="preserve">26%) </w:t>
      </w:r>
      <w:r w:rsidR="00ED2586">
        <w:t xml:space="preserve">compared to </w:t>
      </w:r>
      <w:r w:rsidR="006A49D4">
        <w:t>the least deprived (15%).</w:t>
      </w:r>
      <w:r w:rsidR="00974FF0">
        <w:fldChar w:fldCharType="begin"/>
      </w:r>
      <w:r w:rsidR="00990F10">
        <w:instrText xml:space="preserve"> ADDIN ZOTERO_ITEM CSL_CITATION {"citationID":"a2e0bbfflpr","properties":{"formattedCitation":"[15,16]","plainCitation":"[15,16]"},"citationItems":[{"id":1750,"uris":["http://zotero.org/users/1755126/items/WWE6U9XC"],"uri":["http://zotero.org/users/1755126/items/WWE6U9XC"],"itemData":{"id":1750,"type":"webpage","title":"English indices of deprivation - GOV.UK","abstract":"This series brings together all documents relating to English indices of deprivation","URL":"https://www.gov.uk/government/collections/english-indices-of-deprivation","accessed":{"date-parts":[["2014",4,17]]}}},{"id":4142,"uris":["http://zotero.org/users/1755126/items/EWUVESFT"],"uri":["http://zotero.org/users/1755126/items/EWUVESFT"],"itemData":{"id":4142,"type":"webpage","title":"Lower Super Output Area Mid-Year Population Estimates","URL":"https://www.ons.gov.uk/peoplepopulationandcommunity/populationandmigration/populationestimates/datasets/lowersuperoutputareamidyearpopulationestimates","author":[{"family":"Office for National Statistics","given":""}],"issued":{"date-parts":[["2016",10,26]]},"accessed":{"date-parts":[["2017",7,5]]}}}],"schema":"https://github.com/citation-style-language/schema/raw/master/csl-citation.json"} </w:instrText>
      </w:r>
      <w:r w:rsidR="00974FF0">
        <w:fldChar w:fldCharType="separate"/>
      </w:r>
      <w:r w:rsidR="00990F10" w:rsidRPr="00990F10">
        <w:rPr>
          <w:rFonts w:ascii="Calibri" w:hAnsi="Calibri"/>
        </w:rPr>
        <w:t>[15,16]</w:t>
      </w:r>
      <w:r w:rsidR="00974FF0">
        <w:fldChar w:fldCharType="end"/>
      </w:r>
      <w:r w:rsidR="00ED2586">
        <w:t xml:space="preserve"> </w:t>
      </w:r>
      <w:r w:rsidR="00642A2E">
        <w:t>With individual</w:t>
      </w:r>
      <w:r>
        <w:t xml:space="preserve"> level vaccine effectiveness </w:t>
      </w:r>
      <w:r w:rsidR="003B425C">
        <w:t>known</w:t>
      </w:r>
      <w:r>
        <w:t xml:space="preserve"> to be lower in persons with lower socioeconomic status in studies conducted in high-income settings</w:t>
      </w:r>
      <w:r w:rsidR="00D2777A">
        <w:t>,</w:t>
      </w:r>
      <w:r w:rsidR="007F0F22">
        <w:fldChar w:fldCharType="begin"/>
      </w:r>
      <w:r w:rsidR="00990F10">
        <w:instrText xml:space="preserve"> ADDIN ZOTERO_ITEM CSL_CITATION {"citationID":"a15djvmr7jh","properties":{"formattedCitation":"[49,50]","plainCitation":"[49,50]"},"citationItems":[{"id":422,"uris":["http://zotero.org/users/1755126/items/968SEWRJ"],"uri":["http://zotero.org/users/1755126/items/968SEWRJ"],"itemData":{"id":422,"type":"article-journal","title":"The uptake of rotavirus vaccine and its effectiveness in preventing acute gastroenteritis in the community.","container-title":"Vaccine","page":"91-94","volume":"29","issue":"1","abstract":"We examined the uptake of rotavirus vaccine and its effectiveness in preventing acute gastroenteritis (AGE) in the community. Data on rotavirus vaccines purchases and AGE were extracted from the computerized database of a large health maintenance organization in Israel. The incidence of AGE requiring a physician visit during 2008-09 rotavirus season among vaccinated and non-vaccinated children were compared, and vaccine effectiveness was calculated as: (1-Relative  Risk)x100. During the study period, the uptake of rotavirus vaccine (mostly monovalent) reached 55.1% (N=19,108) of the studied cohort. The risk of AGE requiring a physician visit was 23.2% and 46.4% among vaccinated and unvaccinated children, respectively, yielding an effectiveness of 50.1% (95% CI: 47.5%, 52.6%). Rotavirus monovalent vaccine was highly effective in preventing AGE in the community.","DOI":"10.1016/j.vaccine.2010.10.010","note":"PMID: 20969927","journalAbbreviation":"Vaccine","language":"eng","author":[{"family":"Muhsen","given":"Khitam"},{"family":"Chodick","given":"Gabriel"},{"family":"Goren","given":"Sophy"},{"family":"Shalev","given":"Varda"},{"family":"Cohen","given":"Dani"}],"issued":{"date-parts":[["2011"]]}}},{"id":4116,"uris":["http://zotero.org/users/1755126/items/26EGANWQ"],"uri":["http://zotero.org/users/1755126/items/26EGANWQ"],"itemData":{"id":4116,"type":"article-journal","title":"Effectiveness of rotavirus vaccine in preventing severe gastroenteritis in young children according to socioeconomic status","container-title":"Human Vaccines &amp; Immunotherapeutics","page":"2572-2579","volume":"12","issue":"10","source":"PubMed Central","abstract":"In 2011, the monovalent rotavirus vaccine was introduced into a universal immunization program in Quebec (Canada). This retrospective cohort study assessed vaccine effectiveness (VE) in preventing acute gastroenteritis (AGE) and rotavirus gastroenteritis (RVGE) hospitalizations among children &lt;3 y living in the Quebec Eastern Townships region according to socioeconomic status (SES). Data were gathered from a tertiary hospital database paired with a regional immunization registry. Three cohorts of children were followed: (1) vaccinated children born in post-universal vaccination period (2011–2013, n = 5,033), (2) unvaccinated children born in post-universal vaccination period (n = 1,239), and (3) unvaccinated children born in pre-universal vaccination period (2008–2010, n = 6,436). In each cohort, AGE and RVGE hospitalizations were identified during equivalent follow-up periods to calculate VE globally and according to neighborhood-level SES. Using multivariable logistic regression, adjusted odds ratios (OR) were computed to obtain VE (1-OR). Adjusted VE of 2 doses was 62% (95% confidence interval [CI]: 37%–77%) and 94% (95%CI: 52%–99%) in preventing AGE and RVGE hospitalization, respectively. Stratified analyses according to SES showed that children living in neighborhoods with higher rates of low-income families had significantly lower VE against AGE hospitalizations compared to neighborhoods with lower rates of low-income families (30% vs. 78%, p = 0.027). Our results suggest that the rotavirus vaccine is highly effective in preventing severe gastroenteritis in young children, particularly among the most well-off. SES seems to influence rotavirus VE, even in a high-income country like Canada. Further studies are needed to determine factors related to lower rotavirus VE among socioeconomically disadvantaged groups.","DOI":"10.1080/21645515.2016.1189038","ISSN":"2164-5515","note":"PMID: 27367155\nPMCID: PMC5085015","journalAbbreviation":"Hum Vaccin Immunother","author":[{"family":"Gosselin","given":"Virginie"},{"family":"Généreux","given":"Mélissa"},{"family":"Gagneur","given":"Arnaud"},{"family":"Petit","given":"Geneviève"}],"issued":{"date-parts":[["2016",7,1]]}}}],"schema":"https://github.com/citation-style-language/schema/raw/master/csl-citation.json"} </w:instrText>
      </w:r>
      <w:r w:rsidR="007F0F22">
        <w:fldChar w:fldCharType="separate"/>
      </w:r>
      <w:r w:rsidR="00990F10" w:rsidRPr="00990F10">
        <w:rPr>
          <w:rFonts w:ascii="Calibri" w:hAnsi="Calibri"/>
        </w:rPr>
        <w:t>[49,50]</w:t>
      </w:r>
      <w:r w:rsidR="007F0F22">
        <w:fldChar w:fldCharType="end"/>
      </w:r>
      <w:r>
        <w:t xml:space="preserve"> </w:t>
      </w:r>
      <w:r w:rsidR="00ED2586">
        <w:t xml:space="preserve">improving vaccine uptake in </w:t>
      </w:r>
      <w:r w:rsidR="006A49D4">
        <w:t xml:space="preserve">the most deprived </w:t>
      </w:r>
      <w:r w:rsidR="00D035EC">
        <w:t xml:space="preserve">populations </w:t>
      </w:r>
      <w:r w:rsidR="00ED2586">
        <w:t xml:space="preserve">will have the biggest </w:t>
      </w:r>
      <w:r w:rsidR="006A49D4">
        <w:t>impact towards</w:t>
      </w:r>
      <w:r w:rsidR="00ED2586">
        <w:t xml:space="preserve"> reducing rotavirus associated disease</w:t>
      </w:r>
      <w:r w:rsidR="00705AC5">
        <w:t xml:space="preserve">. </w:t>
      </w:r>
      <w:r w:rsidR="003B425C">
        <w:t>W</w:t>
      </w:r>
      <w:r w:rsidR="00AA3C40">
        <w:t>e</w:t>
      </w:r>
      <w:r>
        <w:t xml:space="preserve"> estimate that over </w:t>
      </w:r>
      <w:r w:rsidR="008A737D">
        <w:t>41</w:t>
      </w:r>
      <w:r>
        <w:t xml:space="preserve">% of all-cause AGE hospitalisations averted </w:t>
      </w:r>
      <w:r w:rsidR="00DD4816">
        <w:t xml:space="preserve">in infants </w:t>
      </w:r>
      <w:r>
        <w:t xml:space="preserve">due to rotavirus vaccination would be averted in the most deprived populations if vaccine uptake was equitable </w:t>
      </w:r>
      <w:r w:rsidR="00642A2E">
        <w:t xml:space="preserve">across deprivation strata </w:t>
      </w:r>
      <w:r>
        <w:t>at the WHO vaccine uptake target of 95%.</w:t>
      </w:r>
      <w:r w:rsidR="007F0F22">
        <w:fldChar w:fldCharType="begin"/>
      </w:r>
      <w:r w:rsidR="00990F10">
        <w:instrText xml:space="preserve"> ADDIN ZOTERO_ITEM CSL_CITATION {"citationID":"a2fc81ff8k4","properties":{"formattedCitation":"[27,28]","plainCitation":"[27,28]"},"citationItems":[{"id":4144,"uris":["http://zotero.org/users/1755126/items/VISKRQHV"],"uri":["http://zotero.org/users/1755126/items/VISKRQHV"],"itemData":{"id":4144,"type":"report","title":"Health21: the health for all policy framework for the WHO European Region","collection-title":"European Health for All Series","publisher":"World Health Organization Regional Office for Europe","publisher-place":"Copenhagen, Denmark","page":"1-230","event-place":"Copenhagen, Denmark","number":"6","author":[{"family":"World Health Organization Regional Office for Europe","given":""}],"issued":{"date-parts":[["1999"]]}}},{"id":4145,"uris":["http://zotero.org/users/1755126/items/AZCST27P"],"uri":["http://zotero.org/users/1755126/items/AZCST27P"],"itemData":{"id":4145,"type":"report","title":"European Vaccine Action Plan 2015–2020 (2014)","publisher":"World Health Organization Regional Office for Europe","publisher-place":"Copenhagen, Denmark","page":"1-108","event-place":"Copenhagen, Denmark","abstract":"The European Vaccine Action Plan 2015–2020 (EVAP) was drafted to complement, regionally interpret and adapt the Global Vaccine Action Plan in harmony with Health 2020 and other key regional health strategies and polices. EVAP sets a course through a regional vision and goals for immunization and control of vaccine-preventable diseases from 2015 to 2020 and beyond, by defining objectives, priority action areas and indicators, taking into account the specific needs and challenges of WHO European Region Member States.  \n\nEVAP was adopted unanimously at the 64th session of the WHO Regional Committee for Europe on18 September 2014.","URL":"http://www.euro.who.int/en/health-topics/disease-prevention/vaccines-and-immunization/publications/2014/european-vaccine-action-plan-20152020-2014","author":[{"family":"World Health Organization Regional Office for Europe","given":""}],"issued":{"date-parts":[["2014"]]}}}],"schema":"https://github.com/citation-style-language/schema/raw/master/csl-citation.json"} </w:instrText>
      </w:r>
      <w:r w:rsidR="007F0F22">
        <w:fldChar w:fldCharType="separate"/>
      </w:r>
      <w:r w:rsidR="00990F10" w:rsidRPr="00990F10">
        <w:rPr>
          <w:rFonts w:ascii="Calibri" w:hAnsi="Calibri"/>
        </w:rPr>
        <w:t>[27,28]</w:t>
      </w:r>
      <w:r w:rsidR="007F0F22">
        <w:fldChar w:fldCharType="end"/>
      </w:r>
    </w:p>
    <w:p w14:paraId="7E46CB51" w14:textId="38F93520" w:rsidR="00F53831" w:rsidRDefault="00A444C6" w:rsidP="002F3017">
      <w:pPr>
        <w:pStyle w:val="Heading3"/>
        <w:spacing w:line="480" w:lineRule="auto"/>
      </w:pPr>
      <w:r>
        <w:t xml:space="preserve">Strengths and </w:t>
      </w:r>
      <w:r w:rsidR="00F53831">
        <w:t>Limitations</w:t>
      </w:r>
    </w:p>
    <w:p w14:paraId="7EEE516B" w14:textId="2655B320" w:rsidR="00990F10" w:rsidRPr="00543CBE" w:rsidRDefault="00AA3C40" w:rsidP="00AA588D">
      <w:pPr>
        <w:spacing w:after="120" w:line="480" w:lineRule="auto"/>
      </w:pPr>
      <w:r>
        <w:t>This</w:t>
      </w:r>
      <w:r w:rsidR="00F53831">
        <w:t xml:space="preserve"> ecological study using routine health service </w:t>
      </w:r>
      <w:r w:rsidR="0015004A">
        <w:t xml:space="preserve">data </w:t>
      </w:r>
      <w:r w:rsidR="00B26CC2">
        <w:t xml:space="preserve">is </w:t>
      </w:r>
      <w:r w:rsidR="00F53831">
        <w:t xml:space="preserve">subject to a number of limitations. </w:t>
      </w:r>
      <w:r w:rsidR="008D2083">
        <w:t>There is an inherent problem with clinical coding of rotavirus gastroenteritis in UK hospitals</w:t>
      </w:r>
      <w:r>
        <w:t>;</w:t>
      </w:r>
      <w:r w:rsidR="008D2083">
        <w:t xml:space="preserve"> quality analysis </w:t>
      </w:r>
      <w:r w:rsidR="008D2083">
        <w:lastRenderedPageBreak/>
        <w:t>at</w:t>
      </w:r>
      <w:r w:rsidR="009C741B">
        <w:t xml:space="preserve"> </w:t>
      </w:r>
      <w:r w:rsidR="00A71B3F">
        <w:t>Alder Hey</w:t>
      </w:r>
      <w:r w:rsidR="0064480C">
        <w:t xml:space="preserve"> Children’s</w:t>
      </w:r>
      <w:r w:rsidR="009C741B">
        <w:t xml:space="preserve"> hospital showed that </w:t>
      </w:r>
      <w:r w:rsidR="008D2083">
        <w:t xml:space="preserve">only </w:t>
      </w:r>
      <w:r w:rsidR="00AC149B">
        <w:t>39</w:t>
      </w:r>
      <w:r w:rsidR="008D2083">
        <w:t>% of laboratory confirmed rotavirus hospitalisations</w:t>
      </w:r>
      <w:r w:rsidR="004E3E64">
        <w:t xml:space="preserve"> were</w:t>
      </w:r>
      <w:r w:rsidR="008D2083">
        <w:t xml:space="preserve"> coded as </w:t>
      </w:r>
      <w:r w:rsidR="00AC149B">
        <w:t>ICD</w:t>
      </w:r>
      <w:r w:rsidR="00850E9D">
        <w:t>-</w:t>
      </w:r>
      <w:r w:rsidR="00AC149B">
        <w:t xml:space="preserve">10 </w:t>
      </w:r>
      <w:proofErr w:type="spellStart"/>
      <w:r w:rsidR="00AC149B">
        <w:t>rotaviral</w:t>
      </w:r>
      <w:proofErr w:type="spellEnd"/>
      <w:r w:rsidR="00AC149B">
        <w:t xml:space="preserve"> enteritis (A08.0)</w:t>
      </w:r>
      <w:r w:rsidR="0064480C">
        <w:t>,</w:t>
      </w:r>
      <w:r w:rsidR="006152A9">
        <w:t xml:space="preserve"> and this figure </w:t>
      </w:r>
      <w:r w:rsidR="00A71B3F">
        <w:t xml:space="preserve">is </w:t>
      </w:r>
      <w:r w:rsidR="006152A9">
        <w:t xml:space="preserve">lower </w:t>
      </w:r>
      <w:r w:rsidR="009C741B">
        <w:t xml:space="preserve">in </w:t>
      </w:r>
      <w:r w:rsidR="006152A9">
        <w:t xml:space="preserve">other </w:t>
      </w:r>
      <w:r w:rsidR="009C741B">
        <w:t xml:space="preserve">UK based </w:t>
      </w:r>
      <w:r w:rsidR="006152A9">
        <w:t>hospitals</w:t>
      </w:r>
      <w:r w:rsidR="007F0F22" w:rsidRPr="007F0F22">
        <w:rPr>
          <w:rFonts w:ascii="Calibri" w:hAnsi="Calibri"/>
        </w:rPr>
        <w:t>.</w:t>
      </w:r>
      <w:r w:rsidR="007F0F22">
        <w:rPr>
          <w:rFonts w:ascii="Calibri" w:hAnsi="Calibri"/>
        </w:rPr>
        <w:fldChar w:fldCharType="begin"/>
      </w:r>
      <w:r w:rsidR="00990F10">
        <w:rPr>
          <w:rFonts w:ascii="Calibri" w:hAnsi="Calibri"/>
        </w:rPr>
        <w:instrText xml:space="preserve"> ADDIN ZOTERO_ITEM CSL_CITATION {"citationID":"a21urbkrdl8","properties":{"formattedCitation":"[51]","plainCitation":"[51]"},"citationItems":[{"id":4139,"uris":["http://zotero.org/users/1755126/items/UM4WCRZ6"],"uri":["http://zotero.org/users/1755126/items/UM4WCRZ6"],"itemData":{"id":4139,"type":"article-journal","title":"Estimating hospital admissions due to rotavirus gastroenteritis from hospital episode statistics","container-title":"The Journal of Infection","page":"13-16","volume":"49","issue":"1","source":"PubMed","abstract":"OBJECTIVES: To determine the proportion of hospital admissions, in children &lt; 5 years old, coded for intestinal infectious disease or non-infectious gastroenteritis, using ICD-10 codes, that were due to rotavirus infection. To assess how many children admitted with rotavirus gastroenteritis were given the specific ICD-10 code (A080) for this disease.\nMETHODS: Sixteen-month prospective, observational study of children &lt; 5 years old, admitted to district general hospital with: acute gastroenteritis (&gt; or =3 loose stools/day), proven rotavirus infection and those coded as intestinal infectious disease or non-infectious gastroenteritis.\nRESULTS: Four hundred and twenty children &lt; 5 years old were admitted with acute gastroenteritis. Rotavirus was detected in 170 children's stools. Acute rotavirus gastroenteritis accounted for 81/397 (20%) children coded as having non-infectious gastroenteritis and 32/81 (40%) coded for intestinal infectious disease. Only 18 children were coded for rotavirus gastroenteritis. Potentially preventable rotavirus gastroenteritis occurred in 122 children; 78 coded as non-infectious gastroenteritis (20%) and 26 coded for intestinal infectious disease (34%).\nCONCLUSIONS: The proportion of children coded with diarrhoeal diseases and found to have rotavirus is less than previously estimated. Using the specific code for rotavirus infection to estimate hospital admissions would be a gross underestimate. Hospital episode statistics cannot reliably estimate the burden of disease due to rotavirus.","DOI":"10.1016/j.jinf.2004.02.006","ISSN":"0163-4453","note":"PMID: 15194242","journalAbbreviation":"J. Infect.","language":"eng","author":[{"family":"Riordan","given":"F. Andrew I."},{"family":"Quigley","given":"Theresa"}],"issued":{"date-parts":[["2004",7]]}}}],"schema":"https://github.com/citation-style-language/schema/raw/master/csl-citation.json"} </w:instrText>
      </w:r>
      <w:r w:rsidR="007F0F22">
        <w:rPr>
          <w:rFonts w:ascii="Calibri" w:hAnsi="Calibri"/>
        </w:rPr>
        <w:fldChar w:fldCharType="separate"/>
      </w:r>
      <w:r w:rsidR="00990F10" w:rsidRPr="00990F10">
        <w:rPr>
          <w:rFonts w:ascii="Calibri" w:hAnsi="Calibri"/>
        </w:rPr>
        <w:t>[51]</w:t>
      </w:r>
      <w:r w:rsidR="007F0F22">
        <w:rPr>
          <w:rFonts w:ascii="Calibri" w:hAnsi="Calibri"/>
        </w:rPr>
        <w:fldChar w:fldCharType="end"/>
      </w:r>
      <w:r w:rsidR="008D2083">
        <w:t xml:space="preserve"> </w:t>
      </w:r>
      <w:r w:rsidR="00543CBE" w:rsidRPr="00543CBE">
        <w:t>Therefore, in this study, for the RVGE hospitalisation outcome measure</w:t>
      </w:r>
      <w:r w:rsidR="00543CBE">
        <w:t>,</w:t>
      </w:r>
      <w:r w:rsidR="00543CBE" w:rsidRPr="00543CBE">
        <w:t xml:space="preserve"> we used hospitalisations that were laboratory confirmed rotavirus from Alder Hey rather than ICD-10 codes.</w:t>
      </w:r>
    </w:p>
    <w:p w14:paraId="52E61E52" w14:textId="12E56EAB" w:rsidR="009B1880" w:rsidRDefault="00990F10" w:rsidP="00AA588D">
      <w:pPr>
        <w:spacing w:after="120" w:line="480" w:lineRule="auto"/>
        <w:rPr>
          <w:color w:val="000000" w:themeColor="text1"/>
        </w:rPr>
      </w:pPr>
      <w:r>
        <w:t>In the context of this outcome measure it is important to acknowledge the change in rotavirus diagnostic testing methods that occurred at Alder Hey during the study period (Table 1). Enzyme immunoassay (EIA) was used for 10/14 study years, whilst immuno-chromatography was utilised between 2005 and 2008. The immuno-chromatographic method used (VIKIA</w:t>
      </w:r>
      <w:r>
        <w:rPr>
          <w:vertAlign w:val="superscript"/>
        </w:rPr>
        <w:t>®</w:t>
      </w:r>
      <w:r>
        <w:t xml:space="preserve"> </w:t>
      </w:r>
      <w:proofErr w:type="spellStart"/>
      <w:r>
        <w:t>Rota</w:t>
      </w:r>
      <w:proofErr w:type="spellEnd"/>
      <w:r>
        <w:t>-Adeno) has a slightly lower diagnostic accuracy compared to EIA methods.</w:t>
      </w:r>
      <w:r w:rsidR="00C52780">
        <w:fldChar w:fldCharType="begin"/>
      </w:r>
      <w:r w:rsidR="00C52780">
        <w:instrText xml:space="preserve"> ADDIN ZOTERO_ITEM CSL_CITATION {"citationID":"avo7b27s3a","properties":{"formattedCitation":"[52,53]","plainCitation":"[52,53]"},"citationItems":[{"id":4610,"uris":["http://zotero.org/users/1755126/items/9KRRCUXN"],"uri":["http://zotero.org/users/1755126/items/9KRRCUXN"],"itemData":{"id":4610,"type":"article-journal","title":"[Sensitivity and specificity of the VIKIA Rota-Adeno immuno-chromatographic test (bioMérieux) and the ELISA IDEIA Rotavirus kit (Dako) compared to genotyping]","container-title":"Pathologie-Biologie","page":"86-89","volume":"57","issue":"1","source":"PubMed","abstract":"The performances of two diagnostic tests for rotavirus infection in stool samples were evaluated during a prospective study in children of less than 36 months in child-care centers of Lyon from November 2004 to May 2005. The VIKIA Rota-Adeno immuno-chromatographic test (bioMérieux) and the ELISA IDEIA Rotavirus kit (Dako) were compared with a referral method, the genotyping. Fifty-seven stool samples were collected and analyzed by RT-PCR. The virus genome was detected in 29 samples. The most frequent genotypic combinations were G9P[8] with a prevalence of 75.9%. Sensitivity and specificity of the VIKIA Rota-Adeno test and the ELISA IDEIA Rotavirus kit were strictly comparable and very good: 96.6% (83.0; 99.9) and 96.4% (81.6; 99.9), respectively. The immuno-chromatographic technique were in concordance with the ELISA tests in 93.6% of cases. Thus, the VIKIA Rota-Adeno test is a good alternative for the occasional analysis of stool samples in ambulatory practice.","DOI":"10.1016/j.patbio.2008.08.004","ISSN":"0369-8114","note":"PMID: 18838230","journalAbbreviation":"Pathol. Biol.","language":"fre","author":[{"family":"Rougemont","given":"A.","non-dropping-particle":"de"},{"family":"Kaplon","given":"J."},{"family":"Billaud","given":"G."},{"family":"Lina","given":"B."},{"family":"Pinchinat","given":"S."},{"family":"Derrough","given":"T."},{"family":"Caulin","given":"E."},{"family":"Pothier","given":"P."},{"family":"Floret","given":"D."}],"issued":{"date-parts":[["2009",2]]}}},{"id":4608,"uris":["http://zotero.org/users/1755126/items/H5WR44HU"],"uri":["http://zotero.org/users/1755126/items/H5WR44HU"],"itemData":{"id":4608,"type":"article-journal","title":"Diagnostic accuracy of VIKIA® Rota-Adeno and Premier™ Rotaclone® tests for the detection of rotavirus in Niger","container-title":"BMC research notes","page":"505","volume":"10","issue":"1","source":"PubMed","abstract":"OBJECTIVE: We conducted a parallel evaluation of the diagnostic accuracy of VIKIA® Rota-Adeno, a rapid diagnostic test (RDT) and Premier™ Rotaclone® an enzyme immunoassay (EIA) using reverse transcription polymerase chain reaction (RT-PCR) as the reference standard. The study was part of a rotavirus surveillance project in Niger.\nRESULTS: The sensitivity of both tests was 80.7%. After exclusion of one indeterminate result by visual reading, the specificity of the Premier™ Rotaclone® was 100% by visual or optical density readings and that of VIKIA® Rota-Adeno test was 95.5%. Inter-reader agreement was excellent for both tests (kappa = 1). Our results showed almost similar performance of the EIA and RDT when compared to RT-PCR. Hence, the VIKIA® Rota-Adeno could be a good alternative for use in peripheral health centres where laboratory capacity is limited.","DOI":"10.1186/s13104-017-2832-1","ISSN":"1756-0500","note":"PMID: 29058617\nPMCID: PMC5651622","journalAbbreviation":"BMC Res Notes","language":"eng","author":[{"family":"Lagare","given":"Adamou"},{"family":"Moumouni","given":"Aissatou"},{"family":"Kaplon","given":"Jérôme"},{"family":"Langendorf","given":"Céline"},{"family":"Pothier","given":"Pierre"},{"family":"Grais","given":"Rebecca F."},{"family":"Issaka","given":"Bassira"},{"family":"Page","given":"Anne-Laure"}],"issued":{"date-parts":[["2017",10,23]]}}}],"schema":"https://github.com/citation-style-language/schema/raw/master/csl-citation.json"} </w:instrText>
      </w:r>
      <w:r w:rsidR="00C52780">
        <w:fldChar w:fldCharType="separate"/>
      </w:r>
      <w:r w:rsidR="00C52780" w:rsidRPr="00C52780">
        <w:rPr>
          <w:rFonts w:ascii="Calibri" w:hAnsi="Calibri"/>
        </w:rPr>
        <w:t>[52,53]</w:t>
      </w:r>
      <w:r w:rsidR="00C52780">
        <w:fldChar w:fldCharType="end"/>
      </w:r>
      <w:r>
        <w:t xml:space="preserve"> </w:t>
      </w:r>
      <w:r w:rsidR="009B1880" w:rsidRPr="009B1880">
        <w:rPr>
          <w:color w:val="000000" w:themeColor="text1"/>
        </w:rPr>
        <w:t>However, the pre-vaccine introduction time-series spanned 11 years</w:t>
      </w:r>
      <w:r w:rsidR="009B1880">
        <w:rPr>
          <w:color w:val="000000" w:themeColor="text1"/>
        </w:rPr>
        <w:t>,</w:t>
      </w:r>
      <w:r w:rsidR="009B1880" w:rsidRPr="009B1880">
        <w:rPr>
          <w:color w:val="000000" w:themeColor="text1"/>
        </w:rPr>
        <w:t xml:space="preserve"> and since the change in testing practices was not accompanied by clear non-secular </w:t>
      </w:r>
      <w:r w:rsidR="009B1880">
        <w:rPr>
          <w:color w:val="000000" w:themeColor="text1"/>
        </w:rPr>
        <w:t>variation in</w:t>
      </w:r>
      <w:r w:rsidR="009B1880" w:rsidRPr="009B1880">
        <w:rPr>
          <w:color w:val="000000" w:themeColor="text1"/>
        </w:rPr>
        <w:t xml:space="preserve"> RVGE hospitalisation rates, we would not expect this change </w:t>
      </w:r>
      <w:r w:rsidR="009F412E">
        <w:rPr>
          <w:color w:val="000000" w:themeColor="text1"/>
        </w:rPr>
        <w:t xml:space="preserve">to have impacted significantly </w:t>
      </w:r>
      <w:r w:rsidR="009B1880" w:rsidRPr="009B1880">
        <w:rPr>
          <w:color w:val="000000" w:themeColor="text1"/>
        </w:rPr>
        <w:t>on effect estimates.</w:t>
      </w:r>
    </w:p>
    <w:p w14:paraId="0BADFA85" w14:textId="61262054" w:rsidR="008D2083" w:rsidRDefault="00A71B3F" w:rsidP="00AA588D">
      <w:pPr>
        <w:spacing w:after="120" w:line="480" w:lineRule="auto"/>
      </w:pPr>
      <w:r>
        <w:t xml:space="preserve">Since </w:t>
      </w:r>
      <w:r w:rsidR="00944955">
        <w:t>rotavirus</w:t>
      </w:r>
      <w:r>
        <w:t xml:space="preserve"> detection is not routinely undertaken</w:t>
      </w:r>
      <w:r w:rsidR="00944955">
        <w:t xml:space="preserve"> in community settings such as GP and </w:t>
      </w:r>
      <w:r w:rsidR="00D20B2E">
        <w:t>WICs</w:t>
      </w:r>
      <w:r>
        <w:t>,</w:t>
      </w:r>
      <w:r w:rsidR="00944955">
        <w:t xml:space="preserve"> syndromic and non-specific </w:t>
      </w:r>
      <w:r>
        <w:t>outcomes</w:t>
      </w:r>
      <w:r w:rsidR="00944955">
        <w:t xml:space="preserve"> related to gastroenteritis were used, </w:t>
      </w:r>
      <w:r>
        <w:t>and</w:t>
      </w:r>
      <w:r w:rsidR="00944955">
        <w:t xml:space="preserve"> we </w:t>
      </w:r>
      <w:r>
        <w:t>were therefore</w:t>
      </w:r>
      <w:r w:rsidR="00944955">
        <w:t xml:space="preserve"> unable to account for the contribution of other </w:t>
      </w:r>
      <w:r w:rsidR="00CA164E">
        <w:t xml:space="preserve">pathogens causing </w:t>
      </w:r>
      <w:r w:rsidR="00A707D7">
        <w:t>AGE</w:t>
      </w:r>
      <w:r w:rsidR="00944955">
        <w:t xml:space="preserve">. However, the </w:t>
      </w:r>
      <w:r w:rsidR="00A707D7">
        <w:t xml:space="preserve">predictable </w:t>
      </w:r>
      <w:r w:rsidR="00944955">
        <w:t>seasonality of rotavirus</w:t>
      </w:r>
      <w:r>
        <w:t xml:space="preserve"> </w:t>
      </w:r>
      <w:r w:rsidR="00C52F0D">
        <w:t>infection</w:t>
      </w:r>
      <w:r w:rsidR="00944955">
        <w:t xml:space="preserve"> allowed analysis to focus on the rotavirus season</w:t>
      </w:r>
      <w:r w:rsidR="001C0D52">
        <w:t>,</w:t>
      </w:r>
      <w:r w:rsidR="00944955">
        <w:t xml:space="preserve"> which </w:t>
      </w:r>
      <w:r>
        <w:t>should</w:t>
      </w:r>
      <w:r w:rsidR="00944955">
        <w:t xml:space="preserve"> improve the robustness of </w:t>
      </w:r>
      <w:r w:rsidR="009E28F2">
        <w:t>reduction estimates in age</w:t>
      </w:r>
      <w:r>
        <w:t>-</w:t>
      </w:r>
      <w:r w:rsidR="009E28F2">
        <w:t xml:space="preserve">eligible children. </w:t>
      </w:r>
      <w:r w:rsidR="001C0D52">
        <w:t xml:space="preserve">In </w:t>
      </w:r>
      <w:r w:rsidR="009E28F2">
        <w:t xml:space="preserve">older children and adults the estimates are more uncertain because there is limited </w:t>
      </w:r>
      <w:r w:rsidR="00AC149B">
        <w:t>laboratory testing and surveillance</w:t>
      </w:r>
      <w:r w:rsidR="008D2083">
        <w:t xml:space="preserve"> </w:t>
      </w:r>
      <w:r w:rsidR="009E28F2">
        <w:t xml:space="preserve">data on rotavirus seasonality and disease burden in these age groups in the pre-vaccine </w:t>
      </w:r>
      <w:r w:rsidR="00AA3C40">
        <w:t>period</w:t>
      </w:r>
      <w:r w:rsidR="009E28F2">
        <w:t xml:space="preserve">. </w:t>
      </w:r>
      <w:r w:rsidR="00AC149B">
        <w:t>The lack of routine testing is evidenced by the recommendation</w:t>
      </w:r>
      <w:r w:rsidR="006764EE" w:rsidRPr="006764EE">
        <w:t xml:space="preserve"> </w:t>
      </w:r>
      <w:r w:rsidR="006764EE">
        <w:t>in the Standards for Microbiology Investigation S7: gastroenteritis and diarrhoea (PHE)</w:t>
      </w:r>
      <w:r w:rsidR="00AC149B">
        <w:t xml:space="preserve"> that rotavirus testing is </w:t>
      </w:r>
      <w:r w:rsidR="006764EE">
        <w:t xml:space="preserve">only </w:t>
      </w:r>
      <w:r w:rsidR="00AC149B">
        <w:t>standard for sporadic cases</w:t>
      </w:r>
      <w:r w:rsidR="006764EE">
        <w:t xml:space="preserve"> of gastroenteritis</w:t>
      </w:r>
      <w:r w:rsidR="00AC149B">
        <w:t xml:space="preserve"> under the age of 5 years</w:t>
      </w:r>
      <w:r w:rsidR="006764EE">
        <w:t xml:space="preserve"> and immunocompromised cases</w:t>
      </w:r>
      <w:r w:rsidR="007F0F22" w:rsidRPr="007F0F22">
        <w:rPr>
          <w:rFonts w:ascii="Calibri" w:hAnsi="Calibri"/>
        </w:rPr>
        <w:t>.</w:t>
      </w:r>
      <w:r w:rsidR="007F0F22">
        <w:rPr>
          <w:rFonts w:ascii="Calibri" w:hAnsi="Calibri"/>
        </w:rPr>
        <w:fldChar w:fldCharType="begin"/>
      </w:r>
      <w:r w:rsidR="00C52780">
        <w:rPr>
          <w:rFonts w:ascii="Calibri" w:hAnsi="Calibri"/>
        </w:rPr>
        <w:instrText xml:space="preserve"> ADDIN ZOTERO_ITEM CSL_CITATION {"citationID":"af7mdp622t","properties":{"formattedCitation":"[54]","plainCitation":"[54]"},"citationItems":[{"id":3289,"uris":["http://zotero.org/users/1755126/items/B7EEKNEJ"],"uri":["http://zotero.org/users/1755126/items/B7EEKNEJ"],"itemData":{"id":3289,"type":"report","title":"UK Standards for Microbiology Investigations S 7: Gastroenteritis and diarrhoea.","collection-title":"Standards for microbiology investigations (SMI)","publisher":"Public Health England","publisher-place":"London","page":"1-20","event-place":"London","abstract":"UK Standards for Microbiology Investigations S 7: Gastroenteritis and diarrhoea.","URL":"https://www.gov.uk/government/publications/smi-s-7-gastroenteritis-and-diarrhoea","number":"7:1","shortTitle":"SMI S 7","language":"English","author":[{"family":"Public Health England","given":""}],"issued":{"date-parts":[["2013",12,23]]},"accessed":{"date-parts":[["2017",6,8]]}}}],"schema":"https://github.com/citation-style-language/schema/raw/master/csl-citation.json"} </w:instrText>
      </w:r>
      <w:r w:rsidR="007F0F22">
        <w:rPr>
          <w:rFonts w:ascii="Calibri" w:hAnsi="Calibri"/>
        </w:rPr>
        <w:fldChar w:fldCharType="separate"/>
      </w:r>
      <w:r w:rsidR="00C52780" w:rsidRPr="00C52780">
        <w:rPr>
          <w:rFonts w:ascii="Calibri" w:hAnsi="Calibri"/>
        </w:rPr>
        <w:t>[54]</w:t>
      </w:r>
      <w:r w:rsidR="007F0F22">
        <w:rPr>
          <w:rFonts w:ascii="Calibri" w:hAnsi="Calibri"/>
        </w:rPr>
        <w:fldChar w:fldCharType="end"/>
      </w:r>
    </w:p>
    <w:p w14:paraId="3D1AE6F1" w14:textId="7BA62CAD" w:rsidR="00CC746C" w:rsidRDefault="004E699E" w:rsidP="00AA588D">
      <w:pPr>
        <w:spacing w:after="120" w:line="480" w:lineRule="auto"/>
      </w:pPr>
      <w:r>
        <w:t>Because of these limitations</w:t>
      </w:r>
      <w:r w:rsidR="00BC5256">
        <w:t>,</w:t>
      </w:r>
      <w:r>
        <w:t xml:space="preserve"> model fit was </w:t>
      </w:r>
      <w:r w:rsidR="00BC5256">
        <w:t xml:space="preserve">less good </w:t>
      </w:r>
      <w:r>
        <w:t xml:space="preserve">for older populations due to the less seasonal </w:t>
      </w:r>
      <w:r w:rsidR="00BC5256">
        <w:t xml:space="preserve">and </w:t>
      </w:r>
      <w:r>
        <w:t>more random incidence of gastroenteritis disease</w:t>
      </w:r>
      <w:r w:rsidR="00BC5256">
        <w:t>,</w:t>
      </w:r>
      <w:r w:rsidR="003D1BEF">
        <w:t xml:space="preserve"> and</w:t>
      </w:r>
      <w:r w:rsidR="00BC5256">
        <w:t xml:space="preserve"> in these situations the analysis</w:t>
      </w:r>
      <w:r w:rsidR="003D1BEF">
        <w:t xml:space="preserve"> may have </w:t>
      </w:r>
      <w:r w:rsidR="003D1BEF">
        <w:lastRenderedPageBreak/>
        <w:t>overestimated the impact of vaccination</w:t>
      </w:r>
      <w:r>
        <w:t xml:space="preserve">. </w:t>
      </w:r>
      <w:r w:rsidR="003D1BEF">
        <w:t xml:space="preserve">Furthermore, we used non-dynamic regression fit </w:t>
      </w:r>
      <w:r w:rsidR="003D1BEF" w:rsidRPr="003D1BEF">
        <w:t xml:space="preserve">and so </w:t>
      </w:r>
      <w:r w:rsidR="003D1BEF">
        <w:t xml:space="preserve">were </w:t>
      </w:r>
      <w:r w:rsidR="003D1BEF" w:rsidRPr="003D1BEF">
        <w:t xml:space="preserve">not accounting for changes in force of infection due to reduction in number of cases. </w:t>
      </w:r>
      <w:r w:rsidR="003D1BEF">
        <w:t xml:space="preserve">We were therefore not able to adjust </w:t>
      </w:r>
      <w:r w:rsidR="003D1BEF" w:rsidRPr="003D1BEF">
        <w:t xml:space="preserve">the predicted incidence to account for current levels of infection. A </w:t>
      </w:r>
      <w:r w:rsidR="00E87822">
        <w:t xml:space="preserve">full </w:t>
      </w:r>
      <w:r w:rsidR="003D1BEF" w:rsidRPr="003D1BEF">
        <w:t xml:space="preserve">transmission model would be required to </w:t>
      </w:r>
      <w:r w:rsidR="00CA164E">
        <w:t>fully describe</w:t>
      </w:r>
      <w:r w:rsidR="003D1BEF" w:rsidRPr="003D1BEF">
        <w:t xml:space="preserve"> the reduction in transmission rate and associated case redu</w:t>
      </w:r>
      <w:r w:rsidR="003D1BEF">
        <w:t xml:space="preserve">ction due to vaccination. </w:t>
      </w:r>
      <w:r w:rsidR="00AB5F5C">
        <w:t>Despite</w:t>
      </w:r>
      <w:r w:rsidR="001C0D52">
        <w:t xml:space="preserve"> </w:t>
      </w:r>
      <w:r w:rsidR="00AB5F5C">
        <w:t xml:space="preserve">these limitations, </w:t>
      </w:r>
      <w:r>
        <w:t>studies in the UK</w:t>
      </w:r>
      <w:r w:rsidR="00A669CB">
        <w:t xml:space="preserve">, </w:t>
      </w:r>
      <w:r w:rsidR="00755AE8">
        <w:t xml:space="preserve">Australia, </w:t>
      </w:r>
      <w:r w:rsidR="00A669CB">
        <w:t>Europe</w:t>
      </w:r>
      <w:r>
        <w:t xml:space="preserve"> and the US </w:t>
      </w:r>
      <w:r w:rsidR="00CA164E">
        <w:t xml:space="preserve">also </w:t>
      </w:r>
      <w:r>
        <w:t>show impact in older populations.</w:t>
      </w:r>
      <w:r w:rsidR="00755AE8">
        <w:fldChar w:fldCharType="begin"/>
      </w:r>
      <w:r w:rsidR="00C52780">
        <w:instrText xml:space="preserve"> ADDIN ZOTERO_ITEM CSL_CITATION {"citationID":"OS1EZitu","properties":{"formattedCitation":"{\\rtf [12,36,37,42,55\\uc0\\u8211{}57]}","plainCitation":"[12,36,37,42,55–57]"},"citationItems":[{"id":3549,"uris":["http://zotero.org/users/1755126/items/DPDKKBVS"],"uri":["http://zotero.org/users/1755126/items/DPDKKBVS"],"itemData":{"id":3549,"type":"article-journal","title":"Rapid Declines in Age Group–Specific Rotavirus Infection and Acute Gastroenteritis Among Vaccinated and Unvaccinated Individuals Within 1 Year of Rotavirus Vaccine Introduction in England and Wales","container-title":"Journal of Infectious Diseases","page":"jiv398","source":"jid.oxfordjournals.org","abstract":"Background. The oral infant rotavirus vaccine, Rotarix, was introduced in England and Wales in July 2013. We estimated the impact on laboratory-confirmed rotavirus infections and hospitalizations for all-cause acute gastroenteritis (AGE) during the first year after introduction.\nMethods. We extracted data on laboratory-confirmed rotavirus infections (July 2000 through June 2015) and all-cause AGE–associated hospitalizations (July 2007 through June 2014) for all age groups using national databases (LabBase2 and HES). We determined the ratio of the rate during the 2013–2014 rotavirus season to the rate during the prevaccination era.\nResults. In infants, there was a 77% decline (rate ratio [RR], 0.23; 95% confidence interval [CI], .16–.32) in laboratory-confirmed rotavirus infections and a 26% decline (RR, 0.74; 95% CI, .65–.84) in all-cause AGE–associated hospitalizations in 2013–2014, compared with the prevaccination era. Large reductions were also observed in older children, adults, and older adults. We estimated that 10 884 laboratory-confirmed infections and 50 427 all-cause AGE–associated hospital admissions were averted in 2013–2014. Similar reductions have been observed for laboratory-confirmed rotavirus infections during the 2014–2015 season.\nConclusions. The rapid declines in rotavirus infection and AGE in vaccinated and unvaccinated age groups within 1 year of introducing an infant rotavirus vaccination program are far greater than expected and than previously reported by other countries.","DOI":"10.1093/infdis/jiv398","ISSN":"0022-1899, 1537-6613","note":"PMID: 26232438","journalAbbreviation":"J Infect Dis.","language":"en","author":[{"family":"Atchison","given":"Christina J."},{"family":"Stowe","given":"Julia"},{"family":"Andrews","given":"Nick"},{"family":"Collins","given":"Sarah"},{"family":"Allen","given":"David J."},{"family":"Nawaz","given":"Sameena"},{"family":"Brown","given":"David"},{"family":"Ramsay","given":"Mary E."},{"family":"Ladhani","given":"Shamez N."}],"issued":{"date-parts":[["2015",7,30]]}}},{"id":4119,"uris":["http://zotero.org/users/1755126/items/NXEAE7XF"],"uri":["http://zotero.org/users/1755126/items/NXEAE7XF"],"itemData":{"id":4119,"type":"article-journal","title":"Assessing the impacts of the first year of rotavirus vaccination in the United Kingdom","container-title":"Euro Surveillance: Bulletin Europeen Sur Les Maladies Transmissibles = European Communicable Disease Bulletin","page":"30077","volume":"20","issue":"48","source":"PubMed","abstract":"The United Kingdom (UK) added rotavirus (RV) vaccine (Rotarix GlaxoSmithKline) to the national vaccine schedule in July 2013. During the 2012-2014 rotavirus seasons, children presenting to the Bristol Royal Hospital for Children Emergency Department with gastroenteritis symptoms had stool virology analysis (real-time PCR) and clinical outcome recorded. Nosocomial cases were identified as patients with non-gastroenteritis diagnosis testing positive for rotavirus &gt; 48h after admission. In comparison to average pre-vaccine seasons, in the first year after vaccine introduction there were 48% fewer attendances diagnosed with gastroenteritis, 53% reduction in gastroenteritis admissions and a total saving of 330 bed-days occupancy. There was an overall reduction in number of rotavirus-positive stool samples with 94% reduction in children aged under one year and a 65% reduction in those too old to have been vaccinated. In the first year after the introduction of universal vaccination against rotavirus we observed a profound reduction in gastroenteritis presentations and admissions with a substantial possible herd effect seen in older children. Extrapolating these findings to the UK population we estimate secondary healthcare savings in the first year of ca £7.5 (€10.5) million. Ongoing surveillance will be required to determine the long-term impact of the RV immunisation programme.","DOI":"10.2807/1560-7917.ES.2015.20.48.30077","ISSN":"1560-7917","note":"PMID: 26675375","journalAbbreviation":"Euro Surveill.","language":"eng","author":[{"family":"Marlow","given":"Robin"},{"family":"Muir","given":"Peter"},{"family":"Vipond","given":"Barry"},{"family":"Lyttle","given":"Mark"},{"family":"Trotter","given":"Caroline"},{"family":"Finn","given":"Adam"}],"issued":{"date-parts":[["2015"]]}}},{"id":1562,"uris":["http://zotero.org/users/1755126/items/TS7A3MSS"],"uri":["http://zotero.org/users/1755126/items/TS7A3MSS"],"itemData":{"id":1562,"type":"article-journal","title":"Infant rotavirus vaccination may provide indirect protection to older children and adults in the United States","container-title":"The Journal of infectious diseases","page":"980-986","volume":"204","issue":"7","source":"NCBI PubMed","abstract":"Following the introduction of rotavirus vaccination in the United States, rotavirus and cause-unspecified gastroenteritis discharges significantly decreased in 2008 in the 0-4, 5-14, and 15-24-year age groups, with significant reductions observed in March, the historic peak rotavirus month, in all age groups. We estimate that 15% of the total 66 000 averted hospitalizations and 20% of the $204 million in averted direct medical costs attributable to the vaccination program were among unvaccinated 5-24 year-olds. This study demonstrates a previously unrecognized burden of severe rotavirus in the population &gt;5 years and the primacy of very young children in the transmission of rotavirus.","DOI":"10.1093/infdis/jir492","ISSN":"1537-6613","note":"PMID: 21878425","journalAbbreviation":"J. Infect. Dis.","language":"eng","author":[{"family":"Lopman","given":"Ben A"},{"family":"Curns","given":"Aaron T"},{"family":"Yen","given":"Catherine"},{"family":"Parashar","given":"Umesh D"}],"issued":{"date-parts":[["2011",10,1]]}}},{"id":792,"uris":["http://zotero.org/users/1755126/items/FBN3W5RT"],"uri":["http://zotero.org/users/1755126/items/FBN3W5RT"],"itemData":{"id":792,"type":"article-journal","title":"Early evidence for direct and indirect effects of the infant rotavirus vaccine program in Queensland","container-title":"The Medical journal of Australia","page":"157-160","volume":"191","issue":"3","source":"NCBI PubMed","abstract":"OBJECTIVE: To assess the impact of introducing a publicly funded infant rotavirus vaccination program on disease notifications and on laboratory testing and results.\nDESIGN AND SETTING: Retrospective analysis of routinely collected data (rotavirus notifications [2006-2008] and laboratory rotavirus testing data from Queensland Health laboratories [2000-2008]) to monitor rotavirus trends before and after the introduction of a publicly funded infant rotavirus vaccination program in Queensland in July 2007.\nMAIN OUTCOME MEASURES: Age group-specific rotavirus notification trends; number of rotavirus tests performed and the proportion positive.\nRESULTS: In the less than 2 years age group, rotavirus notifications declined by 53% (2007) and 65% (2008); the number of laboratory tests performed declined by 3% (2007) and 15% (2008); and the proportion of tests positive declined by 45% (2007) and 43% (2008) compared with data collected before introduction of the vaccination program. An indirect effect of infant vaccination was seen: notifications and the proportion of tests positive for rotavirus declined in older age groups as well.\nCONCLUSIONS: The publicly funded rotavirus vaccination program in Queensland is having an early impact, direct and indirect, on rotavirus disease as assessed using routinely collected data. Further observational studies are required to assess vaccine effectiveness. Parents and immunisation providers should ensure that all Australian children receive the recommended rotavirus vaccine doses in the required timeframe.","ISSN":"0025-729X","note":"PMID: 19645646","journalAbbreviation":"Med. J. Aust.","language":"eng","author":[{"family":"Lambert","given":"Stephen B"},{"family":"Faux","given":"Cassandra E"},{"family":"Hall","given":"Lisa"},{"family":"Birrell","given":"Frances A"},{"family":"Peterson","given":"Karen V"},{"family":"Selvey","given":"Christine E"},{"family":"Sloots","given":"Theo P"},{"family":"Nissen","given":"Michael D"},{"family":"Grimwood","given":"Keith"}],"issued":{"date-parts":[["2009",8,3]]}}},{"id":185,"uris":["http://zotero.org/users/1755126/items/54QAKJ5B"],"uri":["http://zotero.org/users/1755126/items/54QAKJ5B"],"itemData":{"id":185,"type":"article-journal","title":"Herd immunity after two years of the universal mass vaccination program against rotavirus gastroenteritis in Austria","container-title":"Vaccine","page":"2791-2796","volume":"29","issue":"15","source":"ISI Web of Knowledge","abstract":"Austria was the first country in Europe implementing a universal mass vaccination program against rotavirus gastroenteritis (RV-GE) for all infants nationwide. Epidemiological data from a hospital based surveillance system show that incidence rates of children hospitalized with RV-GE decreased in 2009 compared to 2008 and compared to the prevaccination period 2001-2005. Decreasing hospitalization-rates from RV-GE were observed in children of all age groups, even in those not eligible for vaccination according to their age, suggesting herd immunity induced by universal mass vaccination against RV-GE. In 2009 the disease burden was highest in children below three months of age stressing the importance of the early start of the immunization course. (C) 2011 Elsevier Ltd. All rights reserved.","DOI":"10.1016/j.vaccine.2011.01.104","note":"WOS:000289140700021","author":[{"family":"Paulke-Korinek","given":"Maria"},{"family":"Kundi","given":"Michael"},{"family":"Rendi-Wagner","given":"Pamela"},{"family":"Martin","given":"Alfred","non-dropping-particle":"de"},{"family":"Eder","given":"Gerald"},{"family":"Schmidle-Loss","given":"Birgit"},{"family":"Vecsei","given":"Andreas"},{"family":"Kollaritsch","given":"Herwig"}],"issued":{"date-parts":[["2011",3,24]]}}},{"id":4143,"uris":["http://zotero.org/users/1755126/items/55BZN8XN"],"uri":["http://zotero.org/users/1755126/items/55BZN8XN"],"itemData":{"id":4143,"type":"article-journal","title":"Effectiveness and impact of rotavirus vaccines in Europe, 2006–2014","container-title":"Vaccine","page":"2097-2107","volume":"33","issue":"18","source":"ScienceDirect","abstract":"Prior to the introduction of rotavirus vaccines in 2006, rotavirus was the leading cause of severe gastroenteritis among European children &lt;5 years of age. We conducted a systematic review of the published literature to examine the effectiveness and impact of rotavirus vaccines in Europe following the first eight years of routine use. Four publication databases were searched, yielding 276 unique citations from February 1st, 2006 to July 31st, 2014. Twenty four studies on effectiveness (n=9) and impact (n=15) met the inclusion criteria. Across Europe, vaccine effectiveness against rotavirus-related healthcare utilisation ranged from 68% to 98%, consistent with efficacy data from clinical trials. Reductions in rotavirus hospitalisations ranged from 65% to 84%, consistent with findings from post-marketing studies from the US and Latin America. We confirm the significant public health benefit of rotavirus vaccination in Europe and provide further evidence to support implementation of universal rotavirus vaccination in all European countries.","DOI":"10.1016/j.vaccine.2015.03.016","ISSN":"0264-410X","journalAbbreviation":"Vaccine","author":[{"family":"Karafillakis","given":"Emilie"},{"family":"Hassounah","given":"Sondus"},{"family":"Atchison","given":"Christina"}],"issued":{"date-parts":[["2015",4,27]]}}},{"id":4160,"uris":["http://zotero.org/users/1755126/items/E5PHSCUX"],"uri":["http://zotero.org/users/1755126/items/E5PHSCUX"],"itemData":{"id":4160,"type":"article-journal","title":"Indirect protection of adults from rotavirus by pediatric rotavirus vaccination","container-title":"Clinical Infectious Diseases: An Official Publication of the Infectious Diseases Society of America","page":"755-760","volume":"56","issue":"6","source":"PubMed","abstract":"BACKGROUND: Pediatric vaccination has resulted in declines in disease in unvaccinated individuals through decreasing pathogen circulation in the community. About 2 years after implementation of pediatric rotavirus vaccination in the United States, dramatic declines in rotavirus disease were observed in both vaccinated and unvaccinated children. Whether this protection extends to adults is unknown.\nMETHODS: The prevalence of rotavirus, as determined by Rotaclone enzyme immunoassay, in adults who had stools submitted for bacterial stool culture (BSC) between February to May to Northwestern Memorial Hospital, Chicago, was compared between the prepediatric impact era (2006-2007) and the pediatric impact era (2008-2010). Isolates were genotyped and clinical characteristics of those with rotavirus were compared.\nRESULTS: Of the 5788 BSC sent, 4725 met inclusion criteria and 3530 of these (74.7%) were saved for rotavirus testing. The prevalence of rotavirus among adults who had stool sent for BSC declined from 4.35% in 2006-2007 to 2.24% in 2008-2010 (a relative decline of 48.4%; P = .0007). The decline in the prevalence of rotavirus was of similar significant magnitude in both outpatients and inpatients. Marked year-to-year variability was observed in circulating rotavirus genotypes, with strain G2P[4] accounting for 24%; G1P[8], 22%; G3P[8], 11%; and G12P[6], 10% overall. About 30% of adults from whom rotavirus was isolated were immunocompromised and this remained constant.\nCONCLUSIONS: Pediatric rotavirus vaccination correlated with a relative decline of almost 50% in rotavirus identified from adult BSC during the peak rotavirus season, suggesting that pediatric rotavirus vaccination protects adults from rotavirus.","DOI":"10.1093/cid/cis1010","ISSN":"1537-6591","note":"PMID: 23349228","journalAbbreviation":"Clin. Infect. Dis.","language":"eng","author":[{"family":"Anderson","given":"Evan J."},{"family":"Shippee","given":"Deanna B."},{"family":"Weinrobe","given":"Melissa H."},{"family":"Davila","given":"Melissa D."},{"family":"Katz","given":"Ben Z."},{"family":"Reddy","given":"Susheel"},{"family":"Cuyugan","given":"Mary Gene Karen P."},{"family":"Lee","given":"Samuel Y."},{"family":"Simons","given":"Yael M."},{"family":"Yogev","given":"Ram"},{"family":"Noskin","given":"Gary A."}],"issued":{"date-parts":[["2013",3]]}}}],"schema":"https://github.com/citation-style-language/schema/raw/master/csl-citation.json"} </w:instrText>
      </w:r>
      <w:r w:rsidR="00755AE8">
        <w:fldChar w:fldCharType="separate"/>
      </w:r>
      <w:r w:rsidR="00C52780" w:rsidRPr="00C52780">
        <w:rPr>
          <w:rFonts w:ascii="Calibri" w:hAnsi="Calibri" w:cs="Times New Roman"/>
          <w:szCs w:val="24"/>
        </w:rPr>
        <w:t>[12</w:t>
      </w:r>
      <w:proofErr w:type="gramStart"/>
      <w:r w:rsidR="00C52780" w:rsidRPr="00C52780">
        <w:rPr>
          <w:rFonts w:ascii="Calibri" w:hAnsi="Calibri" w:cs="Times New Roman"/>
          <w:szCs w:val="24"/>
        </w:rPr>
        <w:t>,36,37,42,55</w:t>
      </w:r>
      <w:proofErr w:type="gramEnd"/>
      <w:r w:rsidR="00C52780" w:rsidRPr="00C52780">
        <w:rPr>
          <w:rFonts w:ascii="Calibri" w:hAnsi="Calibri" w:cs="Times New Roman"/>
          <w:szCs w:val="24"/>
        </w:rPr>
        <w:t>–57]</w:t>
      </w:r>
      <w:r w:rsidR="00755AE8">
        <w:fldChar w:fldCharType="end"/>
      </w:r>
      <w:r>
        <w:t xml:space="preserve"> </w:t>
      </w:r>
      <w:r w:rsidR="00A71B3F">
        <w:t>T</w:t>
      </w:r>
      <w:r w:rsidR="00CC746C">
        <w:t>he number of hospitalisations averted nationally</w:t>
      </w:r>
      <w:r w:rsidR="00B3524B">
        <w:t xml:space="preserve"> under uniform 95% vaccine uptake </w:t>
      </w:r>
      <w:r w:rsidR="00CC746C">
        <w:t>w</w:t>
      </w:r>
      <w:r w:rsidR="00A71B3F">
        <w:t>as</w:t>
      </w:r>
      <w:r w:rsidR="00B3524B">
        <w:t xml:space="preserve"> made </w:t>
      </w:r>
      <w:r w:rsidR="00A71B3F">
        <w:t xml:space="preserve">using </w:t>
      </w:r>
      <w:r w:rsidR="00B3524B">
        <w:t>two main assumptions. F</w:t>
      </w:r>
      <w:r w:rsidR="00CC746C">
        <w:t>irstly</w:t>
      </w:r>
      <w:r w:rsidR="00AA3C40">
        <w:t>,</w:t>
      </w:r>
      <w:r w:rsidR="00CC746C">
        <w:t xml:space="preserve"> that the population of Merseyside is representative of nationally population and secondly</w:t>
      </w:r>
      <w:r w:rsidR="00CA164E">
        <w:t>,</w:t>
      </w:r>
      <w:r w:rsidR="00CC746C">
        <w:t xml:space="preserve"> that the relationship between vaccine uptake and the herd protective effect of vaccination is linear.</w:t>
      </w:r>
      <w:r w:rsidR="00B3524B">
        <w:t xml:space="preserve"> </w:t>
      </w:r>
      <w:r w:rsidR="004266E2">
        <w:t>Therefore</w:t>
      </w:r>
      <w:r w:rsidR="00CB7369">
        <w:t xml:space="preserve"> </w:t>
      </w:r>
      <w:r w:rsidR="004266E2">
        <w:t xml:space="preserve">the estimates are </w:t>
      </w:r>
      <w:r w:rsidR="00CB7369">
        <w:t>likely to be conservative as a</w:t>
      </w:r>
      <w:r w:rsidR="00B3524B">
        <w:t xml:space="preserve"> consequence of assuming a linear relationship</w:t>
      </w:r>
      <w:r w:rsidR="00AA63D5">
        <w:t>, particularly if the level of rotavirus vaccin</w:t>
      </w:r>
      <w:r w:rsidR="00D741AC">
        <w:t>e uptake</w:t>
      </w:r>
      <w:r w:rsidR="00AA63D5">
        <w:t xml:space="preserve"> required for population protection is reached</w:t>
      </w:r>
      <w:r w:rsidR="00CB7369">
        <w:t xml:space="preserve"> </w:t>
      </w:r>
      <w:r w:rsidR="004266E2">
        <w:t>before</w:t>
      </w:r>
      <w:r w:rsidR="00CB7369">
        <w:t xml:space="preserve"> 95% uptake</w:t>
      </w:r>
      <w:r w:rsidR="00AA63D5">
        <w:t xml:space="preserve">. </w:t>
      </w:r>
    </w:p>
    <w:p w14:paraId="4B77E916" w14:textId="3A6CC59A" w:rsidR="00A444C6" w:rsidRDefault="00A444C6" w:rsidP="00AA588D">
      <w:pPr>
        <w:spacing w:after="120" w:line="480" w:lineRule="auto"/>
      </w:pPr>
      <w:r>
        <w:t>Finally, t</w:t>
      </w:r>
      <w:r w:rsidRPr="00A444C6">
        <w:t>he novelty of measuring vaccine impact on multiple levels of a health system simultaneously in a defined population provides robustness that any detected changes are due to rotavirus vaccination rather than idiosyncrasies of one particular dataset. For example we detected delayed peak activity (April / May) in children aged 24-59 months across all primary outcome measures in season 2014/15 strengthening the evidence that the datasets used in this study were useful in detecting rotavirus activity in non-specific outcomes. This delayed peak is also observed in laboratory confirmed rotavirus detections nationally.</w:t>
      </w:r>
    </w:p>
    <w:p w14:paraId="594ADBC5" w14:textId="4084E3E2" w:rsidR="00DA5E14" w:rsidRDefault="00CF27CE" w:rsidP="00DA5E14">
      <w:pPr>
        <w:pStyle w:val="Heading3"/>
        <w:spacing w:line="480" w:lineRule="auto"/>
      </w:pPr>
      <w:r>
        <w:t>Conclusion</w:t>
      </w:r>
    </w:p>
    <w:p w14:paraId="29F5E60A" w14:textId="692814F4" w:rsidR="00BA667A" w:rsidRDefault="003D1BEF" w:rsidP="00261B1F">
      <w:pPr>
        <w:spacing w:after="120" w:line="480" w:lineRule="auto"/>
      </w:pPr>
      <w:r>
        <w:t xml:space="preserve">This </w:t>
      </w:r>
      <w:r w:rsidR="002A6DE0">
        <w:t xml:space="preserve">analysis </w:t>
      </w:r>
      <w:r>
        <w:t>identifie</w:t>
      </w:r>
      <w:r w:rsidR="00A71B3F">
        <w:t>d</w:t>
      </w:r>
      <w:r>
        <w:t xml:space="preserve"> the</w:t>
      </w:r>
      <w:r w:rsidR="008D2083">
        <w:t xml:space="preserve"> effect of </w:t>
      </w:r>
      <w:r w:rsidR="001C0D52">
        <w:t xml:space="preserve">rotavirus </w:t>
      </w:r>
      <w:r w:rsidR="008D2083">
        <w:t xml:space="preserve">vaccination </w:t>
      </w:r>
      <w:r w:rsidR="00DE238D">
        <w:t xml:space="preserve">on </w:t>
      </w:r>
      <w:r w:rsidR="00A444C6">
        <w:t xml:space="preserve">healthcare utilisation for acute gastroenteritis in </w:t>
      </w:r>
      <w:r w:rsidR="008D2083">
        <w:t>the</w:t>
      </w:r>
      <w:r w:rsidR="009E28F2">
        <w:t xml:space="preserve"> four major levels of the </w:t>
      </w:r>
      <w:r w:rsidR="00A444C6">
        <w:t xml:space="preserve">UK </w:t>
      </w:r>
      <w:r w:rsidR="009E28F2">
        <w:t>health system</w:t>
      </w:r>
      <w:r w:rsidR="008D2083">
        <w:t xml:space="preserve"> </w:t>
      </w:r>
      <w:r w:rsidR="001C0D52" w:rsidRPr="001C0D52">
        <w:t xml:space="preserve">for five outcomes </w:t>
      </w:r>
      <w:r w:rsidR="00A71B3F">
        <w:t xml:space="preserve">of </w:t>
      </w:r>
      <w:r w:rsidR="00C52F0D" w:rsidRPr="001C0D52">
        <w:t>varying specificity</w:t>
      </w:r>
      <w:r w:rsidR="009E28F2">
        <w:t xml:space="preserve">. </w:t>
      </w:r>
      <w:r w:rsidR="00BA667A">
        <w:t xml:space="preserve">The </w:t>
      </w:r>
      <w:r w:rsidR="007F5F4C">
        <w:t>study strongly indicates that rotavirus vaccination has reduced</w:t>
      </w:r>
      <w:r w:rsidR="00A71B3F">
        <w:t xml:space="preserve"> the</w:t>
      </w:r>
      <w:r w:rsidR="007F5F4C">
        <w:t xml:space="preserve"> incidence </w:t>
      </w:r>
      <w:r w:rsidR="00AE5383">
        <w:t>of acute gastroenteritis across the healthcare system</w:t>
      </w:r>
      <w:r w:rsidR="005C687C">
        <w:t xml:space="preserve"> in both vaccine eligible and ineligible populations. Rotavirus vaccination</w:t>
      </w:r>
      <w:r w:rsidR="00AE5383">
        <w:t xml:space="preserve"> will therefore contribute</w:t>
      </w:r>
      <w:r w:rsidR="007F5F4C">
        <w:t xml:space="preserve"> </w:t>
      </w:r>
      <w:r w:rsidR="00AE5383">
        <w:t>to</w:t>
      </w:r>
      <w:r w:rsidR="007F5F4C">
        <w:t xml:space="preserve"> alleviating the</w:t>
      </w:r>
      <w:r w:rsidR="007F5F4C" w:rsidRPr="007F5F4C">
        <w:t xml:space="preserve"> increasing pressures on acute</w:t>
      </w:r>
      <w:r w:rsidR="00615FC2">
        <w:t xml:space="preserve"> </w:t>
      </w:r>
      <w:r w:rsidR="00615FC2">
        <w:lastRenderedPageBreak/>
        <w:t>services across a</w:t>
      </w:r>
      <w:r w:rsidR="007F5F4C" w:rsidRPr="007F5F4C">
        <w:t xml:space="preserve"> health system</w:t>
      </w:r>
      <w:r w:rsidR="007F5F4C">
        <w:t xml:space="preserve">. </w:t>
      </w:r>
      <w:r w:rsidR="00D741AC">
        <w:t>With impact greater than that predicted through cost effective modelling in the UK,</w:t>
      </w:r>
      <w:r w:rsidR="00D741AC">
        <w:fldChar w:fldCharType="begin"/>
      </w:r>
      <w:r w:rsidR="00C52780">
        <w:instrText xml:space="preserve"> ADDIN ZOTERO_ITEM CSL_CITATION {"citationID":"ackfj171bu","properties":{"formattedCitation":"[58]","plainCitation":"[58]"},"citationItems":[{"id":669,"uris":["http://zotero.org/users/1755126/items/D5DSIZ2V"],"uri":["http://zotero.org/users/1755126/items/D5DSIZ2V"],"itemData":{"id":669,"type":"article-journal","title":"Evaluating rotavirus vaccination in England and Wales. Part II. The potential cost-effectiveness of vaccination","container-title":"Vaccine","page":"3971-3979","volume":"25","issue":"20","source":"NCBI PubMed","abstract":"AIM: Rotavirus is the leading cause of acute gastroenteritis in children. Two rotavirus vaccines (RotaTeq and Rotarix) have recently completed clinical trials. We investigated whether routine infant immunisation with either vaccine can be cost effective.\nMETHODS: We compared costs and outcomes of vaccination using a cohort model, following children over the first 5 years of life. We estimated health provider costs, economic costs and quality adjusted life years (QALYs) lost due to rotavirus-related deaths, hospital admissions, nosocomial infections, accident and emergency attendances, general practice consultations and calls to NHS Direct.\nRESULTS: Under base case assumptions, a programme using RotaTeq (priced at pound 25 a dose) would cost the health provider pound 79,900 per QALY gained. Using Rotarix (priced at pound 35 a dose) would cost pound 61,000 per QALY gained. Univariate and multivariate sensitivity analysis indicate that at these prices an immunisation programme would be unlikely to be cost-effective for any realistic value of the key parameters.\nCONCLUSIONS: Rotavirus immunisation could reduce the substantial short-term morbidity burden due to rotavirus, but is unlikely to be deemed cost effective unless the vaccine is competitively priced.","DOI":"10.1016/j.vaccine.2007.02.070","ISSN":"0264-410X","note":"PMID: 17400341","journalAbbreviation":"Vaccine","language":"eng","author":[{"family":"Jit","given":"M"},{"family":"Edmunds","given":"W J"}],"issued":{"date-parts":[["2007",5,16]]}}}],"schema":"https://github.com/citation-style-language/schema/raw/master/csl-citation.json"} </w:instrText>
      </w:r>
      <w:r w:rsidR="00D741AC">
        <w:fldChar w:fldCharType="separate"/>
      </w:r>
      <w:r w:rsidR="00C52780" w:rsidRPr="00C52780">
        <w:rPr>
          <w:rFonts w:ascii="Calibri" w:hAnsi="Calibri"/>
        </w:rPr>
        <w:t>[58]</w:t>
      </w:r>
      <w:r w:rsidR="00D741AC">
        <w:fldChar w:fldCharType="end"/>
      </w:r>
      <w:r w:rsidR="00D741AC">
        <w:t xml:space="preserve"> t</w:t>
      </w:r>
      <w:r w:rsidR="00F53831">
        <w:t xml:space="preserve">hese data </w:t>
      </w:r>
      <w:r w:rsidR="00D741AC">
        <w:t xml:space="preserve">strongly </w:t>
      </w:r>
      <w:r w:rsidR="00F53831">
        <w:t>support the sustained use of the vaccine in the UK and continued expansion to other European countries</w:t>
      </w:r>
      <w:r w:rsidR="00D741AC">
        <w:t>.</w:t>
      </w:r>
    </w:p>
    <w:p w14:paraId="61342986" w14:textId="31E3DFA2" w:rsidR="00AB5F5C" w:rsidRDefault="00197A67" w:rsidP="002F3017">
      <w:pPr>
        <w:spacing w:line="480" w:lineRule="auto"/>
      </w:pPr>
      <w:r>
        <w:t>We</w:t>
      </w:r>
      <w:r w:rsidR="006764EE">
        <w:t xml:space="preserve"> have</w:t>
      </w:r>
      <w:r w:rsidR="00BA667A">
        <w:t xml:space="preserve"> also</w:t>
      </w:r>
      <w:r w:rsidR="006764EE">
        <w:t xml:space="preserve"> </w:t>
      </w:r>
      <w:r w:rsidR="001C0D52">
        <w:t>show</w:t>
      </w:r>
      <w:r w:rsidR="00762BD2">
        <w:t>n</w:t>
      </w:r>
      <w:r w:rsidR="006764EE">
        <w:t xml:space="preserve"> that prioritising</w:t>
      </w:r>
      <w:r>
        <w:t xml:space="preserve"> vaccine upt</w:t>
      </w:r>
      <w:r w:rsidR="006948C7">
        <w:t>ake in the most socio</w:t>
      </w:r>
      <w:r>
        <w:t xml:space="preserve">economically deprived communities is likely to give the </w:t>
      </w:r>
      <w:r w:rsidR="005C687C">
        <w:t>greatest</w:t>
      </w:r>
      <w:r>
        <w:t xml:space="preserve"> health benefit in terms of population disease</w:t>
      </w:r>
      <w:r w:rsidR="001C0D52">
        <w:t xml:space="preserve"> burden</w:t>
      </w:r>
      <w:r w:rsidR="00CB1E3E">
        <w:t>;</w:t>
      </w:r>
      <w:r>
        <w:t xml:space="preserve"> and </w:t>
      </w:r>
      <w:r w:rsidR="00C83300">
        <w:t>can contribute to reducing health inequalities</w:t>
      </w:r>
      <w:r w:rsidR="00A71B3F">
        <w:t xml:space="preserve">. </w:t>
      </w:r>
      <w:r w:rsidR="00DD4816">
        <w:t>F</w:t>
      </w:r>
      <w:r w:rsidR="00DD4816" w:rsidRPr="00DD4816">
        <w:t>urther studies are</w:t>
      </w:r>
      <w:r w:rsidR="00DD4816">
        <w:t xml:space="preserve"> </w:t>
      </w:r>
      <w:r w:rsidR="00DD4816" w:rsidRPr="00DD4816">
        <w:t xml:space="preserve">required to disentangle which factors related to socioeconomic deprivation </w:t>
      </w:r>
      <w:r w:rsidR="00C52F0D">
        <w:t xml:space="preserve">have greatest influence over </w:t>
      </w:r>
      <w:r w:rsidR="00DD4816">
        <w:t>vaccine</w:t>
      </w:r>
      <w:r w:rsidR="00615FC2">
        <w:t xml:space="preserve"> acceptance</w:t>
      </w:r>
      <w:r w:rsidR="00DD4816" w:rsidRPr="00DD4816">
        <w:t>, so that interventions to improve vaccine uptake can be effectively targeted.</w:t>
      </w:r>
    </w:p>
    <w:p w14:paraId="39F2F8A0" w14:textId="117574A7" w:rsidR="00FF6E13" w:rsidRPr="00FF6E13" w:rsidRDefault="00FF6E13" w:rsidP="00AA588D">
      <w:pPr>
        <w:pStyle w:val="Heading2"/>
        <w:spacing w:line="480" w:lineRule="auto"/>
      </w:pPr>
      <w:r w:rsidRPr="00FF6E13">
        <w:t>Abbreviations</w:t>
      </w:r>
    </w:p>
    <w:p w14:paraId="0F86A089" w14:textId="604F3C8E" w:rsidR="00FF6E13" w:rsidRPr="00FF6E13" w:rsidRDefault="00F10BAC" w:rsidP="00AA588D">
      <w:pPr>
        <w:spacing w:after="120" w:line="480" w:lineRule="auto"/>
      </w:pPr>
      <w:r>
        <w:t>AGE: acute gastroenteritis;</w:t>
      </w:r>
      <w:r w:rsidR="00FF6E13">
        <w:t xml:space="preserve"> </w:t>
      </w:r>
      <w:proofErr w:type="spellStart"/>
      <w:r>
        <w:t>aRR</w:t>
      </w:r>
      <w:proofErr w:type="spellEnd"/>
      <w:r>
        <w:t xml:space="preserve">: adjusted </w:t>
      </w:r>
      <w:r w:rsidR="00DB5FA5">
        <w:t>r</w:t>
      </w:r>
      <w:r>
        <w:t xml:space="preserve">elative risks / risk ratios; CCG: </w:t>
      </w:r>
      <w:r w:rsidR="00DB5FA5">
        <w:t>c</w:t>
      </w:r>
      <w:r>
        <w:t xml:space="preserve">linical commissioning group; CHIS: </w:t>
      </w:r>
      <w:r w:rsidRPr="00271441">
        <w:rPr>
          <w:rFonts w:eastAsia="Times New Roman"/>
          <w:lang w:eastAsia="en-GB"/>
        </w:rPr>
        <w:t xml:space="preserve">Child Health Information </w:t>
      </w:r>
      <w:r>
        <w:rPr>
          <w:rFonts w:eastAsia="Times New Roman"/>
          <w:lang w:eastAsia="en-GB"/>
        </w:rPr>
        <w:t xml:space="preserve">Service; </w:t>
      </w:r>
      <w:r w:rsidR="00FF6E13">
        <w:t xml:space="preserve">CI: </w:t>
      </w:r>
      <w:r w:rsidR="00DB5FA5">
        <w:t>c</w:t>
      </w:r>
      <w:r w:rsidR="00FF6E13">
        <w:t xml:space="preserve">onfidence interval; ED: </w:t>
      </w:r>
      <w:r w:rsidR="00DB5FA5">
        <w:t>e</w:t>
      </w:r>
      <w:r w:rsidR="00FF6E13">
        <w:t xml:space="preserve">mergency department; </w:t>
      </w:r>
      <w:r>
        <w:t xml:space="preserve">GP: General practice; </w:t>
      </w:r>
      <w:r w:rsidR="00FF6E13">
        <w:t xml:space="preserve">ICD: International Classification of Diseases; </w:t>
      </w:r>
      <w:r>
        <w:t xml:space="preserve">IMD: </w:t>
      </w:r>
      <w:r w:rsidRPr="00C53347">
        <w:t>Index of Multiple Deprivation</w:t>
      </w:r>
      <w:r>
        <w:t xml:space="preserve">; IRR: </w:t>
      </w:r>
      <w:r w:rsidR="00DB5FA5">
        <w:t>i</w:t>
      </w:r>
      <w:r>
        <w:t xml:space="preserve">ncidence </w:t>
      </w:r>
      <w:r w:rsidR="00DB5FA5">
        <w:t>r</w:t>
      </w:r>
      <w:r>
        <w:t xml:space="preserve">ate </w:t>
      </w:r>
      <w:r w:rsidR="00DB5FA5">
        <w:t>r</w:t>
      </w:r>
      <w:r>
        <w:t xml:space="preserve">atio; LSOA: Lower Super Output Area; NHS: National Health Service; </w:t>
      </w:r>
      <w:r w:rsidR="00FF6E13">
        <w:t>RVG</w:t>
      </w:r>
      <w:r w:rsidR="00DB5FA5">
        <w:t>E: rotavirus gastroenteritis</w:t>
      </w:r>
      <w:r>
        <w:t xml:space="preserve">; </w:t>
      </w:r>
      <w:r w:rsidR="00DB5FA5">
        <w:t xml:space="preserve">UK: United Kingdom; </w:t>
      </w:r>
      <w:r w:rsidR="00FF6E13">
        <w:t xml:space="preserve">WHO: World Health Organisation; </w:t>
      </w:r>
      <w:r w:rsidR="00DB5FA5">
        <w:t>WIC:</w:t>
      </w:r>
      <w:r>
        <w:t xml:space="preserve"> </w:t>
      </w:r>
      <w:r w:rsidR="00DB5FA5">
        <w:t>w</w:t>
      </w:r>
      <w:r>
        <w:t>alk-in-centre</w:t>
      </w:r>
    </w:p>
    <w:p w14:paraId="1F99DBE0" w14:textId="79CFC130" w:rsidR="00E04F69" w:rsidRPr="00E04F69" w:rsidRDefault="00E04F69" w:rsidP="00AA588D">
      <w:pPr>
        <w:pStyle w:val="Heading2"/>
        <w:spacing w:line="480" w:lineRule="auto"/>
      </w:pPr>
      <w:r>
        <w:rPr>
          <w:rFonts w:eastAsia="Times New Roman"/>
        </w:rPr>
        <w:t>Declarations</w:t>
      </w:r>
    </w:p>
    <w:p w14:paraId="38CF1652" w14:textId="77777777" w:rsidR="00CF27CE" w:rsidRDefault="00CF27CE" w:rsidP="00CF27CE">
      <w:pPr>
        <w:spacing w:after="0" w:line="480" w:lineRule="auto"/>
        <w:rPr>
          <w:rFonts w:ascii="Calibri" w:eastAsia="Calibri" w:hAnsi="Calibri" w:cs="Times New Roman"/>
        </w:rPr>
      </w:pPr>
      <w:r w:rsidRPr="00FF5182">
        <w:rPr>
          <w:rFonts w:ascii="Calibri" w:eastAsia="Calibri" w:hAnsi="Calibri" w:cs="Times New Roman"/>
        </w:rPr>
        <w:t>Ethical approval was provided by NHS Research Ethics Committee, South Central-Berkshire (Reference: 14/SC/1140). Signed data sharing agreements were obtained between NHS organisations and the University of Liverpool.</w:t>
      </w:r>
    </w:p>
    <w:p w14:paraId="7B98138A" w14:textId="77777777" w:rsidR="00CF27CE" w:rsidRDefault="00CF27CE" w:rsidP="00CF27CE">
      <w:pPr>
        <w:spacing w:after="0" w:line="480" w:lineRule="auto"/>
        <w:rPr>
          <w:rFonts w:ascii="Calibri" w:eastAsia="Calibri" w:hAnsi="Calibri" w:cs="Times New Roman"/>
        </w:rPr>
      </w:pPr>
    </w:p>
    <w:p w14:paraId="1432877A" w14:textId="77777777" w:rsidR="00CF27CE" w:rsidRDefault="00CF27CE" w:rsidP="00CF27CE">
      <w:pPr>
        <w:spacing w:after="0" w:line="480" w:lineRule="auto"/>
      </w:pPr>
      <w:r w:rsidRPr="00812ED2">
        <w:rPr>
          <w:rFonts w:ascii="Calibri" w:eastAsia="Calibri" w:hAnsi="Calibri" w:cs="Times New Roman"/>
        </w:rPr>
        <w:t>Consent for publication</w:t>
      </w:r>
      <w:r>
        <w:rPr>
          <w:rFonts w:ascii="Calibri" w:eastAsia="Calibri" w:hAnsi="Calibri" w:cs="Times New Roman"/>
        </w:rPr>
        <w:t xml:space="preserve">: </w:t>
      </w:r>
      <w:r>
        <w:t>“Not applicable”</w:t>
      </w:r>
    </w:p>
    <w:p w14:paraId="19AEFCC7" w14:textId="77777777" w:rsidR="005E141D" w:rsidRDefault="005E141D" w:rsidP="005E141D">
      <w:pPr>
        <w:spacing w:after="0" w:line="480" w:lineRule="auto"/>
        <w:rPr>
          <w:rFonts w:ascii="Calibri" w:eastAsia="Calibri" w:hAnsi="Calibri" w:cs="Times New Roman"/>
        </w:rPr>
      </w:pPr>
    </w:p>
    <w:p w14:paraId="1CAE3F47" w14:textId="58F93346" w:rsidR="00CF27CE" w:rsidRDefault="00CF27CE" w:rsidP="00CF27CE">
      <w:pPr>
        <w:spacing w:after="0" w:line="480" w:lineRule="auto"/>
      </w:pPr>
      <w:r>
        <w:rPr>
          <w:rFonts w:ascii="Calibri" w:eastAsia="Calibri" w:hAnsi="Calibri" w:cs="Times New Roman"/>
        </w:rPr>
        <w:t xml:space="preserve">Availability of data and material: </w:t>
      </w:r>
      <w:r w:rsidRPr="00A51624">
        <w:t>The data that support the findings of</w:t>
      </w:r>
      <w:r>
        <w:t xml:space="preserve"> this study are available from a number local National Health Service Trusts, NHS CCGs and Public Health England</w:t>
      </w:r>
      <w:r w:rsidRPr="00A51624">
        <w:t xml:space="preserve"> but restrictions apply to the availability of these data, which were used under license for the current study, and so </w:t>
      </w:r>
      <w:r w:rsidRPr="00A51624">
        <w:lastRenderedPageBreak/>
        <w:t xml:space="preserve">are not publicly available. </w:t>
      </w:r>
      <w:r w:rsidR="00A15316">
        <w:t>Aggregated d</w:t>
      </w:r>
      <w:r w:rsidRPr="00A51624">
        <w:t xml:space="preserve">ata are however available from the authors upon reasonable request and with permission of local National Health Service </w:t>
      </w:r>
      <w:r>
        <w:t>Trusts, NHS CCGs</w:t>
      </w:r>
      <w:r w:rsidRPr="00A51624">
        <w:t xml:space="preserve"> and Public Health England</w:t>
      </w:r>
      <w:r>
        <w:t>.</w:t>
      </w:r>
    </w:p>
    <w:p w14:paraId="181E204E" w14:textId="77777777" w:rsidR="00CF27CE" w:rsidRDefault="00CF27CE" w:rsidP="00CF27CE">
      <w:pPr>
        <w:keepNext/>
        <w:keepLines/>
        <w:spacing w:after="0" w:line="480" w:lineRule="auto"/>
        <w:outlineLvl w:val="1"/>
        <w:rPr>
          <w:rFonts w:ascii="Calibri" w:eastAsia="Calibri" w:hAnsi="Calibri" w:cs="Times New Roman"/>
        </w:rPr>
      </w:pPr>
    </w:p>
    <w:p w14:paraId="773E53DC" w14:textId="77777777" w:rsidR="00CF27CE" w:rsidRDefault="00CF27CE" w:rsidP="00CF27CE">
      <w:pPr>
        <w:keepNext/>
        <w:keepLines/>
        <w:spacing w:after="0" w:line="480" w:lineRule="auto"/>
        <w:outlineLvl w:val="1"/>
        <w:rPr>
          <w:rFonts w:ascii="Calibri" w:eastAsia="Calibri" w:hAnsi="Calibri" w:cs="Times New Roman"/>
        </w:rPr>
      </w:pPr>
      <w:r w:rsidRPr="005E141D">
        <w:rPr>
          <w:rFonts w:ascii="Calibri" w:eastAsia="Calibri" w:hAnsi="Calibri" w:cs="Times New Roman"/>
        </w:rPr>
        <w:t xml:space="preserve">Potential </w:t>
      </w:r>
      <w:r>
        <w:rPr>
          <w:rFonts w:ascii="Calibri" w:eastAsia="Calibri" w:hAnsi="Calibri" w:cs="Times New Roman"/>
        </w:rPr>
        <w:t xml:space="preserve">competing interests: </w:t>
      </w:r>
      <w:r w:rsidRPr="00D42BC1">
        <w:rPr>
          <w:rFonts w:ascii="Calibri" w:eastAsia="Calibri" w:hAnsi="Calibri" w:cs="Times New Roman"/>
        </w:rPr>
        <w:t>All authors have completed the ICMJE uniform disclosure form at www.icmje.org/coi_disclosure.pdf and declare</w:t>
      </w:r>
      <w:r w:rsidRPr="00F37EB3">
        <w:rPr>
          <w:rFonts w:ascii="Calibri" w:eastAsia="Calibri" w:hAnsi="Calibri" w:cs="Times New Roman"/>
        </w:rPr>
        <w:t xml:space="preserve">: </w:t>
      </w:r>
      <w:r w:rsidRPr="003136AE">
        <w:rPr>
          <w:rFonts w:ascii="Calibri" w:eastAsia="Calibri" w:hAnsi="Calibri" w:cs="Times New Roman"/>
        </w:rPr>
        <w:t>NC, NF, MIG, RV and DH are in receipt of research grant support from GlaxoSmithKline (GSK) Biologicals</w:t>
      </w:r>
      <w:r>
        <w:rPr>
          <w:rFonts w:ascii="Calibri" w:eastAsia="Calibri" w:hAnsi="Calibri" w:cs="Times New Roman"/>
        </w:rPr>
        <w:t>. Outside of this study</w:t>
      </w:r>
      <w:r w:rsidRPr="003136AE">
        <w:rPr>
          <w:rFonts w:ascii="Calibri" w:eastAsia="Calibri" w:hAnsi="Calibri" w:cs="Times New Roman"/>
        </w:rPr>
        <w:t xml:space="preserve"> MIG</w:t>
      </w:r>
      <w:r>
        <w:rPr>
          <w:rFonts w:ascii="Calibri" w:eastAsia="Calibri" w:hAnsi="Calibri" w:cs="Times New Roman"/>
        </w:rPr>
        <w:t xml:space="preserve"> and DH</w:t>
      </w:r>
      <w:r w:rsidRPr="003136AE">
        <w:rPr>
          <w:rFonts w:ascii="Calibri" w:eastAsia="Calibri" w:hAnsi="Calibri" w:cs="Times New Roman"/>
        </w:rPr>
        <w:t xml:space="preserve"> </w:t>
      </w:r>
      <w:r>
        <w:rPr>
          <w:rFonts w:ascii="Calibri" w:eastAsia="Calibri" w:hAnsi="Calibri" w:cs="Times New Roman"/>
        </w:rPr>
        <w:t>are</w:t>
      </w:r>
      <w:r w:rsidRPr="003136AE">
        <w:rPr>
          <w:rFonts w:ascii="Calibri" w:eastAsia="Calibri" w:hAnsi="Calibri" w:cs="Times New Roman"/>
        </w:rPr>
        <w:t xml:space="preserve"> in receipt of research grant support from Sanofi Pasteur-MSD (SPMSD) and NC has received honoraria for participation in GSK Rotavirus Vaccine Advisory Board Meetings. </w:t>
      </w:r>
    </w:p>
    <w:p w14:paraId="63BE44D5" w14:textId="77777777" w:rsidR="00CF27CE" w:rsidRDefault="00CF27CE" w:rsidP="00CF27CE">
      <w:pPr>
        <w:spacing w:after="0" w:line="480" w:lineRule="auto"/>
        <w:rPr>
          <w:rFonts w:ascii="Calibri" w:eastAsia="Calibri" w:hAnsi="Calibri" w:cs="Times New Roman"/>
        </w:rPr>
      </w:pPr>
    </w:p>
    <w:p w14:paraId="69F76010" w14:textId="4AA4703C" w:rsidR="00512819" w:rsidRDefault="005E141D" w:rsidP="00512819">
      <w:pPr>
        <w:spacing w:after="0" w:line="480" w:lineRule="auto"/>
        <w:rPr>
          <w:rFonts w:ascii="Calibri" w:eastAsia="Calibri" w:hAnsi="Calibri" w:cs="Times New Roman"/>
        </w:rPr>
      </w:pPr>
      <w:r>
        <w:rPr>
          <w:rFonts w:ascii="Calibri" w:eastAsia="Calibri" w:hAnsi="Calibri" w:cs="Times New Roman"/>
        </w:rPr>
        <w:t xml:space="preserve">Funding: </w:t>
      </w:r>
      <w:r w:rsidR="002D3F5F" w:rsidRPr="002D3F5F">
        <w:rPr>
          <w:rFonts w:ascii="Calibri" w:eastAsia="Calibri" w:hAnsi="Calibri" w:cs="Times New Roman"/>
        </w:rPr>
        <w:t>This study is supported by GlaxoSmithKline Biologicals SA (EPI-Rota-048</w:t>
      </w:r>
      <w:r w:rsidR="00DD3227">
        <w:rPr>
          <w:rFonts w:ascii="Calibri" w:eastAsia="Calibri" w:hAnsi="Calibri" w:cs="Times New Roman"/>
        </w:rPr>
        <w:t>;</w:t>
      </w:r>
      <w:r w:rsidR="002D3F5F" w:rsidRPr="002D3F5F">
        <w:rPr>
          <w:rFonts w:ascii="Calibri" w:eastAsia="Calibri" w:hAnsi="Calibri" w:cs="Times New Roman"/>
        </w:rPr>
        <w:t xml:space="preserve"> Study number:</w:t>
      </w:r>
      <w:r w:rsidR="002D3F5F">
        <w:rPr>
          <w:rFonts w:ascii="Calibri" w:eastAsia="Calibri" w:hAnsi="Calibri" w:cs="Times New Roman"/>
        </w:rPr>
        <w:t xml:space="preserve"> </w:t>
      </w:r>
      <w:r w:rsidR="002D3F5F" w:rsidRPr="002D3F5F">
        <w:rPr>
          <w:rFonts w:ascii="Calibri" w:eastAsia="Calibri" w:hAnsi="Calibri" w:cs="Times New Roman"/>
        </w:rPr>
        <w:t>201424) and the University of Liverpool</w:t>
      </w:r>
      <w:r w:rsidR="005965A2" w:rsidRPr="005965A2">
        <w:rPr>
          <w:rFonts w:ascii="Calibri" w:eastAsia="Calibri" w:hAnsi="Calibri" w:cs="Times New Roman"/>
        </w:rPr>
        <w:t xml:space="preserve">. GlaxoSmithKline Biologicals SA was provided the opportunity to review a preliminary version of this abstract for factual accuracy but the authors are solely responsible for final content and interpretation. The authors received no financial support or other form of compensation related to </w:t>
      </w:r>
      <w:r w:rsidR="005965A2">
        <w:rPr>
          <w:rFonts w:ascii="Calibri" w:eastAsia="Calibri" w:hAnsi="Calibri" w:cs="Times New Roman"/>
        </w:rPr>
        <w:t>the development of the abstract</w:t>
      </w:r>
      <w:r w:rsidR="00512819" w:rsidRPr="003136AE">
        <w:rPr>
          <w:rFonts w:ascii="Calibri" w:eastAsia="Calibri" w:hAnsi="Calibri" w:cs="Times New Roman"/>
        </w:rPr>
        <w:t xml:space="preserve">. RV receives a salary contribution from NIHR Health Protection Research Unit in Emerging </w:t>
      </w:r>
      <w:r w:rsidR="00512819">
        <w:rPr>
          <w:rFonts w:ascii="Calibri" w:eastAsia="Calibri" w:hAnsi="Calibri" w:cs="Times New Roman"/>
        </w:rPr>
        <w:t xml:space="preserve">and Zoonotic Infections and RV and </w:t>
      </w:r>
      <w:r w:rsidR="00512819" w:rsidRPr="003136AE">
        <w:rPr>
          <w:rFonts w:ascii="Calibri" w:eastAsia="Calibri" w:hAnsi="Calibri" w:cs="Times New Roman"/>
        </w:rPr>
        <w:t>MIG also receive salary contributions from the NIHR Health Protection Research Unit in Gastrointestinal Infections.</w:t>
      </w:r>
    </w:p>
    <w:p w14:paraId="2AE37E4F" w14:textId="77777777" w:rsidR="00261B1F" w:rsidRDefault="00261B1F" w:rsidP="00512819">
      <w:pPr>
        <w:spacing w:after="0" w:line="480" w:lineRule="auto"/>
        <w:rPr>
          <w:rFonts w:ascii="Calibri" w:eastAsia="Calibri" w:hAnsi="Calibri" w:cs="Times New Roman"/>
        </w:rPr>
      </w:pPr>
    </w:p>
    <w:p w14:paraId="1072B9DA" w14:textId="445757A5" w:rsidR="00700DF3" w:rsidRPr="003136AE" w:rsidRDefault="008E2EDD" w:rsidP="00700DF3">
      <w:pPr>
        <w:spacing w:after="0" w:line="480" w:lineRule="auto"/>
        <w:rPr>
          <w:rFonts w:ascii="Calibri" w:eastAsia="Calibri" w:hAnsi="Calibri" w:cs="Times New Roman"/>
        </w:rPr>
      </w:pPr>
      <w:r>
        <w:rPr>
          <w:rFonts w:ascii="Calibri" w:eastAsia="Calibri" w:hAnsi="Calibri" w:cs="Times New Roman"/>
        </w:rPr>
        <w:t>Authors’ contributions</w:t>
      </w:r>
      <w:r w:rsidR="00700DF3">
        <w:rPr>
          <w:rFonts w:ascii="Calibri" w:eastAsia="Calibri" w:hAnsi="Calibri" w:cs="Times New Roman"/>
        </w:rPr>
        <w:t>: NC, MIG, RV</w:t>
      </w:r>
      <w:r w:rsidR="00700DF3" w:rsidRPr="003136AE">
        <w:rPr>
          <w:rFonts w:ascii="Calibri" w:eastAsia="Calibri" w:hAnsi="Calibri" w:cs="Times New Roman"/>
        </w:rPr>
        <w:t xml:space="preserve">, </w:t>
      </w:r>
      <w:r w:rsidR="00700DF3">
        <w:rPr>
          <w:rFonts w:ascii="Calibri" w:eastAsia="Calibri" w:hAnsi="Calibri" w:cs="Times New Roman"/>
        </w:rPr>
        <w:t xml:space="preserve">DH and NF conceived of and </w:t>
      </w:r>
      <w:r w:rsidR="00700DF3" w:rsidRPr="003136AE">
        <w:rPr>
          <w:rFonts w:ascii="Calibri" w:eastAsia="Calibri" w:hAnsi="Calibri" w:cs="Times New Roman"/>
        </w:rPr>
        <w:t>designed the study</w:t>
      </w:r>
      <w:r w:rsidR="00700DF3">
        <w:rPr>
          <w:rFonts w:ascii="Calibri" w:eastAsia="Calibri" w:hAnsi="Calibri" w:cs="Times New Roman"/>
        </w:rPr>
        <w:t>. DH and NC</w:t>
      </w:r>
      <w:r w:rsidR="00700DF3" w:rsidRPr="003136AE">
        <w:rPr>
          <w:rFonts w:ascii="Calibri" w:eastAsia="Calibri" w:hAnsi="Calibri" w:cs="Times New Roman"/>
        </w:rPr>
        <w:t xml:space="preserve"> acquired the data; </w:t>
      </w:r>
      <w:r w:rsidR="00700DF3">
        <w:rPr>
          <w:rFonts w:ascii="Calibri" w:eastAsia="Calibri" w:hAnsi="Calibri" w:cs="Times New Roman"/>
        </w:rPr>
        <w:t xml:space="preserve">DH, NF, RV and JMR </w:t>
      </w:r>
      <w:r w:rsidR="00700DF3" w:rsidRPr="003136AE">
        <w:rPr>
          <w:rFonts w:ascii="Calibri" w:eastAsia="Calibri" w:hAnsi="Calibri" w:cs="Times New Roman"/>
        </w:rPr>
        <w:t xml:space="preserve">analysed </w:t>
      </w:r>
      <w:r w:rsidR="00700DF3">
        <w:rPr>
          <w:rFonts w:ascii="Calibri" w:eastAsia="Calibri" w:hAnsi="Calibri" w:cs="Times New Roman"/>
        </w:rPr>
        <w:t xml:space="preserve">the data </w:t>
      </w:r>
      <w:r w:rsidR="00700DF3" w:rsidRPr="003136AE">
        <w:rPr>
          <w:rFonts w:ascii="Calibri" w:eastAsia="Calibri" w:hAnsi="Calibri" w:cs="Times New Roman"/>
        </w:rPr>
        <w:t xml:space="preserve">and </w:t>
      </w:r>
      <w:r w:rsidR="00700DF3">
        <w:rPr>
          <w:rFonts w:ascii="Calibri" w:eastAsia="Calibri" w:hAnsi="Calibri" w:cs="Times New Roman"/>
        </w:rPr>
        <w:t xml:space="preserve">all authors </w:t>
      </w:r>
      <w:r w:rsidR="00700DF3" w:rsidRPr="003136AE">
        <w:rPr>
          <w:rFonts w:ascii="Calibri" w:eastAsia="Calibri" w:hAnsi="Calibri" w:cs="Times New Roman"/>
        </w:rPr>
        <w:t xml:space="preserve">interpreted the data; </w:t>
      </w:r>
      <w:r w:rsidR="00700DF3">
        <w:rPr>
          <w:rFonts w:ascii="Calibri" w:eastAsia="Calibri" w:hAnsi="Calibri" w:cs="Times New Roman"/>
        </w:rPr>
        <w:t>DH wrote the fi</w:t>
      </w:r>
      <w:r w:rsidR="00700DF3" w:rsidRPr="003136AE">
        <w:rPr>
          <w:rFonts w:ascii="Calibri" w:eastAsia="Calibri" w:hAnsi="Calibri" w:cs="Times New Roman"/>
        </w:rPr>
        <w:t>rst draft of the report; and</w:t>
      </w:r>
      <w:r w:rsidR="00700DF3">
        <w:rPr>
          <w:rFonts w:ascii="Calibri" w:eastAsia="Calibri" w:hAnsi="Calibri" w:cs="Times New Roman"/>
        </w:rPr>
        <w:t xml:space="preserve"> all authors reviewed the draft and final manuscript.</w:t>
      </w:r>
    </w:p>
    <w:p w14:paraId="32E4541A" w14:textId="77777777" w:rsidR="005E141D" w:rsidRDefault="005E141D" w:rsidP="003136AE">
      <w:pPr>
        <w:keepNext/>
        <w:keepLines/>
        <w:spacing w:after="0" w:line="480" w:lineRule="auto"/>
        <w:outlineLvl w:val="1"/>
        <w:rPr>
          <w:rFonts w:ascii="Calibri" w:eastAsia="Calibri" w:hAnsi="Calibri" w:cs="Times New Roman"/>
        </w:rPr>
      </w:pPr>
    </w:p>
    <w:p w14:paraId="7C7B2635" w14:textId="2DAE4301" w:rsidR="005E141D" w:rsidRDefault="00CF27CE" w:rsidP="00CF27CE">
      <w:pPr>
        <w:keepNext/>
        <w:keepLines/>
        <w:spacing w:after="0" w:line="480" w:lineRule="auto"/>
        <w:outlineLvl w:val="1"/>
      </w:pPr>
      <w:r>
        <w:t xml:space="preserve">Acknowledgements: The authors acknowledge the contribution of Fiona </w:t>
      </w:r>
      <w:proofErr w:type="spellStart"/>
      <w:r>
        <w:t>Hardiman</w:t>
      </w:r>
      <w:proofErr w:type="spellEnd"/>
      <w:r>
        <w:t xml:space="preserve">, all staff in the microbiology department and Karl </w:t>
      </w:r>
      <w:proofErr w:type="spellStart"/>
      <w:r>
        <w:t>Edwardson</w:t>
      </w:r>
      <w:proofErr w:type="spellEnd"/>
      <w:r>
        <w:t xml:space="preserve"> from Alder Hey Children's NHS Foundation Trust. </w:t>
      </w:r>
      <w:r w:rsidR="00C52780">
        <w:t>S</w:t>
      </w:r>
      <w:r w:rsidR="00850E9D">
        <w:t>a</w:t>
      </w:r>
      <w:r w:rsidR="00C52780">
        <w:t xml:space="preserve">cha </w:t>
      </w:r>
      <w:proofErr w:type="spellStart"/>
      <w:r w:rsidR="00C52780">
        <w:t>Wyke</w:t>
      </w:r>
      <w:proofErr w:type="spellEnd"/>
      <w:r w:rsidR="00C52780">
        <w:t xml:space="preserve"> from Public Health England. </w:t>
      </w:r>
      <w:r>
        <w:t>GP’s and</w:t>
      </w:r>
      <w:r w:rsidR="008E2EDD">
        <w:t xml:space="preserve"> NHS</w:t>
      </w:r>
      <w:r>
        <w:t xml:space="preserve"> clinical commissioning groups in:</w:t>
      </w:r>
      <w:r w:rsidR="008E2EDD">
        <w:t xml:space="preserve"> </w:t>
      </w:r>
      <w:r>
        <w:t xml:space="preserve">Liverpool; South Sefton; Wirral; Southport and Formby; and St Helens. Liverpool Community Health NHS Trust; </w:t>
      </w:r>
      <w:proofErr w:type="spellStart"/>
      <w:r>
        <w:t>Knowsley</w:t>
      </w:r>
      <w:proofErr w:type="spellEnd"/>
      <w:r>
        <w:t xml:space="preserve"> and St Helens Health Informatics; Wirral Community Health Trust; 5 Boroughs community Health Trust.</w:t>
      </w:r>
    </w:p>
    <w:p w14:paraId="4CF85495" w14:textId="4B300EFA" w:rsidR="007B0757" w:rsidRDefault="007B0757" w:rsidP="00F73CAA">
      <w:pPr>
        <w:pStyle w:val="Heading2"/>
        <w:spacing w:line="480" w:lineRule="auto"/>
      </w:pPr>
      <w:r>
        <w:t>Additional Files</w:t>
      </w:r>
    </w:p>
    <w:p w14:paraId="40E2785B" w14:textId="5AB61BA2" w:rsidR="007B0757" w:rsidRPr="007B0757" w:rsidRDefault="007B0757" w:rsidP="007B0757">
      <w:pPr>
        <w:spacing w:line="480" w:lineRule="auto"/>
        <w:rPr>
          <w:b/>
        </w:rPr>
      </w:pPr>
      <w:r>
        <w:t xml:space="preserve">Additional file 1: </w:t>
      </w:r>
      <w:r>
        <w:rPr>
          <w:b/>
        </w:rPr>
        <w:t>Table S1</w:t>
      </w:r>
      <w:r w:rsidRPr="00F73CAA">
        <w:t>. Yearly rates of hospitalisation / attendance for different levels of the health system pre- and post-rotavirus vaccine introduction in Merseyside, UK</w:t>
      </w:r>
      <w:r w:rsidR="00F73CAA">
        <w:t>. (DOCX 25kb)</w:t>
      </w:r>
    </w:p>
    <w:p w14:paraId="4484DCAE" w14:textId="77777777" w:rsidR="005B562E" w:rsidRDefault="005B562E">
      <w:pPr>
        <w:rPr>
          <w:rFonts w:ascii="Calibri" w:eastAsia="Calibri" w:hAnsi="Calibri" w:cs="Times New Roman"/>
        </w:rPr>
      </w:pPr>
      <w:r>
        <w:rPr>
          <w:rFonts w:ascii="Calibri" w:eastAsia="Calibri" w:hAnsi="Calibri" w:cs="Times New Roman"/>
        </w:rPr>
        <w:br w:type="page"/>
      </w:r>
    </w:p>
    <w:p w14:paraId="3812CC63" w14:textId="77777777" w:rsidR="005B562E" w:rsidRPr="003136AE" w:rsidRDefault="005B562E" w:rsidP="004F5792">
      <w:pPr>
        <w:pStyle w:val="Heading2"/>
        <w:spacing w:line="480" w:lineRule="auto"/>
        <w:rPr>
          <w:rFonts w:eastAsia="Calibri"/>
        </w:rPr>
      </w:pPr>
      <w:r>
        <w:rPr>
          <w:rFonts w:eastAsia="Calibri"/>
        </w:rPr>
        <w:lastRenderedPageBreak/>
        <w:t>References</w:t>
      </w:r>
    </w:p>
    <w:p w14:paraId="5E0D377C" w14:textId="77777777" w:rsidR="00C52780" w:rsidRDefault="00704294" w:rsidP="00C52780">
      <w:pPr>
        <w:pStyle w:val="Bibliography"/>
      </w:pPr>
      <w:r>
        <w:fldChar w:fldCharType="begin"/>
      </w:r>
      <w:r w:rsidR="00C52780">
        <w:instrText xml:space="preserve"> ADDIN ZOTERO_BIBL {"custom":[]} CSL_BIBLIOGRAPHY </w:instrText>
      </w:r>
      <w:r>
        <w:fldChar w:fldCharType="separate"/>
      </w:r>
      <w:r w:rsidR="00C52780">
        <w:t xml:space="preserve">1. Tate JE, Burton AH, Boschi-Pinto C, Steele AD, Duque J, Parashar UD, et al. 2008 estimate of worldwide rotavirus-associated mortality in children younger than 5 years before the introduction of universal rotavirus vaccination programmes: a systematic review and meta-analysis. Lancet Infect. Dis. 2012;12:136–41. </w:t>
      </w:r>
    </w:p>
    <w:p w14:paraId="3C1683A9" w14:textId="77777777" w:rsidR="00C52780" w:rsidRDefault="00C52780" w:rsidP="00C52780">
      <w:pPr>
        <w:pStyle w:val="Bibliography"/>
      </w:pPr>
      <w:r>
        <w:t xml:space="preserve">2. World Health Organization. Global networks of rotavirus gastroenteritis, 2001-2008. Wkly. Epidemiol. Rec. 2008;83:421–8. </w:t>
      </w:r>
    </w:p>
    <w:p w14:paraId="46C5CEA6" w14:textId="77777777" w:rsidR="00C52780" w:rsidRDefault="00C52780" w:rsidP="00C52780">
      <w:pPr>
        <w:pStyle w:val="Bibliography"/>
      </w:pPr>
      <w:r>
        <w:t>3. ROTA Council. Rotavirus Deaths &amp; Rotavirus Vaccine Introduction Maps – ROTA Council [Internet]. [cited 2016 Nov 16]. Available from: http://rotacouncil.org/toolkit/rotavirus-burden-vaccine-introduction-map/</w:t>
      </w:r>
    </w:p>
    <w:p w14:paraId="2D95917E" w14:textId="77777777" w:rsidR="00C52780" w:rsidRDefault="00C52780" w:rsidP="00C52780">
      <w:pPr>
        <w:pStyle w:val="Bibliography"/>
      </w:pPr>
      <w:r>
        <w:t xml:space="preserve">4. Lanata CF, Fischer-Walker CL, Olascoaga AC, Torres CX, Aryee MJ, Black RE, et al. Global causes of diarrheal disease mortality in children &lt;5 years of age: a systematic review. PloS One. 2013;8:e72788. </w:t>
      </w:r>
    </w:p>
    <w:p w14:paraId="5DFB6AC9" w14:textId="77777777" w:rsidR="00C52780" w:rsidRDefault="00C52780" w:rsidP="00C52780">
      <w:pPr>
        <w:pStyle w:val="Bibliography"/>
      </w:pPr>
      <w:r>
        <w:t xml:space="preserve">5. Tate JE, Burton AH, Boschi-Pinto C, Parashar UD, World Health Organization–Coordinated Global Rotavirus Surveillance Network. Global, Regional, and National Estimates of Rotavirus Mortality in Children &lt;5 Years of Age, 2000-2013. Clin. Infect. Dis. Off. Publ. Infect. Dis. Soc. Am. 2016;62 Suppl 2:S96–105. </w:t>
      </w:r>
    </w:p>
    <w:p w14:paraId="113C7CF6" w14:textId="77777777" w:rsidR="00C52780" w:rsidRDefault="00C52780" w:rsidP="00C52780">
      <w:pPr>
        <w:pStyle w:val="Bibliography"/>
      </w:pPr>
      <w:r>
        <w:t xml:space="preserve">6. Burnett E, Jonesteller CL, Tate JE, Yen C, Parashar UD. Global Impact of Rotavirus Vaccination on Childhood Hospitalizations and Mortality From Diarrhea. J. Infect. Dis. 2017;215:1666–72. </w:t>
      </w:r>
    </w:p>
    <w:p w14:paraId="589297F9" w14:textId="77777777" w:rsidR="00C52780" w:rsidRDefault="00C52780" w:rsidP="00C52780">
      <w:pPr>
        <w:pStyle w:val="Bibliography"/>
      </w:pPr>
      <w:r>
        <w:t xml:space="preserve">7. Clark A, Black R, Tate J, Roose A, Kotloff K, Lam D, et al. Estimating global, regional and national rotavirus deaths in children aged &lt;5 years: Current approaches, new analyses and proposed improvements. PloS One. 2017;12:e0183392. </w:t>
      </w:r>
    </w:p>
    <w:p w14:paraId="0ADD048D" w14:textId="77777777" w:rsidR="00C52780" w:rsidRDefault="00C52780" w:rsidP="00C52780">
      <w:pPr>
        <w:pStyle w:val="Bibliography"/>
      </w:pPr>
      <w:r>
        <w:t xml:space="preserve">8. Tam CC, Rodrigues LC, Viviani L, Dodds JP, Evans MR, Hunter PR, et al. Longitudinal study of infectious intestinal disease in the UK (IID2 study): incidence in the community and presenting to general practice. Gut. 2012;61:69–77. </w:t>
      </w:r>
    </w:p>
    <w:p w14:paraId="5C044793" w14:textId="77777777" w:rsidR="00C52780" w:rsidRDefault="00C52780" w:rsidP="00C52780">
      <w:pPr>
        <w:pStyle w:val="Bibliography"/>
      </w:pPr>
      <w:r>
        <w:t xml:space="preserve">9. Harris JP, Jit M, Cooper D, Edmunds WJ. Evaluating rotavirus vaccination in England and Wales. Part I. Estimating the burden of disease. Vaccine. 2007;25:3962–70. </w:t>
      </w:r>
    </w:p>
    <w:p w14:paraId="2B3AAEA4" w14:textId="77777777" w:rsidR="00C52780" w:rsidRDefault="00C52780" w:rsidP="00C52780">
      <w:pPr>
        <w:pStyle w:val="Bibliography"/>
      </w:pPr>
      <w:r>
        <w:t xml:space="preserve">10. Iturriza-Gómara M, Cunliffe N. Rotavirus vaccine: a welcome addition to the immunisation schedule in the UK. BMJ. 2013;346:f2347. </w:t>
      </w:r>
    </w:p>
    <w:p w14:paraId="054A9410" w14:textId="77777777" w:rsidR="00C52780" w:rsidRDefault="00C52780" w:rsidP="00C52780">
      <w:pPr>
        <w:pStyle w:val="Bibliography"/>
      </w:pPr>
      <w:r>
        <w:t xml:space="preserve">11. Public Health England. National rotavirus immunisation programme: preliminary data for England, February 2016 to July 2016. Health Prot. Rep. Wkly. Rep. 2016;10:1–6. </w:t>
      </w:r>
    </w:p>
    <w:p w14:paraId="191ECC0F" w14:textId="77777777" w:rsidR="00C52780" w:rsidRDefault="00C52780" w:rsidP="00C52780">
      <w:pPr>
        <w:pStyle w:val="Bibliography"/>
      </w:pPr>
      <w:r>
        <w:t xml:space="preserve">12. Atchison CJ, Stowe J, Andrews N, Collins S, Allen DJ, Nawaz S, et al. Rapid Declines in Age Group–Specific Rotavirus Infection and Acute Gastroenteritis Among Vaccinated and Unvaccinated Individuals Within 1 Year of Rotavirus Vaccine Introduction in England and Wales. J. Infect. Dis. 2015;jiv398. </w:t>
      </w:r>
    </w:p>
    <w:p w14:paraId="4D870F4D" w14:textId="77777777" w:rsidR="00C52780" w:rsidRDefault="00C52780" w:rsidP="00C52780">
      <w:pPr>
        <w:pStyle w:val="Bibliography"/>
      </w:pPr>
      <w:r>
        <w:t xml:space="preserve">13. Hungerford D, Read JM, Cooke RPD, Vivancos R, Iturriza-Gómara M, Allen DJ, et al. Early impact of rotavirus vaccination in a large paediatric hospital in the UK. J. Hosp. Infect. 2016;93:117–20. </w:t>
      </w:r>
    </w:p>
    <w:p w14:paraId="5162CB1F" w14:textId="77777777" w:rsidR="00C52780" w:rsidRDefault="00C52780" w:rsidP="00C52780">
      <w:pPr>
        <w:pStyle w:val="Bibliography"/>
      </w:pPr>
      <w:r>
        <w:lastRenderedPageBreak/>
        <w:t xml:space="preserve">14. Bawa Z, Elliot AJ, Morbey RA, Ladhani S, Cunliffe NA, O’Brien SJ, et al. Assessing the Likely Impact of a Rotavirus Vaccination Program in England: The Contribution of Syndromic Surveillance. Clin. Infect. Dis. 2015;civ264. </w:t>
      </w:r>
    </w:p>
    <w:p w14:paraId="56174F68" w14:textId="77777777" w:rsidR="00C52780" w:rsidRDefault="00C52780" w:rsidP="00C52780">
      <w:pPr>
        <w:pStyle w:val="Bibliography"/>
      </w:pPr>
      <w:r>
        <w:t>15. English indices of deprivation - GOV.UK [Internet]. [cited 2014 Apr 17]. Available from: https://www.gov.uk/government/collections/english-indices-of-deprivation</w:t>
      </w:r>
    </w:p>
    <w:p w14:paraId="574E3F3E" w14:textId="77777777" w:rsidR="00C52780" w:rsidRDefault="00C52780" w:rsidP="00C52780">
      <w:pPr>
        <w:pStyle w:val="Bibliography"/>
      </w:pPr>
      <w:r>
        <w:t>16. Office for National Statistics. Lower Super Output Area Mid-Year Population Estimates [Internet]. 2016 [cited 2017 Jul 5]. Available from: https://www.ons.gov.uk/peoplepopulationandcommunity/populationandmigration/populationestimates/datasets/lowersuperoutputareamidyearpopulationestimates</w:t>
      </w:r>
    </w:p>
    <w:p w14:paraId="6FDD0E07" w14:textId="77777777" w:rsidR="00C52780" w:rsidRDefault="00C52780" w:rsidP="00C52780">
      <w:pPr>
        <w:pStyle w:val="Bibliography"/>
      </w:pPr>
      <w:r>
        <w:t xml:space="preserve">17. Pockett RD, Adlard N, Carroll S, Rajoriya F. Paediatric hospital admissions for rotavirus gastroenteritis and infectious gastroenteritis of all causes in England: an analysis of correlation with deprivation. Curr. Med. Res. Opin. 2011;27:777–84. </w:t>
      </w:r>
    </w:p>
    <w:p w14:paraId="0E7020F3" w14:textId="77777777" w:rsidR="00C52780" w:rsidRDefault="00C52780" w:rsidP="00C52780">
      <w:pPr>
        <w:pStyle w:val="Bibliography"/>
      </w:pPr>
      <w:r>
        <w:t xml:space="preserve">18. Hungerford D, Macpherson P, Farmer S, Ghebrehewet S, Seddon D, Vivancos R, et al. Effect of socioeconomic deprivation on uptake of measles, mumps and rubella vaccination in Liverpool, UK over 16 years: a longitudinal ecological study. Epidemiol. Infect. 2015;1–11. </w:t>
      </w:r>
    </w:p>
    <w:p w14:paraId="7EACCE3C" w14:textId="77777777" w:rsidR="00C52780" w:rsidRDefault="00C52780" w:rsidP="00C52780">
      <w:pPr>
        <w:pStyle w:val="Bibliography"/>
      </w:pPr>
      <w:r>
        <w:t xml:space="preserve">19. Green HK, Andrews N, Letley L, Sunderland A, White J, Pebody R. Phased introduction of a universal childhood influenza vaccination programme in England: population-level factors predicting variation in national uptake during the first year, 2013/14. Vaccine. 2015;33:2620–8. </w:t>
      </w:r>
    </w:p>
    <w:p w14:paraId="4670CA55" w14:textId="77777777" w:rsidR="00C52780" w:rsidRDefault="00C52780" w:rsidP="00C52780">
      <w:pPr>
        <w:pStyle w:val="Bibliography"/>
      </w:pPr>
      <w:r>
        <w:t xml:space="preserve">20. Spencer AM, Roberts SA, Brabin L, Patnick J, Verma A. Sociodemographic factors predicting mother’s cervical screening and daughter’s HPV vaccination uptake. J. Epidemiol. Community Health. 2014;68:571–7. </w:t>
      </w:r>
    </w:p>
    <w:p w14:paraId="700F065A" w14:textId="77777777" w:rsidR="00C52780" w:rsidRDefault="00C52780" w:rsidP="00C52780">
      <w:pPr>
        <w:pStyle w:val="Bibliography"/>
      </w:pPr>
      <w:r>
        <w:t xml:space="preserve">21. Hungerford D, Vivancos R, French N, Iturriza-Gomara M, Cunliffe N. Ecological assessment of the direct and indirect effects of routine rotavirus vaccination in Merseyside, UK using data from multiple health systems: a study protocol. BMJ Open. 2014;4:e006161. </w:t>
      </w:r>
    </w:p>
    <w:p w14:paraId="0B73A4FB" w14:textId="77777777" w:rsidR="00C52780" w:rsidRDefault="00C52780" w:rsidP="00C52780">
      <w:pPr>
        <w:pStyle w:val="Bibliography"/>
      </w:pPr>
      <w:r>
        <w:t xml:space="preserve">22. Wilson SE, Deeks SL, Rosella LC. Importance of ICD-10 coding directive change for acute gastroenteritis (unspecified) for rotavirus vaccine impact studies: illustration from a population-based cohort study from Ontario, Canada. BMC Res. Notes. 2015;8:439. </w:t>
      </w:r>
    </w:p>
    <w:p w14:paraId="6E8CF571" w14:textId="77777777" w:rsidR="00C52780" w:rsidRDefault="00C52780" w:rsidP="00C52780">
      <w:pPr>
        <w:pStyle w:val="Bibliography"/>
      </w:pPr>
      <w:r>
        <w:t>23. Department of Health. Information Requirements for Child Health Information Systems - Publications [Internet]. London: Department of Health; 2012. Available from: https://www.gov.uk/government/publications/information-requirements-for-child-health-information-systems</w:t>
      </w:r>
    </w:p>
    <w:p w14:paraId="30B0DC19" w14:textId="77777777" w:rsidR="00C52780" w:rsidRDefault="00C52780" w:rsidP="00C52780">
      <w:pPr>
        <w:pStyle w:val="Bibliography"/>
      </w:pPr>
      <w:r>
        <w:t xml:space="preserve">24. Public Health England. Public health functions to be exercised by NHS England Service specification No.28 Child Health Information Systems (CHIS). Department of Health; 2013. </w:t>
      </w:r>
    </w:p>
    <w:p w14:paraId="0BF88214" w14:textId="77777777" w:rsidR="00C52780" w:rsidRDefault="00C52780" w:rsidP="00C52780">
      <w:pPr>
        <w:pStyle w:val="Bibliography"/>
      </w:pPr>
      <w:r>
        <w:t xml:space="preserve">25. Hungerford D, Vivancos R, EuroRotaNet network members, Read JM, Pitzer VE, Cunliffe N, et al. In-season and out-of-season variation of rotavirus genotype distribution and age of infection across 12 European countries before the introduction of routine vaccination, 2007/08 to 2012/13. Euro Surveill. Bull. Eur. Sur Mal. Transm. Eur. Commun. Dis. Bull. 2016;21. </w:t>
      </w:r>
    </w:p>
    <w:p w14:paraId="57A2E852" w14:textId="77777777" w:rsidR="00C52780" w:rsidRDefault="00C52780" w:rsidP="00C52780">
      <w:pPr>
        <w:pStyle w:val="Bibliography"/>
      </w:pPr>
      <w:r>
        <w:t>26. Public Health England. Rotavirus: the green book, chapter 27b [Internet]. Public Health England; 2013 [cited 2017 Jul 4]. Available from: https://www.gov.uk/government/publications/rotavirus-the-green-book-chapter-27b</w:t>
      </w:r>
    </w:p>
    <w:p w14:paraId="1FB76E54" w14:textId="77777777" w:rsidR="00C52780" w:rsidRDefault="00C52780" w:rsidP="00C52780">
      <w:pPr>
        <w:pStyle w:val="Bibliography"/>
      </w:pPr>
      <w:r>
        <w:lastRenderedPageBreak/>
        <w:t xml:space="preserve">27. World Health Organization Regional Office for Europe. Health21: the health for all policy framework for the WHO European Region. Copenhagen, Denmark: World Health Organization Regional Office for Europe; 1999 p. 1–230. Report No.: 6. </w:t>
      </w:r>
    </w:p>
    <w:p w14:paraId="5B104C81" w14:textId="77777777" w:rsidR="00C52780" w:rsidRDefault="00C52780" w:rsidP="00C52780">
      <w:pPr>
        <w:pStyle w:val="Bibliography"/>
      </w:pPr>
      <w:r>
        <w:t>28. World Health Organization Regional Office for Europe. European Vaccine Action Plan 2015–2020 (2014) [Internet]. Copenhagen, Denmark: World Health Organization Regional Office for Europe; 2014 p. 1–108. Available from: http://www.euro.who.int/en/health-topics/disease-prevention/vaccines-and-immunization/publications/2014/european-vaccine-action-plan-20152020-2014</w:t>
      </w:r>
    </w:p>
    <w:p w14:paraId="1B53CF5A" w14:textId="77777777" w:rsidR="00C52780" w:rsidRDefault="00C52780" w:rsidP="00C52780">
      <w:pPr>
        <w:pStyle w:val="Bibliography"/>
      </w:pPr>
      <w:r>
        <w:t xml:space="preserve">29. Zeller M, Rahman M, Heylen E, De Coster S, De Vos S, Arijs I, et al. Rotavirus incidence and genotype distribution before and after national rotavirus vaccine introduction in Belgium. Vaccine. 2010;28:7507–13. </w:t>
      </w:r>
    </w:p>
    <w:p w14:paraId="7946650B" w14:textId="77777777" w:rsidR="00C52780" w:rsidRDefault="00C52780" w:rsidP="00C52780">
      <w:pPr>
        <w:pStyle w:val="Bibliography"/>
      </w:pPr>
      <w:r>
        <w:t xml:space="preserve">30. Braeckman T, Van Herck K, Raes M, Vergison A, Sabbe M, Van Damme P. Rotavirus vaccines in Belgium: policy and impact. Pediatr. Infect. Dis. J. 2011;30:S21-24. </w:t>
      </w:r>
    </w:p>
    <w:p w14:paraId="1C9F3D6D" w14:textId="77777777" w:rsidR="00C52780" w:rsidRDefault="00C52780" w:rsidP="00C52780">
      <w:pPr>
        <w:pStyle w:val="Bibliography"/>
      </w:pPr>
      <w:r>
        <w:t xml:space="preserve">31. Vesikari T, Uhari M, Renko M, Hemming M, Salminen M, Torcel-Pagnon L, et al. Impact and effectiveness of RotaTeq® vaccine based on 3 years of surveillance following introduction of a rotavirus immunization program in Finland. Pediatr. Infect. Dis. J. 2013;32:1365–73. </w:t>
      </w:r>
    </w:p>
    <w:p w14:paraId="24043DC4" w14:textId="77777777" w:rsidR="00C52780" w:rsidRDefault="00C52780" w:rsidP="00C52780">
      <w:pPr>
        <w:pStyle w:val="Bibliography"/>
      </w:pPr>
      <w:r>
        <w:t xml:space="preserve">32. Paulke-Korinek M, Kollaritsch H, Aberle S, Zwazl I, Schmidle-Loss B, Vecsei A, et al. Sustained low hospitalization rates after four years of rotavirus mass vaccination in Austria. Vaccine. 2013;31:2686–91. </w:t>
      </w:r>
    </w:p>
    <w:p w14:paraId="51C24066" w14:textId="77777777" w:rsidR="00C52780" w:rsidRDefault="00C52780" w:rsidP="00C52780">
      <w:pPr>
        <w:pStyle w:val="Bibliography"/>
      </w:pPr>
      <w:r>
        <w:t xml:space="preserve">33. Hemming M, Räsänen S, Huhti L, Paloniemi M, Salminen M, Vesikari T. Major reduction of rotavirus, but not norovirus, gastroenteritis in children seen in hospital after the introduction of RotaTeq vaccine into the National Immunization Programme in Finland. Eur. J. Pediatr. 2013;172:739–46. </w:t>
      </w:r>
    </w:p>
    <w:p w14:paraId="242D6BBD" w14:textId="77777777" w:rsidR="00C52780" w:rsidRDefault="00C52780" w:rsidP="00C52780">
      <w:pPr>
        <w:pStyle w:val="Bibliography"/>
      </w:pPr>
      <w:r>
        <w:t xml:space="preserve">34. Leshem E, Moritz RE, Curns AT, Zhou F, Tate JE, Lopman BA, et al. Rotavirus Vaccines and Health Care Utilization for Diarrhea in the United States (2007–2011). Pediatrics. 2014;134:15–23. </w:t>
      </w:r>
    </w:p>
    <w:p w14:paraId="7D8AED99" w14:textId="77777777" w:rsidR="00C52780" w:rsidRDefault="00C52780" w:rsidP="00C52780">
      <w:pPr>
        <w:pStyle w:val="Bibliography"/>
      </w:pPr>
      <w:r>
        <w:t xml:space="preserve">35. Uhlig U, Kostev K, Schuster V, Koletzko S, Uhlig HH. Impact of Rotavirus Vaccination in Germany: Rotavirus Surveillance, Hospitalization, Side Effects and Comparison of Vaccines. Pediatr. Infect. Dis. J. 2014;33:e299–304. </w:t>
      </w:r>
    </w:p>
    <w:p w14:paraId="55CA12C6" w14:textId="77777777" w:rsidR="00C52780" w:rsidRDefault="00C52780" w:rsidP="00C52780">
      <w:pPr>
        <w:pStyle w:val="Bibliography"/>
      </w:pPr>
      <w:r>
        <w:t xml:space="preserve">36. Marlow R, Muir P, Vipond B, Lyttle M, Trotter C, Finn A. Assessing the impacts of the first year of rotavirus vaccination in the United Kingdom. Euro Surveill. Bull. Eur. Sur Mal. Transm. Eur. Commun. Dis. Bull. 2015;20:30077. </w:t>
      </w:r>
    </w:p>
    <w:p w14:paraId="443F0A13" w14:textId="77777777" w:rsidR="00C52780" w:rsidRDefault="00C52780" w:rsidP="00C52780">
      <w:pPr>
        <w:pStyle w:val="Bibliography"/>
      </w:pPr>
      <w:r>
        <w:t xml:space="preserve">37. Karafillakis E, Hassounah S, Atchison C. Effectiveness and impact of rotavirus vaccines in Europe, 2006–2014. Vaccine. 2015;33:2097–107. </w:t>
      </w:r>
    </w:p>
    <w:p w14:paraId="41725411" w14:textId="77777777" w:rsidR="00C52780" w:rsidRDefault="00C52780" w:rsidP="00C52780">
      <w:pPr>
        <w:pStyle w:val="Bibliography"/>
      </w:pPr>
      <w:r>
        <w:t xml:space="preserve">38. Clark HF, Lawley D, Mallette LA, DiNubile MJ, Hodinka RL. Decline in cases of rotavirus gastroenteritis presenting to The Children’s Hospital of Philadelphia after introduction of a pentavalent rotavirus vaccine. Clin. Vaccine Immunol. CVI. 2009;16:382–6. </w:t>
      </w:r>
    </w:p>
    <w:p w14:paraId="5A0FEFDC" w14:textId="77777777" w:rsidR="00C52780" w:rsidRDefault="00C52780" w:rsidP="00C52780">
      <w:pPr>
        <w:pStyle w:val="Bibliography"/>
      </w:pPr>
      <w:r>
        <w:t xml:space="preserve">39. Clark HF, Lawley D, Matthijnssens J, DiNubile MJ, Hodinka RL. Sustained Decline in Cases of Rotavirus Gastroenteritis Presenting to the Children’s Hospital of Philadelphia in the New Rotavirus Vaccine Era. Pediatr. Infect. Dis. J. 2010;29:699–702. </w:t>
      </w:r>
    </w:p>
    <w:p w14:paraId="3071A30A" w14:textId="77777777" w:rsidR="00C52780" w:rsidRDefault="00C52780" w:rsidP="00C52780">
      <w:pPr>
        <w:pStyle w:val="Bibliography"/>
      </w:pPr>
      <w:r>
        <w:lastRenderedPageBreak/>
        <w:t xml:space="preserve">40. Rha B, Tate JE, Payne DC, Cortese MM, Lopman BA, Curns AT, et al. Effectiveness and impact of rotavirus vaccines in the United States - 2006-2012. Expert Rev. Vaccines. 2014;13:365–76. </w:t>
      </w:r>
    </w:p>
    <w:p w14:paraId="1288817D" w14:textId="77777777" w:rsidR="00C52780" w:rsidRDefault="00C52780" w:rsidP="00C52780">
      <w:pPr>
        <w:pStyle w:val="Bibliography"/>
      </w:pPr>
      <w:r>
        <w:t xml:space="preserve">41. Tate JE, Cortese MM, Payne DC, Curns AT, Yen C, Esposito DH, et al. Uptake, Impact, and Effectiveness of Rotavirus Vaccination in the United States Review of the First 3 Years of Postlicensure Data. Pediatr. Infect. Dis. J. 2011;30:S56–60. </w:t>
      </w:r>
    </w:p>
    <w:p w14:paraId="19DC5D7F" w14:textId="77777777" w:rsidR="00C52780" w:rsidRDefault="00C52780" w:rsidP="00C52780">
      <w:pPr>
        <w:pStyle w:val="Bibliography"/>
      </w:pPr>
      <w:r>
        <w:t xml:space="preserve">42. Lopman BA, Curns AT, Yen C, Parashar UD. Infant rotavirus vaccination may provide indirect protection to older children and adults in the United States. J. Infect. Dis. 2011;204:980–6. </w:t>
      </w:r>
    </w:p>
    <w:p w14:paraId="35FB96BF" w14:textId="77777777" w:rsidR="00C52780" w:rsidRDefault="00C52780" w:rsidP="00C52780">
      <w:pPr>
        <w:pStyle w:val="Bibliography"/>
      </w:pPr>
      <w:r>
        <w:t xml:space="preserve">43. Bresee JS, Parashar UD, Widdowson M-A, Gentsch JR, Steele AD, Glass RI. Update on Rotavirus Vaccines: Pediatr. Infect. Dis. J. 2005;24:947–52. </w:t>
      </w:r>
    </w:p>
    <w:p w14:paraId="0FD2ED6A" w14:textId="77777777" w:rsidR="00C52780" w:rsidRDefault="00C52780" w:rsidP="00C52780">
      <w:pPr>
        <w:pStyle w:val="Bibliography"/>
      </w:pPr>
      <w:r>
        <w:t xml:space="preserve">44. Hungerford D, Smith K, Tucker A, Iturriza-Gómara M, Vivancos R, McLeonard C, et al. Population effectiveness of the pentavalent and monovalent rotavirus vaccines: a systematic review and meta-analysis of observational studies. BMC Infect. Dis. 2017;17:569. </w:t>
      </w:r>
    </w:p>
    <w:p w14:paraId="29EAAEAF" w14:textId="77777777" w:rsidR="00C52780" w:rsidRDefault="00C52780" w:rsidP="00C52780">
      <w:pPr>
        <w:pStyle w:val="Bibliography"/>
      </w:pPr>
      <w:r>
        <w:t>45. Tam CC, Viviani L, Adak B, Bolton E, Dodds JP, Cowden JM, et al. The Second Study of Infectious Intestinal Disease in the Community (IID2 Study) [Internet]. Manchester, UK: University of Manchester; 2012. Available from: https://www.food.gov.uk/science/research/foodborneillness/b14programme/b14projlist/b18021</w:t>
      </w:r>
    </w:p>
    <w:p w14:paraId="2B3C4BBD" w14:textId="77777777" w:rsidR="00C52780" w:rsidRDefault="00C52780" w:rsidP="00C52780">
      <w:pPr>
        <w:pStyle w:val="Bibliography"/>
      </w:pPr>
      <w:r>
        <w:t xml:space="preserve">46. Tam CC, O’Brien SJ, Tompkins DS, Bolton FJ, Berry L, Dodds J, et al. Changes in Causes of Acute Gastroenteritis in the United Kingdom Over 15 Years: Microbiologic Findings From 2 Prospective, Population-Based Studies of Infectious Intestinal Disease. Clin. Infect. Dis. 2012;54:1275–86. </w:t>
      </w:r>
    </w:p>
    <w:p w14:paraId="4332552C" w14:textId="77777777" w:rsidR="00C52780" w:rsidRDefault="00C52780" w:rsidP="00C52780">
      <w:pPr>
        <w:pStyle w:val="Bibliography"/>
      </w:pPr>
      <w:r>
        <w:t xml:space="preserve">47. Leino T, Gren J, Salo H, Tiihonen P, Kilpi T. First year experience of rotavirus immunisation programme in Finland. Vaccine. 2012;31:176–82. </w:t>
      </w:r>
    </w:p>
    <w:p w14:paraId="7CFA45B5" w14:textId="77777777" w:rsidR="00C52780" w:rsidRDefault="00C52780" w:rsidP="00C52780">
      <w:pPr>
        <w:pStyle w:val="Bibliography"/>
      </w:pPr>
      <w:r>
        <w:t xml:space="preserve">48. Muhsen K, Chodick G, Goren S, Anis E, Ziv-Baran T, Shalev V, et al. Change in incidence of clinic visits for all-cause and rotavirus gastroenteritis in young children following the introduction of universal rotavirus vaccination in Israel. Euro Surveill. Bull. Eur. Sur Mal. Transm. Eur. Commun. Dis. Bull. 2015;20. </w:t>
      </w:r>
    </w:p>
    <w:p w14:paraId="285130F5" w14:textId="77777777" w:rsidR="00C52780" w:rsidRDefault="00C52780" w:rsidP="00C52780">
      <w:pPr>
        <w:pStyle w:val="Bibliography"/>
      </w:pPr>
      <w:r>
        <w:t xml:space="preserve">49. Muhsen K, Chodick G, Goren S, Shalev V, Cohen D. The uptake of rotavirus vaccine and its effectiveness in preventing acute gastroenteritis in the community. Vaccine. 2011;29:91–4. </w:t>
      </w:r>
    </w:p>
    <w:p w14:paraId="4DCFF8C0" w14:textId="77777777" w:rsidR="00C52780" w:rsidRDefault="00C52780" w:rsidP="00C52780">
      <w:pPr>
        <w:pStyle w:val="Bibliography"/>
      </w:pPr>
      <w:r>
        <w:t xml:space="preserve">50. Gosselin V, Généreux M, Gagneur A, Petit G. Effectiveness of rotavirus vaccine in preventing severe gastroenteritis in young children according to socioeconomic status. Hum. Vaccines Immunother. 2016;12:2572–9. </w:t>
      </w:r>
    </w:p>
    <w:p w14:paraId="3E86BE1C" w14:textId="77777777" w:rsidR="00C52780" w:rsidRDefault="00C52780" w:rsidP="00C52780">
      <w:pPr>
        <w:pStyle w:val="Bibliography"/>
      </w:pPr>
      <w:r>
        <w:t xml:space="preserve">51. Riordan FAI, Quigley T. Estimating hospital admissions due to rotavirus gastroenteritis from hospital episode statistics. J. Infect. 2004;49:13–6. </w:t>
      </w:r>
    </w:p>
    <w:p w14:paraId="52380246" w14:textId="77777777" w:rsidR="00C52780" w:rsidRDefault="00C52780" w:rsidP="00C52780">
      <w:pPr>
        <w:pStyle w:val="Bibliography"/>
      </w:pPr>
      <w:r>
        <w:t xml:space="preserve">52. de Rougemont A, Kaplon J, Billaud G, Lina B, Pinchinat S, Derrough T, et al. [Sensitivity and specificity of the VIKIA Rota-Adeno immuno-chromatographic test (bioMérieux) and the ELISA IDEIA Rotavirus kit (Dako) compared to genotyping]. Pathol. Biol. (Paris). 2009;57:86–9. </w:t>
      </w:r>
    </w:p>
    <w:p w14:paraId="49BC29EB" w14:textId="77777777" w:rsidR="00C52780" w:rsidRDefault="00C52780" w:rsidP="00C52780">
      <w:pPr>
        <w:pStyle w:val="Bibliography"/>
      </w:pPr>
      <w:r>
        <w:t>53. Lagare A, Moumouni A, Kaplon J, Langendorf C, Pothier P, Grais RF, et al. Diagnostic accuracy of VIKIA® Rota-Adeno and Premier</w:t>
      </w:r>
      <w:r>
        <w:rPr>
          <w:vertAlign w:val="superscript"/>
        </w:rPr>
        <w:t>TM</w:t>
      </w:r>
      <w:r>
        <w:t xml:space="preserve"> Rotaclone® tests for the detection of rotavirus in Niger. BMC Res. Notes. 2017;10:505. </w:t>
      </w:r>
    </w:p>
    <w:p w14:paraId="52A10B30" w14:textId="77777777" w:rsidR="00C52780" w:rsidRDefault="00C52780" w:rsidP="00C52780">
      <w:pPr>
        <w:pStyle w:val="Bibliography"/>
      </w:pPr>
      <w:r>
        <w:lastRenderedPageBreak/>
        <w:t>54. Public Health England. UK Standards for Microbiology Investigations S 7: Gastroenteritis and diarrhoea. [Internet]. London: Public Health England; 2013 Dec p. 1–20. Report No.: 7:1. Available from: https://www.gov.uk/government/publications/smi-s-7-gastroenteritis-and-diarrhoea</w:t>
      </w:r>
    </w:p>
    <w:p w14:paraId="07372315" w14:textId="77777777" w:rsidR="00C52780" w:rsidRDefault="00C52780" w:rsidP="00C52780">
      <w:pPr>
        <w:pStyle w:val="Bibliography"/>
      </w:pPr>
      <w:r>
        <w:t xml:space="preserve">55. Lambert SB, Faux CE, Hall L, Birrell FA, Peterson KV, Selvey CE, et al. Early evidence for direct and indirect effects of the infant rotavirus vaccine program in Queensland. Med. J. Aust. 2009;191:157–60. </w:t>
      </w:r>
    </w:p>
    <w:p w14:paraId="69498CA8" w14:textId="77777777" w:rsidR="00C52780" w:rsidRDefault="00C52780" w:rsidP="00C52780">
      <w:pPr>
        <w:pStyle w:val="Bibliography"/>
      </w:pPr>
      <w:r>
        <w:t xml:space="preserve">56. Paulke-Korinek M, Kundi M, Rendi-Wagner P, de Martin A, Eder G, Schmidle-Loss B, et al. Herd immunity after two years of the universal mass vaccination program against rotavirus gastroenteritis in Austria. Vaccine. 2011;29:2791–6. </w:t>
      </w:r>
    </w:p>
    <w:p w14:paraId="45A5F36E" w14:textId="77777777" w:rsidR="00C52780" w:rsidRDefault="00C52780" w:rsidP="00C52780">
      <w:pPr>
        <w:pStyle w:val="Bibliography"/>
      </w:pPr>
      <w:r>
        <w:t xml:space="preserve">57. Anderson EJ, Shippee DB, Weinrobe MH, Davila MD, Katz BZ, Reddy S, et al. Indirect protection of adults from rotavirus by pediatric rotavirus vaccination. Clin. Infect. Dis. Off. Publ. Infect. Dis. Soc. Am. 2013;56:755–60. </w:t>
      </w:r>
    </w:p>
    <w:p w14:paraId="0A789A1B" w14:textId="77777777" w:rsidR="00C52780" w:rsidRDefault="00C52780" w:rsidP="00C52780">
      <w:pPr>
        <w:pStyle w:val="Bibliography"/>
      </w:pPr>
      <w:r>
        <w:t xml:space="preserve">58. Jit M, Edmunds WJ. Evaluating rotavirus vaccination in England and Wales. Part II. The potential cost-effectiveness of vaccination. Vaccine. 2007;25:3971–9. </w:t>
      </w:r>
    </w:p>
    <w:p w14:paraId="2A55FB11" w14:textId="2A741277" w:rsidR="00721520" w:rsidRDefault="00704294" w:rsidP="004F5792">
      <w:pPr>
        <w:pStyle w:val="Heading3"/>
        <w:spacing w:line="480" w:lineRule="auto"/>
        <w:rPr>
          <w:rFonts w:asciiTheme="minorHAnsi" w:hAnsiTheme="minorHAnsi"/>
        </w:rPr>
      </w:pPr>
      <w:r>
        <w:rPr>
          <w:rFonts w:asciiTheme="minorHAnsi" w:hAnsiTheme="minorHAnsi"/>
        </w:rPr>
        <w:fldChar w:fldCharType="end"/>
      </w:r>
    </w:p>
    <w:p w14:paraId="7F39F419" w14:textId="77777777" w:rsidR="000710F2" w:rsidRDefault="000710F2" w:rsidP="000710F2">
      <w:pPr>
        <w:sectPr w:rsidR="000710F2" w:rsidSect="00230DA8">
          <w:pgSz w:w="11906" w:h="16838"/>
          <w:pgMar w:top="1440" w:right="1440" w:bottom="1440" w:left="1440" w:header="708" w:footer="708" w:gutter="0"/>
          <w:lnNumType w:countBy="1" w:restart="continuous"/>
          <w:cols w:space="708"/>
          <w:docGrid w:linePitch="360"/>
        </w:sectPr>
      </w:pPr>
    </w:p>
    <w:p w14:paraId="11FA6A6A" w14:textId="4DC3A557" w:rsidR="000710F2" w:rsidRPr="00255BD9" w:rsidRDefault="00582471" w:rsidP="000710F2">
      <w:pPr>
        <w:spacing w:line="480" w:lineRule="auto"/>
        <w:rPr>
          <w:b/>
        </w:rPr>
      </w:pPr>
      <w:r>
        <w:rPr>
          <w:b/>
        </w:rPr>
        <w:lastRenderedPageBreak/>
        <w:t>Table 1</w:t>
      </w:r>
      <w:r w:rsidR="000710F2" w:rsidRPr="00255BD9">
        <w:rPr>
          <w:b/>
        </w:rPr>
        <w:t xml:space="preserve">. Details of each </w:t>
      </w:r>
      <w:r w:rsidR="00D45EBF">
        <w:rPr>
          <w:b/>
        </w:rPr>
        <w:t>outcome measure and data source</w:t>
      </w:r>
    </w:p>
    <w:tbl>
      <w:tblPr>
        <w:tblStyle w:val="TableGrid"/>
        <w:tblW w:w="0" w:type="auto"/>
        <w:tblLook w:val="04A0" w:firstRow="1" w:lastRow="0" w:firstColumn="1" w:lastColumn="0" w:noHBand="0" w:noVBand="1"/>
      </w:tblPr>
      <w:tblGrid>
        <w:gridCol w:w="1437"/>
        <w:gridCol w:w="2169"/>
        <w:gridCol w:w="4666"/>
        <w:gridCol w:w="3850"/>
        <w:gridCol w:w="1200"/>
        <w:gridCol w:w="852"/>
      </w:tblGrid>
      <w:tr w:rsidR="00812B5C" w:rsidRPr="000710F2" w14:paraId="798A7869" w14:textId="77777777" w:rsidTr="000710F2">
        <w:tc>
          <w:tcPr>
            <w:tcW w:w="0" w:type="auto"/>
            <w:shd w:val="clear" w:color="auto" w:fill="auto"/>
          </w:tcPr>
          <w:p w14:paraId="4ED123E6" w14:textId="167FCD76" w:rsidR="00812B5C" w:rsidRPr="000710F2" w:rsidRDefault="00812B5C" w:rsidP="00812B5C">
            <w:pPr>
              <w:rPr>
                <w:b/>
                <w:sz w:val="18"/>
                <w:szCs w:val="18"/>
              </w:rPr>
            </w:pPr>
            <w:r>
              <w:rPr>
                <w:b/>
                <w:sz w:val="18"/>
                <w:szCs w:val="18"/>
              </w:rPr>
              <w:t>Data source</w:t>
            </w:r>
          </w:p>
        </w:tc>
        <w:tc>
          <w:tcPr>
            <w:tcW w:w="0" w:type="auto"/>
            <w:shd w:val="clear" w:color="auto" w:fill="auto"/>
          </w:tcPr>
          <w:p w14:paraId="485AFBA8" w14:textId="77777777" w:rsidR="00812B5C" w:rsidRPr="000710F2" w:rsidRDefault="00812B5C" w:rsidP="00812B5C">
            <w:pPr>
              <w:rPr>
                <w:b/>
                <w:sz w:val="18"/>
                <w:szCs w:val="18"/>
              </w:rPr>
            </w:pPr>
            <w:r w:rsidRPr="000710F2">
              <w:rPr>
                <w:b/>
                <w:sz w:val="18"/>
                <w:szCs w:val="18"/>
              </w:rPr>
              <w:t>Population</w:t>
            </w:r>
          </w:p>
        </w:tc>
        <w:tc>
          <w:tcPr>
            <w:tcW w:w="0" w:type="auto"/>
            <w:shd w:val="clear" w:color="auto" w:fill="auto"/>
          </w:tcPr>
          <w:p w14:paraId="65753259" w14:textId="77777777" w:rsidR="00812B5C" w:rsidRPr="000710F2" w:rsidRDefault="00812B5C" w:rsidP="00812B5C">
            <w:pPr>
              <w:rPr>
                <w:b/>
                <w:sz w:val="18"/>
                <w:szCs w:val="18"/>
              </w:rPr>
            </w:pPr>
            <w:r w:rsidRPr="000710F2">
              <w:rPr>
                <w:b/>
                <w:sz w:val="18"/>
                <w:szCs w:val="18"/>
              </w:rPr>
              <w:t>Outcome</w:t>
            </w:r>
          </w:p>
        </w:tc>
        <w:tc>
          <w:tcPr>
            <w:tcW w:w="0" w:type="auto"/>
            <w:shd w:val="clear" w:color="auto" w:fill="auto"/>
          </w:tcPr>
          <w:p w14:paraId="5C1963C3" w14:textId="77777777" w:rsidR="00812B5C" w:rsidRPr="000710F2" w:rsidRDefault="00812B5C" w:rsidP="00812B5C">
            <w:pPr>
              <w:rPr>
                <w:b/>
                <w:sz w:val="18"/>
                <w:szCs w:val="18"/>
              </w:rPr>
            </w:pPr>
            <w:r w:rsidRPr="000710F2">
              <w:rPr>
                <w:b/>
                <w:sz w:val="18"/>
                <w:szCs w:val="18"/>
              </w:rPr>
              <w:t>Denominator / offset</w:t>
            </w:r>
          </w:p>
        </w:tc>
        <w:tc>
          <w:tcPr>
            <w:tcW w:w="0" w:type="auto"/>
            <w:shd w:val="clear" w:color="auto" w:fill="auto"/>
          </w:tcPr>
          <w:p w14:paraId="55150B1A" w14:textId="6E4EF2A2" w:rsidR="00812B5C" w:rsidRPr="00812B5C" w:rsidRDefault="00812B5C" w:rsidP="00812B5C">
            <w:pPr>
              <w:rPr>
                <w:b/>
                <w:sz w:val="18"/>
                <w:szCs w:val="18"/>
              </w:rPr>
            </w:pPr>
            <w:r w:rsidRPr="00812B5C">
              <w:rPr>
                <w:b/>
                <w:sz w:val="18"/>
                <w:szCs w:val="18"/>
              </w:rPr>
              <w:t>Age in months (m) or years (y)</w:t>
            </w:r>
          </w:p>
        </w:tc>
        <w:tc>
          <w:tcPr>
            <w:tcW w:w="0" w:type="auto"/>
            <w:shd w:val="clear" w:color="auto" w:fill="auto"/>
          </w:tcPr>
          <w:p w14:paraId="2357C76D" w14:textId="77777777" w:rsidR="00812B5C" w:rsidRPr="000710F2" w:rsidRDefault="00812B5C" w:rsidP="00812B5C">
            <w:pPr>
              <w:rPr>
                <w:b/>
                <w:sz w:val="18"/>
                <w:szCs w:val="18"/>
              </w:rPr>
            </w:pPr>
            <w:r w:rsidRPr="000710F2">
              <w:rPr>
                <w:b/>
                <w:sz w:val="18"/>
                <w:szCs w:val="18"/>
              </w:rPr>
              <w:t>Time period</w:t>
            </w:r>
          </w:p>
        </w:tc>
      </w:tr>
      <w:tr w:rsidR="00812B5C" w:rsidRPr="000710F2" w14:paraId="13D3CE94" w14:textId="77777777" w:rsidTr="000710F2">
        <w:tc>
          <w:tcPr>
            <w:tcW w:w="0" w:type="auto"/>
            <w:shd w:val="clear" w:color="auto" w:fill="auto"/>
          </w:tcPr>
          <w:p w14:paraId="503A4FDA" w14:textId="77777777" w:rsidR="00812B5C" w:rsidRPr="000710F2" w:rsidRDefault="00812B5C" w:rsidP="00812B5C">
            <w:pPr>
              <w:rPr>
                <w:b/>
                <w:sz w:val="18"/>
                <w:szCs w:val="18"/>
              </w:rPr>
            </w:pPr>
            <w:r w:rsidRPr="000710F2">
              <w:rPr>
                <w:sz w:val="18"/>
                <w:szCs w:val="18"/>
              </w:rPr>
              <w:t>Alder Hey Children's NHS Foundation Trust</w:t>
            </w:r>
          </w:p>
        </w:tc>
        <w:tc>
          <w:tcPr>
            <w:tcW w:w="0" w:type="auto"/>
            <w:shd w:val="clear" w:color="auto" w:fill="auto"/>
          </w:tcPr>
          <w:p w14:paraId="681633D6" w14:textId="07D264C5" w:rsidR="00812B5C" w:rsidRPr="000710F2" w:rsidRDefault="00A622CF" w:rsidP="00812B5C">
            <w:pPr>
              <w:rPr>
                <w:sz w:val="18"/>
                <w:szCs w:val="18"/>
              </w:rPr>
            </w:pPr>
            <w:r>
              <w:rPr>
                <w:sz w:val="18"/>
                <w:szCs w:val="18"/>
              </w:rPr>
              <w:t xml:space="preserve">RVGE </w:t>
            </w:r>
            <w:r w:rsidR="00812B5C">
              <w:rPr>
                <w:sz w:val="18"/>
                <w:szCs w:val="18"/>
              </w:rPr>
              <w:t xml:space="preserve">Hospitalisations. </w:t>
            </w:r>
            <w:r w:rsidR="00812B5C" w:rsidRPr="00F90CA3">
              <w:rPr>
                <w:sz w:val="18"/>
                <w:szCs w:val="18"/>
              </w:rPr>
              <w:t xml:space="preserve">Alder </w:t>
            </w:r>
            <w:proofErr w:type="spellStart"/>
            <w:r w:rsidR="00812B5C" w:rsidRPr="00F90CA3">
              <w:rPr>
                <w:sz w:val="18"/>
                <w:szCs w:val="18"/>
              </w:rPr>
              <w:t>Hey's</w:t>
            </w:r>
            <w:proofErr w:type="spellEnd"/>
            <w:r w:rsidR="00812B5C" w:rsidRPr="00F90CA3">
              <w:rPr>
                <w:sz w:val="18"/>
                <w:szCs w:val="18"/>
              </w:rPr>
              <w:t xml:space="preserve"> footprint covers the majority of Merseyside's children</w:t>
            </w:r>
          </w:p>
        </w:tc>
        <w:tc>
          <w:tcPr>
            <w:tcW w:w="0" w:type="auto"/>
            <w:shd w:val="clear" w:color="auto" w:fill="auto"/>
          </w:tcPr>
          <w:p w14:paraId="36CF8A2F" w14:textId="52BA26D7" w:rsidR="00812B5C" w:rsidRPr="000710F2" w:rsidRDefault="00812B5C" w:rsidP="00812B5C">
            <w:pPr>
              <w:rPr>
                <w:sz w:val="18"/>
                <w:szCs w:val="18"/>
              </w:rPr>
            </w:pPr>
            <w:r>
              <w:rPr>
                <w:sz w:val="18"/>
                <w:szCs w:val="18"/>
              </w:rPr>
              <w:t xml:space="preserve">Laboratory confirmed rotavirus gastroenteritis. Rotavirus antigen detected by </w:t>
            </w:r>
            <w:proofErr w:type="spellStart"/>
            <w:r w:rsidR="00DF4DF2" w:rsidRPr="00F00D92">
              <w:rPr>
                <w:sz w:val="18"/>
                <w:szCs w:val="18"/>
              </w:rPr>
              <w:t>immunochromatography</w:t>
            </w:r>
            <w:proofErr w:type="spellEnd"/>
            <w:r w:rsidRPr="00F00D92">
              <w:rPr>
                <w:sz w:val="18"/>
                <w:szCs w:val="18"/>
              </w:rPr>
              <w:t xml:space="preserve"> test </w:t>
            </w:r>
            <w:r w:rsidR="00A622CF">
              <w:rPr>
                <w:sz w:val="18"/>
                <w:szCs w:val="18"/>
              </w:rPr>
              <w:t xml:space="preserve">(2005-2009 </w:t>
            </w:r>
            <w:r w:rsidRPr="00F00D92">
              <w:rPr>
                <w:sz w:val="18"/>
                <w:szCs w:val="18"/>
              </w:rPr>
              <w:t>or by enzyme immunoassay</w:t>
            </w:r>
            <w:r w:rsidR="00A622CF">
              <w:rPr>
                <w:sz w:val="18"/>
                <w:szCs w:val="18"/>
              </w:rPr>
              <w:t xml:space="preserve"> (2002-2005, 2009-onwards)</w:t>
            </w:r>
            <w:r w:rsidRPr="00F00D92">
              <w:rPr>
                <w:sz w:val="18"/>
                <w:szCs w:val="18"/>
              </w:rPr>
              <w:t xml:space="preserve"> in a faecal specimen of a child with</w:t>
            </w:r>
            <w:r w:rsidR="00A622CF">
              <w:rPr>
                <w:sz w:val="18"/>
                <w:szCs w:val="18"/>
              </w:rPr>
              <w:t xml:space="preserve"> </w:t>
            </w:r>
            <w:r w:rsidRPr="00F00D92">
              <w:rPr>
                <w:sz w:val="18"/>
                <w:szCs w:val="18"/>
              </w:rPr>
              <w:t>acute gastroenteritis</w:t>
            </w:r>
          </w:p>
        </w:tc>
        <w:tc>
          <w:tcPr>
            <w:tcW w:w="0" w:type="auto"/>
            <w:shd w:val="clear" w:color="auto" w:fill="auto"/>
          </w:tcPr>
          <w:p w14:paraId="52F50710" w14:textId="3CCEE017" w:rsidR="00812B5C" w:rsidRPr="000710F2" w:rsidRDefault="00812B5C" w:rsidP="00812B5C">
            <w:pPr>
              <w:rPr>
                <w:sz w:val="18"/>
                <w:szCs w:val="18"/>
              </w:rPr>
            </w:pPr>
            <w:r>
              <w:rPr>
                <w:sz w:val="18"/>
                <w:szCs w:val="18"/>
              </w:rPr>
              <w:t xml:space="preserve">Total </w:t>
            </w:r>
            <w:r w:rsidRPr="000710F2">
              <w:rPr>
                <w:sz w:val="18"/>
                <w:szCs w:val="18"/>
              </w:rPr>
              <w:t>hospitalisations</w:t>
            </w:r>
            <w:r>
              <w:rPr>
                <w:sz w:val="18"/>
                <w:szCs w:val="18"/>
              </w:rPr>
              <w:t xml:space="preserve"> per month by age group </w:t>
            </w:r>
          </w:p>
        </w:tc>
        <w:tc>
          <w:tcPr>
            <w:tcW w:w="0" w:type="auto"/>
            <w:shd w:val="clear" w:color="auto" w:fill="auto"/>
          </w:tcPr>
          <w:p w14:paraId="1D1CD06C" w14:textId="0CB5BFCC" w:rsidR="00812B5C" w:rsidRPr="00812B5C" w:rsidRDefault="00812B5C" w:rsidP="00812B5C">
            <w:pPr>
              <w:rPr>
                <w:sz w:val="18"/>
                <w:szCs w:val="18"/>
              </w:rPr>
            </w:pPr>
            <w:r w:rsidRPr="00812B5C">
              <w:rPr>
                <w:sz w:val="18"/>
                <w:szCs w:val="18"/>
              </w:rPr>
              <w:t>0-14y: &lt;12m; 12-23m; 24-59m; 5-14y</w:t>
            </w:r>
          </w:p>
        </w:tc>
        <w:tc>
          <w:tcPr>
            <w:tcW w:w="0" w:type="auto"/>
            <w:shd w:val="clear" w:color="auto" w:fill="auto"/>
          </w:tcPr>
          <w:p w14:paraId="75749061" w14:textId="3FC170E3" w:rsidR="00812B5C" w:rsidRPr="000710F2" w:rsidRDefault="00812B5C" w:rsidP="00812B5C">
            <w:pPr>
              <w:rPr>
                <w:sz w:val="18"/>
                <w:szCs w:val="18"/>
              </w:rPr>
            </w:pPr>
            <w:r w:rsidRPr="000710F2">
              <w:rPr>
                <w:sz w:val="18"/>
                <w:szCs w:val="18"/>
              </w:rPr>
              <w:t>July 2002</w:t>
            </w:r>
            <w:r>
              <w:rPr>
                <w:sz w:val="18"/>
                <w:szCs w:val="18"/>
              </w:rPr>
              <w:t xml:space="preserve"> to </w:t>
            </w:r>
            <w:r w:rsidRPr="000710F2">
              <w:rPr>
                <w:sz w:val="18"/>
                <w:szCs w:val="18"/>
              </w:rPr>
              <w:t>June 2016</w:t>
            </w:r>
          </w:p>
        </w:tc>
      </w:tr>
      <w:tr w:rsidR="00812B5C" w:rsidRPr="000710F2" w14:paraId="1C809384" w14:textId="77777777" w:rsidTr="00533B2E">
        <w:trPr>
          <w:trHeight w:val="1021"/>
        </w:trPr>
        <w:tc>
          <w:tcPr>
            <w:tcW w:w="0" w:type="auto"/>
            <w:shd w:val="clear" w:color="auto" w:fill="auto"/>
          </w:tcPr>
          <w:p w14:paraId="3FA8C8A0" w14:textId="0D6E6808" w:rsidR="00812B5C" w:rsidRPr="000710F2" w:rsidRDefault="00812B5C" w:rsidP="00812B5C">
            <w:pPr>
              <w:rPr>
                <w:bCs/>
                <w:sz w:val="18"/>
                <w:szCs w:val="18"/>
              </w:rPr>
            </w:pPr>
            <w:r w:rsidRPr="000710F2">
              <w:rPr>
                <w:sz w:val="18"/>
                <w:szCs w:val="18"/>
              </w:rPr>
              <w:t>Hospital episode statistics</w:t>
            </w:r>
            <w:r>
              <w:rPr>
                <w:sz w:val="18"/>
                <w:szCs w:val="18"/>
              </w:rPr>
              <w:t xml:space="preserve"> - Admitted Patient Care</w:t>
            </w:r>
          </w:p>
          <w:p w14:paraId="49257931" w14:textId="77777777" w:rsidR="00812B5C" w:rsidRPr="000710F2" w:rsidRDefault="00812B5C" w:rsidP="00812B5C">
            <w:pPr>
              <w:rPr>
                <w:b/>
                <w:sz w:val="18"/>
                <w:szCs w:val="18"/>
              </w:rPr>
            </w:pPr>
          </w:p>
        </w:tc>
        <w:tc>
          <w:tcPr>
            <w:tcW w:w="0" w:type="auto"/>
            <w:shd w:val="clear" w:color="auto" w:fill="auto"/>
          </w:tcPr>
          <w:p w14:paraId="3DA72930" w14:textId="77777777" w:rsidR="00812B5C" w:rsidRPr="000710F2" w:rsidRDefault="00812B5C" w:rsidP="00812B5C">
            <w:pPr>
              <w:rPr>
                <w:sz w:val="18"/>
                <w:szCs w:val="18"/>
              </w:rPr>
            </w:pPr>
            <w:r w:rsidRPr="000710F2">
              <w:rPr>
                <w:sz w:val="18"/>
                <w:szCs w:val="18"/>
              </w:rPr>
              <w:t>Merseyside residents attending any hospital in the UK</w:t>
            </w:r>
          </w:p>
        </w:tc>
        <w:tc>
          <w:tcPr>
            <w:tcW w:w="0" w:type="auto"/>
            <w:shd w:val="clear" w:color="auto" w:fill="auto"/>
          </w:tcPr>
          <w:p w14:paraId="50E3EEDA" w14:textId="520EC4D6" w:rsidR="00812B5C" w:rsidRPr="000710F2" w:rsidRDefault="00812B5C" w:rsidP="00812B5C">
            <w:pPr>
              <w:rPr>
                <w:sz w:val="18"/>
                <w:szCs w:val="18"/>
              </w:rPr>
            </w:pPr>
            <w:r w:rsidRPr="000710F2">
              <w:rPr>
                <w:sz w:val="18"/>
                <w:szCs w:val="18"/>
              </w:rPr>
              <w:t xml:space="preserve">Hospitalisation for </w:t>
            </w:r>
            <w:r>
              <w:rPr>
                <w:sz w:val="18"/>
                <w:szCs w:val="18"/>
              </w:rPr>
              <w:t xml:space="preserve">all cause acute gastroenteritis. Identified by </w:t>
            </w:r>
            <w:r w:rsidRPr="000710F2">
              <w:rPr>
                <w:sz w:val="18"/>
                <w:szCs w:val="18"/>
              </w:rPr>
              <w:t>ICD</w:t>
            </w:r>
            <w:r w:rsidR="00850E9D">
              <w:rPr>
                <w:sz w:val="18"/>
                <w:szCs w:val="18"/>
              </w:rPr>
              <w:t>-</w:t>
            </w:r>
            <w:r w:rsidRPr="000710F2">
              <w:rPr>
                <w:sz w:val="18"/>
                <w:szCs w:val="18"/>
              </w:rPr>
              <w:t>10 codes: A00-A09</w:t>
            </w:r>
            <w:r>
              <w:rPr>
                <w:sz w:val="18"/>
                <w:szCs w:val="18"/>
              </w:rPr>
              <w:t>)</w:t>
            </w:r>
            <w:r w:rsidRPr="000710F2">
              <w:rPr>
                <w:sz w:val="18"/>
                <w:szCs w:val="18"/>
              </w:rPr>
              <w:t xml:space="preserve"> or as non-infectious gastroenteritis (K52.9)</w:t>
            </w:r>
            <w:r>
              <w:rPr>
                <w:sz w:val="18"/>
                <w:szCs w:val="18"/>
              </w:rPr>
              <w:t>, in any diagnosis field</w:t>
            </w:r>
          </w:p>
        </w:tc>
        <w:tc>
          <w:tcPr>
            <w:tcW w:w="0" w:type="auto"/>
            <w:shd w:val="clear" w:color="auto" w:fill="auto"/>
          </w:tcPr>
          <w:p w14:paraId="534F07EC" w14:textId="669519E0" w:rsidR="00812B5C" w:rsidRPr="000710F2" w:rsidRDefault="00812B5C" w:rsidP="0034465A">
            <w:pPr>
              <w:rPr>
                <w:sz w:val="18"/>
                <w:szCs w:val="18"/>
              </w:rPr>
            </w:pPr>
            <w:r>
              <w:rPr>
                <w:sz w:val="18"/>
                <w:szCs w:val="18"/>
              </w:rPr>
              <w:t>Yearly estimated a</w:t>
            </w:r>
            <w:r w:rsidRPr="000710F2">
              <w:rPr>
                <w:sz w:val="18"/>
                <w:szCs w:val="18"/>
              </w:rPr>
              <w:t>ge specific population of Merseyside</w:t>
            </w:r>
            <w:r>
              <w:rPr>
                <w:sz w:val="18"/>
                <w:szCs w:val="18"/>
              </w:rPr>
              <w:t xml:space="preserve">. Source: Office for National Statistics; accessed through Public Health England </w:t>
            </w:r>
            <w:r w:rsidR="0034465A">
              <w:rPr>
                <w:sz w:val="18"/>
                <w:szCs w:val="18"/>
              </w:rPr>
              <w:fldChar w:fldCharType="begin"/>
            </w:r>
            <w:r w:rsidR="00990F10">
              <w:rPr>
                <w:sz w:val="18"/>
                <w:szCs w:val="18"/>
              </w:rPr>
              <w:instrText xml:space="preserve"> ADDIN ZOTERO_ITEM CSL_CITATION {"citationID":"a22oackfabf","properties":{"formattedCitation":"[16]","plainCitation":"[16]"},"citationItems":[{"id":4142,"uris":["http://zotero.org/users/1755126/items/EWUVESFT"],"uri":["http://zotero.org/users/1755126/items/EWUVESFT"],"itemData":{"id":4142,"type":"webpage","title":"Lower Super Output Area Mid-Year Population Estimates","URL":"https://www.ons.gov.uk/peoplepopulationandcommunity/populationandmigration/populationestimates/datasets/lowersuperoutputareamidyearpopulationestimates","author":[{"family":"Office for National Statistics","given":""}],"issued":{"date-parts":[["2016",10,26]]},"accessed":{"date-parts":[["2017",7,5]]}}}],"schema":"https://github.com/citation-style-language/schema/raw/master/csl-citation.json"} </w:instrText>
            </w:r>
            <w:r w:rsidR="0034465A">
              <w:rPr>
                <w:sz w:val="18"/>
                <w:szCs w:val="18"/>
              </w:rPr>
              <w:fldChar w:fldCharType="separate"/>
            </w:r>
            <w:r w:rsidR="00990F10" w:rsidRPr="00990F10">
              <w:rPr>
                <w:rFonts w:ascii="Calibri" w:hAnsi="Calibri"/>
                <w:sz w:val="18"/>
              </w:rPr>
              <w:t>[16]</w:t>
            </w:r>
            <w:r w:rsidR="0034465A">
              <w:rPr>
                <w:sz w:val="18"/>
                <w:szCs w:val="18"/>
              </w:rPr>
              <w:fldChar w:fldCharType="end"/>
            </w:r>
          </w:p>
        </w:tc>
        <w:tc>
          <w:tcPr>
            <w:tcW w:w="0" w:type="auto"/>
            <w:shd w:val="clear" w:color="auto" w:fill="auto"/>
          </w:tcPr>
          <w:p w14:paraId="19EFC3B3" w14:textId="1A496475" w:rsidR="00812B5C" w:rsidRPr="00812B5C" w:rsidRDefault="00812B5C" w:rsidP="00812B5C">
            <w:pPr>
              <w:rPr>
                <w:sz w:val="18"/>
                <w:szCs w:val="18"/>
              </w:rPr>
            </w:pPr>
            <w:r w:rsidRPr="00812B5C">
              <w:rPr>
                <w:sz w:val="18"/>
                <w:szCs w:val="18"/>
              </w:rPr>
              <w:t>All ages: &lt;12m; 12-23m; 24-59m; 5-14y; 15-64y; 65+</w:t>
            </w:r>
          </w:p>
        </w:tc>
        <w:tc>
          <w:tcPr>
            <w:tcW w:w="0" w:type="auto"/>
            <w:shd w:val="clear" w:color="auto" w:fill="auto"/>
          </w:tcPr>
          <w:p w14:paraId="36880DA7" w14:textId="4EBD7A91" w:rsidR="00812B5C" w:rsidRPr="000710F2" w:rsidRDefault="00812B5C" w:rsidP="00812B5C">
            <w:pPr>
              <w:rPr>
                <w:sz w:val="18"/>
                <w:szCs w:val="18"/>
              </w:rPr>
            </w:pPr>
            <w:r w:rsidRPr="000710F2">
              <w:rPr>
                <w:sz w:val="18"/>
                <w:szCs w:val="18"/>
              </w:rPr>
              <w:t>July 2000 to June 2016</w:t>
            </w:r>
          </w:p>
        </w:tc>
      </w:tr>
      <w:tr w:rsidR="00812B5C" w:rsidRPr="000710F2" w14:paraId="79E7BECA" w14:textId="77777777" w:rsidTr="000710F2">
        <w:tc>
          <w:tcPr>
            <w:tcW w:w="0" w:type="auto"/>
            <w:shd w:val="clear" w:color="auto" w:fill="auto"/>
          </w:tcPr>
          <w:p w14:paraId="5EE77F8F" w14:textId="088818A7" w:rsidR="00812B5C" w:rsidRPr="000710F2" w:rsidRDefault="00812B5C" w:rsidP="00812B5C">
            <w:pPr>
              <w:rPr>
                <w:b/>
                <w:sz w:val="18"/>
                <w:szCs w:val="18"/>
              </w:rPr>
            </w:pPr>
            <w:r w:rsidRPr="000710F2">
              <w:rPr>
                <w:sz w:val="18"/>
                <w:szCs w:val="18"/>
              </w:rPr>
              <w:t>Hospital episode statistics</w:t>
            </w:r>
            <w:r>
              <w:rPr>
                <w:sz w:val="18"/>
                <w:szCs w:val="18"/>
              </w:rPr>
              <w:t xml:space="preserve"> – Accident and Emergency</w:t>
            </w:r>
          </w:p>
        </w:tc>
        <w:tc>
          <w:tcPr>
            <w:tcW w:w="0" w:type="auto"/>
            <w:shd w:val="clear" w:color="auto" w:fill="auto"/>
          </w:tcPr>
          <w:p w14:paraId="72156A7C" w14:textId="39A38894" w:rsidR="00812B5C" w:rsidRPr="000710F2" w:rsidRDefault="00812B5C" w:rsidP="00812B5C">
            <w:pPr>
              <w:rPr>
                <w:sz w:val="18"/>
                <w:szCs w:val="18"/>
              </w:rPr>
            </w:pPr>
            <w:r w:rsidRPr="000710F2">
              <w:rPr>
                <w:sz w:val="18"/>
                <w:szCs w:val="18"/>
              </w:rPr>
              <w:t xml:space="preserve">Merseyside residents attending </w:t>
            </w:r>
            <w:r>
              <w:rPr>
                <w:sz w:val="18"/>
                <w:szCs w:val="18"/>
              </w:rPr>
              <w:t>three major emergency departments in Merseyside</w:t>
            </w:r>
          </w:p>
        </w:tc>
        <w:tc>
          <w:tcPr>
            <w:tcW w:w="0" w:type="auto"/>
            <w:shd w:val="clear" w:color="auto" w:fill="auto"/>
          </w:tcPr>
          <w:p w14:paraId="3AA31993" w14:textId="3C27AA55" w:rsidR="00812B5C" w:rsidRPr="000710F2" w:rsidRDefault="00812B5C" w:rsidP="00CE5414">
            <w:pPr>
              <w:rPr>
                <w:sz w:val="18"/>
                <w:szCs w:val="18"/>
              </w:rPr>
            </w:pPr>
            <w:r w:rsidRPr="000710F2">
              <w:rPr>
                <w:sz w:val="18"/>
                <w:szCs w:val="18"/>
              </w:rPr>
              <w:t>Emergency department attendance for gastrointestinal conditions</w:t>
            </w:r>
            <w:r>
              <w:rPr>
                <w:sz w:val="18"/>
                <w:szCs w:val="18"/>
              </w:rPr>
              <w:t xml:space="preserve"> (AE diagnosis code 26); excluding subsequent admissions</w:t>
            </w:r>
            <w:r w:rsidR="00CE5414">
              <w:rPr>
                <w:sz w:val="18"/>
                <w:szCs w:val="18"/>
              </w:rPr>
              <w:t>. Missing diagnosis data was imputed for one emergency department between November 2010 and March 2011</w:t>
            </w:r>
          </w:p>
        </w:tc>
        <w:tc>
          <w:tcPr>
            <w:tcW w:w="0" w:type="auto"/>
            <w:shd w:val="clear" w:color="auto" w:fill="auto"/>
          </w:tcPr>
          <w:p w14:paraId="1E18E011" w14:textId="39C65D39" w:rsidR="00812B5C" w:rsidRPr="000710F2" w:rsidRDefault="00812B5C" w:rsidP="00812B5C">
            <w:pPr>
              <w:rPr>
                <w:sz w:val="18"/>
                <w:szCs w:val="18"/>
              </w:rPr>
            </w:pPr>
            <w:r>
              <w:rPr>
                <w:sz w:val="18"/>
                <w:szCs w:val="18"/>
              </w:rPr>
              <w:t>Total emergency department</w:t>
            </w:r>
            <w:r w:rsidRPr="000710F2">
              <w:rPr>
                <w:sz w:val="18"/>
                <w:szCs w:val="18"/>
              </w:rPr>
              <w:t xml:space="preserve"> attendances</w:t>
            </w:r>
            <w:r>
              <w:rPr>
                <w:sz w:val="18"/>
                <w:szCs w:val="18"/>
              </w:rPr>
              <w:t xml:space="preserve"> (excluding subsequent admissions) per month by age group</w:t>
            </w:r>
          </w:p>
        </w:tc>
        <w:tc>
          <w:tcPr>
            <w:tcW w:w="0" w:type="auto"/>
            <w:shd w:val="clear" w:color="auto" w:fill="auto"/>
          </w:tcPr>
          <w:p w14:paraId="3B58A07A" w14:textId="6B86A6C8" w:rsidR="00812B5C" w:rsidRPr="00812B5C" w:rsidRDefault="00812B5C" w:rsidP="00812B5C">
            <w:pPr>
              <w:rPr>
                <w:sz w:val="18"/>
                <w:szCs w:val="18"/>
              </w:rPr>
            </w:pPr>
            <w:r w:rsidRPr="00812B5C">
              <w:rPr>
                <w:sz w:val="18"/>
                <w:szCs w:val="18"/>
              </w:rPr>
              <w:t>All ages: &lt;12m; 12-23m; 24-59m;  5-14y; 15-64y; 65+</w:t>
            </w:r>
          </w:p>
        </w:tc>
        <w:tc>
          <w:tcPr>
            <w:tcW w:w="0" w:type="auto"/>
            <w:shd w:val="clear" w:color="auto" w:fill="auto"/>
          </w:tcPr>
          <w:p w14:paraId="521139EB" w14:textId="77777777" w:rsidR="00812B5C" w:rsidRPr="000710F2" w:rsidRDefault="00812B5C" w:rsidP="00812B5C">
            <w:pPr>
              <w:rPr>
                <w:sz w:val="18"/>
                <w:szCs w:val="18"/>
              </w:rPr>
            </w:pPr>
            <w:r w:rsidRPr="000710F2">
              <w:rPr>
                <w:sz w:val="18"/>
                <w:szCs w:val="18"/>
              </w:rPr>
              <w:t>July 2008 to June 2016</w:t>
            </w:r>
          </w:p>
        </w:tc>
      </w:tr>
      <w:tr w:rsidR="00812B5C" w:rsidRPr="000710F2" w14:paraId="0D93D37D" w14:textId="77777777" w:rsidTr="008D78D6">
        <w:trPr>
          <w:trHeight w:val="1779"/>
        </w:trPr>
        <w:tc>
          <w:tcPr>
            <w:tcW w:w="0" w:type="auto"/>
            <w:shd w:val="clear" w:color="auto" w:fill="auto"/>
          </w:tcPr>
          <w:p w14:paraId="4A8F4418" w14:textId="77777777" w:rsidR="00812B5C" w:rsidRPr="000710F2" w:rsidRDefault="00812B5C" w:rsidP="00812B5C">
            <w:pPr>
              <w:rPr>
                <w:bCs/>
                <w:sz w:val="18"/>
                <w:szCs w:val="18"/>
              </w:rPr>
            </w:pPr>
            <w:r w:rsidRPr="000710F2">
              <w:rPr>
                <w:sz w:val="18"/>
                <w:szCs w:val="18"/>
              </w:rPr>
              <w:t>Walk-in-Centre attendance records</w:t>
            </w:r>
          </w:p>
          <w:p w14:paraId="7534182B" w14:textId="77777777" w:rsidR="00812B5C" w:rsidRPr="000710F2" w:rsidRDefault="00812B5C" w:rsidP="00812B5C">
            <w:pPr>
              <w:rPr>
                <w:b/>
                <w:sz w:val="18"/>
                <w:szCs w:val="18"/>
              </w:rPr>
            </w:pPr>
          </w:p>
        </w:tc>
        <w:tc>
          <w:tcPr>
            <w:tcW w:w="0" w:type="auto"/>
            <w:shd w:val="clear" w:color="auto" w:fill="auto"/>
          </w:tcPr>
          <w:p w14:paraId="6A902673" w14:textId="68266CE6" w:rsidR="00812B5C" w:rsidRPr="000710F2" w:rsidRDefault="00812B5C" w:rsidP="00812B5C">
            <w:pPr>
              <w:rPr>
                <w:sz w:val="18"/>
                <w:szCs w:val="18"/>
              </w:rPr>
            </w:pPr>
            <w:r w:rsidRPr="000710F2">
              <w:rPr>
                <w:sz w:val="18"/>
                <w:szCs w:val="18"/>
              </w:rPr>
              <w:t>Attendances to</w:t>
            </w:r>
            <w:r>
              <w:rPr>
                <w:sz w:val="18"/>
                <w:szCs w:val="18"/>
              </w:rPr>
              <w:t xml:space="preserve"> a</w:t>
            </w:r>
            <w:r w:rsidRPr="000710F2">
              <w:rPr>
                <w:sz w:val="18"/>
                <w:szCs w:val="18"/>
              </w:rPr>
              <w:t xml:space="preserve"> Walk-in-Ce</w:t>
            </w:r>
            <w:r>
              <w:rPr>
                <w:sz w:val="18"/>
                <w:szCs w:val="18"/>
              </w:rPr>
              <w:t>ntres in Wirral, covering an estimated resident population of 320,000</w:t>
            </w:r>
          </w:p>
        </w:tc>
        <w:tc>
          <w:tcPr>
            <w:tcW w:w="0" w:type="auto"/>
            <w:shd w:val="clear" w:color="auto" w:fill="auto"/>
          </w:tcPr>
          <w:p w14:paraId="371FFB4B" w14:textId="42E52AE3" w:rsidR="00812B5C" w:rsidRPr="000710F2" w:rsidRDefault="00812B5C" w:rsidP="00812B5C">
            <w:pPr>
              <w:rPr>
                <w:sz w:val="18"/>
                <w:szCs w:val="18"/>
              </w:rPr>
            </w:pPr>
            <w:r w:rsidRPr="00F90CA3">
              <w:rPr>
                <w:sz w:val="18"/>
                <w:szCs w:val="18"/>
              </w:rPr>
              <w:t>Walk-in-Centre attendance for infectious gastroenteritis (Read codes: gastroenteritis—presumed infectious origin (A0812), diarrhoea of presumed infectious origin (A083); infantile viral gastroenteritis (A07y1); infectious gastroenteritis (A0803); enteritis due to rotavirus (A0762); and infectious diarrho</w:t>
            </w:r>
            <w:r>
              <w:rPr>
                <w:sz w:val="18"/>
                <w:szCs w:val="18"/>
              </w:rPr>
              <w:t>ea (A082)</w:t>
            </w:r>
            <w:r w:rsidRPr="00F90CA3">
              <w:rPr>
                <w:sz w:val="18"/>
                <w:szCs w:val="18"/>
              </w:rPr>
              <w:t xml:space="preserve"> </w:t>
            </w:r>
          </w:p>
        </w:tc>
        <w:tc>
          <w:tcPr>
            <w:tcW w:w="0" w:type="auto"/>
            <w:shd w:val="clear" w:color="auto" w:fill="auto"/>
          </w:tcPr>
          <w:p w14:paraId="60F84D34" w14:textId="3D2F7F57" w:rsidR="00812B5C" w:rsidRPr="000710F2" w:rsidRDefault="00812B5C" w:rsidP="00812B5C">
            <w:pPr>
              <w:rPr>
                <w:sz w:val="18"/>
                <w:szCs w:val="18"/>
              </w:rPr>
            </w:pPr>
            <w:r w:rsidRPr="000710F2">
              <w:rPr>
                <w:sz w:val="18"/>
                <w:szCs w:val="18"/>
              </w:rPr>
              <w:t>All Walk-in-Centre attendances</w:t>
            </w:r>
            <w:r>
              <w:rPr>
                <w:sz w:val="18"/>
                <w:szCs w:val="18"/>
              </w:rPr>
              <w:t xml:space="preserve"> per month by age group</w:t>
            </w:r>
          </w:p>
          <w:p w14:paraId="30B69F61" w14:textId="77777777" w:rsidR="00812B5C" w:rsidRPr="000710F2" w:rsidRDefault="00812B5C" w:rsidP="00812B5C">
            <w:pPr>
              <w:rPr>
                <w:sz w:val="18"/>
                <w:szCs w:val="18"/>
              </w:rPr>
            </w:pPr>
          </w:p>
        </w:tc>
        <w:tc>
          <w:tcPr>
            <w:tcW w:w="0" w:type="auto"/>
            <w:shd w:val="clear" w:color="auto" w:fill="auto"/>
          </w:tcPr>
          <w:p w14:paraId="690D1DC2" w14:textId="43E36482" w:rsidR="00812B5C" w:rsidRPr="00812B5C" w:rsidRDefault="00812B5C" w:rsidP="00812B5C">
            <w:pPr>
              <w:rPr>
                <w:sz w:val="18"/>
                <w:szCs w:val="18"/>
              </w:rPr>
            </w:pPr>
            <w:r w:rsidRPr="00812B5C">
              <w:rPr>
                <w:sz w:val="18"/>
                <w:szCs w:val="18"/>
              </w:rPr>
              <w:t>All ages: &lt;12m; 12-23m; 24-59m; 5-14y; 15-64y; 65+</w:t>
            </w:r>
          </w:p>
        </w:tc>
        <w:tc>
          <w:tcPr>
            <w:tcW w:w="0" w:type="auto"/>
            <w:shd w:val="clear" w:color="auto" w:fill="auto"/>
          </w:tcPr>
          <w:p w14:paraId="373B8D4B" w14:textId="77777777" w:rsidR="00812B5C" w:rsidRPr="000710F2" w:rsidRDefault="00812B5C" w:rsidP="00812B5C">
            <w:pPr>
              <w:rPr>
                <w:sz w:val="18"/>
                <w:szCs w:val="18"/>
              </w:rPr>
            </w:pPr>
            <w:r w:rsidRPr="000710F2">
              <w:rPr>
                <w:sz w:val="18"/>
                <w:szCs w:val="18"/>
              </w:rPr>
              <w:t>July 2011 to June 2016</w:t>
            </w:r>
          </w:p>
          <w:p w14:paraId="02A84CB8" w14:textId="77777777" w:rsidR="00812B5C" w:rsidRPr="000710F2" w:rsidRDefault="00812B5C" w:rsidP="00812B5C">
            <w:pPr>
              <w:rPr>
                <w:sz w:val="18"/>
                <w:szCs w:val="18"/>
              </w:rPr>
            </w:pPr>
          </w:p>
        </w:tc>
      </w:tr>
      <w:tr w:rsidR="00812B5C" w:rsidRPr="000710F2" w14:paraId="71C05F53" w14:textId="77777777" w:rsidTr="008D78D6">
        <w:trPr>
          <w:trHeight w:val="1263"/>
        </w:trPr>
        <w:tc>
          <w:tcPr>
            <w:tcW w:w="0" w:type="auto"/>
            <w:shd w:val="clear" w:color="auto" w:fill="auto"/>
          </w:tcPr>
          <w:p w14:paraId="23379905" w14:textId="63449D98" w:rsidR="00812B5C" w:rsidRPr="000710F2" w:rsidRDefault="00812B5C" w:rsidP="00812B5C">
            <w:pPr>
              <w:rPr>
                <w:bCs/>
                <w:sz w:val="18"/>
                <w:szCs w:val="18"/>
              </w:rPr>
            </w:pPr>
            <w:r w:rsidRPr="000710F2">
              <w:rPr>
                <w:sz w:val="18"/>
                <w:szCs w:val="18"/>
              </w:rPr>
              <w:t>GP practice records</w:t>
            </w:r>
          </w:p>
          <w:p w14:paraId="26F60B71" w14:textId="77777777" w:rsidR="00812B5C" w:rsidRPr="000710F2" w:rsidRDefault="00812B5C" w:rsidP="00812B5C">
            <w:pPr>
              <w:rPr>
                <w:b/>
                <w:sz w:val="18"/>
                <w:szCs w:val="18"/>
              </w:rPr>
            </w:pPr>
          </w:p>
        </w:tc>
        <w:tc>
          <w:tcPr>
            <w:tcW w:w="0" w:type="auto"/>
            <w:shd w:val="clear" w:color="auto" w:fill="auto"/>
          </w:tcPr>
          <w:p w14:paraId="4FA2CE2B" w14:textId="11CC3CC9" w:rsidR="00812B5C" w:rsidRPr="000710F2" w:rsidRDefault="00812B5C" w:rsidP="00812B5C">
            <w:pPr>
              <w:rPr>
                <w:sz w:val="18"/>
                <w:szCs w:val="18"/>
              </w:rPr>
            </w:pPr>
            <w:r w:rsidRPr="000710F2">
              <w:rPr>
                <w:sz w:val="18"/>
                <w:szCs w:val="18"/>
              </w:rPr>
              <w:t>Consultations at</w:t>
            </w:r>
            <w:r>
              <w:rPr>
                <w:sz w:val="18"/>
                <w:szCs w:val="18"/>
              </w:rPr>
              <w:t xml:space="preserve"> 136</w:t>
            </w:r>
            <w:r w:rsidRPr="000710F2">
              <w:rPr>
                <w:sz w:val="18"/>
                <w:szCs w:val="18"/>
              </w:rPr>
              <w:t xml:space="preserve"> GP practices in Merseyside</w:t>
            </w:r>
            <w:r>
              <w:rPr>
                <w:sz w:val="18"/>
                <w:szCs w:val="18"/>
              </w:rPr>
              <w:t>, covering an estimated population of 790,000</w:t>
            </w:r>
          </w:p>
        </w:tc>
        <w:tc>
          <w:tcPr>
            <w:tcW w:w="0" w:type="auto"/>
            <w:shd w:val="clear" w:color="auto" w:fill="auto"/>
          </w:tcPr>
          <w:p w14:paraId="33CC2595" w14:textId="47B9EA9B" w:rsidR="00812B5C" w:rsidRPr="000710F2" w:rsidRDefault="00812B5C" w:rsidP="00812B5C">
            <w:pPr>
              <w:rPr>
                <w:sz w:val="18"/>
                <w:szCs w:val="18"/>
              </w:rPr>
            </w:pPr>
            <w:r w:rsidRPr="000710F2">
              <w:rPr>
                <w:sz w:val="18"/>
                <w:szCs w:val="18"/>
              </w:rPr>
              <w:t>Consultations for infectious gastroenteritis</w:t>
            </w:r>
            <w:r>
              <w:rPr>
                <w:sz w:val="18"/>
                <w:szCs w:val="18"/>
              </w:rPr>
              <w:t xml:space="preserve"> (Read codes: as above for Walk-in-Centre)</w:t>
            </w:r>
          </w:p>
        </w:tc>
        <w:tc>
          <w:tcPr>
            <w:tcW w:w="0" w:type="auto"/>
            <w:shd w:val="clear" w:color="auto" w:fill="auto"/>
          </w:tcPr>
          <w:p w14:paraId="39CA966D" w14:textId="3E71630A" w:rsidR="00812B5C" w:rsidRPr="000710F2" w:rsidRDefault="00812B5C" w:rsidP="00812B5C">
            <w:pPr>
              <w:rPr>
                <w:sz w:val="18"/>
                <w:szCs w:val="18"/>
              </w:rPr>
            </w:pPr>
            <w:r>
              <w:rPr>
                <w:sz w:val="18"/>
                <w:szCs w:val="18"/>
              </w:rPr>
              <w:t xml:space="preserve">Yearly estimated </w:t>
            </w:r>
            <w:r w:rsidRPr="000710F2">
              <w:rPr>
                <w:sz w:val="18"/>
                <w:szCs w:val="18"/>
              </w:rPr>
              <w:t>GP registered population</w:t>
            </w:r>
            <w:r>
              <w:rPr>
                <w:sz w:val="18"/>
                <w:szCs w:val="18"/>
              </w:rPr>
              <w:t xml:space="preserve"> by age group. Data were available from 2010 to 2016, therefore estimates for 2007/2008 and 2008/2009 were synthetically estimated using predictions from linear regression models. Source: </w:t>
            </w:r>
            <w:r w:rsidRPr="00EB672E">
              <w:rPr>
                <w:sz w:val="18"/>
                <w:szCs w:val="18"/>
              </w:rPr>
              <w:t>P</w:t>
            </w:r>
            <w:r>
              <w:rPr>
                <w:sz w:val="18"/>
                <w:szCs w:val="18"/>
              </w:rPr>
              <w:t>ublic Health England and participating GP practices</w:t>
            </w:r>
          </w:p>
        </w:tc>
        <w:tc>
          <w:tcPr>
            <w:tcW w:w="0" w:type="auto"/>
            <w:shd w:val="clear" w:color="auto" w:fill="auto"/>
          </w:tcPr>
          <w:p w14:paraId="2BF9B083" w14:textId="0A937C54" w:rsidR="00812B5C" w:rsidRPr="00812B5C" w:rsidRDefault="00812B5C" w:rsidP="00812B5C">
            <w:pPr>
              <w:rPr>
                <w:sz w:val="18"/>
                <w:szCs w:val="18"/>
              </w:rPr>
            </w:pPr>
            <w:r w:rsidRPr="00812B5C">
              <w:rPr>
                <w:sz w:val="18"/>
                <w:szCs w:val="18"/>
              </w:rPr>
              <w:t>All ages: &lt;12m; 12-23m; 24-59m; 5-14y; 15-64y; 65+</w:t>
            </w:r>
          </w:p>
        </w:tc>
        <w:tc>
          <w:tcPr>
            <w:tcW w:w="0" w:type="auto"/>
            <w:shd w:val="clear" w:color="auto" w:fill="auto"/>
          </w:tcPr>
          <w:p w14:paraId="24F54E0F" w14:textId="4C661C46" w:rsidR="00812B5C" w:rsidRPr="000710F2" w:rsidRDefault="00812B5C" w:rsidP="00812B5C">
            <w:pPr>
              <w:rPr>
                <w:sz w:val="18"/>
                <w:szCs w:val="18"/>
              </w:rPr>
            </w:pPr>
            <w:r w:rsidRPr="000710F2">
              <w:rPr>
                <w:sz w:val="18"/>
                <w:szCs w:val="18"/>
              </w:rPr>
              <w:t>July 2007 to June 2016</w:t>
            </w:r>
          </w:p>
        </w:tc>
      </w:tr>
    </w:tbl>
    <w:p w14:paraId="0181D99C" w14:textId="77777777" w:rsidR="000710F2" w:rsidRDefault="000710F2" w:rsidP="000710F2">
      <w:pPr>
        <w:spacing w:line="480" w:lineRule="auto"/>
        <w:sectPr w:rsidR="000710F2" w:rsidSect="007E1251">
          <w:pgSz w:w="16838" w:h="11906" w:orient="landscape"/>
          <w:pgMar w:top="1440" w:right="1440" w:bottom="1440" w:left="1440" w:header="708" w:footer="708" w:gutter="0"/>
          <w:cols w:space="708"/>
          <w:docGrid w:linePitch="360"/>
        </w:sectPr>
      </w:pPr>
    </w:p>
    <w:p w14:paraId="3E4BF4C3" w14:textId="18730533" w:rsidR="00230DA8" w:rsidRDefault="00AF6160" w:rsidP="00230DA8">
      <w:pPr>
        <w:spacing w:line="480" w:lineRule="auto"/>
        <w:rPr>
          <w:b/>
        </w:rPr>
      </w:pPr>
      <w:r>
        <w:rPr>
          <w:noProof/>
          <w:lang w:eastAsia="en-GB"/>
        </w:rPr>
        <w:lastRenderedPageBreak/>
        <w:drawing>
          <wp:inline distT="0" distB="0" distL="0" distR="0" wp14:anchorId="0F9B3DB0" wp14:editId="2988615C">
            <wp:extent cx="6188710" cy="50634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8710" cy="5063490"/>
                    </a:xfrm>
                    <a:prstGeom prst="rect">
                      <a:avLst/>
                    </a:prstGeom>
                  </pic:spPr>
                </pic:pic>
              </a:graphicData>
            </a:graphic>
          </wp:inline>
        </w:drawing>
      </w:r>
      <w:r w:rsidR="00230DA8">
        <w:rPr>
          <w:b/>
        </w:rPr>
        <w:t>Figure 1 Rotavirus vaccine uptake in 4/5 areas of Merseyside, UK for children born between May 2013 and December 2015 by deprivation quintile.</w:t>
      </w:r>
    </w:p>
    <w:p w14:paraId="062FE561" w14:textId="62849698" w:rsidR="00AF6160" w:rsidRPr="007F4982" w:rsidRDefault="00AF6160" w:rsidP="00230DA8">
      <w:pPr>
        <w:spacing w:line="480" w:lineRule="auto"/>
      </w:pPr>
    </w:p>
    <w:p w14:paraId="01FAF672" w14:textId="77777777" w:rsidR="00AF6160" w:rsidRDefault="00AF6160">
      <w:pPr>
        <w:rPr>
          <w:b/>
          <w:noProof/>
          <w:lang w:eastAsia="en-GB"/>
        </w:rPr>
      </w:pPr>
      <w:r>
        <w:rPr>
          <w:b/>
          <w:noProof/>
          <w:lang w:eastAsia="en-GB"/>
        </w:rPr>
        <w:br w:type="page"/>
      </w:r>
    </w:p>
    <w:p w14:paraId="30287D20" w14:textId="77777777" w:rsidR="0066192F" w:rsidRDefault="00AF6160" w:rsidP="0062101F">
      <w:pPr>
        <w:spacing w:line="480" w:lineRule="auto"/>
        <w:rPr>
          <w:b/>
          <w:noProof/>
          <w:lang w:eastAsia="en-GB"/>
        </w:rPr>
      </w:pPr>
      <w:r>
        <w:rPr>
          <w:b/>
          <w:noProof/>
          <w:lang w:eastAsia="en-GB"/>
        </w:rPr>
        <w:lastRenderedPageBreak/>
        <w:drawing>
          <wp:inline distT="0" distB="0" distL="0" distR="0" wp14:anchorId="08B50B5A" wp14:editId="6245F081">
            <wp:extent cx="5189855" cy="62878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22.jpg"/>
                    <pic:cNvPicPr/>
                  </pic:nvPicPr>
                  <pic:blipFill rotWithShape="1">
                    <a:blip r:embed="rId10" cstate="print">
                      <a:extLst>
                        <a:ext uri="{28A0092B-C50C-407E-A947-70E740481C1C}">
                          <a14:useLocalDpi xmlns:a14="http://schemas.microsoft.com/office/drawing/2010/main" val="0"/>
                        </a:ext>
                      </a:extLst>
                    </a:blip>
                    <a:srcRect t="1747" b="2750"/>
                    <a:stretch/>
                  </pic:blipFill>
                  <pic:spPr bwMode="auto">
                    <a:xfrm>
                      <a:off x="0" y="0"/>
                      <a:ext cx="5207673" cy="6309482"/>
                    </a:xfrm>
                    <a:prstGeom prst="rect">
                      <a:avLst/>
                    </a:prstGeom>
                    <a:ln>
                      <a:noFill/>
                    </a:ln>
                    <a:extLst>
                      <a:ext uri="{53640926-AAD7-44D8-BBD7-CCE9431645EC}">
                        <a14:shadowObscured xmlns:a14="http://schemas.microsoft.com/office/drawing/2010/main"/>
                      </a:ext>
                    </a:extLst>
                  </pic:spPr>
                </pic:pic>
              </a:graphicData>
            </a:graphic>
          </wp:inline>
        </w:drawing>
      </w:r>
    </w:p>
    <w:p w14:paraId="5722D06C" w14:textId="1C54FC8F" w:rsidR="0062101F" w:rsidRDefault="0062101F" w:rsidP="0062101F">
      <w:pPr>
        <w:spacing w:line="480" w:lineRule="auto"/>
        <w:rPr>
          <w:noProof/>
          <w:lang w:eastAsia="en-GB"/>
        </w:rPr>
      </w:pPr>
      <w:bookmarkStart w:id="0" w:name="_GoBack"/>
      <w:bookmarkEnd w:id="0"/>
      <w:r w:rsidRPr="00984547">
        <w:rPr>
          <w:b/>
          <w:noProof/>
          <w:lang w:eastAsia="en-GB"/>
        </w:rPr>
        <w:t xml:space="preserve">Figure </w:t>
      </w:r>
      <w:r w:rsidR="00230DA8">
        <w:rPr>
          <w:b/>
          <w:noProof/>
          <w:lang w:eastAsia="en-GB"/>
        </w:rPr>
        <w:t>2</w:t>
      </w:r>
      <w:r w:rsidRPr="00984547">
        <w:rPr>
          <w:b/>
          <w:noProof/>
          <w:lang w:eastAsia="en-GB"/>
        </w:rPr>
        <w:t>. Trends in five study outcome measures for children aged 0-14 years in Merseyside,</w:t>
      </w:r>
      <w:r>
        <w:rPr>
          <w:b/>
          <w:noProof/>
          <w:lang w:eastAsia="en-GB"/>
        </w:rPr>
        <w:t xml:space="preserve"> UK,</w:t>
      </w:r>
      <w:r w:rsidRPr="00984547">
        <w:rPr>
          <w:b/>
          <w:noProof/>
          <w:lang w:eastAsia="en-GB"/>
        </w:rPr>
        <w:t xml:space="preserve"> </w:t>
      </w:r>
      <w:r>
        <w:rPr>
          <w:b/>
          <w:noProof/>
          <w:lang w:eastAsia="en-GB"/>
        </w:rPr>
        <w:t>July 2008 to June 2016</w:t>
      </w:r>
      <w:r w:rsidRPr="00533B2E">
        <w:rPr>
          <w:noProof/>
          <w:lang w:eastAsia="en-GB"/>
        </w:rPr>
        <w:t xml:space="preserve">. Each analysis examines trends, including comparison of observed incidence (blue line) after rotavirus vaccination (July 2013 to June 2016) in the UK with expected incidence (red line) and associated 95% confidence intervals (red shaded area) in the absence of vaccination. Expected incidence and 95% confidence intervals are based on predictions from regression models fitted to </w:t>
      </w:r>
      <w:r>
        <w:rPr>
          <w:noProof/>
          <w:lang w:eastAsia="en-GB"/>
        </w:rPr>
        <w:t xml:space="preserve">available </w:t>
      </w:r>
      <w:r w:rsidRPr="00533B2E">
        <w:rPr>
          <w:noProof/>
          <w:lang w:eastAsia="en-GB"/>
        </w:rPr>
        <w:t>historic data for each outcome measure. The black hashed line represents the introduction of rotavirus vaccine in the UK in July 2013.</w:t>
      </w:r>
    </w:p>
    <w:p w14:paraId="4CA09214" w14:textId="71382E33" w:rsidR="00AF6160" w:rsidRDefault="00AF6160" w:rsidP="0062101F">
      <w:pPr>
        <w:spacing w:line="480" w:lineRule="auto"/>
        <w:rPr>
          <w:noProof/>
          <w:lang w:eastAsia="en-GB"/>
        </w:rPr>
      </w:pPr>
      <w:r>
        <w:rPr>
          <w:noProof/>
          <w:lang w:eastAsia="en-GB"/>
        </w:rPr>
        <w:lastRenderedPageBreak/>
        <w:drawing>
          <wp:inline distT="0" distB="0" distL="0" distR="0" wp14:anchorId="13513BB6" wp14:editId="2950A3CE">
            <wp:extent cx="6188710" cy="40659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4065905"/>
                    </a:xfrm>
                    <a:prstGeom prst="rect">
                      <a:avLst/>
                    </a:prstGeom>
                  </pic:spPr>
                </pic:pic>
              </a:graphicData>
            </a:graphic>
          </wp:inline>
        </w:drawing>
      </w:r>
    </w:p>
    <w:p w14:paraId="6DA2B16C" w14:textId="67F50340" w:rsidR="0062101F" w:rsidRDefault="0062101F" w:rsidP="0062101F">
      <w:pPr>
        <w:spacing w:line="480" w:lineRule="auto"/>
        <w:rPr>
          <w:noProof/>
          <w:lang w:eastAsia="en-GB"/>
        </w:rPr>
      </w:pPr>
      <w:r w:rsidRPr="00984547">
        <w:rPr>
          <w:b/>
          <w:noProof/>
          <w:lang w:eastAsia="en-GB"/>
        </w:rPr>
        <w:t xml:space="preserve">Figure </w:t>
      </w:r>
      <w:r w:rsidR="00230DA8">
        <w:rPr>
          <w:b/>
          <w:noProof/>
          <w:lang w:eastAsia="en-GB"/>
        </w:rPr>
        <w:t>3</w:t>
      </w:r>
      <w:r w:rsidRPr="00984547">
        <w:rPr>
          <w:b/>
          <w:noProof/>
          <w:lang w:eastAsia="en-GB"/>
        </w:rPr>
        <w:t>. Trends in four study outcome measures for older children and adults aged 15+ years in Merseyside,</w:t>
      </w:r>
      <w:r>
        <w:rPr>
          <w:b/>
          <w:noProof/>
          <w:lang w:eastAsia="en-GB"/>
        </w:rPr>
        <w:t xml:space="preserve"> UK, July 2008 to June 2016</w:t>
      </w:r>
      <w:r w:rsidRPr="00533B2E">
        <w:rPr>
          <w:noProof/>
          <w:lang w:eastAsia="en-GB"/>
        </w:rPr>
        <w:t xml:space="preserve">. Each analysis examines trends, including comparison of observed incidence (blue line) after rotavirus vaccination (July 2013 to June 2016) in the UK with expected incidence (red line) and associated 95% confidence intervals (red shaded area) in the absence of vaccination. Expected incidence and 95% confidence intervals are based on predictions from regression models fitted to </w:t>
      </w:r>
      <w:r>
        <w:rPr>
          <w:noProof/>
          <w:lang w:eastAsia="en-GB"/>
        </w:rPr>
        <w:t xml:space="preserve">available </w:t>
      </w:r>
      <w:r w:rsidRPr="00533B2E">
        <w:rPr>
          <w:noProof/>
          <w:lang w:eastAsia="en-GB"/>
        </w:rPr>
        <w:t>historic data for each outcome measure. The black hashed line represents the introduction of rotavirus vaccine in the UK in July 2013.</w:t>
      </w:r>
    </w:p>
    <w:p w14:paraId="15A8EC3B" w14:textId="77777777" w:rsidR="00AF6160" w:rsidRDefault="00AF6160" w:rsidP="0062101F">
      <w:pPr>
        <w:spacing w:line="480" w:lineRule="auto"/>
        <w:rPr>
          <w:b/>
        </w:rPr>
      </w:pPr>
    </w:p>
    <w:p w14:paraId="157D758C" w14:textId="72D76DBC" w:rsidR="0062101F" w:rsidRPr="00837138" w:rsidRDefault="00AF6160" w:rsidP="0062101F">
      <w:pPr>
        <w:spacing w:line="480" w:lineRule="auto"/>
      </w:pPr>
      <w:r>
        <w:rPr>
          <w:b/>
          <w:noProof/>
          <w:lang w:eastAsia="en-GB"/>
        </w:rPr>
        <w:lastRenderedPageBreak/>
        <w:drawing>
          <wp:inline distT="0" distB="0" distL="0" distR="0" wp14:anchorId="4D99A8A7" wp14:editId="5809C78A">
            <wp:extent cx="6188710" cy="495109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_.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4951095"/>
                    </a:xfrm>
                    <a:prstGeom prst="rect">
                      <a:avLst/>
                    </a:prstGeom>
                  </pic:spPr>
                </pic:pic>
              </a:graphicData>
            </a:graphic>
          </wp:inline>
        </w:drawing>
      </w:r>
      <w:r w:rsidR="0062101F">
        <w:rPr>
          <w:b/>
        </w:rPr>
        <w:t xml:space="preserve">Figure </w:t>
      </w:r>
      <w:r w:rsidR="00230DA8">
        <w:rPr>
          <w:b/>
        </w:rPr>
        <w:t>4</w:t>
      </w:r>
      <w:r w:rsidR="0062101F">
        <w:rPr>
          <w:b/>
        </w:rPr>
        <w:t xml:space="preserve">. Relative risk of hospitalisation with acute all cause-gastroenteritis prior to vaccine introduction, by age group and deprivation quintile, July 2004 to June 2013, Merseyside UK </w:t>
      </w:r>
      <w:r w:rsidR="0062101F" w:rsidDel="007D743E">
        <w:rPr>
          <w:b/>
        </w:rPr>
        <w:t xml:space="preserve"> </w:t>
      </w:r>
    </w:p>
    <w:p w14:paraId="0A38DC44" w14:textId="7F1651D1" w:rsidR="00AF6160" w:rsidRDefault="00AF6160" w:rsidP="0062101F">
      <w:pPr>
        <w:spacing w:line="480" w:lineRule="auto"/>
        <w:rPr>
          <w:b/>
        </w:rPr>
      </w:pPr>
      <w:r>
        <w:rPr>
          <w:b/>
          <w:noProof/>
          <w:lang w:eastAsia="en-GB"/>
        </w:rPr>
        <w:lastRenderedPageBreak/>
        <w:drawing>
          <wp:inline distT="0" distB="0" distL="0" distR="0" wp14:anchorId="164DBB9C" wp14:editId="72CC154B">
            <wp:extent cx="6188710" cy="495109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4951095"/>
                    </a:xfrm>
                    <a:prstGeom prst="rect">
                      <a:avLst/>
                    </a:prstGeom>
                  </pic:spPr>
                </pic:pic>
              </a:graphicData>
            </a:graphic>
          </wp:inline>
        </w:drawing>
      </w:r>
    </w:p>
    <w:p w14:paraId="407EC2BE" w14:textId="77777777" w:rsidR="0062101F" w:rsidRPr="00837138" w:rsidRDefault="0062101F" w:rsidP="0062101F">
      <w:pPr>
        <w:spacing w:line="480" w:lineRule="auto"/>
      </w:pPr>
      <w:r>
        <w:rPr>
          <w:b/>
        </w:rPr>
        <w:t>Figure 5. Estimated all-cause acute gastroenteritis hospitalisations averted per 1,000 vaccine first doses delivered in the 2014/15 and 2015/16 seasons for vaccine eligible cohorts aged &lt;12 months and 12-23 months. [</w:t>
      </w:r>
      <w:r>
        <w:t>AGE, acute gastroenteritis]</w:t>
      </w:r>
    </w:p>
    <w:p w14:paraId="661AD9D9" w14:textId="77777777" w:rsidR="000710F2" w:rsidRPr="000710F2" w:rsidRDefault="000710F2" w:rsidP="000710F2"/>
    <w:sectPr w:rsidR="000710F2" w:rsidRPr="000710F2" w:rsidSect="002E3F8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65A93D" w14:textId="77777777" w:rsidR="00DA0B88" w:rsidRDefault="00DA0B88" w:rsidP="007E1251">
      <w:pPr>
        <w:spacing w:after="0" w:line="240" w:lineRule="auto"/>
      </w:pPr>
      <w:r>
        <w:separator/>
      </w:r>
    </w:p>
  </w:endnote>
  <w:endnote w:type="continuationSeparator" w:id="0">
    <w:p w14:paraId="462ADB2F" w14:textId="77777777" w:rsidR="00DA0B88" w:rsidRDefault="00DA0B88" w:rsidP="007E1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2778378"/>
      <w:docPartObj>
        <w:docPartGallery w:val="Page Numbers (Bottom of Page)"/>
        <w:docPartUnique/>
      </w:docPartObj>
    </w:sdtPr>
    <w:sdtEndPr>
      <w:rPr>
        <w:noProof/>
      </w:rPr>
    </w:sdtEndPr>
    <w:sdtContent>
      <w:p w14:paraId="7408660C" w14:textId="0A54709E" w:rsidR="00AA588D" w:rsidRDefault="00AA588D">
        <w:pPr>
          <w:pStyle w:val="Footer"/>
          <w:jc w:val="right"/>
        </w:pPr>
        <w:r>
          <w:fldChar w:fldCharType="begin"/>
        </w:r>
        <w:r>
          <w:instrText xml:space="preserve"> PAGE   \* MERGEFORMAT </w:instrText>
        </w:r>
        <w:r>
          <w:fldChar w:fldCharType="separate"/>
        </w:r>
        <w:r w:rsidR="0066192F">
          <w:rPr>
            <w:noProof/>
          </w:rPr>
          <w:t>10</w:t>
        </w:r>
        <w:r>
          <w:rPr>
            <w:noProof/>
          </w:rPr>
          <w:fldChar w:fldCharType="end"/>
        </w:r>
      </w:p>
    </w:sdtContent>
  </w:sdt>
  <w:p w14:paraId="3544FB2B" w14:textId="77777777" w:rsidR="00AA588D" w:rsidRDefault="00AA58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308F15" w14:textId="77777777" w:rsidR="00DA0B88" w:rsidRDefault="00DA0B88" w:rsidP="007E1251">
      <w:pPr>
        <w:spacing w:after="0" w:line="240" w:lineRule="auto"/>
      </w:pPr>
      <w:r>
        <w:separator/>
      </w:r>
    </w:p>
  </w:footnote>
  <w:footnote w:type="continuationSeparator" w:id="0">
    <w:p w14:paraId="405A3DE1" w14:textId="77777777" w:rsidR="00DA0B88" w:rsidRDefault="00DA0B88" w:rsidP="007E12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FF41B7"/>
    <w:multiLevelType w:val="hybridMultilevel"/>
    <w:tmpl w:val="9B905A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233ECD"/>
    <w:multiLevelType w:val="hybridMultilevel"/>
    <w:tmpl w:val="ECBA2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B248F6"/>
    <w:multiLevelType w:val="hybridMultilevel"/>
    <w:tmpl w:val="1BC25582"/>
    <w:lvl w:ilvl="0" w:tplc="3DBE24AC">
      <w:start w:val="1"/>
      <w:numFmt w:val="decimal"/>
      <w:lvlText w:val="%1."/>
      <w:lvlJc w:val="left"/>
      <w:pPr>
        <w:ind w:left="1778" w:hanging="360"/>
      </w:pPr>
      <w:rPr>
        <w:rFonts w:hint="default"/>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172474"/>
    <w:multiLevelType w:val="hybridMultilevel"/>
    <w:tmpl w:val="464E9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27064E"/>
    <w:multiLevelType w:val="hybridMultilevel"/>
    <w:tmpl w:val="16AC12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9B1466"/>
    <w:multiLevelType w:val="hybridMultilevel"/>
    <w:tmpl w:val="6290A8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8958E9"/>
    <w:multiLevelType w:val="hybridMultilevel"/>
    <w:tmpl w:val="4AC4CF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06443A"/>
    <w:multiLevelType w:val="hybridMultilevel"/>
    <w:tmpl w:val="47FC0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FF258F"/>
    <w:multiLevelType w:val="hybridMultilevel"/>
    <w:tmpl w:val="376ED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212110B"/>
    <w:multiLevelType w:val="hybridMultilevel"/>
    <w:tmpl w:val="15B05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E1425"/>
    <w:multiLevelType w:val="hybridMultilevel"/>
    <w:tmpl w:val="F8C4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0"/>
  </w:num>
  <w:num w:numId="4">
    <w:abstractNumId w:val="1"/>
  </w:num>
  <w:num w:numId="5">
    <w:abstractNumId w:val="7"/>
  </w:num>
  <w:num w:numId="6">
    <w:abstractNumId w:val="3"/>
  </w:num>
  <w:num w:numId="7">
    <w:abstractNumId w:val="6"/>
  </w:num>
  <w:num w:numId="8">
    <w:abstractNumId w:val="4"/>
  </w:num>
  <w:num w:numId="9">
    <w:abstractNumId w:val="5"/>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D98"/>
    <w:rsid w:val="00002FCE"/>
    <w:rsid w:val="000047D2"/>
    <w:rsid w:val="00010474"/>
    <w:rsid w:val="000148D2"/>
    <w:rsid w:val="000159D3"/>
    <w:rsid w:val="00016F88"/>
    <w:rsid w:val="0002338A"/>
    <w:rsid w:val="0003280C"/>
    <w:rsid w:val="00032FA7"/>
    <w:rsid w:val="00040286"/>
    <w:rsid w:val="000471E8"/>
    <w:rsid w:val="0005265A"/>
    <w:rsid w:val="00062FEF"/>
    <w:rsid w:val="00064049"/>
    <w:rsid w:val="000710F2"/>
    <w:rsid w:val="00077858"/>
    <w:rsid w:val="00084BD6"/>
    <w:rsid w:val="000874E1"/>
    <w:rsid w:val="000925BD"/>
    <w:rsid w:val="000941A6"/>
    <w:rsid w:val="00094978"/>
    <w:rsid w:val="000952D8"/>
    <w:rsid w:val="00095CDB"/>
    <w:rsid w:val="000A0D36"/>
    <w:rsid w:val="000A1F61"/>
    <w:rsid w:val="000B1B6F"/>
    <w:rsid w:val="000C036A"/>
    <w:rsid w:val="000C2B58"/>
    <w:rsid w:val="000C3423"/>
    <w:rsid w:val="000C5C64"/>
    <w:rsid w:val="000D6805"/>
    <w:rsid w:val="000D7771"/>
    <w:rsid w:val="000E1F55"/>
    <w:rsid w:val="000E2B8E"/>
    <w:rsid w:val="000E3156"/>
    <w:rsid w:val="000E4580"/>
    <w:rsid w:val="000E50C7"/>
    <w:rsid w:val="000E5968"/>
    <w:rsid w:val="000F095B"/>
    <w:rsid w:val="000F1B64"/>
    <w:rsid w:val="000F300B"/>
    <w:rsid w:val="000F3854"/>
    <w:rsid w:val="000F6453"/>
    <w:rsid w:val="00102FF8"/>
    <w:rsid w:val="00106585"/>
    <w:rsid w:val="00107598"/>
    <w:rsid w:val="001167B9"/>
    <w:rsid w:val="00122E3A"/>
    <w:rsid w:val="00124676"/>
    <w:rsid w:val="0012731C"/>
    <w:rsid w:val="00131160"/>
    <w:rsid w:val="00131CAD"/>
    <w:rsid w:val="00140CB3"/>
    <w:rsid w:val="001458C9"/>
    <w:rsid w:val="0015004A"/>
    <w:rsid w:val="00150240"/>
    <w:rsid w:val="00150CCA"/>
    <w:rsid w:val="00157660"/>
    <w:rsid w:val="00160732"/>
    <w:rsid w:val="00164A8D"/>
    <w:rsid w:val="001654EC"/>
    <w:rsid w:val="0016799B"/>
    <w:rsid w:val="00174E68"/>
    <w:rsid w:val="00185767"/>
    <w:rsid w:val="0018752F"/>
    <w:rsid w:val="0019138B"/>
    <w:rsid w:val="00192CF1"/>
    <w:rsid w:val="001973BE"/>
    <w:rsid w:val="00197A67"/>
    <w:rsid w:val="001A6FE8"/>
    <w:rsid w:val="001B7658"/>
    <w:rsid w:val="001B773C"/>
    <w:rsid w:val="001C0D52"/>
    <w:rsid w:val="001C3957"/>
    <w:rsid w:val="001C3E64"/>
    <w:rsid w:val="001C58FB"/>
    <w:rsid w:val="001C65C4"/>
    <w:rsid w:val="001E3D59"/>
    <w:rsid w:val="00201B89"/>
    <w:rsid w:val="00202C07"/>
    <w:rsid w:val="00206533"/>
    <w:rsid w:val="00207CE3"/>
    <w:rsid w:val="00211E99"/>
    <w:rsid w:val="0021581E"/>
    <w:rsid w:val="00221511"/>
    <w:rsid w:val="00230DA8"/>
    <w:rsid w:val="00232FCD"/>
    <w:rsid w:val="00233C2B"/>
    <w:rsid w:val="00255BD9"/>
    <w:rsid w:val="00257724"/>
    <w:rsid w:val="00257FBD"/>
    <w:rsid w:val="00261B1F"/>
    <w:rsid w:val="00267864"/>
    <w:rsid w:val="00271441"/>
    <w:rsid w:val="0027530B"/>
    <w:rsid w:val="0028344F"/>
    <w:rsid w:val="002850A3"/>
    <w:rsid w:val="00287768"/>
    <w:rsid w:val="00291702"/>
    <w:rsid w:val="00292E41"/>
    <w:rsid w:val="00293105"/>
    <w:rsid w:val="0029357A"/>
    <w:rsid w:val="002947D8"/>
    <w:rsid w:val="00295378"/>
    <w:rsid w:val="0029555F"/>
    <w:rsid w:val="002A30F7"/>
    <w:rsid w:val="002A6DE0"/>
    <w:rsid w:val="002A70DD"/>
    <w:rsid w:val="002A7FDE"/>
    <w:rsid w:val="002B0DAB"/>
    <w:rsid w:val="002D0070"/>
    <w:rsid w:val="002D3F5F"/>
    <w:rsid w:val="002D72A8"/>
    <w:rsid w:val="002E3F85"/>
    <w:rsid w:val="002E41E7"/>
    <w:rsid w:val="002F1B34"/>
    <w:rsid w:val="002F3017"/>
    <w:rsid w:val="002F6B4E"/>
    <w:rsid w:val="002F7EE0"/>
    <w:rsid w:val="00300926"/>
    <w:rsid w:val="0030126E"/>
    <w:rsid w:val="003039CB"/>
    <w:rsid w:val="00304CC0"/>
    <w:rsid w:val="00304DE2"/>
    <w:rsid w:val="003136AE"/>
    <w:rsid w:val="00317F8E"/>
    <w:rsid w:val="003208A7"/>
    <w:rsid w:val="00322307"/>
    <w:rsid w:val="00331E8C"/>
    <w:rsid w:val="00334D5E"/>
    <w:rsid w:val="0034465A"/>
    <w:rsid w:val="003447CE"/>
    <w:rsid w:val="003449A4"/>
    <w:rsid w:val="003450D7"/>
    <w:rsid w:val="00346D1D"/>
    <w:rsid w:val="00347D85"/>
    <w:rsid w:val="00354CF4"/>
    <w:rsid w:val="00371245"/>
    <w:rsid w:val="003725A2"/>
    <w:rsid w:val="003743F7"/>
    <w:rsid w:val="00376586"/>
    <w:rsid w:val="003770F8"/>
    <w:rsid w:val="00380EC1"/>
    <w:rsid w:val="003853BB"/>
    <w:rsid w:val="00385C38"/>
    <w:rsid w:val="00385DA5"/>
    <w:rsid w:val="00386CF1"/>
    <w:rsid w:val="0039061C"/>
    <w:rsid w:val="00392016"/>
    <w:rsid w:val="00393B65"/>
    <w:rsid w:val="00395BAA"/>
    <w:rsid w:val="003A1568"/>
    <w:rsid w:val="003A4944"/>
    <w:rsid w:val="003A509E"/>
    <w:rsid w:val="003B1D1F"/>
    <w:rsid w:val="003B3D5F"/>
    <w:rsid w:val="003B425C"/>
    <w:rsid w:val="003C08BA"/>
    <w:rsid w:val="003C5AE0"/>
    <w:rsid w:val="003C7034"/>
    <w:rsid w:val="003C72E9"/>
    <w:rsid w:val="003C74CB"/>
    <w:rsid w:val="003D1BEF"/>
    <w:rsid w:val="003D2094"/>
    <w:rsid w:val="003D421F"/>
    <w:rsid w:val="003D658F"/>
    <w:rsid w:val="003E312A"/>
    <w:rsid w:val="003E3BB5"/>
    <w:rsid w:val="003E5A3B"/>
    <w:rsid w:val="003E792C"/>
    <w:rsid w:val="003E7E29"/>
    <w:rsid w:val="003F1AA5"/>
    <w:rsid w:val="003F2377"/>
    <w:rsid w:val="003F5A79"/>
    <w:rsid w:val="0041239A"/>
    <w:rsid w:val="00412667"/>
    <w:rsid w:val="00415B02"/>
    <w:rsid w:val="00421BE3"/>
    <w:rsid w:val="004234E0"/>
    <w:rsid w:val="00424958"/>
    <w:rsid w:val="004265E6"/>
    <w:rsid w:val="004266E2"/>
    <w:rsid w:val="00427626"/>
    <w:rsid w:val="00427BBF"/>
    <w:rsid w:val="0043314A"/>
    <w:rsid w:val="00437FFC"/>
    <w:rsid w:val="004456EF"/>
    <w:rsid w:val="00446088"/>
    <w:rsid w:val="004475A0"/>
    <w:rsid w:val="00451530"/>
    <w:rsid w:val="004518F9"/>
    <w:rsid w:val="00452D98"/>
    <w:rsid w:val="00453918"/>
    <w:rsid w:val="00454178"/>
    <w:rsid w:val="00455B95"/>
    <w:rsid w:val="00467BF4"/>
    <w:rsid w:val="004721E4"/>
    <w:rsid w:val="00473F7A"/>
    <w:rsid w:val="00480F50"/>
    <w:rsid w:val="00481289"/>
    <w:rsid w:val="00481DC9"/>
    <w:rsid w:val="00482755"/>
    <w:rsid w:val="00482D7B"/>
    <w:rsid w:val="004835BC"/>
    <w:rsid w:val="004854EC"/>
    <w:rsid w:val="00485704"/>
    <w:rsid w:val="004912FA"/>
    <w:rsid w:val="00493260"/>
    <w:rsid w:val="004A2884"/>
    <w:rsid w:val="004A39BC"/>
    <w:rsid w:val="004A6A6A"/>
    <w:rsid w:val="004B1230"/>
    <w:rsid w:val="004B3F93"/>
    <w:rsid w:val="004C37DA"/>
    <w:rsid w:val="004C43EC"/>
    <w:rsid w:val="004C4C4C"/>
    <w:rsid w:val="004C4C9B"/>
    <w:rsid w:val="004E1F3A"/>
    <w:rsid w:val="004E3E64"/>
    <w:rsid w:val="004E65D6"/>
    <w:rsid w:val="004E699E"/>
    <w:rsid w:val="004E69B2"/>
    <w:rsid w:val="004F147A"/>
    <w:rsid w:val="004F472F"/>
    <w:rsid w:val="004F4BE1"/>
    <w:rsid w:val="004F5792"/>
    <w:rsid w:val="004F71DC"/>
    <w:rsid w:val="00502E8E"/>
    <w:rsid w:val="0050685F"/>
    <w:rsid w:val="00512819"/>
    <w:rsid w:val="005201EF"/>
    <w:rsid w:val="005209CC"/>
    <w:rsid w:val="0052467E"/>
    <w:rsid w:val="00527D80"/>
    <w:rsid w:val="0053271D"/>
    <w:rsid w:val="00532EE3"/>
    <w:rsid w:val="0053344C"/>
    <w:rsid w:val="00533B2E"/>
    <w:rsid w:val="00535742"/>
    <w:rsid w:val="005412ED"/>
    <w:rsid w:val="00543CBE"/>
    <w:rsid w:val="00555BF9"/>
    <w:rsid w:val="00560464"/>
    <w:rsid w:val="00562AC8"/>
    <w:rsid w:val="00570E4A"/>
    <w:rsid w:val="005711B1"/>
    <w:rsid w:val="00573A4A"/>
    <w:rsid w:val="005740F5"/>
    <w:rsid w:val="00575C12"/>
    <w:rsid w:val="00576F72"/>
    <w:rsid w:val="00581A52"/>
    <w:rsid w:val="00582471"/>
    <w:rsid w:val="00587BD8"/>
    <w:rsid w:val="00590EBF"/>
    <w:rsid w:val="00595533"/>
    <w:rsid w:val="005965A2"/>
    <w:rsid w:val="00596B1B"/>
    <w:rsid w:val="005A04EB"/>
    <w:rsid w:val="005A0BD8"/>
    <w:rsid w:val="005A0E30"/>
    <w:rsid w:val="005A5A91"/>
    <w:rsid w:val="005A7968"/>
    <w:rsid w:val="005B562E"/>
    <w:rsid w:val="005B5821"/>
    <w:rsid w:val="005B6596"/>
    <w:rsid w:val="005B7B6C"/>
    <w:rsid w:val="005C2FEF"/>
    <w:rsid w:val="005C687C"/>
    <w:rsid w:val="005C78B3"/>
    <w:rsid w:val="005C7A02"/>
    <w:rsid w:val="005D21CB"/>
    <w:rsid w:val="005D555E"/>
    <w:rsid w:val="005E141D"/>
    <w:rsid w:val="005E15E4"/>
    <w:rsid w:val="005E18E9"/>
    <w:rsid w:val="005E1E36"/>
    <w:rsid w:val="005F029A"/>
    <w:rsid w:val="005F3371"/>
    <w:rsid w:val="00602318"/>
    <w:rsid w:val="0060402A"/>
    <w:rsid w:val="006045A2"/>
    <w:rsid w:val="006049D5"/>
    <w:rsid w:val="00606035"/>
    <w:rsid w:val="0061186D"/>
    <w:rsid w:val="00614914"/>
    <w:rsid w:val="006152A9"/>
    <w:rsid w:val="00615FC2"/>
    <w:rsid w:val="0062101F"/>
    <w:rsid w:val="006223F3"/>
    <w:rsid w:val="006249DA"/>
    <w:rsid w:val="006367ED"/>
    <w:rsid w:val="0064041B"/>
    <w:rsid w:val="00641D2D"/>
    <w:rsid w:val="00642907"/>
    <w:rsid w:val="00642A2E"/>
    <w:rsid w:val="0064480C"/>
    <w:rsid w:val="00651B86"/>
    <w:rsid w:val="00651BBD"/>
    <w:rsid w:val="00654807"/>
    <w:rsid w:val="00656793"/>
    <w:rsid w:val="006574FE"/>
    <w:rsid w:val="0066192F"/>
    <w:rsid w:val="00662086"/>
    <w:rsid w:val="00663DD2"/>
    <w:rsid w:val="00665910"/>
    <w:rsid w:val="006764EE"/>
    <w:rsid w:val="00681FE4"/>
    <w:rsid w:val="00682C88"/>
    <w:rsid w:val="0068398E"/>
    <w:rsid w:val="0068449D"/>
    <w:rsid w:val="006860FB"/>
    <w:rsid w:val="006941F8"/>
    <w:rsid w:val="006948C7"/>
    <w:rsid w:val="00697D4B"/>
    <w:rsid w:val="006A2EE4"/>
    <w:rsid w:val="006A49D4"/>
    <w:rsid w:val="006A7DDC"/>
    <w:rsid w:val="006B454E"/>
    <w:rsid w:val="006B4D13"/>
    <w:rsid w:val="006C2270"/>
    <w:rsid w:val="006C312E"/>
    <w:rsid w:val="006C4538"/>
    <w:rsid w:val="006D18C7"/>
    <w:rsid w:val="006E2769"/>
    <w:rsid w:val="006E415F"/>
    <w:rsid w:val="006F27A9"/>
    <w:rsid w:val="006F30AE"/>
    <w:rsid w:val="006F660B"/>
    <w:rsid w:val="007008BE"/>
    <w:rsid w:val="00700DF3"/>
    <w:rsid w:val="0070184F"/>
    <w:rsid w:val="00702BDC"/>
    <w:rsid w:val="00704294"/>
    <w:rsid w:val="00705AC5"/>
    <w:rsid w:val="00705CB6"/>
    <w:rsid w:val="00710651"/>
    <w:rsid w:val="00714932"/>
    <w:rsid w:val="00714ACE"/>
    <w:rsid w:val="007177A6"/>
    <w:rsid w:val="00721520"/>
    <w:rsid w:val="00721638"/>
    <w:rsid w:val="007306D0"/>
    <w:rsid w:val="00736423"/>
    <w:rsid w:val="007431BE"/>
    <w:rsid w:val="00755AE8"/>
    <w:rsid w:val="007563F7"/>
    <w:rsid w:val="00762BD2"/>
    <w:rsid w:val="0076390E"/>
    <w:rsid w:val="007640D9"/>
    <w:rsid w:val="00764C20"/>
    <w:rsid w:val="00764E62"/>
    <w:rsid w:val="00767C52"/>
    <w:rsid w:val="00772770"/>
    <w:rsid w:val="00774626"/>
    <w:rsid w:val="00775AD7"/>
    <w:rsid w:val="00776F42"/>
    <w:rsid w:val="00781BEF"/>
    <w:rsid w:val="00785B49"/>
    <w:rsid w:val="007927E2"/>
    <w:rsid w:val="00794D0C"/>
    <w:rsid w:val="0079627B"/>
    <w:rsid w:val="007962B8"/>
    <w:rsid w:val="007A006B"/>
    <w:rsid w:val="007B050D"/>
    <w:rsid w:val="007B0757"/>
    <w:rsid w:val="007C531C"/>
    <w:rsid w:val="007C6826"/>
    <w:rsid w:val="007C7C1D"/>
    <w:rsid w:val="007D2552"/>
    <w:rsid w:val="007D743E"/>
    <w:rsid w:val="007E1251"/>
    <w:rsid w:val="007E3048"/>
    <w:rsid w:val="007E4B87"/>
    <w:rsid w:val="007E665B"/>
    <w:rsid w:val="007F0F22"/>
    <w:rsid w:val="007F2AEA"/>
    <w:rsid w:val="007F3771"/>
    <w:rsid w:val="007F4982"/>
    <w:rsid w:val="007F5F4C"/>
    <w:rsid w:val="00805A05"/>
    <w:rsid w:val="00812764"/>
    <w:rsid w:val="00812B5C"/>
    <w:rsid w:val="00812ED2"/>
    <w:rsid w:val="00813CF7"/>
    <w:rsid w:val="00814AAD"/>
    <w:rsid w:val="00814EA8"/>
    <w:rsid w:val="0081555D"/>
    <w:rsid w:val="0081571F"/>
    <w:rsid w:val="00816527"/>
    <w:rsid w:val="00817A78"/>
    <w:rsid w:val="00822416"/>
    <w:rsid w:val="00823E12"/>
    <w:rsid w:val="008245F3"/>
    <w:rsid w:val="008302B1"/>
    <w:rsid w:val="00837138"/>
    <w:rsid w:val="008371C6"/>
    <w:rsid w:val="00846896"/>
    <w:rsid w:val="00846C26"/>
    <w:rsid w:val="00846F92"/>
    <w:rsid w:val="00850E9D"/>
    <w:rsid w:val="00854A8B"/>
    <w:rsid w:val="008568DF"/>
    <w:rsid w:val="00865136"/>
    <w:rsid w:val="0086547F"/>
    <w:rsid w:val="0086566B"/>
    <w:rsid w:val="008706F4"/>
    <w:rsid w:val="00871DDB"/>
    <w:rsid w:val="00877C07"/>
    <w:rsid w:val="00881AFA"/>
    <w:rsid w:val="0088299E"/>
    <w:rsid w:val="00885CC5"/>
    <w:rsid w:val="00885E24"/>
    <w:rsid w:val="00890B63"/>
    <w:rsid w:val="00896D3B"/>
    <w:rsid w:val="008A2DB4"/>
    <w:rsid w:val="008A3326"/>
    <w:rsid w:val="008A4C5C"/>
    <w:rsid w:val="008A5F26"/>
    <w:rsid w:val="008A737D"/>
    <w:rsid w:val="008B4E59"/>
    <w:rsid w:val="008C10D3"/>
    <w:rsid w:val="008C27DA"/>
    <w:rsid w:val="008D2083"/>
    <w:rsid w:val="008D5A13"/>
    <w:rsid w:val="008D70E3"/>
    <w:rsid w:val="008D78D6"/>
    <w:rsid w:val="008E0CA9"/>
    <w:rsid w:val="008E2EDD"/>
    <w:rsid w:val="008E6180"/>
    <w:rsid w:val="008F0C90"/>
    <w:rsid w:val="008F2E04"/>
    <w:rsid w:val="008F5CD3"/>
    <w:rsid w:val="008F6E88"/>
    <w:rsid w:val="008F7EBF"/>
    <w:rsid w:val="00906856"/>
    <w:rsid w:val="00907ED5"/>
    <w:rsid w:val="00912DB7"/>
    <w:rsid w:val="0091719C"/>
    <w:rsid w:val="00920BCD"/>
    <w:rsid w:val="0092715F"/>
    <w:rsid w:val="00930442"/>
    <w:rsid w:val="00933EE9"/>
    <w:rsid w:val="00942C60"/>
    <w:rsid w:val="0094300E"/>
    <w:rsid w:val="00943E27"/>
    <w:rsid w:val="00944955"/>
    <w:rsid w:val="00951EC8"/>
    <w:rsid w:val="00960994"/>
    <w:rsid w:val="00966D04"/>
    <w:rsid w:val="009718CD"/>
    <w:rsid w:val="00974FF0"/>
    <w:rsid w:val="00975944"/>
    <w:rsid w:val="009765E2"/>
    <w:rsid w:val="00977985"/>
    <w:rsid w:val="00983141"/>
    <w:rsid w:val="00984547"/>
    <w:rsid w:val="009858BA"/>
    <w:rsid w:val="00990D09"/>
    <w:rsid w:val="00990F10"/>
    <w:rsid w:val="00994A28"/>
    <w:rsid w:val="009A033C"/>
    <w:rsid w:val="009A16BF"/>
    <w:rsid w:val="009A1C9B"/>
    <w:rsid w:val="009A34CB"/>
    <w:rsid w:val="009A355D"/>
    <w:rsid w:val="009A4244"/>
    <w:rsid w:val="009A55A1"/>
    <w:rsid w:val="009A5B14"/>
    <w:rsid w:val="009B1340"/>
    <w:rsid w:val="009B1880"/>
    <w:rsid w:val="009C0253"/>
    <w:rsid w:val="009C6793"/>
    <w:rsid w:val="009C741B"/>
    <w:rsid w:val="009D2608"/>
    <w:rsid w:val="009D298F"/>
    <w:rsid w:val="009D34A9"/>
    <w:rsid w:val="009D7737"/>
    <w:rsid w:val="009D79F8"/>
    <w:rsid w:val="009E23B1"/>
    <w:rsid w:val="009E28F2"/>
    <w:rsid w:val="009E41DE"/>
    <w:rsid w:val="009E583A"/>
    <w:rsid w:val="009E7B08"/>
    <w:rsid w:val="009F412E"/>
    <w:rsid w:val="00A05E4C"/>
    <w:rsid w:val="00A13B2B"/>
    <w:rsid w:val="00A15316"/>
    <w:rsid w:val="00A157DB"/>
    <w:rsid w:val="00A17C00"/>
    <w:rsid w:val="00A20F3D"/>
    <w:rsid w:val="00A20F8A"/>
    <w:rsid w:val="00A30087"/>
    <w:rsid w:val="00A402D2"/>
    <w:rsid w:val="00A444C6"/>
    <w:rsid w:val="00A511A5"/>
    <w:rsid w:val="00A51624"/>
    <w:rsid w:val="00A56643"/>
    <w:rsid w:val="00A57F1D"/>
    <w:rsid w:val="00A621FA"/>
    <w:rsid w:val="00A622CF"/>
    <w:rsid w:val="00A62E44"/>
    <w:rsid w:val="00A6411F"/>
    <w:rsid w:val="00A66241"/>
    <w:rsid w:val="00A669CB"/>
    <w:rsid w:val="00A707D7"/>
    <w:rsid w:val="00A71B3F"/>
    <w:rsid w:val="00A727C6"/>
    <w:rsid w:val="00A77CAD"/>
    <w:rsid w:val="00A85781"/>
    <w:rsid w:val="00A92137"/>
    <w:rsid w:val="00AA1EA0"/>
    <w:rsid w:val="00AA3989"/>
    <w:rsid w:val="00AA3C40"/>
    <w:rsid w:val="00AA588D"/>
    <w:rsid w:val="00AA63D5"/>
    <w:rsid w:val="00AA6BC3"/>
    <w:rsid w:val="00AA7B09"/>
    <w:rsid w:val="00AB4270"/>
    <w:rsid w:val="00AB5F5C"/>
    <w:rsid w:val="00AC0CC4"/>
    <w:rsid w:val="00AC149B"/>
    <w:rsid w:val="00AC17BE"/>
    <w:rsid w:val="00AC4C35"/>
    <w:rsid w:val="00AD0B6A"/>
    <w:rsid w:val="00AE27D2"/>
    <w:rsid w:val="00AE5383"/>
    <w:rsid w:val="00AF4331"/>
    <w:rsid w:val="00AF6160"/>
    <w:rsid w:val="00AF7A4A"/>
    <w:rsid w:val="00B02C54"/>
    <w:rsid w:val="00B02DB1"/>
    <w:rsid w:val="00B04EC4"/>
    <w:rsid w:val="00B06482"/>
    <w:rsid w:val="00B06D54"/>
    <w:rsid w:val="00B11B30"/>
    <w:rsid w:val="00B12A33"/>
    <w:rsid w:val="00B1477F"/>
    <w:rsid w:val="00B1772F"/>
    <w:rsid w:val="00B208D0"/>
    <w:rsid w:val="00B20EB3"/>
    <w:rsid w:val="00B21A4C"/>
    <w:rsid w:val="00B2248B"/>
    <w:rsid w:val="00B234E9"/>
    <w:rsid w:val="00B24149"/>
    <w:rsid w:val="00B2679E"/>
    <w:rsid w:val="00B26CC2"/>
    <w:rsid w:val="00B33F4E"/>
    <w:rsid w:val="00B3524B"/>
    <w:rsid w:val="00B355D3"/>
    <w:rsid w:val="00B40EF8"/>
    <w:rsid w:val="00B51ACD"/>
    <w:rsid w:val="00B56ECD"/>
    <w:rsid w:val="00B62448"/>
    <w:rsid w:val="00B7320F"/>
    <w:rsid w:val="00B76559"/>
    <w:rsid w:val="00B91BC8"/>
    <w:rsid w:val="00B955B5"/>
    <w:rsid w:val="00B9785F"/>
    <w:rsid w:val="00B978FC"/>
    <w:rsid w:val="00BA0C66"/>
    <w:rsid w:val="00BA5794"/>
    <w:rsid w:val="00BA6067"/>
    <w:rsid w:val="00BA6570"/>
    <w:rsid w:val="00BA667A"/>
    <w:rsid w:val="00BB17A9"/>
    <w:rsid w:val="00BB2E51"/>
    <w:rsid w:val="00BB521E"/>
    <w:rsid w:val="00BB5A95"/>
    <w:rsid w:val="00BB6844"/>
    <w:rsid w:val="00BC21E9"/>
    <w:rsid w:val="00BC5256"/>
    <w:rsid w:val="00BC70A0"/>
    <w:rsid w:val="00BD141B"/>
    <w:rsid w:val="00BD2DC7"/>
    <w:rsid w:val="00BD73D9"/>
    <w:rsid w:val="00BE26AE"/>
    <w:rsid w:val="00BF098A"/>
    <w:rsid w:val="00BF13F1"/>
    <w:rsid w:val="00BF7A2A"/>
    <w:rsid w:val="00C06CCF"/>
    <w:rsid w:val="00C20BE9"/>
    <w:rsid w:val="00C21642"/>
    <w:rsid w:val="00C218B9"/>
    <w:rsid w:val="00C24664"/>
    <w:rsid w:val="00C25B20"/>
    <w:rsid w:val="00C41A5B"/>
    <w:rsid w:val="00C422F2"/>
    <w:rsid w:val="00C44106"/>
    <w:rsid w:val="00C52780"/>
    <w:rsid w:val="00C5285B"/>
    <w:rsid w:val="00C52F0D"/>
    <w:rsid w:val="00C53347"/>
    <w:rsid w:val="00C55BF5"/>
    <w:rsid w:val="00C61D7E"/>
    <w:rsid w:val="00C72F0E"/>
    <w:rsid w:val="00C777F1"/>
    <w:rsid w:val="00C800B3"/>
    <w:rsid w:val="00C801D4"/>
    <w:rsid w:val="00C8067F"/>
    <w:rsid w:val="00C8131E"/>
    <w:rsid w:val="00C83300"/>
    <w:rsid w:val="00C845CD"/>
    <w:rsid w:val="00C84CC3"/>
    <w:rsid w:val="00C87830"/>
    <w:rsid w:val="00C87D7C"/>
    <w:rsid w:val="00C90965"/>
    <w:rsid w:val="00C97B81"/>
    <w:rsid w:val="00CA164E"/>
    <w:rsid w:val="00CA3B15"/>
    <w:rsid w:val="00CA3E14"/>
    <w:rsid w:val="00CB0EF2"/>
    <w:rsid w:val="00CB12B4"/>
    <w:rsid w:val="00CB1E3E"/>
    <w:rsid w:val="00CB47BE"/>
    <w:rsid w:val="00CB4FF2"/>
    <w:rsid w:val="00CB7369"/>
    <w:rsid w:val="00CC3076"/>
    <w:rsid w:val="00CC6853"/>
    <w:rsid w:val="00CC746C"/>
    <w:rsid w:val="00CD223F"/>
    <w:rsid w:val="00CD2A18"/>
    <w:rsid w:val="00CD2F15"/>
    <w:rsid w:val="00CD5113"/>
    <w:rsid w:val="00CD561E"/>
    <w:rsid w:val="00CD65BD"/>
    <w:rsid w:val="00CE0FBC"/>
    <w:rsid w:val="00CE5414"/>
    <w:rsid w:val="00CF0238"/>
    <w:rsid w:val="00CF27CE"/>
    <w:rsid w:val="00CF4DA6"/>
    <w:rsid w:val="00CF50AD"/>
    <w:rsid w:val="00CF556D"/>
    <w:rsid w:val="00CF6D56"/>
    <w:rsid w:val="00D00C8C"/>
    <w:rsid w:val="00D035EC"/>
    <w:rsid w:val="00D04FAD"/>
    <w:rsid w:val="00D10BFD"/>
    <w:rsid w:val="00D20B2E"/>
    <w:rsid w:val="00D24360"/>
    <w:rsid w:val="00D25AFD"/>
    <w:rsid w:val="00D2777A"/>
    <w:rsid w:val="00D334F5"/>
    <w:rsid w:val="00D33E4B"/>
    <w:rsid w:val="00D3726E"/>
    <w:rsid w:val="00D372DC"/>
    <w:rsid w:val="00D417E2"/>
    <w:rsid w:val="00D4298B"/>
    <w:rsid w:val="00D42BC1"/>
    <w:rsid w:val="00D43B5F"/>
    <w:rsid w:val="00D45EBF"/>
    <w:rsid w:val="00D52C68"/>
    <w:rsid w:val="00D533CA"/>
    <w:rsid w:val="00D56870"/>
    <w:rsid w:val="00D63736"/>
    <w:rsid w:val="00D658B6"/>
    <w:rsid w:val="00D6750F"/>
    <w:rsid w:val="00D741AC"/>
    <w:rsid w:val="00D85E6B"/>
    <w:rsid w:val="00D91B37"/>
    <w:rsid w:val="00D94A65"/>
    <w:rsid w:val="00D957A9"/>
    <w:rsid w:val="00DA0B88"/>
    <w:rsid w:val="00DA5E14"/>
    <w:rsid w:val="00DA665C"/>
    <w:rsid w:val="00DB0109"/>
    <w:rsid w:val="00DB5FA5"/>
    <w:rsid w:val="00DB6EFF"/>
    <w:rsid w:val="00DC2162"/>
    <w:rsid w:val="00DC32BC"/>
    <w:rsid w:val="00DD30CB"/>
    <w:rsid w:val="00DD3227"/>
    <w:rsid w:val="00DD4816"/>
    <w:rsid w:val="00DD4A3F"/>
    <w:rsid w:val="00DD56A4"/>
    <w:rsid w:val="00DD5A07"/>
    <w:rsid w:val="00DD721A"/>
    <w:rsid w:val="00DD7373"/>
    <w:rsid w:val="00DE04CD"/>
    <w:rsid w:val="00DE0CDC"/>
    <w:rsid w:val="00DE238D"/>
    <w:rsid w:val="00DE3B54"/>
    <w:rsid w:val="00DE3FAF"/>
    <w:rsid w:val="00DE61E8"/>
    <w:rsid w:val="00DE6823"/>
    <w:rsid w:val="00DF082E"/>
    <w:rsid w:val="00DF0895"/>
    <w:rsid w:val="00DF4DF2"/>
    <w:rsid w:val="00DF5416"/>
    <w:rsid w:val="00DF7E25"/>
    <w:rsid w:val="00E03B23"/>
    <w:rsid w:val="00E04F69"/>
    <w:rsid w:val="00E10A7E"/>
    <w:rsid w:val="00E14B43"/>
    <w:rsid w:val="00E16D7D"/>
    <w:rsid w:val="00E20913"/>
    <w:rsid w:val="00E262C0"/>
    <w:rsid w:val="00E263C1"/>
    <w:rsid w:val="00E27F71"/>
    <w:rsid w:val="00E43B42"/>
    <w:rsid w:val="00E4498F"/>
    <w:rsid w:val="00E52E88"/>
    <w:rsid w:val="00E53709"/>
    <w:rsid w:val="00E628D3"/>
    <w:rsid w:val="00E646B1"/>
    <w:rsid w:val="00E66856"/>
    <w:rsid w:val="00E675BA"/>
    <w:rsid w:val="00E736C2"/>
    <w:rsid w:val="00E753A0"/>
    <w:rsid w:val="00E859A8"/>
    <w:rsid w:val="00E87822"/>
    <w:rsid w:val="00E91F17"/>
    <w:rsid w:val="00EA03ED"/>
    <w:rsid w:val="00EA2FD2"/>
    <w:rsid w:val="00EA3CCF"/>
    <w:rsid w:val="00EB09D0"/>
    <w:rsid w:val="00EB672E"/>
    <w:rsid w:val="00EB7621"/>
    <w:rsid w:val="00EC0337"/>
    <w:rsid w:val="00EC0702"/>
    <w:rsid w:val="00EC07DF"/>
    <w:rsid w:val="00EC1E6D"/>
    <w:rsid w:val="00EC1ED5"/>
    <w:rsid w:val="00EC22EB"/>
    <w:rsid w:val="00EC3B75"/>
    <w:rsid w:val="00ED22C8"/>
    <w:rsid w:val="00ED2586"/>
    <w:rsid w:val="00EE0A45"/>
    <w:rsid w:val="00EE4F85"/>
    <w:rsid w:val="00EF49D9"/>
    <w:rsid w:val="00F00D92"/>
    <w:rsid w:val="00F10BAC"/>
    <w:rsid w:val="00F11196"/>
    <w:rsid w:val="00F17B89"/>
    <w:rsid w:val="00F2239B"/>
    <w:rsid w:val="00F2549B"/>
    <w:rsid w:val="00F300F3"/>
    <w:rsid w:val="00F36DC3"/>
    <w:rsid w:val="00F37139"/>
    <w:rsid w:val="00F37EB3"/>
    <w:rsid w:val="00F37FCA"/>
    <w:rsid w:val="00F43986"/>
    <w:rsid w:val="00F4596C"/>
    <w:rsid w:val="00F53831"/>
    <w:rsid w:val="00F569AC"/>
    <w:rsid w:val="00F5774E"/>
    <w:rsid w:val="00F57F75"/>
    <w:rsid w:val="00F60686"/>
    <w:rsid w:val="00F6561E"/>
    <w:rsid w:val="00F7274E"/>
    <w:rsid w:val="00F72885"/>
    <w:rsid w:val="00F73CAA"/>
    <w:rsid w:val="00F85DC2"/>
    <w:rsid w:val="00F90CA3"/>
    <w:rsid w:val="00F94AE9"/>
    <w:rsid w:val="00FA235A"/>
    <w:rsid w:val="00FB213F"/>
    <w:rsid w:val="00FB66A7"/>
    <w:rsid w:val="00FB77D5"/>
    <w:rsid w:val="00FC3915"/>
    <w:rsid w:val="00FC67EF"/>
    <w:rsid w:val="00FD17E8"/>
    <w:rsid w:val="00FD36BC"/>
    <w:rsid w:val="00FD4EE6"/>
    <w:rsid w:val="00FD66AF"/>
    <w:rsid w:val="00FE795A"/>
    <w:rsid w:val="00FF3D67"/>
    <w:rsid w:val="00FF5182"/>
    <w:rsid w:val="00FF6E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44A20"/>
  <w15:docId w15:val="{624CF743-3FEB-40D7-A731-CB05F16D5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52D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52D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2152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265E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D98"/>
    <w:pPr>
      <w:ind w:left="720"/>
      <w:contextualSpacing/>
    </w:pPr>
    <w:rPr>
      <w:rFonts w:ascii="Calibri" w:eastAsia="Calibri" w:hAnsi="Calibri" w:cs="Times New Roman"/>
    </w:rPr>
  </w:style>
  <w:style w:type="character" w:customStyle="1" w:styleId="Heading2Char">
    <w:name w:val="Heading 2 Char"/>
    <w:basedOn w:val="DefaultParagraphFont"/>
    <w:link w:val="Heading2"/>
    <w:uiPriority w:val="9"/>
    <w:rsid w:val="00452D98"/>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52D9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21520"/>
    <w:rPr>
      <w:rFonts w:asciiTheme="majorHAnsi" w:eastAsiaTheme="majorEastAsia" w:hAnsiTheme="majorHAnsi" w:cstheme="majorBidi"/>
      <w:b/>
      <w:bCs/>
      <w:color w:val="4F81BD" w:themeColor="accent1"/>
    </w:rPr>
  </w:style>
  <w:style w:type="paragraph" w:styleId="Bibliography">
    <w:name w:val="Bibliography"/>
    <w:basedOn w:val="Normal"/>
    <w:next w:val="Normal"/>
    <w:uiPriority w:val="37"/>
    <w:unhideWhenUsed/>
    <w:rsid w:val="005B562E"/>
    <w:pPr>
      <w:spacing w:after="240" w:line="240" w:lineRule="auto"/>
    </w:pPr>
  </w:style>
  <w:style w:type="table" w:styleId="TableGrid">
    <w:name w:val="Table Grid"/>
    <w:basedOn w:val="TableNormal"/>
    <w:uiPriority w:val="59"/>
    <w:rsid w:val="00943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Accent11">
    <w:name w:val="List Table 6 Colorful - Accent 11"/>
    <w:basedOn w:val="TableNormal"/>
    <w:uiPriority w:val="51"/>
    <w:rsid w:val="000F6453"/>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6249D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LightShading-Accent1">
    <w:name w:val="Light Shading Accent 1"/>
    <w:basedOn w:val="TableNormal"/>
    <w:uiPriority w:val="60"/>
    <w:rsid w:val="003C08B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3C08B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E20913"/>
    <w:rPr>
      <w:sz w:val="16"/>
      <w:szCs w:val="16"/>
    </w:rPr>
  </w:style>
  <w:style w:type="paragraph" w:styleId="CommentText">
    <w:name w:val="annotation text"/>
    <w:basedOn w:val="Normal"/>
    <w:link w:val="CommentTextChar"/>
    <w:uiPriority w:val="99"/>
    <w:semiHidden/>
    <w:unhideWhenUsed/>
    <w:rsid w:val="00E20913"/>
    <w:pPr>
      <w:spacing w:line="240" w:lineRule="auto"/>
    </w:pPr>
    <w:rPr>
      <w:sz w:val="20"/>
      <w:szCs w:val="20"/>
    </w:rPr>
  </w:style>
  <w:style w:type="character" w:customStyle="1" w:styleId="CommentTextChar">
    <w:name w:val="Comment Text Char"/>
    <w:basedOn w:val="DefaultParagraphFont"/>
    <w:link w:val="CommentText"/>
    <w:uiPriority w:val="99"/>
    <w:semiHidden/>
    <w:rsid w:val="00E20913"/>
    <w:rPr>
      <w:sz w:val="20"/>
      <w:szCs w:val="20"/>
    </w:rPr>
  </w:style>
  <w:style w:type="paragraph" w:styleId="CommentSubject">
    <w:name w:val="annotation subject"/>
    <w:basedOn w:val="CommentText"/>
    <w:next w:val="CommentText"/>
    <w:link w:val="CommentSubjectChar"/>
    <w:uiPriority w:val="99"/>
    <w:semiHidden/>
    <w:unhideWhenUsed/>
    <w:rsid w:val="00E20913"/>
    <w:rPr>
      <w:b/>
      <w:bCs/>
    </w:rPr>
  </w:style>
  <w:style w:type="character" w:customStyle="1" w:styleId="CommentSubjectChar">
    <w:name w:val="Comment Subject Char"/>
    <w:basedOn w:val="CommentTextChar"/>
    <w:link w:val="CommentSubject"/>
    <w:uiPriority w:val="99"/>
    <w:semiHidden/>
    <w:rsid w:val="00E20913"/>
    <w:rPr>
      <w:b/>
      <w:bCs/>
      <w:sz w:val="20"/>
      <w:szCs w:val="20"/>
    </w:rPr>
  </w:style>
  <w:style w:type="paragraph" w:styleId="BalloonText">
    <w:name w:val="Balloon Text"/>
    <w:basedOn w:val="Normal"/>
    <w:link w:val="BalloonTextChar"/>
    <w:uiPriority w:val="99"/>
    <w:semiHidden/>
    <w:unhideWhenUsed/>
    <w:rsid w:val="00E20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913"/>
    <w:rPr>
      <w:rFonts w:ascii="Tahoma" w:hAnsi="Tahoma" w:cs="Tahoma"/>
      <w:sz w:val="16"/>
      <w:szCs w:val="16"/>
    </w:rPr>
  </w:style>
  <w:style w:type="character" w:customStyle="1" w:styleId="Heading4Char">
    <w:name w:val="Heading 4 Char"/>
    <w:basedOn w:val="DefaultParagraphFont"/>
    <w:link w:val="Heading4"/>
    <w:uiPriority w:val="9"/>
    <w:rsid w:val="004265E6"/>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7E12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251"/>
  </w:style>
  <w:style w:type="paragraph" w:styleId="Footer">
    <w:name w:val="footer"/>
    <w:basedOn w:val="Normal"/>
    <w:link w:val="FooterChar"/>
    <w:uiPriority w:val="99"/>
    <w:unhideWhenUsed/>
    <w:rsid w:val="007E12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251"/>
  </w:style>
  <w:style w:type="character" w:styleId="PlaceholderText">
    <w:name w:val="Placeholder Text"/>
    <w:basedOn w:val="DefaultParagraphFont"/>
    <w:uiPriority w:val="99"/>
    <w:semiHidden/>
    <w:rsid w:val="000C036A"/>
    <w:rPr>
      <w:color w:val="808080"/>
    </w:rPr>
  </w:style>
  <w:style w:type="character" w:styleId="Strong">
    <w:name w:val="Strong"/>
    <w:basedOn w:val="DefaultParagraphFont"/>
    <w:uiPriority w:val="22"/>
    <w:qFormat/>
    <w:rsid w:val="00562AC8"/>
    <w:rPr>
      <w:b/>
      <w:bCs/>
    </w:rPr>
  </w:style>
  <w:style w:type="character" w:styleId="Hyperlink">
    <w:name w:val="Hyperlink"/>
    <w:basedOn w:val="DefaultParagraphFont"/>
    <w:uiPriority w:val="99"/>
    <w:unhideWhenUsed/>
    <w:rsid w:val="004E65D6"/>
    <w:rPr>
      <w:color w:val="0000FF"/>
      <w:u w:val="single"/>
    </w:rPr>
  </w:style>
  <w:style w:type="table" w:customStyle="1" w:styleId="PlainTable21">
    <w:name w:val="Plain Table 21"/>
    <w:basedOn w:val="TableNormal"/>
    <w:uiPriority w:val="42"/>
    <w:rsid w:val="00386CF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230DA8"/>
  </w:style>
  <w:style w:type="table" w:customStyle="1" w:styleId="TableGrid1">
    <w:name w:val="Table Grid1"/>
    <w:basedOn w:val="TableNormal"/>
    <w:next w:val="TableGrid"/>
    <w:uiPriority w:val="59"/>
    <w:rsid w:val="004F5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5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3171706">
      <w:bodyDiv w:val="1"/>
      <w:marLeft w:val="0"/>
      <w:marRight w:val="0"/>
      <w:marTop w:val="0"/>
      <w:marBottom w:val="0"/>
      <w:divBdr>
        <w:top w:val="none" w:sz="0" w:space="0" w:color="auto"/>
        <w:left w:val="none" w:sz="0" w:space="0" w:color="auto"/>
        <w:bottom w:val="none" w:sz="0" w:space="0" w:color="auto"/>
        <w:right w:val="none" w:sz="0" w:space="0" w:color="auto"/>
      </w:divBdr>
    </w:div>
    <w:div w:id="1802116795">
      <w:bodyDiv w:val="1"/>
      <w:marLeft w:val="0"/>
      <w:marRight w:val="0"/>
      <w:marTop w:val="0"/>
      <w:marBottom w:val="0"/>
      <w:divBdr>
        <w:top w:val="none" w:sz="0" w:space="0" w:color="auto"/>
        <w:left w:val="none" w:sz="0" w:space="0" w:color="auto"/>
        <w:bottom w:val="none" w:sz="0" w:space="0" w:color="auto"/>
        <w:right w:val="none" w:sz="0" w:space="0" w:color="auto"/>
      </w:divBdr>
      <w:divsChild>
        <w:div w:id="971446811">
          <w:marLeft w:val="0"/>
          <w:marRight w:val="0"/>
          <w:marTop w:val="0"/>
          <w:marBottom w:val="0"/>
          <w:divBdr>
            <w:top w:val="none" w:sz="0" w:space="0" w:color="auto"/>
            <w:left w:val="none" w:sz="0" w:space="0" w:color="auto"/>
            <w:bottom w:val="none" w:sz="0" w:space="0" w:color="auto"/>
            <w:right w:val="none" w:sz="0" w:space="0" w:color="auto"/>
          </w:divBdr>
          <w:divsChild>
            <w:div w:id="2143768520">
              <w:marLeft w:val="0"/>
              <w:marRight w:val="0"/>
              <w:marTop w:val="0"/>
              <w:marBottom w:val="0"/>
              <w:divBdr>
                <w:top w:val="none" w:sz="0" w:space="0" w:color="auto"/>
                <w:left w:val="none" w:sz="0" w:space="0" w:color="auto"/>
                <w:bottom w:val="none" w:sz="0" w:space="0" w:color="auto"/>
                <w:right w:val="none" w:sz="0" w:space="0" w:color="auto"/>
              </w:divBdr>
            </w:div>
          </w:divsChild>
        </w:div>
        <w:div w:id="56587674">
          <w:marLeft w:val="0"/>
          <w:marRight w:val="0"/>
          <w:marTop w:val="0"/>
          <w:marBottom w:val="0"/>
          <w:divBdr>
            <w:top w:val="none" w:sz="0" w:space="0" w:color="auto"/>
            <w:left w:val="none" w:sz="0" w:space="0" w:color="auto"/>
            <w:bottom w:val="none" w:sz="0" w:space="0" w:color="auto"/>
            <w:right w:val="none" w:sz="0" w:space="0" w:color="auto"/>
          </w:divBdr>
        </w:div>
        <w:div w:id="1285505709">
          <w:marLeft w:val="0"/>
          <w:marRight w:val="0"/>
          <w:marTop w:val="0"/>
          <w:marBottom w:val="0"/>
          <w:divBdr>
            <w:top w:val="none" w:sz="0" w:space="0" w:color="auto"/>
            <w:left w:val="none" w:sz="0" w:space="0" w:color="auto"/>
            <w:bottom w:val="none" w:sz="0" w:space="0" w:color="auto"/>
            <w:right w:val="none" w:sz="0" w:space="0" w:color="auto"/>
          </w:divBdr>
        </w:div>
        <w:div w:id="357581791">
          <w:marLeft w:val="0"/>
          <w:marRight w:val="0"/>
          <w:marTop w:val="0"/>
          <w:marBottom w:val="0"/>
          <w:divBdr>
            <w:top w:val="none" w:sz="0" w:space="0" w:color="auto"/>
            <w:left w:val="none" w:sz="0" w:space="0" w:color="auto"/>
            <w:bottom w:val="none" w:sz="0" w:space="0" w:color="auto"/>
            <w:right w:val="none" w:sz="0" w:space="0" w:color="auto"/>
          </w:divBdr>
        </w:div>
        <w:div w:id="1276324912">
          <w:marLeft w:val="0"/>
          <w:marRight w:val="0"/>
          <w:marTop w:val="0"/>
          <w:marBottom w:val="0"/>
          <w:divBdr>
            <w:top w:val="none" w:sz="0" w:space="0" w:color="auto"/>
            <w:left w:val="none" w:sz="0" w:space="0" w:color="auto"/>
            <w:bottom w:val="none" w:sz="0" w:space="0" w:color="auto"/>
            <w:right w:val="none" w:sz="0" w:space="0" w:color="auto"/>
          </w:divBdr>
        </w:div>
        <w:div w:id="1261916522">
          <w:marLeft w:val="0"/>
          <w:marRight w:val="0"/>
          <w:marTop w:val="0"/>
          <w:marBottom w:val="0"/>
          <w:divBdr>
            <w:top w:val="none" w:sz="0" w:space="0" w:color="auto"/>
            <w:left w:val="none" w:sz="0" w:space="0" w:color="auto"/>
            <w:bottom w:val="none" w:sz="0" w:space="0" w:color="auto"/>
            <w:right w:val="none" w:sz="0" w:space="0" w:color="auto"/>
          </w:divBdr>
        </w:div>
        <w:div w:id="2052456822">
          <w:marLeft w:val="0"/>
          <w:marRight w:val="0"/>
          <w:marTop w:val="0"/>
          <w:marBottom w:val="0"/>
          <w:divBdr>
            <w:top w:val="none" w:sz="0" w:space="0" w:color="auto"/>
            <w:left w:val="none" w:sz="0" w:space="0" w:color="auto"/>
            <w:bottom w:val="none" w:sz="0" w:space="0" w:color="auto"/>
            <w:right w:val="none" w:sz="0" w:space="0" w:color="auto"/>
          </w:divBdr>
        </w:div>
        <w:div w:id="640498751">
          <w:marLeft w:val="0"/>
          <w:marRight w:val="0"/>
          <w:marTop w:val="0"/>
          <w:marBottom w:val="0"/>
          <w:divBdr>
            <w:top w:val="none" w:sz="0" w:space="0" w:color="auto"/>
            <w:left w:val="none" w:sz="0" w:space="0" w:color="auto"/>
            <w:bottom w:val="none" w:sz="0" w:space="0" w:color="auto"/>
            <w:right w:val="none" w:sz="0" w:space="0" w:color="auto"/>
          </w:divBdr>
        </w:div>
        <w:div w:id="1548681769">
          <w:marLeft w:val="0"/>
          <w:marRight w:val="0"/>
          <w:marTop w:val="0"/>
          <w:marBottom w:val="0"/>
          <w:divBdr>
            <w:top w:val="none" w:sz="0" w:space="0" w:color="auto"/>
            <w:left w:val="none" w:sz="0" w:space="0" w:color="auto"/>
            <w:bottom w:val="none" w:sz="0" w:space="0" w:color="auto"/>
            <w:right w:val="none" w:sz="0" w:space="0" w:color="auto"/>
          </w:divBdr>
        </w:div>
        <w:div w:id="1497962593">
          <w:marLeft w:val="0"/>
          <w:marRight w:val="0"/>
          <w:marTop w:val="0"/>
          <w:marBottom w:val="0"/>
          <w:divBdr>
            <w:top w:val="none" w:sz="0" w:space="0" w:color="auto"/>
            <w:left w:val="none" w:sz="0" w:space="0" w:color="auto"/>
            <w:bottom w:val="none" w:sz="0" w:space="0" w:color="auto"/>
            <w:right w:val="none" w:sz="0" w:space="0" w:color="auto"/>
          </w:divBdr>
        </w:div>
        <w:div w:id="1322348200">
          <w:marLeft w:val="0"/>
          <w:marRight w:val="0"/>
          <w:marTop w:val="0"/>
          <w:marBottom w:val="0"/>
          <w:divBdr>
            <w:top w:val="none" w:sz="0" w:space="0" w:color="auto"/>
            <w:left w:val="none" w:sz="0" w:space="0" w:color="auto"/>
            <w:bottom w:val="none" w:sz="0" w:space="0" w:color="auto"/>
            <w:right w:val="none" w:sz="0" w:space="0" w:color="auto"/>
          </w:divBdr>
        </w:div>
        <w:div w:id="1350789029">
          <w:marLeft w:val="0"/>
          <w:marRight w:val="0"/>
          <w:marTop w:val="0"/>
          <w:marBottom w:val="0"/>
          <w:divBdr>
            <w:top w:val="none" w:sz="0" w:space="0" w:color="auto"/>
            <w:left w:val="none" w:sz="0" w:space="0" w:color="auto"/>
            <w:bottom w:val="none" w:sz="0" w:space="0" w:color="auto"/>
            <w:right w:val="none" w:sz="0" w:space="0" w:color="auto"/>
          </w:divBdr>
        </w:div>
        <w:div w:id="1574001410">
          <w:marLeft w:val="0"/>
          <w:marRight w:val="0"/>
          <w:marTop w:val="0"/>
          <w:marBottom w:val="0"/>
          <w:divBdr>
            <w:top w:val="none" w:sz="0" w:space="0" w:color="auto"/>
            <w:left w:val="none" w:sz="0" w:space="0" w:color="auto"/>
            <w:bottom w:val="none" w:sz="0" w:space="0" w:color="auto"/>
            <w:right w:val="none" w:sz="0" w:space="0" w:color="auto"/>
          </w:divBdr>
        </w:div>
        <w:div w:id="2055497036">
          <w:marLeft w:val="0"/>
          <w:marRight w:val="0"/>
          <w:marTop w:val="0"/>
          <w:marBottom w:val="0"/>
          <w:divBdr>
            <w:top w:val="none" w:sz="0" w:space="0" w:color="auto"/>
            <w:left w:val="none" w:sz="0" w:space="0" w:color="auto"/>
            <w:bottom w:val="none" w:sz="0" w:space="0" w:color="auto"/>
            <w:right w:val="none" w:sz="0" w:space="0" w:color="auto"/>
          </w:divBdr>
        </w:div>
        <w:div w:id="1145512213">
          <w:marLeft w:val="0"/>
          <w:marRight w:val="0"/>
          <w:marTop w:val="0"/>
          <w:marBottom w:val="0"/>
          <w:divBdr>
            <w:top w:val="none" w:sz="0" w:space="0" w:color="auto"/>
            <w:left w:val="none" w:sz="0" w:space="0" w:color="auto"/>
            <w:bottom w:val="none" w:sz="0" w:space="0" w:color="auto"/>
            <w:right w:val="none" w:sz="0" w:space="0" w:color="auto"/>
          </w:divBdr>
        </w:div>
        <w:div w:id="1182353210">
          <w:marLeft w:val="0"/>
          <w:marRight w:val="0"/>
          <w:marTop w:val="0"/>
          <w:marBottom w:val="0"/>
          <w:divBdr>
            <w:top w:val="none" w:sz="0" w:space="0" w:color="auto"/>
            <w:left w:val="none" w:sz="0" w:space="0" w:color="auto"/>
            <w:bottom w:val="none" w:sz="0" w:space="0" w:color="auto"/>
            <w:right w:val="none" w:sz="0" w:space="0" w:color="auto"/>
          </w:divBdr>
        </w:div>
        <w:div w:id="630987907">
          <w:marLeft w:val="0"/>
          <w:marRight w:val="0"/>
          <w:marTop w:val="0"/>
          <w:marBottom w:val="0"/>
          <w:divBdr>
            <w:top w:val="none" w:sz="0" w:space="0" w:color="auto"/>
            <w:left w:val="none" w:sz="0" w:space="0" w:color="auto"/>
            <w:bottom w:val="none" w:sz="0" w:space="0" w:color="auto"/>
            <w:right w:val="none" w:sz="0" w:space="0" w:color="auto"/>
          </w:divBdr>
        </w:div>
        <w:div w:id="1592229771">
          <w:marLeft w:val="0"/>
          <w:marRight w:val="0"/>
          <w:marTop w:val="0"/>
          <w:marBottom w:val="0"/>
          <w:divBdr>
            <w:top w:val="none" w:sz="0" w:space="0" w:color="auto"/>
            <w:left w:val="none" w:sz="0" w:space="0" w:color="auto"/>
            <w:bottom w:val="none" w:sz="0" w:space="0" w:color="auto"/>
            <w:right w:val="none" w:sz="0" w:space="0" w:color="auto"/>
          </w:divBdr>
        </w:div>
        <w:div w:id="828324030">
          <w:marLeft w:val="0"/>
          <w:marRight w:val="0"/>
          <w:marTop w:val="0"/>
          <w:marBottom w:val="0"/>
          <w:divBdr>
            <w:top w:val="none" w:sz="0" w:space="0" w:color="auto"/>
            <w:left w:val="none" w:sz="0" w:space="0" w:color="auto"/>
            <w:bottom w:val="none" w:sz="0" w:space="0" w:color="auto"/>
            <w:right w:val="none" w:sz="0" w:space="0" w:color="auto"/>
          </w:divBdr>
        </w:div>
        <w:div w:id="2055230467">
          <w:marLeft w:val="0"/>
          <w:marRight w:val="0"/>
          <w:marTop w:val="0"/>
          <w:marBottom w:val="0"/>
          <w:divBdr>
            <w:top w:val="none" w:sz="0" w:space="0" w:color="auto"/>
            <w:left w:val="none" w:sz="0" w:space="0" w:color="auto"/>
            <w:bottom w:val="none" w:sz="0" w:space="0" w:color="auto"/>
            <w:right w:val="none" w:sz="0" w:space="0" w:color="auto"/>
          </w:divBdr>
        </w:div>
        <w:div w:id="688486370">
          <w:marLeft w:val="0"/>
          <w:marRight w:val="0"/>
          <w:marTop w:val="0"/>
          <w:marBottom w:val="0"/>
          <w:divBdr>
            <w:top w:val="none" w:sz="0" w:space="0" w:color="auto"/>
            <w:left w:val="none" w:sz="0" w:space="0" w:color="auto"/>
            <w:bottom w:val="none" w:sz="0" w:space="0" w:color="auto"/>
            <w:right w:val="none" w:sz="0" w:space="0" w:color="auto"/>
          </w:divBdr>
        </w:div>
        <w:div w:id="1151209964">
          <w:marLeft w:val="0"/>
          <w:marRight w:val="0"/>
          <w:marTop w:val="0"/>
          <w:marBottom w:val="0"/>
          <w:divBdr>
            <w:top w:val="none" w:sz="0" w:space="0" w:color="auto"/>
            <w:left w:val="none" w:sz="0" w:space="0" w:color="auto"/>
            <w:bottom w:val="none" w:sz="0" w:space="0" w:color="auto"/>
            <w:right w:val="none" w:sz="0" w:space="0" w:color="auto"/>
          </w:divBdr>
        </w:div>
        <w:div w:id="361563504">
          <w:marLeft w:val="0"/>
          <w:marRight w:val="0"/>
          <w:marTop w:val="0"/>
          <w:marBottom w:val="0"/>
          <w:divBdr>
            <w:top w:val="none" w:sz="0" w:space="0" w:color="auto"/>
            <w:left w:val="none" w:sz="0" w:space="0" w:color="auto"/>
            <w:bottom w:val="none" w:sz="0" w:space="0" w:color="auto"/>
            <w:right w:val="none" w:sz="0" w:space="0" w:color="auto"/>
          </w:divBdr>
        </w:div>
        <w:div w:id="348991270">
          <w:marLeft w:val="0"/>
          <w:marRight w:val="0"/>
          <w:marTop w:val="0"/>
          <w:marBottom w:val="0"/>
          <w:divBdr>
            <w:top w:val="none" w:sz="0" w:space="0" w:color="auto"/>
            <w:left w:val="none" w:sz="0" w:space="0" w:color="auto"/>
            <w:bottom w:val="none" w:sz="0" w:space="0" w:color="auto"/>
            <w:right w:val="none" w:sz="0" w:space="0" w:color="auto"/>
          </w:divBdr>
        </w:div>
        <w:div w:id="1712805230">
          <w:marLeft w:val="0"/>
          <w:marRight w:val="0"/>
          <w:marTop w:val="0"/>
          <w:marBottom w:val="0"/>
          <w:divBdr>
            <w:top w:val="none" w:sz="0" w:space="0" w:color="auto"/>
            <w:left w:val="none" w:sz="0" w:space="0" w:color="auto"/>
            <w:bottom w:val="none" w:sz="0" w:space="0" w:color="auto"/>
            <w:right w:val="none" w:sz="0" w:space="0" w:color="auto"/>
          </w:divBdr>
        </w:div>
        <w:div w:id="1974020684">
          <w:marLeft w:val="0"/>
          <w:marRight w:val="0"/>
          <w:marTop w:val="0"/>
          <w:marBottom w:val="0"/>
          <w:divBdr>
            <w:top w:val="none" w:sz="0" w:space="0" w:color="auto"/>
            <w:left w:val="none" w:sz="0" w:space="0" w:color="auto"/>
            <w:bottom w:val="none" w:sz="0" w:space="0" w:color="auto"/>
            <w:right w:val="none" w:sz="0" w:space="0" w:color="auto"/>
          </w:divBdr>
        </w:div>
        <w:div w:id="691735088">
          <w:marLeft w:val="0"/>
          <w:marRight w:val="0"/>
          <w:marTop w:val="0"/>
          <w:marBottom w:val="0"/>
          <w:divBdr>
            <w:top w:val="none" w:sz="0" w:space="0" w:color="auto"/>
            <w:left w:val="none" w:sz="0" w:space="0" w:color="auto"/>
            <w:bottom w:val="none" w:sz="0" w:space="0" w:color="auto"/>
            <w:right w:val="none" w:sz="0" w:space="0" w:color="auto"/>
          </w:divBdr>
        </w:div>
        <w:div w:id="1758164999">
          <w:marLeft w:val="0"/>
          <w:marRight w:val="0"/>
          <w:marTop w:val="0"/>
          <w:marBottom w:val="0"/>
          <w:divBdr>
            <w:top w:val="none" w:sz="0" w:space="0" w:color="auto"/>
            <w:left w:val="none" w:sz="0" w:space="0" w:color="auto"/>
            <w:bottom w:val="none" w:sz="0" w:space="0" w:color="auto"/>
            <w:right w:val="none" w:sz="0" w:space="0" w:color="auto"/>
          </w:divBdr>
        </w:div>
        <w:div w:id="1072701215">
          <w:marLeft w:val="0"/>
          <w:marRight w:val="0"/>
          <w:marTop w:val="0"/>
          <w:marBottom w:val="0"/>
          <w:divBdr>
            <w:top w:val="none" w:sz="0" w:space="0" w:color="auto"/>
            <w:left w:val="none" w:sz="0" w:space="0" w:color="auto"/>
            <w:bottom w:val="none" w:sz="0" w:space="0" w:color="auto"/>
            <w:right w:val="none" w:sz="0" w:space="0" w:color="auto"/>
          </w:divBdr>
        </w:div>
        <w:div w:id="1779063586">
          <w:marLeft w:val="0"/>
          <w:marRight w:val="0"/>
          <w:marTop w:val="0"/>
          <w:marBottom w:val="0"/>
          <w:divBdr>
            <w:top w:val="none" w:sz="0" w:space="0" w:color="auto"/>
            <w:left w:val="none" w:sz="0" w:space="0" w:color="auto"/>
            <w:bottom w:val="none" w:sz="0" w:space="0" w:color="auto"/>
            <w:right w:val="none" w:sz="0" w:space="0" w:color="auto"/>
          </w:divBdr>
        </w:div>
        <w:div w:id="1511674252">
          <w:marLeft w:val="0"/>
          <w:marRight w:val="0"/>
          <w:marTop w:val="0"/>
          <w:marBottom w:val="0"/>
          <w:divBdr>
            <w:top w:val="none" w:sz="0" w:space="0" w:color="auto"/>
            <w:left w:val="none" w:sz="0" w:space="0" w:color="auto"/>
            <w:bottom w:val="none" w:sz="0" w:space="0" w:color="auto"/>
            <w:right w:val="none" w:sz="0" w:space="0" w:color="auto"/>
          </w:divBdr>
        </w:div>
        <w:div w:id="34233585">
          <w:marLeft w:val="0"/>
          <w:marRight w:val="0"/>
          <w:marTop w:val="0"/>
          <w:marBottom w:val="0"/>
          <w:divBdr>
            <w:top w:val="none" w:sz="0" w:space="0" w:color="auto"/>
            <w:left w:val="none" w:sz="0" w:space="0" w:color="auto"/>
            <w:bottom w:val="none" w:sz="0" w:space="0" w:color="auto"/>
            <w:right w:val="none" w:sz="0" w:space="0" w:color="auto"/>
          </w:divBdr>
        </w:div>
        <w:div w:id="783498543">
          <w:marLeft w:val="0"/>
          <w:marRight w:val="0"/>
          <w:marTop w:val="0"/>
          <w:marBottom w:val="0"/>
          <w:divBdr>
            <w:top w:val="none" w:sz="0" w:space="0" w:color="auto"/>
            <w:left w:val="none" w:sz="0" w:space="0" w:color="auto"/>
            <w:bottom w:val="none" w:sz="0" w:space="0" w:color="auto"/>
            <w:right w:val="none" w:sz="0" w:space="0" w:color="auto"/>
          </w:divBdr>
        </w:div>
        <w:div w:id="1166819748">
          <w:marLeft w:val="0"/>
          <w:marRight w:val="0"/>
          <w:marTop w:val="0"/>
          <w:marBottom w:val="0"/>
          <w:divBdr>
            <w:top w:val="none" w:sz="0" w:space="0" w:color="auto"/>
            <w:left w:val="none" w:sz="0" w:space="0" w:color="auto"/>
            <w:bottom w:val="none" w:sz="0" w:space="0" w:color="auto"/>
            <w:right w:val="none" w:sz="0" w:space="0" w:color="auto"/>
          </w:divBdr>
        </w:div>
        <w:div w:id="1462309846">
          <w:marLeft w:val="0"/>
          <w:marRight w:val="0"/>
          <w:marTop w:val="0"/>
          <w:marBottom w:val="0"/>
          <w:divBdr>
            <w:top w:val="none" w:sz="0" w:space="0" w:color="auto"/>
            <w:left w:val="none" w:sz="0" w:space="0" w:color="auto"/>
            <w:bottom w:val="none" w:sz="0" w:space="0" w:color="auto"/>
            <w:right w:val="none" w:sz="0" w:space="0" w:color="auto"/>
          </w:divBdr>
        </w:div>
        <w:div w:id="2103139059">
          <w:marLeft w:val="0"/>
          <w:marRight w:val="0"/>
          <w:marTop w:val="0"/>
          <w:marBottom w:val="0"/>
          <w:divBdr>
            <w:top w:val="none" w:sz="0" w:space="0" w:color="auto"/>
            <w:left w:val="none" w:sz="0" w:space="0" w:color="auto"/>
            <w:bottom w:val="none" w:sz="0" w:space="0" w:color="auto"/>
            <w:right w:val="none" w:sz="0" w:space="0" w:color="auto"/>
          </w:divBdr>
        </w:div>
        <w:div w:id="1345009409">
          <w:marLeft w:val="0"/>
          <w:marRight w:val="0"/>
          <w:marTop w:val="0"/>
          <w:marBottom w:val="0"/>
          <w:divBdr>
            <w:top w:val="none" w:sz="0" w:space="0" w:color="auto"/>
            <w:left w:val="none" w:sz="0" w:space="0" w:color="auto"/>
            <w:bottom w:val="none" w:sz="0" w:space="0" w:color="auto"/>
            <w:right w:val="none" w:sz="0" w:space="0" w:color="auto"/>
          </w:divBdr>
        </w:div>
        <w:div w:id="900286142">
          <w:marLeft w:val="0"/>
          <w:marRight w:val="0"/>
          <w:marTop w:val="0"/>
          <w:marBottom w:val="0"/>
          <w:divBdr>
            <w:top w:val="none" w:sz="0" w:space="0" w:color="auto"/>
            <w:left w:val="none" w:sz="0" w:space="0" w:color="auto"/>
            <w:bottom w:val="none" w:sz="0" w:space="0" w:color="auto"/>
            <w:right w:val="none" w:sz="0" w:space="0" w:color="auto"/>
          </w:divBdr>
        </w:div>
        <w:div w:id="1899507534">
          <w:marLeft w:val="0"/>
          <w:marRight w:val="0"/>
          <w:marTop w:val="0"/>
          <w:marBottom w:val="0"/>
          <w:divBdr>
            <w:top w:val="none" w:sz="0" w:space="0" w:color="auto"/>
            <w:left w:val="none" w:sz="0" w:space="0" w:color="auto"/>
            <w:bottom w:val="none" w:sz="0" w:space="0" w:color="auto"/>
            <w:right w:val="none" w:sz="0" w:space="0" w:color="auto"/>
          </w:divBdr>
        </w:div>
        <w:div w:id="1719934263">
          <w:marLeft w:val="0"/>
          <w:marRight w:val="0"/>
          <w:marTop w:val="0"/>
          <w:marBottom w:val="0"/>
          <w:divBdr>
            <w:top w:val="none" w:sz="0" w:space="0" w:color="auto"/>
            <w:left w:val="none" w:sz="0" w:space="0" w:color="auto"/>
            <w:bottom w:val="none" w:sz="0" w:space="0" w:color="auto"/>
            <w:right w:val="none" w:sz="0" w:space="0" w:color="auto"/>
          </w:divBdr>
        </w:div>
        <w:div w:id="1533683763">
          <w:marLeft w:val="0"/>
          <w:marRight w:val="0"/>
          <w:marTop w:val="0"/>
          <w:marBottom w:val="0"/>
          <w:divBdr>
            <w:top w:val="none" w:sz="0" w:space="0" w:color="auto"/>
            <w:left w:val="none" w:sz="0" w:space="0" w:color="auto"/>
            <w:bottom w:val="none" w:sz="0" w:space="0" w:color="auto"/>
            <w:right w:val="none" w:sz="0" w:space="0" w:color="auto"/>
          </w:divBdr>
        </w:div>
        <w:div w:id="1172139445">
          <w:marLeft w:val="0"/>
          <w:marRight w:val="0"/>
          <w:marTop w:val="0"/>
          <w:marBottom w:val="0"/>
          <w:divBdr>
            <w:top w:val="none" w:sz="0" w:space="0" w:color="auto"/>
            <w:left w:val="none" w:sz="0" w:space="0" w:color="auto"/>
            <w:bottom w:val="none" w:sz="0" w:space="0" w:color="auto"/>
            <w:right w:val="none" w:sz="0" w:space="0" w:color="auto"/>
          </w:divBdr>
        </w:div>
        <w:div w:id="1556163249">
          <w:marLeft w:val="0"/>
          <w:marRight w:val="0"/>
          <w:marTop w:val="0"/>
          <w:marBottom w:val="0"/>
          <w:divBdr>
            <w:top w:val="none" w:sz="0" w:space="0" w:color="auto"/>
            <w:left w:val="none" w:sz="0" w:space="0" w:color="auto"/>
            <w:bottom w:val="none" w:sz="0" w:space="0" w:color="auto"/>
            <w:right w:val="none" w:sz="0" w:space="0" w:color="auto"/>
          </w:divBdr>
        </w:div>
      </w:divsChild>
    </w:div>
    <w:div w:id="1857113679">
      <w:bodyDiv w:val="1"/>
      <w:marLeft w:val="0"/>
      <w:marRight w:val="0"/>
      <w:marTop w:val="0"/>
      <w:marBottom w:val="0"/>
      <w:divBdr>
        <w:top w:val="none" w:sz="0" w:space="0" w:color="auto"/>
        <w:left w:val="none" w:sz="0" w:space="0" w:color="auto"/>
        <w:bottom w:val="none" w:sz="0" w:space="0" w:color="auto"/>
        <w:right w:val="none" w:sz="0" w:space="0" w:color="auto"/>
      </w:divBdr>
    </w:div>
    <w:div w:id="1910770258">
      <w:bodyDiv w:val="1"/>
      <w:marLeft w:val="0"/>
      <w:marRight w:val="0"/>
      <w:marTop w:val="0"/>
      <w:marBottom w:val="0"/>
      <w:divBdr>
        <w:top w:val="none" w:sz="0" w:space="0" w:color="auto"/>
        <w:left w:val="none" w:sz="0" w:space="0" w:color="auto"/>
        <w:bottom w:val="none" w:sz="0" w:space="0" w:color="auto"/>
        <w:right w:val="none" w:sz="0" w:space="0" w:color="auto"/>
      </w:divBdr>
    </w:div>
    <w:div w:id="1994331577">
      <w:bodyDiv w:val="1"/>
      <w:marLeft w:val="0"/>
      <w:marRight w:val="0"/>
      <w:marTop w:val="0"/>
      <w:marBottom w:val="0"/>
      <w:divBdr>
        <w:top w:val="none" w:sz="0" w:space="0" w:color="auto"/>
        <w:left w:val="none" w:sz="0" w:space="0" w:color="auto"/>
        <w:bottom w:val="none" w:sz="0" w:space="0" w:color="auto"/>
        <w:right w:val="none" w:sz="0" w:space="0" w:color="auto"/>
      </w:divBdr>
      <w:divsChild>
        <w:div w:id="10569228">
          <w:marLeft w:val="0"/>
          <w:marRight w:val="0"/>
          <w:marTop w:val="0"/>
          <w:marBottom w:val="0"/>
          <w:divBdr>
            <w:top w:val="none" w:sz="0" w:space="0" w:color="auto"/>
            <w:left w:val="none" w:sz="0" w:space="0" w:color="auto"/>
            <w:bottom w:val="none" w:sz="0" w:space="0" w:color="auto"/>
            <w:right w:val="none" w:sz="0" w:space="0" w:color="auto"/>
          </w:divBdr>
        </w:div>
        <w:div w:id="54276733">
          <w:marLeft w:val="0"/>
          <w:marRight w:val="0"/>
          <w:marTop w:val="0"/>
          <w:marBottom w:val="0"/>
          <w:divBdr>
            <w:top w:val="none" w:sz="0" w:space="0" w:color="auto"/>
            <w:left w:val="none" w:sz="0" w:space="0" w:color="auto"/>
            <w:bottom w:val="none" w:sz="0" w:space="0" w:color="auto"/>
            <w:right w:val="none" w:sz="0" w:space="0" w:color="auto"/>
          </w:divBdr>
        </w:div>
        <w:div w:id="1374232938">
          <w:marLeft w:val="0"/>
          <w:marRight w:val="0"/>
          <w:marTop w:val="0"/>
          <w:marBottom w:val="0"/>
          <w:divBdr>
            <w:top w:val="none" w:sz="0" w:space="0" w:color="auto"/>
            <w:left w:val="none" w:sz="0" w:space="0" w:color="auto"/>
            <w:bottom w:val="none" w:sz="0" w:space="0" w:color="auto"/>
            <w:right w:val="none" w:sz="0" w:space="0" w:color="auto"/>
          </w:divBdr>
        </w:div>
        <w:div w:id="1618873384">
          <w:marLeft w:val="0"/>
          <w:marRight w:val="0"/>
          <w:marTop w:val="0"/>
          <w:marBottom w:val="0"/>
          <w:divBdr>
            <w:top w:val="none" w:sz="0" w:space="0" w:color="auto"/>
            <w:left w:val="none" w:sz="0" w:space="0" w:color="auto"/>
            <w:bottom w:val="none" w:sz="0" w:space="0" w:color="auto"/>
            <w:right w:val="none" w:sz="0" w:space="0" w:color="auto"/>
          </w:divBdr>
        </w:div>
        <w:div w:id="1682127359">
          <w:marLeft w:val="0"/>
          <w:marRight w:val="0"/>
          <w:marTop w:val="0"/>
          <w:marBottom w:val="0"/>
          <w:divBdr>
            <w:top w:val="none" w:sz="0" w:space="0" w:color="auto"/>
            <w:left w:val="none" w:sz="0" w:space="0" w:color="auto"/>
            <w:bottom w:val="none" w:sz="0" w:space="0" w:color="auto"/>
            <w:right w:val="none" w:sz="0" w:space="0" w:color="auto"/>
          </w:divBdr>
        </w:div>
        <w:div w:id="1764957626">
          <w:marLeft w:val="0"/>
          <w:marRight w:val="0"/>
          <w:marTop w:val="0"/>
          <w:marBottom w:val="0"/>
          <w:divBdr>
            <w:top w:val="none" w:sz="0" w:space="0" w:color="auto"/>
            <w:left w:val="none" w:sz="0" w:space="0" w:color="auto"/>
            <w:bottom w:val="none" w:sz="0" w:space="0" w:color="auto"/>
            <w:right w:val="none" w:sz="0" w:space="0" w:color="auto"/>
          </w:divBdr>
        </w:div>
        <w:div w:id="19894808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45745-E80E-4549-BD8C-5CD18FD72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33373</Words>
  <Characters>190229</Characters>
  <Application>Microsoft Office Word</Application>
  <DocSecurity>0</DocSecurity>
  <Lines>1585</Lines>
  <Paragraphs>446</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223156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Hungerford, Dan</dc:creator>
  <cp:lastModifiedBy>Hungerford, Dan</cp:lastModifiedBy>
  <cp:revision>4</cp:revision>
  <cp:lastPrinted>2017-09-14T12:28:00Z</cp:lastPrinted>
  <dcterms:created xsi:type="dcterms:W3CDTF">2017-12-12T16:29:00Z</dcterms:created>
  <dcterms:modified xsi:type="dcterms:W3CDTF">2018-01-03T09:50:00Z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zotero-version="5.0.25"&gt;&lt;session id="BpjjnchX"/&gt;&lt;style id="http://www.zotero.org/styles/bmc-medicine" hasBibliography="1" bibliographyStyleHasBeenSet="1"/&gt;&lt;prefs&gt;&lt;pref name="fieldType" value="Field"/&gt;&lt;pref name="storeReferences" val</vt:lpwstr>
  </property>
  <property fmtid="{D5CDD505-2E9C-101B-9397-08002B2CF9AE}" pid="3" name="ZOTERO_PREF_2">
    <vt:lpwstr>ue="true"/&gt;&lt;pref name="automaticJournalAbbreviations" value="true"/&gt;&lt;pref name="noteType" value="0"/&gt;&lt;/prefs&gt;&lt;/data&gt;</vt:lpwstr>
  </property>
</Properties>
</file>